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230BC2" w14:paraId="07F6750D" w14:textId="77777777" w:rsidTr="009C2DE6">
        <w:trPr>
          <w:trHeight w:val="851"/>
        </w:trPr>
        <w:tc>
          <w:tcPr>
            <w:tcW w:w="976" w:type="dxa"/>
            <w:tcBorders>
              <w:bottom w:val="single" w:sz="12" w:space="0" w:color="auto"/>
            </w:tcBorders>
          </w:tcPr>
          <w:p w14:paraId="1DEFF495" w14:textId="3355B5F0" w:rsidR="00C9161D" w:rsidRPr="00230BC2" w:rsidRDefault="00C9161D" w:rsidP="00B00053">
            <w:pPr>
              <w:suppressLineNumbers/>
              <w:suppressAutoHyphens/>
              <w:kinsoku w:val="0"/>
              <w:overflowPunct w:val="0"/>
              <w:autoSpaceDE w:val="0"/>
              <w:autoSpaceDN w:val="0"/>
              <w:adjustRightInd w:val="0"/>
              <w:snapToGrid w:val="0"/>
              <w:rPr>
                <w:snapToGrid w:val="0"/>
                <w:kern w:val="22"/>
              </w:rPr>
            </w:pPr>
            <w:r w:rsidRPr="00230BC2">
              <w:rPr>
                <w:noProof/>
                <w:snapToGrid w:val="0"/>
                <w:kern w:val="22"/>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230BC2" w:rsidRDefault="00AA6F92" w:rsidP="00B00053">
            <w:pPr>
              <w:suppressLineNumbers/>
              <w:suppressAutoHyphens/>
              <w:kinsoku w:val="0"/>
              <w:overflowPunct w:val="0"/>
              <w:autoSpaceDE w:val="0"/>
              <w:autoSpaceDN w:val="0"/>
              <w:adjustRightInd w:val="0"/>
              <w:snapToGrid w:val="0"/>
              <w:rPr>
                <w:snapToGrid w:val="0"/>
                <w:kern w:val="22"/>
              </w:rPr>
            </w:pPr>
            <w:r w:rsidRPr="00230BC2">
              <w:rPr>
                <w:noProof/>
                <w:snapToGrid w:val="0"/>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600A589D" w14:textId="6824960D" w:rsidR="00247810" w:rsidRPr="00230BC2" w:rsidRDefault="00C9161D" w:rsidP="00302CD2">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230BC2">
              <w:rPr>
                <w:rFonts w:ascii="Arial" w:hAnsi="Arial" w:cs="Arial"/>
                <w:b/>
                <w:snapToGrid w:val="0"/>
                <w:kern w:val="22"/>
                <w:sz w:val="32"/>
                <w:szCs w:val="32"/>
              </w:rPr>
              <w:t>CBD</w:t>
            </w:r>
          </w:p>
        </w:tc>
      </w:tr>
      <w:tr w:rsidR="00C9161D" w:rsidRPr="00230BC2" w14:paraId="6F751905" w14:textId="77777777" w:rsidTr="00CF1848">
        <w:tc>
          <w:tcPr>
            <w:tcW w:w="6117" w:type="dxa"/>
            <w:gridSpan w:val="2"/>
            <w:tcBorders>
              <w:top w:val="single" w:sz="12" w:space="0" w:color="auto"/>
              <w:bottom w:val="single" w:sz="36" w:space="0" w:color="auto"/>
            </w:tcBorders>
            <w:vAlign w:val="center"/>
          </w:tcPr>
          <w:p w14:paraId="14F52A6C" w14:textId="77777777" w:rsidR="00C9161D" w:rsidRPr="00230BC2" w:rsidRDefault="00C9161D" w:rsidP="00B00053">
            <w:pPr>
              <w:suppressLineNumbers/>
              <w:suppressAutoHyphens/>
              <w:kinsoku w:val="0"/>
              <w:overflowPunct w:val="0"/>
              <w:autoSpaceDE w:val="0"/>
              <w:autoSpaceDN w:val="0"/>
              <w:adjustRightInd w:val="0"/>
              <w:snapToGrid w:val="0"/>
              <w:rPr>
                <w:snapToGrid w:val="0"/>
                <w:kern w:val="22"/>
              </w:rPr>
            </w:pPr>
            <w:r w:rsidRPr="00230BC2">
              <w:rPr>
                <w:noProof/>
                <w:snapToGrid w:val="0"/>
                <w:kern w:val="22"/>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230BC2" w:rsidRDefault="00C9161D" w:rsidP="003865BA">
            <w:pPr>
              <w:suppressLineNumbers/>
              <w:suppressAutoHyphens/>
              <w:kinsoku w:val="0"/>
              <w:overflowPunct w:val="0"/>
              <w:autoSpaceDE w:val="0"/>
              <w:autoSpaceDN w:val="0"/>
              <w:adjustRightInd w:val="0"/>
              <w:snapToGrid w:val="0"/>
              <w:ind w:left="894"/>
              <w:rPr>
                <w:snapToGrid w:val="0"/>
                <w:kern w:val="22"/>
                <w:szCs w:val="22"/>
              </w:rPr>
            </w:pPr>
            <w:r w:rsidRPr="00230BC2">
              <w:rPr>
                <w:snapToGrid w:val="0"/>
                <w:kern w:val="22"/>
                <w:szCs w:val="22"/>
              </w:rPr>
              <w:t>Distr.</w:t>
            </w:r>
          </w:p>
          <w:p w14:paraId="0C21C438" w14:textId="266AD0C1" w:rsidR="00C9161D" w:rsidRPr="00230BC2" w:rsidRDefault="00C7518F" w:rsidP="003865BA">
            <w:pPr>
              <w:suppressLineNumbers/>
              <w:suppressAutoHyphens/>
              <w:kinsoku w:val="0"/>
              <w:overflowPunct w:val="0"/>
              <w:autoSpaceDE w:val="0"/>
              <w:autoSpaceDN w:val="0"/>
              <w:adjustRightInd w:val="0"/>
              <w:snapToGrid w:val="0"/>
              <w:ind w:left="894"/>
              <w:rPr>
                <w:snapToGrid w:val="0"/>
                <w:kern w:val="22"/>
                <w:szCs w:val="22"/>
              </w:rPr>
            </w:pPr>
            <w:r w:rsidRPr="00230BC2">
              <w:rPr>
                <w:caps/>
                <w:snapToGrid w:val="0"/>
                <w:kern w:val="22"/>
                <w:szCs w:val="22"/>
              </w:rPr>
              <w:t>GENERAL</w:t>
            </w:r>
          </w:p>
          <w:p w14:paraId="06715052" w14:textId="77777777" w:rsidR="00C9161D" w:rsidRPr="00230BC2" w:rsidRDefault="00C9161D" w:rsidP="003865BA">
            <w:pPr>
              <w:suppressLineNumbers/>
              <w:suppressAutoHyphens/>
              <w:kinsoku w:val="0"/>
              <w:overflowPunct w:val="0"/>
              <w:autoSpaceDE w:val="0"/>
              <w:autoSpaceDN w:val="0"/>
              <w:adjustRightInd w:val="0"/>
              <w:snapToGrid w:val="0"/>
              <w:ind w:left="894"/>
              <w:rPr>
                <w:snapToGrid w:val="0"/>
                <w:kern w:val="22"/>
                <w:szCs w:val="22"/>
              </w:rPr>
            </w:pPr>
          </w:p>
          <w:p w14:paraId="44230134" w14:textId="5ED8E80A" w:rsidR="00C9161D" w:rsidRPr="00230BC2" w:rsidRDefault="00000000" w:rsidP="003865BA">
            <w:pPr>
              <w:suppressLineNumbers/>
              <w:suppressAutoHyphens/>
              <w:kinsoku w:val="0"/>
              <w:overflowPunct w:val="0"/>
              <w:autoSpaceDE w:val="0"/>
              <w:autoSpaceDN w:val="0"/>
              <w:adjustRightInd w:val="0"/>
              <w:snapToGrid w:val="0"/>
              <w:ind w:left="894"/>
              <w:rPr>
                <w:snapToGrid w:val="0"/>
                <w:kern w:val="22"/>
                <w:szCs w:val="22"/>
              </w:rPr>
            </w:pPr>
            <w:sdt>
              <w:sdtPr>
                <w:rPr>
                  <w:snapToGrid w:val="0"/>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643F0A" w:rsidRPr="00230BC2">
                  <w:rPr>
                    <w:snapToGrid w:val="0"/>
                    <w:kern w:val="22"/>
                  </w:rPr>
                  <w:t>CBD/COP/15/</w:t>
                </w:r>
                <w:r w:rsidR="00C7518F" w:rsidRPr="00230BC2">
                  <w:rPr>
                    <w:snapToGrid w:val="0"/>
                    <w:kern w:val="22"/>
                  </w:rPr>
                  <w:t>17</w:t>
                </w:r>
              </w:sdtContent>
            </w:sdt>
          </w:p>
          <w:p w14:paraId="0DF1F033" w14:textId="7ED41EDE" w:rsidR="00C9161D" w:rsidRPr="00230BC2" w:rsidRDefault="001C2158" w:rsidP="003865BA">
            <w:pPr>
              <w:suppressLineNumbers/>
              <w:suppressAutoHyphens/>
              <w:kinsoku w:val="0"/>
              <w:overflowPunct w:val="0"/>
              <w:autoSpaceDE w:val="0"/>
              <w:autoSpaceDN w:val="0"/>
              <w:adjustRightInd w:val="0"/>
              <w:snapToGrid w:val="0"/>
              <w:ind w:left="894"/>
              <w:rPr>
                <w:snapToGrid w:val="0"/>
                <w:kern w:val="22"/>
                <w:szCs w:val="22"/>
              </w:rPr>
            </w:pPr>
            <w:r w:rsidRPr="00230BC2">
              <w:rPr>
                <w:snapToGrid w:val="0"/>
                <w:kern w:val="22"/>
                <w:szCs w:val="22"/>
              </w:rPr>
              <w:t>20</w:t>
            </w:r>
            <w:r w:rsidR="00E32E9D" w:rsidRPr="00230BC2">
              <w:rPr>
                <w:snapToGrid w:val="0"/>
                <w:kern w:val="22"/>
                <w:szCs w:val="22"/>
              </w:rPr>
              <w:t xml:space="preserve"> </w:t>
            </w:r>
            <w:r w:rsidR="0048482B" w:rsidRPr="00230BC2">
              <w:rPr>
                <w:snapToGrid w:val="0"/>
                <w:kern w:val="22"/>
                <w:szCs w:val="22"/>
              </w:rPr>
              <w:t>October 2023</w:t>
            </w:r>
          </w:p>
          <w:p w14:paraId="159892DF" w14:textId="77777777" w:rsidR="00C9161D" w:rsidRPr="00230BC2" w:rsidRDefault="00C9161D" w:rsidP="003865BA">
            <w:pPr>
              <w:suppressLineNumbers/>
              <w:suppressAutoHyphens/>
              <w:kinsoku w:val="0"/>
              <w:overflowPunct w:val="0"/>
              <w:autoSpaceDE w:val="0"/>
              <w:autoSpaceDN w:val="0"/>
              <w:adjustRightInd w:val="0"/>
              <w:snapToGrid w:val="0"/>
              <w:ind w:left="894"/>
              <w:rPr>
                <w:snapToGrid w:val="0"/>
                <w:kern w:val="22"/>
                <w:szCs w:val="22"/>
              </w:rPr>
            </w:pPr>
          </w:p>
          <w:p w14:paraId="19472D49" w14:textId="77777777" w:rsidR="00C9161D" w:rsidRPr="00230BC2" w:rsidRDefault="006B2290" w:rsidP="003865BA">
            <w:pPr>
              <w:suppressLineNumbers/>
              <w:suppressAutoHyphens/>
              <w:kinsoku w:val="0"/>
              <w:overflowPunct w:val="0"/>
              <w:autoSpaceDE w:val="0"/>
              <w:autoSpaceDN w:val="0"/>
              <w:adjustRightInd w:val="0"/>
              <w:snapToGrid w:val="0"/>
              <w:ind w:left="894"/>
              <w:rPr>
                <w:snapToGrid w:val="0"/>
                <w:kern w:val="22"/>
                <w:szCs w:val="22"/>
              </w:rPr>
            </w:pPr>
            <w:r w:rsidRPr="00230BC2">
              <w:rPr>
                <w:snapToGrid w:val="0"/>
                <w:kern w:val="22"/>
                <w:szCs w:val="22"/>
              </w:rPr>
              <w:t xml:space="preserve">ORIGINAL: </w:t>
            </w:r>
            <w:r w:rsidR="00C9161D" w:rsidRPr="00230BC2">
              <w:rPr>
                <w:snapToGrid w:val="0"/>
                <w:kern w:val="22"/>
                <w:szCs w:val="22"/>
              </w:rPr>
              <w:t>ENGLISH</w:t>
            </w:r>
          </w:p>
          <w:p w14:paraId="5AA10CCE" w14:textId="77777777" w:rsidR="00C9161D" w:rsidRPr="00230BC2" w:rsidRDefault="00C9161D" w:rsidP="00B00053">
            <w:pPr>
              <w:suppressLineNumbers/>
              <w:suppressAutoHyphens/>
              <w:kinsoku w:val="0"/>
              <w:overflowPunct w:val="0"/>
              <w:autoSpaceDE w:val="0"/>
              <w:autoSpaceDN w:val="0"/>
              <w:adjustRightInd w:val="0"/>
              <w:snapToGrid w:val="0"/>
              <w:rPr>
                <w:snapToGrid w:val="0"/>
                <w:kern w:val="22"/>
              </w:rPr>
            </w:pPr>
          </w:p>
        </w:tc>
      </w:tr>
    </w:tbl>
    <w:p w14:paraId="16E481B9" w14:textId="77777777" w:rsidR="003B44F9" w:rsidRPr="00230BC2" w:rsidRDefault="003B44F9" w:rsidP="00B00053">
      <w:pPr>
        <w:pStyle w:val="Cornernotation"/>
        <w:suppressLineNumbers/>
        <w:suppressAutoHyphens/>
        <w:kinsoku w:val="0"/>
        <w:overflowPunct w:val="0"/>
        <w:autoSpaceDE w:val="0"/>
        <w:autoSpaceDN w:val="0"/>
        <w:adjustRightInd w:val="0"/>
        <w:snapToGrid w:val="0"/>
        <w:spacing w:before="60"/>
        <w:ind w:left="180" w:right="4642" w:hanging="180"/>
        <w:rPr>
          <w:snapToGrid w:val="0"/>
          <w:kern w:val="22"/>
        </w:rPr>
      </w:pPr>
      <w:r w:rsidRPr="00230BC2">
        <w:rPr>
          <w:snapToGrid w:val="0"/>
          <w:kern w:val="22"/>
        </w:rPr>
        <w:t>CONFERENCE OF THE PARTIES TO THE CONVENTION ON BIOLOGICAL DIVERSITY</w:t>
      </w:r>
    </w:p>
    <w:p w14:paraId="5933F3E7" w14:textId="3753AA4F" w:rsidR="00EF50EB" w:rsidRPr="00230BC2" w:rsidRDefault="00EF50EB" w:rsidP="00EF50EB">
      <w:pPr>
        <w:pStyle w:val="Cornernotation"/>
        <w:suppressLineNumbers/>
        <w:suppressAutoHyphens/>
        <w:kinsoku w:val="0"/>
        <w:overflowPunct w:val="0"/>
        <w:autoSpaceDE w:val="0"/>
        <w:autoSpaceDN w:val="0"/>
        <w:adjustRightInd w:val="0"/>
        <w:snapToGrid w:val="0"/>
        <w:rPr>
          <w:snapToGrid w:val="0"/>
          <w:kern w:val="22"/>
        </w:rPr>
      </w:pPr>
      <w:r w:rsidRPr="00230BC2">
        <w:rPr>
          <w:snapToGrid w:val="0"/>
          <w:kern w:val="22"/>
        </w:rPr>
        <w:t xml:space="preserve">Fifteenth meeting </w:t>
      </w:r>
      <w:r w:rsidRPr="00230BC2">
        <w:rPr>
          <w:snapToGrid w:val="0"/>
          <w:kern w:val="22"/>
        </w:rPr>
        <w:sym w:font="Symbol" w:char="F02D"/>
      </w:r>
      <w:r w:rsidRPr="00230BC2">
        <w:rPr>
          <w:snapToGrid w:val="0"/>
          <w:kern w:val="22"/>
        </w:rPr>
        <w:t xml:space="preserve"> Part II and resumed part II</w:t>
      </w:r>
    </w:p>
    <w:p w14:paraId="0ACBA25B" w14:textId="77777777" w:rsidR="00EC458E" w:rsidRPr="00230BC2" w:rsidRDefault="00EC458E" w:rsidP="00EC458E">
      <w:pPr>
        <w:pStyle w:val="Cornernotation"/>
        <w:suppressLineNumbers/>
        <w:suppressAutoHyphens/>
        <w:kinsoku w:val="0"/>
        <w:overflowPunct w:val="0"/>
        <w:autoSpaceDE w:val="0"/>
        <w:autoSpaceDN w:val="0"/>
        <w:adjustRightInd w:val="0"/>
        <w:snapToGrid w:val="0"/>
        <w:ind w:right="4116"/>
        <w:rPr>
          <w:snapToGrid w:val="0"/>
          <w:kern w:val="22"/>
        </w:rPr>
      </w:pPr>
      <w:r w:rsidRPr="00230BC2">
        <w:rPr>
          <w:snapToGrid w:val="0"/>
          <w:kern w:val="22"/>
        </w:rPr>
        <w:t>Montreal, Canada, 7</w:t>
      </w:r>
      <w:r w:rsidRPr="00230BC2">
        <w:rPr>
          <w:snapToGrid w:val="0"/>
          <w:kern w:val="22"/>
        </w:rPr>
        <w:sym w:font="Symbol" w:char="F02D"/>
      </w:r>
      <w:r w:rsidRPr="00230BC2">
        <w:rPr>
          <w:snapToGrid w:val="0"/>
          <w:kern w:val="22"/>
        </w:rPr>
        <w:t xml:space="preserve">19 December 2022 </w:t>
      </w:r>
    </w:p>
    <w:p w14:paraId="039E7421" w14:textId="77777777" w:rsidR="00EF50EB" w:rsidRPr="00230BC2" w:rsidRDefault="00EF50EB" w:rsidP="00EF50EB">
      <w:pPr>
        <w:pStyle w:val="Cornernotation"/>
        <w:suppressLineNumbers/>
        <w:suppressAutoHyphens/>
        <w:kinsoku w:val="0"/>
        <w:overflowPunct w:val="0"/>
        <w:autoSpaceDE w:val="0"/>
        <w:autoSpaceDN w:val="0"/>
        <w:adjustRightInd w:val="0"/>
        <w:snapToGrid w:val="0"/>
        <w:ind w:right="4116"/>
        <w:rPr>
          <w:snapToGrid w:val="0"/>
          <w:kern w:val="22"/>
        </w:rPr>
      </w:pPr>
      <w:r w:rsidRPr="00230BC2">
        <w:rPr>
          <w:snapToGrid w:val="0"/>
          <w:kern w:val="22"/>
        </w:rPr>
        <w:t>Nairobi, 19 and 20 October 2023</w:t>
      </w:r>
    </w:p>
    <w:p w14:paraId="57F6B7A1" w14:textId="5FEA3D24" w:rsidR="00C9161D" w:rsidRPr="00230BC2" w:rsidRDefault="00000000" w:rsidP="00B05E90">
      <w:pPr>
        <w:pStyle w:val="BodyText"/>
        <w:ind w:firstLine="0"/>
        <w:jc w:val="center"/>
        <w:rPr>
          <w:b/>
          <w:bCs/>
          <w:snapToGrid w:val="0"/>
        </w:rPr>
      </w:pPr>
      <w:sdt>
        <w:sdtPr>
          <w:rPr>
            <w:b/>
            <w:bCs/>
            <w:snapToGrid w:val="0"/>
          </w:rPr>
          <w:alias w:val="Title"/>
          <w:tag w:val=""/>
          <w:id w:val="1641619548"/>
          <w:placeholder>
            <w:docPart w:val="3BAF50A6B5764CF6B487FA027EC3EC28"/>
          </w:placeholder>
          <w:dataBinding w:prefixMappings="xmlns:ns0='http://purl.org/dc/elements/1.1/' xmlns:ns1='http://schemas.openxmlformats.org/package/2006/metadata/core-properties' " w:xpath="/ns1:coreProperties[1]/ns0:title[1]" w:storeItemID="{6C3C8BC8-F283-45AE-878A-BAB7291924A1}"/>
          <w:text/>
        </w:sdtPr>
        <w:sdtContent>
          <w:r w:rsidR="00C1188F" w:rsidRPr="00230BC2">
            <w:rPr>
              <w:b/>
              <w:bCs/>
              <w:snapToGrid w:val="0"/>
            </w:rPr>
            <w:t>REPORT OF THE CONFERENCE OF THE PARTIES TO THE CONVENTION ON BIOLOGICAL DIVERSITY ON THE SECOND PART OF ITS FIFTEENTH MEETING</w:t>
          </w:r>
        </w:sdtContent>
      </w:sdt>
    </w:p>
    <w:tbl>
      <w:tblPr>
        <w:tblStyle w:val="TableGrid"/>
        <w:tblW w:w="0" w:type="auto"/>
        <w:tblLook w:val="04A0" w:firstRow="1" w:lastRow="0" w:firstColumn="1" w:lastColumn="0" w:noHBand="0" w:noVBand="1"/>
      </w:tblPr>
      <w:tblGrid>
        <w:gridCol w:w="9350"/>
      </w:tblGrid>
      <w:tr w:rsidR="002623FE" w:rsidRPr="00230BC2" w14:paraId="5B21B792" w14:textId="77777777" w:rsidTr="002623FE">
        <w:tc>
          <w:tcPr>
            <w:tcW w:w="9350" w:type="dxa"/>
          </w:tcPr>
          <w:p w14:paraId="623E2389" w14:textId="77777777" w:rsidR="00166B37" w:rsidRPr="00230BC2" w:rsidRDefault="00166B37" w:rsidP="00403847">
            <w:pPr>
              <w:keepNext/>
              <w:suppressLineNumbers/>
              <w:suppressAutoHyphens/>
              <w:kinsoku w:val="0"/>
              <w:overflowPunct w:val="0"/>
              <w:autoSpaceDE w:val="0"/>
              <w:autoSpaceDN w:val="0"/>
              <w:adjustRightInd w:val="0"/>
              <w:snapToGrid w:val="0"/>
              <w:spacing w:before="120" w:after="120"/>
              <w:outlineLvl w:val="0"/>
              <w:rPr>
                <w:rFonts w:asciiTheme="majorBidi" w:hAnsiTheme="majorBidi" w:cstheme="majorBidi"/>
                <w:bCs/>
                <w:i/>
                <w:iCs/>
                <w:snapToGrid w:val="0"/>
              </w:rPr>
            </w:pPr>
            <w:r w:rsidRPr="00230BC2">
              <w:rPr>
                <w:rFonts w:asciiTheme="majorBidi" w:hAnsiTheme="majorBidi" w:cstheme="majorBidi"/>
                <w:bCs/>
                <w:i/>
                <w:iCs/>
                <w:snapToGrid w:val="0"/>
              </w:rPr>
              <w:t>Summary</w:t>
            </w:r>
          </w:p>
          <w:p w14:paraId="64F30C0A" w14:textId="669F09E2" w:rsidR="002623FE" w:rsidRPr="00230BC2" w:rsidRDefault="00166B37" w:rsidP="00403847">
            <w:pPr>
              <w:keepNext/>
              <w:suppressLineNumbers/>
              <w:suppressAutoHyphens/>
              <w:kinsoku w:val="0"/>
              <w:overflowPunct w:val="0"/>
              <w:autoSpaceDE w:val="0"/>
              <w:autoSpaceDN w:val="0"/>
              <w:adjustRightInd w:val="0"/>
              <w:snapToGrid w:val="0"/>
              <w:spacing w:before="120" w:after="120"/>
              <w:outlineLvl w:val="0"/>
              <w:rPr>
                <w:rFonts w:asciiTheme="majorBidi" w:hAnsiTheme="majorBidi" w:cstheme="majorBidi"/>
                <w:bCs/>
                <w:snapToGrid w:val="0"/>
              </w:rPr>
            </w:pPr>
            <w:r w:rsidRPr="00230BC2">
              <w:rPr>
                <w:rFonts w:asciiTheme="majorBidi" w:hAnsiTheme="majorBidi" w:cstheme="majorBidi"/>
                <w:bCs/>
                <w:snapToGrid w:val="0"/>
              </w:rPr>
              <w:tab/>
            </w:r>
            <w:r w:rsidR="00E67010" w:rsidRPr="00230BC2">
              <w:rPr>
                <w:rFonts w:asciiTheme="majorBidi" w:hAnsiTheme="majorBidi" w:cstheme="majorBidi"/>
                <w:bCs/>
                <w:snapToGrid w:val="0"/>
              </w:rPr>
              <w:t xml:space="preserve">The Conference of the Parties </w:t>
            </w:r>
            <w:r w:rsidR="002D6280" w:rsidRPr="00230BC2">
              <w:rPr>
                <w:rFonts w:asciiTheme="majorBidi" w:hAnsiTheme="majorBidi" w:cstheme="majorBidi"/>
                <w:bCs/>
                <w:snapToGrid w:val="0"/>
              </w:rPr>
              <w:t xml:space="preserve">to the Convention on Biological Diversity held </w:t>
            </w:r>
            <w:r w:rsidR="00332F15" w:rsidRPr="00230BC2">
              <w:rPr>
                <w:rFonts w:asciiTheme="majorBidi" w:hAnsiTheme="majorBidi" w:cstheme="majorBidi"/>
                <w:bCs/>
                <w:snapToGrid w:val="0"/>
              </w:rPr>
              <w:t xml:space="preserve">the </w:t>
            </w:r>
            <w:r w:rsidR="00845198" w:rsidRPr="00230BC2">
              <w:rPr>
                <w:rFonts w:asciiTheme="majorBidi" w:hAnsiTheme="majorBidi" w:cstheme="majorBidi"/>
                <w:bCs/>
                <w:snapToGrid w:val="0"/>
              </w:rPr>
              <w:t>second part of</w:t>
            </w:r>
            <w:r w:rsidR="000C4DF1" w:rsidRPr="00230BC2">
              <w:rPr>
                <w:rFonts w:asciiTheme="majorBidi" w:hAnsiTheme="majorBidi" w:cstheme="majorBidi"/>
                <w:bCs/>
                <w:snapToGrid w:val="0"/>
              </w:rPr>
              <w:t xml:space="preserve"> its fifteenth meeting in </w:t>
            </w:r>
            <w:r w:rsidR="00332F15" w:rsidRPr="00230BC2">
              <w:rPr>
                <w:rFonts w:asciiTheme="majorBidi" w:hAnsiTheme="majorBidi" w:cstheme="majorBidi"/>
                <w:bCs/>
                <w:snapToGrid w:val="0"/>
              </w:rPr>
              <w:t>Montreal, Canada, from 7 to 19 December 2022</w:t>
            </w:r>
            <w:r w:rsidR="00581CBE" w:rsidRPr="00230BC2">
              <w:rPr>
                <w:rFonts w:asciiTheme="majorBidi" w:hAnsiTheme="majorBidi" w:cstheme="majorBidi"/>
                <w:bCs/>
                <w:snapToGrid w:val="0"/>
              </w:rPr>
              <w:t>,</w:t>
            </w:r>
            <w:r w:rsidR="00332F15" w:rsidRPr="00230BC2">
              <w:rPr>
                <w:rFonts w:asciiTheme="majorBidi" w:hAnsiTheme="majorBidi" w:cstheme="majorBidi"/>
                <w:bCs/>
                <w:snapToGrid w:val="0"/>
              </w:rPr>
              <w:t xml:space="preserve"> and </w:t>
            </w:r>
            <w:r w:rsidR="000C4DF1" w:rsidRPr="00230BC2">
              <w:rPr>
                <w:rFonts w:asciiTheme="majorBidi" w:hAnsiTheme="majorBidi" w:cstheme="majorBidi"/>
                <w:bCs/>
                <w:snapToGrid w:val="0"/>
              </w:rPr>
              <w:t>in Nairobi, on 19 and 20 October 2023.</w:t>
            </w:r>
            <w:r w:rsidR="00332F15" w:rsidRPr="00230BC2">
              <w:rPr>
                <w:rFonts w:asciiTheme="majorBidi" w:hAnsiTheme="majorBidi" w:cstheme="majorBidi"/>
                <w:bCs/>
                <w:snapToGrid w:val="0"/>
              </w:rPr>
              <w:t xml:space="preserve"> </w:t>
            </w:r>
            <w:r w:rsidR="002D6280" w:rsidRPr="00230BC2">
              <w:rPr>
                <w:rFonts w:asciiTheme="majorBidi" w:hAnsiTheme="majorBidi" w:cstheme="majorBidi"/>
                <w:bCs/>
                <w:snapToGrid w:val="0"/>
              </w:rPr>
              <w:t>It adopted 3</w:t>
            </w:r>
            <w:r w:rsidR="003945F9" w:rsidRPr="00230BC2">
              <w:rPr>
                <w:rFonts w:asciiTheme="majorBidi" w:hAnsiTheme="majorBidi" w:cstheme="majorBidi"/>
                <w:bCs/>
                <w:snapToGrid w:val="0"/>
              </w:rPr>
              <w:t>5</w:t>
            </w:r>
            <w:r w:rsidR="002D6280" w:rsidRPr="00230BC2">
              <w:rPr>
                <w:rFonts w:asciiTheme="majorBidi" w:hAnsiTheme="majorBidi" w:cstheme="majorBidi"/>
                <w:bCs/>
                <w:snapToGrid w:val="0"/>
              </w:rPr>
              <w:t xml:space="preserve"> decisions </w:t>
            </w:r>
            <w:r w:rsidR="00334518" w:rsidRPr="00230BC2">
              <w:rPr>
                <w:rFonts w:asciiTheme="majorBidi" w:hAnsiTheme="majorBidi" w:cstheme="majorBidi"/>
                <w:bCs/>
                <w:snapToGrid w:val="0"/>
              </w:rPr>
              <w:t xml:space="preserve">(see </w:t>
            </w:r>
            <w:r w:rsidR="002D6280" w:rsidRPr="00230BC2">
              <w:rPr>
                <w:rFonts w:asciiTheme="majorBidi" w:hAnsiTheme="majorBidi" w:cstheme="majorBidi"/>
                <w:bCs/>
                <w:snapToGrid w:val="0"/>
              </w:rPr>
              <w:t>sect</w:t>
            </w:r>
            <w:r w:rsidR="00334518" w:rsidRPr="00230BC2">
              <w:rPr>
                <w:rFonts w:asciiTheme="majorBidi" w:hAnsiTheme="majorBidi" w:cstheme="majorBidi"/>
                <w:bCs/>
                <w:snapToGrid w:val="0"/>
              </w:rPr>
              <w:t>.</w:t>
            </w:r>
            <w:r w:rsidR="002D6280" w:rsidRPr="00230BC2">
              <w:rPr>
                <w:rFonts w:asciiTheme="majorBidi" w:hAnsiTheme="majorBidi" w:cstheme="majorBidi"/>
                <w:bCs/>
                <w:snapToGrid w:val="0"/>
              </w:rPr>
              <w:t xml:space="preserve"> I</w:t>
            </w:r>
            <w:r w:rsidR="00334518" w:rsidRPr="00230BC2">
              <w:rPr>
                <w:rFonts w:asciiTheme="majorBidi" w:hAnsiTheme="majorBidi" w:cstheme="majorBidi"/>
                <w:bCs/>
                <w:snapToGrid w:val="0"/>
              </w:rPr>
              <w:t>)</w:t>
            </w:r>
            <w:r w:rsidR="005139F9" w:rsidRPr="00230BC2">
              <w:rPr>
                <w:rFonts w:asciiTheme="majorBidi" w:hAnsiTheme="majorBidi" w:cstheme="majorBidi"/>
                <w:bCs/>
                <w:snapToGrid w:val="0"/>
              </w:rPr>
              <w:t>, including</w:t>
            </w:r>
            <w:r w:rsidR="000420A6" w:rsidRPr="00230BC2">
              <w:rPr>
                <w:rFonts w:asciiTheme="majorBidi" w:hAnsiTheme="majorBidi" w:cstheme="majorBidi"/>
                <w:bCs/>
                <w:snapToGrid w:val="0"/>
              </w:rPr>
              <w:t>,</w:t>
            </w:r>
            <w:r w:rsidR="005139F9" w:rsidRPr="00230BC2">
              <w:rPr>
                <w:rFonts w:asciiTheme="majorBidi" w:hAnsiTheme="majorBidi" w:cstheme="majorBidi"/>
                <w:bCs/>
                <w:snapToGrid w:val="0"/>
              </w:rPr>
              <w:t xml:space="preserve"> in particular</w:t>
            </w:r>
            <w:r w:rsidR="000420A6" w:rsidRPr="00230BC2">
              <w:rPr>
                <w:rFonts w:asciiTheme="majorBidi" w:hAnsiTheme="majorBidi" w:cstheme="majorBidi"/>
                <w:bCs/>
                <w:snapToGrid w:val="0"/>
              </w:rPr>
              <w:t>,</w:t>
            </w:r>
            <w:r w:rsidR="005139F9" w:rsidRPr="00230BC2">
              <w:rPr>
                <w:rFonts w:asciiTheme="majorBidi" w:hAnsiTheme="majorBidi" w:cstheme="majorBidi"/>
                <w:bCs/>
                <w:snapToGrid w:val="0"/>
              </w:rPr>
              <w:t xml:space="preserve"> </w:t>
            </w:r>
            <w:r w:rsidR="009A0667" w:rsidRPr="00230BC2">
              <w:rPr>
                <w:rFonts w:asciiTheme="majorBidi" w:hAnsiTheme="majorBidi" w:cstheme="majorBidi"/>
                <w:bCs/>
                <w:snapToGrid w:val="0"/>
              </w:rPr>
              <w:t xml:space="preserve">on </w:t>
            </w:r>
            <w:r w:rsidR="005139F9" w:rsidRPr="00230BC2">
              <w:rPr>
                <w:rFonts w:asciiTheme="majorBidi" w:hAnsiTheme="majorBidi" w:cstheme="majorBidi"/>
                <w:bCs/>
                <w:snapToGrid w:val="0"/>
              </w:rPr>
              <w:t>the Kunming-Montreal Global Biodiversity Framework</w:t>
            </w:r>
            <w:r w:rsidR="00DF2F64" w:rsidRPr="00230BC2">
              <w:rPr>
                <w:rFonts w:asciiTheme="majorBidi" w:hAnsiTheme="majorBidi" w:cstheme="majorBidi"/>
                <w:bCs/>
                <w:snapToGrid w:val="0"/>
              </w:rPr>
              <w:t>.</w:t>
            </w:r>
            <w:r w:rsidR="002D6280" w:rsidRPr="00230BC2">
              <w:rPr>
                <w:rFonts w:asciiTheme="majorBidi" w:hAnsiTheme="majorBidi" w:cstheme="majorBidi"/>
                <w:bCs/>
                <w:snapToGrid w:val="0"/>
              </w:rPr>
              <w:t xml:space="preserve"> The account of the proceedings of the meeting is contained in section II</w:t>
            </w:r>
            <w:r w:rsidR="00882534" w:rsidRPr="00230BC2">
              <w:rPr>
                <w:rFonts w:asciiTheme="majorBidi" w:hAnsiTheme="majorBidi" w:cstheme="majorBidi"/>
                <w:bCs/>
                <w:snapToGrid w:val="0"/>
              </w:rPr>
              <w:t xml:space="preserve">, while the </w:t>
            </w:r>
            <w:r w:rsidR="00BD572D" w:rsidRPr="00230BC2">
              <w:rPr>
                <w:rFonts w:asciiTheme="majorBidi" w:hAnsiTheme="majorBidi" w:cstheme="majorBidi"/>
                <w:bCs/>
                <w:snapToGrid w:val="0"/>
              </w:rPr>
              <w:t>a</w:t>
            </w:r>
            <w:r w:rsidR="002D6280" w:rsidRPr="00230BC2">
              <w:rPr>
                <w:rFonts w:asciiTheme="majorBidi" w:hAnsiTheme="majorBidi" w:cstheme="majorBidi"/>
                <w:bCs/>
                <w:snapToGrid w:val="0"/>
              </w:rPr>
              <w:t>nnex contains the list of the organizations represented at the meeting.</w:t>
            </w:r>
          </w:p>
        </w:tc>
      </w:tr>
    </w:tbl>
    <w:p w14:paraId="14F8900B" w14:textId="77777777" w:rsidR="002623FE" w:rsidRPr="00230BC2" w:rsidRDefault="002623FE" w:rsidP="00942CC3">
      <w:pPr>
        <w:keepNext/>
        <w:suppressLineNumbers/>
        <w:suppressAutoHyphens/>
        <w:kinsoku w:val="0"/>
        <w:overflowPunct w:val="0"/>
        <w:autoSpaceDE w:val="0"/>
        <w:autoSpaceDN w:val="0"/>
        <w:adjustRightInd w:val="0"/>
        <w:snapToGrid w:val="0"/>
        <w:spacing w:before="240" w:after="120"/>
        <w:jc w:val="center"/>
        <w:outlineLvl w:val="0"/>
        <w:rPr>
          <w:rFonts w:asciiTheme="majorBidi" w:hAnsiTheme="majorBidi" w:cstheme="majorBidi"/>
          <w:bCs/>
          <w:snapToGrid w:val="0"/>
        </w:rPr>
      </w:pPr>
    </w:p>
    <w:p w14:paraId="5D9D66CC" w14:textId="77777777" w:rsidR="002623FE" w:rsidRPr="00230BC2" w:rsidRDefault="002623FE" w:rsidP="00942CC3">
      <w:pPr>
        <w:keepNext/>
        <w:suppressLineNumbers/>
        <w:suppressAutoHyphens/>
        <w:kinsoku w:val="0"/>
        <w:overflowPunct w:val="0"/>
        <w:autoSpaceDE w:val="0"/>
        <w:autoSpaceDN w:val="0"/>
        <w:adjustRightInd w:val="0"/>
        <w:snapToGrid w:val="0"/>
        <w:spacing w:before="240" w:after="120"/>
        <w:jc w:val="center"/>
        <w:outlineLvl w:val="0"/>
        <w:rPr>
          <w:rFonts w:asciiTheme="majorBidi" w:hAnsiTheme="majorBidi" w:cstheme="majorBidi"/>
          <w:bCs/>
          <w:i/>
          <w:iCs/>
          <w:snapToGrid w:val="0"/>
        </w:rPr>
        <w:sectPr w:rsidR="002623FE" w:rsidRPr="00230BC2" w:rsidSect="0090075A">
          <w:headerReference w:type="even" r:id="rId15"/>
          <w:headerReference w:type="default" r:id="rId16"/>
          <w:pgSz w:w="12240" w:h="15840"/>
          <w:pgMar w:top="567" w:right="1440" w:bottom="1134" w:left="1440" w:header="709" w:footer="709" w:gutter="0"/>
          <w:cols w:space="708"/>
          <w:titlePg/>
          <w:docGrid w:linePitch="360"/>
        </w:sectPr>
      </w:pPr>
    </w:p>
    <w:p w14:paraId="3C5368D9" w14:textId="311BD999" w:rsidR="00B1325F" w:rsidRDefault="00B1325F" w:rsidP="00B1325F">
      <w:pPr>
        <w:pStyle w:val="Heading1"/>
        <w:jc w:val="left"/>
        <w:rPr>
          <w:b w:val="0"/>
          <w:bCs/>
          <w:caps w:val="0"/>
          <w:snapToGrid w:val="0"/>
          <w:sz w:val="28"/>
          <w:szCs w:val="28"/>
        </w:rPr>
      </w:pPr>
      <w:bookmarkStart w:id="0" w:name="_Toc150438779"/>
      <w:bookmarkStart w:id="1" w:name="_Toc150670280"/>
      <w:bookmarkStart w:id="2" w:name="_Toc150670497"/>
      <w:bookmarkStart w:id="3" w:name="_Toc150670607"/>
      <w:bookmarkStart w:id="4" w:name="_Toc150761109"/>
      <w:r w:rsidRPr="00230BC2">
        <w:rPr>
          <w:b w:val="0"/>
          <w:bCs/>
          <w:caps w:val="0"/>
          <w:snapToGrid w:val="0"/>
          <w:sz w:val="28"/>
          <w:szCs w:val="28"/>
        </w:rPr>
        <w:lastRenderedPageBreak/>
        <w:t>Contents</w:t>
      </w:r>
      <w:bookmarkEnd w:id="0"/>
      <w:bookmarkEnd w:id="1"/>
      <w:bookmarkEnd w:id="2"/>
      <w:bookmarkEnd w:id="3"/>
      <w:bookmarkEnd w:id="4"/>
      <w:r w:rsidR="00B335F3">
        <w:rPr>
          <w:b w:val="0"/>
          <w:bCs/>
          <w:caps w:val="0"/>
          <w:snapToGrid w:val="0"/>
          <w:sz w:val="28"/>
          <w:szCs w:val="28"/>
        </w:rPr>
        <w:t xml:space="preserve"> </w:t>
      </w:r>
    </w:p>
    <w:p w14:paraId="64719241" w14:textId="6F2F00BC" w:rsidR="00A7393D" w:rsidRPr="00033280" w:rsidRDefault="00A7393D" w:rsidP="00346301">
      <w:pPr>
        <w:pStyle w:val="TOC1"/>
        <w:rPr>
          <w:rFonts w:asciiTheme="minorHAnsi" w:eastAsiaTheme="minorEastAsia" w:hAnsiTheme="minorHAnsi" w:cstheme="minorBidi"/>
          <w:i/>
          <w:iCs/>
          <w:kern w:val="2"/>
          <w:lang w:val="en-US" w:eastAsia="zh-CN"/>
          <w14:ligatures w14:val="standardContextual"/>
        </w:rPr>
      </w:pPr>
      <w:r>
        <w:fldChar w:fldCharType="begin"/>
      </w:r>
      <w:r>
        <w:instrText xml:space="preserve"> TOC \h \z \t "Heading 1,1,Heading 1 (long multiline),1,Heading 1 (multiline),1,decision,2" </w:instrText>
      </w:r>
      <w:r>
        <w:fldChar w:fldCharType="separate"/>
      </w:r>
      <w:r w:rsidR="00B6214D" w:rsidRPr="00033280">
        <w:rPr>
          <w:i/>
          <w:iCs/>
        </w:rPr>
        <w:t>Page</w:t>
      </w:r>
    </w:p>
    <w:p w14:paraId="75F6D428" w14:textId="20C1B448" w:rsidR="00A7393D" w:rsidRDefault="00A7393D" w:rsidP="00F241DC">
      <w:pPr>
        <w:pStyle w:val="TOC1"/>
        <w:rPr>
          <w:rFonts w:asciiTheme="minorHAnsi" w:eastAsiaTheme="minorEastAsia" w:hAnsiTheme="minorHAnsi" w:cstheme="minorBidi"/>
          <w:kern w:val="2"/>
          <w:lang w:val="en-US" w:eastAsia="zh-CN"/>
          <w14:ligatures w14:val="standardContextual"/>
        </w:rPr>
      </w:pPr>
      <w:hyperlink w:anchor="_Toc150761110" w:history="1">
        <w:r w:rsidRPr="00033280">
          <w:rPr>
            <w:rStyle w:val="Hyperlink"/>
            <w:sz w:val="22"/>
          </w:rPr>
          <w:t>I.</w:t>
        </w:r>
        <w:r w:rsidRPr="00033280">
          <w:rPr>
            <w:rFonts w:asciiTheme="minorHAnsi" w:eastAsiaTheme="minorEastAsia" w:hAnsiTheme="minorHAnsi" w:cstheme="minorBidi"/>
            <w:kern w:val="2"/>
            <w:lang w:val="en-US" w:eastAsia="zh-CN"/>
            <w14:ligatures w14:val="standardContextual"/>
          </w:rPr>
          <w:tab/>
        </w:r>
        <w:r w:rsidRPr="00033280">
          <w:rPr>
            <w:rStyle w:val="Hyperlink"/>
            <w:sz w:val="22"/>
          </w:rPr>
          <w:t>D</w:t>
        </w:r>
        <w:r w:rsidR="00AD4E99" w:rsidRPr="00033280">
          <w:rPr>
            <w:rStyle w:val="Hyperlink"/>
            <w:sz w:val="22"/>
          </w:rPr>
          <w:t xml:space="preserve">ecisions adopted by the Conference of the Parties to the </w:t>
        </w:r>
        <w:r w:rsidR="008521DB" w:rsidRPr="00033280">
          <w:rPr>
            <w:rStyle w:val="Hyperlink"/>
            <w:sz w:val="22"/>
          </w:rPr>
          <w:t>C</w:t>
        </w:r>
        <w:r w:rsidR="00AD4E99" w:rsidRPr="00033280">
          <w:rPr>
            <w:rStyle w:val="Hyperlink"/>
            <w:sz w:val="22"/>
          </w:rPr>
          <w:t>onvention</w:t>
        </w:r>
        <w:r w:rsidR="00F241DC" w:rsidRPr="00AE41A6">
          <w:rPr>
            <w:rStyle w:val="FootnoteReference"/>
          </w:rPr>
          <w:footnoteReference w:customMarkFollows="1" w:id="2"/>
          <w:t>*</w:t>
        </w:r>
        <w:r w:rsidRPr="00033280">
          <w:rPr>
            <w:webHidden/>
          </w:rPr>
          <w:tab/>
        </w:r>
        <w:r w:rsidRPr="00033280">
          <w:rPr>
            <w:webHidden/>
          </w:rPr>
          <w:fldChar w:fldCharType="begin"/>
        </w:r>
        <w:r w:rsidRPr="00033280">
          <w:rPr>
            <w:webHidden/>
          </w:rPr>
          <w:instrText xml:space="preserve"> PAGEREF _Toc150761110 \h </w:instrText>
        </w:r>
        <w:r w:rsidRPr="00033280">
          <w:rPr>
            <w:webHidden/>
          </w:rPr>
        </w:r>
        <w:r w:rsidRPr="00033280">
          <w:rPr>
            <w:webHidden/>
          </w:rPr>
          <w:fldChar w:fldCharType="separate"/>
        </w:r>
        <w:r w:rsidR="00B54ED0">
          <w:rPr>
            <w:webHidden/>
          </w:rPr>
          <w:t>3</w:t>
        </w:r>
        <w:r w:rsidRPr="00033280">
          <w:rPr>
            <w:webHidden/>
          </w:rPr>
          <w:fldChar w:fldCharType="end"/>
        </w:r>
      </w:hyperlink>
      <w:hyperlink w:anchor="_Toc150761111" w:history="1"/>
    </w:p>
    <w:p w14:paraId="1935F3C0" w14:textId="672DD6A0"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12" w:history="1">
        <w:r w:rsidRPr="000D6BED">
          <w:rPr>
            <w:rStyle w:val="Hyperlink"/>
            <w:lang w:val="en-US"/>
          </w:rPr>
          <w:t>15/2.</w:t>
        </w:r>
        <w:r>
          <w:rPr>
            <w:rFonts w:asciiTheme="minorHAnsi" w:eastAsiaTheme="minorEastAsia" w:hAnsiTheme="minorHAnsi" w:cstheme="minorBidi"/>
            <w:kern w:val="2"/>
            <w:lang w:val="en-US" w:eastAsia="zh-CN"/>
            <w14:ligatures w14:val="standardContextual"/>
          </w:rPr>
          <w:tab/>
        </w:r>
        <w:r w:rsidRPr="000D6BED">
          <w:rPr>
            <w:rStyle w:val="Hyperlink"/>
            <w:lang w:val="en-US"/>
          </w:rPr>
          <w:t>Informing the scientific and technical evidence base for the Kunming-Montreal Global Biodiversity Framework</w:t>
        </w:r>
        <w:r>
          <w:rPr>
            <w:webHidden/>
          </w:rPr>
          <w:tab/>
        </w:r>
        <w:r>
          <w:rPr>
            <w:webHidden/>
          </w:rPr>
          <w:fldChar w:fldCharType="begin"/>
        </w:r>
        <w:r>
          <w:rPr>
            <w:webHidden/>
          </w:rPr>
          <w:instrText xml:space="preserve"> PAGEREF _Toc150761112 \h </w:instrText>
        </w:r>
        <w:r>
          <w:rPr>
            <w:webHidden/>
          </w:rPr>
        </w:r>
        <w:r>
          <w:rPr>
            <w:webHidden/>
          </w:rPr>
          <w:fldChar w:fldCharType="separate"/>
        </w:r>
        <w:r w:rsidR="00B54ED0">
          <w:rPr>
            <w:webHidden/>
          </w:rPr>
          <w:t>3</w:t>
        </w:r>
        <w:r>
          <w:rPr>
            <w:webHidden/>
          </w:rPr>
          <w:fldChar w:fldCharType="end"/>
        </w:r>
      </w:hyperlink>
    </w:p>
    <w:p w14:paraId="45D4D1E9" w14:textId="7826859E"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13" w:history="1">
        <w:r w:rsidRPr="000D6BED">
          <w:rPr>
            <w:rStyle w:val="Hyperlink"/>
            <w:lang w:val="en-US"/>
          </w:rPr>
          <w:t>15/3.</w:t>
        </w:r>
        <w:r>
          <w:rPr>
            <w:rFonts w:asciiTheme="minorHAnsi" w:eastAsiaTheme="minorEastAsia" w:hAnsiTheme="minorHAnsi" w:cstheme="minorBidi"/>
            <w:kern w:val="2"/>
            <w:lang w:val="en-US" w:eastAsia="zh-CN"/>
            <w14:ligatures w14:val="standardContextual"/>
          </w:rPr>
          <w:tab/>
        </w:r>
        <w:r w:rsidRPr="000D6BED">
          <w:rPr>
            <w:rStyle w:val="Hyperlink"/>
            <w:lang w:val="en-US"/>
          </w:rPr>
          <w:t>Review of progress in the implementation of the Convention and the Strategic Plan for Biodiversity 2011</w:t>
        </w:r>
        <w:r w:rsidR="00E92A54">
          <w:rPr>
            <w:rStyle w:val="Hyperlink"/>
            <w:lang w:val="en-US"/>
          </w:rPr>
          <w:t>–</w:t>
        </w:r>
        <w:r w:rsidRPr="000D6BED">
          <w:rPr>
            <w:rStyle w:val="Hyperlink"/>
            <w:lang w:val="en-US"/>
          </w:rPr>
          <w:t>2020 and the achievement of the Aichi Biodiversity Targets</w:t>
        </w:r>
        <w:r>
          <w:rPr>
            <w:webHidden/>
          </w:rPr>
          <w:tab/>
        </w:r>
        <w:r>
          <w:rPr>
            <w:webHidden/>
          </w:rPr>
          <w:fldChar w:fldCharType="begin"/>
        </w:r>
        <w:r>
          <w:rPr>
            <w:webHidden/>
          </w:rPr>
          <w:instrText xml:space="preserve"> PAGEREF _Toc150761113 \h </w:instrText>
        </w:r>
        <w:r>
          <w:rPr>
            <w:webHidden/>
          </w:rPr>
        </w:r>
        <w:r>
          <w:rPr>
            <w:webHidden/>
          </w:rPr>
          <w:fldChar w:fldCharType="separate"/>
        </w:r>
        <w:r w:rsidR="00B54ED0">
          <w:rPr>
            <w:webHidden/>
          </w:rPr>
          <w:t>5</w:t>
        </w:r>
        <w:r>
          <w:rPr>
            <w:webHidden/>
          </w:rPr>
          <w:fldChar w:fldCharType="end"/>
        </w:r>
      </w:hyperlink>
    </w:p>
    <w:p w14:paraId="1085A439" w14:textId="67B44CCC"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14" w:history="1">
        <w:r w:rsidRPr="000D6BED">
          <w:rPr>
            <w:rStyle w:val="Hyperlink"/>
          </w:rPr>
          <w:t>15/4.</w:t>
        </w:r>
        <w:r>
          <w:rPr>
            <w:rFonts w:asciiTheme="minorHAnsi" w:eastAsiaTheme="minorEastAsia" w:hAnsiTheme="minorHAnsi" w:cstheme="minorBidi"/>
            <w:kern w:val="2"/>
            <w:lang w:val="en-US" w:eastAsia="zh-CN"/>
            <w14:ligatures w14:val="standardContextual"/>
          </w:rPr>
          <w:tab/>
        </w:r>
        <w:r w:rsidRPr="000D6BED">
          <w:rPr>
            <w:rStyle w:val="Hyperlink"/>
          </w:rPr>
          <w:t>Kunming-Montreal Global Biodiversity Framework</w:t>
        </w:r>
        <w:r>
          <w:rPr>
            <w:webHidden/>
          </w:rPr>
          <w:tab/>
        </w:r>
        <w:r>
          <w:rPr>
            <w:webHidden/>
          </w:rPr>
          <w:fldChar w:fldCharType="begin"/>
        </w:r>
        <w:r>
          <w:rPr>
            <w:webHidden/>
          </w:rPr>
          <w:instrText xml:space="preserve"> PAGEREF _Toc150761114 \h </w:instrText>
        </w:r>
        <w:r>
          <w:rPr>
            <w:webHidden/>
          </w:rPr>
        </w:r>
        <w:r>
          <w:rPr>
            <w:webHidden/>
          </w:rPr>
          <w:fldChar w:fldCharType="separate"/>
        </w:r>
        <w:r w:rsidR="00B54ED0">
          <w:rPr>
            <w:webHidden/>
          </w:rPr>
          <w:t>7</w:t>
        </w:r>
        <w:r>
          <w:rPr>
            <w:webHidden/>
          </w:rPr>
          <w:fldChar w:fldCharType="end"/>
        </w:r>
      </w:hyperlink>
    </w:p>
    <w:p w14:paraId="71F9EA9B" w14:textId="2C619A76"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15" w:history="1">
        <w:r w:rsidRPr="000D6BED">
          <w:rPr>
            <w:rStyle w:val="Hyperlink"/>
          </w:rPr>
          <w:t>15/5.</w:t>
        </w:r>
        <w:r>
          <w:rPr>
            <w:rFonts w:asciiTheme="minorHAnsi" w:eastAsiaTheme="minorEastAsia" w:hAnsiTheme="minorHAnsi" w:cstheme="minorBidi"/>
            <w:kern w:val="2"/>
            <w:lang w:val="en-US" w:eastAsia="zh-CN"/>
            <w14:ligatures w14:val="standardContextual"/>
          </w:rPr>
          <w:tab/>
        </w:r>
        <w:r w:rsidRPr="000D6BED">
          <w:rPr>
            <w:rStyle w:val="Hyperlink"/>
          </w:rPr>
          <w:t>Monitoring framework for the Kunming-Montreal Global Biodiversity Framework</w:t>
        </w:r>
        <w:r>
          <w:rPr>
            <w:webHidden/>
          </w:rPr>
          <w:tab/>
        </w:r>
        <w:r>
          <w:rPr>
            <w:webHidden/>
          </w:rPr>
          <w:fldChar w:fldCharType="begin"/>
        </w:r>
        <w:r>
          <w:rPr>
            <w:webHidden/>
          </w:rPr>
          <w:instrText xml:space="preserve"> PAGEREF _Toc150761115 \h </w:instrText>
        </w:r>
        <w:r>
          <w:rPr>
            <w:webHidden/>
          </w:rPr>
        </w:r>
        <w:r>
          <w:rPr>
            <w:webHidden/>
          </w:rPr>
          <w:fldChar w:fldCharType="separate"/>
        </w:r>
        <w:r w:rsidR="00B54ED0">
          <w:rPr>
            <w:webHidden/>
          </w:rPr>
          <w:t>20</w:t>
        </w:r>
        <w:r>
          <w:rPr>
            <w:webHidden/>
          </w:rPr>
          <w:fldChar w:fldCharType="end"/>
        </w:r>
      </w:hyperlink>
    </w:p>
    <w:p w14:paraId="1BAA3C97" w14:textId="4AF70119"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16" w:history="1">
        <w:r w:rsidRPr="000D6BED">
          <w:rPr>
            <w:rStyle w:val="Hyperlink"/>
          </w:rPr>
          <w:t>15/6.</w:t>
        </w:r>
        <w:r>
          <w:rPr>
            <w:rFonts w:asciiTheme="minorHAnsi" w:eastAsiaTheme="minorEastAsia" w:hAnsiTheme="minorHAnsi" w:cstheme="minorBidi"/>
            <w:kern w:val="2"/>
            <w:lang w:val="en-US" w:eastAsia="zh-CN"/>
            <w14:ligatures w14:val="standardContextual"/>
          </w:rPr>
          <w:tab/>
        </w:r>
        <w:r w:rsidRPr="000D6BED">
          <w:rPr>
            <w:rStyle w:val="Hyperlink"/>
          </w:rPr>
          <w:t>Mechanisms for planning, monitoring, reporting and review</w:t>
        </w:r>
        <w:r>
          <w:rPr>
            <w:webHidden/>
          </w:rPr>
          <w:tab/>
        </w:r>
        <w:r>
          <w:rPr>
            <w:webHidden/>
          </w:rPr>
          <w:fldChar w:fldCharType="begin"/>
        </w:r>
        <w:r>
          <w:rPr>
            <w:webHidden/>
          </w:rPr>
          <w:instrText xml:space="preserve"> PAGEREF _Toc150761116 \h </w:instrText>
        </w:r>
        <w:r>
          <w:rPr>
            <w:webHidden/>
          </w:rPr>
        </w:r>
        <w:r>
          <w:rPr>
            <w:webHidden/>
          </w:rPr>
          <w:fldChar w:fldCharType="separate"/>
        </w:r>
        <w:r w:rsidR="00B54ED0">
          <w:rPr>
            <w:webHidden/>
          </w:rPr>
          <w:t>46</w:t>
        </w:r>
        <w:r>
          <w:rPr>
            <w:webHidden/>
          </w:rPr>
          <w:fldChar w:fldCharType="end"/>
        </w:r>
      </w:hyperlink>
    </w:p>
    <w:p w14:paraId="6CE31F21" w14:textId="5DC4ACC9"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17" w:history="1">
        <w:r w:rsidRPr="000D6BED">
          <w:rPr>
            <w:rStyle w:val="Hyperlink"/>
            <w:snapToGrid w:val="0"/>
          </w:rPr>
          <w:t>15/7.</w:t>
        </w:r>
        <w:r>
          <w:rPr>
            <w:rFonts w:asciiTheme="minorHAnsi" w:eastAsiaTheme="minorEastAsia" w:hAnsiTheme="minorHAnsi" w:cstheme="minorBidi"/>
            <w:kern w:val="2"/>
            <w:lang w:val="en-US" w:eastAsia="zh-CN"/>
            <w14:ligatures w14:val="standardContextual"/>
          </w:rPr>
          <w:tab/>
        </w:r>
        <w:r w:rsidRPr="000D6BED">
          <w:rPr>
            <w:rStyle w:val="Hyperlink"/>
            <w:snapToGrid w:val="0"/>
          </w:rPr>
          <w:t>Resource mobilization</w:t>
        </w:r>
        <w:r>
          <w:rPr>
            <w:webHidden/>
          </w:rPr>
          <w:tab/>
        </w:r>
        <w:r>
          <w:rPr>
            <w:webHidden/>
          </w:rPr>
          <w:fldChar w:fldCharType="begin"/>
        </w:r>
        <w:r>
          <w:rPr>
            <w:webHidden/>
          </w:rPr>
          <w:instrText xml:space="preserve"> PAGEREF _Toc150761117 \h </w:instrText>
        </w:r>
        <w:r>
          <w:rPr>
            <w:webHidden/>
          </w:rPr>
        </w:r>
        <w:r>
          <w:rPr>
            <w:webHidden/>
          </w:rPr>
          <w:fldChar w:fldCharType="separate"/>
        </w:r>
        <w:r w:rsidR="00B54ED0">
          <w:rPr>
            <w:webHidden/>
          </w:rPr>
          <w:t>62</w:t>
        </w:r>
        <w:r>
          <w:rPr>
            <w:webHidden/>
          </w:rPr>
          <w:fldChar w:fldCharType="end"/>
        </w:r>
      </w:hyperlink>
    </w:p>
    <w:p w14:paraId="602E309E" w14:textId="00E43A5B"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18" w:history="1">
        <w:r w:rsidRPr="000D6BED">
          <w:rPr>
            <w:rStyle w:val="Hyperlink"/>
          </w:rPr>
          <w:t>15/8.</w:t>
        </w:r>
        <w:r>
          <w:rPr>
            <w:rFonts w:asciiTheme="minorHAnsi" w:eastAsiaTheme="minorEastAsia" w:hAnsiTheme="minorHAnsi" w:cstheme="minorBidi"/>
            <w:kern w:val="2"/>
            <w:lang w:val="en-US" w:eastAsia="zh-CN"/>
            <w14:ligatures w14:val="standardContextual"/>
          </w:rPr>
          <w:tab/>
        </w:r>
        <w:r w:rsidRPr="000D6BED">
          <w:rPr>
            <w:rStyle w:val="Hyperlink"/>
          </w:rPr>
          <w:t>Capacity-building and development and technical and scientific cooperation</w:t>
        </w:r>
        <w:r>
          <w:rPr>
            <w:webHidden/>
          </w:rPr>
          <w:tab/>
        </w:r>
        <w:r>
          <w:rPr>
            <w:webHidden/>
          </w:rPr>
          <w:fldChar w:fldCharType="begin"/>
        </w:r>
        <w:r>
          <w:rPr>
            <w:webHidden/>
          </w:rPr>
          <w:instrText xml:space="preserve"> PAGEREF _Toc150761118 \h </w:instrText>
        </w:r>
        <w:r>
          <w:rPr>
            <w:webHidden/>
          </w:rPr>
        </w:r>
        <w:r>
          <w:rPr>
            <w:webHidden/>
          </w:rPr>
          <w:fldChar w:fldCharType="separate"/>
        </w:r>
        <w:r w:rsidR="00B54ED0">
          <w:rPr>
            <w:webHidden/>
          </w:rPr>
          <w:t>74</w:t>
        </w:r>
        <w:r>
          <w:rPr>
            <w:webHidden/>
          </w:rPr>
          <w:fldChar w:fldCharType="end"/>
        </w:r>
      </w:hyperlink>
    </w:p>
    <w:p w14:paraId="670C1282" w14:textId="53A28B24"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19" w:history="1">
        <w:r w:rsidRPr="000D6BED">
          <w:rPr>
            <w:rStyle w:val="Hyperlink"/>
          </w:rPr>
          <w:t>15/9.</w:t>
        </w:r>
        <w:r>
          <w:rPr>
            <w:rFonts w:asciiTheme="minorHAnsi" w:eastAsiaTheme="minorEastAsia" w:hAnsiTheme="minorHAnsi" w:cstheme="minorBidi"/>
            <w:kern w:val="2"/>
            <w:lang w:val="en-US" w:eastAsia="zh-CN"/>
            <w14:ligatures w14:val="standardContextual"/>
          </w:rPr>
          <w:tab/>
        </w:r>
        <w:r w:rsidRPr="000D6BED">
          <w:rPr>
            <w:rStyle w:val="Hyperlink"/>
          </w:rPr>
          <w:t>Digital sequence information on genetic resources</w:t>
        </w:r>
        <w:r>
          <w:rPr>
            <w:webHidden/>
          </w:rPr>
          <w:tab/>
        </w:r>
        <w:r>
          <w:rPr>
            <w:webHidden/>
          </w:rPr>
          <w:fldChar w:fldCharType="begin"/>
        </w:r>
        <w:r>
          <w:rPr>
            <w:webHidden/>
          </w:rPr>
          <w:instrText xml:space="preserve"> PAGEREF _Toc150761119 \h </w:instrText>
        </w:r>
        <w:r>
          <w:rPr>
            <w:webHidden/>
          </w:rPr>
        </w:r>
        <w:r>
          <w:rPr>
            <w:webHidden/>
          </w:rPr>
          <w:fldChar w:fldCharType="separate"/>
        </w:r>
        <w:r w:rsidR="00B54ED0">
          <w:rPr>
            <w:webHidden/>
          </w:rPr>
          <w:t>94</w:t>
        </w:r>
        <w:r>
          <w:rPr>
            <w:webHidden/>
          </w:rPr>
          <w:fldChar w:fldCharType="end"/>
        </w:r>
      </w:hyperlink>
    </w:p>
    <w:p w14:paraId="552F01C2" w14:textId="083C9B49"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20" w:history="1">
        <w:r w:rsidRPr="000D6BED">
          <w:rPr>
            <w:rStyle w:val="Hyperlink"/>
          </w:rPr>
          <w:t>15/10.</w:t>
        </w:r>
        <w:r>
          <w:rPr>
            <w:rFonts w:asciiTheme="minorHAnsi" w:eastAsiaTheme="minorEastAsia" w:hAnsiTheme="minorHAnsi" w:cstheme="minorBidi"/>
            <w:kern w:val="2"/>
            <w:lang w:val="en-US" w:eastAsia="zh-CN"/>
            <w14:ligatures w14:val="standardContextual"/>
          </w:rPr>
          <w:tab/>
        </w:r>
        <w:r w:rsidRPr="000D6BED">
          <w:rPr>
            <w:rStyle w:val="Hyperlink"/>
          </w:rPr>
          <w:t>Development of a new programme of work and institutional arrangements on Article 8(j) and other provisions of the Convention related to indigenous peoples and local communities</w:t>
        </w:r>
        <w:r>
          <w:rPr>
            <w:webHidden/>
          </w:rPr>
          <w:tab/>
        </w:r>
        <w:r>
          <w:rPr>
            <w:webHidden/>
          </w:rPr>
          <w:fldChar w:fldCharType="begin"/>
        </w:r>
        <w:r>
          <w:rPr>
            <w:webHidden/>
          </w:rPr>
          <w:instrText xml:space="preserve"> PAGEREF _Toc150761120 \h </w:instrText>
        </w:r>
        <w:r>
          <w:rPr>
            <w:webHidden/>
          </w:rPr>
        </w:r>
        <w:r>
          <w:rPr>
            <w:webHidden/>
          </w:rPr>
          <w:fldChar w:fldCharType="separate"/>
        </w:r>
        <w:r w:rsidR="00B54ED0">
          <w:rPr>
            <w:webHidden/>
          </w:rPr>
          <w:t>99</w:t>
        </w:r>
        <w:r>
          <w:rPr>
            <w:webHidden/>
          </w:rPr>
          <w:fldChar w:fldCharType="end"/>
        </w:r>
      </w:hyperlink>
    </w:p>
    <w:p w14:paraId="076344F9" w14:textId="5078ACE0"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21" w:history="1">
        <w:r w:rsidRPr="000D6BED">
          <w:rPr>
            <w:rStyle w:val="Hyperlink"/>
          </w:rPr>
          <w:t>15/11.</w:t>
        </w:r>
        <w:r>
          <w:rPr>
            <w:rFonts w:asciiTheme="minorHAnsi" w:eastAsiaTheme="minorEastAsia" w:hAnsiTheme="minorHAnsi" w:cstheme="minorBidi"/>
            <w:kern w:val="2"/>
            <w:lang w:val="en-US" w:eastAsia="zh-CN"/>
            <w14:ligatures w14:val="standardContextual"/>
          </w:rPr>
          <w:tab/>
        </w:r>
        <w:r w:rsidRPr="000D6BED">
          <w:rPr>
            <w:rStyle w:val="Hyperlink"/>
          </w:rPr>
          <w:t>Gender Plan of Action</w:t>
        </w:r>
        <w:r>
          <w:rPr>
            <w:webHidden/>
          </w:rPr>
          <w:tab/>
        </w:r>
        <w:r>
          <w:rPr>
            <w:webHidden/>
          </w:rPr>
          <w:fldChar w:fldCharType="begin"/>
        </w:r>
        <w:r>
          <w:rPr>
            <w:webHidden/>
          </w:rPr>
          <w:instrText xml:space="preserve"> PAGEREF _Toc150761121 \h </w:instrText>
        </w:r>
        <w:r>
          <w:rPr>
            <w:webHidden/>
          </w:rPr>
        </w:r>
        <w:r>
          <w:rPr>
            <w:webHidden/>
          </w:rPr>
          <w:fldChar w:fldCharType="separate"/>
        </w:r>
        <w:r w:rsidR="00B54ED0">
          <w:rPr>
            <w:webHidden/>
          </w:rPr>
          <w:t>107</w:t>
        </w:r>
        <w:r>
          <w:rPr>
            <w:webHidden/>
          </w:rPr>
          <w:fldChar w:fldCharType="end"/>
        </w:r>
      </w:hyperlink>
    </w:p>
    <w:p w14:paraId="0659C19A" w14:textId="7B4C5B18"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22" w:history="1">
        <w:r w:rsidRPr="000D6BED">
          <w:rPr>
            <w:rStyle w:val="Hyperlink"/>
          </w:rPr>
          <w:t>15/12.</w:t>
        </w:r>
        <w:r>
          <w:rPr>
            <w:rFonts w:asciiTheme="minorHAnsi" w:eastAsiaTheme="minorEastAsia" w:hAnsiTheme="minorHAnsi" w:cstheme="minorBidi"/>
            <w:kern w:val="2"/>
            <w:lang w:val="en-US" w:eastAsia="zh-CN"/>
            <w14:ligatures w14:val="standardContextual"/>
          </w:rPr>
          <w:tab/>
        </w:r>
        <w:r w:rsidRPr="000D6BED">
          <w:rPr>
            <w:rStyle w:val="Hyperlink"/>
          </w:rPr>
          <w:t>Engagement with subnational governments, cities and other local authorities to enhance implementation of the Kunming-Montreal Global Biodiversity Framework</w:t>
        </w:r>
        <w:r>
          <w:rPr>
            <w:webHidden/>
          </w:rPr>
          <w:tab/>
        </w:r>
        <w:r>
          <w:rPr>
            <w:webHidden/>
          </w:rPr>
          <w:fldChar w:fldCharType="begin"/>
        </w:r>
        <w:r>
          <w:rPr>
            <w:webHidden/>
          </w:rPr>
          <w:instrText xml:space="preserve"> PAGEREF _Toc150761122 \h </w:instrText>
        </w:r>
        <w:r>
          <w:rPr>
            <w:webHidden/>
          </w:rPr>
        </w:r>
        <w:r>
          <w:rPr>
            <w:webHidden/>
          </w:rPr>
          <w:fldChar w:fldCharType="separate"/>
        </w:r>
        <w:r w:rsidR="00B54ED0">
          <w:rPr>
            <w:webHidden/>
          </w:rPr>
          <w:t>118</w:t>
        </w:r>
        <w:r>
          <w:rPr>
            <w:webHidden/>
          </w:rPr>
          <w:fldChar w:fldCharType="end"/>
        </w:r>
      </w:hyperlink>
    </w:p>
    <w:p w14:paraId="3C64ECD0" w14:textId="78A22939"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23" w:history="1">
        <w:r w:rsidRPr="000D6BED">
          <w:rPr>
            <w:rStyle w:val="Hyperlink"/>
          </w:rPr>
          <w:t>15/13.</w:t>
        </w:r>
        <w:r>
          <w:rPr>
            <w:rFonts w:asciiTheme="minorHAnsi" w:eastAsiaTheme="minorEastAsia" w:hAnsiTheme="minorHAnsi" w:cstheme="minorBidi"/>
            <w:kern w:val="2"/>
            <w:lang w:val="en-US" w:eastAsia="zh-CN"/>
            <w14:ligatures w14:val="standardContextual"/>
          </w:rPr>
          <w:tab/>
        </w:r>
        <w:r w:rsidRPr="000D6BED">
          <w:rPr>
            <w:rStyle w:val="Hyperlink"/>
          </w:rPr>
          <w:t>Cooperation with other conventions and international organizations</w:t>
        </w:r>
        <w:r>
          <w:rPr>
            <w:webHidden/>
          </w:rPr>
          <w:tab/>
        </w:r>
        <w:r>
          <w:rPr>
            <w:webHidden/>
          </w:rPr>
          <w:fldChar w:fldCharType="begin"/>
        </w:r>
        <w:r>
          <w:rPr>
            <w:webHidden/>
          </w:rPr>
          <w:instrText xml:space="preserve"> PAGEREF _Toc150761123 \h </w:instrText>
        </w:r>
        <w:r>
          <w:rPr>
            <w:webHidden/>
          </w:rPr>
        </w:r>
        <w:r>
          <w:rPr>
            <w:webHidden/>
          </w:rPr>
          <w:fldChar w:fldCharType="separate"/>
        </w:r>
        <w:r w:rsidR="00B54ED0">
          <w:rPr>
            <w:webHidden/>
          </w:rPr>
          <w:t>123</w:t>
        </w:r>
        <w:r>
          <w:rPr>
            <w:webHidden/>
          </w:rPr>
          <w:fldChar w:fldCharType="end"/>
        </w:r>
      </w:hyperlink>
    </w:p>
    <w:p w14:paraId="06DDC66D" w14:textId="27BA95FD"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24" w:history="1">
        <w:r w:rsidRPr="000D6BED">
          <w:rPr>
            <w:rStyle w:val="Hyperlink"/>
          </w:rPr>
          <w:t>15/14.</w:t>
        </w:r>
        <w:r>
          <w:rPr>
            <w:rFonts w:asciiTheme="minorHAnsi" w:eastAsiaTheme="minorEastAsia" w:hAnsiTheme="minorHAnsi" w:cstheme="minorBidi"/>
            <w:kern w:val="2"/>
            <w:lang w:val="en-US" w:eastAsia="zh-CN"/>
            <w14:ligatures w14:val="standardContextual"/>
          </w:rPr>
          <w:tab/>
        </w:r>
        <w:r w:rsidRPr="000D6BED">
          <w:rPr>
            <w:rStyle w:val="Hyperlink"/>
          </w:rPr>
          <w:t>Communication</w:t>
        </w:r>
        <w:r>
          <w:rPr>
            <w:webHidden/>
          </w:rPr>
          <w:tab/>
        </w:r>
        <w:r>
          <w:rPr>
            <w:webHidden/>
          </w:rPr>
          <w:fldChar w:fldCharType="begin"/>
        </w:r>
        <w:r>
          <w:rPr>
            <w:webHidden/>
          </w:rPr>
          <w:instrText xml:space="preserve"> PAGEREF _Toc150761124 \h </w:instrText>
        </w:r>
        <w:r>
          <w:rPr>
            <w:webHidden/>
          </w:rPr>
        </w:r>
        <w:r>
          <w:rPr>
            <w:webHidden/>
          </w:rPr>
          <w:fldChar w:fldCharType="separate"/>
        </w:r>
        <w:r w:rsidR="00B54ED0">
          <w:rPr>
            <w:webHidden/>
          </w:rPr>
          <w:t>127</w:t>
        </w:r>
        <w:r>
          <w:rPr>
            <w:webHidden/>
          </w:rPr>
          <w:fldChar w:fldCharType="end"/>
        </w:r>
      </w:hyperlink>
    </w:p>
    <w:p w14:paraId="0511F56E" w14:textId="1CEAD42A"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25" w:history="1">
        <w:r w:rsidRPr="000D6BED">
          <w:rPr>
            <w:rStyle w:val="Hyperlink"/>
          </w:rPr>
          <w:t>15/15.</w:t>
        </w:r>
        <w:r>
          <w:rPr>
            <w:rFonts w:asciiTheme="minorHAnsi" w:eastAsiaTheme="minorEastAsia" w:hAnsiTheme="minorHAnsi" w:cstheme="minorBidi"/>
            <w:kern w:val="2"/>
            <w:lang w:val="en-US" w:eastAsia="zh-CN"/>
            <w14:ligatures w14:val="standardContextual"/>
          </w:rPr>
          <w:tab/>
        </w:r>
        <w:r w:rsidRPr="000D6BED">
          <w:rPr>
            <w:rStyle w:val="Hyperlink"/>
          </w:rPr>
          <w:t>Financial mechanism</w:t>
        </w:r>
        <w:r>
          <w:rPr>
            <w:webHidden/>
          </w:rPr>
          <w:tab/>
        </w:r>
        <w:r>
          <w:rPr>
            <w:webHidden/>
          </w:rPr>
          <w:fldChar w:fldCharType="begin"/>
        </w:r>
        <w:r>
          <w:rPr>
            <w:webHidden/>
          </w:rPr>
          <w:instrText xml:space="preserve"> PAGEREF _Toc150761125 \h </w:instrText>
        </w:r>
        <w:r>
          <w:rPr>
            <w:webHidden/>
          </w:rPr>
        </w:r>
        <w:r>
          <w:rPr>
            <w:webHidden/>
          </w:rPr>
          <w:fldChar w:fldCharType="separate"/>
        </w:r>
        <w:r w:rsidR="00B54ED0">
          <w:rPr>
            <w:webHidden/>
          </w:rPr>
          <w:t>144</w:t>
        </w:r>
        <w:r>
          <w:rPr>
            <w:webHidden/>
          </w:rPr>
          <w:fldChar w:fldCharType="end"/>
        </w:r>
      </w:hyperlink>
    </w:p>
    <w:p w14:paraId="1D01286C" w14:textId="0273CECA"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26" w:history="1">
        <w:r w:rsidRPr="000D6BED">
          <w:rPr>
            <w:rStyle w:val="Hyperlink"/>
            <w:snapToGrid w:val="0"/>
          </w:rPr>
          <w:t>15/16.</w:t>
        </w:r>
        <w:r>
          <w:rPr>
            <w:rFonts w:asciiTheme="minorHAnsi" w:eastAsiaTheme="minorEastAsia" w:hAnsiTheme="minorHAnsi" w:cstheme="minorBidi"/>
            <w:kern w:val="2"/>
            <w:lang w:val="en-US" w:eastAsia="zh-CN"/>
            <w14:ligatures w14:val="standardContextual"/>
          </w:rPr>
          <w:tab/>
        </w:r>
        <w:r w:rsidRPr="000D6BED">
          <w:rPr>
            <w:rStyle w:val="Hyperlink"/>
            <w:snapToGrid w:val="0"/>
          </w:rPr>
          <w:t>Knowledge management and the clearing-house mechanism</w:t>
        </w:r>
        <w:r>
          <w:rPr>
            <w:webHidden/>
          </w:rPr>
          <w:tab/>
        </w:r>
        <w:r>
          <w:rPr>
            <w:webHidden/>
          </w:rPr>
          <w:fldChar w:fldCharType="begin"/>
        </w:r>
        <w:r>
          <w:rPr>
            <w:webHidden/>
          </w:rPr>
          <w:instrText xml:space="preserve"> PAGEREF _Toc150761126 \h </w:instrText>
        </w:r>
        <w:r>
          <w:rPr>
            <w:webHidden/>
          </w:rPr>
        </w:r>
        <w:r>
          <w:rPr>
            <w:webHidden/>
          </w:rPr>
          <w:fldChar w:fldCharType="separate"/>
        </w:r>
        <w:r w:rsidR="00B54ED0">
          <w:rPr>
            <w:webHidden/>
          </w:rPr>
          <w:t>171</w:t>
        </w:r>
        <w:r>
          <w:rPr>
            <w:webHidden/>
          </w:rPr>
          <w:fldChar w:fldCharType="end"/>
        </w:r>
      </w:hyperlink>
    </w:p>
    <w:p w14:paraId="50787832" w14:textId="7AB3478A"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27" w:history="1">
        <w:r w:rsidRPr="000D6BED">
          <w:rPr>
            <w:rStyle w:val="Hyperlink"/>
          </w:rPr>
          <w:t>15/17.</w:t>
        </w:r>
        <w:r>
          <w:rPr>
            <w:rFonts w:asciiTheme="minorHAnsi" w:eastAsiaTheme="minorEastAsia" w:hAnsiTheme="minorHAnsi" w:cstheme="minorBidi"/>
            <w:kern w:val="2"/>
            <w:lang w:val="en-US" w:eastAsia="zh-CN"/>
            <w14:ligatures w14:val="standardContextual"/>
          </w:rPr>
          <w:tab/>
        </w:r>
        <w:r w:rsidRPr="000D6BED">
          <w:rPr>
            <w:rStyle w:val="Hyperlink"/>
          </w:rPr>
          <w:t>Long-term strategic approach to mainstreaming biodiversity within and across sectors</w:t>
        </w:r>
        <w:r>
          <w:rPr>
            <w:webHidden/>
          </w:rPr>
          <w:tab/>
        </w:r>
        <w:r>
          <w:rPr>
            <w:webHidden/>
          </w:rPr>
          <w:fldChar w:fldCharType="begin"/>
        </w:r>
        <w:r>
          <w:rPr>
            <w:webHidden/>
          </w:rPr>
          <w:instrText xml:space="preserve"> PAGEREF _Toc150761127 \h </w:instrText>
        </w:r>
        <w:r>
          <w:rPr>
            <w:webHidden/>
          </w:rPr>
        </w:r>
        <w:r>
          <w:rPr>
            <w:webHidden/>
          </w:rPr>
          <w:fldChar w:fldCharType="separate"/>
        </w:r>
        <w:r w:rsidR="00B54ED0">
          <w:rPr>
            <w:webHidden/>
          </w:rPr>
          <w:t>174</w:t>
        </w:r>
        <w:r>
          <w:rPr>
            <w:webHidden/>
          </w:rPr>
          <w:fldChar w:fldCharType="end"/>
        </w:r>
      </w:hyperlink>
    </w:p>
    <w:p w14:paraId="38A80283" w14:textId="1F15E410"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28" w:history="1">
        <w:r w:rsidRPr="000D6BED">
          <w:rPr>
            <w:rStyle w:val="Hyperlink"/>
          </w:rPr>
          <w:t>15/18.</w:t>
        </w:r>
        <w:r>
          <w:rPr>
            <w:rFonts w:asciiTheme="minorHAnsi" w:eastAsiaTheme="minorEastAsia" w:hAnsiTheme="minorHAnsi" w:cstheme="minorBidi"/>
            <w:kern w:val="2"/>
            <w:lang w:val="en-US" w:eastAsia="zh-CN"/>
            <w14:ligatures w14:val="standardContextual"/>
          </w:rPr>
          <w:tab/>
        </w:r>
        <w:r w:rsidRPr="000D6BED">
          <w:rPr>
            <w:rStyle w:val="Hyperlink"/>
          </w:rPr>
          <w:t>Review of the effectiveness of processes under the Convention and its Protocols</w:t>
        </w:r>
        <w:r>
          <w:rPr>
            <w:webHidden/>
          </w:rPr>
          <w:tab/>
        </w:r>
        <w:r>
          <w:rPr>
            <w:webHidden/>
          </w:rPr>
          <w:fldChar w:fldCharType="begin"/>
        </w:r>
        <w:r>
          <w:rPr>
            <w:webHidden/>
          </w:rPr>
          <w:instrText xml:space="preserve"> PAGEREF _Toc150761128 \h </w:instrText>
        </w:r>
        <w:r>
          <w:rPr>
            <w:webHidden/>
          </w:rPr>
        </w:r>
        <w:r>
          <w:rPr>
            <w:webHidden/>
          </w:rPr>
          <w:fldChar w:fldCharType="separate"/>
        </w:r>
        <w:r w:rsidR="00B54ED0">
          <w:rPr>
            <w:webHidden/>
          </w:rPr>
          <w:t>175</w:t>
        </w:r>
        <w:r>
          <w:rPr>
            <w:webHidden/>
          </w:rPr>
          <w:fldChar w:fldCharType="end"/>
        </w:r>
      </w:hyperlink>
    </w:p>
    <w:p w14:paraId="20752818" w14:textId="5A7AA54E"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29" w:history="1">
        <w:r w:rsidRPr="000D6BED">
          <w:rPr>
            <w:rStyle w:val="Hyperlink"/>
          </w:rPr>
          <w:t>15/19.</w:t>
        </w:r>
        <w:r>
          <w:rPr>
            <w:rFonts w:asciiTheme="minorHAnsi" w:eastAsiaTheme="minorEastAsia" w:hAnsiTheme="minorHAnsi" w:cstheme="minorBidi"/>
            <w:kern w:val="2"/>
            <w:lang w:val="en-US" w:eastAsia="zh-CN"/>
            <w14:ligatures w14:val="standardContextual"/>
          </w:rPr>
          <w:tab/>
        </w:r>
        <w:r w:rsidRPr="000D6BED">
          <w:rPr>
            <w:rStyle w:val="Hyperlink"/>
          </w:rPr>
          <w:t>Programme of work of the Intergovernmental Science-Policy Platform on Biodiversity and Ecosystem Services</w:t>
        </w:r>
        <w:r>
          <w:rPr>
            <w:webHidden/>
          </w:rPr>
          <w:tab/>
        </w:r>
        <w:r>
          <w:rPr>
            <w:webHidden/>
          </w:rPr>
          <w:fldChar w:fldCharType="begin"/>
        </w:r>
        <w:r>
          <w:rPr>
            <w:webHidden/>
          </w:rPr>
          <w:instrText xml:space="preserve"> PAGEREF _Toc150761129 \h </w:instrText>
        </w:r>
        <w:r>
          <w:rPr>
            <w:webHidden/>
          </w:rPr>
        </w:r>
        <w:r>
          <w:rPr>
            <w:webHidden/>
          </w:rPr>
          <w:fldChar w:fldCharType="separate"/>
        </w:r>
        <w:r w:rsidR="00B54ED0">
          <w:rPr>
            <w:webHidden/>
          </w:rPr>
          <w:t>177</w:t>
        </w:r>
        <w:r>
          <w:rPr>
            <w:webHidden/>
          </w:rPr>
          <w:fldChar w:fldCharType="end"/>
        </w:r>
      </w:hyperlink>
    </w:p>
    <w:p w14:paraId="498FE5A7" w14:textId="492E982A"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30" w:history="1">
        <w:r w:rsidRPr="000D6BED">
          <w:rPr>
            <w:rStyle w:val="Hyperlink"/>
          </w:rPr>
          <w:t>15/20.</w:t>
        </w:r>
        <w:r>
          <w:rPr>
            <w:rFonts w:asciiTheme="minorHAnsi" w:eastAsiaTheme="minorEastAsia" w:hAnsiTheme="minorHAnsi" w:cstheme="minorBidi"/>
            <w:kern w:val="2"/>
            <w:lang w:val="en-US" w:eastAsia="zh-CN"/>
            <w14:ligatures w14:val="standardContextual"/>
          </w:rPr>
          <w:tab/>
        </w:r>
        <w:r w:rsidRPr="000D6BED">
          <w:rPr>
            <w:rStyle w:val="Hyperlink"/>
          </w:rPr>
          <w:t>In-depth dialogue on the thematic areas and other cross-cutting issues conducted by the Ad Hoc Open-ended Inter-sessional Working Group on Article 8(j) and Related Provisions</w:t>
        </w:r>
        <w:r>
          <w:rPr>
            <w:webHidden/>
          </w:rPr>
          <w:tab/>
        </w:r>
        <w:r>
          <w:rPr>
            <w:webHidden/>
          </w:rPr>
          <w:fldChar w:fldCharType="begin"/>
        </w:r>
        <w:r>
          <w:rPr>
            <w:webHidden/>
          </w:rPr>
          <w:instrText xml:space="preserve"> PAGEREF _Toc150761130 \h </w:instrText>
        </w:r>
        <w:r>
          <w:rPr>
            <w:webHidden/>
          </w:rPr>
        </w:r>
        <w:r>
          <w:rPr>
            <w:webHidden/>
          </w:rPr>
          <w:fldChar w:fldCharType="separate"/>
        </w:r>
        <w:r w:rsidR="00B54ED0">
          <w:rPr>
            <w:webHidden/>
          </w:rPr>
          <w:t>181</w:t>
        </w:r>
        <w:r>
          <w:rPr>
            <w:webHidden/>
          </w:rPr>
          <w:fldChar w:fldCharType="end"/>
        </w:r>
      </w:hyperlink>
    </w:p>
    <w:p w14:paraId="306A15B4" w14:textId="0E02663B"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31" w:history="1">
        <w:r w:rsidRPr="000D6BED">
          <w:rPr>
            <w:rStyle w:val="Hyperlink"/>
          </w:rPr>
          <w:t>15/21.</w:t>
        </w:r>
        <w:r>
          <w:rPr>
            <w:rFonts w:asciiTheme="minorHAnsi" w:eastAsiaTheme="minorEastAsia" w:hAnsiTheme="minorHAnsi" w:cstheme="minorBidi"/>
            <w:kern w:val="2"/>
            <w:lang w:val="en-US" w:eastAsia="zh-CN"/>
            <w14:ligatures w14:val="standardContextual"/>
          </w:rPr>
          <w:tab/>
        </w:r>
        <w:r w:rsidRPr="000D6BED">
          <w:rPr>
            <w:rStyle w:val="Hyperlink"/>
          </w:rPr>
          <w:t>Recommendations from the United Nations Permanent Forum on Indigenous Issues to the Convention on Biological Diversity</w:t>
        </w:r>
        <w:r>
          <w:rPr>
            <w:webHidden/>
          </w:rPr>
          <w:tab/>
        </w:r>
        <w:r>
          <w:rPr>
            <w:webHidden/>
          </w:rPr>
          <w:fldChar w:fldCharType="begin"/>
        </w:r>
        <w:r>
          <w:rPr>
            <w:webHidden/>
          </w:rPr>
          <w:instrText xml:space="preserve"> PAGEREF _Toc150761131 \h </w:instrText>
        </w:r>
        <w:r>
          <w:rPr>
            <w:webHidden/>
          </w:rPr>
        </w:r>
        <w:r>
          <w:rPr>
            <w:webHidden/>
          </w:rPr>
          <w:fldChar w:fldCharType="separate"/>
        </w:r>
        <w:r w:rsidR="00B54ED0">
          <w:rPr>
            <w:webHidden/>
          </w:rPr>
          <w:t>182</w:t>
        </w:r>
        <w:r>
          <w:rPr>
            <w:webHidden/>
          </w:rPr>
          <w:fldChar w:fldCharType="end"/>
        </w:r>
      </w:hyperlink>
    </w:p>
    <w:p w14:paraId="70CF72A7" w14:textId="0258E3B6"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32" w:history="1">
        <w:r w:rsidRPr="000D6BED">
          <w:rPr>
            <w:rStyle w:val="Hyperlink"/>
          </w:rPr>
          <w:t>15/22.</w:t>
        </w:r>
        <w:r>
          <w:rPr>
            <w:rFonts w:asciiTheme="minorHAnsi" w:eastAsiaTheme="minorEastAsia" w:hAnsiTheme="minorHAnsi" w:cstheme="minorBidi"/>
            <w:kern w:val="2"/>
            <w:lang w:val="en-US" w:eastAsia="zh-CN"/>
            <w14:ligatures w14:val="standardContextual"/>
          </w:rPr>
          <w:tab/>
        </w:r>
        <w:r w:rsidRPr="000D6BED">
          <w:rPr>
            <w:rStyle w:val="Hyperlink"/>
          </w:rPr>
          <w:t>Nature and Culture</w:t>
        </w:r>
        <w:r>
          <w:rPr>
            <w:webHidden/>
          </w:rPr>
          <w:tab/>
        </w:r>
        <w:r>
          <w:rPr>
            <w:webHidden/>
          </w:rPr>
          <w:fldChar w:fldCharType="begin"/>
        </w:r>
        <w:r>
          <w:rPr>
            <w:webHidden/>
          </w:rPr>
          <w:instrText xml:space="preserve"> PAGEREF _Toc150761132 \h </w:instrText>
        </w:r>
        <w:r>
          <w:rPr>
            <w:webHidden/>
          </w:rPr>
        </w:r>
        <w:r>
          <w:rPr>
            <w:webHidden/>
          </w:rPr>
          <w:fldChar w:fldCharType="separate"/>
        </w:r>
        <w:r w:rsidR="00B54ED0">
          <w:rPr>
            <w:webHidden/>
          </w:rPr>
          <w:t>183</w:t>
        </w:r>
        <w:r>
          <w:rPr>
            <w:webHidden/>
          </w:rPr>
          <w:fldChar w:fldCharType="end"/>
        </w:r>
      </w:hyperlink>
    </w:p>
    <w:p w14:paraId="616E6FD2" w14:textId="3AAFF806"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33" w:history="1">
        <w:r w:rsidRPr="000D6BED">
          <w:rPr>
            <w:rStyle w:val="Hyperlink"/>
          </w:rPr>
          <w:t>15/23.</w:t>
        </w:r>
        <w:r>
          <w:rPr>
            <w:rFonts w:asciiTheme="minorHAnsi" w:eastAsiaTheme="minorEastAsia" w:hAnsiTheme="minorHAnsi" w:cstheme="minorBidi"/>
            <w:kern w:val="2"/>
            <w:lang w:val="en-US" w:eastAsia="zh-CN"/>
            <w14:ligatures w14:val="standardContextual"/>
          </w:rPr>
          <w:tab/>
        </w:r>
        <w:r w:rsidRPr="000D6BED">
          <w:rPr>
            <w:rStyle w:val="Hyperlink"/>
          </w:rPr>
          <w:t>Sustainable wildlife management</w:t>
        </w:r>
        <w:r>
          <w:rPr>
            <w:webHidden/>
          </w:rPr>
          <w:tab/>
        </w:r>
        <w:r>
          <w:rPr>
            <w:webHidden/>
          </w:rPr>
          <w:fldChar w:fldCharType="begin"/>
        </w:r>
        <w:r>
          <w:rPr>
            <w:webHidden/>
          </w:rPr>
          <w:instrText xml:space="preserve"> PAGEREF _Toc150761133 \h </w:instrText>
        </w:r>
        <w:r>
          <w:rPr>
            <w:webHidden/>
          </w:rPr>
        </w:r>
        <w:r>
          <w:rPr>
            <w:webHidden/>
          </w:rPr>
          <w:fldChar w:fldCharType="separate"/>
        </w:r>
        <w:r w:rsidR="00B54ED0">
          <w:rPr>
            <w:webHidden/>
          </w:rPr>
          <w:t>187</w:t>
        </w:r>
        <w:r>
          <w:rPr>
            <w:webHidden/>
          </w:rPr>
          <w:fldChar w:fldCharType="end"/>
        </w:r>
      </w:hyperlink>
    </w:p>
    <w:p w14:paraId="64C4AE91" w14:textId="00B3FF25"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34" w:history="1">
        <w:r w:rsidRPr="000D6BED">
          <w:rPr>
            <w:rStyle w:val="Hyperlink"/>
          </w:rPr>
          <w:t>15/24.</w:t>
        </w:r>
        <w:r>
          <w:rPr>
            <w:rFonts w:asciiTheme="minorHAnsi" w:eastAsiaTheme="minorEastAsia" w:hAnsiTheme="minorHAnsi" w:cstheme="minorBidi"/>
            <w:kern w:val="2"/>
            <w:lang w:val="en-US" w:eastAsia="zh-CN"/>
            <w14:ligatures w14:val="standardContextual"/>
          </w:rPr>
          <w:tab/>
        </w:r>
        <w:r w:rsidRPr="000D6BED">
          <w:rPr>
            <w:rStyle w:val="Hyperlink"/>
          </w:rPr>
          <w:t>Conservation and sustainable use of marine and coastal biodiversity</w:t>
        </w:r>
        <w:r>
          <w:rPr>
            <w:webHidden/>
          </w:rPr>
          <w:tab/>
        </w:r>
        <w:r>
          <w:rPr>
            <w:webHidden/>
          </w:rPr>
          <w:fldChar w:fldCharType="begin"/>
        </w:r>
        <w:r>
          <w:rPr>
            <w:webHidden/>
          </w:rPr>
          <w:instrText xml:space="preserve"> PAGEREF _Toc150761134 \h </w:instrText>
        </w:r>
        <w:r>
          <w:rPr>
            <w:webHidden/>
          </w:rPr>
        </w:r>
        <w:r>
          <w:rPr>
            <w:webHidden/>
          </w:rPr>
          <w:fldChar w:fldCharType="separate"/>
        </w:r>
        <w:r w:rsidR="00B54ED0">
          <w:rPr>
            <w:webHidden/>
          </w:rPr>
          <w:t>189</w:t>
        </w:r>
        <w:r>
          <w:rPr>
            <w:webHidden/>
          </w:rPr>
          <w:fldChar w:fldCharType="end"/>
        </w:r>
      </w:hyperlink>
    </w:p>
    <w:p w14:paraId="6869E45D" w14:textId="59DF6BEB"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35" w:history="1">
        <w:r w:rsidRPr="000D6BED">
          <w:rPr>
            <w:rStyle w:val="Hyperlink"/>
          </w:rPr>
          <w:t>15/25.</w:t>
        </w:r>
        <w:r>
          <w:rPr>
            <w:rFonts w:asciiTheme="minorHAnsi" w:eastAsiaTheme="minorEastAsia" w:hAnsiTheme="minorHAnsi" w:cstheme="minorBidi"/>
            <w:kern w:val="2"/>
            <w:lang w:val="en-US" w:eastAsia="zh-CN"/>
            <w14:ligatures w14:val="standardContextual"/>
          </w:rPr>
          <w:tab/>
        </w:r>
        <w:r w:rsidRPr="000D6BED">
          <w:rPr>
            <w:rStyle w:val="Hyperlink"/>
          </w:rPr>
          <w:t>Ecologically or biologically significant marine areas in the North-East Atlantic Ocean and adjacent areas</w:t>
        </w:r>
        <w:r>
          <w:rPr>
            <w:webHidden/>
          </w:rPr>
          <w:tab/>
        </w:r>
        <w:r>
          <w:rPr>
            <w:webHidden/>
          </w:rPr>
          <w:fldChar w:fldCharType="begin"/>
        </w:r>
        <w:r>
          <w:rPr>
            <w:webHidden/>
          </w:rPr>
          <w:instrText xml:space="preserve"> PAGEREF _Toc150761135 \h </w:instrText>
        </w:r>
        <w:r>
          <w:rPr>
            <w:webHidden/>
          </w:rPr>
        </w:r>
        <w:r>
          <w:rPr>
            <w:webHidden/>
          </w:rPr>
          <w:fldChar w:fldCharType="separate"/>
        </w:r>
        <w:r w:rsidR="00B54ED0">
          <w:rPr>
            <w:webHidden/>
          </w:rPr>
          <w:t>194</w:t>
        </w:r>
        <w:r>
          <w:rPr>
            <w:webHidden/>
          </w:rPr>
          <w:fldChar w:fldCharType="end"/>
        </w:r>
      </w:hyperlink>
    </w:p>
    <w:p w14:paraId="416AAF02" w14:textId="78DDC255"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36" w:history="1">
        <w:r w:rsidRPr="000D6BED">
          <w:rPr>
            <w:rStyle w:val="Hyperlink"/>
          </w:rPr>
          <w:t>15/26.</w:t>
        </w:r>
        <w:r>
          <w:rPr>
            <w:rFonts w:asciiTheme="minorHAnsi" w:eastAsiaTheme="minorEastAsia" w:hAnsiTheme="minorHAnsi" w:cstheme="minorBidi"/>
            <w:kern w:val="2"/>
            <w:lang w:val="en-US" w:eastAsia="zh-CN"/>
            <w14:ligatures w14:val="standardContextual"/>
          </w:rPr>
          <w:tab/>
        </w:r>
        <w:r w:rsidRPr="000D6BED">
          <w:rPr>
            <w:rStyle w:val="Hyperlink"/>
          </w:rPr>
          <w:t>Ecologically or biologically significant marine areas: further work</w:t>
        </w:r>
        <w:r>
          <w:rPr>
            <w:webHidden/>
          </w:rPr>
          <w:tab/>
        </w:r>
        <w:r>
          <w:rPr>
            <w:webHidden/>
          </w:rPr>
          <w:fldChar w:fldCharType="begin"/>
        </w:r>
        <w:r>
          <w:rPr>
            <w:webHidden/>
          </w:rPr>
          <w:instrText xml:space="preserve"> PAGEREF _Toc150761136 \h </w:instrText>
        </w:r>
        <w:r>
          <w:rPr>
            <w:webHidden/>
          </w:rPr>
        </w:r>
        <w:r>
          <w:rPr>
            <w:webHidden/>
          </w:rPr>
          <w:fldChar w:fldCharType="separate"/>
        </w:r>
        <w:r w:rsidR="00B54ED0">
          <w:rPr>
            <w:webHidden/>
          </w:rPr>
          <w:t>203</w:t>
        </w:r>
        <w:r>
          <w:rPr>
            <w:webHidden/>
          </w:rPr>
          <w:fldChar w:fldCharType="end"/>
        </w:r>
      </w:hyperlink>
    </w:p>
    <w:p w14:paraId="34C8B6CB" w14:textId="200E868E"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37" w:history="1">
        <w:r w:rsidRPr="000D6BED">
          <w:rPr>
            <w:rStyle w:val="Hyperlink"/>
          </w:rPr>
          <w:t>15/27.</w:t>
        </w:r>
        <w:r>
          <w:rPr>
            <w:rFonts w:asciiTheme="minorHAnsi" w:eastAsiaTheme="minorEastAsia" w:hAnsiTheme="minorHAnsi" w:cstheme="minorBidi"/>
            <w:kern w:val="2"/>
            <w:lang w:val="en-US" w:eastAsia="zh-CN"/>
            <w14:ligatures w14:val="standardContextual"/>
          </w:rPr>
          <w:tab/>
        </w:r>
        <w:r w:rsidRPr="000D6BED">
          <w:rPr>
            <w:rStyle w:val="Hyperlink"/>
          </w:rPr>
          <w:t>Invasive alien species</w:t>
        </w:r>
        <w:r>
          <w:rPr>
            <w:webHidden/>
          </w:rPr>
          <w:tab/>
        </w:r>
        <w:r>
          <w:rPr>
            <w:webHidden/>
          </w:rPr>
          <w:fldChar w:fldCharType="begin"/>
        </w:r>
        <w:r>
          <w:rPr>
            <w:webHidden/>
          </w:rPr>
          <w:instrText xml:space="preserve"> PAGEREF _Toc150761137 \h </w:instrText>
        </w:r>
        <w:r>
          <w:rPr>
            <w:webHidden/>
          </w:rPr>
        </w:r>
        <w:r>
          <w:rPr>
            <w:webHidden/>
          </w:rPr>
          <w:fldChar w:fldCharType="separate"/>
        </w:r>
        <w:r w:rsidR="00B54ED0">
          <w:rPr>
            <w:webHidden/>
          </w:rPr>
          <w:t>206</w:t>
        </w:r>
        <w:r>
          <w:rPr>
            <w:webHidden/>
          </w:rPr>
          <w:fldChar w:fldCharType="end"/>
        </w:r>
      </w:hyperlink>
    </w:p>
    <w:p w14:paraId="13196623" w14:textId="5F972123"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38" w:history="1">
        <w:r w:rsidRPr="000D6BED">
          <w:rPr>
            <w:rStyle w:val="Hyperlink"/>
          </w:rPr>
          <w:t>15/28.</w:t>
        </w:r>
        <w:r>
          <w:rPr>
            <w:rFonts w:asciiTheme="minorHAnsi" w:eastAsiaTheme="minorEastAsia" w:hAnsiTheme="minorHAnsi" w:cstheme="minorBidi"/>
            <w:kern w:val="2"/>
            <w:lang w:val="en-US" w:eastAsia="zh-CN"/>
            <w14:ligatures w14:val="standardContextual"/>
          </w:rPr>
          <w:tab/>
        </w:r>
        <w:r w:rsidRPr="000D6BED">
          <w:rPr>
            <w:rStyle w:val="Hyperlink"/>
          </w:rPr>
          <w:t>Biodiversity and agriculture</w:t>
        </w:r>
        <w:r>
          <w:rPr>
            <w:webHidden/>
          </w:rPr>
          <w:tab/>
        </w:r>
        <w:r>
          <w:rPr>
            <w:webHidden/>
          </w:rPr>
          <w:fldChar w:fldCharType="begin"/>
        </w:r>
        <w:r>
          <w:rPr>
            <w:webHidden/>
          </w:rPr>
          <w:instrText xml:space="preserve"> PAGEREF _Toc150761138 \h </w:instrText>
        </w:r>
        <w:r>
          <w:rPr>
            <w:webHidden/>
          </w:rPr>
        </w:r>
        <w:r>
          <w:rPr>
            <w:webHidden/>
          </w:rPr>
          <w:fldChar w:fldCharType="separate"/>
        </w:r>
        <w:r w:rsidR="00B54ED0">
          <w:rPr>
            <w:webHidden/>
          </w:rPr>
          <w:t>224</w:t>
        </w:r>
        <w:r>
          <w:rPr>
            <w:webHidden/>
          </w:rPr>
          <w:fldChar w:fldCharType="end"/>
        </w:r>
      </w:hyperlink>
    </w:p>
    <w:p w14:paraId="506FFEC4" w14:textId="6535C19C"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39" w:history="1">
        <w:r w:rsidRPr="000D6BED">
          <w:rPr>
            <w:rStyle w:val="Hyperlink"/>
          </w:rPr>
          <w:t>15/29.</w:t>
        </w:r>
        <w:r>
          <w:rPr>
            <w:rFonts w:asciiTheme="minorHAnsi" w:eastAsiaTheme="minorEastAsia" w:hAnsiTheme="minorHAnsi" w:cstheme="minorBidi"/>
            <w:kern w:val="2"/>
            <w:lang w:val="en-US" w:eastAsia="zh-CN"/>
            <w14:ligatures w14:val="standardContextual"/>
          </w:rPr>
          <w:tab/>
        </w:r>
        <w:r w:rsidRPr="000D6BED">
          <w:rPr>
            <w:rStyle w:val="Hyperlink"/>
          </w:rPr>
          <w:t>Biodiversity and health</w:t>
        </w:r>
        <w:r>
          <w:rPr>
            <w:webHidden/>
          </w:rPr>
          <w:tab/>
        </w:r>
        <w:r>
          <w:rPr>
            <w:webHidden/>
          </w:rPr>
          <w:fldChar w:fldCharType="begin"/>
        </w:r>
        <w:r>
          <w:rPr>
            <w:webHidden/>
          </w:rPr>
          <w:instrText xml:space="preserve"> PAGEREF _Toc150761139 \h </w:instrText>
        </w:r>
        <w:r>
          <w:rPr>
            <w:webHidden/>
          </w:rPr>
        </w:r>
        <w:r>
          <w:rPr>
            <w:webHidden/>
          </w:rPr>
          <w:fldChar w:fldCharType="separate"/>
        </w:r>
        <w:r w:rsidR="00B54ED0">
          <w:rPr>
            <w:webHidden/>
          </w:rPr>
          <w:t>236</w:t>
        </w:r>
        <w:r>
          <w:rPr>
            <w:webHidden/>
          </w:rPr>
          <w:fldChar w:fldCharType="end"/>
        </w:r>
      </w:hyperlink>
    </w:p>
    <w:p w14:paraId="738D8BED" w14:textId="02FAD030"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40" w:history="1">
        <w:r w:rsidRPr="000D6BED">
          <w:rPr>
            <w:rStyle w:val="Hyperlink"/>
          </w:rPr>
          <w:t>15/30.</w:t>
        </w:r>
        <w:r>
          <w:rPr>
            <w:rFonts w:asciiTheme="minorHAnsi" w:eastAsiaTheme="minorEastAsia" w:hAnsiTheme="minorHAnsi" w:cstheme="minorBidi"/>
            <w:kern w:val="2"/>
            <w:lang w:val="en-US" w:eastAsia="zh-CN"/>
            <w14:ligatures w14:val="standardContextual"/>
          </w:rPr>
          <w:tab/>
        </w:r>
        <w:r w:rsidRPr="000D6BED">
          <w:rPr>
            <w:rStyle w:val="Hyperlink"/>
          </w:rPr>
          <w:t>Biodiversity and climate change</w:t>
        </w:r>
        <w:r>
          <w:rPr>
            <w:webHidden/>
          </w:rPr>
          <w:tab/>
        </w:r>
        <w:r>
          <w:rPr>
            <w:webHidden/>
          </w:rPr>
          <w:fldChar w:fldCharType="begin"/>
        </w:r>
        <w:r>
          <w:rPr>
            <w:webHidden/>
          </w:rPr>
          <w:instrText xml:space="preserve"> PAGEREF _Toc150761140 \h </w:instrText>
        </w:r>
        <w:r>
          <w:rPr>
            <w:webHidden/>
          </w:rPr>
        </w:r>
        <w:r>
          <w:rPr>
            <w:webHidden/>
          </w:rPr>
          <w:fldChar w:fldCharType="separate"/>
        </w:r>
        <w:r w:rsidR="00B54ED0">
          <w:rPr>
            <w:webHidden/>
          </w:rPr>
          <w:t>239</w:t>
        </w:r>
        <w:r>
          <w:rPr>
            <w:webHidden/>
          </w:rPr>
          <w:fldChar w:fldCharType="end"/>
        </w:r>
      </w:hyperlink>
    </w:p>
    <w:p w14:paraId="183E046D" w14:textId="1A31AA7E"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41" w:history="1">
        <w:r w:rsidRPr="000D6BED">
          <w:rPr>
            <w:rStyle w:val="Hyperlink"/>
          </w:rPr>
          <w:t>15/31.</w:t>
        </w:r>
        <w:r>
          <w:rPr>
            <w:rFonts w:asciiTheme="minorHAnsi" w:eastAsiaTheme="minorEastAsia" w:hAnsiTheme="minorHAnsi" w:cstheme="minorBidi"/>
            <w:kern w:val="2"/>
            <w:lang w:val="en-US" w:eastAsia="zh-CN"/>
            <w14:ligatures w14:val="standardContextual"/>
          </w:rPr>
          <w:tab/>
        </w:r>
        <w:r w:rsidRPr="000D6BED">
          <w:rPr>
            <w:rStyle w:val="Hyperlink"/>
          </w:rPr>
          <w:t>Synthetic biology</w:t>
        </w:r>
        <w:r>
          <w:rPr>
            <w:webHidden/>
          </w:rPr>
          <w:tab/>
        </w:r>
        <w:r>
          <w:rPr>
            <w:webHidden/>
          </w:rPr>
          <w:fldChar w:fldCharType="begin"/>
        </w:r>
        <w:r>
          <w:rPr>
            <w:webHidden/>
          </w:rPr>
          <w:instrText xml:space="preserve"> PAGEREF _Toc150761141 \h </w:instrText>
        </w:r>
        <w:r>
          <w:rPr>
            <w:webHidden/>
          </w:rPr>
        </w:r>
        <w:r>
          <w:rPr>
            <w:webHidden/>
          </w:rPr>
          <w:fldChar w:fldCharType="separate"/>
        </w:r>
        <w:r w:rsidR="00B54ED0">
          <w:rPr>
            <w:webHidden/>
          </w:rPr>
          <w:t>240</w:t>
        </w:r>
        <w:r>
          <w:rPr>
            <w:webHidden/>
          </w:rPr>
          <w:fldChar w:fldCharType="end"/>
        </w:r>
      </w:hyperlink>
    </w:p>
    <w:p w14:paraId="1E3C90DB" w14:textId="382AF88B"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42" w:history="1">
        <w:r w:rsidRPr="000D6BED">
          <w:rPr>
            <w:rStyle w:val="Hyperlink"/>
          </w:rPr>
          <w:t>15/32.</w:t>
        </w:r>
        <w:r>
          <w:rPr>
            <w:rFonts w:asciiTheme="minorHAnsi" w:eastAsiaTheme="minorEastAsia" w:hAnsiTheme="minorHAnsi" w:cstheme="minorBidi"/>
            <w:kern w:val="2"/>
            <w:lang w:val="en-US" w:eastAsia="zh-CN"/>
            <w14:ligatures w14:val="standardContextual"/>
          </w:rPr>
          <w:tab/>
        </w:r>
        <w:r w:rsidRPr="000D6BED">
          <w:rPr>
            <w:rStyle w:val="Hyperlink"/>
          </w:rPr>
          <w:t>Date and venue of future meetings of the Conference of the Parties</w:t>
        </w:r>
        <w:r>
          <w:rPr>
            <w:webHidden/>
          </w:rPr>
          <w:tab/>
        </w:r>
        <w:r>
          <w:rPr>
            <w:webHidden/>
          </w:rPr>
          <w:fldChar w:fldCharType="begin"/>
        </w:r>
        <w:r>
          <w:rPr>
            <w:webHidden/>
          </w:rPr>
          <w:instrText xml:space="preserve"> PAGEREF _Toc150761142 \h </w:instrText>
        </w:r>
        <w:r>
          <w:rPr>
            <w:webHidden/>
          </w:rPr>
        </w:r>
        <w:r>
          <w:rPr>
            <w:webHidden/>
          </w:rPr>
          <w:fldChar w:fldCharType="separate"/>
        </w:r>
        <w:r w:rsidR="00B54ED0">
          <w:rPr>
            <w:webHidden/>
          </w:rPr>
          <w:t>244</w:t>
        </w:r>
        <w:r>
          <w:rPr>
            <w:webHidden/>
          </w:rPr>
          <w:fldChar w:fldCharType="end"/>
        </w:r>
      </w:hyperlink>
    </w:p>
    <w:p w14:paraId="148DF16F" w14:textId="4E58416F"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43" w:history="1">
        <w:r w:rsidRPr="000D6BED">
          <w:rPr>
            <w:rStyle w:val="Hyperlink"/>
          </w:rPr>
          <w:t>15/33.</w:t>
        </w:r>
        <w:r>
          <w:rPr>
            <w:rFonts w:asciiTheme="minorHAnsi" w:eastAsiaTheme="minorEastAsia" w:hAnsiTheme="minorHAnsi" w:cstheme="minorBidi"/>
            <w:kern w:val="2"/>
            <w:lang w:val="en-US" w:eastAsia="zh-CN"/>
            <w14:ligatures w14:val="standardContextual"/>
          </w:rPr>
          <w:tab/>
        </w:r>
        <w:r w:rsidRPr="000D6BED">
          <w:rPr>
            <w:rStyle w:val="Hyperlink"/>
          </w:rPr>
          <w:t>Multi-year programme of work of the Conference of the Parties</w:t>
        </w:r>
        <w:r>
          <w:rPr>
            <w:webHidden/>
          </w:rPr>
          <w:tab/>
        </w:r>
        <w:r>
          <w:rPr>
            <w:webHidden/>
          </w:rPr>
          <w:fldChar w:fldCharType="begin"/>
        </w:r>
        <w:r>
          <w:rPr>
            <w:webHidden/>
          </w:rPr>
          <w:instrText xml:space="preserve"> PAGEREF _Toc150761143 \h </w:instrText>
        </w:r>
        <w:r>
          <w:rPr>
            <w:webHidden/>
          </w:rPr>
        </w:r>
        <w:r>
          <w:rPr>
            <w:webHidden/>
          </w:rPr>
          <w:fldChar w:fldCharType="separate"/>
        </w:r>
        <w:r w:rsidR="00B54ED0">
          <w:rPr>
            <w:webHidden/>
          </w:rPr>
          <w:t>245</w:t>
        </w:r>
        <w:r>
          <w:rPr>
            <w:webHidden/>
          </w:rPr>
          <w:fldChar w:fldCharType="end"/>
        </w:r>
      </w:hyperlink>
    </w:p>
    <w:p w14:paraId="2473FAEE" w14:textId="016D5B6E"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44" w:history="1">
        <w:r w:rsidRPr="000D6BED">
          <w:rPr>
            <w:rStyle w:val="Hyperlink"/>
          </w:rPr>
          <w:t>15/34.</w:t>
        </w:r>
        <w:r>
          <w:rPr>
            <w:rFonts w:asciiTheme="minorHAnsi" w:eastAsiaTheme="minorEastAsia" w:hAnsiTheme="minorHAnsi" w:cstheme="minorBidi"/>
            <w:kern w:val="2"/>
            <w:lang w:val="en-US" w:eastAsia="zh-CN"/>
            <w14:ligatures w14:val="standardContextual"/>
          </w:rPr>
          <w:tab/>
        </w:r>
        <w:r w:rsidRPr="000D6BED">
          <w:rPr>
            <w:rStyle w:val="Hyperlink"/>
          </w:rPr>
          <w:t>Budget for the integrated programme of work of the Secretariat</w:t>
        </w:r>
        <w:r>
          <w:rPr>
            <w:webHidden/>
          </w:rPr>
          <w:tab/>
        </w:r>
        <w:r>
          <w:rPr>
            <w:webHidden/>
          </w:rPr>
          <w:fldChar w:fldCharType="begin"/>
        </w:r>
        <w:r>
          <w:rPr>
            <w:webHidden/>
          </w:rPr>
          <w:instrText xml:space="preserve"> PAGEREF _Toc150761144 \h </w:instrText>
        </w:r>
        <w:r>
          <w:rPr>
            <w:webHidden/>
          </w:rPr>
        </w:r>
        <w:r>
          <w:rPr>
            <w:webHidden/>
          </w:rPr>
          <w:fldChar w:fldCharType="separate"/>
        </w:r>
        <w:r w:rsidR="00B54ED0">
          <w:rPr>
            <w:webHidden/>
          </w:rPr>
          <w:t>247</w:t>
        </w:r>
        <w:r>
          <w:rPr>
            <w:webHidden/>
          </w:rPr>
          <w:fldChar w:fldCharType="end"/>
        </w:r>
      </w:hyperlink>
    </w:p>
    <w:p w14:paraId="106E3A81" w14:textId="0B720CB5" w:rsidR="00A7393D" w:rsidRDefault="00A7393D" w:rsidP="00F241DC">
      <w:pPr>
        <w:pStyle w:val="TOC2"/>
        <w:rPr>
          <w:rFonts w:asciiTheme="minorHAnsi" w:eastAsiaTheme="minorEastAsia" w:hAnsiTheme="minorHAnsi" w:cstheme="minorBidi"/>
          <w:kern w:val="2"/>
          <w:lang w:val="en-US" w:eastAsia="zh-CN"/>
          <w14:ligatures w14:val="standardContextual"/>
        </w:rPr>
      </w:pPr>
      <w:hyperlink w:anchor="_Toc150761145" w:history="1">
        <w:r w:rsidRPr="000D6BED">
          <w:rPr>
            <w:rStyle w:val="Hyperlink"/>
          </w:rPr>
          <w:t>15/35.</w:t>
        </w:r>
        <w:r>
          <w:rPr>
            <w:rFonts w:asciiTheme="minorHAnsi" w:eastAsiaTheme="minorEastAsia" w:hAnsiTheme="minorHAnsi" w:cstheme="minorBidi"/>
            <w:kern w:val="2"/>
            <w:lang w:val="en-US" w:eastAsia="zh-CN"/>
            <w14:ligatures w14:val="standardContextual"/>
          </w:rPr>
          <w:tab/>
        </w:r>
        <w:r w:rsidRPr="000D6BED">
          <w:rPr>
            <w:rStyle w:val="Hyperlink"/>
          </w:rPr>
          <w:t>Date and venue of future meetings of the Conference of the Parties</w:t>
        </w:r>
        <w:r>
          <w:rPr>
            <w:webHidden/>
          </w:rPr>
          <w:tab/>
        </w:r>
        <w:r>
          <w:rPr>
            <w:webHidden/>
          </w:rPr>
          <w:fldChar w:fldCharType="begin"/>
        </w:r>
        <w:r>
          <w:rPr>
            <w:webHidden/>
          </w:rPr>
          <w:instrText xml:space="preserve"> PAGEREF _Toc150761145 \h </w:instrText>
        </w:r>
        <w:r>
          <w:rPr>
            <w:webHidden/>
          </w:rPr>
        </w:r>
        <w:r>
          <w:rPr>
            <w:webHidden/>
          </w:rPr>
          <w:fldChar w:fldCharType="separate"/>
        </w:r>
        <w:r w:rsidR="00B54ED0">
          <w:rPr>
            <w:webHidden/>
          </w:rPr>
          <w:t>263</w:t>
        </w:r>
        <w:r>
          <w:rPr>
            <w:webHidden/>
          </w:rPr>
          <w:fldChar w:fldCharType="end"/>
        </w:r>
      </w:hyperlink>
    </w:p>
    <w:p w14:paraId="6FC7299F" w14:textId="050A5ED3" w:rsidR="00A7393D" w:rsidRDefault="00A7393D" w:rsidP="00346301">
      <w:pPr>
        <w:pStyle w:val="TOC1"/>
        <w:rPr>
          <w:rFonts w:asciiTheme="minorHAnsi" w:eastAsiaTheme="minorEastAsia" w:hAnsiTheme="minorHAnsi" w:cstheme="minorBidi"/>
          <w:kern w:val="2"/>
          <w:lang w:val="en-US" w:eastAsia="zh-CN"/>
          <w14:ligatures w14:val="standardContextual"/>
        </w:rPr>
      </w:pPr>
      <w:hyperlink w:anchor="_Toc150761146" w:history="1">
        <w:r w:rsidRPr="000D6BED">
          <w:rPr>
            <w:rStyle w:val="Hyperlink"/>
            <w:rFonts w:asciiTheme="majorBidi" w:hAnsiTheme="majorBidi" w:cstheme="majorBidi"/>
          </w:rPr>
          <w:t>II.</w:t>
        </w:r>
        <w:r>
          <w:rPr>
            <w:rFonts w:asciiTheme="minorHAnsi" w:eastAsiaTheme="minorEastAsia" w:hAnsiTheme="minorHAnsi" w:cstheme="minorBidi"/>
            <w:kern w:val="2"/>
            <w:lang w:val="en-US" w:eastAsia="zh-CN"/>
            <w14:ligatures w14:val="standardContextual"/>
          </w:rPr>
          <w:tab/>
        </w:r>
        <w:r w:rsidRPr="000D6BED">
          <w:rPr>
            <w:rStyle w:val="Hyperlink"/>
            <w:rFonts w:asciiTheme="majorBidi" w:hAnsiTheme="majorBidi" w:cstheme="majorBidi"/>
          </w:rPr>
          <w:t>A</w:t>
        </w:r>
        <w:r w:rsidR="00B6214D" w:rsidRPr="000D6BED">
          <w:rPr>
            <w:rStyle w:val="Hyperlink"/>
            <w:rFonts w:asciiTheme="majorBidi" w:hAnsiTheme="majorBidi" w:cstheme="majorBidi"/>
          </w:rPr>
          <w:t>ccount of proceedings</w:t>
        </w:r>
        <w:r>
          <w:rPr>
            <w:webHidden/>
          </w:rPr>
          <w:tab/>
        </w:r>
        <w:r>
          <w:rPr>
            <w:webHidden/>
          </w:rPr>
          <w:fldChar w:fldCharType="begin"/>
        </w:r>
        <w:r>
          <w:rPr>
            <w:webHidden/>
          </w:rPr>
          <w:instrText xml:space="preserve"> PAGEREF _Toc150761146 \h </w:instrText>
        </w:r>
        <w:r>
          <w:rPr>
            <w:webHidden/>
          </w:rPr>
        </w:r>
        <w:r>
          <w:rPr>
            <w:webHidden/>
          </w:rPr>
          <w:fldChar w:fldCharType="separate"/>
        </w:r>
        <w:r w:rsidR="00B54ED0">
          <w:rPr>
            <w:webHidden/>
          </w:rPr>
          <w:t>264</w:t>
        </w:r>
        <w:r>
          <w:rPr>
            <w:webHidden/>
          </w:rPr>
          <w:fldChar w:fldCharType="end"/>
        </w:r>
      </w:hyperlink>
    </w:p>
    <w:p w14:paraId="014E647C" w14:textId="0A8734D5" w:rsidR="003B53DE" w:rsidRPr="00230BC2" w:rsidRDefault="00A7393D" w:rsidP="00920214">
      <w:r>
        <w:fldChar w:fldCharType="end"/>
      </w:r>
    </w:p>
    <w:p w14:paraId="528A3C50" w14:textId="75FD26DA" w:rsidR="00B1325F" w:rsidRPr="00230BC2" w:rsidRDefault="00B1325F" w:rsidP="00B1325F">
      <w:pPr>
        <w:sectPr w:rsidR="00B1325F" w:rsidRPr="00230BC2" w:rsidSect="00441700">
          <w:pgSz w:w="12240" w:h="15840"/>
          <w:pgMar w:top="567" w:right="1440" w:bottom="1134" w:left="1440" w:header="709" w:footer="709" w:gutter="0"/>
          <w:cols w:space="708"/>
          <w:docGrid w:linePitch="360"/>
        </w:sectPr>
      </w:pPr>
    </w:p>
    <w:p w14:paraId="46612C86" w14:textId="029AC1ED" w:rsidR="00FE1B94" w:rsidRPr="00230BC2" w:rsidRDefault="00D66A46" w:rsidP="00DC3004">
      <w:pPr>
        <w:pStyle w:val="Heading1"/>
        <w:tabs>
          <w:tab w:val="clear" w:pos="720"/>
        </w:tabs>
        <w:spacing w:after="240"/>
        <w:ind w:left="709" w:hanging="708"/>
        <w:jc w:val="left"/>
        <w:rPr>
          <w:snapToGrid w:val="0"/>
          <w:sz w:val="28"/>
          <w:szCs w:val="28"/>
        </w:rPr>
      </w:pPr>
      <w:bookmarkStart w:id="5" w:name="_Toc150438798"/>
      <w:bookmarkStart w:id="6" w:name="_Toc150670498"/>
      <w:bookmarkStart w:id="7" w:name="_Toc150670608"/>
      <w:bookmarkStart w:id="8" w:name="_Toc150761110"/>
      <w:r w:rsidRPr="00230BC2">
        <w:rPr>
          <w:caps w:val="0"/>
          <w:snapToGrid w:val="0"/>
          <w:sz w:val="28"/>
          <w:szCs w:val="28"/>
        </w:rPr>
        <w:lastRenderedPageBreak/>
        <w:t>I.</w:t>
      </w:r>
      <w:r w:rsidRPr="00230BC2">
        <w:rPr>
          <w:caps w:val="0"/>
          <w:snapToGrid w:val="0"/>
          <w:sz w:val="28"/>
          <w:szCs w:val="28"/>
        </w:rPr>
        <w:tab/>
        <w:t>DECISIONS ADOPTED BY THE CONFERENCE OF THE PARTIES</w:t>
      </w:r>
      <w:r w:rsidR="00461E3E" w:rsidRPr="00230BC2">
        <w:rPr>
          <w:caps w:val="0"/>
          <w:snapToGrid w:val="0"/>
          <w:sz w:val="28"/>
          <w:szCs w:val="28"/>
        </w:rPr>
        <w:t xml:space="preserve"> </w:t>
      </w:r>
      <w:r w:rsidR="008C08DF" w:rsidRPr="00230BC2">
        <w:rPr>
          <w:caps w:val="0"/>
          <w:snapToGrid w:val="0"/>
          <w:sz w:val="28"/>
          <w:szCs w:val="28"/>
        </w:rPr>
        <w:t>TO THE CONVENTIO</w:t>
      </w:r>
      <w:r w:rsidR="008C08DF" w:rsidRPr="003A5DD7">
        <w:rPr>
          <w:caps w:val="0"/>
          <w:snapToGrid w:val="0"/>
          <w:sz w:val="28"/>
          <w:szCs w:val="28"/>
        </w:rPr>
        <w:t>N</w:t>
      </w:r>
      <w:bookmarkEnd w:id="5"/>
      <w:bookmarkEnd w:id="6"/>
      <w:bookmarkEnd w:id="7"/>
      <w:bookmarkEnd w:id="8"/>
      <w:r w:rsidR="00D07848" w:rsidRPr="003A5DD7">
        <w:rPr>
          <w:rStyle w:val="FootnoteReference"/>
          <w:caps w:val="0"/>
          <w:snapToGrid w:val="0"/>
          <w:sz w:val="28"/>
          <w:szCs w:val="28"/>
        </w:rPr>
        <w:footnoteReference w:customMarkFollows="1" w:id="3"/>
        <w:t>*</w:t>
      </w:r>
    </w:p>
    <w:p w14:paraId="709B9CB1" w14:textId="03E0D450" w:rsidR="003E49B8" w:rsidRDefault="003E49B8" w:rsidP="00D64EA8">
      <w:pPr>
        <w:pStyle w:val="decision"/>
        <w:ind w:left="1134" w:hanging="709"/>
        <w:jc w:val="left"/>
        <w:rPr>
          <w:rStyle w:val="Heading1Char"/>
          <w:rFonts w:eastAsia="Malgun Gothic"/>
          <w:snapToGrid w:val="0"/>
          <w:szCs w:val="18"/>
        </w:rPr>
      </w:pPr>
      <w:bookmarkStart w:id="9" w:name="_Toc150438800"/>
      <w:bookmarkStart w:id="10" w:name="_Toc150670500"/>
      <w:bookmarkStart w:id="11" w:name="_Toc150670610"/>
      <w:bookmarkStart w:id="12" w:name="_Toc150761112"/>
      <w:r>
        <w:rPr>
          <w:lang w:val="en-US"/>
        </w:rPr>
        <w:t>15/2.</w:t>
      </w:r>
      <w:r>
        <w:rPr>
          <w:lang w:val="en-US"/>
        </w:rPr>
        <w:tab/>
      </w:r>
      <w:r w:rsidRPr="00702CA1">
        <w:rPr>
          <w:lang w:val="en-US"/>
        </w:rPr>
        <w:t xml:space="preserve">Informing the scientific and technical evidence base for the </w:t>
      </w:r>
      <w:r>
        <w:rPr>
          <w:lang w:val="en-US"/>
        </w:rPr>
        <w:t>Kunming-Montreal</w:t>
      </w:r>
      <w:r w:rsidRPr="00702CA1">
        <w:rPr>
          <w:lang w:val="en-US"/>
        </w:rPr>
        <w:t xml:space="preserve"> </w:t>
      </w:r>
      <w:r>
        <w:rPr>
          <w:lang w:val="en-US"/>
        </w:rPr>
        <w:t>G</w:t>
      </w:r>
      <w:r w:rsidRPr="00702CA1">
        <w:rPr>
          <w:lang w:val="en-US"/>
        </w:rPr>
        <w:t xml:space="preserve">lobal </w:t>
      </w:r>
      <w:r>
        <w:rPr>
          <w:lang w:val="en-US"/>
        </w:rPr>
        <w:t>B</w:t>
      </w:r>
      <w:r w:rsidRPr="00702CA1">
        <w:rPr>
          <w:lang w:val="en-US"/>
        </w:rPr>
        <w:t xml:space="preserve">iodiversity </w:t>
      </w:r>
      <w:r>
        <w:rPr>
          <w:lang w:val="en-US"/>
        </w:rPr>
        <w:t>F</w:t>
      </w:r>
      <w:r w:rsidRPr="00702CA1">
        <w:rPr>
          <w:lang w:val="en-US"/>
        </w:rPr>
        <w:t>ramework</w:t>
      </w:r>
      <w:bookmarkEnd w:id="9"/>
      <w:bookmarkEnd w:id="10"/>
      <w:bookmarkEnd w:id="11"/>
      <w:bookmarkEnd w:id="12"/>
    </w:p>
    <w:p w14:paraId="1CD71DE6" w14:textId="77777777" w:rsidR="003E49B8" w:rsidRDefault="003E49B8" w:rsidP="00836DFD">
      <w:pPr>
        <w:pStyle w:val="Para1"/>
        <w:numPr>
          <w:ilvl w:val="0"/>
          <w:numId w:val="0"/>
        </w:numPr>
        <w:suppressLineNumbers/>
        <w:suppressAutoHyphens/>
        <w:ind w:firstLine="720"/>
        <w:rPr>
          <w:i/>
          <w:lang w:eastAsia="ja-JP"/>
        </w:rPr>
      </w:pPr>
      <w:r>
        <w:rPr>
          <w:i/>
          <w:lang w:eastAsia="ja-JP"/>
        </w:rPr>
        <w:t>The Conference of the Parties</w:t>
      </w:r>
    </w:p>
    <w:p w14:paraId="03A2D41B" w14:textId="77777777" w:rsidR="003E49B8" w:rsidRDefault="003E49B8" w:rsidP="00836DFD">
      <w:pPr>
        <w:pStyle w:val="Para1"/>
        <w:numPr>
          <w:ilvl w:val="0"/>
          <w:numId w:val="0"/>
        </w:numPr>
        <w:suppressLineNumbers/>
        <w:suppressAutoHyphens/>
        <w:ind w:firstLine="709"/>
        <w:rPr>
          <w:i/>
        </w:rPr>
      </w:pPr>
      <w:r>
        <w:rPr>
          <w:iCs/>
        </w:rPr>
        <w:t>1.</w:t>
      </w:r>
      <w:r>
        <w:rPr>
          <w:i/>
        </w:rPr>
        <w:tab/>
        <w:t xml:space="preserve">Welcomes </w:t>
      </w:r>
      <w:r>
        <w:t xml:space="preserve">the </w:t>
      </w:r>
      <w:r>
        <w:rPr>
          <w:i/>
        </w:rPr>
        <w:t>Global Assessment Report on Biodiversity and Ecosystem Services</w:t>
      </w:r>
      <w:r>
        <w:t xml:space="preserve"> issued by the Intergovernmental Science-Policy Platform on Biodiversity and Ecosystem Services</w:t>
      </w:r>
      <w:r w:rsidRPr="00610646">
        <w:rPr>
          <w:rStyle w:val="FootnoteReference"/>
          <w:rFonts w:eastAsiaTheme="majorEastAsia"/>
        </w:rPr>
        <w:footnoteReference w:id="4"/>
      </w:r>
      <w:r>
        <w:t xml:space="preserve"> and the related regional and thematic assessments;</w:t>
      </w:r>
    </w:p>
    <w:p w14:paraId="18AFB13B" w14:textId="77777777" w:rsidR="003E49B8" w:rsidRDefault="003E49B8" w:rsidP="00836DFD">
      <w:pPr>
        <w:pStyle w:val="Para1"/>
        <w:numPr>
          <w:ilvl w:val="0"/>
          <w:numId w:val="0"/>
        </w:numPr>
        <w:suppressLineNumbers/>
        <w:suppressAutoHyphens/>
        <w:ind w:firstLine="709"/>
      </w:pPr>
      <w:r>
        <w:rPr>
          <w:iCs/>
        </w:rPr>
        <w:t>2</w:t>
      </w:r>
      <w:r>
        <w:rPr>
          <w:i/>
        </w:rPr>
        <w:t>.</w:t>
      </w:r>
      <w:r>
        <w:rPr>
          <w:i/>
        </w:rPr>
        <w:tab/>
        <w:t xml:space="preserve">Also welcomes </w:t>
      </w:r>
      <w:r>
        <w:t>the special reports of the Intergovernmental Panel on Climate Change on the impacts of global warming of 1.5°C above pre-industrial levels and related global greenhouse gas emission pathways,</w:t>
      </w:r>
      <w:r w:rsidRPr="00610646">
        <w:rPr>
          <w:rStyle w:val="FootnoteReference"/>
        </w:rPr>
        <w:footnoteReference w:id="5"/>
      </w:r>
      <w:r>
        <w:t xml:space="preserve"> and on the ocean and cryosphere in a changing climate and on climate change,</w:t>
      </w:r>
      <w:r w:rsidRPr="00610646">
        <w:rPr>
          <w:rStyle w:val="FootnoteReference"/>
        </w:rPr>
        <w:footnoteReference w:id="6"/>
      </w:r>
      <w:r>
        <w:t xml:space="preserve"> desertification, land degradation, sustainable land management, food security, and greenhouse gas fluxes in terrestrial ecosystems;</w:t>
      </w:r>
      <w:r w:rsidRPr="00610646">
        <w:rPr>
          <w:rStyle w:val="FootnoteReference"/>
        </w:rPr>
        <w:footnoteReference w:id="7"/>
      </w:r>
    </w:p>
    <w:p w14:paraId="272ED85C" w14:textId="77777777" w:rsidR="003E49B8" w:rsidRDefault="003E49B8" w:rsidP="00836DFD">
      <w:pPr>
        <w:pStyle w:val="Para1"/>
        <w:numPr>
          <w:ilvl w:val="0"/>
          <w:numId w:val="0"/>
        </w:numPr>
        <w:suppressLineNumbers/>
        <w:suppressAutoHyphens/>
        <w:kinsoku w:val="0"/>
        <w:ind w:firstLine="720"/>
      </w:pPr>
      <w:bookmarkStart w:id="13" w:name="_Hlk120524174"/>
      <w:bookmarkStart w:id="14" w:name="_Hlk71227805"/>
      <w:r>
        <w:rPr>
          <w:iCs/>
        </w:rPr>
        <w:t>3.</w:t>
      </w:r>
      <w:r>
        <w:rPr>
          <w:i/>
        </w:rPr>
        <w:tab/>
        <w:t xml:space="preserve">Takes note </w:t>
      </w:r>
      <w:r>
        <w:rPr>
          <w:iCs/>
        </w:rPr>
        <w:t>of</w:t>
      </w:r>
      <w:r>
        <w:rPr>
          <w:i/>
        </w:rPr>
        <w:t xml:space="preserve"> </w:t>
      </w:r>
      <w:r>
        <w:t>the</w:t>
      </w:r>
      <w:r>
        <w:rPr>
          <w:i/>
        </w:rPr>
        <w:t xml:space="preserve"> </w:t>
      </w:r>
      <w:r>
        <w:t>fifth edition of the</w:t>
      </w:r>
      <w:r>
        <w:rPr>
          <w:i/>
        </w:rPr>
        <w:t xml:space="preserve"> Global Biodiversity Outlook</w:t>
      </w:r>
      <w:r>
        <w:t>,</w:t>
      </w:r>
      <w:r w:rsidRPr="00610646">
        <w:rPr>
          <w:rStyle w:val="FootnoteReference"/>
          <w:rFonts w:eastAsiaTheme="majorEastAsia"/>
        </w:rPr>
        <w:footnoteReference w:id="8"/>
      </w:r>
      <w:r>
        <w:t xml:space="preserve"> including its summary for policymakers, as well as the</w:t>
      </w:r>
      <w:r>
        <w:rPr>
          <w:i/>
        </w:rPr>
        <w:t xml:space="preserve"> </w:t>
      </w:r>
      <w:r>
        <w:t>second edition of the</w:t>
      </w:r>
      <w:r>
        <w:rPr>
          <w:i/>
        </w:rPr>
        <w:t xml:space="preserve"> Local Biodiversity Outlooks</w:t>
      </w:r>
      <w:r w:rsidRPr="00610646">
        <w:rPr>
          <w:rStyle w:val="FootnoteReference"/>
          <w:rFonts w:eastAsiaTheme="majorEastAsia"/>
        </w:rPr>
        <w:footnoteReference w:id="9"/>
      </w:r>
      <w:r>
        <w:t xml:space="preserve"> and the</w:t>
      </w:r>
      <w:r>
        <w:rPr>
          <w:i/>
          <w:iCs/>
        </w:rPr>
        <w:t xml:space="preserve"> 2020 Plant Conservation Report</w:t>
      </w:r>
      <w:r>
        <w:t>;</w:t>
      </w:r>
      <w:r w:rsidRPr="00610646">
        <w:rPr>
          <w:rStyle w:val="FootnoteReference"/>
          <w:rFonts w:eastAsiaTheme="majorEastAsia"/>
        </w:rPr>
        <w:footnoteReference w:id="10"/>
      </w:r>
    </w:p>
    <w:bookmarkEnd w:id="13"/>
    <w:p w14:paraId="4B2F168A" w14:textId="77777777" w:rsidR="003E49B8" w:rsidRDefault="003E49B8" w:rsidP="00836DFD">
      <w:pPr>
        <w:pStyle w:val="Para1"/>
        <w:numPr>
          <w:ilvl w:val="0"/>
          <w:numId w:val="0"/>
        </w:numPr>
        <w:suppressLineNumbers/>
        <w:suppressAutoHyphens/>
        <w:kinsoku w:val="0"/>
        <w:ind w:firstLine="720"/>
      </w:pPr>
      <w:r>
        <w:rPr>
          <w:iCs/>
        </w:rPr>
        <w:t>4.</w:t>
      </w:r>
      <w:r>
        <w:rPr>
          <w:i/>
        </w:rPr>
        <w:tab/>
        <w:t>Acknowledges with appreciation</w:t>
      </w:r>
      <w:r>
        <w:t xml:space="preserve"> the financial support provided by the Governments of Canada, Japan and the United Kingdom of Great Britain and Northern Ireland, as well as the European Union, for the preparation of the fifth edition of the </w:t>
      </w:r>
      <w:r>
        <w:rPr>
          <w:i/>
        </w:rPr>
        <w:t>Global Biodiversity Outlook</w:t>
      </w:r>
      <w:r>
        <w:t>;</w:t>
      </w:r>
    </w:p>
    <w:p w14:paraId="68809328" w14:textId="77777777" w:rsidR="003E49B8" w:rsidRDefault="003E49B8" w:rsidP="00836DFD">
      <w:pPr>
        <w:pStyle w:val="Para1"/>
        <w:numPr>
          <w:ilvl w:val="0"/>
          <w:numId w:val="0"/>
        </w:numPr>
        <w:suppressLineNumbers/>
        <w:suppressAutoHyphens/>
        <w:kinsoku w:val="0"/>
        <w:ind w:firstLine="720"/>
      </w:pPr>
      <w:r>
        <w:t>5.</w:t>
      </w:r>
      <w:r>
        <w:rPr>
          <w:i/>
          <w:iCs/>
        </w:rPr>
        <w:tab/>
        <w:t xml:space="preserve">Takes note </w:t>
      </w:r>
      <w:r>
        <w:t xml:space="preserve">of the general conclusions from the fifth edition of the </w:t>
      </w:r>
      <w:r>
        <w:rPr>
          <w:i/>
          <w:iCs/>
        </w:rPr>
        <w:t>Global Biodiversity Outlook</w:t>
      </w:r>
      <w:r>
        <w:t>;</w:t>
      </w:r>
    </w:p>
    <w:p w14:paraId="279A5C5F" w14:textId="77777777" w:rsidR="003E49B8" w:rsidRDefault="003E49B8" w:rsidP="00836DFD">
      <w:pPr>
        <w:pStyle w:val="Para1"/>
        <w:numPr>
          <w:ilvl w:val="0"/>
          <w:numId w:val="0"/>
        </w:numPr>
        <w:suppressLineNumbers/>
        <w:suppressAutoHyphens/>
        <w:kinsoku w:val="0"/>
        <w:ind w:firstLine="720"/>
      </w:pPr>
      <w:r>
        <w:rPr>
          <w:iCs/>
        </w:rPr>
        <w:t>6.</w:t>
      </w:r>
      <w:r>
        <w:rPr>
          <w:i/>
        </w:rPr>
        <w:tab/>
        <w:t>Also takes note</w:t>
      </w:r>
      <w:r>
        <w:t xml:space="preserve"> of the lessons learned from the implementation of the Strategic Plan for Biodiversity 2011–2020 identified in the fifth edition of the</w:t>
      </w:r>
      <w:r>
        <w:rPr>
          <w:i/>
        </w:rPr>
        <w:t xml:space="preserve"> Global Biodiversity Outlook;</w:t>
      </w:r>
    </w:p>
    <w:p w14:paraId="67D65F22" w14:textId="77777777" w:rsidR="003E49B8" w:rsidRPr="000E3F19" w:rsidRDefault="003E49B8" w:rsidP="00836DFD">
      <w:pPr>
        <w:pStyle w:val="Para1"/>
        <w:numPr>
          <w:ilvl w:val="0"/>
          <w:numId w:val="0"/>
        </w:numPr>
        <w:suppressLineNumbers/>
        <w:suppressAutoHyphens/>
        <w:kinsoku w:val="0"/>
        <w:ind w:firstLine="720"/>
      </w:pPr>
      <w:r>
        <w:rPr>
          <w:iCs/>
        </w:rPr>
        <w:t>7.</w:t>
      </w:r>
      <w:r>
        <w:rPr>
          <w:i/>
        </w:rPr>
        <w:tab/>
        <w:t>Encourages</w:t>
      </w:r>
      <w:r>
        <w:t xml:space="preserve"> Parties, and invites other Governments and local and subnational governments, as well as relevant organizations, as appropriate, to use the reports and to take steps to widely disseminate their findings, including by translating the reports into local languages and by producing other </w:t>
      </w:r>
      <w:r>
        <w:lastRenderedPageBreak/>
        <w:t xml:space="preserve">appropriate communication products for different stakeholders, and to make use of the reports when implementing the </w:t>
      </w:r>
      <w:r w:rsidRPr="000E3F19">
        <w:t>Kunming-Montreal Global Biodiversity Framework;</w:t>
      </w:r>
      <w:bookmarkEnd w:id="14"/>
    </w:p>
    <w:p w14:paraId="260C8527" w14:textId="77777777" w:rsidR="003E49B8" w:rsidRDefault="003E49B8" w:rsidP="00836DFD">
      <w:pPr>
        <w:pStyle w:val="Para1"/>
        <w:numPr>
          <w:ilvl w:val="0"/>
          <w:numId w:val="0"/>
        </w:numPr>
        <w:suppressLineNumbers/>
        <w:suppressAutoHyphens/>
        <w:ind w:firstLine="709"/>
      </w:pPr>
      <w:bookmarkStart w:id="15" w:name="_Hlk120524346"/>
      <w:bookmarkStart w:id="16" w:name="_Hlk120524398"/>
      <w:r w:rsidRPr="000E3F19">
        <w:t>8.</w:t>
      </w:r>
      <w:r w:rsidRPr="000E3F19">
        <w:tab/>
      </w:r>
      <w:r w:rsidRPr="000E3F19">
        <w:rPr>
          <w:i/>
        </w:rPr>
        <w:t xml:space="preserve">Urges </w:t>
      </w:r>
      <w:r w:rsidRPr="000E3F19">
        <w:t xml:space="preserve">Parties to take urgent action to address the drivers of biodiversity loss as identified in the </w:t>
      </w:r>
      <w:r w:rsidRPr="000E3F19">
        <w:rPr>
          <w:i/>
        </w:rPr>
        <w:t>Global Assessment</w:t>
      </w:r>
      <w:r w:rsidRPr="000E3F19">
        <w:t xml:space="preserve"> of the Intergovernmental</w:t>
      </w:r>
      <w:r>
        <w:t xml:space="preserve"> Science-Policy Platform on Biodiversity and Ecosystem Services, </w:t>
      </w:r>
      <w:r w:rsidRPr="00A532CF">
        <w:t>as well as those of climate change and land degradation, in</w:t>
      </w:r>
      <w:r>
        <w:t xml:space="preserve"> an integrated manner. </w:t>
      </w:r>
      <w:bookmarkEnd w:id="15"/>
    </w:p>
    <w:p w14:paraId="2437CBDA" w14:textId="77777777" w:rsidR="008144B0" w:rsidRDefault="008144B0" w:rsidP="00836DFD">
      <w:pPr>
        <w:pStyle w:val="Para1"/>
        <w:numPr>
          <w:ilvl w:val="0"/>
          <w:numId w:val="0"/>
        </w:numPr>
        <w:suppressLineNumbers/>
        <w:suppressAutoHyphens/>
        <w:ind w:firstLine="709"/>
      </w:pPr>
    </w:p>
    <w:bookmarkEnd w:id="16"/>
    <w:p w14:paraId="5FE799C6" w14:textId="77777777" w:rsidR="00F251F5" w:rsidRDefault="00F251F5" w:rsidP="00142046">
      <w:pPr>
        <w:jc w:val="center"/>
        <w:sectPr w:rsidR="00F251F5" w:rsidSect="00441700">
          <w:footnotePr>
            <w:numRestart w:val="eachSect"/>
          </w:footnotePr>
          <w:pgSz w:w="12240" w:h="15840"/>
          <w:pgMar w:top="567" w:right="1440" w:bottom="1134" w:left="1440" w:header="709" w:footer="709" w:gutter="0"/>
          <w:cols w:space="708"/>
          <w:docGrid w:linePitch="360"/>
        </w:sectPr>
      </w:pPr>
    </w:p>
    <w:p w14:paraId="0CEFBA37" w14:textId="77777777" w:rsidR="00F251F5" w:rsidRPr="00D64EA8" w:rsidRDefault="00F251F5" w:rsidP="00D64EA8">
      <w:pPr>
        <w:pStyle w:val="decision"/>
        <w:ind w:left="1134" w:hanging="709"/>
        <w:jc w:val="left"/>
        <w:rPr>
          <w:lang w:val="en-US"/>
        </w:rPr>
      </w:pPr>
      <w:bookmarkStart w:id="17" w:name="_Toc150438801"/>
      <w:bookmarkStart w:id="18" w:name="_Toc150670501"/>
      <w:bookmarkStart w:id="19" w:name="_Toc150670611"/>
      <w:bookmarkStart w:id="20" w:name="_Toc150761113"/>
      <w:r w:rsidRPr="00D64EA8">
        <w:rPr>
          <w:lang w:val="en-US"/>
        </w:rPr>
        <w:lastRenderedPageBreak/>
        <w:t>15/3.</w:t>
      </w:r>
      <w:r w:rsidRPr="00D64EA8">
        <w:rPr>
          <w:lang w:val="en-US"/>
        </w:rPr>
        <w:tab/>
        <w:t>Review of progress in the implementation of the Convention and the Strategic Plan for Biodiversity 2011-2020 and the achievement of the Aichi Biodiversity Targets</w:t>
      </w:r>
      <w:bookmarkEnd w:id="17"/>
      <w:bookmarkEnd w:id="18"/>
      <w:bookmarkEnd w:id="19"/>
      <w:bookmarkEnd w:id="20"/>
      <w:r w:rsidRPr="00D64EA8">
        <w:rPr>
          <w:lang w:val="en-US"/>
        </w:rPr>
        <w:t xml:space="preserve"> </w:t>
      </w:r>
    </w:p>
    <w:p w14:paraId="63C7937D" w14:textId="77777777" w:rsidR="00F251F5" w:rsidRPr="009A370A" w:rsidRDefault="00F251F5" w:rsidP="00005C4F">
      <w:pPr>
        <w:pStyle w:val="NormalWeb"/>
        <w:suppressLineNumbers/>
        <w:suppressAutoHyphens/>
        <w:kinsoku w:val="0"/>
        <w:overflowPunct w:val="0"/>
        <w:autoSpaceDE w:val="0"/>
        <w:autoSpaceDN w:val="0"/>
        <w:adjustRightInd w:val="0"/>
        <w:snapToGrid w:val="0"/>
        <w:spacing w:before="120" w:after="120"/>
        <w:ind w:firstLine="720"/>
        <w:rPr>
          <w:i/>
          <w:kern w:val="22"/>
          <w:sz w:val="22"/>
          <w:szCs w:val="22"/>
        </w:rPr>
      </w:pPr>
      <w:r w:rsidRPr="00DF443B">
        <w:rPr>
          <w:i/>
          <w:kern w:val="22"/>
          <w:sz w:val="22"/>
          <w:szCs w:val="22"/>
        </w:rPr>
        <w:t>The Conference of the Parties</w:t>
      </w:r>
      <w:r w:rsidRPr="006076FB">
        <w:rPr>
          <w:iCs/>
          <w:kern w:val="22"/>
          <w:sz w:val="22"/>
          <w:szCs w:val="22"/>
        </w:rPr>
        <w:t>,</w:t>
      </w:r>
    </w:p>
    <w:p w14:paraId="7A72157F" w14:textId="77777777" w:rsidR="00F251F5" w:rsidRPr="009A370A" w:rsidRDefault="00F251F5" w:rsidP="00005C4F">
      <w:pPr>
        <w:pStyle w:val="NormalWeb"/>
        <w:suppressLineNumbers/>
        <w:suppressAutoHyphens/>
        <w:kinsoku w:val="0"/>
        <w:overflowPunct w:val="0"/>
        <w:autoSpaceDE w:val="0"/>
        <w:autoSpaceDN w:val="0"/>
        <w:adjustRightInd w:val="0"/>
        <w:snapToGrid w:val="0"/>
        <w:spacing w:before="120" w:after="120"/>
        <w:ind w:firstLine="720"/>
      </w:pPr>
      <w:bookmarkStart w:id="21" w:name="_Hlk120525927"/>
      <w:r w:rsidRPr="009A370A">
        <w:rPr>
          <w:i/>
          <w:kern w:val="22"/>
          <w:sz w:val="22"/>
          <w:szCs w:val="22"/>
        </w:rPr>
        <w:t xml:space="preserve">Recalling </w:t>
      </w:r>
      <w:r w:rsidRPr="006076FB">
        <w:rPr>
          <w:iCs/>
          <w:kern w:val="22"/>
          <w:sz w:val="22"/>
          <w:szCs w:val="22"/>
        </w:rPr>
        <w:t xml:space="preserve">decision X/2 on the </w:t>
      </w:r>
      <w:r w:rsidRPr="009A370A">
        <w:rPr>
          <w:iCs/>
          <w:kern w:val="22"/>
          <w:sz w:val="22"/>
          <w:szCs w:val="22"/>
        </w:rPr>
        <w:t>S</w:t>
      </w:r>
      <w:r w:rsidRPr="006076FB">
        <w:rPr>
          <w:iCs/>
          <w:kern w:val="22"/>
          <w:sz w:val="22"/>
          <w:szCs w:val="22"/>
        </w:rPr>
        <w:t xml:space="preserve">trategic </w:t>
      </w:r>
      <w:r w:rsidRPr="009A370A">
        <w:rPr>
          <w:iCs/>
          <w:kern w:val="22"/>
          <w:sz w:val="22"/>
          <w:szCs w:val="22"/>
        </w:rPr>
        <w:t>P</w:t>
      </w:r>
      <w:r w:rsidRPr="006076FB">
        <w:rPr>
          <w:iCs/>
          <w:kern w:val="22"/>
          <w:sz w:val="22"/>
          <w:szCs w:val="22"/>
        </w:rPr>
        <w:t xml:space="preserve">lan for </w:t>
      </w:r>
      <w:r w:rsidRPr="009A370A">
        <w:rPr>
          <w:iCs/>
          <w:kern w:val="22"/>
          <w:sz w:val="22"/>
          <w:szCs w:val="22"/>
        </w:rPr>
        <w:t>B</w:t>
      </w:r>
      <w:r w:rsidRPr="006076FB">
        <w:rPr>
          <w:iCs/>
          <w:kern w:val="22"/>
          <w:sz w:val="22"/>
          <w:szCs w:val="22"/>
        </w:rPr>
        <w:t>iodiversity 2011</w:t>
      </w:r>
      <w:r>
        <w:rPr>
          <w:szCs w:val="22"/>
        </w:rPr>
        <w:t>–</w:t>
      </w:r>
      <w:r w:rsidRPr="006076FB">
        <w:rPr>
          <w:iCs/>
          <w:kern w:val="22"/>
          <w:sz w:val="22"/>
          <w:szCs w:val="22"/>
        </w:rPr>
        <w:t>2020 and the Aichi Biodiversity Targets</w:t>
      </w:r>
      <w:r w:rsidRPr="009A370A">
        <w:rPr>
          <w:iCs/>
          <w:kern w:val="22"/>
          <w:sz w:val="22"/>
          <w:szCs w:val="22"/>
        </w:rPr>
        <w:t>,</w:t>
      </w:r>
    </w:p>
    <w:bookmarkEnd w:id="21"/>
    <w:p w14:paraId="05AFA958" w14:textId="77777777" w:rsidR="00F251F5" w:rsidRPr="009A370A" w:rsidRDefault="00F251F5" w:rsidP="00005C4F">
      <w:pPr>
        <w:pStyle w:val="Para1"/>
        <w:numPr>
          <w:ilvl w:val="0"/>
          <w:numId w:val="0"/>
        </w:numPr>
        <w:suppressLineNumbers/>
        <w:suppressAutoHyphens/>
        <w:kinsoku w:val="0"/>
        <w:adjustRightInd w:val="0"/>
        <w:ind w:firstLine="720"/>
        <w:rPr>
          <w:i/>
          <w:iCs/>
        </w:rPr>
      </w:pPr>
      <w:r>
        <w:rPr>
          <w:i/>
          <w:iCs/>
          <w:lang w:val="en-US"/>
        </w:rPr>
        <w:t>R</w:t>
      </w:r>
      <w:r w:rsidRPr="009A370A">
        <w:rPr>
          <w:i/>
          <w:iCs/>
        </w:rPr>
        <w:t>ecalling</w:t>
      </w:r>
      <w:r>
        <w:rPr>
          <w:i/>
          <w:iCs/>
        </w:rPr>
        <w:t xml:space="preserve"> also</w:t>
      </w:r>
      <w:r w:rsidRPr="009A370A">
        <w:rPr>
          <w:i/>
          <w:iCs/>
        </w:rPr>
        <w:t xml:space="preserve"> </w:t>
      </w:r>
      <w:r w:rsidRPr="009A370A">
        <w:t>the conclusions</w:t>
      </w:r>
      <w:r w:rsidRPr="009A370A">
        <w:rPr>
          <w:i/>
          <w:iCs/>
        </w:rPr>
        <w:t xml:space="preserve"> </w:t>
      </w:r>
      <w:r w:rsidRPr="009A370A">
        <w:t>of the fifth edition of the</w:t>
      </w:r>
      <w:r w:rsidRPr="009A370A">
        <w:rPr>
          <w:i/>
          <w:iCs/>
        </w:rPr>
        <w:t xml:space="preserve"> Global Biodiversity Outlook</w:t>
      </w:r>
      <w:r w:rsidRPr="009A370A">
        <w:t>,</w:t>
      </w:r>
      <w:r w:rsidRPr="00610646">
        <w:rPr>
          <w:rStyle w:val="FootnoteReference"/>
        </w:rPr>
        <w:footnoteReference w:id="11"/>
      </w:r>
      <w:r w:rsidRPr="009A370A">
        <w:t xml:space="preserve"> the second edition of the </w:t>
      </w:r>
      <w:r w:rsidRPr="009A370A">
        <w:rPr>
          <w:i/>
          <w:iCs/>
        </w:rPr>
        <w:t>Local Biodiversity Outlooks</w:t>
      </w:r>
      <w:r w:rsidRPr="00610646">
        <w:rPr>
          <w:rStyle w:val="FootnoteReference"/>
        </w:rPr>
        <w:footnoteReference w:id="12"/>
      </w:r>
      <w:r w:rsidRPr="009A370A">
        <w:rPr>
          <w:i/>
          <w:iCs/>
        </w:rPr>
        <w:t xml:space="preserve"> </w:t>
      </w:r>
      <w:r w:rsidRPr="009A370A">
        <w:t>and the</w:t>
      </w:r>
      <w:r w:rsidRPr="009A370A">
        <w:rPr>
          <w:i/>
          <w:iCs/>
        </w:rPr>
        <w:t xml:space="preserve"> Global Assessment Report on Biodiversity and Ecosystem Services</w:t>
      </w:r>
      <w:r w:rsidRPr="009A370A">
        <w:t xml:space="preserve"> of the Intergovernmental Science-Policy Platform on Biodiversity and Ecosystem Services</w:t>
      </w:r>
      <w:r w:rsidRPr="009A370A">
        <w:rPr>
          <w:i/>
          <w:iCs/>
        </w:rPr>
        <w:t xml:space="preserve"> </w:t>
      </w:r>
      <w:r w:rsidRPr="009A370A">
        <w:t>that, despite some progress, none of the Aichi Biodiversity Targets has been fully achieved and that this undermines the attainment of the 2050 Vision for Biodiversity and other international goals and objectives,</w:t>
      </w:r>
    </w:p>
    <w:p w14:paraId="3F00405A" w14:textId="77777777" w:rsidR="00F251F5" w:rsidRPr="009A370A" w:rsidRDefault="00F251F5" w:rsidP="00005C4F">
      <w:pPr>
        <w:pStyle w:val="Para1"/>
        <w:numPr>
          <w:ilvl w:val="0"/>
          <w:numId w:val="0"/>
        </w:numPr>
        <w:suppressLineNumbers/>
        <w:suppressAutoHyphens/>
        <w:kinsoku w:val="0"/>
        <w:adjustRightInd w:val="0"/>
        <w:ind w:firstLine="720"/>
        <w:rPr>
          <w:i/>
          <w:iCs/>
        </w:rPr>
      </w:pPr>
      <w:r w:rsidRPr="009A370A">
        <w:rPr>
          <w:iCs/>
        </w:rPr>
        <w:t>1.</w:t>
      </w:r>
      <w:r w:rsidRPr="009A370A">
        <w:rPr>
          <w:iCs/>
        </w:rPr>
        <w:tab/>
      </w:r>
      <w:r w:rsidRPr="009A370A">
        <w:rPr>
          <w:i/>
          <w:iCs/>
        </w:rPr>
        <w:t xml:space="preserve">Welcomes </w:t>
      </w:r>
      <w:r w:rsidRPr="009A370A">
        <w:t>the updated analysis of national biodiversity strategies and action plans</w:t>
      </w:r>
      <w:r w:rsidRPr="00610646">
        <w:rPr>
          <w:rStyle w:val="FootnoteReference"/>
        </w:rPr>
        <w:footnoteReference w:id="13"/>
      </w:r>
      <w:r w:rsidRPr="009A370A">
        <w:t xml:space="preserve"> and of the national reports</w:t>
      </w:r>
      <w:r w:rsidRPr="00610646">
        <w:rPr>
          <w:rStyle w:val="FootnoteReference"/>
        </w:rPr>
        <w:footnoteReference w:id="14"/>
      </w:r>
      <w:r w:rsidRPr="009A370A">
        <w:t xml:space="preserve"> and the review of progress towards the implementation of the Convention and the Strategic Plan for Biodiversity 2011</w:t>
      </w:r>
      <w:r>
        <w:t>–</w:t>
      </w:r>
      <w:r w:rsidRPr="00DF443B">
        <w:t>2020</w:t>
      </w:r>
      <w:r w:rsidRPr="00610646">
        <w:rPr>
          <w:rStyle w:val="FootnoteReference"/>
        </w:rPr>
        <w:footnoteReference w:id="15"/>
      </w:r>
      <w:r w:rsidRPr="009A370A">
        <w:t xml:space="preserve"> provided in these documents;</w:t>
      </w:r>
    </w:p>
    <w:p w14:paraId="07B19D0F" w14:textId="77777777" w:rsidR="00F251F5" w:rsidRPr="009A1CCB" w:rsidRDefault="00F251F5" w:rsidP="00005C4F">
      <w:pPr>
        <w:pStyle w:val="Para1"/>
        <w:numPr>
          <w:ilvl w:val="0"/>
          <w:numId w:val="0"/>
        </w:numPr>
        <w:suppressLineNumbers/>
        <w:suppressAutoHyphens/>
        <w:kinsoku w:val="0"/>
        <w:adjustRightInd w:val="0"/>
        <w:ind w:firstLine="720"/>
        <w:rPr>
          <w:i/>
          <w:iCs/>
        </w:rPr>
      </w:pPr>
      <w:r w:rsidRPr="009A1CCB">
        <w:rPr>
          <w:iCs/>
        </w:rPr>
        <w:t>2.</w:t>
      </w:r>
      <w:r w:rsidRPr="009A1CCB">
        <w:rPr>
          <w:iCs/>
        </w:rPr>
        <w:tab/>
      </w:r>
      <w:r>
        <w:rPr>
          <w:i/>
          <w:iCs/>
        </w:rPr>
        <w:t>Also w</w:t>
      </w:r>
      <w:r w:rsidRPr="009A1CCB">
        <w:rPr>
          <w:i/>
          <w:iCs/>
        </w:rPr>
        <w:t>elcomes</w:t>
      </w:r>
      <w:r>
        <w:rPr>
          <w:i/>
          <w:iCs/>
        </w:rPr>
        <w:t xml:space="preserve"> </w:t>
      </w:r>
      <w:r w:rsidRPr="009A1CCB">
        <w:t>the efforts made by Parties to reflect the Aichi Biodiversity Targets in their national biodiversity strategies and action plans an</w:t>
      </w:r>
      <w:r w:rsidRPr="00084441">
        <w:t xml:space="preserve">d the efforts made to reflect </w:t>
      </w:r>
      <w:r w:rsidRPr="00AC350F">
        <w:t>issues related to</w:t>
      </w:r>
      <w:r>
        <w:t xml:space="preserve"> </w:t>
      </w:r>
      <w:r w:rsidRPr="00C963B2">
        <w:t>indigenous peoples and local communities, traditional knowledge, the customary sustainable use of biodive</w:t>
      </w:r>
      <w:r w:rsidRPr="00084441">
        <w:t>rsity and gender issues therein;</w:t>
      </w:r>
    </w:p>
    <w:p w14:paraId="43E2EC31" w14:textId="77777777" w:rsidR="00F251F5" w:rsidRPr="009A370A" w:rsidRDefault="00F251F5" w:rsidP="00005C4F">
      <w:pPr>
        <w:pStyle w:val="Para1"/>
        <w:numPr>
          <w:ilvl w:val="0"/>
          <w:numId w:val="0"/>
        </w:numPr>
        <w:suppressLineNumbers/>
        <w:suppressAutoHyphens/>
        <w:kinsoku w:val="0"/>
        <w:adjustRightInd w:val="0"/>
        <w:ind w:firstLine="720"/>
      </w:pPr>
      <w:r w:rsidRPr="009A370A">
        <w:t>3.</w:t>
      </w:r>
      <w:r w:rsidRPr="009A370A">
        <w:tab/>
      </w:r>
      <w:r>
        <w:rPr>
          <w:i/>
          <w:iCs/>
        </w:rPr>
        <w:t>Further w</w:t>
      </w:r>
      <w:r w:rsidRPr="00084441">
        <w:rPr>
          <w:i/>
          <w:iCs/>
        </w:rPr>
        <w:t>elcomes</w:t>
      </w:r>
      <w:r w:rsidRPr="00084441">
        <w:t xml:space="preserve"> the efforts </w:t>
      </w:r>
      <w:r w:rsidRPr="009A370A">
        <w:t>made by Parties to implement their national biodiversity strategies and action plans since the adoption of the Strategic Plan for Biodiversity 2011</w:t>
      </w:r>
      <w:r>
        <w:t>–</w:t>
      </w:r>
      <w:r w:rsidRPr="009A370A">
        <w:t xml:space="preserve">2020 and their efforts to better </w:t>
      </w:r>
      <w:r w:rsidRPr="002E4DB6">
        <w:t xml:space="preserve">reflect </w:t>
      </w:r>
      <w:r w:rsidRPr="00D44308">
        <w:t xml:space="preserve">issues related to </w:t>
      </w:r>
      <w:r w:rsidRPr="002E4DB6">
        <w:t>indigenous peoples</w:t>
      </w:r>
      <w:r w:rsidRPr="00F332F4">
        <w:t xml:space="preserve"> and</w:t>
      </w:r>
      <w:r w:rsidRPr="009A370A">
        <w:t xml:space="preserve"> local communities and their traditional knowledge</w:t>
      </w:r>
      <w:r>
        <w:t>,</w:t>
      </w:r>
      <w:r w:rsidRPr="009A370A">
        <w:t xml:space="preserve"> </w:t>
      </w:r>
      <w:r>
        <w:t xml:space="preserve">to </w:t>
      </w:r>
      <w:r w:rsidRPr="009A370A">
        <w:t>the customary sustainable use of biodiversity, and gender issues in the national implementation of the Convention;</w:t>
      </w:r>
    </w:p>
    <w:p w14:paraId="738BDFED" w14:textId="77777777" w:rsidR="00F251F5" w:rsidRDefault="00F251F5" w:rsidP="00980BD5">
      <w:pPr>
        <w:pStyle w:val="Para1"/>
        <w:numPr>
          <w:ilvl w:val="0"/>
          <w:numId w:val="0"/>
        </w:numPr>
        <w:suppressLineNumbers/>
        <w:suppressAutoHyphens/>
        <w:kinsoku w:val="0"/>
        <w:adjustRightInd w:val="0"/>
        <w:ind w:firstLine="720"/>
      </w:pPr>
      <w:r w:rsidRPr="009A370A">
        <w:t>4.</w:t>
      </w:r>
      <w:r w:rsidRPr="009A370A">
        <w:tab/>
      </w:r>
      <w:r>
        <w:rPr>
          <w:i/>
          <w:iCs/>
        </w:rPr>
        <w:t>W</w:t>
      </w:r>
      <w:r w:rsidRPr="009A370A">
        <w:rPr>
          <w:i/>
          <w:iCs/>
        </w:rPr>
        <w:t>elcomes</w:t>
      </w:r>
      <w:r w:rsidRPr="009A370A">
        <w:t xml:space="preserve"> the efforts made by Parties to enhance the participation of indigenous peoples and local communities and stakeholders in the development and implementation of national biodiversity strategies and action plans</w:t>
      </w:r>
      <w:r>
        <w:t>,</w:t>
      </w:r>
      <w:r w:rsidRPr="009A370A">
        <w:t xml:space="preserve"> and the efforts </w:t>
      </w:r>
      <w:r>
        <w:t xml:space="preserve">made by </w:t>
      </w:r>
      <w:r w:rsidRPr="009A370A">
        <w:t>these groups to implement the Strategic Plan for Biodiversity 2011</w:t>
      </w:r>
      <w:r>
        <w:t>–</w:t>
      </w:r>
      <w:r w:rsidRPr="009A370A">
        <w:t>2020;</w:t>
      </w:r>
      <w:bookmarkStart w:id="22" w:name="_Hlk120526693"/>
    </w:p>
    <w:p w14:paraId="581A75EA" w14:textId="77777777" w:rsidR="00F251F5" w:rsidRPr="00957104" w:rsidRDefault="00F251F5" w:rsidP="00005C4F">
      <w:pPr>
        <w:pStyle w:val="Para1"/>
        <w:numPr>
          <w:ilvl w:val="0"/>
          <w:numId w:val="0"/>
        </w:numPr>
        <w:suppressLineNumbers/>
        <w:suppressAutoHyphens/>
        <w:kinsoku w:val="0"/>
        <w:adjustRightInd w:val="0"/>
        <w:ind w:firstLine="720"/>
      </w:pPr>
      <w:r w:rsidRPr="00957104">
        <w:t>5.</w:t>
      </w:r>
      <w:r w:rsidRPr="00957104">
        <w:tab/>
      </w:r>
      <w:r w:rsidRPr="00957104">
        <w:rPr>
          <w:i/>
          <w:iCs/>
        </w:rPr>
        <w:t xml:space="preserve">Notes with deep concern </w:t>
      </w:r>
      <w:r w:rsidRPr="00957104">
        <w:t xml:space="preserve">that, while there has been encouraging </w:t>
      </w:r>
      <w:r w:rsidRPr="000D2163">
        <w:t>progress towards</w:t>
      </w:r>
      <w:r w:rsidRPr="00FD47E2">
        <w:t xml:space="preserve"> achiev</w:t>
      </w:r>
      <w:r w:rsidRPr="005F18CE">
        <w:t>ement of</w:t>
      </w:r>
      <w:r w:rsidRPr="000D2163">
        <w:t xml:space="preserve"> the Aichi Biodiversity Targets, national targets set by Parties through their national biodiversity strategies and action plans were collectively not commensurate with the level of ambition set out in the Aichi Biodiversity Targets and implementation has been limited, and further, that the lack</w:t>
      </w:r>
      <w:r w:rsidRPr="00957104">
        <w:t xml:space="preserve"> </w:t>
      </w:r>
      <w:r>
        <w:t>of</w:t>
      </w:r>
      <w:r w:rsidRPr="00957104">
        <w:t xml:space="preserve"> adequate</w:t>
      </w:r>
      <w:r>
        <w:t xml:space="preserve"> </w:t>
      </w:r>
      <w:r w:rsidRPr="00957104">
        <w:t xml:space="preserve">means of implementation has been a persistent obstacle to the implementation of the Convention and </w:t>
      </w:r>
      <w:r>
        <w:t xml:space="preserve">of </w:t>
      </w:r>
      <w:r w:rsidRPr="00957104">
        <w:t xml:space="preserve">the Strategic Plan </w:t>
      </w:r>
      <w:r>
        <w:t xml:space="preserve">for Biodiversity 2011–2020 </w:t>
      </w:r>
      <w:r w:rsidRPr="00957104">
        <w:t>in developing country Parties</w:t>
      </w:r>
      <w:r>
        <w:t>,</w:t>
      </w:r>
      <w:r w:rsidRPr="00957104">
        <w:t xml:space="preserve"> thus highlighting the need for enhanced international cooperation;</w:t>
      </w:r>
    </w:p>
    <w:bookmarkEnd w:id="22"/>
    <w:p w14:paraId="0A2A84BA" w14:textId="77777777" w:rsidR="00F251F5" w:rsidRPr="009A370A" w:rsidRDefault="00F251F5" w:rsidP="00005C4F">
      <w:pPr>
        <w:pStyle w:val="Para1"/>
        <w:numPr>
          <w:ilvl w:val="0"/>
          <w:numId w:val="0"/>
        </w:numPr>
        <w:suppressLineNumbers/>
        <w:suppressAutoHyphens/>
        <w:kinsoku w:val="0"/>
        <w:adjustRightInd w:val="0"/>
        <w:ind w:firstLine="720"/>
      </w:pPr>
      <w:r w:rsidRPr="009A370A">
        <w:t>6.</w:t>
      </w:r>
      <w:r w:rsidRPr="009A370A">
        <w:tab/>
      </w:r>
      <w:r w:rsidRPr="009A370A">
        <w:rPr>
          <w:i/>
          <w:iCs/>
        </w:rPr>
        <w:t>Also notes with deep concern</w:t>
      </w:r>
      <w:r w:rsidRPr="009A370A">
        <w:t xml:space="preserve"> that the 2015</w:t>
      </w:r>
      <w:r>
        <w:t>–</w:t>
      </w:r>
      <w:r w:rsidRPr="009A370A">
        <w:t>2020 Gender Plan of Action</w:t>
      </w:r>
      <w:r w:rsidRPr="00610646">
        <w:rPr>
          <w:rStyle w:val="FootnoteReference"/>
        </w:rPr>
        <w:footnoteReference w:id="16"/>
      </w:r>
      <w:r w:rsidRPr="009A370A">
        <w:t xml:space="preserve"> has not been fully implemented and that while awareness and understanding of biodiversity and gender issues has increased, gender is not adequately reflected in the implementation of the Convention or in many nat</w:t>
      </w:r>
      <w:r w:rsidRPr="00084441">
        <w:t>ional biodiversity strategies and action plans;</w:t>
      </w:r>
    </w:p>
    <w:p w14:paraId="1C328A92" w14:textId="77777777" w:rsidR="00F251F5" w:rsidRPr="004769DA" w:rsidRDefault="00F251F5" w:rsidP="00005C4F">
      <w:pPr>
        <w:pStyle w:val="Para1"/>
        <w:numPr>
          <w:ilvl w:val="0"/>
          <w:numId w:val="0"/>
        </w:numPr>
        <w:suppressLineNumbers/>
        <w:suppressAutoHyphens/>
        <w:kinsoku w:val="0"/>
        <w:adjustRightInd w:val="0"/>
        <w:ind w:firstLine="720"/>
      </w:pPr>
      <w:r w:rsidRPr="009A370A">
        <w:lastRenderedPageBreak/>
        <w:t>7.</w:t>
      </w:r>
      <w:r w:rsidRPr="009A370A">
        <w:tab/>
      </w:r>
      <w:r w:rsidRPr="009A370A">
        <w:rPr>
          <w:i/>
          <w:iCs/>
        </w:rPr>
        <w:t>Further notes with deep concern</w:t>
      </w:r>
      <w:r w:rsidRPr="009A370A">
        <w:t xml:space="preserve"> that, despite encouraging progress, the full and effective participation of indigenous peoples and local communities and the consideration of traditional knowledge and the customary sustainable use of biodiversity have not been adequately reflected in the implementation </w:t>
      </w:r>
      <w:r w:rsidRPr="004769DA">
        <w:t>of the Convention or in many national biodiversity strategies and action plans;</w:t>
      </w:r>
    </w:p>
    <w:p w14:paraId="59FAC2F4" w14:textId="77777777" w:rsidR="00F251F5" w:rsidRPr="00650813" w:rsidRDefault="00F251F5" w:rsidP="00005C4F">
      <w:pPr>
        <w:pStyle w:val="Para1"/>
        <w:numPr>
          <w:ilvl w:val="0"/>
          <w:numId w:val="0"/>
        </w:numPr>
        <w:suppressLineNumbers/>
        <w:suppressAutoHyphens/>
        <w:kinsoku w:val="0"/>
        <w:adjustRightInd w:val="0"/>
        <w:ind w:firstLine="720"/>
      </w:pPr>
      <w:bookmarkStart w:id="23" w:name="_Hlk120526637"/>
      <w:r w:rsidRPr="004769DA">
        <w:t>8.</w:t>
      </w:r>
      <w:r w:rsidRPr="004769DA">
        <w:tab/>
      </w:r>
      <w:r w:rsidRPr="004769DA">
        <w:rPr>
          <w:i/>
          <w:iCs/>
        </w:rPr>
        <w:t>Takes</w:t>
      </w:r>
      <w:r w:rsidRPr="004769DA">
        <w:t xml:space="preserve"> </w:t>
      </w:r>
      <w:r w:rsidRPr="004769DA">
        <w:rPr>
          <w:i/>
          <w:iCs/>
        </w:rPr>
        <w:t>note</w:t>
      </w:r>
      <w:r w:rsidRPr="004769DA">
        <w:t xml:space="preserve"> of the lessons from the review of progress towards the implementation of the Convention and the Strategic Plan for Biodiversity 2011</w:t>
      </w:r>
      <w:r>
        <w:t>–</w:t>
      </w:r>
      <w:r w:rsidRPr="004769DA">
        <w:t>2020 presented in the note by the Executive Secretary</w:t>
      </w:r>
      <w:r>
        <w:t>,</w:t>
      </w:r>
      <w:r w:rsidRPr="00610646">
        <w:rPr>
          <w:rStyle w:val="FootnoteReference"/>
        </w:rPr>
        <w:footnoteReference w:id="17"/>
      </w:r>
      <w:r w:rsidRPr="004769DA">
        <w:t xml:space="preserve"> and</w:t>
      </w:r>
      <w:r>
        <w:t xml:space="preserve"> </w:t>
      </w:r>
      <w:r w:rsidRPr="004769DA">
        <w:t>will consider these lessons, as appropriate</w:t>
      </w:r>
      <w:r>
        <w:t>;</w:t>
      </w:r>
    </w:p>
    <w:bookmarkEnd w:id="23"/>
    <w:p w14:paraId="0415E229" w14:textId="77777777" w:rsidR="00F251F5" w:rsidRPr="009A370A" w:rsidRDefault="00F251F5" w:rsidP="00005C4F">
      <w:pPr>
        <w:pStyle w:val="Para1"/>
        <w:numPr>
          <w:ilvl w:val="0"/>
          <w:numId w:val="0"/>
        </w:numPr>
        <w:suppressLineNumbers/>
        <w:suppressAutoHyphens/>
        <w:kinsoku w:val="0"/>
        <w:adjustRightInd w:val="0"/>
        <w:ind w:firstLine="720"/>
      </w:pPr>
      <w:r w:rsidRPr="009A370A">
        <w:t>9.</w:t>
      </w:r>
      <w:r w:rsidRPr="009A370A">
        <w:tab/>
      </w:r>
      <w:r w:rsidRPr="00084441">
        <w:rPr>
          <w:i/>
          <w:iCs/>
        </w:rPr>
        <w:t xml:space="preserve">Encourages </w:t>
      </w:r>
      <w:r w:rsidRPr="00084441">
        <w:t xml:space="preserve">Parties, when developing, updating or revising their </w:t>
      </w:r>
      <w:r w:rsidRPr="009A370A">
        <w:t xml:space="preserve">national biodiversity strategies and </w:t>
      </w:r>
      <w:r>
        <w:t>action plans</w:t>
      </w:r>
      <w:r w:rsidRPr="009A370A">
        <w:t>, to take into account the lessons from the review of progress towards the implementation of the Convention and the Strategic Plan for Biodiversity 2011</w:t>
      </w:r>
      <w:r>
        <w:t>–</w:t>
      </w:r>
      <w:r w:rsidRPr="009A370A">
        <w:t xml:space="preserve">2020 </w:t>
      </w:r>
      <w:r>
        <w:t xml:space="preserve">at national and global level, </w:t>
      </w:r>
      <w:r w:rsidRPr="009A370A">
        <w:t xml:space="preserve">as well </w:t>
      </w:r>
      <w:r w:rsidRPr="00B16AFE">
        <w:t>as</w:t>
      </w:r>
      <w:r>
        <w:t xml:space="preserve"> </w:t>
      </w:r>
      <w:r w:rsidRPr="009A370A">
        <w:t xml:space="preserve">information contained in the fifth edition of the </w:t>
      </w:r>
      <w:r w:rsidRPr="009A370A">
        <w:rPr>
          <w:i/>
          <w:iCs/>
        </w:rPr>
        <w:t>Global Biodiversity Outlook</w:t>
      </w:r>
      <w:r w:rsidRPr="009A370A">
        <w:t xml:space="preserve">, the second edition of the </w:t>
      </w:r>
      <w:r w:rsidRPr="009A370A">
        <w:rPr>
          <w:i/>
          <w:iCs/>
        </w:rPr>
        <w:t>Local Biodiversity Outlooks</w:t>
      </w:r>
      <w:r w:rsidRPr="009A370A">
        <w:t xml:space="preserve"> and the review of implementation of the 2015</w:t>
      </w:r>
      <w:r>
        <w:t>–</w:t>
      </w:r>
      <w:r w:rsidRPr="009A370A">
        <w:t xml:space="preserve">2020 Gender Plan of Action, as appropriate and in accordance with national priorities and </w:t>
      </w:r>
      <w:r w:rsidRPr="002E4DB6">
        <w:t>circumstances</w:t>
      </w:r>
      <w:r w:rsidRPr="00F332F4">
        <w:t>;</w:t>
      </w:r>
      <w:r w:rsidRPr="00D44308" w:rsidDel="00C8413E">
        <w:t xml:space="preserve"> </w:t>
      </w:r>
    </w:p>
    <w:p w14:paraId="5691F85D" w14:textId="77777777" w:rsidR="00F251F5" w:rsidRPr="009A370A" w:rsidRDefault="00F251F5" w:rsidP="00005C4F">
      <w:pPr>
        <w:pStyle w:val="Para1"/>
        <w:numPr>
          <w:ilvl w:val="0"/>
          <w:numId w:val="0"/>
        </w:numPr>
        <w:suppressLineNumbers/>
        <w:suppressAutoHyphens/>
        <w:kinsoku w:val="0"/>
        <w:adjustRightInd w:val="0"/>
        <w:ind w:firstLine="720"/>
      </w:pPr>
      <w:r w:rsidRPr="009A370A">
        <w:t>10.</w:t>
      </w:r>
      <w:r w:rsidRPr="009A370A">
        <w:tab/>
      </w:r>
      <w:r w:rsidRPr="00084441">
        <w:rPr>
          <w:i/>
          <w:iCs/>
        </w:rPr>
        <w:t>Encourages</w:t>
      </w:r>
      <w:r w:rsidRPr="00084441">
        <w:t xml:space="preserve"> Parties</w:t>
      </w:r>
      <w:r>
        <w:t>,</w:t>
      </w:r>
      <w:r w:rsidRPr="00084441">
        <w:t xml:space="preserve"> and </w:t>
      </w:r>
      <w:r w:rsidRPr="00D44308">
        <w:t>invites</w:t>
      </w:r>
      <w:r w:rsidRPr="009A370A">
        <w:t xml:space="preserve"> other Governments and organizations to support national dialogues with indigenous peoples and local communities, and relevant stakeholders</w:t>
      </w:r>
      <w:r>
        <w:t>,</w:t>
      </w:r>
      <w:r w:rsidRPr="009A370A">
        <w:t xml:space="preserve"> including women and youth</w:t>
      </w:r>
      <w:r>
        <w:t>,</w:t>
      </w:r>
      <w:r w:rsidRPr="009A370A">
        <w:t xml:space="preserve"> on the implementation of the </w:t>
      </w:r>
      <w:r>
        <w:t>Kunming-Montreal Global Biodiversity Framework</w:t>
      </w:r>
      <w:r w:rsidRPr="009A370A">
        <w:t>;</w:t>
      </w:r>
      <w:r w:rsidRPr="00610646">
        <w:rPr>
          <w:rStyle w:val="FootnoteReference"/>
        </w:rPr>
        <w:footnoteReference w:id="18"/>
      </w:r>
    </w:p>
    <w:p w14:paraId="38F1EDD7" w14:textId="77777777" w:rsidR="00F251F5" w:rsidRDefault="00F251F5" w:rsidP="00005C4F">
      <w:pPr>
        <w:pStyle w:val="Para1"/>
        <w:numPr>
          <w:ilvl w:val="0"/>
          <w:numId w:val="0"/>
        </w:numPr>
        <w:suppressLineNumbers/>
        <w:suppressAutoHyphens/>
        <w:kinsoku w:val="0"/>
        <w:adjustRightInd w:val="0"/>
        <w:ind w:firstLine="720"/>
      </w:pPr>
      <w:r w:rsidRPr="009A370A">
        <w:t>11.</w:t>
      </w:r>
      <w:r w:rsidRPr="009A370A">
        <w:tab/>
      </w:r>
      <w:r w:rsidRPr="009A370A">
        <w:rPr>
          <w:i/>
          <w:iCs/>
        </w:rPr>
        <w:t>Requests</w:t>
      </w:r>
      <w:r w:rsidRPr="009A370A">
        <w:t xml:space="preserve"> the Executive Secretary, subject to the availability of resources, and with the participation of the Parties, to organize international dialogues with indigenous peoples and local communities and relevant stakeholders</w:t>
      </w:r>
      <w:r>
        <w:t>,</w:t>
      </w:r>
      <w:r w:rsidRPr="009A370A">
        <w:t xml:space="preserve"> including women and youth</w:t>
      </w:r>
      <w:r>
        <w:t>,</w:t>
      </w:r>
      <w:r w:rsidRPr="009A370A">
        <w:t xml:space="preserve"> on progress in the implementation of the </w:t>
      </w:r>
      <w:r>
        <w:t>Kunming-Montreal Global Biodiversity Framework</w:t>
      </w:r>
      <w:r w:rsidRPr="009A370A">
        <w:t xml:space="preserve"> and the </w:t>
      </w:r>
      <w:r>
        <w:t>G</w:t>
      </w:r>
      <w:r w:rsidRPr="009A370A">
        <w:t xml:space="preserve">ender </w:t>
      </w:r>
      <w:r>
        <w:t>P</w:t>
      </w:r>
      <w:r w:rsidRPr="009A370A">
        <w:t xml:space="preserve">lan of </w:t>
      </w:r>
      <w:r>
        <w:t>A</w:t>
      </w:r>
      <w:r w:rsidRPr="009A370A">
        <w:t>ction</w:t>
      </w:r>
      <w:r>
        <w:t xml:space="preserve"> (2023–2030)</w:t>
      </w:r>
      <w:r w:rsidRPr="009A370A">
        <w:t>.</w:t>
      </w:r>
      <w:r w:rsidRPr="00610646">
        <w:rPr>
          <w:rStyle w:val="FootnoteReference"/>
        </w:rPr>
        <w:footnoteReference w:id="19"/>
      </w:r>
    </w:p>
    <w:p w14:paraId="058957AC" w14:textId="77777777" w:rsidR="008144B0" w:rsidRDefault="008144B0" w:rsidP="00005C4F">
      <w:pPr>
        <w:pStyle w:val="Para1"/>
        <w:numPr>
          <w:ilvl w:val="0"/>
          <w:numId w:val="0"/>
        </w:numPr>
        <w:suppressLineNumbers/>
        <w:suppressAutoHyphens/>
        <w:kinsoku w:val="0"/>
        <w:adjustRightInd w:val="0"/>
        <w:ind w:firstLine="720"/>
      </w:pPr>
    </w:p>
    <w:p w14:paraId="59AE5E89" w14:textId="77777777" w:rsidR="00E86051" w:rsidRDefault="00E86051" w:rsidP="00650813">
      <w:pPr>
        <w:jc w:val="center"/>
        <w:sectPr w:rsidR="00E86051" w:rsidSect="00441700">
          <w:footnotePr>
            <w:numRestart w:val="eachSect"/>
          </w:footnotePr>
          <w:pgSz w:w="12240" w:h="15840"/>
          <w:pgMar w:top="567" w:right="1440" w:bottom="1134" w:left="1440" w:header="709" w:footer="709" w:gutter="0"/>
          <w:cols w:space="708"/>
          <w:docGrid w:linePitch="360"/>
        </w:sectPr>
      </w:pPr>
    </w:p>
    <w:p w14:paraId="12E9D552" w14:textId="77777777" w:rsidR="00E86051" w:rsidRPr="00CE31DF" w:rsidRDefault="00E86051" w:rsidP="00354B14">
      <w:pPr>
        <w:pStyle w:val="decision"/>
      </w:pPr>
      <w:bookmarkStart w:id="24" w:name="_Toc150438802"/>
      <w:bookmarkStart w:id="25" w:name="_Toc150670502"/>
      <w:bookmarkStart w:id="26" w:name="_Toc150670612"/>
      <w:bookmarkStart w:id="27" w:name="_Toc150761114"/>
      <w:r w:rsidRPr="00CE31DF">
        <w:lastRenderedPageBreak/>
        <w:t>15/4.</w:t>
      </w:r>
      <w:r w:rsidRPr="00CE31DF">
        <w:tab/>
        <w:t>Kunming-Montreal Global Biodiversity Framework</w:t>
      </w:r>
      <w:bookmarkEnd w:id="24"/>
      <w:bookmarkEnd w:id="25"/>
      <w:bookmarkEnd w:id="26"/>
      <w:bookmarkEnd w:id="27"/>
    </w:p>
    <w:p w14:paraId="2FA95BDE" w14:textId="77777777" w:rsidR="00E86051" w:rsidRPr="00CE31DF" w:rsidRDefault="00E86051" w:rsidP="00811AF9">
      <w:pPr>
        <w:pStyle w:val="NoSpacing"/>
        <w:shd w:val="clear" w:color="auto" w:fill="FFFFFF" w:themeFill="background1"/>
        <w:adjustRightInd w:val="0"/>
        <w:snapToGrid w:val="0"/>
        <w:spacing w:before="240" w:after="120"/>
        <w:ind w:firstLine="720"/>
        <w:rPr>
          <w:iCs/>
          <w:kern w:val="22"/>
        </w:rPr>
      </w:pPr>
      <w:r w:rsidRPr="00CE31DF">
        <w:rPr>
          <w:i/>
          <w:kern w:val="22"/>
        </w:rPr>
        <w:t>The Conference of the Parties</w:t>
      </w:r>
      <w:r w:rsidRPr="00CE31DF">
        <w:rPr>
          <w:iCs/>
          <w:kern w:val="22"/>
        </w:rPr>
        <w:t>,</w:t>
      </w:r>
    </w:p>
    <w:p w14:paraId="0F362C84" w14:textId="020275D1" w:rsidR="00E86051" w:rsidRPr="00CE31DF" w:rsidRDefault="00E86051" w:rsidP="00854BF8">
      <w:pPr>
        <w:pStyle w:val="para10"/>
        <w:numPr>
          <w:ilvl w:val="0"/>
          <w:numId w:val="0"/>
        </w:numPr>
        <w:shd w:val="clear" w:color="auto" w:fill="FFFFFF" w:themeFill="background1"/>
        <w:adjustRightInd w:val="0"/>
        <w:ind w:firstLine="720"/>
        <w:rPr>
          <w:kern w:val="22"/>
          <w:lang w:val="en-GB"/>
        </w:rPr>
      </w:pPr>
      <w:r w:rsidRPr="00CE31DF">
        <w:rPr>
          <w:i/>
          <w:iCs/>
          <w:kern w:val="22"/>
          <w:lang w:val="en-GB"/>
        </w:rPr>
        <w:t xml:space="preserve">Recalling </w:t>
      </w:r>
      <w:r w:rsidRPr="00CE31DF">
        <w:rPr>
          <w:kern w:val="22"/>
          <w:lang w:val="en-GB"/>
        </w:rPr>
        <w:t xml:space="preserve">its decision </w:t>
      </w:r>
      <w:hyperlink r:id="rId17" w:history="1">
        <w:r w:rsidRPr="00CE31DF">
          <w:rPr>
            <w:rStyle w:val="Hyperlink"/>
            <w:kern w:val="22"/>
          </w:rPr>
          <w:t>14/34</w:t>
        </w:r>
      </w:hyperlink>
      <w:r w:rsidRPr="00CE31DF">
        <w:rPr>
          <w:kern w:val="22"/>
          <w:lang w:val="en-GB"/>
        </w:rPr>
        <w:t>, in which it adopted the preparatory process for the development of the post-2020 global biodiversity framework and decided to establish an open</w:t>
      </w:r>
      <w:r w:rsidRPr="00CE31DF">
        <w:rPr>
          <w:kern w:val="22"/>
          <w:lang w:val="en-GB"/>
        </w:rPr>
        <w:noBreakHyphen/>
        <w:t>ended intersessional working group to support its preparation,</w:t>
      </w:r>
    </w:p>
    <w:p w14:paraId="2C5687C4" w14:textId="77777777" w:rsidR="00E86051" w:rsidRPr="00CE31DF" w:rsidRDefault="00E86051" w:rsidP="00854BF8">
      <w:pPr>
        <w:pStyle w:val="para10"/>
        <w:numPr>
          <w:ilvl w:val="0"/>
          <w:numId w:val="0"/>
        </w:numPr>
        <w:shd w:val="clear" w:color="auto" w:fill="FFFFFF" w:themeFill="background1"/>
        <w:adjustRightInd w:val="0"/>
        <w:ind w:firstLine="720"/>
        <w:rPr>
          <w:kern w:val="22"/>
          <w:lang w:val="en-GB"/>
        </w:rPr>
      </w:pPr>
      <w:r w:rsidRPr="00CE31DF">
        <w:rPr>
          <w:i/>
          <w:iCs/>
          <w:kern w:val="22"/>
          <w:lang w:val="en-GB"/>
        </w:rPr>
        <w:t xml:space="preserve">Noting </w:t>
      </w:r>
      <w:r w:rsidRPr="00CE31DF">
        <w:rPr>
          <w:kern w:val="22"/>
          <w:lang w:val="en-GB"/>
        </w:rPr>
        <w:t>the outcomes of the first, second, third, fourth and fifth meeting of the Open</w:t>
      </w:r>
      <w:r w:rsidRPr="00CE31DF">
        <w:rPr>
          <w:kern w:val="22"/>
          <w:lang w:val="en-GB"/>
        </w:rPr>
        <w:noBreakHyphen/>
        <w:t xml:space="preserve">ended Working Group on the Post-2020 Global Biodiversity Framework, </w:t>
      </w:r>
      <w:r w:rsidRPr="00CE31DF">
        <w:rPr>
          <w:kern w:val="22"/>
        </w:rPr>
        <w:t xml:space="preserve">of the regional and thematic consultations and workshops conducted based on decision 14/34 </w:t>
      </w:r>
      <w:r w:rsidRPr="00CE31DF">
        <w:rPr>
          <w:kern w:val="22"/>
          <w:lang w:val="en-GB"/>
        </w:rPr>
        <w:t>and of the intersessional work conducted on digital sequence information on genetic resources,</w:t>
      </w:r>
      <w:r w:rsidRPr="00610646">
        <w:rPr>
          <w:rStyle w:val="FootnoteReference"/>
        </w:rPr>
        <w:footnoteReference w:id="20"/>
      </w:r>
    </w:p>
    <w:p w14:paraId="0EA32C71" w14:textId="77777777" w:rsidR="00E86051" w:rsidRPr="00CE31DF" w:rsidRDefault="00E86051" w:rsidP="00854BF8">
      <w:pPr>
        <w:pStyle w:val="para10"/>
        <w:numPr>
          <w:ilvl w:val="0"/>
          <w:numId w:val="0"/>
        </w:numPr>
        <w:shd w:val="clear" w:color="auto" w:fill="FFFFFF" w:themeFill="background1"/>
        <w:adjustRightInd w:val="0"/>
        <w:ind w:firstLine="720"/>
        <w:rPr>
          <w:kern w:val="22"/>
          <w:lang w:val="en-GB"/>
        </w:rPr>
      </w:pPr>
      <w:r w:rsidRPr="00CE31DF">
        <w:rPr>
          <w:i/>
          <w:iCs/>
          <w:kern w:val="22"/>
          <w:lang w:val="en-GB"/>
        </w:rPr>
        <w:t>Noting</w:t>
      </w:r>
      <w:r w:rsidRPr="00CE31DF">
        <w:rPr>
          <w:kern w:val="22"/>
          <w:lang w:val="en-GB"/>
        </w:rPr>
        <w:t xml:space="preserve"> </w:t>
      </w:r>
      <w:r w:rsidRPr="00CE31DF">
        <w:rPr>
          <w:i/>
          <w:iCs/>
          <w:kern w:val="22"/>
          <w:lang w:val="en-GB"/>
        </w:rPr>
        <w:t>also</w:t>
      </w:r>
      <w:r w:rsidRPr="00CE31DF">
        <w:rPr>
          <w:kern w:val="22"/>
          <w:lang w:val="en-GB"/>
        </w:rPr>
        <w:t xml:space="preserve"> the outcomes of the eleventh meeting of the Ad Hoc Open-ended Working Group on Article 8(j) and Related Provisions, of the twenty-third and twenty-fourth meetings of the Subsidiary Body on Scientific, Technical and Technological Advice and of the third meeting of the Subsidiary Body on Implementation,</w:t>
      </w:r>
      <w:r w:rsidRPr="00610646">
        <w:rPr>
          <w:rStyle w:val="FootnoteReference"/>
        </w:rPr>
        <w:footnoteReference w:id="21"/>
      </w:r>
    </w:p>
    <w:p w14:paraId="24ECB468" w14:textId="77777777" w:rsidR="00E86051" w:rsidRPr="00CE31DF" w:rsidRDefault="00E86051" w:rsidP="00854BF8">
      <w:pPr>
        <w:pStyle w:val="para10"/>
        <w:numPr>
          <w:ilvl w:val="0"/>
          <w:numId w:val="0"/>
        </w:numPr>
        <w:shd w:val="clear" w:color="auto" w:fill="FFFFFF" w:themeFill="background1"/>
        <w:adjustRightInd w:val="0"/>
        <w:spacing w:before="0" w:after="0"/>
        <w:ind w:firstLine="720"/>
        <w:rPr>
          <w:kern w:val="22"/>
          <w:lang w:val="en-GB"/>
        </w:rPr>
      </w:pPr>
      <w:r w:rsidRPr="00CE31DF">
        <w:rPr>
          <w:i/>
          <w:iCs/>
          <w:kern w:val="22"/>
          <w:lang w:val="en-GB"/>
        </w:rPr>
        <w:t>Expressing its gratitude</w:t>
      </w:r>
      <w:r w:rsidRPr="00CE31DF">
        <w:rPr>
          <w:kern w:val="22"/>
          <w:lang w:val="en-GB"/>
        </w:rPr>
        <w:t xml:space="preserve"> to the </w:t>
      </w:r>
      <w:r w:rsidRPr="00CE31DF">
        <w:rPr>
          <w:rFonts w:eastAsia="SimSun" w:hint="eastAsia"/>
          <w:kern w:val="22"/>
          <w:lang w:eastAsia="zh-CN"/>
        </w:rPr>
        <w:t xml:space="preserve">following </w:t>
      </w:r>
      <w:r w:rsidRPr="00CE31DF">
        <w:rPr>
          <w:kern w:val="22"/>
          <w:lang w:val="en-GB"/>
        </w:rPr>
        <w:t>Governments and organizations for hosting these consultations, as well as for their financial contributions: Australia, Austria, Belgium, Brazil, Canada, Czechia, Kenya, European Union, Finland, France, Germany, Ireland, Italy, Japan, Malta, Monaco, Netherlands, New Zealand, Norway, Poland, Republic of Korea, Serbia, Slovakia, South Africa, Sweden, Switzerland, United Kingdom of Great Britain and Northern Ireland, and Uruguay, as well as the African Union, the Food and Agriculture Organization of the United Nations, the United Nations Environment Programme, the United Nations Development Programme and Tourism Montreal</w:t>
      </w:r>
    </w:p>
    <w:p w14:paraId="27D1CCF4" w14:textId="77777777" w:rsidR="00E86051" w:rsidRPr="00CE31DF" w:rsidRDefault="00E86051" w:rsidP="00854BF8">
      <w:pPr>
        <w:pStyle w:val="para10"/>
        <w:numPr>
          <w:ilvl w:val="0"/>
          <w:numId w:val="0"/>
        </w:numPr>
        <w:shd w:val="clear" w:color="auto" w:fill="FFFFFF" w:themeFill="background1"/>
        <w:adjustRightInd w:val="0"/>
        <w:ind w:firstLine="720"/>
        <w:rPr>
          <w:kern w:val="22"/>
          <w:lang w:val="en-GB"/>
        </w:rPr>
      </w:pPr>
      <w:r w:rsidRPr="00CE31DF">
        <w:rPr>
          <w:i/>
          <w:iCs/>
          <w:kern w:val="22"/>
          <w:lang w:val="en-GB"/>
        </w:rPr>
        <w:t>Expressing its gratitude</w:t>
      </w:r>
      <w:r w:rsidRPr="00CE31DF">
        <w:rPr>
          <w:kern w:val="22"/>
          <w:lang w:val="en-GB"/>
        </w:rPr>
        <w:t xml:space="preserve"> to the Co-Chairs of the Open-ended Working Group on the Post</w:t>
      </w:r>
      <w:r w:rsidRPr="00CE31DF">
        <w:rPr>
          <w:kern w:val="22"/>
          <w:lang w:val="en-GB"/>
        </w:rPr>
        <w:noBreakHyphen/>
        <w:t xml:space="preserve">2020 Global Biodiversity Framework, Mr. Basile van Havre (Canada) and Mr. Francis Ogwal (Uganda), for supporting the development of the </w:t>
      </w:r>
      <w:r w:rsidRPr="00CE31DF">
        <w:rPr>
          <w:kern w:val="22"/>
        </w:rPr>
        <w:t xml:space="preserve">Kunming-Montreal </w:t>
      </w:r>
      <w:r w:rsidRPr="00CE31DF">
        <w:rPr>
          <w:kern w:val="22"/>
          <w:lang w:val="en-GB"/>
        </w:rPr>
        <w:t>Global Biodiversity Framework,</w:t>
      </w:r>
    </w:p>
    <w:p w14:paraId="36B077F2" w14:textId="77777777" w:rsidR="00E86051" w:rsidRPr="00CE31DF" w:rsidRDefault="00E86051" w:rsidP="00854BF8">
      <w:pPr>
        <w:pStyle w:val="para10"/>
        <w:numPr>
          <w:ilvl w:val="0"/>
          <w:numId w:val="0"/>
        </w:numPr>
        <w:shd w:val="clear" w:color="auto" w:fill="FFFFFF" w:themeFill="background1"/>
        <w:adjustRightInd w:val="0"/>
        <w:ind w:firstLine="720"/>
        <w:rPr>
          <w:kern w:val="22"/>
          <w:lang w:val="en-GB"/>
        </w:rPr>
      </w:pPr>
      <w:r w:rsidRPr="00CE31DF">
        <w:rPr>
          <w:i/>
          <w:iCs/>
          <w:kern w:val="22"/>
          <w:lang w:val="en-GB"/>
        </w:rPr>
        <w:t>Welcoming</w:t>
      </w:r>
      <w:r w:rsidRPr="00CE31DF">
        <w:rPr>
          <w:kern w:val="22"/>
          <w:lang w:val="en-GB"/>
        </w:rPr>
        <w:t xml:space="preserve"> the submissions by Parties, other Governments, indigenous peoples and local communities, United Nations organizations and programmes, other multilateral environmental agreements, subnational governments, cities and other local authorities, intergovernmental organizations, non</w:t>
      </w:r>
      <w:r w:rsidRPr="00CE31DF">
        <w:rPr>
          <w:kern w:val="22"/>
          <w:lang w:val="en-GB"/>
        </w:rPr>
        <w:noBreakHyphen/>
        <w:t>governmental organizations, women’s groups, youth groups, the business and finance community, the scientific community, academia, faith-based organizations, representatives of sectors related to or dependent on biodiversity, citizens at large, and other stakeholders and observers providing views on the development of the post-2020 global biodiversity framework,</w:t>
      </w:r>
    </w:p>
    <w:p w14:paraId="2AF64772" w14:textId="77777777" w:rsidR="00E86051" w:rsidRPr="00CE31DF" w:rsidRDefault="00E86051" w:rsidP="00854BF8">
      <w:pPr>
        <w:shd w:val="clear" w:color="auto" w:fill="FFFFFF" w:themeFill="background1"/>
        <w:adjustRightInd w:val="0"/>
        <w:snapToGrid w:val="0"/>
        <w:spacing w:before="120" w:after="120"/>
        <w:ind w:firstLine="720"/>
        <w:rPr>
          <w:iCs/>
          <w:kern w:val="22"/>
          <w:szCs w:val="22"/>
        </w:rPr>
      </w:pPr>
      <w:r w:rsidRPr="00CE31DF">
        <w:rPr>
          <w:i/>
          <w:kern w:val="22"/>
          <w:szCs w:val="22"/>
        </w:rPr>
        <w:t>Alarmed</w:t>
      </w:r>
      <w:r w:rsidRPr="00CE31DF">
        <w:rPr>
          <w:iCs/>
          <w:kern w:val="22"/>
          <w:szCs w:val="22"/>
        </w:rPr>
        <w:t xml:space="preserve"> by the continued loss of biodiversity and the threat that this poses to nature and human well-being,</w:t>
      </w:r>
    </w:p>
    <w:p w14:paraId="451FB3A9" w14:textId="77777777" w:rsidR="00E86051" w:rsidRPr="00CE31DF" w:rsidRDefault="00E86051" w:rsidP="00854BF8">
      <w:pPr>
        <w:pStyle w:val="para10"/>
        <w:numPr>
          <w:ilvl w:val="0"/>
          <w:numId w:val="0"/>
        </w:numPr>
        <w:shd w:val="clear" w:color="auto" w:fill="FFFFFF" w:themeFill="background1"/>
        <w:adjustRightInd w:val="0"/>
        <w:ind w:firstLine="720"/>
        <w:rPr>
          <w:kern w:val="22"/>
          <w:lang w:val="en-GB"/>
        </w:rPr>
      </w:pPr>
      <w:r w:rsidRPr="00CE31DF">
        <w:rPr>
          <w:i/>
          <w:iCs/>
          <w:kern w:val="22"/>
          <w:lang w:val="en-GB"/>
        </w:rPr>
        <w:t>Emphasizing</w:t>
      </w:r>
      <w:r w:rsidRPr="00CE31DF">
        <w:rPr>
          <w:kern w:val="22"/>
          <w:lang w:val="en-GB"/>
        </w:rPr>
        <w:t xml:space="preserve"> therefore the need for a balanced and enhanced implementation of all provisions of the Convention, including its three objectives,</w:t>
      </w:r>
    </w:p>
    <w:p w14:paraId="6C3C2CAA" w14:textId="77777777" w:rsidR="00E86051" w:rsidRPr="00CE31DF" w:rsidRDefault="00E86051" w:rsidP="00950BE4">
      <w:pPr>
        <w:pStyle w:val="ListParagraph"/>
        <w:numPr>
          <w:ilvl w:val="0"/>
          <w:numId w:val="14"/>
        </w:numPr>
        <w:shd w:val="clear" w:color="auto" w:fill="FFFFFF" w:themeFill="background1"/>
        <w:adjustRightInd w:val="0"/>
        <w:snapToGrid w:val="0"/>
        <w:spacing w:before="120" w:after="120"/>
        <w:ind w:left="0" w:firstLine="816"/>
        <w:contextualSpacing w:val="0"/>
        <w:rPr>
          <w:kern w:val="22"/>
          <w:szCs w:val="22"/>
        </w:rPr>
      </w:pPr>
      <w:r w:rsidRPr="00CE31DF">
        <w:rPr>
          <w:i/>
          <w:kern w:val="22"/>
          <w:szCs w:val="22"/>
        </w:rPr>
        <w:t>Adopts</w:t>
      </w:r>
      <w:r w:rsidRPr="00CE31DF">
        <w:rPr>
          <w:kern w:val="22"/>
          <w:szCs w:val="22"/>
        </w:rPr>
        <w:t xml:space="preserve"> the </w:t>
      </w:r>
      <w:r w:rsidRPr="00CE31DF">
        <w:rPr>
          <w:kern w:val="22"/>
        </w:rPr>
        <w:t>Kunming-Montreal</w:t>
      </w:r>
      <w:r w:rsidRPr="00CE31DF">
        <w:rPr>
          <w:kern w:val="22"/>
          <w:szCs w:val="22"/>
        </w:rPr>
        <w:t xml:space="preserve"> Global Biodiversity Framework, as contained in the annex to the present decision;</w:t>
      </w:r>
    </w:p>
    <w:p w14:paraId="5B8A6087" w14:textId="77777777" w:rsidR="00E86051" w:rsidRPr="00CE31DF" w:rsidRDefault="00E86051" w:rsidP="00950BE4">
      <w:pPr>
        <w:pStyle w:val="ListParagraph"/>
        <w:numPr>
          <w:ilvl w:val="0"/>
          <w:numId w:val="14"/>
        </w:numPr>
        <w:shd w:val="clear" w:color="auto" w:fill="FFFFFF" w:themeFill="background1"/>
        <w:adjustRightInd w:val="0"/>
        <w:snapToGrid w:val="0"/>
        <w:spacing w:before="120" w:after="120"/>
        <w:ind w:left="0" w:firstLine="816"/>
        <w:contextualSpacing w:val="0"/>
        <w:rPr>
          <w:kern w:val="22"/>
          <w:szCs w:val="22"/>
        </w:rPr>
      </w:pPr>
      <w:r w:rsidRPr="00CE31DF">
        <w:rPr>
          <w:i/>
          <w:kern w:val="22"/>
          <w:szCs w:val="22"/>
        </w:rPr>
        <w:t xml:space="preserve">Notes </w:t>
      </w:r>
      <w:r w:rsidRPr="00CE31DF">
        <w:rPr>
          <w:kern w:val="22"/>
          <w:szCs w:val="22"/>
        </w:rPr>
        <w:t xml:space="preserve">that the implementation of the </w:t>
      </w:r>
      <w:r w:rsidRPr="00CE31DF">
        <w:rPr>
          <w:kern w:val="22"/>
        </w:rPr>
        <w:t>Kunming-Montreal</w:t>
      </w:r>
      <w:r w:rsidRPr="00CE31DF">
        <w:rPr>
          <w:kern w:val="22"/>
          <w:szCs w:val="22"/>
        </w:rPr>
        <w:t xml:space="preserve"> Global Biodiversity Framework will be supported by the following decisions adopted by the Conference of the Parties at its fifteenth meeting and </w:t>
      </w:r>
      <w:r w:rsidRPr="00CE31DF">
        <w:rPr>
          <w:iCs/>
          <w:kern w:val="22"/>
          <w:szCs w:val="22"/>
        </w:rPr>
        <w:t>affirms</w:t>
      </w:r>
      <w:r w:rsidRPr="00CE31DF">
        <w:rPr>
          <w:kern w:val="22"/>
          <w:szCs w:val="22"/>
        </w:rPr>
        <w:t xml:space="preserve"> that these decisions are of equal standing to the </w:t>
      </w:r>
      <w:r w:rsidRPr="00CE31DF">
        <w:rPr>
          <w:kern w:val="22"/>
        </w:rPr>
        <w:t>Kunming-Montreal</w:t>
      </w:r>
      <w:r w:rsidRPr="00CE31DF">
        <w:rPr>
          <w:kern w:val="22"/>
          <w:szCs w:val="22"/>
        </w:rPr>
        <w:t xml:space="preserve"> Global Biodiversity Framework;</w:t>
      </w:r>
    </w:p>
    <w:p w14:paraId="66A61519" w14:textId="77777777" w:rsidR="00E86051" w:rsidRPr="00CE31DF" w:rsidRDefault="00E86051" w:rsidP="00950BE4">
      <w:pPr>
        <w:pStyle w:val="BodyText"/>
        <w:numPr>
          <w:ilvl w:val="0"/>
          <w:numId w:val="15"/>
        </w:numPr>
        <w:shd w:val="clear" w:color="auto" w:fill="FFFFFF" w:themeFill="background1"/>
        <w:adjustRightInd w:val="0"/>
        <w:snapToGrid w:val="0"/>
        <w:ind w:left="0" w:firstLine="709"/>
        <w:rPr>
          <w:kern w:val="22"/>
          <w:szCs w:val="22"/>
        </w:rPr>
      </w:pPr>
      <w:r w:rsidRPr="00CE31DF">
        <w:rPr>
          <w:iCs w:val="0"/>
          <w:kern w:val="22"/>
          <w:szCs w:val="22"/>
        </w:rPr>
        <w:t xml:space="preserve">Decision 15/5 on the monitoring framework for the </w:t>
      </w:r>
      <w:r w:rsidRPr="00CE31DF">
        <w:rPr>
          <w:kern w:val="22"/>
        </w:rPr>
        <w:t>Kunming-Montreal</w:t>
      </w:r>
      <w:r w:rsidRPr="00CE31DF">
        <w:rPr>
          <w:iCs w:val="0"/>
          <w:kern w:val="22"/>
          <w:szCs w:val="22"/>
        </w:rPr>
        <w:t xml:space="preserve"> Global Biodiversity Framework;</w:t>
      </w:r>
    </w:p>
    <w:p w14:paraId="0C845C2B" w14:textId="77777777" w:rsidR="00E86051" w:rsidRPr="00CE31DF" w:rsidRDefault="00E86051" w:rsidP="00950BE4">
      <w:pPr>
        <w:pStyle w:val="BodyText"/>
        <w:numPr>
          <w:ilvl w:val="0"/>
          <w:numId w:val="15"/>
        </w:numPr>
        <w:shd w:val="clear" w:color="auto" w:fill="FFFFFF" w:themeFill="background1"/>
        <w:adjustRightInd w:val="0"/>
        <w:snapToGrid w:val="0"/>
        <w:ind w:left="0" w:firstLine="709"/>
        <w:rPr>
          <w:kern w:val="22"/>
          <w:szCs w:val="22"/>
        </w:rPr>
      </w:pPr>
      <w:r w:rsidRPr="00CE31DF">
        <w:rPr>
          <w:iCs w:val="0"/>
          <w:kern w:val="22"/>
          <w:szCs w:val="22"/>
        </w:rPr>
        <w:lastRenderedPageBreak/>
        <w:t xml:space="preserve">Decision 15/6 on </w:t>
      </w:r>
      <w:r w:rsidRPr="00CE31DF">
        <w:rPr>
          <w:kern w:val="22"/>
          <w:szCs w:val="22"/>
        </w:rPr>
        <w:t>planning, monitoring, reporting and review;</w:t>
      </w:r>
    </w:p>
    <w:p w14:paraId="4CD0894E" w14:textId="77777777" w:rsidR="00E86051" w:rsidRPr="00CE31DF" w:rsidRDefault="00E86051" w:rsidP="00854BF8">
      <w:pPr>
        <w:pStyle w:val="BodyText"/>
        <w:shd w:val="clear" w:color="auto" w:fill="FFFFFF" w:themeFill="background1"/>
        <w:adjustRightInd w:val="0"/>
        <w:snapToGrid w:val="0"/>
        <w:ind w:firstLine="709"/>
        <w:rPr>
          <w:kern w:val="22"/>
          <w:szCs w:val="22"/>
        </w:rPr>
      </w:pPr>
      <w:r w:rsidRPr="00CE31DF">
        <w:rPr>
          <w:iCs w:val="0"/>
          <w:kern w:val="22"/>
          <w:szCs w:val="22"/>
        </w:rPr>
        <w:t>(c)</w:t>
      </w:r>
      <w:r w:rsidRPr="00CE31DF">
        <w:rPr>
          <w:iCs w:val="0"/>
          <w:kern w:val="22"/>
          <w:szCs w:val="22"/>
        </w:rPr>
        <w:tab/>
        <w:t xml:space="preserve">Decision 15/7 on </w:t>
      </w:r>
      <w:r w:rsidRPr="00CE31DF">
        <w:rPr>
          <w:kern w:val="22"/>
          <w:szCs w:val="22"/>
        </w:rPr>
        <w:t>resource mobilization;</w:t>
      </w:r>
    </w:p>
    <w:p w14:paraId="77304B33" w14:textId="77777777" w:rsidR="00E86051" w:rsidRPr="00CE31DF" w:rsidRDefault="00E86051" w:rsidP="00854BF8">
      <w:pPr>
        <w:pStyle w:val="BodyText"/>
        <w:shd w:val="clear" w:color="auto" w:fill="FFFFFF" w:themeFill="background1"/>
        <w:adjustRightInd w:val="0"/>
        <w:snapToGrid w:val="0"/>
        <w:ind w:firstLine="709"/>
        <w:rPr>
          <w:kern w:val="22"/>
          <w:szCs w:val="22"/>
        </w:rPr>
      </w:pPr>
      <w:r w:rsidRPr="00CE31DF">
        <w:rPr>
          <w:iCs w:val="0"/>
          <w:kern w:val="22"/>
          <w:szCs w:val="22"/>
        </w:rPr>
        <w:t>(d)</w:t>
      </w:r>
      <w:r w:rsidRPr="00CE31DF">
        <w:rPr>
          <w:iCs w:val="0"/>
          <w:kern w:val="22"/>
          <w:szCs w:val="22"/>
        </w:rPr>
        <w:tab/>
        <w:t xml:space="preserve">Decision 15/8 on </w:t>
      </w:r>
      <w:r w:rsidRPr="00CE31DF">
        <w:rPr>
          <w:kern w:val="22"/>
          <w:szCs w:val="22"/>
        </w:rPr>
        <w:t xml:space="preserve">capacity-building and development </w:t>
      </w:r>
      <w:r w:rsidRPr="00CE31DF">
        <w:t>and technical and scientific cooperation</w:t>
      </w:r>
      <w:r w:rsidRPr="00CE31DF">
        <w:rPr>
          <w:kern w:val="22"/>
          <w:szCs w:val="22"/>
        </w:rPr>
        <w:t>;</w:t>
      </w:r>
    </w:p>
    <w:p w14:paraId="12C1E9E0" w14:textId="77777777" w:rsidR="00E86051" w:rsidRPr="00CE31DF" w:rsidRDefault="00E86051" w:rsidP="00950BE4">
      <w:pPr>
        <w:pStyle w:val="BodyText"/>
        <w:numPr>
          <w:ilvl w:val="0"/>
          <w:numId w:val="19"/>
        </w:numPr>
        <w:shd w:val="clear" w:color="auto" w:fill="FFFFFF" w:themeFill="background1"/>
        <w:adjustRightInd w:val="0"/>
        <w:snapToGrid w:val="0"/>
        <w:ind w:left="1418" w:hanging="709"/>
        <w:rPr>
          <w:iCs w:val="0"/>
          <w:kern w:val="22"/>
          <w:szCs w:val="22"/>
        </w:rPr>
      </w:pPr>
      <w:r w:rsidRPr="00CE31DF">
        <w:rPr>
          <w:iCs w:val="0"/>
          <w:kern w:val="22"/>
          <w:szCs w:val="22"/>
        </w:rPr>
        <w:t>Decision 15/9 on digital sequence information on genetic resources;</w:t>
      </w:r>
    </w:p>
    <w:p w14:paraId="34360414" w14:textId="77777777" w:rsidR="00E86051" w:rsidRPr="00CE31DF" w:rsidRDefault="00E86051" w:rsidP="00950BE4">
      <w:pPr>
        <w:pStyle w:val="BodyText"/>
        <w:numPr>
          <w:ilvl w:val="0"/>
          <w:numId w:val="19"/>
        </w:numPr>
        <w:shd w:val="clear" w:color="auto" w:fill="FFFFFF" w:themeFill="background1"/>
        <w:adjustRightInd w:val="0"/>
        <w:snapToGrid w:val="0"/>
        <w:ind w:left="1418" w:hanging="709"/>
        <w:rPr>
          <w:iCs w:val="0"/>
          <w:kern w:val="22"/>
          <w:szCs w:val="22"/>
        </w:rPr>
      </w:pPr>
      <w:r w:rsidRPr="00CE31DF">
        <w:rPr>
          <w:iCs w:val="0"/>
          <w:kern w:val="22"/>
          <w:szCs w:val="22"/>
        </w:rPr>
        <w:t>Decision 15/13 on cooperation with other Conventions and international organizations.</w:t>
      </w:r>
    </w:p>
    <w:p w14:paraId="1747349B" w14:textId="77777777" w:rsidR="00E86051" w:rsidRPr="00CE31DF" w:rsidRDefault="00E86051" w:rsidP="00854BF8">
      <w:pPr>
        <w:pStyle w:val="BodyText"/>
        <w:shd w:val="clear" w:color="auto" w:fill="FFFFFF" w:themeFill="background1"/>
        <w:adjustRightInd w:val="0"/>
        <w:snapToGrid w:val="0"/>
        <w:rPr>
          <w:kern w:val="22"/>
          <w:szCs w:val="22"/>
        </w:rPr>
      </w:pPr>
      <w:r w:rsidRPr="00CE31DF">
        <w:rPr>
          <w:kern w:val="22"/>
          <w:szCs w:val="22"/>
        </w:rPr>
        <w:t>3.</w:t>
      </w:r>
      <w:r w:rsidRPr="00CE31DF">
        <w:rPr>
          <w:kern w:val="22"/>
          <w:szCs w:val="22"/>
        </w:rPr>
        <w:tab/>
      </w:r>
      <w:r w:rsidRPr="00CE31DF">
        <w:rPr>
          <w:i/>
          <w:iCs w:val="0"/>
          <w:kern w:val="22"/>
          <w:szCs w:val="22"/>
        </w:rPr>
        <w:t>Also</w:t>
      </w:r>
      <w:r w:rsidRPr="00CE31DF">
        <w:rPr>
          <w:kern w:val="22"/>
          <w:szCs w:val="22"/>
        </w:rPr>
        <w:t xml:space="preserve"> </w:t>
      </w:r>
      <w:r w:rsidRPr="00CE31DF">
        <w:rPr>
          <w:i/>
          <w:iCs w:val="0"/>
          <w:kern w:val="22"/>
          <w:szCs w:val="22"/>
        </w:rPr>
        <w:t>notes</w:t>
      </w:r>
      <w:r w:rsidRPr="00CE31DF">
        <w:rPr>
          <w:kern w:val="22"/>
          <w:szCs w:val="22"/>
        </w:rPr>
        <w:t xml:space="preserve"> that the implementation of the </w:t>
      </w:r>
      <w:r w:rsidRPr="00CE31DF">
        <w:rPr>
          <w:kern w:val="22"/>
        </w:rPr>
        <w:t>Kunming-Montreal</w:t>
      </w:r>
      <w:r w:rsidRPr="00CE31DF">
        <w:rPr>
          <w:kern w:val="22"/>
          <w:szCs w:val="22"/>
        </w:rPr>
        <w:t xml:space="preserve"> Global Biodiversity Framework will be supported by relevant decisions adopted by the Conference of the Parties serving as the meeting of the Parties to the Protocols, in particular the Implementation Plan for the Cartagena Protocol on Biosafety and the Capacity-building Action Plan for the Cartagena Protocol on Biosafety;</w:t>
      </w:r>
      <w:r w:rsidRPr="00610646">
        <w:rPr>
          <w:rStyle w:val="FootnoteReference"/>
        </w:rPr>
        <w:footnoteReference w:id="22"/>
      </w:r>
      <w:r w:rsidRPr="00CE31DF">
        <w:rPr>
          <w:kern w:val="22"/>
          <w:szCs w:val="22"/>
        </w:rPr>
        <w:t xml:space="preserve"> </w:t>
      </w:r>
    </w:p>
    <w:p w14:paraId="21B9E0C6" w14:textId="77777777" w:rsidR="00E86051" w:rsidRPr="00CE31DF" w:rsidRDefault="00E86051" w:rsidP="00854BF8">
      <w:pPr>
        <w:pStyle w:val="BodyText"/>
        <w:shd w:val="clear" w:color="auto" w:fill="FFFFFF" w:themeFill="background1"/>
        <w:adjustRightInd w:val="0"/>
        <w:snapToGrid w:val="0"/>
        <w:rPr>
          <w:iCs w:val="0"/>
          <w:kern w:val="22"/>
          <w:szCs w:val="22"/>
        </w:rPr>
      </w:pPr>
      <w:r w:rsidRPr="00CE31DF">
        <w:rPr>
          <w:iCs w:val="0"/>
          <w:kern w:val="22"/>
          <w:szCs w:val="22"/>
        </w:rPr>
        <w:t>4.</w:t>
      </w:r>
      <w:r w:rsidRPr="00CE31DF">
        <w:rPr>
          <w:iCs w:val="0"/>
          <w:kern w:val="22"/>
          <w:szCs w:val="22"/>
        </w:rPr>
        <w:tab/>
      </w:r>
      <w:r w:rsidRPr="00CE31DF">
        <w:rPr>
          <w:i/>
          <w:kern w:val="22"/>
          <w:szCs w:val="22"/>
        </w:rPr>
        <w:t xml:space="preserve">Urges </w:t>
      </w:r>
      <w:r w:rsidRPr="00CE31DF">
        <w:rPr>
          <w:iCs w:val="0"/>
          <w:kern w:val="22"/>
          <w:szCs w:val="22"/>
        </w:rPr>
        <w:t xml:space="preserve">Parties and other Governments, with the support of intergovernmental and other organizations, as appropriate, to implement the </w:t>
      </w:r>
      <w:r w:rsidRPr="00CE31DF">
        <w:rPr>
          <w:kern w:val="22"/>
        </w:rPr>
        <w:t>Kunming-Montreal</w:t>
      </w:r>
      <w:r w:rsidRPr="00CE31DF">
        <w:rPr>
          <w:kern w:val="22"/>
          <w:szCs w:val="22"/>
        </w:rPr>
        <w:t xml:space="preserve"> </w:t>
      </w:r>
      <w:r w:rsidRPr="00CE31DF">
        <w:rPr>
          <w:iCs w:val="0"/>
          <w:kern w:val="22"/>
          <w:szCs w:val="22"/>
        </w:rPr>
        <w:t>Global Biodiversity Framework, and</w:t>
      </w:r>
      <w:r w:rsidRPr="00CE31DF">
        <w:rPr>
          <w:kern w:val="22"/>
          <w:szCs w:val="22"/>
        </w:rPr>
        <w:t>,</w:t>
      </w:r>
      <w:r w:rsidRPr="00CE31DF">
        <w:rPr>
          <w:iCs w:val="0"/>
          <w:kern w:val="22"/>
          <w:szCs w:val="22"/>
        </w:rPr>
        <w:t xml:space="preserve"> in particular</w:t>
      </w:r>
      <w:r w:rsidRPr="00CE31DF">
        <w:rPr>
          <w:kern w:val="22"/>
          <w:szCs w:val="22"/>
        </w:rPr>
        <w:t>,</w:t>
      </w:r>
      <w:r w:rsidRPr="00CE31DF">
        <w:rPr>
          <w:iCs w:val="0"/>
          <w:kern w:val="22"/>
          <w:szCs w:val="22"/>
        </w:rPr>
        <w:t xml:space="preserve"> to</w:t>
      </w:r>
      <w:r w:rsidRPr="00CE31DF">
        <w:rPr>
          <w:rFonts w:eastAsia="SimSun" w:hint="eastAsia"/>
          <w:iCs w:val="0"/>
          <w:kern w:val="22"/>
          <w:szCs w:val="22"/>
          <w:lang w:val="en-US" w:eastAsia="zh-CN"/>
        </w:rPr>
        <w:t xml:space="preserve"> </w:t>
      </w:r>
      <w:r w:rsidRPr="00CE31DF">
        <w:rPr>
          <w:iCs w:val="0"/>
          <w:kern w:val="22"/>
          <w:szCs w:val="22"/>
        </w:rPr>
        <w:t>enable participation at all levels of government, with a view to fostering the full and effective contributions of women, youth, indigenous peoples and local communities, civil society organizations, the private and financial sectors, and stakeholders from all other sectors, to that end;</w:t>
      </w:r>
    </w:p>
    <w:p w14:paraId="72F0C3D3" w14:textId="77777777" w:rsidR="00E86051" w:rsidRPr="00CE31DF" w:rsidRDefault="00E86051" w:rsidP="00854BF8">
      <w:pPr>
        <w:pStyle w:val="BodyText"/>
        <w:shd w:val="clear" w:color="auto" w:fill="FFFFFF" w:themeFill="background1"/>
        <w:adjustRightInd w:val="0"/>
        <w:snapToGrid w:val="0"/>
        <w:rPr>
          <w:i/>
          <w:kern w:val="22"/>
          <w:szCs w:val="22"/>
        </w:rPr>
      </w:pPr>
      <w:r w:rsidRPr="00CE31DF">
        <w:rPr>
          <w:iCs w:val="0"/>
          <w:kern w:val="22"/>
          <w:szCs w:val="22"/>
        </w:rPr>
        <w:t>5.</w:t>
      </w:r>
      <w:r w:rsidRPr="00CE31DF">
        <w:rPr>
          <w:iCs w:val="0"/>
          <w:kern w:val="22"/>
          <w:szCs w:val="22"/>
        </w:rPr>
        <w:tab/>
      </w:r>
      <w:r w:rsidRPr="00CE31DF">
        <w:rPr>
          <w:i/>
          <w:kern w:val="22"/>
        </w:rPr>
        <w:t>Invites</w:t>
      </w:r>
      <w:r w:rsidRPr="00CE31DF">
        <w:rPr>
          <w:kern w:val="22"/>
        </w:rPr>
        <w:t xml:space="preserve"> Parties and other Governments to cooperate at the transboundary, regional and international levels in implementing the Kunming-Montreal</w:t>
      </w:r>
      <w:r w:rsidRPr="00CE31DF">
        <w:rPr>
          <w:kern w:val="22"/>
          <w:szCs w:val="22"/>
        </w:rPr>
        <w:t xml:space="preserve"> </w:t>
      </w:r>
      <w:r w:rsidRPr="00CE31DF">
        <w:rPr>
          <w:kern w:val="22"/>
        </w:rPr>
        <w:t>Global Biodiversity Framework;</w:t>
      </w:r>
    </w:p>
    <w:p w14:paraId="199562D3" w14:textId="77777777" w:rsidR="00E86051" w:rsidRPr="00CE31DF" w:rsidRDefault="00E86051" w:rsidP="00854BF8">
      <w:pPr>
        <w:pStyle w:val="BodyText"/>
        <w:shd w:val="clear" w:color="auto" w:fill="FFFFFF" w:themeFill="background1"/>
        <w:adjustRightInd w:val="0"/>
        <w:snapToGrid w:val="0"/>
        <w:rPr>
          <w:kern w:val="22"/>
        </w:rPr>
      </w:pPr>
      <w:r w:rsidRPr="00CE31DF">
        <w:rPr>
          <w:iCs w:val="0"/>
          <w:kern w:val="22"/>
        </w:rPr>
        <w:t>6.</w:t>
      </w:r>
      <w:r w:rsidRPr="00CE31DF">
        <w:rPr>
          <w:iCs w:val="0"/>
          <w:kern w:val="22"/>
        </w:rPr>
        <w:tab/>
      </w:r>
      <w:r w:rsidRPr="00CE31DF">
        <w:rPr>
          <w:i/>
          <w:kern w:val="22"/>
        </w:rPr>
        <w:t xml:space="preserve">Reaffirms </w:t>
      </w:r>
      <w:r w:rsidRPr="00CE31DF">
        <w:rPr>
          <w:iCs w:val="0"/>
          <w:kern w:val="22"/>
        </w:rPr>
        <w:t xml:space="preserve">its expectation that Parties and other Governments will ensure that the rights of indigenous peoples and local communities are respected and given effect to in the implementation of the </w:t>
      </w:r>
      <w:r w:rsidRPr="00CE31DF">
        <w:rPr>
          <w:kern w:val="22"/>
        </w:rPr>
        <w:t>Kunming-Montreal</w:t>
      </w:r>
      <w:r w:rsidRPr="00CE31DF">
        <w:rPr>
          <w:kern w:val="22"/>
          <w:szCs w:val="22"/>
        </w:rPr>
        <w:t xml:space="preserve"> </w:t>
      </w:r>
      <w:r w:rsidRPr="00CE31DF">
        <w:rPr>
          <w:iCs w:val="0"/>
          <w:kern w:val="22"/>
        </w:rPr>
        <w:t>Global Biodiversity Framework;</w:t>
      </w:r>
    </w:p>
    <w:p w14:paraId="12FD0528" w14:textId="77777777" w:rsidR="00E86051" w:rsidRPr="00CE31DF" w:rsidRDefault="00E86051" w:rsidP="00854BF8">
      <w:pPr>
        <w:pStyle w:val="BodyText"/>
        <w:shd w:val="clear" w:color="auto" w:fill="FFFFFF" w:themeFill="background1"/>
        <w:adjustRightInd w:val="0"/>
        <w:snapToGrid w:val="0"/>
        <w:rPr>
          <w:kern w:val="22"/>
          <w:szCs w:val="22"/>
        </w:rPr>
      </w:pPr>
      <w:r w:rsidRPr="00CE31DF">
        <w:rPr>
          <w:iCs w:val="0"/>
          <w:kern w:val="22"/>
          <w:szCs w:val="22"/>
        </w:rPr>
        <w:t>7.</w:t>
      </w:r>
      <w:r w:rsidRPr="00CE31DF">
        <w:rPr>
          <w:iCs w:val="0"/>
          <w:kern w:val="22"/>
          <w:szCs w:val="22"/>
        </w:rPr>
        <w:tab/>
      </w:r>
      <w:r w:rsidRPr="00CE31DF">
        <w:rPr>
          <w:i/>
          <w:iCs w:val="0"/>
          <w:kern w:val="22"/>
          <w:szCs w:val="22"/>
        </w:rPr>
        <w:t>Invites</w:t>
      </w:r>
      <w:r w:rsidRPr="00CE31DF">
        <w:rPr>
          <w:kern w:val="22"/>
          <w:szCs w:val="22"/>
        </w:rPr>
        <w:t xml:space="preserve"> the General Assembly of the United Nations to acknowledge the </w:t>
      </w:r>
      <w:r w:rsidRPr="00CE31DF">
        <w:rPr>
          <w:kern w:val="22"/>
        </w:rPr>
        <w:t>Kunming</w:t>
      </w:r>
      <w:r w:rsidRPr="00CE31DF">
        <w:rPr>
          <w:kern w:val="22"/>
        </w:rPr>
        <w:noBreakHyphen/>
        <w:t>Montreal</w:t>
      </w:r>
      <w:r w:rsidRPr="00CE31DF">
        <w:rPr>
          <w:kern w:val="22"/>
          <w:szCs w:val="22"/>
        </w:rPr>
        <w:t xml:space="preserve"> Global Biodiversity Framework and to take into account the progress in its implementation when monitoring progress towards the Sustainable Development Goals;</w:t>
      </w:r>
    </w:p>
    <w:p w14:paraId="0FBB9478" w14:textId="77777777" w:rsidR="00E86051" w:rsidRPr="00CE31DF" w:rsidRDefault="00E86051" w:rsidP="00854BF8">
      <w:pPr>
        <w:pStyle w:val="BodyText"/>
        <w:shd w:val="clear" w:color="auto" w:fill="FFFFFF" w:themeFill="background1"/>
        <w:adjustRightInd w:val="0"/>
        <w:snapToGrid w:val="0"/>
        <w:rPr>
          <w:kern w:val="22"/>
          <w:szCs w:val="22"/>
        </w:rPr>
      </w:pPr>
      <w:r w:rsidRPr="00CE31DF">
        <w:rPr>
          <w:kern w:val="22"/>
          <w:szCs w:val="22"/>
        </w:rPr>
        <w:t>8.</w:t>
      </w:r>
      <w:r w:rsidRPr="00CE31DF">
        <w:rPr>
          <w:kern w:val="22"/>
          <w:szCs w:val="22"/>
        </w:rPr>
        <w:tab/>
      </w:r>
      <w:r w:rsidRPr="00CE31DF">
        <w:rPr>
          <w:i/>
          <w:iCs w:val="0"/>
          <w:kern w:val="22"/>
          <w:szCs w:val="22"/>
        </w:rPr>
        <w:t>D</w:t>
      </w:r>
      <w:r w:rsidRPr="00CE31DF">
        <w:rPr>
          <w:rFonts w:asciiTheme="majorBidi" w:hAnsiTheme="majorBidi" w:cstheme="majorBidi"/>
          <w:i/>
          <w:kern w:val="22"/>
          <w:lang w:val="en-US"/>
        </w:rPr>
        <w:t>ecides</w:t>
      </w:r>
      <w:r w:rsidRPr="00CE31DF">
        <w:rPr>
          <w:rFonts w:asciiTheme="majorBidi" w:hAnsiTheme="majorBidi" w:cstheme="majorBidi"/>
          <w:kern w:val="22"/>
          <w:lang w:val="en-US"/>
        </w:rPr>
        <w:t xml:space="preserve"> that the </w:t>
      </w:r>
      <w:r w:rsidRPr="00CE31DF">
        <w:rPr>
          <w:kern w:val="22"/>
        </w:rPr>
        <w:t>Kunming-Montreal</w:t>
      </w:r>
      <w:r w:rsidRPr="00CE31DF">
        <w:rPr>
          <w:kern w:val="22"/>
          <w:szCs w:val="22"/>
        </w:rPr>
        <w:t xml:space="preserve"> </w:t>
      </w:r>
      <w:r w:rsidRPr="00CE31DF">
        <w:rPr>
          <w:rFonts w:asciiTheme="majorBidi" w:hAnsiTheme="majorBidi" w:cstheme="majorBidi"/>
          <w:kern w:val="22"/>
          <w:lang w:val="en-US"/>
        </w:rPr>
        <w:t xml:space="preserve">Global Biodiversity Framework should be used as a strategic </w:t>
      </w:r>
      <w:r w:rsidRPr="00CE31DF">
        <w:rPr>
          <w:rFonts w:asciiTheme="majorBidi" w:hAnsiTheme="majorBidi" w:cstheme="majorBidi"/>
          <w:color w:val="000000" w:themeColor="text1"/>
          <w:kern w:val="22"/>
          <w:lang w:val="en-US"/>
        </w:rPr>
        <w:t>plan</w:t>
      </w:r>
      <w:r w:rsidRPr="00CE31DF">
        <w:rPr>
          <w:rFonts w:asciiTheme="majorBidi" w:eastAsia="SimSun" w:hAnsiTheme="majorBidi" w:cstheme="majorBidi" w:hint="eastAsia"/>
          <w:color w:val="000000" w:themeColor="text1"/>
          <w:kern w:val="22"/>
          <w:lang w:val="en-US" w:eastAsia="zh-CN"/>
        </w:rPr>
        <w:t xml:space="preserve"> </w:t>
      </w:r>
      <w:r w:rsidRPr="00CE31DF">
        <w:rPr>
          <w:rFonts w:asciiTheme="majorBidi" w:eastAsia="SimSun" w:hAnsiTheme="majorBidi" w:cstheme="majorBidi"/>
          <w:color w:val="000000" w:themeColor="text1"/>
          <w:kern w:val="22"/>
          <w:lang w:val="en-US" w:eastAsia="zh-CN"/>
        </w:rPr>
        <w:t>for the implementation of</w:t>
      </w:r>
      <w:r w:rsidRPr="00CE31DF">
        <w:rPr>
          <w:rFonts w:asciiTheme="majorBidi" w:hAnsiTheme="majorBidi" w:cstheme="majorBidi"/>
          <w:color w:val="000000" w:themeColor="text1"/>
          <w:kern w:val="22"/>
          <w:lang w:val="en-US"/>
        </w:rPr>
        <w:t xml:space="preserve"> the Convention </w:t>
      </w:r>
      <w:r w:rsidRPr="00CE31DF">
        <w:rPr>
          <w:rFonts w:asciiTheme="majorBidi" w:hAnsiTheme="majorBidi" w:cstheme="majorBidi"/>
          <w:kern w:val="22"/>
          <w:lang w:val="en-US"/>
        </w:rPr>
        <w:t>and its Protocols, its bodies and its Secretariat over the period 2022</w:t>
      </w:r>
      <w:r w:rsidRPr="00CE31DF">
        <w:rPr>
          <w:snapToGrid w:val="0"/>
          <w:kern w:val="22"/>
        </w:rPr>
        <w:t>–</w:t>
      </w:r>
      <w:r w:rsidRPr="00CE31DF">
        <w:rPr>
          <w:rFonts w:asciiTheme="majorBidi" w:hAnsiTheme="majorBidi" w:cstheme="majorBidi"/>
          <w:kern w:val="22"/>
          <w:lang w:val="en-US"/>
        </w:rPr>
        <w:t>2030 and that, in this regard, the Framework should be used to better align and direct the work of the various bodies of the Convention and its Protocols, its Secretariat and its budget according to the goals and targets of the Framework;</w:t>
      </w:r>
    </w:p>
    <w:p w14:paraId="2CA5ECB6" w14:textId="77777777" w:rsidR="00274F3B" w:rsidRPr="00555EDE" w:rsidRDefault="00E86051" w:rsidP="00FB3B90">
      <w:pPr>
        <w:pStyle w:val="BodyText"/>
        <w:shd w:val="clear" w:color="auto" w:fill="FFFFFF" w:themeFill="background1"/>
        <w:adjustRightInd w:val="0"/>
        <w:snapToGrid w:val="0"/>
        <w:rPr>
          <w:szCs w:val="22"/>
        </w:rPr>
      </w:pPr>
      <w:r w:rsidRPr="00CE31DF">
        <w:rPr>
          <w:iCs w:val="0"/>
          <w:kern w:val="22"/>
          <w:szCs w:val="22"/>
        </w:rPr>
        <w:t>9.</w:t>
      </w:r>
      <w:r w:rsidRPr="00CE31DF">
        <w:rPr>
          <w:iCs w:val="0"/>
          <w:kern w:val="22"/>
          <w:szCs w:val="22"/>
        </w:rPr>
        <w:tab/>
      </w:r>
      <w:r w:rsidRPr="00CE31DF">
        <w:rPr>
          <w:i/>
          <w:kern w:val="22"/>
          <w:szCs w:val="22"/>
        </w:rPr>
        <w:t xml:space="preserve">Requests </w:t>
      </w:r>
      <w:r w:rsidRPr="00CE31DF">
        <w:rPr>
          <w:iCs w:val="0"/>
          <w:kern w:val="22"/>
          <w:szCs w:val="22"/>
        </w:rPr>
        <w:t xml:space="preserve">the Executive Secretary to </w:t>
      </w:r>
      <w:r w:rsidRPr="00CE31DF">
        <w:rPr>
          <w:szCs w:val="22"/>
        </w:rPr>
        <w:t xml:space="preserve">conduct a strategic review and analysis of the programmes of work of the Convention in the context of the </w:t>
      </w:r>
      <w:r w:rsidRPr="00CE31DF">
        <w:rPr>
          <w:kern w:val="22"/>
        </w:rPr>
        <w:t>Kunming-Montreal</w:t>
      </w:r>
      <w:r w:rsidRPr="00CE31DF">
        <w:rPr>
          <w:kern w:val="22"/>
          <w:szCs w:val="22"/>
        </w:rPr>
        <w:t xml:space="preserve"> </w:t>
      </w:r>
      <w:r w:rsidRPr="00CE31DF">
        <w:rPr>
          <w:szCs w:val="22"/>
        </w:rPr>
        <w:t xml:space="preserve">Global Biodiversity Framework to facilitate its implementation, and, on the basis of this analysis, to prepare draft updates of these programmes of work for consideration by the Subsidiary Body on Scientific, Technical and Technological Advice and by the Subsidiary Body on Implementation, as appropriate, at meetings during the period between the fifteenth and sixteenth meetings </w:t>
      </w:r>
      <w:r w:rsidRPr="00555EDE">
        <w:rPr>
          <w:szCs w:val="22"/>
        </w:rPr>
        <w:t>of the Conference of the Parties, and to report on this work to the Conference of the Parties at its sixteenth meeting.</w:t>
      </w:r>
    </w:p>
    <w:p w14:paraId="465B43F8" w14:textId="77777777" w:rsidR="00E86051" w:rsidRPr="00CE31DF" w:rsidRDefault="00E86051" w:rsidP="00274F3B">
      <w:pPr>
        <w:tabs>
          <w:tab w:val="left" w:pos="2228"/>
        </w:tabs>
        <w:spacing w:before="240" w:after="120"/>
        <w:jc w:val="center"/>
        <w:rPr>
          <w:i/>
          <w:iCs/>
          <w:color w:val="000000" w:themeColor="text1"/>
          <w:szCs w:val="22"/>
        </w:rPr>
      </w:pPr>
      <w:r w:rsidRPr="00CE31DF">
        <w:rPr>
          <w:i/>
          <w:iCs/>
          <w:color w:val="000000" w:themeColor="text1"/>
          <w:szCs w:val="22"/>
        </w:rPr>
        <w:t>Annex</w:t>
      </w:r>
    </w:p>
    <w:p w14:paraId="364B59E2" w14:textId="77777777" w:rsidR="00E86051" w:rsidRPr="00CE31DF" w:rsidRDefault="00E86051" w:rsidP="00274F3B">
      <w:pPr>
        <w:tabs>
          <w:tab w:val="left" w:pos="2228"/>
        </w:tabs>
        <w:spacing w:before="120" w:after="120"/>
        <w:jc w:val="center"/>
        <w:rPr>
          <w:i/>
          <w:iCs/>
          <w:color w:val="000000" w:themeColor="text1"/>
          <w:szCs w:val="22"/>
        </w:rPr>
      </w:pPr>
      <w:r w:rsidRPr="00CE31DF">
        <w:rPr>
          <w:b/>
          <w:bCs/>
          <w:kern w:val="22"/>
          <w:szCs w:val="22"/>
        </w:rPr>
        <w:t xml:space="preserve">Kunming-Montreal </w:t>
      </w:r>
      <w:r w:rsidRPr="00CE31DF">
        <w:rPr>
          <w:rFonts w:ascii="Times New Roman Bold" w:hAnsi="Times New Roman Bold"/>
          <w:b/>
          <w:bCs/>
          <w:kern w:val="22"/>
          <w:szCs w:val="22"/>
        </w:rPr>
        <w:t>Global Biodiversity Framework</w:t>
      </w:r>
    </w:p>
    <w:p w14:paraId="03C41650" w14:textId="77777777" w:rsidR="00E86051" w:rsidRPr="00CE31DF" w:rsidRDefault="00E86051" w:rsidP="00274F3B">
      <w:pPr>
        <w:keepNext/>
        <w:tabs>
          <w:tab w:val="left" w:pos="2228"/>
        </w:tabs>
        <w:spacing w:before="120" w:after="120"/>
        <w:jc w:val="center"/>
        <w:rPr>
          <w:b/>
          <w:bCs/>
          <w:color w:val="000000" w:themeColor="text1"/>
          <w:szCs w:val="22"/>
        </w:rPr>
      </w:pPr>
      <w:r w:rsidRPr="00CE31DF">
        <w:rPr>
          <w:b/>
          <w:bCs/>
          <w:color w:val="000000" w:themeColor="text1"/>
          <w:szCs w:val="22"/>
        </w:rPr>
        <w:t>Section A.  Background</w:t>
      </w:r>
    </w:p>
    <w:p w14:paraId="14989B0F" w14:textId="77777777" w:rsidR="00E86051" w:rsidRPr="00CE31DF" w:rsidRDefault="00E86051" w:rsidP="00950BE4">
      <w:pPr>
        <w:pStyle w:val="Para1"/>
        <w:numPr>
          <w:ilvl w:val="0"/>
          <w:numId w:val="16"/>
        </w:numPr>
        <w:tabs>
          <w:tab w:val="clear" w:pos="360"/>
        </w:tabs>
        <w:overflowPunct/>
        <w:autoSpaceDE/>
        <w:autoSpaceDN/>
        <w:snapToGrid/>
        <w:spacing w:before="120"/>
        <w:rPr>
          <w:rFonts w:eastAsiaTheme="minorEastAsia"/>
          <w:color w:val="000000" w:themeColor="text1"/>
        </w:rPr>
      </w:pPr>
      <w:r w:rsidRPr="00CE31DF">
        <w:rPr>
          <w:color w:val="000000" w:themeColor="text1"/>
        </w:rPr>
        <w:t xml:space="preserve">Biodiversity is fundamental to human well-being, a healthy planet, and economic prosperity for all people, including for living well in balance and in harmony with Mother Earth. We depend on it for food, medicine, energy, clean air and water, security from natural disasters as well as recreation and cultural inspiration, and it supports all systems of life on Earth. </w:t>
      </w:r>
    </w:p>
    <w:p w14:paraId="3D81576E" w14:textId="77777777" w:rsidR="00E86051" w:rsidRPr="00CE31DF" w:rsidRDefault="00E86051" w:rsidP="00950BE4">
      <w:pPr>
        <w:pStyle w:val="Para1"/>
        <w:numPr>
          <w:ilvl w:val="0"/>
          <w:numId w:val="16"/>
        </w:numPr>
        <w:tabs>
          <w:tab w:val="clear" w:pos="360"/>
        </w:tabs>
        <w:overflowPunct/>
        <w:autoSpaceDE/>
        <w:autoSpaceDN/>
        <w:snapToGrid/>
        <w:spacing w:before="60" w:after="60"/>
        <w:rPr>
          <w:color w:val="000000" w:themeColor="text1"/>
        </w:rPr>
      </w:pPr>
      <w:r w:rsidRPr="00CE31DF">
        <w:lastRenderedPageBreak/>
        <w:t xml:space="preserve">The Kunming-Montreal Global Biodiversity Framework seeks to respond to </w:t>
      </w:r>
      <w:r w:rsidRPr="00CE31DF">
        <w:rPr>
          <w:color w:val="000000" w:themeColor="text1"/>
        </w:rPr>
        <w:t xml:space="preserve">the </w:t>
      </w:r>
      <w:r w:rsidRPr="00CE31DF">
        <w:rPr>
          <w:i/>
          <w:iCs/>
          <w:color w:val="000000" w:themeColor="text1"/>
        </w:rPr>
        <w:t>Global Assessment Report of Biodiversity and Ecosystem Services</w:t>
      </w:r>
      <w:r w:rsidRPr="00CE31DF">
        <w:rPr>
          <w:color w:val="000000" w:themeColor="text1"/>
        </w:rPr>
        <w:t xml:space="preserve"> issued by the Intergovernmental Science-Policy Platform on Biodiversity and Ecosystem Services (IPBES),</w:t>
      </w:r>
      <w:r w:rsidRPr="00610646">
        <w:rPr>
          <w:rStyle w:val="FootnoteReference"/>
        </w:rPr>
        <w:footnoteReference w:id="23"/>
      </w:r>
      <w:r w:rsidRPr="00CE31DF">
        <w:rPr>
          <w:color w:val="000000" w:themeColor="text1"/>
        </w:rPr>
        <w:t xml:space="preserve"> the fifth edition of the </w:t>
      </w:r>
      <w:r w:rsidRPr="00CE31DF">
        <w:rPr>
          <w:i/>
          <w:iCs/>
          <w:color w:val="000000" w:themeColor="text1"/>
        </w:rPr>
        <w:t>Global Biodiversity Outlook</w:t>
      </w:r>
      <w:r w:rsidRPr="00CE31DF">
        <w:rPr>
          <w:color w:val="000000" w:themeColor="text1"/>
        </w:rPr>
        <w:t>,</w:t>
      </w:r>
      <w:r w:rsidRPr="00610646">
        <w:rPr>
          <w:rStyle w:val="FootnoteReference"/>
        </w:rPr>
        <w:footnoteReference w:id="24"/>
      </w:r>
      <w:r w:rsidRPr="00CE31DF">
        <w:rPr>
          <w:color w:val="000000" w:themeColor="text1"/>
        </w:rPr>
        <w:t xml:space="preserve"> and many other scientific documents that provide ample evidence that, despite ongoing efforts, biodiversity is deteriorating worldwide at rates unprecedented in human history. As the IPBES global assessment report states:</w:t>
      </w:r>
      <w:r w:rsidRPr="00610646">
        <w:rPr>
          <w:rStyle w:val="FootnoteReference"/>
        </w:rPr>
        <w:footnoteReference w:id="25"/>
      </w:r>
    </w:p>
    <w:p w14:paraId="2603EDA8" w14:textId="77777777" w:rsidR="00E86051" w:rsidRPr="00CE31DF" w:rsidRDefault="00E86051">
      <w:pPr>
        <w:pStyle w:val="Para1"/>
        <w:numPr>
          <w:ilvl w:val="0"/>
          <w:numId w:val="0"/>
        </w:numPr>
        <w:ind w:left="596"/>
        <w:rPr>
          <w:color w:val="000000" w:themeColor="text1"/>
        </w:rPr>
      </w:pPr>
      <w:r w:rsidRPr="00CE31DF">
        <w:rPr>
          <w:color w:val="000000" w:themeColor="text1"/>
        </w:rPr>
        <w:t>An average of around 25 per cent of species in assessed animal and plant groups are threatened, suggesting that around 1 million species already face extinction, many within decades, unless action is taken to reduce the intensity of drivers of biodiversity loss. Without such action, there will be a further acceleration in the global rate of species extinction, which is already at least tens to hundreds of times higher than it has averaged over the past 10 million years.</w:t>
      </w:r>
      <w:r w:rsidRPr="00CE31DF" w:rsidDel="006C2BFA">
        <w:rPr>
          <w:color w:val="000000" w:themeColor="text1"/>
        </w:rPr>
        <w:t xml:space="preserve"> </w:t>
      </w:r>
    </w:p>
    <w:p w14:paraId="7FC0FF93" w14:textId="77777777" w:rsidR="00E86051" w:rsidRPr="00CE31DF" w:rsidRDefault="00E86051">
      <w:pPr>
        <w:pStyle w:val="Para1"/>
        <w:numPr>
          <w:ilvl w:val="0"/>
          <w:numId w:val="0"/>
        </w:numPr>
        <w:ind w:left="596"/>
        <w:rPr>
          <w:color w:val="000000" w:themeColor="text1"/>
        </w:rPr>
      </w:pPr>
      <w:r w:rsidRPr="00CE31DF">
        <w:rPr>
          <w:color w:val="000000" w:themeColor="text1"/>
        </w:rPr>
        <w:t xml:space="preserve">The biosphere, upon which humanity as a whole depends, is being altered to an unparalleled degree across all spatial scales. Biodiversity – the diversity within species, between species and of ecosystems – is declining faster than at any time in human history. </w:t>
      </w:r>
    </w:p>
    <w:p w14:paraId="2A19976D" w14:textId="77777777" w:rsidR="00E86051" w:rsidRPr="00CE31DF" w:rsidRDefault="00E86051">
      <w:pPr>
        <w:pStyle w:val="Para1"/>
        <w:numPr>
          <w:ilvl w:val="0"/>
          <w:numId w:val="0"/>
        </w:numPr>
        <w:ind w:left="596"/>
        <w:rPr>
          <w:color w:val="000000" w:themeColor="text1"/>
        </w:rPr>
      </w:pPr>
      <w:r w:rsidRPr="00CE31DF">
        <w:rPr>
          <w:color w:val="000000" w:themeColor="text1"/>
        </w:rPr>
        <w:t xml:space="preserve">Nature can be conserved, restored and used sustainably while other global societal goals are simultaneously met through urgent and concerted efforts fostering transformative change. </w:t>
      </w:r>
    </w:p>
    <w:p w14:paraId="32D2EF2A" w14:textId="77777777" w:rsidR="00E86051" w:rsidRPr="00CE31DF" w:rsidRDefault="00E86051" w:rsidP="006C2BFA">
      <w:pPr>
        <w:pStyle w:val="Para1"/>
        <w:numPr>
          <w:ilvl w:val="0"/>
          <w:numId w:val="0"/>
        </w:numPr>
        <w:ind w:left="596"/>
        <w:rPr>
          <w:color w:val="000000" w:themeColor="text1"/>
        </w:rPr>
      </w:pPr>
      <w:r w:rsidRPr="00CE31DF">
        <w:rPr>
          <w:color w:val="000000" w:themeColor="text1"/>
        </w:rPr>
        <w:t>The direct drivers of change in nature with the largest global impact have been (starting with those with the most impact) changes in land and sea use, direct exploitation of organisms, climate change, pollution and invasion of alien species. Those five direct drivers result from an array of underlying causes, the indirect drivers of change, which are, in turn, underpinned by social values and behaviours (…)The rate of change in the direct and indirect drivers differs among regions and countries.</w:t>
      </w:r>
    </w:p>
    <w:p w14:paraId="612DEB6F" w14:textId="77777777" w:rsidR="00E86051" w:rsidRPr="00CE31DF" w:rsidRDefault="00E86051">
      <w:pPr>
        <w:tabs>
          <w:tab w:val="left" w:pos="567"/>
          <w:tab w:val="left" w:pos="2228"/>
        </w:tabs>
        <w:rPr>
          <w:color w:val="000000" w:themeColor="text1"/>
          <w:szCs w:val="22"/>
        </w:rPr>
      </w:pPr>
      <w:r w:rsidRPr="00CE31DF">
        <w:rPr>
          <w:color w:val="000000" w:themeColor="text1"/>
          <w:szCs w:val="22"/>
          <w:lang w:val="en-US"/>
        </w:rPr>
        <w:t xml:space="preserve">3. </w:t>
      </w:r>
      <w:r w:rsidRPr="00CE31DF">
        <w:rPr>
          <w:color w:val="000000" w:themeColor="text1"/>
          <w:szCs w:val="22"/>
          <w:lang w:val="en-US"/>
        </w:rPr>
        <w:tab/>
      </w:r>
      <w:r w:rsidRPr="00CE31DF">
        <w:rPr>
          <w:color w:val="000000" w:themeColor="text1"/>
          <w:szCs w:val="22"/>
        </w:rPr>
        <w:t xml:space="preserve">The </w:t>
      </w:r>
      <w:r w:rsidRPr="00CE31DF">
        <w:rPr>
          <w:kern w:val="22"/>
        </w:rPr>
        <w:t>Kunming-Montreal</w:t>
      </w:r>
      <w:r w:rsidRPr="00CE31DF">
        <w:rPr>
          <w:kern w:val="22"/>
          <w:szCs w:val="22"/>
        </w:rPr>
        <w:t xml:space="preserve"> </w:t>
      </w:r>
      <w:r w:rsidRPr="00CE31DF">
        <w:rPr>
          <w:color w:val="000000" w:themeColor="text1"/>
          <w:szCs w:val="22"/>
        </w:rPr>
        <w:t>Global</w:t>
      </w:r>
      <w:r w:rsidRPr="00CE31DF">
        <w:rPr>
          <w:rFonts w:eastAsia="Arial"/>
          <w:color w:val="000000" w:themeColor="text1"/>
          <w:szCs w:val="22"/>
          <w:lang w:val="en-US"/>
        </w:rPr>
        <w:t xml:space="preserve"> Biodiversity Framework,</w:t>
      </w:r>
      <w:r w:rsidRPr="00CE31DF">
        <w:rPr>
          <w:color w:val="000000" w:themeColor="text1"/>
          <w:szCs w:val="22"/>
        </w:rPr>
        <w:t xml:space="preserve"> building on the Strategic Plan for Biodiversity 2011–2020, its achievements, gaps, and lessons learned, and the experience and achievements of other relevant multilateral environmental agreements, sets out an ambitious plan to implement broad-based action to bring about a transformation in our societies’ relationship with biodiversity by 2030, </w:t>
      </w:r>
      <w:r w:rsidRPr="00CE31DF">
        <w:rPr>
          <w:snapToGrid w:val="0"/>
          <w:color w:val="000000" w:themeColor="text1"/>
          <w:szCs w:val="22"/>
        </w:rPr>
        <w:t>i</w:t>
      </w:r>
      <w:r w:rsidRPr="00CE31DF">
        <w:rPr>
          <w:rFonts w:eastAsia="Calibri"/>
          <w:snapToGrid w:val="0"/>
          <w:color w:val="000000" w:themeColor="text1"/>
          <w:szCs w:val="22"/>
        </w:rPr>
        <w:t xml:space="preserve">n line with the 2030 Agenda for Sustainable Development and its Sustainable Development </w:t>
      </w:r>
      <w:r w:rsidRPr="00CE31DF">
        <w:rPr>
          <w:snapToGrid w:val="0"/>
          <w:color w:val="000000" w:themeColor="text1"/>
          <w:szCs w:val="22"/>
        </w:rPr>
        <w:t>Goals, and ensure that, by 2050, the shared vision of living in harmony with nature is fulfilled</w:t>
      </w:r>
      <w:r w:rsidRPr="00CE31DF">
        <w:rPr>
          <w:color w:val="000000" w:themeColor="text1"/>
          <w:szCs w:val="22"/>
        </w:rPr>
        <w:t>.</w:t>
      </w:r>
    </w:p>
    <w:p w14:paraId="39ADDE9C" w14:textId="77777777" w:rsidR="00E86051" w:rsidRPr="00CE31DF" w:rsidRDefault="00E86051" w:rsidP="00B5016B">
      <w:pPr>
        <w:keepNext/>
        <w:tabs>
          <w:tab w:val="left" w:pos="2228"/>
        </w:tabs>
        <w:spacing w:before="240" w:after="120"/>
        <w:jc w:val="center"/>
        <w:rPr>
          <w:b/>
          <w:bCs/>
          <w:color w:val="000000" w:themeColor="text1"/>
          <w:szCs w:val="22"/>
        </w:rPr>
      </w:pPr>
      <w:r w:rsidRPr="00CE31DF">
        <w:rPr>
          <w:b/>
          <w:bCs/>
          <w:color w:val="000000" w:themeColor="text1"/>
          <w:szCs w:val="22"/>
        </w:rPr>
        <w:t>Section B. Purpose</w:t>
      </w:r>
    </w:p>
    <w:p w14:paraId="5E41E5FB" w14:textId="77777777" w:rsidR="00E86051" w:rsidRPr="00CE31DF" w:rsidRDefault="00E86051" w:rsidP="006662B3">
      <w:pPr>
        <w:pStyle w:val="Para1"/>
        <w:numPr>
          <w:ilvl w:val="0"/>
          <w:numId w:val="0"/>
        </w:numPr>
        <w:rPr>
          <w:color w:val="000000" w:themeColor="text1"/>
          <w:lang w:val="en-US"/>
        </w:rPr>
      </w:pPr>
      <w:r w:rsidRPr="00CE31DF">
        <w:rPr>
          <w:color w:val="000000" w:themeColor="text1"/>
          <w:lang w:val="en-US"/>
        </w:rPr>
        <w:t xml:space="preserve">4. </w:t>
      </w:r>
      <w:r w:rsidRPr="00CE31DF">
        <w:rPr>
          <w:color w:val="000000" w:themeColor="text1"/>
          <w:lang w:val="en-US"/>
        </w:rPr>
        <w:tab/>
        <w:t xml:space="preserve">The </w:t>
      </w:r>
      <w:r w:rsidRPr="00CE31DF">
        <w:t xml:space="preserve">Kunming-Montreal Global Biodiversity </w:t>
      </w:r>
      <w:r w:rsidRPr="00CE31DF">
        <w:rPr>
          <w:color w:val="000000" w:themeColor="text1"/>
          <w:lang w:val="en-US"/>
        </w:rPr>
        <w:t>Framework aims to catalyze, enable and galvanize urgent and transformative action by Governments, and subnational and local authorities, with the involvement of all of society, to halt and reverse biodiversity loss, to achieve the outcomes it sets out in its Vision, Mission, Goals and Targets, and thereby contribute to the three objectives of the Convention on Biological Diversity and to those of its Protocols. Its purpose is the full implementation of the three objectives of the Convention in a balanced manner.</w:t>
      </w:r>
    </w:p>
    <w:p w14:paraId="2120A9D3" w14:textId="77777777" w:rsidR="00E86051" w:rsidRPr="00CE31DF" w:rsidRDefault="00E86051" w:rsidP="00D55A57">
      <w:pPr>
        <w:pStyle w:val="Para1"/>
        <w:numPr>
          <w:ilvl w:val="0"/>
          <w:numId w:val="0"/>
        </w:numPr>
        <w:rPr>
          <w:color w:val="000000" w:themeColor="text1"/>
          <w:lang w:val="en-US"/>
        </w:rPr>
      </w:pPr>
      <w:r w:rsidRPr="00CE31DF">
        <w:rPr>
          <w:color w:val="000000" w:themeColor="text1"/>
          <w:lang w:val="en-US"/>
        </w:rPr>
        <w:t xml:space="preserve">5. </w:t>
      </w:r>
      <w:r w:rsidRPr="00CE31DF">
        <w:rPr>
          <w:color w:val="000000" w:themeColor="text1"/>
          <w:lang w:val="en-US"/>
        </w:rPr>
        <w:tab/>
        <w:t>The Framework is action- and results-oriented and aims to guide and promote, at all levels, the revision, development, updating, and implementation of policies, goals, targets, and national biodiversity strategies and actions plans, and to facilitate the monitoring and review of progress at all levels in a more transparent and responsible manner.</w:t>
      </w:r>
    </w:p>
    <w:p w14:paraId="7D1FBCBF" w14:textId="77777777" w:rsidR="00E86051" w:rsidRPr="00CE31DF" w:rsidRDefault="00E86051">
      <w:pPr>
        <w:tabs>
          <w:tab w:val="left" w:pos="851"/>
        </w:tabs>
        <w:rPr>
          <w:szCs w:val="22"/>
        </w:rPr>
      </w:pPr>
      <w:r w:rsidRPr="00CE31DF">
        <w:rPr>
          <w:szCs w:val="22"/>
        </w:rPr>
        <w:t xml:space="preserve">6. </w:t>
      </w:r>
      <w:r w:rsidRPr="00CE31DF">
        <w:rPr>
          <w:szCs w:val="22"/>
        </w:rPr>
        <w:tab/>
        <w:t xml:space="preserve">The Framework promotes coherence, complementarity and cooperation between the Convention on Biological Diversity and its Protocols, other biodiversity related conventions, and other relevant </w:t>
      </w:r>
      <w:r w:rsidRPr="00CE31DF">
        <w:rPr>
          <w:szCs w:val="22"/>
        </w:rPr>
        <w:lastRenderedPageBreak/>
        <w:t>multilateral agreements and international institutions, respecting their mandates, and creates opportunities for cooperation and partnerships</w:t>
      </w:r>
      <w:r w:rsidRPr="00CE31DF">
        <w:rPr>
          <w:szCs w:val="22"/>
          <w:lang w:val="en-US"/>
        </w:rPr>
        <w:t xml:space="preserve"> among diverse actors </w:t>
      </w:r>
      <w:r w:rsidRPr="00CE31DF">
        <w:rPr>
          <w:szCs w:val="22"/>
        </w:rPr>
        <w:t>to enhance implementation of the Framework.</w:t>
      </w:r>
    </w:p>
    <w:p w14:paraId="4598D4F6" w14:textId="77777777" w:rsidR="00E86051" w:rsidRPr="00CE31DF" w:rsidRDefault="00E86051" w:rsidP="00B5016B">
      <w:pPr>
        <w:keepNext/>
        <w:spacing w:before="240" w:after="120"/>
        <w:ind w:left="1843" w:right="431" w:hanging="1418"/>
        <w:jc w:val="left"/>
        <w:rPr>
          <w:b/>
          <w:bCs/>
          <w:color w:val="000000" w:themeColor="text1"/>
          <w:szCs w:val="22"/>
        </w:rPr>
      </w:pPr>
      <w:r w:rsidRPr="00CE31DF">
        <w:rPr>
          <w:b/>
          <w:bCs/>
          <w:color w:val="000000" w:themeColor="text1"/>
          <w:szCs w:val="22"/>
        </w:rPr>
        <w:t xml:space="preserve">Section C. </w:t>
      </w:r>
      <w:r w:rsidRPr="00CE31DF">
        <w:rPr>
          <w:b/>
          <w:bCs/>
          <w:color w:val="000000" w:themeColor="text1"/>
          <w:szCs w:val="22"/>
        </w:rPr>
        <w:tab/>
        <w:t xml:space="preserve">Considerations for the implementation of the </w:t>
      </w:r>
      <w:r w:rsidRPr="00CE31DF">
        <w:rPr>
          <w:b/>
          <w:bCs/>
          <w:szCs w:val="22"/>
        </w:rPr>
        <w:t>Kunming-Montreal Global Biodiversity</w:t>
      </w:r>
      <w:r w:rsidRPr="00CE31DF">
        <w:rPr>
          <w:szCs w:val="22"/>
        </w:rPr>
        <w:t xml:space="preserve"> </w:t>
      </w:r>
      <w:r w:rsidRPr="00CE31DF">
        <w:rPr>
          <w:b/>
          <w:bCs/>
          <w:color w:val="000000" w:themeColor="text1"/>
          <w:szCs w:val="22"/>
        </w:rPr>
        <w:t>Framework</w:t>
      </w:r>
    </w:p>
    <w:p w14:paraId="132EB8A9" w14:textId="77777777" w:rsidR="00E86051" w:rsidRPr="00CE31DF" w:rsidRDefault="00E86051">
      <w:pPr>
        <w:spacing w:before="60" w:after="60"/>
        <w:rPr>
          <w:color w:val="000000" w:themeColor="text1"/>
          <w:szCs w:val="22"/>
        </w:rPr>
      </w:pPr>
      <w:r w:rsidRPr="00CE31DF">
        <w:rPr>
          <w:color w:val="000000" w:themeColor="text1"/>
          <w:szCs w:val="22"/>
        </w:rPr>
        <w:t>7.</w:t>
      </w:r>
      <w:r w:rsidRPr="00CE31DF">
        <w:rPr>
          <w:color w:val="000000" w:themeColor="text1"/>
          <w:szCs w:val="22"/>
        </w:rPr>
        <w:tab/>
        <w:t xml:space="preserve">The </w:t>
      </w:r>
      <w:r w:rsidRPr="00CE31DF">
        <w:rPr>
          <w:szCs w:val="22"/>
        </w:rPr>
        <w:t xml:space="preserve">Kunming-Montreal Global Biodiversity </w:t>
      </w:r>
      <w:r w:rsidRPr="00CE31DF">
        <w:rPr>
          <w:color w:val="000000" w:themeColor="text1"/>
          <w:szCs w:val="22"/>
        </w:rPr>
        <w:t>Framework, including its Vision, Mission, Goals and Targets, is to be understood, acted upon, implemented, reported and evaluated, consistent with the following:</w:t>
      </w:r>
    </w:p>
    <w:p w14:paraId="026EF654" w14:textId="77777777" w:rsidR="00E86051" w:rsidRPr="00CE31DF" w:rsidRDefault="00E86051">
      <w:pPr>
        <w:pStyle w:val="Para1"/>
        <w:numPr>
          <w:ilvl w:val="0"/>
          <w:numId w:val="0"/>
        </w:numPr>
        <w:rPr>
          <w:i/>
          <w:iCs/>
          <w:color w:val="000000" w:themeColor="text1"/>
        </w:rPr>
      </w:pPr>
      <w:r w:rsidRPr="00CE31DF">
        <w:rPr>
          <w:i/>
          <w:iCs/>
          <w:color w:val="000000" w:themeColor="text1"/>
          <w:lang w:val="en-CA"/>
        </w:rPr>
        <w:t xml:space="preserve">Contribution and rights of </w:t>
      </w:r>
      <w:r w:rsidRPr="00CE31DF">
        <w:rPr>
          <w:i/>
          <w:iCs/>
          <w:color w:val="000000" w:themeColor="text1"/>
        </w:rPr>
        <w:t xml:space="preserve">indigenous peoples and local communities </w:t>
      </w:r>
    </w:p>
    <w:p w14:paraId="75EC9A34" w14:textId="77777777" w:rsidR="00E86051" w:rsidRPr="00CE31DF" w:rsidRDefault="00E86051" w:rsidP="0039740C">
      <w:pPr>
        <w:pStyle w:val="Para1"/>
        <w:numPr>
          <w:ilvl w:val="0"/>
          <w:numId w:val="0"/>
        </w:numPr>
        <w:spacing w:before="60" w:after="60"/>
        <w:ind w:firstLine="720"/>
        <w:rPr>
          <w:color w:val="000000" w:themeColor="text1"/>
        </w:rPr>
      </w:pPr>
      <w:r w:rsidRPr="00CE31DF">
        <w:rPr>
          <w:color w:val="000000" w:themeColor="text1"/>
        </w:rPr>
        <w:t>(a)</w:t>
      </w:r>
      <w:r w:rsidRPr="00CE31DF">
        <w:rPr>
          <w:color w:val="000000" w:themeColor="text1"/>
        </w:rPr>
        <w:tab/>
        <w:t xml:space="preserve">The Framework acknowledges the important roles and contributions of indigenous peoples and local communities </w:t>
      </w:r>
      <w:bookmarkStart w:id="28" w:name="_Hlk120996199"/>
      <w:r w:rsidRPr="00CE31DF">
        <w:rPr>
          <w:color w:val="000000" w:themeColor="text1"/>
        </w:rPr>
        <w:t>as custodians of biodiversity and as partners in its conservation, restoration and sustainable use</w:t>
      </w:r>
      <w:bookmarkEnd w:id="28"/>
      <w:r w:rsidRPr="00CE31DF">
        <w:rPr>
          <w:color w:val="000000" w:themeColor="text1"/>
        </w:rPr>
        <w:t xml:space="preserve">. The Framework’s implementation must ensure </w:t>
      </w:r>
      <w:bookmarkStart w:id="29" w:name="_Hlk120997087"/>
      <w:r w:rsidRPr="00CE31DF">
        <w:rPr>
          <w:color w:val="000000" w:themeColor="text1"/>
        </w:rPr>
        <w:t xml:space="preserve">that the rights, </w:t>
      </w:r>
      <w:bookmarkEnd w:id="29"/>
      <w:r w:rsidRPr="00CE31DF">
        <w:rPr>
          <w:color w:val="000000" w:themeColor="text1"/>
        </w:rPr>
        <w:t>knowledge, including traditional knowledge associated with biodiversity, innovations, worldviews, values and practices of indigenous peoples and local communities are respected, and documented and preserved with their free, prior and informed consent,</w:t>
      </w:r>
      <w:r w:rsidRPr="00610646">
        <w:rPr>
          <w:rStyle w:val="FootnoteReference"/>
        </w:rPr>
        <w:footnoteReference w:id="26"/>
      </w:r>
      <w:r w:rsidRPr="00CE31DF">
        <w:rPr>
          <w:color w:val="000000" w:themeColor="text1"/>
        </w:rPr>
        <w:t xml:space="preserve"> including through their full and effective participation in decision-making, in accordance with relevant national legislation, international instruments, including the United Nations Declaration on the Rights of Indigenous Peoples,</w:t>
      </w:r>
      <w:r w:rsidRPr="00610646">
        <w:rPr>
          <w:rStyle w:val="FootnoteReference"/>
        </w:rPr>
        <w:footnoteReference w:id="27"/>
      </w:r>
      <w:r w:rsidRPr="00CE31DF">
        <w:rPr>
          <w:color w:val="000000" w:themeColor="text1"/>
        </w:rPr>
        <w:t xml:space="preserve"> and human rights law. In this regard, nothing in this framework may be construed as diminishing or extinguishing the rights that indigenous peoples currently have or may acquire in the future;</w:t>
      </w:r>
    </w:p>
    <w:p w14:paraId="10E4A4BF" w14:textId="77777777" w:rsidR="00E86051" w:rsidRPr="00CE31DF" w:rsidRDefault="00E86051">
      <w:pPr>
        <w:pStyle w:val="Para1"/>
        <w:numPr>
          <w:ilvl w:val="0"/>
          <w:numId w:val="0"/>
        </w:numPr>
        <w:rPr>
          <w:bCs/>
          <w:i/>
          <w:iCs/>
        </w:rPr>
      </w:pPr>
      <w:r w:rsidRPr="00CE31DF">
        <w:rPr>
          <w:bCs/>
          <w:i/>
          <w:iCs/>
        </w:rPr>
        <w:t>Different value systems</w:t>
      </w:r>
    </w:p>
    <w:p w14:paraId="2E90F480" w14:textId="77777777" w:rsidR="00E86051" w:rsidRPr="00CE31DF" w:rsidRDefault="00E86051" w:rsidP="0039740C">
      <w:pPr>
        <w:pStyle w:val="Para1"/>
        <w:numPr>
          <w:ilvl w:val="0"/>
          <w:numId w:val="0"/>
        </w:numPr>
        <w:spacing w:before="60" w:after="60"/>
        <w:ind w:firstLine="720"/>
        <w:rPr>
          <w:color w:val="000000" w:themeColor="text1"/>
          <w:lang w:val="en-US"/>
        </w:rPr>
      </w:pPr>
      <w:r w:rsidRPr="00CE31DF">
        <w:rPr>
          <w:color w:val="000000" w:themeColor="text1"/>
          <w:lang w:val="en-US"/>
        </w:rPr>
        <w:t>(b)</w:t>
      </w:r>
      <w:r w:rsidRPr="00CE31DF">
        <w:rPr>
          <w:color w:val="000000" w:themeColor="text1"/>
          <w:lang w:val="en-US"/>
        </w:rPr>
        <w:tab/>
        <w:t>Nature embodies different concepts for different people, including biodiversity, ecosystems, Mother Earth, and systems of life. Nature’s contributions to people also embody different concepts, such as ecosystem goods and services and nature’s gifts. Both nature and nature’s contributions to people are vital for human existence and good quality of life, including human well-being, living in harmony with nature, and living well in balance and harmony with Mother Earth. The Framework recognizes and considers these diverse value systems and concepts, including, for those countries that recognize them, rights of nature and rights of Mother Earth, as being an integral part of its successful implementation;</w:t>
      </w:r>
    </w:p>
    <w:p w14:paraId="0A00A66C" w14:textId="77777777" w:rsidR="00E86051" w:rsidRPr="00CE31DF" w:rsidRDefault="00E86051" w:rsidP="0039740C">
      <w:pPr>
        <w:pStyle w:val="Para1"/>
        <w:keepNext/>
        <w:numPr>
          <w:ilvl w:val="0"/>
          <w:numId w:val="0"/>
        </w:numPr>
        <w:rPr>
          <w:bCs/>
          <w:i/>
          <w:iCs/>
        </w:rPr>
      </w:pPr>
      <w:r w:rsidRPr="00CE31DF">
        <w:rPr>
          <w:bCs/>
          <w:i/>
          <w:iCs/>
        </w:rPr>
        <w:t>Whole-of-government and whole-of-society approach</w:t>
      </w:r>
    </w:p>
    <w:p w14:paraId="55FD417E" w14:textId="77777777" w:rsidR="00E86051" w:rsidRPr="00CE31DF" w:rsidRDefault="00E86051" w:rsidP="0039740C">
      <w:pPr>
        <w:pStyle w:val="Para1"/>
        <w:numPr>
          <w:ilvl w:val="0"/>
          <w:numId w:val="0"/>
        </w:numPr>
        <w:spacing w:before="60" w:after="60"/>
        <w:ind w:firstLine="720"/>
        <w:rPr>
          <w:b/>
          <w:i/>
          <w:iCs/>
        </w:rPr>
      </w:pPr>
      <w:r w:rsidRPr="00CE31DF">
        <w:rPr>
          <w:color w:val="000000" w:themeColor="text1"/>
        </w:rPr>
        <w:t>(c)</w:t>
      </w:r>
      <w:r w:rsidRPr="00CE31DF">
        <w:rPr>
          <w:color w:val="000000" w:themeColor="text1"/>
        </w:rPr>
        <w:tab/>
        <w:t>This is a framework for all - for the whole of government and the whole of society. Its success requires political will and recognition at the highest level of government and relies on action and cooperation by all levels of government and by all actors of society;</w:t>
      </w:r>
    </w:p>
    <w:p w14:paraId="6FC66AD1" w14:textId="77777777" w:rsidR="00E86051" w:rsidRPr="00CE31DF" w:rsidRDefault="00E86051" w:rsidP="0039740C">
      <w:pPr>
        <w:pStyle w:val="Para1"/>
        <w:keepNext/>
        <w:numPr>
          <w:ilvl w:val="0"/>
          <w:numId w:val="0"/>
        </w:numPr>
        <w:rPr>
          <w:bCs/>
          <w:i/>
          <w:iCs/>
          <w:color w:val="000000" w:themeColor="text1"/>
        </w:rPr>
      </w:pPr>
      <w:r w:rsidRPr="00CE31DF">
        <w:rPr>
          <w:bCs/>
          <w:i/>
          <w:iCs/>
        </w:rPr>
        <w:t>National circumstances, priorities and capabilities</w:t>
      </w:r>
    </w:p>
    <w:p w14:paraId="29FCD148" w14:textId="77777777" w:rsidR="00E86051" w:rsidRPr="00CE31DF" w:rsidRDefault="00E86051" w:rsidP="0039740C">
      <w:pPr>
        <w:pStyle w:val="Para1"/>
        <w:numPr>
          <w:ilvl w:val="0"/>
          <w:numId w:val="0"/>
        </w:numPr>
        <w:ind w:firstLine="720"/>
        <w:rPr>
          <w:color w:val="000000" w:themeColor="text1"/>
        </w:rPr>
      </w:pPr>
      <w:r w:rsidRPr="00CE31DF">
        <w:t>(d)</w:t>
      </w:r>
      <w:r w:rsidRPr="00CE31DF">
        <w:tab/>
      </w:r>
      <w:bookmarkStart w:id="31" w:name="_Hlk121072425"/>
      <w:r w:rsidRPr="00CE31DF">
        <w:rPr>
          <w:color w:val="000000" w:themeColor="text1"/>
        </w:rPr>
        <w:t>The goals and targets of the Framework are global in nature. Each Party would contribute to attaining the goals and targets</w:t>
      </w:r>
      <w:bookmarkEnd w:id="31"/>
      <w:r w:rsidRPr="00CE31DF">
        <w:rPr>
          <w:color w:val="000000" w:themeColor="text1"/>
        </w:rPr>
        <w:t xml:space="preserve"> of the Framework in accordance</w:t>
      </w:r>
      <w:r w:rsidRPr="00CE31DF">
        <w:t xml:space="preserve"> with national circumstances, priorities and capabilities;</w:t>
      </w:r>
    </w:p>
    <w:p w14:paraId="62F58CA6" w14:textId="77777777" w:rsidR="00E86051" w:rsidRPr="00CE31DF" w:rsidRDefault="00E86051" w:rsidP="00875B4E">
      <w:pPr>
        <w:pStyle w:val="Para1"/>
        <w:keepNext/>
        <w:numPr>
          <w:ilvl w:val="0"/>
          <w:numId w:val="0"/>
        </w:numPr>
        <w:rPr>
          <w:i/>
          <w:iCs/>
          <w:color w:val="000000" w:themeColor="text1"/>
        </w:rPr>
      </w:pPr>
      <w:r w:rsidRPr="00CE31DF">
        <w:rPr>
          <w:i/>
          <w:iCs/>
          <w:color w:val="000000" w:themeColor="text1"/>
        </w:rPr>
        <w:t>Collective effort towards the targets</w:t>
      </w:r>
    </w:p>
    <w:p w14:paraId="01219FD0" w14:textId="77777777" w:rsidR="00E86051" w:rsidRPr="00CE31DF" w:rsidRDefault="00E86051" w:rsidP="0039740C">
      <w:pPr>
        <w:pStyle w:val="Para1"/>
        <w:numPr>
          <w:ilvl w:val="0"/>
          <w:numId w:val="0"/>
        </w:numPr>
        <w:ind w:firstLine="720"/>
        <w:rPr>
          <w:color w:val="000000" w:themeColor="text1"/>
        </w:rPr>
      </w:pPr>
      <w:r w:rsidRPr="00CE31DF">
        <w:rPr>
          <w:color w:val="000000" w:themeColor="text1"/>
        </w:rPr>
        <w:t>(e)</w:t>
      </w:r>
      <w:r w:rsidRPr="00CE31DF">
        <w:rPr>
          <w:color w:val="000000" w:themeColor="text1"/>
        </w:rPr>
        <w:tab/>
        <w:t>The Parties will catalyse implementation of the Framework through mobilization of broad public support at all levels;</w:t>
      </w:r>
    </w:p>
    <w:p w14:paraId="01FCAA6F" w14:textId="77777777" w:rsidR="00E86051" w:rsidRPr="00CE31DF" w:rsidRDefault="00E86051" w:rsidP="0039740C">
      <w:pPr>
        <w:pStyle w:val="Para1"/>
        <w:keepNext/>
        <w:numPr>
          <w:ilvl w:val="0"/>
          <w:numId w:val="0"/>
        </w:numPr>
        <w:tabs>
          <w:tab w:val="left" w:pos="720"/>
        </w:tabs>
        <w:rPr>
          <w:bCs/>
          <w:i/>
          <w:iCs/>
        </w:rPr>
      </w:pPr>
      <w:r w:rsidRPr="00CE31DF">
        <w:rPr>
          <w:bCs/>
          <w:i/>
          <w:iCs/>
        </w:rPr>
        <w:lastRenderedPageBreak/>
        <w:t>Right to development</w:t>
      </w:r>
    </w:p>
    <w:p w14:paraId="55231CD2" w14:textId="77777777" w:rsidR="00E86051" w:rsidRPr="00CE31DF" w:rsidRDefault="00E86051" w:rsidP="0039740C">
      <w:pPr>
        <w:pStyle w:val="Para1"/>
        <w:numPr>
          <w:ilvl w:val="0"/>
          <w:numId w:val="0"/>
        </w:numPr>
        <w:tabs>
          <w:tab w:val="left" w:pos="720"/>
        </w:tabs>
        <w:ind w:firstLine="709"/>
        <w:rPr>
          <w:color w:val="000000" w:themeColor="text1"/>
        </w:rPr>
      </w:pPr>
      <w:r w:rsidRPr="00CE31DF">
        <w:t>(f)</w:t>
      </w:r>
      <w:r w:rsidRPr="00CE31DF">
        <w:tab/>
        <w:t>Recognizing the 1986 United Nations Declaration on the Right to Development,</w:t>
      </w:r>
      <w:r w:rsidRPr="00610646">
        <w:rPr>
          <w:rStyle w:val="FootnoteReference"/>
        </w:rPr>
        <w:footnoteReference w:id="28"/>
      </w:r>
      <w:r w:rsidRPr="00CE31DF">
        <w:t xml:space="preserve"> the Framework enables responsible and sustainable socioeconomic development that, at the same time, contributes to the conservation and sustainable use of biodiversity;</w:t>
      </w:r>
    </w:p>
    <w:p w14:paraId="3F1587FB" w14:textId="77777777" w:rsidR="00E86051" w:rsidRPr="00CE31DF" w:rsidRDefault="00E86051" w:rsidP="0039740C">
      <w:pPr>
        <w:pStyle w:val="Para1"/>
        <w:keepNext/>
        <w:numPr>
          <w:ilvl w:val="0"/>
          <w:numId w:val="0"/>
        </w:numPr>
        <w:tabs>
          <w:tab w:val="left" w:pos="720"/>
        </w:tabs>
        <w:rPr>
          <w:bCs/>
          <w:i/>
          <w:iCs/>
        </w:rPr>
      </w:pPr>
      <w:r w:rsidRPr="00CE31DF">
        <w:rPr>
          <w:bCs/>
          <w:i/>
          <w:iCs/>
        </w:rPr>
        <w:t>Human rights-based approach</w:t>
      </w:r>
    </w:p>
    <w:p w14:paraId="380E71B0" w14:textId="77777777" w:rsidR="00E86051" w:rsidRPr="00CE31DF" w:rsidRDefault="00E86051" w:rsidP="0039740C">
      <w:pPr>
        <w:ind w:firstLine="720"/>
        <w:rPr>
          <w:snapToGrid w:val="0"/>
          <w:szCs w:val="18"/>
        </w:rPr>
      </w:pPr>
      <w:r w:rsidRPr="00CE31DF">
        <w:rPr>
          <w:snapToGrid w:val="0"/>
          <w:szCs w:val="18"/>
        </w:rPr>
        <w:t>(g)</w:t>
      </w:r>
      <w:r w:rsidRPr="00CE31DF">
        <w:rPr>
          <w:snapToGrid w:val="0"/>
          <w:szCs w:val="18"/>
        </w:rPr>
        <w:tab/>
        <w:t>The implementation of the Framework should follow a human rights-based approach, respecting, protecting, promoting and fulfilling human rights. The Framework acknowledges the human right to a clean, healthy and sustainable environment;</w:t>
      </w:r>
      <w:r w:rsidRPr="00610646">
        <w:rPr>
          <w:rStyle w:val="FootnoteReference"/>
        </w:rPr>
        <w:footnoteReference w:id="29"/>
      </w:r>
      <w:r w:rsidRPr="00CE31DF">
        <w:rPr>
          <w:snapToGrid w:val="0"/>
          <w:szCs w:val="18"/>
        </w:rPr>
        <w:t xml:space="preserve"> </w:t>
      </w:r>
    </w:p>
    <w:p w14:paraId="1D2C4E0C" w14:textId="77777777" w:rsidR="00E86051" w:rsidRPr="00CE31DF" w:rsidRDefault="00E86051" w:rsidP="0039740C">
      <w:pPr>
        <w:pStyle w:val="Para1"/>
        <w:keepNext/>
        <w:numPr>
          <w:ilvl w:val="0"/>
          <w:numId w:val="0"/>
        </w:numPr>
        <w:tabs>
          <w:tab w:val="left" w:pos="720"/>
        </w:tabs>
        <w:rPr>
          <w:bCs/>
          <w:i/>
          <w:iCs/>
        </w:rPr>
      </w:pPr>
      <w:r w:rsidRPr="00CE31DF">
        <w:rPr>
          <w:bCs/>
          <w:i/>
          <w:iCs/>
        </w:rPr>
        <w:t>Gender</w:t>
      </w:r>
    </w:p>
    <w:p w14:paraId="47BAE56C" w14:textId="77777777" w:rsidR="00E86051" w:rsidRPr="00CE31DF" w:rsidRDefault="00E86051" w:rsidP="0039740C">
      <w:pPr>
        <w:pStyle w:val="Para1"/>
        <w:numPr>
          <w:ilvl w:val="0"/>
          <w:numId w:val="0"/>
        </w:numPr>
        <w:tabs>
          <w:tab w:val="left" w:pos="720"/>
        </w:tabs>
        <w:ind w:firstLine="709"/>
        <w:rPr>
          <w:bCs/>
          <w:i/>
          <w:iCs/>
          <w:color w:val="000000" w:themeColor="text1"/>
        </w:rPr>
      </w:pPr>
      <w:r w:rsidRPr="00CE31DF">
        <w:rPr>
          <w:color w:val="000000" w:themeColor="text1"/>
        </w:rPr>
        <w:t>(h)</w:t>
      </w:r>
      <w:r w:rsidRPr="00CE31DF">
        <w:rPr>
          <w:color w:val="000000" w:themeColor="text1"/>
        </w:rPr>
        <w:tab/>
        <w:t>Successful implementation of the Framework will depend on ensuring gender equality and empowerment of women and girls, and on reducing inequalities;</w:t>
      </w:r>
    </w:p>
    <w:p w14:paraId="68002983" w14:textId="77777777" w:rsidR="00E86051" w:rsidRPr="00CE31DF" w:rsidRDefault="00E86051" w:rsidP="0039740C">
      <w:pPr>
        <w:pStyle w:val="Para1"/>
        <w:keepNext/>
        <w:numPr>
          <w:ilvl w:val="0"/>
          <w:numId w:val="0"/>
        </w:numPr>
        <w:tabs>
          <w:tab w:val="left" w:pos="720"/>
        </w:tabs>
        <w:rPr>
          <w:bCs/>
          <w:i/>
          <w:iCs/>
          <w:color w:val="000000" w:themeColor="text1"/>
        </w:rPr>
      </w:pPr>
      <w:r w:rsidRPr="00CE31DF">
        <w:rPr>
          <w:bCs/>
          <w:i/>
          <w:iCs/>
          <w:color w:val="000000" w:themeColor="text1"/>
        </w:rPr>
        <w:t>Fulfilment of the three objectives of the Convention and its Protocols and their balanced implementation</w:t>
      </w:r>
    </w:p>
    <w:p w14:paraId="69457927" w14:textId="77777777" w:rsidR="00E86051" w:rsidRPr="00CE31DF" w:rsidRDefault="00E86051" w:rsidP="0039740C">
      <w:pPr>
        <w:pStyle w:val="Para1"/>
        <w:numPr>
          <w:ilvl w:val="0"/>
          <w:numId w:val="0"/>
        </w:numPr>
        <w:tabs>
          <w:tab w:val="left" w:pos="720"/>
        </w:tabs>
        <w:ind w:firstLine="709"/>
        <w:rPr>
          <w:color w:val="000000" w:themeColor="text1"/>
        </w:rPr>
      </w:pPr>
      <w:r w:rsidRPr="00CE31DF">
        <w:rPr>
          <w:color w:val="000000" w:themeColor="text1"/>
        </w:rPr>
        <w:t>(i)</w:t>
      </w:r>
      <w:r w:rsidRPr="00CE31DF">
        <w:rPr>
          <w:color w:val="000000" w:themeColor="text1"/>
        </w:rPr>
        <w:tab/>
        <w:t>The goals and targets of the Framework are integrated and are intended to contribute in a balanced manner to the three objectives of the Convention on Biological Diversity. The Framework is to be implemented in accordance with these objectives, with the provisions of the Convention on Biological Diversity, and with the Cartagena Protocol on Biosafety and the Nagoya Protocol on Access and Benefit-sharing, as applicable;</w:t>
      </w:r>
    </w:p>
    <w:p w14:paraId="2945C2F5" w14:textId="77777777" w:rsidR="00E86051" w:rsidRPr="00CE31DF" w:rsidRDefault="00E86051">
      <w:pPr>
        <w:pStyle w:val="Para1"/>
        <w:numPr>
          <w:ilvl w:val="0"/>
          <w:numId w:val="0"/>
        </w:numPr>
        <w:tabs>
          <w:tab w:val="left" w:pos="720"/>
        </w:tabs>
        <w:rPr>
          <w:bCs/>
          <w:i/>
          <w:iCs/>
        </w:rPr>
      </w:pPr>
      <w:r w:rsidRPr="00CE31DF">
        <w:rPr>
          <w:bCs/>
          <w:i/>
          <w:iCs/>
        </w:rPr>
        <w:t>Consistency with international agreements or instruments</w:t>
      </w:r>
    </w:p>
    <w:p w14:paraId="7454F928" w14:textId="77777777" w:rsidR="00E86051" w:rsidRPr="00CE31DF" w:rsidRDefault="00E86051" w:rsidP="0039740C">
      <w:pPr>
        <w:pStyle w:val="Para1"/>
        <w:numPr>
          <w:ilvl w:val="0"/>
          <w:numId w:val="0"/>
        </w:numPr>
        <w:tabs>
          <w:tab w:val="left" w:pos="720"/>
        </w:tabs>
        <w:ind w:firstLine="709"/>
        <w:rPr>
          <w:color w:val="000000" w:themeColor="text1"/>
        </w:rPr>
      </w:pPr>
      <w:r w:rsidRPr="00CE31DF">
        <w:rPr>
          <w:color w:val="000000" w:themeColor="text1"/>
        </w:rPr>
        <w:t>(j)</w:t>
      </w:r>
      <w:r w:rsidRPr="00CE31DF">
        <w:rPr>
          <w:color w:val="000000" w:themeColor="text1"/>
        </w:rPr>
        <w:tab/>
        <w:t>The Framework needs to be implemented in accordance with relevant international obligations. Nothing in this Framework should be interpreted as agreement to modify the rights and obligations of a Party under the Convention or any other international agreement;</w:t>
      </w:r>
    </w:p>
    <w:p w14:paraId="7AE770A9" w14:textId="77777777" w:rsidR="00E86051" w:rsidRPr="00CE31DF" w:rsidRDefault="00E86051">
      <w:pPr>
        <w:pStyle w:val="Para1"/>
        <w:numPr>
          <w:ilvl w:val="0"/>
          <w:numId w:val="0"/>
        </w:numPr>
        <w:tabs>
          <w:tab w:val="left" w:pos="720"/>
        </w:tabs>
        <w:rPr>
          <w:bCs/>
          <w:i/>
          <w:iCs/>
          <w:color w:val="000000" w:themeColor="text1"/>
        </w:rPr>
      </w:pPr>
      <w:r w:rsidRPr="00CE31DF">
        <w:rPr>
          <w:bCs/>
          <w:i/>
          <w:iCs/>
          <w:color w:val="000000" w:themeColor="text1"/>
        </w:rPr>
        <w:t>Principles of the Rio Declaration</w:t>
      </w:r>
    </w:p>
    <w:p w14:paraId="1BD9EA6C" w14:textId="77777777" w:rsidR="00E86051" w:rsidRPr="00CE31DF" w:rsidRDefault="00E86051" w:rsidP="0039740C">
      <w:pPr>
        <w:pStyle w:val="Para1"/>
        <w:numPr>
          <w:ilvl w:val="0"/>
          <w:numId w:val="0"/>
        </w:numPr>
        <w:tabs>
          <w:tab w:val="left" w:pos="720"/>
        </w:tabs>
        <w:ind w:firstLine="709"/>
        <w:rPr>
          <w:bCs/>
          <w:i/>
          <w:iCs/>
          <w:color w:val="000000" w:themeColor="text1"/>
        </w:rPr>
      </w:pPr>
      <w:r w:rsidRPr="00CE31DF">
        <w:rPr>
          <w:color w:val="000000" w:themeColor="text1"/>
        </w:rPr>
        <w:t>(k)</w:t>
      </w:r>
      <w:r w:rsidRPr="00CE31DF">
        <w:rPr>
          <w:color w:val="000000" w:themeColor="text1"/>
        </w:rPr>
        <w:tab/>
        <w:t>The Framework recognizes that reversing the loss of biological diversity, for the benefit of all living beings, is a common concern of humankind. Its implementation should be guided by the principles of the Rio Declaration on Environment and Development;</w:t>
      </w:r>
      <w:r w:rsidRPr="00610646">
        <w:rPr>
          <w:rStyle w:val="FootnoteReference"/>
        </w:rPr>
        <w:footnoteReference w:id="30"/>
      </w:r>
    </w:p>
    <w:p w14:paraId="120301C9" w14:textId="77777777" w:rsidR="00E86051" w:rsidRPr="00CE31DF" w:rsidRDefault="00E86051">
      <w:pPr>
        <w:pStyle w:val="Para1"/>
        <w:keepNext/>
        <w:numPr>
          <w:ilvl w:val="0"/>
          <w:numId w:val="0"/>
        </w:numPr>
        <w:tabs>
          <w:tab w:val="left" w:pos="720"/>
        </w:tabs>
        <w:rPr>
          <w:bCs/>
          <w:i/>
          <w:iCs/>
          <w:color w:val="000000" w:themeColor="text1"/>
        </w:rPr>
      </w:pPr>
      <w:r w:rsidRPr="00CE31DF">
        <w:rPr>
          <w:bCs/>
          <w:i/>
          <w:iCs/>
          <w:color w:val="000000" w:themeColor="text1"/>
        </w:rPr>
        <w:t>Science and innovation</w:t>
      </w:r>
    </w:p>
    <w:p w14:paraId="1868399D" w14:textId="77777777" w:rsidR="00E86051" w:rsidRPr="00CE31DF" w:rsidRDefault="00E86051" w:rsidP="0039740C">
      <w:pPr>
        <w:pStyle w:val="Para1"/>
        <w:numPr>
          <w:ilvl w:val="0"/>
          <w:numId w:val="0"/>
        </w:numPr>
        <w:tabs>
          <w:tab w:val="left" w:pos="720"/>
        </w:tabs>
        <w:ind w:firstLine="709"/>
        <w:rPr>
          <w:bCs/>
          <w:i/>
          <w:iCs/>
          <w:color w:val="000000" w:themeColor="text1"/>
        </w:rPr>
      </w:pPr>
      <w:r w:rsidRPr="00CE31DF">
        <w:rPr>
          <w:color w:val="000000" w:themeColor="text1"/>
        </w:rPr>
        <w:t>(l)</w:t>
      </w:r>
      <w:r w:rsidRPr="00CE31DF">
        <w:rPr>
          <w:color w:val="000000" w:themeColor="text1"/>
        </w:rPr>
        <w:tab/>
        <w:t>The implementation of the Framework should be based on scientific evidence and traditional knowledge and practices, recognizing the role of science, technology and innovation;</w:t>
      </w:r>
    </w:p>
    <w:p w14:paraId="7176FB59" w14:textId="77777777" w:rsidR="00E86051" w:rsidRPr="00CE31DF" w:rsidRDefault="00E86051" w:rsidP="0039740C">
      <w:pPr>
        <w:pStyle w:val="Para1"/>
        <w:keepNext/>
        <w:numPr>
          <w:ilvl w:val="0"/>
          <w:numId w:val="0"/>
        </w:numPr>
        <w:tabs>
          <w:tab w:val="left" w:pos="720"/>
        </w:tabs>
        <w:rPr>
          <w:bCs/>
          <w:i/>
          <w:iCs/>
          <w:color w:val="000000" w:themeColor="text1"/>
        </w:rPr>
      </w:pPr>
      <w:r w:rsidRPr="00CE31DF">
        <w:rPr>
          <w:bCs/>
          <w:i/>
          <w:iCs/>
          <w:color w:val="000000" w:themeColor="text1"/>
        </w:rPr>
        <w:t xml:space="preserve">Ecosystem approach </w:t>
      </w:r>
    </w:p>
    <w:p w14:paraId="7C9571D3" w14:textId="77777777" w:rsidR="00E86051" w:rsidRPr="00CE31DF" w:rsidRDefault="00E86051" w:rsidP="0039740C">
      <w:pPr>
        <w:spacing w:before="120" w:after="120"/>
        <w:ind w:firstLine="709"/>
        <w:rPr>
          <w:color w:val="000000" w:themeColor="text1"/>
          <w:szCs w:val="22"/>
        </w:rPr>
      </w:pPr>
      <w:r w:rsidRPr="00CE31DF">
        <w:rPr>
          <w:color w:val="000000" w:themeColor="text1"/>
          <w:szCs w:val="22"/>
        </w:rPr>
        <w:t>(m)</w:t>
      </w:r>
      <w:r w:rsidRPr="00CE31DF">
        <w:rPr>
          <w:color w:val="000000" w:themeColor="text1"/>
          <w:szCs w:val="22"/>
        </w:rPr>
        <w:tab/>
        <w:t>This Framework is to be implemented based on the ecosystem approach of the Convention;</w:t>
      </w:r>
      <w:r w:rsidRPr="00610646">
        <w:rPr>
          <w:rStyle w:val="FootnoteReference"/>
        </w:rPr>
        <w:footnoteReference w:id="31"/>
      </w:r>
    </w:p>
    <w:p w14:paraId="0C3CAC75" w14:textId="77777777" w:rsidR="00E86051" w:rsidRPr="00CE31DF" w:rsidRDefault="00E86051">
      <w:pPr>
        <w:spacing w:before="120" w:after="120"/>
        <w:rPr>
          <w:i/>
        </w:rPr>
      </w:pPr>
      <w:r w:rsidRPr="00CE31DF">
        <w:rPr>
          <w:i/>
        </w:rPr>
        <w:t>Intergenerational equity</w:t>
      </w:r>
    </w:p>
    <w:p w14:paraId="0EB0C146" w14:textId="77777777" w:rsidR="00E86051" w:rsidRPr="00CE31DF" w:rsidRDefault="00E86051" w:rsidP="0039740C">
      <w:pPr>
        <w:pStyle w:val="Para1"/>
        <w:numPr>
          <w:ilvl w:val="0"/>
          <w:numId w:val="0"/>
        </w:numPr>
        <w:ind w:firstLine="709"/>
      </w:pPr>
      <w:r w:rsidRPr="00CE31DF">
        <w:t>(n)</w:t>
      </w:r>
      <w:r w:rsidRPr="00CE31DF">
        <w:tab/>
        <w:t>The implementation of the Framework should be guided by the principle of intergenerational equity which aims to meet the needs of the present without compromising the ability of future generations to meet their own needs and to ensure meaningful participation of younger generations in decision-making processes at all levels;</w:t>
      </w:r>
    </w:p>
    <w:p w14:paraId="2DF359D2" w14:textId="77777777" w:rsidR="00E86051" w:rsidRPr="00CE31DF" w:rsidRDefault="00E86051">
      <w:pPr>
        <w:pStyle w:val="Para1"/>
        <w:numPr>
          <w:ilvl w:val="0"/>
          <w:numId w:val="0"/>
        </w:numPr>
        <w:rPr>
          <w:i/>
        </w:rPr>
      </w:pPr>
      <w:r w:rsidRPr="00CE31DF">
        <w:rPr>
          <w:i/>
        </w:rPr>
        <w:t>Formal and informal education</w:t>
      </w:r>
    </w:p>
    <w:p w14:paraId="6BC99A63" w14:textId="77777777" w:rsidR="00E86051" w:rsidRPr="00CE31DF" w:rsidRDefault="00E86051" w:rsidP="0039740C">
      <w:pPr>
        <w:pStyle w:val="Para1"/>
        <w:numPr>
          <w:ilvl w:val="0"/>
          <w:numId w:val="0"/>
        </w:numPr>
        <w:ind w:firstLine="709"/>
      </w:pPr>
      <w:r w:rsidRPr="00CE31DF">
        <w:lastRenderedPageBreak/>
        <w:t>(o)</w:t>
      </w:r>
      <w:r w:rsidRPr="00CE31DF">
        <w:tab/>
        <w:t>Implementation of the Framework requires transformative, innovative and transdisciplinary education, formal and informal, at all levels, including science-policy interface studies and lifelong learning processes, recognizing diverse world views, values and knowledge systems of indigenous peoples and local communities;</w:t>
      </w:r>
    </w:p>
    <w:p w14:paraId="3034C4A6" w14:textId="77777777" w:rsidR="00E86051" w:rsidRPr="00CE31DF" w:rsidRDefault="00E86051">
      <w:pPr>
        <w:pStyle w:val="Para1"/>
        <w:numPr>
          <w:ilvl w:val="0"/>
          <w:numId w:val="0"/>
        </w:numPr>
        <w:rPr>
          <w:i/>
        </w:rPr>
      </w:pPr>
      <w:r w:rsidRPr="00CE31DF">
        <w:rPr>
          <w:i/>
        </w:rPr>
        <w:t>Access to financial resources</w:t>
      </w:r>
    </w:p>
    <w:p w14:paraId="7368D15E" w14:textId="77777777" w:rsidR="00E86051" w:rsidRPr="00CE31DF" w:rsidRDefault="00E86051" w:rsidP="0039740C">
      <w:pPr>
        <w:pStyle w:val="Para1"/>
        <w:numPr>
          <w:ilvl w:val="0"/>
          <w:numId w:val="0"/>
        </w:numPr>
        <w:ind w:firstLine="709"/>
      </w:pPr>
      <w:r w:rsidRPr="00CE31DF">
        <w:t>(p)</w:t>
      </w:r>
      <w:r w:rsidRPr="00CE31DF">
        <w:tab/>
        <w:t>The full implementation of the Framework requires adequate, predictable and easily accessible financial resources;</w:t>
      </w:r>
    </w:p>
    <w:p w14:paraId="173504C7" w14:textId="77777777" w:rsidR="00E86051" w:rsidRPr="00CE31DF" w:rsidRDefault="00E86051">
      <w:pPr>
        <w:pStyle w:val="Para1"/>
        <w:numPr>
          <w:ilvl w:val="0"/>
          <w:numId w:val="0"/>
        </w:numPr>
        <w:rPr>
          <w:i/>
        </w:rPr>
      </w:pPr>
      <w:r w:rsidRPr="00CE31DF">
        <w:rPr>
          <w:i/>
        </w:rPr>
        <w:t>Cooperation and synergies</w:t>
      </w:r>
    </w:p>
    <w:p w14:paraId="6805030F" w14:textId="77777777" w:rsidR="00E86051" w:rsidRPr="00CE31DF" w:rsidRDefault="00E86051" w:rsidP="0039740C">
      <w:pPr>
        <w:pStyle w:val="Para1"/>
        <w:numPr>
          <w:ilvl w:val="0"/>
          <w:numId w:val="0"/>
        </w:numPr>
        <w:ind w:firstLine="709"/>
      </w:pPr>
      <w:r w:rsidRPr="00CE31DF">
        <w:t>(q)</w:t>
      </w:r>
      <w:r w:rsidRPr="00CE31DF">
        <w:tab/>
        <w:t>Enhanced collaboration, cooperation and synergies between the Convention on Biological Diversity and its Protocols, other biodiversity-related conventions, other relevant multilateral agreements and international organizations and processes, in line with their respective mandates, including at the global, regional, subregional and national levels, would contribute to and promote the implementation of the Framework in a more efficient and effective manner;</w:t>
      </w:r>
    </w:p>
    <w:p w14:paraId="23533C34" w14:textId="77777777" w:rsidR="00E86051" w:rsidRPr="00CE31DF" w:rsidRDefault="00E86051" w:rsidP="003E5A67">
      <w:pPr>
        <w:spacing w:after="120"/>
        <w:rPr>
          <w:rStyle w:val="normaltextrun"/>
          <w:i/>
          <w:color w:val="000000"/>
        </w:rPr>
      </w:pPr>
      <w:r w:rsidRPr="00CE31DF">
        <w:rPr>
          <w:rStyle w:val="normaltextrun"/>
          <w:i/>
          <w:color w:val="000000"/>
        </w:rPr>
        <w:t xml:space="preserve">Biodiversity and health </w:t>
      </w:r>
    </w:p>
    <w:p w14:paraId="4B3963FE" w14:textId="77777777" w:rsidR="00E86051" w:rsidRPr="00CE31DF" w:rsidRDefault="00E86051" w:rsidP="0039740C">
      <w:pPr>
        <w:pStyle w:val="Para1"/>
        <w:numPr>
          <w:ilvl w:val="0"/>
          <w:numId w:val="0"/>
        </w:numPr>
        <w:ind w:firstLine="709"/>
        <w:rPr>
          <w:b/>
          <w:bCs/>
        </w:rPr>
      </w:pPr>
      <w:r w:rsidRPr="00CE31DF">
        <w:rPr>
          <w:rStyle w:val="normaltextrun"/>
          <w:iCs/>
        </w:rPr>
        <w:t>(r)</w:t>
      </w:r>
      <w:r w:rsidRPr="00CE31DF">
        <w:rPr>
          <w:rStyle w:val="normaltextrun"/>
          <w:iCs/>
        </w:rPr>
        <w:tab/>
        <w:t xml:space="preserve">The </w:t>
      </w:r>
      <w:r w:rsidRPr="00CE31DF">
        <w:t>Framework</w:t>
      </w:r>
      <w:r w:rsidRPr="00CE31DF">
        <w:rPr>
          <w:rStyle w:val="normaltextrun"/>
          <w:iCs/>
        </w:rPr>
        <w:t xml:space="preserve"> acknowledges the interlinkages between biodiversity and health and the three objectives of the Convention. The Framework is to be implemented with consideration of the One Health Approach, among other holistic approaches that are based on science, mobilize multiple sectors, disciplines and communities to work together, and aim to sustainably balance and optimize the health of people, animals, plants and ecosystems, recognizing the need for equitable access to tools and technologies including medicines, vaccines and other health products related to biodiversity, while highlighting the urgent need to reduce pressures on biodiversity and decrease environmental degradation to reduce risks to health, and, as appropriate, develop practical access and benefit-sharing arrangements. </w:t>
      </w:r>
    </w:p>
    <w:p w14:paraId="73BDDD97" w14:textId="77777777" w:rsidR="00E86051" w:rsidRPr="00AF3ED2" w:rsidRDefault="00E86051" w:rsidP="00AF3ED2">
      <w:pPr>
        <w:pStyle w:val="BodyText"/>
        <w:rPr>
          <w:b/>
          <w:bCs/>
        </w:rPr>
      </w:pPr>
      <w:r w:rsidRPr="00AF3ED2">
        <w:rPr>
          <w:b/>
          <w:bCs/>
        </w:rPr>
        <w:t>Section D.</w:t>
      </w:r>
      <w:r w:rsidRPr="00AF3ED2">
        <w:rPr>
          <w:b/>
          <w:bCs/>
        </w:rPr>
        <w:tab/>
      </w:r>
      <w:r w:rsidRPr="00AF3ED2">
        <w:rPr>
          <w:rFonts w:eastAsia="Malgun Gothic"/>
          <w:b/>
          <w:bCs/>
        </w:rPr>
        <w:t>Relationship with the 2030 Agenda for Sustainable Development</w:t>
      </w:r>
    </w:p>
    <w:p w14:paraId="55EACD49" w14:textId="77777777" w:rsidR="00E86051" w:rsidRPr="00CE31DF" w:rsidRDefault="00E86051" w:rsidP="00854BF8">
      <w:pPr>
        <w:pStyle w:val="Para1"/>
        <w:numPr>
          <w:ilvl w:val="0"/>
          <w:numId w:val="0"/>
        </w:numPr>
        <w:rPr>
          <w:lang w:val="en-US"/>
        </w:rPr>
      </w:pPr>
      <w:r w:rsidRPr="00CE31DF">
        <w:rPr>
          <w:lang w:val="en-US"/>
        </w:rPr>
        <w:t>8.</w:t>
      </w:r>
      <w:r w:rsidRPr="00CE31DF">
        <w:rPr>
          <w:lang w:val="en-US"/>
        </w:rPr>
        <w:tab/>
        <w:t xml:space="preserve">The </w:t>
      </w:r>
      <w:r w:rsidRPr="00CE31DF">
        <w:t>Kunming-Montreal Global Biodiversity Framework</w:t>
      </w:r>
      <w:r w:rsidRPr="00CE31DF">
        <w:rPr>
          <w:lang w:val="en-US"/>
        </w:rPr>
        <w:t xml:space="preserve"> is a contribution to the achievement of the 2030 Agenda for Sustainable Development. At the same time, progress towards the Sustainable Development Goals and the achievement of sustainable development in all its three dimensions (environmental, social and economic) is necessary to create the conditions necessary to fulfil the goals and targets of the Framework. </w:t>
      </w:r>
      <w:r w:rsidRPr="00CE31DF">
        <w:t>It will place biodiversity, its conservation, the sustainable use of its components and the fair and equitable sharing of the benefits arising out of the utilization of genetic resources, at the heart of the sustainable development agenda, recognizing the important linkages between biological and cultural diversity.</w:t>
      </w:r>
    </w:p>
    <w:p w14:paraId="2BD244DC" w14:textId="77777777" w:rsidR="00E86051" w:rsidRPr="00CE31DF" w:rsidRDefault="00E86051" w:rsidP="00AF3ED2">
      <w:pPr>
        <w:keepNext/>
        <w:tabs>
          <w:tab w:val="left" w:pos="2228"/>
        </w:tabs>
        <w:spacing w:before="240" w:after="120"/>
        <w:jc w:val="center"/>
        <w:rPr>
          <w:b/>
          <w:bCs/>
          <w:szCs w:val="22"/>
          <w:lang w:val="en-US"/>
        </w:rPr>
      </w:pPr>
      <w:r w:rsidRPr="00CE31DF">
        <w:rPr>
          <w:b/>
          <w:bCs/>
          <w:szCs w:val="22"/>
        </w:rPr>
        <w:t xml:space="preserve">Section E. </w:t>
      </w:r>
      <w:r w:rsidRPr="00CE31DF">
        <w:rPr>
          <w:rFonts w:eastAsia="Malgun Gothic"/>
          <w:b/>
          <w:bCs/>
          <w:kern w:val="22"/>
          <w:szCs w:val="22"/>
        </w:rPr>
        <w:t>Theory of change</w:t>
      </w:r>
    </w:p>
    <w:p w14:paraId="3CA86F82" w14:textId="77777777" w:rsidR="00E86051" w:rsidRPr="00CE31DF" w:rsidRDefault="00E86051" w:rsidP="00854BF8">
      <w:pPr>
        <w:pStyle w:val="Para1"/>
        <w:numPr>
          <w:ilvl w:val="0"/>
          <w:numId w:val="0"/>
        </w:numPr>
        <w:spacing w:before="60" w:after="60"/>
        <w:rPr>
          <w:lang w:val="en-US"/>
        </w:rPr>
      </w:pPr>
      <w:r w:rsidRPr="00CE31DF">
        <w:rPr>
          <w:lang w:val="en-US"/>
        </w:rPr>
        <w:t>9.</w:t>
      </w:r>
      <w:r w:rsidRPr="00CE31DF">
        <w:rPr>
          <w:lang w:val="en-US"/>
        </w:rPr>
        <w:tab/>
        <w:t xml:space="preserve">The </w:t>
      </w:r>
      <w:r w:rsidRPr="00CE31DF">
        <w:t xml:space="preserve">Kunming-Montreal Global Biodiversity </w:t>
      </w:r>
      <w:r w:rsidRPr="00CE31DF">
        <w:rPr>
          <w:lang w:val="en-US"/>
        </w:rPr>
        <w:t>Framework is built around a theory of change which recognizes that urgent policy action is required globally, regionally and nationally to achieve sustainable development so that the drivers of undesirable change that have exacerbated biodiversity loss will be reduced and/or reversed to allow for the recovery of all ecosystems and to achieve the Convention’s Vision of living in harmony with nature by 2050.</w:t>
      </w:r>
    </w:p>
    <w:p w14:paraId="24CAA1EC" w14:textId="77777777" w:rsidR="00E86051" w:rsidRPr="00CE31DF" w:rsidRDefault="00E86051" w:rsidP="00AF3ED2">
      <w:pPr>
        <w:keepNext/>
        <w:tabs>
          <w:tab w:val="left" w:pos="2228"/>
        </w:tabs>
        <w:spacing w:before="240" w:after="120"/>
        <w:jc w:val="center"/>
        <w:rPr>
          <w:rFonts w:eastAsia="Malgun Gothic"/>
          <w:b/>
          <w:bCs/>
          <w:color w:val="000000" w:themeColor="text1"/>
          <w:kern w:val="22"/>
          <w:szCs w:val="22"/>
        </w:rPr>
      </w:pPr>
      <w:r w:rsidRPr="00CE31DF">
        <w:rPr>
          <w:rFonts w:eastAsia="Malgun Gothic"/>
          <w:b/>
          <w:bCs/>
          <w:color w:val="000000" w:themeColor="text1"/>
          <w:kern w:val="22"/>
          <w:szCs w:val="22"/>
        </w:rPr>
        <w:t>Section F. 2050 vision and 2030 mission</w:t>
      </w:r>
    </w:p>
    <w:p w14:paraId="0CB2B075" w14:textId="77777777" w:rsidR="00E86051" w:rsidRPr="00CE31DF" w:rsidRDefault="00E86051">
      <w:pPr>
        <w:tabs>
          <w:tab w:val="left" w:pos="709"/>
        </w:tabs>
        <w:spacing w:before="120" w:after="120"/>
        <w:rPr>
          <w:snapToGrid w:val="0"/>
          <w:kern w:val="22"/>
          <w:szCs w:val="22"/>
        </w:rPr>
      </w:pPr>
      <w:r w:rsidRPr="00CE31DF">
        <w:rPr>
          <w:snapToGrid w:val="0"/>
          <w:kern w:val="22"/>
          <w:szCs w:val="22"/>
        </w:rPr>
        <w:t>10.</w:t>
      </w:r>
      <w:r w:rsidRPr="00CE31DF">
        <w:rPr>
          <w:snapToGrid w:val="0"/>
          <w:kern w:val="22"/>
          <w:szCs w:val="22"/>
        </w:rPr>
        <w:tab/>
        <w:t xml:space="preserve">The vision of </w:t>
      </w:r>
      <w:r w:rsidRPr="00CE31DF">
        <w:rPr>
          <w:snapToGrid w:val="0"/>
          <w:szCs w:val="22"/>
        </w:rPr>
        <w:t>the</w:t>
      </w:r>
      <w:r w:rsidRPr="00CE31DF">
        <w:rPr>
          <w:snapToGrid w:val="0"/>
          <w:kern w:val="22"/>
          <w:szCs w:val="22"/>
        </w:rPr>
        <w:t xml:space="preserve"> </w:t>
      </w:r>
      <w:r w:rsidRPr="00CE31DF">
        <w:rPr>
          <w:szCs w:val="22"/>
        </w:rPr>
        <w:t>Kunming-Montreal Global Biodiversity</w:t>
      </w:r>
      <w:r w:rsidRPr="00CE31DF">
        <w:t xml:space="preserve"> </w:t>
      </w:r>
      <w:r w:rsidRPr="00CE31DF">
        <w:rPr>
          <w:snapToGrid w:val="0"/>
          <w:kern w:val="22"/>
          <w:szCs w:val="22"/>
        </w:rPr>
        <w:t xml:space="preserve">Framework is a world of living in harmony with nature where “by 2050, biodiversity is valued, conserved, restored and wisely used, maintaining ecosystem services, sustaining a healthy planet and delivering benefits essential for all people.” </w:t>
      </w:r>
    </w:p>
    <w:p w14:paraId="3E282430" w14:textId="77777777" w:rsidR="00E86051" w:rsidRPr="00CE31DF" w:rsidRDefault="00E86051">
      <w:pPr>
        <w:tabs>
          <w:tab w:val="left" w:pos="709"/>
        </w:tabs>
        <w:spacing w:before="120" w:after="120"/>
        <w:rPr>
          <w:i/>
          <w:iCs/>
          <w:szCs w:val="22"/>
        </w:rPr>
      </w:pPr>
      <w:r w:rsidRPr="00CE31DF">
        <w:rPr>
          <w:snapToGrid w:val="0"/>
          <w:kern w:val="22"/>
          <w:szCs w:val="22"/>
        </w:rPr>
        <w:t>11.</w:t>
      </w:r>
      <w:r w:rsidRPr="00CE31DF">
        <w:rPr>
          <w:snapToGrid w:val="0"/>
          <w:kern w:val="22"/>
          <w:szCs w:val="22"/>
        </w:rPr>
        <w:tab/>
        <w:t xml:space="preserve">The </w:t>
      </w:r>
      <w:r w:rsidRPr="00CE31DF">
        <w:rPr>
          <w:snapToGrid w:val="0"/>
          <w:szCs w:val="22"/>
        </w:rPr>
        <w:t>mission</w:t>
      </w:r>
      <w:r w:rsidRPr="00CE31DF">
        <w:rPr>
          <w:snapToGrid w:val="0"/>
          <w:kern w:val="22"/>
          <w:szCs w:val="22"/>
        </w:rPr>
        <w:t xml:space="preserve"> of the Framework for the period up to 2030, towards the 2050 vision is: </w:t>
      </w:r>
    </w:p>
    <w:p w14:paraId="25011B4F" w14:textId="77777777" w:rsidR="00E86051" w:rsidRPr="00CE31DF" w:rsidRDefault="00E86051">
      <w:pPr>
        <w:tabs>
          <w:tab w:val="left" w:pos="709"/>
        </w:tabs>
        <w:spacing w:before="120" w:after="120"/>
        <w:ind w:left="567"/>
        <w:rPr>
          <w:i/>
          <w:iCs/>
          <w:szCs w:val="22"/>
        </w:rPr>
      </w:pPr>
      <w:r w:rsidRPr="00CE31DF">
        <w:rPr>
          <w:iCs/>
          <w:szCs w:val="22"/>
        </w:rPr>
        <w:t xml:space="preserve">To take urgent action to halt and reverse biodiversity loss to put nature on a path to recovery for the benefit of people and planet </w:t>
      </w:r>
      <w:r w:rsidRPr="00CE31DF">
        <w:rPr>
          <w:szCs w:val="22"/>
        </w:rPr>
        <w:t xml:space="preserve">by conserving and sustainably using biodiversity and by ensuring the </w:t>
      </w:r>
      <w:r w:rsidRPr="00CE31DF">
        <w:rPr>
          <w:szCs w:val="22"/>
        </w:rPr>
        <w:lastRenderedPageBreak/>
        <w:t>fair and equitable sharing of benefits from the use of genetic resources, while providing the necessary means of implementation.</w:t>
      </w:r>
    </w:p>
    <w:p w14:paraId="36815F52" w14:textId="77777777" w:rsidR="00E86051" w:rsidRPr="00CE31DF" w:rsidRDefault="00E86051" w:rsidP="00AF3ED2">
      <w:pPr>
        <w:keepNext/>
        <w:tabs>
          <w:tab w:val="left" w:pos="2228"/>
        </w:tabs>
        <w:spacing w:before="240" w:after="120"/>
        <w:jc w:val="center"/>
        <w:rPr>
          <w:rFonts w:eastAsia="Malgun Gothic"/>
          <w:b/>
          <w:bCs/>
          <w:color w:val="000000" w:themeColor="text1"/>
          <w:kern w:val="22"/>
          <w:szCs w:val="22"/>
        </w:rPr>
      </w:pPr>
      <w:r w:rsidRPr="00CE31DF">
        <w:rPr>
          <w:rFonts w:eastAsia="Malgun Gothic"/>
          <w:b/>
          <w:bCs/>
          <w:color w:val="000000" w:themeColor="text1"/>
          <w:kern w:val="22"/>
          <w:szCs w:val="22"/>
        </w:rPr>
        <w:t>Section G. Global goals for 2050</w:t>
      </w:r>
    </w:p>
    <w:p w14:paraId="1C329A6B" w14:textId="77777777" w:rsidR="00E86051" w:rsidRPr="00CE31DF" w:rsidRDefault="00E86051">
      <w:pPr>
        <w:tabs>
          <w:tab w:val="left" w:pos="709"/>
          <w:tab w:val="left" w:pos="2228"/>
        </w:tabs>
        <w:spacing w:before="240" w:after="120"/>
        <w:rPr>
          <w:b/>
          <w:color w:val="000000" w:themeColor="text1"/>
          <w:kern w:val="22"/>
          <w:szCs w:val="22"/>
        </w:rPr>
      </w:pPr>
      <w:r w:rsidRPr="00CE31DF">
        <w:rPr>
          <w:kern w:val="22"/>
          <w:szCs w:val="22"/>
        </w:rPr>
        <w:t>12.</w:t>
      </w:r>
      <w:r w:rsidRPr="00CE31DF">
        <w:rPr>
          <w:kern w:val="22"/>
          <w:szCs w:val="22"/>
        </w:rPr>
        <w:tab/>
        <w:t xml:space="preserve">The </w:t>
      </w:r>
      <w:r w:rsidRPr="00CE31DF">
        <w:rPr>
          <w:szCs w:val="22"/>
        </w:rPr>
        <w:t>Kunming-Montreal Global Biodiversity</w:t>
      </w:r>
      <w:r w:rsidRPr="00CE31DF">
        <w:t xml:space="preserve"> Framework</w:t>
      </w:r>
      <w:r w:rsidRPr="00CE31DF">
        <w:rPr>
          <w:kern w:val="22"/>
          <w:szCs w:val="22"/>
        </w:rPr>
        <w:t xml:space="preserve"> has four long-term goals for 2050 related to the 2050 Vision for biodiversity.</w:t>
      </w:r>
    </w:p>
    <w:p w14:paraId="5C5AB53D" w14:textId="77777777" w:rsidR="00E86051" w:rsidRPr="00CE31DF" w:rsidRDefault="00E86051" w:rsidP="00AF3ED2">
      <w:pPr>
        <w:keepNext/>
        <w:tabs>
          <w:tab w:val="left" w:pos="2228"/>
        </w:tabs>
        <w:spacing w:before="240" w:after="120"/>
        <w:jc w:val="center"/>
        <w:rPr>
          <w:b/>
          <w:kern w:val="22"/>
          <w:szCs w:val="22"/>
        </w:rPr>
      </w:pPr>
      <w:r w:rsidRPr="00CE31DF">
        <w:rPr>
          <w:b/>
          <w:color w:val="000000" w:themeColor="text1"/>
          <w:kern w:val="22"/>
          <w:szCs w:val="22"/>
        </w:rPr>
        <w:t>GOAL A</w:t>
      </w:r>
    </w:p>
    <w:p w14:paraId="1EE7D21C" w14:textId="77777777" w:rsidR="00E86051" w:rsidRPr="00CE31DF" w:rsidRDefault="00E86051" w:rsidP="00854BF8">
      <w:pPr>
        <w:tabs>
          <w:tab w:val="left" w:pos="709"/>
          <w:tab w:val="left" w:pos="2228"/>
        </w:tabs>
        <w:spacing w:before="120" w:after="120"/>
        <w:rPr>
          <w:kern w:val="22"/>
          <w:szCs w:val="22"/>
        </w:rPr>
      </w:pPr>
      <w:r w:rsidRPr="00CE31DF">
        <w:rPr>
          <w:kern w:val="22"/>
          <w:szCs w:val="22"/>
        </w:rPr>
        <w:t>The integrity, connectivity and resilience of all ecosystems are maintained, enhanced, or restored, substantially increasing the area of natural ecosystems by 2050;</w:t>
      </w:r>
    </w:p>
    <w:p w14:paraId="3E7433B2" w14:textId="77777777" w:rsidR="00E86051" w:rsidRPr="00CE31DF" w:rsidRDefault="00E86051" w:rsidP="00854BF8">
      <w:pPr>
        <w:tabs>
          <w:tab w:val="left" w:pos="709"/>
          <w:tab w:val="left" w:pos="2228"/>
        </w:tabs>
        <w:spacing w:before="120" w:after="120"/>
        <w:rPr>
          <w:kern w:val="22"/>
          <w:szCs w:val="22"/>
        </w:rPr>
      </w:pPr>
      <w:r w:rsidRPr="00CE31DF">
        <w:rPr>
          <w:kern w:val="22"/>
          <w:szCs w:val="22"/>
        </w:rPr>
        <w:t>Human induced extinction of known threatened species is halted, and, by 2050, the extinction rate and risk of all species are reduced tenfold and the abundance of native wild species is increased to healthy and resilient levels;</w:t>
      </w:r>
    </w:p>
    <w:p w14:paraId="0AEFFDFF" w14:textId="77777777" w:rsidR="00E86051" w:rsidRPr="00CE31DF" w:rsidRDefault="00E86051" w:rsidP="00854BF8">
      <w:pPr>
        <w:tabs>
          <w:tab w:val="left" w:pos="709"/>
          <w:tab w:val="left" w:pos="2228"/>
        </w:tabs>
        <w:spacing w:before="120" w:after="120"/>
        <w:rPr>
          <w:kern w:val="22"/>
          <w:szCs w:val="22"/>
        </w:rPr>
      </w:pPr>
      <w:r w:rsidRPr="00CE31DF">
        <w:rPr>
          <w:kern w:val="22"/>
          <w:szCs w:val="22"/>
        </w:rPr>
        <w:t>The genetic diversity within populations of wild and domesticated species, is maintained, safeguarding their adaptive potential.</w:t>
      </w:r>
    </w:p>
    <w:p w14:paraId="33EFDA4E" w14:textId="77777777" w:rsidR="00E86051" w:rsidRPr="00CE31DF" w:rsidRDefault="00E86051" w:rsidP="00443A10">
      <w:pPr>
        <w:keepNext/>
        <w:tabs>
          <w:tab w:val="left" w:pos="2228"/>
        </w:tabs>
        <w:spacing w:before="240" w:after="120"/>
        <w:jc w:val="center"/>
        <w:rPr>
          <w:b/>
          <w:bCs/>
          <w:szCs w:val="22"/>
          <w:lang w:val="en-US"/>
        </w:rPr>
      </w:pPr>
      <w:r w:rsidRPr="00CE31DF">
        <w:rPr>
          <w:b/>
          <w:bCs/>
          <w:szCs w:val="22"/>
          <w:lang w:val="en-US"/>
        </w:rPr>
        <w:t>GOAL B</w:t>
      </w:r>
    </w:p>
    <w:p w14:paraId="1396C4CB" w14:textId="77777777" w:rsidR="00E86051" w:rsidRPr="00CE31DF" w:rsidRDefault="00E86051">
      <w:pPr>
        <w:rPr>
          <w:b/>
          <w:bCs/>
          <w:szCs w:val="22"/>
        </w:rPr>
      </w:pPr>
      <w:r w:rsidRPr="00CE31DF">
        <w:rPr>
          <w:szCs w:val="22"/>
        </w:rPr>
        <w:t>Biodiversity is sustainably used and managed and nature’s contributions to people, including ecosystem functions and services, are valued, maintained and enhanced, with those currently in decline being restored, supporting the achievement of sustainable development</w:t>
      </w:r>
      <w:r w:rsidRPr="00CE31DF">
        <w:rPr>
          <w:rFonts w:asciiTheme="majorBidi" w:hAnsiTheme="majorBidi" w:cstheme="majorBidi"/>
        </w:rPr>
        <w:t xml:space="preserve"> </w:t>
      </w:r>
      <w:r w:rsidRPr="00CE31DF">
        <w:rPr>
          <w:szCs w:val="22"/>
        </w:rPr>
        <w:t>for the benefit of present and future generations by 2050.</w:t>
      </w:r>
    </w:p>
    <w:p w14:paraId="1A086D26" w14:textId="77777777" w:rsidR="00E86051" w:rsidRPr="00CE31DF" w:rsidRDefault="00E86051" w:rsidP="00443A10">
      <w:pPr>
        <w:keepNext/>
        <w:tabs>
          <w:tab w:val="left" w:pos="2228"/>
        </w:tabs>
        <w:spacing w:before="240" w:after="120"/>
        <w:jc w:val="center"/>
        <w:rPr>
          <w:b/>
          <w:bCs/>
          <w:szCs w:val="22"/>
          <w:lang w:val="en-US"/>
        </w:rPr>
      </w:pPr>
      <w:r w:rsidRPr="00CE31DF">
        <w:rPr>
          <w:b/>
          <w:bCs/>
          <w:szCs w:val="22"/>
          <w:lang w:val="en-US"/>
        </w:rPr>
        <w:t>GOAL C</w:t>
      </w:r>
    </w:p>
    <w:p w14:paraId="505016A2" w14:textId="77777777" w:rsidR="00E86051" w:rsidRPr="00CE31DF" w:rsidRDefault="00E86051">
      <w:pPr>
        <w:rPr>
          <w:szCs w:val="22"/>
        </w:rPr>
      </w:pPr>
      <w:r w:rsidRPr="00CE31DF">
        <w:rPr>
          <w:szCs w:val="22"/>
        </w:rPr>
        <w:t>The monetary and non-monetary benefits from the utilization of genetic resources and digital sequence information on genetic resources, and of traditional knowledge associated with genetic resources, as applicable, are shared fairly and equitably, including, as appropriate with indigenous peoples and local communities, and substantially increased by 2050, while ensuring traditional knowledge associated with genetic resources is appropriately protected, thereby contributing to the conservation and sustainable use of biodiversity, in accordance with internationally agreed access and benefit-sharing instruments.</w:t>
      </w:r>
    </w:p>
    <w:p w14:paraId="2B8117CC" w14:textId="77777777" w:rsidR="00E86051" w:rsidRPr="00CE31DF" w:rsidRDefault="00E86051" w:rsidP="00443A10">
      <w:pPr>
        <w:keepNext/>
        <w:tabs>
          <w:tab w:val="left" w:pos="2228"/>
        </w:tabs>
        <w:spacing w:before="240" w:after="120"/>
        <w:jc w:val="center"/>
        <w:rPr>
          <w:b/>
          <w:bCs/>
          <w:szCs w:val="22"/>
          <w:lang w:val="en-US"/>
        </w:rPr>
      </w:pPr>
      <w:r w:rsidRPr="00CE31DF">
        <w:rPr>
          <w:b/>
          <w:bCs/>
          <w:szCs w:val="22"/>
          <w:lang w:val="en-US"/>
        </w:rPr>
        <w:t>GOAL D</w:t>
      </w:r>
    </w:p>
    <w:p w14:paraId="127AC9E0" w14:textId="77777777" w:rsidR="00E86051" w:rsidRPr="00CE31DF" w:rsidRDefault="00E86051">
      <w:pPr>
        <w:shd w:val="clear" w:color="auto" w:fill="FFFFFF" w:themeFill="background1"/>
        <w:spacing w:before="120" w:after="120"/>
        <w:rPr>
          <w:rFonts w:asciiTheme="majorBidi" w:eastAsia="SimSun" w:hAnsiTheme="majorBidi" w:cstheme="majorBidi"/>
          <w:color w:val="000000" w:themeColor="text1"/>
          <w:lang w:val="en-US" w:eastAsia="zh-CN"/>
        </w:rPr>
      </w:pPr>
      <w:r w:rsidRPr="00CE31DF">
        <w:rPr>
          <w:rFonts w:asciiTheme="majorBidi" w:hAnsiTheme="majorBidi" w:cstheme="majorBidi"/>
          <w:color w:val="000000" w:themeColor="text1"/>
        </w:rPr>
        <w:t xml:space="preserve">Adequate means of implementation, including financial resources, capacity-building, technical and scientific cooperation, and access to and transfer of technology to fully implement the </w:t>
      </w:r>
      <w:r w:rsidRPr="00CE31DF">
        <w:rPr>
          <w:kern w:val="22"/>
        </w:rPr>
        <w:t xml:space="preserve">Kunming-Montreal </w:t>
      </w:r>
      <w:r w:rsidRPr="00CE31DF">
        <w:rPr>
          <w:rFonts w:asciiTheme="majorBidi" w:hAnsiTheme="majorBidi" w:cstheme="majorBidi"/>
          <w:color w:val="000000" w:themeColor="text1"/>
        </w:rPr>
        <w:t xml:space="preserve">Global Biodiversity Framework are secured and equitably accessible to all Parties, especially developing country Parties, in particular the least developed countries and small island developing States, as well as countries with economies in transition, progressively closing the biodiversity finance gap of $700 billion per year, </w:t>
      </w:r>
      <w:r w:rsidRPr="00CE31DF">
        <w:rPr>
          <w:rFonts w:asciiTheme="majorBidi" w:eastAsia="SimSun" w:hAnsiTheme="majorBidi" w:cstheme="majorBidi"/>
          <w:color w:val="000000" w:themeColor="text1"/>
          <w:lang w:val="en-US" w:eastAsia="zh-CN"/>
        </w:rPr>
        <w:t xml:space="preserve">and aligning financial flows with the </w:t>
      </w:r>
      <w:r w:rsidRPr="00CE31DF">
        <w:rPr>
          <w:kern w:val="22"/>
        </w:rPr>
        <w:t xml:space="preserve">Kunming-Montreal </w:t>
      </w:r>
      <w:r w:rsidRPr="00CE31DF">
        <w:rPr>
          <w:rFonts w:asciiTheme="majorBidi" w:eastAsia="SimSun" w:hAnsiTheme="majorBidi" w:cstheme="majorBidi"/>
          <w:color w:val="000000" w:themeColor="text1"/>
          <w:lang w:val="en-US" w:eastAsia="zh-CN"/>
        </w:rPr>
        <w:t>Global Biodiversity Framework and the 2050 Vision for biodiversity.</w:t>
      </w:r>
    </w:p>
    <w:p w14:paraId="0B9F44E9" w14:textId="77777777" w:rsidR="00E86051" w:rsidRPr="00CE31DF" w:rsidRDefault="00E86051" w:rsidP="006A1DE4">
      <w:pPr>
        <w:keepNext/>
        <w:tabs>
          <w:tab w:val="left" w:pos="2228"/>
        </w:tabs>
        <w:spacing w:before="240" w:after="120"/>
        <w:jc w:val="center"/>
        <w:rPr>
          <w:b/>
          <w:bCs/>
          <w:iCs/>
          <w:szCs w:val="22"/>
        </w:rPr>
      </w:pPr>
      <w:r w:rsidRPr="00CE31DF">
        <w:rPr>
          <w:b/>
          <w:bCs/>
          <w:iCs/>
          <w:szCs w:val="22"/>
        </w:rPr>
        <w:t>Section H.  Global targets for 2030</w:t>
      </w:r>
    </w:p>
    <w:p w14:paraId="78234A66" w14:textId="77777777" w:rsidR="00E86051" w:rsidRPr="00CE31DF" w:rsidRDefault="00E86051" w:rsidP="00854BF8">
      <w:pPr>
        <w:pStyle w:val="Para1"/>
        <w:numPr>
          <w:ilvl w:val="0"/>
          <w:numId w:val="0"/>
        </w:numPr>
        <w:shd w:val="clear" w:color="auto" w:fill="FFFFFF" w:themeFill="background1"/>
        <w:tabs>
          <w:tab w:val="left" w:pos="630"/>
        </w:tabs>
      </w:pPr>
      <w:r w:rsidRPr="00CE31DF">
        <w:rPr>
          <w:rFonts w:eastAsia="Malgun Gothic"/>
        </w:rPr>
        <w:t>13.</w:t>
      </w:r>
      <w:r w:rsidRPr="00CE31DF">
        <w:rPr>
          <w:rFonts w:eastAsia="Malgun Gothic"/>
        </w:rPr>
        <w:tab/>
        <w:t xml:space="preserve">The </w:t>
      </w:r>
      <w:r w:rsidRPr="00CE31DF">
        <w:t xml:space="preserve">Kunming-Montreal </w:t>
      </w:r>
      <w:r w:rsidRPr="00CE31DF">
        <w:rPr>
          <w:rFonts w:asciiTheme="majorBidi" w:eastAsia="SimSun" w:hAnsiTheme="majorBidi" w:cstheme="majorBidi"/>
          <w:color w:val="000000" w:themeColor="text1"/>
          <w:lang w:val="en-US" w:eastAsia="zh-CN"/>
        </w:rPr>
        <w:t xml:space="preserve">Global Biodiversity </w:t>
      </w:r>
      <w:r w:rsidRPr="00CE31DF">
        <w:t>Framework</w:t>
      </w:r>
      <w:r w:rsidRPr="00CE31DF">
        <w:rPr>
          <w:rFonts w:eastAsia="Malgun Gothic"/>
        </w:rPr>
        <w:t xml:space="preserve"> has 23 action-oriented global targets for urgent action over the decade to 2030. The actions set out in each target need to be initiated immediately and completed by 2030. Together, the results will enable achievement towards the outcome-oriented goals for 2050. </w:t>
      </w:r>
      <w:r w:rsidRPr="00CE31DF">
        <w:t>Actions to reach these targets should be implemented consistently and in harmony with the Convention on Biological Diversity and its Protocols, and other relevant international obligations, taking into account national circumstances, priorities and socioeconomic conditions.</w:t>
      </w:r>
    </w:p>
    <w:p w14:paraId="7CEA2E40" w14:textId="77777777" w:rsidR="00E86051" w:rsidRPr="00CE31DF" w:rsidRDefault="00E86051" w:rsidP="00950BE4">
      <w:pPr>
        <w:pStyle w:val="Para1"/>
        <w:keepNext/>
        <w:numPr>
          <w:ilvl w:val="6"/>
          <w:numId w:val="16"/>
        </w:numPr>
        <w:suppressLineNumbers/>
        <w:tabs>
          <w:tab w:val="clear" w:pos="2520"/>
          <w:tab w:val="left" w:pos="360"/>
          <w:tab w:val="left" w:pos="567"/>
        </w:tabs>
        <w:suppressAutoHyphens/>
        <w:overflowPunct/>
        <w:autoSpaceDE/>
        <w:autoSpaceDN/>
        <w:spacing w:before="240"/>
        <w:ind w:left="0" w:firstLine="0"/>
        <w:jc w:val="center"/>
        <w:rPr>
          <w:rFonts w:eastAsia="Malgun Gothic"/>
          <w:b/>
          <w:bCs/>
          <w:i/>
          <w:iCs/>
          <w:color w:val="000000" w:themeColor="text1"/>
        </w:rPr>
      </w:pPr>
      <w:r w:rsidRPr="00CE31DF">
        <w:rPr>
          <w:bCs/>
          <w:i/>
          <w:iCs/>
          <w:color w:val="000000" w:themeColor="text1"/>
        </w:rPr>
        <w:lastRenderedPageBreak/>
        <w:t>Reducing threats to biodiversity</w:t>
      </w:r>
    </w:p>
    <w:p w14:paraId="3EFD4F8D"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w:t>
      </w:r>
    </w:p>
    <w:p w14:paraId="16E1A945" w14:textId="77777777" w:rsidR="00E86051" w:rsidRPr="00CE31DF" w:rsidRDefault="00E86051" w:rsidP="0039740C">
      <w:pPr>
        <w:pStyle w:val="Para1"/>
        <w:numPr>
          <w:ilvl w:val="0"/>
          <w:numId w:val="0"/>
        </w:numPr>
        <w:suppressLineNumbers/>
        <w:tabs>
          <w:tab w:val="left" w:pos="720"/>
        </w:tabs>
        <w:suppressAutoHyphens/>
        <w:spacing w:before="60"/>
        <w:rPr>
          <w:rFonts w:eastAsia="Malgun Gothic"/>
          <w:color w:val="000000" w:themeColor="text1"/>
        </w:rPr>
      </w:pPr>
      <w:r w:rsidRPr="00CE31DF">
        <w:rPr>
          <w:rFonts w:eastAsia="Malgun Gothic"/>
          <w:color w:val="000000" w:themeColor="text1"/>
        </w:rPr>
        <w:t>Ensure that all areas are under participatory, integrated and biodiversity inclusive spatial planning and/or effective management processes addressing land- and sea</w:t>
      </w:r>
      <w:r w:rsidRPr="00CE31DF">
        <w:rPr>
          <w:rFonts w:eastAsia="Malgun Gothic"/>
          <w:color w:val="000000" w:themeColor="text1"/>
        </w:rPr>
        <w:noBreakHyphen/>
        <w:t>use change, to bring the loss of areas of high biodiversity importance, including ecosystems of high ecological integrity, close to zero by 2030, while respecting the rights of indigenous peoples and local communities.</w:t>
      </w:r>
    </w:p>
    <w:p w14:paraId="6A2775C2"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2</w:t>
      </w:r>
    </w:p>
    <w:p w14:paraId="06DD8E70" w14:textId="77777777" w:rsidR="00E86051" w:rsidRPr="00CE31DF" w:rsidRDefault="00E86051" w:rsidP="0039740C">
      <w:pPr>
        <w:tabs>
          <w:tab w:val="left" w:pos="2228"/>
        </w:tabs>
        <w:spacing w:before="60" w:after="120"/>
        <w:rPr>
          <w:rFonts w:eastAsia="Malgun Gothic"/>
          <w:b/>
          <w:bCs/>
          <w:color w:val="000000" w:themeColor="text1"/>
          <w:kern w:val="22"/>
          <w:szCs w:val="22"/>
        </w:rPr>
      </w:pPr>
      <w:r w:rsidRPr="00CE31DF">
        <w:rPr>
          <w:szCs w:val="22"/>
        </w:rPr>
        <w:t xml:space="preserve">Ensure that by </w:t>
      </w:r>
      <w:r w:rsidRPr="00CE31DF">
        <w:rPr>
          <w:rFonts w:eastAsia="Malgun Gothic"/>
          <w:snapToGrid w:val="0"/>
          <w:color w:val="000000" w:themeColor="text1"/>
          <w:kern w:val="22"/>
          <w:szCs w:val="22"/>
        </w:rPr>
        <w:t>2030</w:t>
      </w:r>
      <w:r w:rsidRPr="00CE31DF">
        <w:rPr>
          <w:szCs w:val="22"/>
        </w:rPr>
        <w:t xml:space="preserve"> at least 30 per cent of areas of degraded terrestrial, inland water, and </w:t>
      </w:r>
      <w:r w:rsidRPr="00CE31DF">
        <w:rPr>
          <w:snapToGrid w:val="0"/>
          <w:szCs w:val="22"/>
        </w:rPr>
        <w:t>marine</w:t>
      </w:r>
      <w:r w:rsidRPr="00CE31DF">
        <w:rPr>
          <w:szCs w:val="22"/>
        </w:rPr>
        <w:t xml:space="preserve"> and </w:t>
      </w:r>
      <w:r w:rsidRPr="00CE31DF">
        <w:rPr>
          <w:snapToGrid w:val="0"/>
          <w:szCs w:val="22"/>
        </w:rPr>
        <w:t xml:space="preserve">coastal </w:t>
      </w:r>
      <w:r w:rsidRPr="00CE31DF">
        <w:rPr>
          <w:szCs w:val="22"/>
        </w:rPr>
        <w:t>ecosystems are under effective restoration, in order to enhance biodiversity and ecosystem functions and services, ecological integrity and connectivity.</w:t>
      </w:r>
    </w:p>
    <w:p w14:paraId="7CAE14EF"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3</w:t>
      </w:r>
    </w:p>
    <w:p w14:paraId="3D660225" w14:textId="77777777" w:rsidR="00E86051" w:rsidRPr="00CE31DF" w:rsidRDefault="00E86051" w:rsidP="00BB104E">
      <w:pPr>
        <w:shd w:val="clear" w:color="auto" w:fill="FFFFFF" w:themeFill="background1"/>
        <w:spacing w:before="120" w:after="120"/>
        <w:rPr>
          <w:color w:val="000000" w:themeColor="text1"/>
          <w:szCs w:val="22"/>
        </w:rPr>
      </w:pPr>
      <w:r w:rsidRPr="00CE31DF">
        <w:rPr>
          <w:color w:val="000000" w:themeColor="text1"/>
          <w:szCs w:val="22"/>
        </w:rPr>
        <w:t xml:space="preserve">Ensure and </w:t>
      </w:r>
      <w:r w:rsidRPr="00CE31DF">
        <w:rPr>
          <w:rFonts w:eastAsia="Malgun Gothic"/>
          <w:snapToGrid w:val="0"/>
          <w:color w:val="000000" w:themeColor="text1"/>
          <w:kern w:val="22"/>
          <w:szCs w:val="22"/>
        </w:rPr>
        <w:t>enable</w:t>
      </w:r>
      <w:r w:rsidRPr="00CE31DF">
        <w:rPr>
          <w:color w:val="000000" w:themeColor="text1"/>
          <w:szCs w:val="22"/>
        </w:rPr>
        <w:t xml:space="preserve"> that by 2030 at least 30 per cent of </w:t>
      </w:r>
      <w:r w:rsidRPr="00CE31DF">
        <w:rPr>
          <w:szCs w:val="22"/>
        </w:rPr>
        <w:t xml:space="preserve">terrestrial and inland water areas, and of marine and coastal </w:t>
      </w:r>
      <w:r w:rsidRPr="00CE31DF">
        <w:rPr>
          <w:color w:val="000000" w:themeColor="text1"/>
          <w:szCs w:val="22"/>
        </w:rPr>
        <w:t xml:space="preserve">areas, especially areas of particular importance for biodiversity and ecosystem functions and services, are effectively conserved and managed through ecologically representative, well-connected and equitably governed systems of protected areas and other effective area-based conservation measures, recognizing indigenous </w:t>
      </w:r>
      <w:r w:rsidRPr="00CE31DF">
        <w:rPr>
          <w:rFonts w:eastAsia="SimSun"/>
          <w:color w:val="000000" w:themeColor="text1"/>
          <w:szCs w:val="22"/>
          <w:lang w:val="en-US" w:eastAsia="zh-CN"/>
        </w:rPr>
        <w:t>and traditional territories</w:t>
      </w:r>
      <w:r w:rsidRPr="00CE31DF">
        <w:rPr>
          <w:color w:val="000000" w:themeColor="text1"/>
          <w:szCs w:val="22"/>
        </w:rPr>
        <w:t>, where applicable, and integrated into wider landscapes, seascapes and the ocean, while ensuring that any sustainable use, where appropriate in such areas, is fully consistent with conservation outcomes, recognizing and respecting the rights of indigenous peoples and local communities, including over their traditional territories.</w:t>
      </w:r>
    </w:p>
    <w:p w14:paraId="0D6D1FE2"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4</w:t>
      </w:r>
    </w:p>
    <w:p w14:paraId="2E6CDDCB" w14:textId="77777777" w:rsidR="00E86051" w:rsidRPr="00CE31DF" w:rsidRDefault="00E86051" w:rsidP="0039740C">
      <w:pPr>
        <w:tabs>
          <w:tab w:val="left" w:pos="2228"/>
        </w:tabs>
        <w:spacing w:before="60" w:after="120"/>
        <w:rPr>
          <w:color w:val="000000"/>
          <w:szCs w:val="22"/>
          <w:lang w:val="en-CA"/>
        </w:rPr>
      </w:pPr>
      <w:r w:rsidRPr="00CE31DF">
        <w:rPr>
          <w:color w:val="000000"/>
          <w:szCs w:val="22"/>
          <w:lang w:val="en-CA"/>
        </w:rPr>
        <w:t xml:space="preserve">Ensure urgent management actions to halt </w:t>
      </w:r>
      <w:r w:rsidRPr="00CE31DF">
        <w:rPr>
          <w:kern w:val="22"/>
          <w:szCs w:val="22"/>
        </w:rPr>
        <w:t xml:space="preserve">human induced extinction of known threatened species and </w:t>
      </w:r>
      <w:r w:rsidRPr="00CE31DF">
        <w:rPr>
          <w:color w:val="000000"/>
          <w:szCs w:val="22"/>
          <w:lang w:val="en-CA"/>
        </w:rPr>
        <w:t>for the recovery and conservation of species, in particular threatened species, to significantly reduce extinction risk, as well as to maintain and restore the genetic diversity within and between populations of native, wild and domesticated species to maintain their adaptive potential, including through in situ and ex situ conservation and sustainable management practices, and effectively manage human-wildlife interactions to minimize human-wildlife conflict for coexistence.</w:t>
      </w:r>
    </w:p>
    <w:p w14:paraId="21859388"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5</w:t>
      </w:r>
    </w:p>
    <w:p w14:paraId="1C7999A2" w14:textId="77777777" w:rsidR="00E86051" w:rsidRPr="00CE31DF" w:rsidRDefault="00E86051" w:rsidP="0039740C">
      <w:pPr>
        <w:spacing w:before="60"/>
        <w:rPr>
          <w:lang w:val="en-AU"/>
        </w:rPr>
      </w:pPr>
      <w:r w:rsidRPr="00CE31DF">
        <w:t>Ensure that the use, harvesting and trade of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p>
    <w:p w14:paraId="00078B6F"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6</w:t>
      </w:r>
    </w:p>
    <w:p w14:paraId="3C7CE1EA" w14:textId="77777777" w:rsidR="00E86051" w:rsidRPr="00CE31DF" w:rsidRDefault="00E86051" w:rsidP="0039740C">
      <w:pPr>
        <w:shd w:val="clear" w:color="auto" w:fill="FFFFFF" w:themeFill="background1"/>
        <w:spacing w:before="60" w:after="120"/>
        <w:rPr>
          <w:color w:val="000000"/>
          <w:szCs w:val="22"/>
        </w:rPr>
      </w:pPr>
      <w:r w:rsidRPr="00CE31DF">
        <w:rPr>
          <w:color w:val="000000"/>
          <w:szCs w:val="22"/>
        </w:rPr>
        <w:t xml:space="preserve">Eliminate, minimize, reduce and or mitigate the impacts of invasive alien species on biodiversity and ecosystem services by identifying and managing pathways of the introduction of alien species, preventing the introduction and establishment of priority invasive alien species, reducing the rates of introduction and establishment of other known or potential invasive alien species by at least 50 per cent by 2030, and eradicating or controlling invasive alien species, especially in priority sites, such as islands. </w:t>
      </w:r>
    </w:p>
    <w:p w14:paraId="1DF39784"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7</w:t>
      </w:r>
    </w:p>
    <w:p w14:paraId="25086B56" w14:textId="77777777" w:rsidR="00E86051" w:rsidRPr="00CE31DF" w:rsidRDefault="00E86051" w:rsidP="0039740C">
      <w:pPr>
        <w:pStyle w:val="Para1"/>
        <w:keepNext/>
        <w:numPr>
          <w:ilvl w:val="0"/>
          <w:numId w:val="0"/>
        </w:numPr>
        <w:suppressLineNumbers/>
        <w:suppressAutoHyphens/>
        <w:spacing w:before="60"/>
        <w:rPr>
          <w:rFonts w:eastAsia="Malgun Gothic"/>
          <w:color w:val="000000" w:themeColor="text1"/>
        </w:rPr>
      </w:pPr>
      <w:r w:rsidRPr="00CE31DF">
        <w:t xml:space="preserve">Reduce pollution risks and the negative impact of pollution from all sources by 2030, to levels that are not harmful to biodiversity and ecosystem functions and services, considering cumulative effects, including: (a) by reducing excess nutrients lost to the environment by at least half, including through more efficient nutrient cycling and use; (b) by reducing the overall </w:t>
      </w:r>
      <w:r w:rsidRPr="00CE31DF">
        <w:rPr>
          <w:rFonts w:eastAsia="Malgun Gothic"/>
          <w:color w:val="000000" w:themeColor="text1"/>
        </w:rPr>
        <w:t>risk from pesticides and highly hazardous chemicals</w:t>
      </w:r>
      <w:r w:rsidRPr="00CE31DF">
        <w:t xml:space="preserve"> by at least half, including through integrated pest management, based on science, taking into account food </w:t>
      </w:r>
      <w:r w:rsidRPr="00CE31DF">
        <w:lastRenderedPageBreak/>
        <w:t xml:space="preserve">security and livelihoods; </w:t>
      </w:r>
      <w:r w:rsidRPr="00CE31DF">
        <w:rPr>
          <w:rFonts w:asciiTheme="majorBidi" w:hAnsiTheme="majorBidi" w:cstheme="majorBidi"/>
        </w:rPr>
        <w:t>and (c) by preventing, reducing, and working towards eliminating plastic pollution.</w:t>
      </w:r>
    </w:p>
    <w:p w14:paraId="4F0A878D"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 xml:space="preserve">TARGET 8 </w:t>
      </w:r>
    </w:p>
    <w:p w14:paraId="61FF06BC" w14:textId="77777777" w:rsidR="00E86051" w:rsidRPr="00CE31DF" w:rsidRDefault="00E86051" w:rsidP="00875B4E">
      <w:pPr>
        <w:rPr>
          <w:szCs w:val="22"/>
        </w:rPr>
      </w:pPr>
      <w:r w:rsidRPr="00CE31DF">
        <w:rPr>
          <w:szCs w:val="22"/>
        </w:rPr>
        <w:t xml:space="preserve">Minimize the impact of climate change and ocean acidification on biodiversity and increase its </w:t>
      </w:r>
      <w:r w:rsidRPr="00320F2C">
        <w:rPr>
          <w:szCs w:val="22"/>
        </w:rPr>
        <w:t>resilience through mitigation, adaptation, and disaster risk reduction actions, including through nature-based solutions and/or ecosystem-based approaches, while minimizing negative and fostering positive impacts of climate</w:t>
      </w:r>
      <w:r w:rsidRPr="00CE31DF">
        <w:rPr>
          <w:szCs w:val="22"/>
        </w:rPr>
        <w:t xml:space="preserve"> action on biodiversity. </w:t>
      </w:r>
    </w:p>
    <w:p w14:paraId="0FB24453" w14:textId="77777777" w:rsidR="00E86051" w:rsidRPr="00CE31DF" w:rsidRDefault="00E86051" w:rsidP="00443A10">
      <w:pPr>
        <w:spacing w:before="240" w:after="120"/>
        <w:jc w:val="center"/>
        <w:rPr>
          <w:rFonts w:eastAsia="Malgun Gothic"/>
        </w:rPr>
      </w:pPr>
      <w:r w:rsidRPr="00CE31DF">
        <w:rPr>
          <w:i/>
          <w:iCs/>
          <w:color w:val="000000" w:themeColor="text1"/>
          <w:szCs w:val="22"/>
        </w:rPr>
        <w:t>2. Meeting people’s needs through sustainable use and benefit-sharing</w:t>
      </w:r>
    </w:p>
    <w:p w14:paraId="44F3D874"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9</w:t>
      </w:r>
    </w:p>
    <w:p w14:paraId="59C3ABBC" w14:textId="77777777" w:rsidR="00E86051" w:rsidRPr="00CE31DF" w:rsidRDefault="00E86051" w:rsidP="0039740C">
      <w:pPr>
        <w:tabs>
          <w:tab w:val="left" w:pos="2228"/>
        </w:tabs>
        <w:spacing w:before="60" w:after="120"/>
        <w:rPr>
          <w:bCs/>
          <w:szCs w:val="22"/>
        </w:rPr>
      </w:pPr>
      <w:r w:rsidRPr="00CE31DF">
        <w:rPr>
          <w:bCs/>
          <w:szCs w:val="22"/>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p w14:paraId="42A04415"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10</w:t>
      </w:r>
    </w:p>
    <w:p w14:paraId="1960ABFA" w14:textId="77777777" w:rsidR="00E86051" w:rsidRPr="00CE31DF" w:rsidRDefault="00E86051" w:rsidP="0039740C">
      <w:pPr>
        <w:spacing w:before="60" w:after="120"/>
        <w:rPr>
          <w:szCs w:val="22"/>
        </w:rPr>
      </w:pPr>
      <w:r w:rsidRPr="00CE31DF">
        <w:rPr>
          <w:szCs w:val="22"/>
        </w:rPr>
        <w:t>Ensure that areas under agriculture, aquaculture, fisheries and forestry are managed sustainably, in particular through the sustainable use of biodiversity, including through a substantial increase of the application of biodiversity friendly practices, such as sustainable intensification, agroecological and other innovative approaches, contributing to the resilience and long-term efficiency and productivity of these production systems, and to food security, conserving and restoring biodiversity and maintaining nature’s contributions to people, including ecosystem functions and services.</w:t>
      </w:r>
    </w:p>
    <w:p w14:paraId="2CB26133"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11</w:t>
      </w:r>
    </w:p>
    <w:p w14:paraId="5247B107" w14:textId="77777777" w:rsidR="00E86051" w:rsidRPr="00CE31DF" w:rsidRDefault="00E86051" w:rsidP="0039740C">
      <w:pPr>
        <w:spacing w:before="60" w:after="120"/>
        <w:rPr>
          <w:rFonts w:eastAsia="Malgun Gothic"/>
          <w:b/>
          <w:bCs/>
          <w:color w:val="000000" w:themeColor="text1"/>
          <w:kern w:val="22"/>
          <w:szCs w:val="22"/>
        </w:rPr>
      </w:pPr>
      <w:r w:rsidRPr="00CE31DF">
        <w:rPr>
          <w:szCs w:val="22"/>
        </w:rPr>
        <w:t>Restore, maintain and enhance nature’s contributions to people, including ecosystem functions and services, such as the regulation of air, water and climate, soil health, pollination and reduction of disease risk, as well as protection from natural hazards and disasters, through nature-based solutions</w:t>
      </w:r>
      <w:r w:rsidRPr="00CE31DF">
        <w:rPr>
          <w:szCs w:val="22"/>
          <w:vertAlign w:val="superscript"/>
        </w:rPr>
        <w:t xml:space="preserve"> </w:t>
      </w:r>
      <w:r w:rsidRPr="00CE31DF">
        <w:rPr>
          <w:szCs w:val="22"/>
        </w:rPr>
        <w:t xml:space="preserve">and/or ecosystem-based approaches for the benefit of all people and nature. </w:t>
      </w:r>
    </w:p>
    <w:p w14:paraId="235F28AB"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12</w:t>
      </w:r>
      <w:r w:rsidRPr="00CE31DF">
        <w:rPr>
          <w:rFonts w:eastAsia="Malgun Gothic"/>
        </w:rPr>
        <w:t xml:space="preserve">  </w:t>
      </w:r>
    </w:p>
    <w:p w14:paraId="14A7FAC5" w14:textId="77777777" w:rsidR="00E86051" w:rsidRPr="00CE31DF" w:rsidRDefault="00E86051" w:rsidP="0039740C">
      <w:pPr>
        <w:shd w:val="clear" w:color="auto" w:fill="FFFFFF" w:themeFill="background1"/>
        <w:spacing w:before="60" w:after="120"/>
        <w:rPr>
          <w:szCs w:val="22"/>
        </w:rPr>
      </w:pPr>
      <w:r w:rsidRPr="00CE31DF">
        <w:rPr>
          <w:rFonts w:asciiTheme="majorBidi" w:hAnsiTheme="majorBidi" w:cstheme="majorBidi"/>
          <w:szCs w:val="22"/>
        </w:rPr>
        <w:t>Significantly increase the area and quality, and connectivity of, access to, and benefits from green and blue spaces in urban and densely populated areas sustainably, by mainstreaming the conservation and sustainable use of biodiversity, and ensure biodiversity-inclusive urban planning, enhancing native biodiversity, ecological connectivity and integrity, and improving human health and well-being and connection to nature, and contributing to inclusive and sustainable urbanization and to the provision of ecosystem functions and services.</w:t>
      </w:r>
    </w:p>
    <w:p w14:paraId="0B4C1875"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13</w:t>
      </w:r>
    </w:p>
    <w:p w14:paraId="0152FF86" w14:textId="77777777" w:rsidR="00E86051" w:rsidRPr="00CE31DF" w:rsidRDefault="00E86051" w:rsidP="0039740C">
      <w:pPr>
        <w:spacing w:before="60" w:after="120"/>
        <w:rPr>
          <w:szCs w:val="22"/>
        </w:rPr>
      </w:pPr>
      <w:r w:rsidRPr="00CE31DF">
        <w:rPr>
          <w:szCs w:val="22"/>
        </w:rPr>
        <w:t>Take effective legal, policy, administrative and capacity-building measures at all levels, as appropriate, to ensure the fair and equitable sharing of benefits that arise from the utilization of genetic resources and from digital sequence information on genetic resources, as well as traditional knowledge associated with genetic resources, and facilitating appropriate access to genetic resources, and by 2030, facilitating a significant increase of the benefits shared, in accordance with applicable international access and benefit-sharing instruments.</w:t>
      </w:r>
    </w:p>
    <w:p w14:paraId="682161F0" w14:textId="77777777" w:rsidR="00E86051" w:rsidRPr="00CE31DF" w:rsidRDefault="00E86051" w:rsidP="00443A10">
      <w:pPr>
        <w:keepNext/>
        <w:spacing w:before="240" w:after="120"/>
        <w:jc w:val="center"/>
        <w:rPr>
          <w:b/>
          <w:bCs/>
          <w:szCs w:val="22"/>
        </w:rPr>
      </w:pPr>
      <w:r w:rsidRPr="00CE31DF">
        <w:rPr>
          <w:bCs/>
          <w:i/>
          <w:iCs/>
          <w:color w:val="000000" w:themeColor="text1"/>
          <w:szCs w:val="22"/>
        </w:rPr>
        <w:lastRenderedPageBreak/>
        <w:t>3. Tools and solutions for implementation and mainstreaming</w:t>
      </w:r>
    </w:p>
    <w:p w14:paraId="63B71F1C"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14</w:t>
      </w:r>
    </w:p>
    <w:p w14:paraId="03316232" w14:textId="77777777" w:rsidR="00E86051" w:rsidRPr="00CE31DF" w:rsidRDefault="00E86051" w:rsidP="0039740C">
      <w:pPr>
        <w:keepNext/>
        <w:tabs>
          <w:tab w:val="left" w:pos="720"/>
        </w:tabs>
        <w:spacing w:before="60" w:after="120"/>
        <w:rPr>
          <w:rFonts w:eastAsia="Malgun Gothic"/>
          <w:b/>
          <w:bCs/>
          <w:color w:val="000000" w:themeColor="text1"/>
          <w:kern w:val="22"/>
          <w:szCs w:val="22"/>
        </w:rPr>
      </w:pPr>
      <w:r w:rsidRPr="00CE31DF">
        <w:rPr>
          <w:szCs w:val="22"/>
        </w:rPr>
        <w:t>Ensure the full integration of biodiversity and its multiple values</w:t>
      </w:r>
      <w:r w:rsidRPr="00CE31DF">
        <w:rPr>
          <w:spacing w:val="1"/>
          <w:szCs w:val="22"/>
        </w:rPr>
        <w:t xml:space="preserve"> </w:t>
      </w:r>
      <w:r w:rsidRPr="00CE31DF">
        <w:rPr>
          <w:szCs w:val="22"/>
        </w:rPr>
        <w:t>into policies,</w:t>
      </w:r>
      <w:r w:rsidRPr="00CE31DF">
        <w:rPr>
          <w:spacing w:val="1"/>
          <w:szCs w:val="22"/>
        </w:rPr>
        <w:t xml:space="preserve"> </w:t>
      </w:r>
      <w:r w:rsidRPr="00CE31DF">
        <w:rPr>
          <w:szCs w:val="22"/>
        </w:rPr>
        <w:t>regulations,</w:t>
      </w:r>
      <w:r w:rsidRPr="00CE31DF">
        <w:rPr>
          <w:spacing w:val="1"/>
          <w:szCs w:val="22"/>
        </w:rPr>
        <w:t xml:space="preserve"> </w:t>
      </w:r>
      <w:r w:rsidRPr="00CE31DF">
        <w:rPr>
          <w:szCs w:val="22"/>
        </w:rPr>
        <w:t>planning</w:t>
      </w:r>
      <w:r w:rsidRPr="00CE31DF">
        <w:rPr>
          <w:spacing w:val="1"/>
          <w:szCs w:val="22"/>
        </w:rPr>
        <w:t xml:space="preserve"> </w:t>
      </w:r>
      <w:r w:rsidRPr="00CE31DF">
        <w:rPr>
          <w:szCs w:val="22"/>
        </w:rPr>
        <w:t>and</w:t>
      </w:r>
      <w:r w:rsidRPr="00CE31DF">
        <w:rPr>
          <w:spacing w:val="1"/>
          <w:szCs w:val="22"/>
        </w:rPr>
        <w:t xml:space="preserve"> </w:t>
      </w:r>
      <w:r w:rsidRPr="00CE31DF">
        <w:rPr>
          <w:szCs w:val="22"/>
        </w:rPr>
        <w:t>development</w:t>
      </w:r>
      <w:r w:rsidRPr="00CE31DF">
        <w:rPr>
          <w:spacing w:val="1"/>
          <w:szCs w:val="22"/>
        </w:rPr>
        <w:t xml:space="preserve"> </w:t>
      </w:r>
      <w:r w:rsidRPr="00CE31DF">
        <w:rPr>
          <w:szCs w:val="22"/>
        </w:rPr>
        <w:t>processes,</w:t>
      </w:r>
      <w:r w:rsidRPr="00CE31DF">
        <w:rPr>
          <w:spacing w:val="1"/>
          <w:szCs w:val="22"/>
        </w:rPr>
        <w:t xml:space="preserve"> </w:t>
      </w:r>
      <w:r w:rsidRPr="00CE31DF">
        <w:rPr>
          <w:szCs w:val="22"/>
        </w:rPr>
        <w:t>poverty</w:t>
      </w:r>
      <w:r w:rsidRPr="00CE31DF">
        <w:rPr>
          <w:spacing w:val="1"/>
          <w:szCs w:val="22"/>
        </w:rPr>
        <w:t xml:space="preserve"> eradication </w:t>
      </w:r>
      <w:r w:rsidRPr="00CE31DF">
        <w:rPr>
          <w:szCs w:val="22"/>
        </w:rPr>
        <w:t>strategies,</w:t>
      </w:r>
      <w:r w:rsidRPr="00CE31DF">
        <w:rPr>
          <w:spacing w:val="1"/>
          <w:szCs w:val="22"/>
        </w:rPr>
        <w:t xml:space="preserve"> </w:t>
      </w:r>
      <w:r w:rsidRPr="00CE31DF">
        <w:rPr>
          <w:szCs w:val="22"/>
        </w:rPr>
        <w:t>strategic environmental assessments, environmental</w:t>
      </w:r>
      <w:r w:rsidRPr="00CE31DF">
        <w:rPr>
          <w:spacing w:val="-7"/>
          <w:szCs w:val="22"/>
        </w:rPr>
        <w:t xml:space="preserve"> impact </w:t>
      </w:r>
      <w:r w:rsidRPr="00CE31DF">
        <w:rPr>
          <w:szCs w:val="22"/>
        </w:rPr>
        <w:t>assessments and, as appropriate, national accounting,</w:t>
      </w:r>
      <w:r w:rsidRPr="00CE31DF">
        <w:rPr>
          <w:spacing w:val="-6"/>
          <w:szCs w:val="22"/>
        </w:rPr>
        <w:t xml:space="preserve"> within and </w:t>
      </w:r>
      <w:r w:rsidRPr="00CE31DF">
        <w:rPr>
          <w:szCs w:val="22"/>
        </w:rPr>
        <w:t>across</w:t>
      </w:r>
      <w:r w:rsidRPr="00CE31DF">
        <w:rPr>
          <w:spacing w:val="-6"/>
          <w:szCs w:val="22"/>
        </w:rPr>
        <w:t xml:space="preserve"> </w:t>
      </w:r>
      <w:r w:rsidRPr="00CE31DF">
        <w:rPr>
          <w:szCs w:val="22"/>
        </w:rPr>
        <w:t>all</w:t>
      </w:r>
      <w:r w:rsidRPr="00CE31DF">
        <w:rPr>
          <w:spacing w:val="-9"/>
          <w:szCs w:val="22"/>
        </w:rPr>
        <w:t xml:space="preserve"> </w:t>
      </w:r>
      <w:r w:rsidRPr="00CE31DF">
        <w:rPr>
          <w:szCs w:val="22"/>
        </w:rPr>
        <w:t>levels</w:t>
      </w:r>
      <w:r w:rsidRPr="00CE31DF">
        <w:rPr>
          <w:spacing w:val="-6"/>
          <w:szCs w:val="22"/>
        </w:rPr>
        <w:t xml:space="preserve"> </w:t>
      </w:r>
      <w:r w:rsidRPr="00CE31DF">
        <w:rPr>
          <w:szCs w:val="22"/>
        </w:rPr>
        <w:t>of</w:t>
      </w:r>
      <w:r w:rsidRPr="00CE31DF">
        <w:rPr>
          <w:spacing w:val="-11"/>
          <w:szCs w:val="22"/>
        </w:rPr>
        <w:t xml:space="preserve"> </w:t>
      </w:r>
      <w:r w:rsidRPr="00CE31DF">
        <w:rPr>
          <w:szCs w:val="22"/>
        </w:rPr>
        <w:t>government</w:t>
      </w:r>
      <w:r w:rsidRPr="00CE31DF">
        <w:rPr>
          <w:spacing w:val="-6"/>
          <w:szCs w:val="22"/>
        </w:rPr>
        <w:t xml:space="preserve"> </w:t>
      </w:r>
      <w:r w:rsidRPr="00CE31DF">
        <w:rPr>
          <w:szCs w:val="22"/>
        </w:rPr>
        <w:t>and</w:t>
      </w:r>
      <w:r w:rsidRPr="00CE31DF">
        <w:rPr>
          <w:spacing w:val="-9"/>
          <w:szCs w:val="22"/>
        </w:rPr>
        <w:t xml:space="preserve"> </w:t>
      </w:r>
      <w:r w:rsidRPr="00CE31DF">
        <w:rPr>
          <w:szCs w:val="22"/>
        </w:rPr>
        <w:t>across</w:t>
      </w:r>
      <w:r w:rsidRPr="00CE31DF">
        <w:rPr>
          <w:spacing w:val="-6"/>
          <w:szCs w:val="22"/>
        </w:rPr>
        <w:t xml:space="preserve"> </w:t>
      </w:r>
      <w:r w:rsidRPr="00CE31DF">
        <w:rPr>
          <w:szCs w:val="22"/>
        </w:rPr>
        <w:t>all</w:t>
      </w:r>
      <w:r w:rsidRPr="00CE31DF">
        <w:rPr>
          <w:spacing w:val="-9"/>
          <w:szCs w:val="22"/>
        </w:rPr>
        <w:t xml:space="preserve"> </w:t>
      </w:r>
      <w:r w:rsidRPr="00CE31DF">
        <w:rPr>
          <w:szCs w:val="22"/>
        </w:rPr>
        <w:t>sectors, in particular those with significant impacts on biodiversity,</w:t>
      </w:r>
      <w:r w:rsidRPr="00CE31DF">
        <w:rPr>
          <w:spacing w:val="-53"/>
          <w:szCs w:val="22"/>
        </w:rPr>
        <w:t xml:space="preserve">      </w:t>
      </w:r>
      <w:r w:rsidRPr="00CE31DF">
        <w:rPr>
          <w:szCs w:val="22"/>
        </w:rPr>
        <w:t xml:space="preserve"> progressively aligning all relevant public and private activities, and fiscal and financial flows with the goals and</w:t>
      </w:r>
      <w:r w:rsidRPr="00CE31DF">
        <w:rPr>
          <w:spacing w:val="1"/>
          <w:szCs w:val="22"/>
        </w:rPr>
        <w:t xml:space="preserve"> </w:t>
      </w:r>
      <w:r w:rsidRPr="00CE31DF">
        <w:rPr>
          <w:szCs w:val="22"/>
        </w:rPr>
        <w:t>targets</w:t>
      </w:r>
      <w:r w:rsidRPr="00CE31DF">
        <w:rPr>
          <w:spacing w:val="-1"/>
          <w:szCs w:val="22"/>
        </w:rPr>
        <w:t xml:space="preserve"> </w:t>
      </w:r>
      <w:r w:rsidRPr="00CE31DF">
        <w:rPr>
          <w:szCs w:val="22"/>
        </w:rPr>
        <w:t>of</w:t>
      </w:r>
      <w:r w:rsidRPr="00CE31DF">
        <w:rPr>
          <w:spacing w:val="-2"/>
          <w:szCs w:val="22"/>
        </w:rPr>
        <w:t xml:space="preserve"> </w:t>
      </w:r>
      <w:r w:rsidRPr="00CE31DF">
        <w:rPr>
          <w:szCs w:val="22"/>
        </w:rPr>
        <w:t>this</w:t>
      </w:r>
      <w:r w:rsidRPr="00CE31DF">
        <w:rPr>
          <w:spacing w:val="-2"/>
          <w:szCs w:val="22"/>
        </w:rPr>
        <w:t xml:space="preserve"> </w:t>
      </w:r>
      <w:r w:rsidRPr="00CE31DF">
        <w:rPr>
          <w:szCs w:val="22"/>
        </w:rPr>
        <w:t>framework.</w:t>
      </w:r>
    </w:p>
    <w:p w14:paraId="1890D6A8"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15</w:t>
      </w:r>
    </w:p>
    <w:p w14:paraId="0787B13F" w14:textId="77777777" w:rsidR="00E86051" w:rsidRPr="00CE31DF" w:rsidRDefault="00E86051" w:rsidP="0090209F">
      <w:pPr>
        <w:spacing w:before="60" w:after="60"/>
        <w:rPr>
          <w:rFonts w:eastAsia="MS Mincho"/>
          <w:szCs w:val="22"/>
          <w:lang w:val="en-US" w:eastAsia="zh-CN"/>
        </w:rPr>
      </w:pPr>
      <w:r w:rsidRPr="00CE31DF">
        <w:rPr>
          <w:rFonts w:eastAsia="MS Mincho"/>
          <w:szCs w:val="22"/>
          <w:lang w:val="en-US" w:eastAsia="zh-CN"/>
        </w:rPr>
        <w:t>Take legal, administrative or policy measures to encourage and enable business, and in particular to ensure that large and transnational companies and financial institutions:</w:t>
      </w:r>
    </w:p>
    <w:p w14:paraId="7BA76991" w14:textId="77777777" w:rsidR="00E86051" w:rsidRPr="00CE31DF" w:rsidRDefault="00E86051" w:rsidP="00950BE4">
      <w:pPr>
        <w:numPr>
          <w:ilvl w:val="0"/>
          <w:numId w:val="17"/>
        </w:numPr>
        <w:tabs>
          <w:tab w:val="clear" w:pos="720"/>
        </w:tabs>
        <w:spacing w:before="60" w:after="60"/>
        <w:ind w:left="0" w:firstLine="704"/>
        <w:rPr>
          <w:rFonts w:eastAsia="MS Mincho"/>
          <w:szCs w:val="22"/>
          <w:lang w:val="en-US" w:eastAsia="zh-CN"/>
        </w:rPr>
      </w:pPr>
      <w:r w:rsidRPr="00CE31DF">
        <w:rPr>
          <w:rFonts w:eastAsia="MS Mincho"/>
          <w:szCs w:val="22"/>
          <w:lang w:val="en-US" w:eastAsia="zh-CN"/>
        </w:rPr>
        <w:t>Regularly monitor, assess, and transparently disclose their risks, dependencies and impacts on biodiversity, including with requirements for all large as well as transnational companies and financial institutions along their operations, supply and value chains, and portfolios;</w:t>
      </w:r>
    </w:p>
    <w:p w14:paraId="6089DBE8" w14:textId="77777777" w:rsidR="00E86051" w:rsidRPr="00CE31DF" w:rsidRDefault="00E86051" w:rsidP="00950BE4">
      <w:pPr>
        <w:numPr>
          <w:ilvl w:val="0"/>
          <w:numId w:val="17"/>
        </w:numPr>
        <w:tabs>
          <w:tab w:val="clear" w:pos="720"/>
        </w:tabs>
        <w:spacing w:before="60" w:after="60"/>
        <w:ind w:left="0" w:firstLine="704"/>
        <w:rPr>
          <w:rFonts w:eastAsia="MS Mincho"/>
          <w:szCs w:val="22"/>
          <w:lang w:val="en-US" w:eastAsia="zh-CN"/>
        </w:rPr>
      </w:pPr>
      <w:r w:rsidRPr="00CE31DF">
        <w:rPr>
          <w:rFonts w:eastAsia="MS Mincho"/>
          <w:szCs w:val="22"/>
          <w:lang w:val="en-US" w:eastAsia="zh-CN"/>
        </w:rPr>
        <w:t>Provide information needed to consumers to promote sustainable consumption patterns;</w:t>
      </w:r>
    </w:p>
    <w:p w14:paraId="23C6336B" w14:textId="77777777" w:rsidR="00E86051" w:rsidRPr="00CE31DF" w:rsidRDefault="00E86051" w:rsidP="00950BE4">
      <w:pPr>
        <w:numPr>
          <w:ilvl w:val="0"/>
          <w:numId w:val="17"/>
        </w:numPr>
        <w:tabs>
          <w:tab w:val="clear" w:pos="720"/>
        </w:tabs>
        <w:spacing w:before="60" w:after="60"/>
        <w:ind w:left="0" w:firstLine="704"/>
        <w:rPr>
          <w:rFonts w:eastAsia="MS Mincho"/>
          <w:szCs w:val="22"/>
          <w:lang w:val="en-US" w:eastAsia="zh-CN"/>
        </w:rPr>
      </w:pPr>
      <w:r w:rsidRPr="00CE31DF">
        <w:rPr>
          <w:rFonts w:eastAsia="MS Mincho"/>
          <w:szCs w:val="22"/>
          <w:lang w:val="en-US" w:eastAsia="zh-CN"/>
        </w:rPr>
        <w:t>Report on compliance with access and benefit-sharing regulations and measures, as applicable;</w:t>
      </w:r>
    </w:p>
    <w:p w14:paraId="05AF4513" w14:textId="77777777" w:rsidR="00E86051" w:rsidRPr="00CE31DF" w:rsidRDefault="00E86051">
      <w:pPr>
        <w:spacing w:before="60" w:after="60"/>
        <w:rPr>
          <w:rFonts w:eastAsia="Malgun Gothic"/>
          <w:b/>
          <w:bCs/>
          <w:color w:val="000000" w:themeColor="text1"/>
          <w:kern w:val="22"/>
          <w:szCs w:val="22"/>
        </w:rPr>
      </w:pPr>
      <w:r w:rsidRPr="00CE31DF">
        <w:rPr>
          <w:rFonts w:eastAsia="MS Mincho"/>
          <w:szCs w:val="22"/>
          <w:lang w:val="en-US" w:eastAsia="zh-CN"/>
        </w:rPr>
        <w:t>in order to progressively reduce negative impacts on biodiversity, increase positive impacts, reduce biodiversity-related risks to business and financial institutions, and promote actions to ensure sustainable patterns of production.</w:t>
      </w:r>
    </w:p>
    <w:p w14:paraId="2FF99C08"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16</w:t>
      </w:r>
    </w:p>
    <w:p w14:paraId="15E3A63E" w14:textId="77777777" w:rsidR="00E86051" w:rsidRPr="00CE31DF" w:rsidRDefault="00E86051" w:rsidP="008F6000">
      <w:pPr>
        <w:spacing w:before="60" w:after="120"/>
      </w:pPr>
      <w:r w:rsidRPr="00CE31DF">
        <w:t>Ensure that people are encouraged and enabled to make sustainable consumption choices, including by establishing supportive policy, legislative or regulatory frameworks, improving education and access to relevant and accurate information and alternatives, and by 2030, reduce the global footprint of consumption in an equitable manner, including through halving global food waste, significantly reducing overconsumption and substantially reducing waste generation, in order for all people to live well in harmony with Mother Earth.</w:t>
      </w:r>
    </w:p>
    <w:p w14:paraId="596D4900"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17</w:t>
      </w:r>
    </w:p>
    <w:p w14:paraId="509672D8" w14:textId="77777777" w:rsidR="00E86051" w:rsidRPr="00CE31DF" w:rsidRDefault="00E86051" w:rsidP="0039740C">
      <w:pPr>
        <w:spacing w:before="60" w:after="120"/>
        <w:ind w:right="4"/>
        <w:rPr>
          <w:iCs/>
          <w:color w:val="000000" w:themeColor="text1"/>
          <w:spacing w:val="-3"/>
          <w:szCs w:val="22"/>
        </w:rPr>
      </w:pPr>
      <w:r w:rsidRPr="00CE31DF">
        <w:rPr>
          <w:iCs/>
          <w:szCs w:val="22"/>
        </w:rPr>
        <w:t>Establish,</w:t>
      </w:r>
      <w:r w:rsidRPr="00CE31DF">
        <w:rPr>
          <w:iCs/>
          <w:spacing w:val="1"/>
          <w:szCs w:val="22"/>
        </w:rPr>
        <w:t xml:space="preserve"> </w:t>
      </w:r>
      <w:r w:rsidRPr="00CE31DF">
        <w:rPr>
          <w:iCs/>
          <w:szCs w:val="22"/>
        </w:rPr>
        <w:t>strengthen</w:t>
      </w:r>
      <w:r w:rsidRPr="00CE31DF">
        <w:rPr>
          <w:iCs/>
          <w:spacing w:val="1"/>
          <w:szCs w:val="22"/>
        </w:rPr>
        <w:t xml:space="preserve"> </w:t>
      </w:r>
      <w:r w:rsidRPr="00CE31DF">
        <w:rPr>
          <w:iCs/>
          <w:szCs w:val="22"/>
        </w:rPr>
        <w:t>capacity</w:t>
      </w:r>
      <w:r w:rsidRPr="00CE31DF">
        <w:rPr>
          <w:iCs/>
          <w:spacing w:val="1"/>
          <w:szCs w:val="22"/>
        </w:rPr>
        <w:t xml:space="preserve"> </w:t>
      </w:r>
      <w:r w:rsidRPr="00CE31DF">
        <w:rPr>
          <w:iCs/>
          <w:szCs w:val="22"/>
        </w:rPr>
        <w:t>for,</w:t>
      </w:r>
      <w:r w:rsidRPr="00CE31DF">
        <w:rPr>
          <w:iCs/>
          <w:spacing w:val="1"/>
          <w:szCs w:val="22"/>
        </w:rPr>
        <w:t xml:space="preserve"> </w:t>
      </w:r>
      <w:r w:rsidRPr="00CE31DF">
        <w:rPr>
          <w:iCs/>
          <w:szCs w:val="22"/>
        </w:rPr>
        <w:t>and</w:t>
      </w:r>
      <w:r w:rsidRPr="00CE31DF">
        <w:rPr>
          <w:iCs/>
          <w:spacing w:val="1"/>
          <w:szCs w:val="22"/>
        </w:rPr>
        <w:t xml:space="preserve"> </w:t>
      </w:r>
      <w:r w:rsidRPr="00CE31DF">
        <w:rPr>
          <w:iCs/>
          <w:szCs w:val="22"/>
        </w:rPr>
        <w:t xml:space="preserve">implement in all countries, biosafety measures as set out in </w:t>
      </w:r>
      <w:r w:rsidRPr="00CE31DF">
        <w:rPr>
          <w:iCs/>
          <w:spacing w:val="-3"/>
          <w:szCs w:val="22"/>
        </w:rPr>
        <w:t xml:space="preserve">Article 8(g) </w:t>
      </w:r>
      <w:r w:rsidRPr="00CE31DF">
        <w:rPr>
          <w:iCs/>
          <w:color w:val="000000" w:themeColor="text1"/>
          <w:spacing w:val="-3"/>
          <w:szCs w:val="22"/>
        </w:rPr>
        <w:t>of the Convention on Biological Diversity a</w:t>
      </w:r>
      <w:r w:rsidRPr="00CE31DF">
        <w:rPr>
          <w:iCs/>
          <w:spacing w:val="-3"/>
          <w:szCs w:val="22"/>
        </w:rPr>
        <w:t>nd measures</w:t>
      </w:r>
      <w:r w:rsidRPr="00CE31DF">
        <w:rPr>
          <w:rFonts w:hint="eastAsia"/>
          <w:iCs/>
          <w:szCs w:val="22"/>
          <w:lang w:val="en-US" w:eastAsia="zh-CN"/>
        </w:rPr>
        <w:t xml:space="preserve"> </w:t>
      </w:r>
      <w:r w:rsidRPr="00CE31DF">
        <w:rPr>
          <w:iCs/>
          <w:spacing w:val="-3"/>
          <w:szCs w:val="22"/>
        </w:rPr>
        <w:t xml:space="preserve">for the </w:t>
      </w:r>
      <w:r w:rsidRPr="00CE31DF">
        <w:rPr>
          <w:iCs/>
          <w:color w:val="000000" w:themeColor="text1"/>
          <w:spacing w:val="-3"/>
          <w:szCs w:val="22"/>
        </w:rPr>
        <w:t>handling of biotechnology and distribution of its benefits as set out in Article 19 of the Convention.</w:t>
      </w:r>
    </w:p>
    <w:p w14:paraId="36C0AD40"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18</w:t>
      </w:r>
    </w:p>
    <w:p w14:paraId="18C32F7E" w14:textId="77777777" w:rsidR="00E86051" w:rsidRPr="00CE31DF" w:rsidRDefault="00E86051">
      <w:pPr>
        <w:shd w:val="clear" w:color="auto" w:fill="FFFFFF" w:themeFill="background1"/>
        <w:spacing w:before="120" w:after="120"/>
      </w:pPr>
      <w:r w:rsidRPr="00CE31DF">
        <w:t>Identify by 2025, and eliminate, phase out or reform incentives, including subsidies, harmful for biodiversity, in a proportionate, just, fair, effective and equitable way, while substantially and progressively reducing them by at least $500 billion per year by 2030, starting with the most harmful incentives, and scale up positive incentives for the conservation and sustainable use of biodiversity.</w:t>
      </w:r>
    </w:p>
    <w:p w14:paraId="1301B3F1"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19</w:t>
      </w:r>
    </w:p>
    <w:p w14:paraId="4360DCBF" w14:textId="77777777" w:rsidR="00E86051" w:rsidRPr="00CE31DF" w:rsidRDefault="00E86051" w:rsidP="00962757">
      <w:pPr>
        <w:spacing w:before="60" w:after="120"/>
      </w:pPr>
      <w:r w:rsidRPr="00CE31DF">
        <w:t xml:space="preserve">Substantially and progressively increase the level of financial resources from all sources, in an effective, timely and easily accessible manner, including domestic, international, public and private resources, in accordance with Article 20 of the Convention, to implement national biodiversity strategies and action plans, mobilizing at least $200 billion per year by 2030, including by: </w:t>
      </w:r>
    </w:p>
    <w:p w14:paraId="76016E10" w14:textId="77777777" w:rsidR="00E86051" w:rsidRPr="00CE31DF" w:rsidRDefault="00E86051" w:rsidP="00F73B55">
      <w:pPr>
        <w:spacing w:before="60" w:after="60"/>
        <w:ind w:firstLine="720"/>
        <w:rPr>
          <w:strike/>
        </w:rPr>
      </w:pPr>
      <w:r w:rsidRPr="00CE31DF">
        <w:t>(a)</w:t>
      </w:r>
      <w:r w:rsidRPr="00CE31DF">
        <w:tab/>
        <w:t xml:space="preserve">Increasing total biodiversity related international financial resources from developed countries, including official development assistance, and from countries that voluntarily assume obligations </w:t>
      </w:r>
      <w:r w:rsidRPr="00CE31DF">
        <w:lastRenderedPageBreak/>
        <w:t xml:space="preserve">of developed country Parties, to developing countries, </w:t>
      </w:r>
      <w:r w:rsidRPr="00CE31DF">
        <w:rPr>
          <w:rFonts w:asciiTheme="majorBidi" w:hAnsiTheme="majorBidi" w:cstheme="majorBidi"/>
          <w:color w:val="000000" w:themeColor="text1"/>
        </w:rPr>
        <w:t>in particular the least developed countries and small island developing States, as well as countries with economies in transition, to at least $20 billion per year by 2025, and to at least $30 billion per year by 2030;</w:t>
      </w:r>
    </w:p>
    <w:p w14:paraId="2FE8647C" w14:textId="77777777" w:rsidR="00E86051" w:rsidRPr="00CE31DF" w:rsidRDefault="00E86051" w:rsidP="00F73B55">
      <w:pPr>
        <w:spacing w:before="60" w:after="60"/>
        <w:ind w:firstLine="720"/>
      </w:pPr>
      <w:r w:rsidRPr="00CE31DF">
        <w:t>(b)</w:t>
      </w:r>
      <w:r w:rsidRPr="00CE31DF">
        <w:tab/>
        <w:t>Significantly increasing domestic resource mobilization, facilitated by the preparation and implementation of national biodiversity finance plans or similar instruments according to national needs, priorities and circumstances;</w:t>
      </w:r>
    </w:p>
    <w:p w14:paraId="0163A884" w14:textId="77777777" w:rsidR="00E86051" w:rsidRPr="00CE31DF" w:rsidRDefault="00E86051" w:rsidP="00F73B55">
      <w:pPr>
        <w:spacing w:before="60" w:after="60"/>
        <w:ind w:firstLine="720"/>
      </w:pPr>
      <w:r w:rsidRPr="00CE31DF">
        <w:t>(c)</w:t>
      </w:r>
      <w:r w:rsidRPr="00CE31DF">
        <w:tab/>
        <w:t>Leveraging private finance, promoting blended finance, implementing strategies for raising new and additional resources, and encouraging the private sector to invest in biodiversity, including through impact funds and other instruments;</w:t>
      </w:r>
    </w:p>
    <w:p w14:paraId="67447DA8" w14:textId="77777777" w:rsidR="00E86051" w:rsidRPr="00CE31DF" w:rsidRDefault="00E86051" w:rsidP="00F73B55">
      <w:pPr>
        <w:spacing w:before="60" w:after="60"/>
        <w:ind w:firstLine="720"/>
      </w:pPr>
      <w:r w:rsidRPr="00CE31DF">
        <w:t>(d)</w:t>
      </w:r>
      <w:r w:rsidRPr="00CE31DF">
        <w:tab/>
        <w:t>Stimulating innovative schemes such as payment for ecosystem services, green bonds, biodiversity offsets and credits, and benefit-sharing mechanisms, with environmental and social safeguards;</w:t>
      </w:r>
    </w:p>
    <w:p w14:paraId="49958E97" w14:textId="77777777" w:rsidR="00E86051" w:rsidRPr="00CE31DF" w:rsidRDefault="00E86051" w:rsidP="00F73B55">
      <w:pPr>
        <w:spacing w:before="60" w:after="60"/>
        <w:ind w:firstLine="720"/>
      </w:pPr>
      <w:r w:rsidRPr="00CE31DF">
        <w:t>(e)</w:t>
      </w:r>
      <w:r w:rsidRPr="00CE31DF">
        <w:tab/>
        <w:t>Optimizing co-benefits and synergies of finance targeting the biodiversity and climate crises;</w:t>
      </w:r>
    </w:p>
    <w:p w14:paraId="098C2621" w14:textId="77777777" w:rsidR="00E86051" w:rsidRPr="00CE31DF" w:rsidRDefault="00E86051" w:rsidP="00F73B55">
      <w:pPr>
        <w:spacing w:before="60" w:after="60"/>
        <w:ind w:firstLine="720"/>
      </w:pPr>
      <w:r w:rsidRPr="00CE31DF">
        <w:t>(f)</w:t>
      </w:r>
      <w:r w:rsidRPr="00CE31DF">
        <w:tab/>
        <w:t>Enhancing the role of collective actions, including by indigenous peoples and local communities, Mother Earth centric actions</w:t>
      </w:r>
      <w:r w:rsidRPr="00610646">
        <w:rPr>
          <w:rStyle w:val="FootnoteReference"/>
        </w:rPr>
        <w:footnoteReference w:id="32"/>
      </w:r>
      <w:r w:rsidRPr="00CE31DF">
        <w:t xml:space="preserve"> and non-market-based approaches including community based natural resource management and civil society cooperation and solidarity aimed at the conservation of biodiversity;</w:t>
      </w:r>
    </w:p>
    <w:p w14:paraId="609F6959" w14:textId="77777777" w:rsidR="00E86051" w:rsidRPr="00CE31DF" w:rsidRDefault="00E86051" w:rsidP="00962757">
      <w:pPr>
        <w:spacing w:before="60" w:after="120"/>
        <w:ind w:firstLine="720"/>
      </w:pPr>
      <w:r w:rsidRPr="00CE31DF">
        <w:t>(g)</w:t>
      </w:r>
      <w:r w:rsidRPr="00CE31DF">
        <w:tab/>
        <w:t>Enhancing the effectiveness, efficiency and transparency of resource provision and use</w:t>
      </w:r>
      <w:r>
        <w:t>.</w:t>
      </w:r>
    </w:p>
    <w:p w14:paraId="5E995F5C"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20</w:t>
      </w:r>
      <w:r w:rsidRPr="00CE31DF">
        <w:rPr>
          <w:rFonts w:eastAsia="Malgun Gothic"/>
        </w:rPr>
        <w:t xml:space="preserve">  </w:t>
      </w:r>
    </w:p>
    <w:p w14:paraId="3CEC3912" w14:textId="77777777" w:rsidR="00E86051" w:rsidRPr="00CE31DF" w:rsidRDefault="00E86051" w:rsidP="00962757">
      <w:pPr>
        <w:pStyle w:val="BodyText"/>
        <w:shd w:val="clear" w:color="auto" w:fill="FFFFFF" w:themeFill="background1"/>
        <w:spacing w:before="60"/>
        <w:ind w:right="6" w:firstLine="0"/>
      </w:pPr>
      <w:r w:rsidRPr="00CE31DF">
        <w:t xml:space="preserve">Strengthen capacity-building and development, access to and transfer of technology, and promote development </w:t>
      </w:r>
      <w:r w:rsidRPr="00CE31DF">
        <w:rPr>
          <w:iCs w:val="0"/>
        </w:rPr>
        <w:t xml:space="preserve">of </w:t>
      </w:r>
      <w:r w:rsidRPr="00CE31DF">
        <w:t>and access to innovation and technical and scientific cooperation, including through South</w:t>
      </w:r>
      <w:r w:rsidRPr="00CE31DF">
        <w:noBreakHyphen/>
        <w:t>South, North-South and triangular cooperation, to meet the needs for effective implementation, particularly in developing countries, fostering joint technology development and joint scientific research programmes for the conservation and sustainable use of biodiversity and strengthening scientific research and monitoring capacities, commensurate with the ambition of the goals and targets of the Framework.</w:t>
      </w:r>
    </w:p>
    <w:p w14:paraId="4D56298D"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21</w:t>
      </w:r>
    </w:p>
    <w:p w14:paraId="7D84E108" w14:textId="77777777" w:rsidR="00E86051" w:rsidRPr="00CE31DF" w:rsidRDefault="00E86051" w:rsidP="0039740C">
      <w:pPr>
        <w:tabs>
          <w:tab w:val="left" w:pos="2228"/>
        </w:tabs>
        <w:spacing w:before="60" w:after="120"/>
        <w:rPr>
          <w:color w:val="000000" w:themeColor="text1"/>
          <w:szCs w:val="22"/>
        </w:rPr>
      </w:pPr>
      <w:r w:rsidRPr="00CE31DF">
        <w:rPr>
          <w:iCs/>
          <w:szCs w:val="22"/>
        </w:rPr>
        <w:t>Ensure that the best available data, information and knowledge are</w:t>
      </w:r>
      <w:r w:rsidRPr="00CE31DF">
        <w:rPr>
          <w:iCs/>
          <w:spacing w:val="1"/>
          <w:szCs w:val="22"/>
        </w:rPr>
        <w:t xml:space="preserve"> </w:t>
      </w:r>
      <w:r w:rsidRPr="00CE31DF">
        <w:rPr>
          <w:iCs/>
          <w:szCs w:val="22"/>
        </w:rPr>
        <w:t>accessible to decision makers, practitioners and the public to guide effective and equitable governance, integrated and participatory management of biodiversity, and to strengthen communication,</w:t>
      </w:r>
      <w:r w:rsidRPr="00CE31DF">
        <w:rPr>
          <w:iCs/>
          <w:spacing w:val="1"/>
          <w:szCs w:val="22"/>
        </w:rPr>
        <w:t xml:space="preserve"> </w:t>
      </w:r>
      <w:r w:rsidRPr="00CE31DF">
        <w:rPr>
          <w:iCs/>
          <w:szCs w:val="22"/>
        </w:rPr>
        <w:t>awareness-raising,</w:t>
      </w:r>
      <w:r w:rsidRPr="00CE31DF">
        <w:rPr>
          <w:iCs/>
          <w:spacing w:val="-1"/>
          <w:szCs w:val="22"/>
        </w:rPr>
        <w:t xml:space="preserve"> </w:t>
      </w:r>
      <w:r w:rsidRPr="00CE31DF">
        <w:rPr>
          <w:iCs/>
          <w:szCs w:val="22"/>
        </w:rPr>
        <w:t>education, monitoring, research and</w:t>
      </w:r>
      <w:r w:rsidRPr="00CE31DF">
        <w:rPr>
          <w:iCs/>
          <w:spacing w:val="-1"/>
          <w:szCs w:val="22"/>
        </w:rPr>
        <w:t xml:space="preserve"> </w:t>
      </w:r>
      <w:r w:rsidRPr="00CE31DF">
        <w:rPr>
          <w:iCs/>
          <w:szCs w:val="22"/>
        </w:rPr>
        <w:t>knowledge</w:t>
      </w:r>
      <w:r w:rsidRPr="00CE31DF">
        <w:rPr>
          <w:iCs/>
          <w:spacing w:val="-2"/>
          <w:szCs w:val="22"/>
        </w:rPr>
        <w:t xml:space="preserve"> </w:t>
      </w:r>
      <w:r w:rsidRPr="00CE31DF">
        <w:rPr>
          <w:iCs/>
          <w:szCs w:val="22"/>
        </w:rPr>
        <w:t>management and, also in this context, traditional knowledge, innovations, practices and technologies of indigenous peoples and local communities should only be accessed with their free, prior and informed consent,</w:t>
      </w:r>
      <w:r w:rsidRPr="00610646">
        <w:rPr>
          <w:rStyle w:val="FootnoteReference"/>
        </w:rPr>
        <w:footnoteReference w:id="33"/>
      </w:r>
      <w:r w:rsidRPr="00CE31DF">
        <w:rPr>
          <w:iCs/>
          <w:szCs w:val="22"/>
        </w:rPr>
        <w:t xml:space="preserve"> in accordance with national legislation.</w:t>
      </w:r>
    </w:p>
    <w:p w14:paraId="6DB9F5CD"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22</w:t>
      </w:r>
    </w:p>
    <w:p w14:paraId="1217AA18" w14:textId="77777777" w:rsidR="00E86051" w:rsidRPr="00CE31DF" w:rsidRDefault="00E86051" w:rsidP="0039740C">
      <w:pPr>
        <w:spacing w:before="60" w:after="120"/>
        <w:ind w:right="6"/>
        <w:rPr>
          <w:b/>
          <w:bCs/>
          <w:iCs/>
          <w:szCs w:val="22"/>
        </w:rPr>
      </w:pPr>
      <w:r w:rsidRPr="00CE31DF">
        <w:rPr>
          <w:iCs/>
          <w:szCs w:val="22"/>
        </w:rPr>
        <w:t>Ensure the full, equitable, inclusive, effective and gender-responsive representation and participation in decision-making, and access to justice and information related to biodiversity by indigenous peoples and local communities, respecting their cultures and their rights over</w:t>
      </w:r>
      <w:r w:rsidRPr="00CE31DF">
        <w:rPr>
          <w:iCs/>
          <w:spacing w:val="1"/>
          <w:szCs w:val="22"/>
        </w:rPr>
        <w:t xml:space="preserve"> </w:t>
      </w:r>
      <w:r w:rsidRPr="00CE31DF">
        <w:rPr>
          <w:iCs/>
          <w:szCs w:val="22"/>
        </w:rPr>
        <w:t>lands,</w:t>
      </w:r>
      <w:r w:rsidRPr="00CE31DF">
        <w:rPr>
          <w:iCs/>
          <w:spacing w:val="-12"/>
          <w:szCs w:val="22"/>
        </w:rPr>
        <w:t xml:space="preserve"> </w:t>
      </w:r>
      <w:r w:rsidRPr="00CE31DF">
        <w:rPr>
          <w:iCs/>
          <w:szCs w:val="22"/>
        </w:rPr>
        <w:t>territories</w:t>
      </w:r>
      <w:r w:rsidRPr="00CE31DF">
        <w:rPr>
          <w:iCs/>
          <w:spacing w:val="-10"/>
          <w:szCs w:val="22"/>
        </w:rPr>
        <w:t>,</w:t>
      </w:r>
      <w:r w:rsidRPr="00CE31DF">
        <w:rPr>
          <w:iCs/>
          <w:spacing w:val="-12"/>
          <w:szCs w:val="22"/>
        </w:rPr>
        <w:t xml:space="preserve"> </w:t>
      </w:r>
      <w:r w:rsidRPr="00CE31DF">
        <w:rPr>
          <w:iCs/>
          <w:szCs w:val="22"/>
        </w:rPr>
        <w:t>resources, and traditional knowledge,</w:t>
      </w:r>
      <w:r w:rsidRPr="00CE31DF">
        <w:rPr>
          <w:iCs/>
          <w:spacing w:val="-10"/>
          <w:szCs w:val="22"/>
        </w:rPr>
        <w:t xml:space="preserve"> </w:t>
      </w:r>
      <w:r w:rsidRPr="00CE31DF">
        <w:rPr>
          <w:iCs/>
          <w:szCs w:val="22"/>
        </w:rPr>
        <w:t>as well as by women and girls, children and youth, and persons with disabilities and ensure the full protection of environmental human rights defenders.</w:t>
      </w:r>
    </w:p>
    <w:p w14:paraId="30E50E7F" w14:textId="77777777" w:rsidR="00E86051" w:rsidRPr="00CE31DF" w:rsidRDefault="00E86051" w:rsidP="0039740C">
      <w:pPr>
        <w:pStyle w:val="Para1"/>
        <w:keepNext/>
        <w:numPr>
          <w:ilvl w:val="0"/>
          <w:numId w:val="0"/>
        </w:numPr>
        <w:suppressLineNumbers/>
        <w:suppressAutoHyphens/>
        <w:spacing w:before="240" w:after="60"/>
        <w:outlineLvl w:val="2"/>
        <w:rPr>
          <w:rFonts w:eastAsia="Malgun Gothic"/>
          <w:b/>
          <w:bCs/>
          <w:color w:val="000000" w:themeColor="text1"/>
        </w:rPr>
      </w:pPr>
      <w:r w:rsidRPr="00CE31DF">
        <w:rPr>
          <w:rFonts w:eastAsia="Malgun Gothic"/>
          <w:b/>
          <w:bCs/>
          <w:color w:val="000000" w:themeColor="text1"/>
        </w:rPr>
        <w:t>TARGET 23</w:t>
      </w:r>
    </w:p>
    <w:p w14:paraId="5E69E551" w14:textId="77777777" w:rsidR="00E86051" w:rsidRPr="00CE31DF" w:rsidRDefault="00E86051" w:rsidP="0039740C">
      <w:pPr>
        <w:tabs>
          <w:tab w:val="left" w:pos="2228"/>
        </w:tabs>
        <w:spacing w:before="60" w:after="120"/>
        <w:rPr>
          <w:szCs w:val="22"/>
        </w:rPr>
      </w:pPr>
      <w:r w:rsidRPr="00CE31DF">
        <w:rPr>
          <w:szCs w:val="22"/>
        </w:rPr>
        <w:t xml:space="preserve">Ensure gender equality in the implementation of the Framework through a gender-responsive approach, where all women and girls have equal opportunity and capacity to contribute to the three objectives of the </w:t>
      </w:r>
      <w:r w:rsidRPr="00CE31DF">
        <w:rPr>
          <w:szCs w:val="22"/>
        </w:rPr>
        <w:lastRenderedPageBreak/>
        <w:t>Convention, including by recognizing their equal rights and access to land and natural resources and their full, equitable, meaningful and informed participation and leadership at all levels of action, engagement, policy and decision-making related to biodiversity.</w:t>
      </w:r>
    </w:p>
    <w:p w14:paraId="1F8F43B2" w14:textId="77777777" w:rsidR="00E86051" w:rsidRPr="00CE31DF" w:rsidRDefault="00E86051" w:rsidP="00B30138">
      <w:pPr>
        <w:keepNext/>
        <w:tabs>
          <w:tab w:val="left" w:pos="851"/>
        </w:tabs>
        <w:spacing w:before="240" w:after="120"/>
        <w:jc w:val="center"/>
        <w:rPr>
          <w:b/>
          <w:bCs/>
          <w:i/>
          <w:color w:val="000000" w:themeColor="text1"/>
          <w:szCs w:val="22"/>
        </w:rPr>
      </w:pPr>
      <w:r w:rsidRPr="00CE31DF">
        <w:rPr>
          <w:b/>
          <w:bCs/>
          <w:color w:val="000000" w:themeColor="text1"/>
          <w:szCs w:val="22"/>
        </w:rPr>
        <w:t>Section I.</w:t>
      </w:r>
      <w:r w:rsidRPr="00CE31DF">
        <w:rPr>
          <w:b/>
          <w:bCs/>
          <w:color w:val="000000" w:themeColor="text1"/>
          <w:szCs w:val="22"/>
        </w:rPr>
        <w:tab/>
        <w:t>Implementation and support mechanism and enabling conditions</w:t>
      </w:r>
    </w:p>
    <w:p w14:paraId="5624D363" w14:textId="77777777" w:rsidR="00E86051" w:rsidRPr="00CE31DF" w:rsidRDefault="00E86051">
      <w:pPr>
        <w:spacing w:before="120" w:after="120"/>
        <w:rPr>
          <w:iCs/>
          <w:szCs w:val="22"/>
        </w:rPr>
      </w:pPr>
      <w:r w:rsidRPr="00CE31DF">
        <w:rPr>
          <w:iCs/>
          <w:szCs w:val="22"/>
        </w:rPr>
        <w:t>14.</w:t>
      </w:r>
      <w:r w:rsidRPr="00CE31DF">
        <w:rPr>
          <w:iCs/>
          <w:szCs w:val="22"/>
        </w:rPr>
        <w:tab/>
        <w:t xml:space="preserve">Implementation of the </w:t>
      </w:r>
      <w:r w:rsidRPr="00CE31DF">
        <w:rPr>
          <w:szCs w:val="22"/>
        </w:rPr>
        <w:t xml:space="preserve">Kunming-Montreal Global Biodiversity Framework </w:t>
      </w:r>
      <w:r w:rsidRPr="00CE31DF">
        <w:rPr>
          <w:iCs/>
          <w:szCs w:val="22"/>
        </w:rPr>
        <w:t>and the achievement of its goals and targets will be facilitated and enhanced through support mechanisms and strategies under the Convention on Biological Diversity and its Protocols, in accordance with its provisions and the decisions adopted by the Conference of the Parties at its fifteenth meeting.</w:t>
      </w:r>
    </w:p>
    <w:p w14:paraId="5DCE60FE" w14:textId="77777777" w:rsidR="00E86051" w:rsidRPr="00CE31DF" w:rsidRDefault="00E86051" w:rsidP="00F73B55">
      <w:pPr>
        <w:pStyle w:val="Para1"/>
        <w:numPr>
          <w:ilvl w:val="0"/>
          <w:numId w:val="0"/>
        </w:numPr>
        <w:tabs>
          <w:tab w:val="left" w:pos="630"/>
        </w:tabs>
      </w:pPr>
      <w:r w:rsidRPr="00CE31DF">
        <w:t>15.</w:t>
      </w:r>
      <w:r w:rsidRPr="00CE31DF">
        <w:tab/>
        <w:t>The full implementation of the Framework will require the provision of adequate, predictable and easily accessible financial resources from all sources on a needs basis. It further requires cooperation and collaboration in building the necessary capacity and transfer of technologies to allow Parties, especially developing country Parties, to fully implement the Framework.</w:t>
      </w:r>
    </w:p>
    <w:p w14:paraId="516BDCEB" w14:textId="78C29CE3" w:rsidR="00E86051" w:rsidRPr="00B30138" w:rsidRDefault="00E86051" w:rsidP="00B30138">
      <w:pPr>
        <w:keepNext/>
        <w:tabs>
          <w:tab w:val="left" w:pos="1134"/>
        </w:tabs>
        <w:spacing w:before="240" w:after="120"/>
        <w:jc w:val="center"/>
        <w:rPr>
          <w:b/>
          <w:bCs/>
          <w:color w:val="000000" w:themeColor="text1"/>
          <w:szCs w:val="22"/>
        </w:rPr>
      </w:pPr>
      <w:r w:rsidRPr="00B30138">
        <w:rPr>
          <w:b/>
          <w:bCs/>
          <w:color w:val="000000" w:themeColor="text1"/>
          <w:szCs w:val="22"/>
        </w:rPr>
        <w:t>Section J.</w:t>
      </w:r>
      <w:r w:rsidRPr="00B30138">
        <w:rPr>
          <w:b/>
          <w:bCs/>
          <w:color w:val="000000" w:themeColor="text1"/>
          <w:szCs w:val="22"/>
        </w:rPr>
        <w:tab/>
        <w:t>Responsibility and transparency</w:t>
      </w:r>
    </w:p>
    <w:p w14:paraId="32070BBF" w14:textId="77777777" w:rsidR="00E86051" w:rsidRPr="00CE31DF" w:rsidRDefault="00E86051">
      <w:pPr>
        <w:spacing w:before="120" w:after="120"/>
      </w:pPr>
      <w:bookmarkStart w:id="32" w:name="_Hlk106702916"/>
      <w:r w:rsidRPr="00CE31DF">
        <w:t xml:space="preserve">16. </w:t>
      </w:r>
      <w:r w:rsidRPr="00CE31DF">
        <w:tab/>
        <w:t xml:space="preserve">The successful implementation of the </w:t>
      </w:r>
      <w:r w:rsidRPr="00CE31DF">
        <w:rPr>
          <w:szCs w:val="22"/>
        </w:rPr>
        <w:t xml:space="preserve">Kunming-Montreal Global Biodiversity Framework </w:t>
      </w:r>
      <w:r w:rsidRPr="00CE31DF">
        <w:t>requires responsibility and transparency, which will be supported by effective mechanisms for planning, monitoring, reporting and review, forming an agreed, synchronized and cyclical system.</w:t>
      </w:r>
      <w:r w:rsidRPr="00610646">
        <w:rPr>
          <w:rStyle w:val="FootnoteReference"/>
        </w:rPr>
        <w:footnoteReference w:id="34"/>
      </w:r>
      <w:r w:rsidRPr="00CE31DF">
        <w:t xml:space="preserve"> This includes the following elements:</w:t>
      </w:r>
    </w:p>
    <w:p w14:paraId="535A7933" w14:textId="77777777" w:rsidR="00E86051" w:rsidRPr="00CE31DF" w:rsidRDefault="00E86051" w:rsidP="00950BE4">
      <w:pPr>
        <w:pStyle w:val="ListParagraph"/>
        <w:numPr>
          <w:ilvl w:val="0"/>
          <w:numId w:val="18"/>
        </w:numPr>
        <w:overflowPunct w:val="0"/>
        <w:autoSpaceDE w:val="0"/>
        <w:autoSpaceDN w:val="0"/>
        <w:spacing w:before="60" w:after="60"/>
        <w:ind w:left="0" w:firstLine="777"/>
        <w:contextualSpacing w:val="0"/>
        <w:rPr>
          <w:snapToGrid w:val="0"/>
          <w:lang w:val="en-US"/>
        </w:rPr>
      </w:pPr>
      <w:r w:rsidRPr="00CE31DF">
        <w:rPr>
          <w:snapToGrid w:val="0"/>
          <w:lang w:val="en-US"/>
        </w:rPr>
        <w:t xml:space="preserve">National biodiversity strategies and action plans, revised or updated in alignment with the Framework and its goals and targets as the main vehicle for implementation of the Framework, including national targets communicated in a standardized format; </w:t>
      </w:r>
    </w:p>
    <w:p w14:paraId="50E8790F" w14:textId="77777777" w:rsidR="00E86051" w:rsidRPr="00CE31DF" w:rsidRDefault="00E86051" w:rsidP="00950BE4">
      <w:pPr>
        <w:pStyle w:val="ListParagraph"/>
        <w:numPr>
          <w:ilvl w:val="0"/>
          <w:numId w:val="18"/>
        </w:numPr>
        <w:overflowPunct w:val="0"/>
        <w:autoSpaceDE w:val="0"/>
        <w:autoSpaceDN w:val="0"/>
        <w:spacing w:before="60" w:after="60"/>
        <w:ind w:left="0" w:firstLine="777"/>
        <w:contextualSpacing w:val="0"/>
        <w:rPr>
          <w:snapToGrid w:val="0"/>
          <w:lang w:val="en-US"/>
        </w:rPr>
      </w:pPr>
      <w:r w:rsidRPr="00CE31DF">
        <w:rPr>
          <w:snapToGrid w:val="0"/>
          <w:lang w:val="en-US"/>
        </w:rPr>
        <w:t>National reports, including the headline and, as appropriate, other indicators in the monitoring framework</w:t>
      </w:r>
      <w:r w:rsidRPr="00CE31DF">
        <w:rPr>
          <w:kern w:val="22"/>
        </w:rPr>
        <w:t xml:space="preserve"> of the Kunming-Montreal </w:t>
      </w:r>
      <w:r w:rsidRPr="00CE31DF">
        <w:rPr>
          <w:snapToGrid w:val="0"/>
          <w:lang w:val="en-US"/>
        </w:rPr>
        <w:t>Global Biodiversity Framework;</w:t>
      </w:r>
    </w:p>
    <w:p w14:paraId="017924FF" w14:textId="77777777" w:rsidR="00E86051" w:rsidRPr="00CE31DF" w:rsidRDefault="00E86051" w:rsidP="00950BE4">
      <w:pPr>
        <w:pStyle w:val="ListParagraph"/>
        <w:numPr>
          <w:ilvl w:val="0"/>
          <w:numId w:val="18"/>
        </w:numPr>
        <w:overflowPunct w:val="0"/>
        <w:autoSpaceDE w:val="0"/>
        <w:autoSpaceDN w:val="0"/>
        <w:spacing w:before="60" w:after="60"/>
        <w:ind w:left="0" w:firstLine="777"/>
        <w:contextualSpacing w:val="0"/>
        <w:rPr>
          <w:snapToGrid w:val="0"/>
          <w:lang w:val="en-US"/>
        </w:rPr>
      </w:pPr>
      <w:r w:rsidRPr="00CE31DF">
        <w:rPr>
          <w:snapToGrid w:val="0"/>
          <w:lang w:val="en-US"/>
        </w:rPr>
        <w:t>Global analysis of information in national biodiversity strategies and action plans, including national targets to assess the contribution towards the Framework;</w:t>
      </w:r>
    </w:p>
    <w:p w14:paraId="1F8CF75F" w14:textId="77777777" w:rsidR="00E86051" w:rsidRPr="00CE31DF" w:rsidRDefault="00E86051" w:rsidP="00950BE4">
      <w:pPr>
        <w:pStyle w:val="ListParagraph"/>
        <w:numPr>
          <w:ilvl w:val="0"/>
          <w:numId w:val="18"/>
        </w:numPr>
        <w:overflowPunct w:val="0"/>
        <w:autoSpaceDE w:val="0"/>
        <w:autoSpaceDN w:val="0"/>
        <w:spacing w:before="60" w:after="60"/>
        <w:ind w:left="0" w:firstLine="777"/>
        <w:contextualSpacing w:val="0"/>
        <w:rPr>
          <w:snapToGrid w:val="0"/>
          <w:lang w:val="en-US"/>
        </w:rPr>
      </w:pPr>
      <w:r w:rsidRPr="00CE31DF">
        <w:rPr>
          <w:snapToGrid w:val="0"/>
          <w:lang w:val="en-US"/>
        </w:rPr>
        <w:t xml:space="preserve">Global review of collective progress in the implementation of the Framework, including the means of implementation, based on national reports and, as appropriate, other sources; </w:t>
      </w:r>
    </w:p>
    <w:p w14:paraId="7DFABBD8" w14:textId="77777777" w:rsidR="00E86051" w:rsidRPr="00CE31DF" w:rsidRDefault="00E86051" w:rsidP="00950BE4">
      <w:pPr>
        <w:pStyle w:val="ListParagraph"/>
        <w:numPr>
          <w:ilvl w:val="0"/>
          <w:numId w:val="18"/>
        </w:numPr>
        <w:overflowPunct w:val="0"/>
        <w:autoSpaceDE w:val="0"/>
        <w:autoSpaceDN w:val="0"/>
        <w:spacing w:before="60" w:after="60"/>
        <w:ind w:left="0" w:firstLine="777"/>
        <w:contextualSpacing w:val="0"/>
        <w:rPr>
          <w:snapToGrid w:val="0"/>
          <w:lang w:val="en-US"/>
        </w:rPr>
      </w:pPr>
      <w:r w:rsidRPr="00CE31DF">
        <w:rPr>
          <w:snapToGrid w:val="0"/>
          <w:lang w:val="en-US"/>
        </w:rPr>
        <w:t xml:space="preserve">Voluntary peer reviews; </w:t>
      </w:r>
    </w:p>
    <w:p w14:paraId="17054BFD" w14:textId="77777777" w:rsidR="00E86051" w:rsidRPr="00CE31DF" w:rsidRDefault="00E86051" w:rsidP="00950BE4">
      <w:pPr>
        <w:pStyle w:val="ListParagraph"/>
        <w:numPr>
          <w:ilvl w:val="0"/>
          <w:numId w:val="18"/>
        </w:numPr>
        <w:overflowPunct w:val="0"/>
        <w:autoSpaceDE w:val="0"/>
        <w:autoSpaceDN w:val="0"/>
        <w:spacing w:before="60" w:after="60"/>
        <w:ind w:left="0" w:firstLine="777"/>
        <w:contextualSpacing w:val="0"/>
        <w:rPr>
          <w:snapToGrid w:val="0"/>
          <w:lang w:val="en-US"/>
        </w:rPr>
      </w:pPr>
      <w:r w:rsidRPr="00CE31DF">
        <w:rPr>
          <w:snapToGrid w:val="0"/>
          <w:lang w:val="en-US"/>
        </w:rPr>
        <w:t>Further development and testing of an open-ended forum for voluntary country reviews;</w:t>
      </w:r>
    </w:p>
    <w:p w14:paraId="4140E42E" w14:textId="77777777" w:rsidR="00E86051" w:rsidRPr="00CE31DF" w:rsidRDefault="00E86051" w:rsidP="00950BE4">
      <w:pPr>
        <w:pStyle w:val="ListParagraph"/>
        <w:numPr>
          <w:ilvl w:val="0"/>
          <w:numId w:val="18"/>
        </w:numPr>
        <w:overflowPunct w:val="0"/>
        <w:autoSpaceDE w:val="0"/>
        <w:autoSpaceDN w:val="0"/>
        <w:spacing w:before="60" w:after="60"/>
        <w:ind w:left="0" w:firstLine="777"/>
        <w:contextualSpacing w:val="0"/>
        <w:rPr>
          <w:snapToGrid w:val="0"/>
          <w:lang w:val="en-US"/>
        </w:rPr>
      </w:pPr>
      <w:r w:rsidRPr="00CE31DF">
        <w:rPr>
          <w:snapToGrid w:val="0"/>
          <w:lang w:val="en-US"/>
        </w:rPr>
        <w:t>Information on non-state actor commitments towards the Framework, as applicable.</w:t>
      </w:r>
    </w:p>
    <w:p w14:paraId="717E862F" w14:textId="77777777" w:rsidR="00E86051" w:rsidRPr="00CE31DF" w:rsidRDefault="00E86051">
      <w:pPr>
        <w:overflowPunct w:val="0"/>
        <w:autoSpaceDE w:val="0"/>
        <w:autoSpaceDN w:val="0"/>
        <w:spacing w:before="120" w:after="120"/>
      </w:pPr>
      <w:r w:rsidRPr="00CE31DF">
        <w:rPr>
          <w:rFonts w:eastAsia="SimSun"/>
          <w:lang w:val="en-US" w:eastAsia="zh-CN"/>
        </w:rPr>
        <w:t>17.</w:t>
      </w:r>
      <w:r w:rsidRPr="00CE31DF">
        <w:rPr>
          <w:rFonts w:eastAsia="SimSun"/>
          <w:lang w:val="en-US" w:eastAsia="zh-CN"/>
        </w:rPr>
        <w:tab/>
      </w:r>
      <w:r w:rsidRPr="00CE31DF">
        <w:t xml:space="preserve">Parties may take the outcome of the global reviews into account in the future revisions and implementation of their </w:t>
      </w:r>
      <w:r w:rsidRPr="00CE31DF">
        <w:rPr>
          <w:snapToGrid w:val="0"/>
          <w:lang w:val="en-US"/>
        </w:rPr>
        <w:t>national biodiversity strategies and action plans</w:t>
      </w:r>
      <w:r w:rsidRPr="00CE31DF">
        <w:t>, including the provision of means of implementation to developing country Parties, with a view to improving actions and efforts, as appropriate.</w:t>
      </w:r>
    </w:p>
    <w:p w14:paraId="1DEEB23C" w14:textId="77777777" w:rsidR="00E86051" w:rsidRPr="00CE31DF" w:rsidRDefault="00E86051">
      <w:pPr>
        <w:overflowPunct w:val="0"/>
        <w:autoSpaceDE w:val="0"/>
        <w:autoSpaceDN w:val="0"/>
        <w:spacing w:before="120" w:after="120"/>
      </w:pPr>
      <w:r w:rsidRPr="00CE31DF">
        <w:t>18.</w:t>
      </w:r>
      <w:r w:rsidRPr="00CE31DF">
        <w:tab/>
        <w:t>The mechanisms recognize the specific challenges faced by developing countries and the need for international cooperation to support them accordingly. Means of implementation, including capacity</w:t>
      </w:r>
      <w:r w:rsidRPr="00CE31DF">
        <w:noBreakHyphen/>
        <w:t>building and development, and technical and financial support will be provided to Parties, especially to developing country Parties, to enable the implementation of these mechanisms for responsibility and transparency, including information on transparency of the support provided and received, and provide a full overview of aggregate support provided.</w:t>
      </w:r>
    </w:p>
    <w:p w14:paraId="693876B2" w14:textId="77777777" w:rsidR="00E86051" w:rsidRPr="00CE31DF" w:rsidRDefault="00E86051">
      <w:pPr>
        <w:overflowPunct w:val="0"/>
        <w:autoSpaceDE w:val="0"/>
        <w:autoSpaceDN w:val="0"/>
        <w:spacing w:before="120" w:after="120"/>
        <w:rPr>
          <w:snapToGrid w:val="0"/>
          <w:lang w:val="en-US"/>
        </w:rPr>
      </w:pPr>
      <w:r w:rsidRPr="00CE31DF">
        <w:t>19.</w:t>
      </w:r>
      <w:r w:rsidRPr="00CE31DF">
        <w:tab/>
        <w:t xml:space="preserve">The mechanisms will be undertaken in a facilitative, non-intrusive, non-punitive manner, respecting national sovereignty, and avoiding placing undue burden on Parties. </w:t>
      </w:r>
    </w:p>
    <w:p w14:paraId="362E6EC5" w14:textId="77777777" w:rsidR="00E86051" w:rsidRPr="00CE31DF" w:rsidRDefault="00E86051">
      <w:pPr>
        <w:overflowPunct w:val="0"/>
        <w:autoSpaceDE w:val="0"/>
        <w:autoSpaceDN w:val="0"/>
        <w:spacing w:before="120" w:after="120"/>
        <w:rPr>
          <w:snapToGrid w:val="0"/>
          <w:lang w:val="en-US"/>
        </w:rPr>
      </w:pPr>
      <w:r w:rsidRPr="00CE31DF">
        <w:rPr>
          <w:snapToGrid w:val="0"/>
          <w:lang w:val="en-US"/>
        </w:rPr>
        <w:lastRenderedPageBreak/>
        <w:t>20.</w:t>
      </w:r>
      <w:r w:rsidRPr="00CE31DF">
        <w:rPr>
          <w:snapToGrid w:val="0"/>
          <w:lang w:val="en-US"/>
        </w:rPr>
        <w:tab/>
        <w:t>Further recommendations on the transparency and responsibility mechanisms will be provided by the Conference of the Parties as necessary with a view to achieving the goals and targets of the Framework.</w:t>
      </w:r>
    </w:p>
    <w:p w14:paraId="2E5C48D2" w14:textId="77777777" w:rsidR="00E86051" w:rsidRPr="00CE31DF" w:rsidRDefault="00E86051">
      <w:pPr>
        <w:overflowPunct w:val="0"/>
        <w:autoSpaceDE w:val="0"/>
        <w:autoSpaceDN w:val="0"/>
        <w:spacing w:before="120" w:after="120"/>
        <w:rPr>
          <w:snapToGrid w:val="0"/>
          <w:lang w:val="en-US"/>
        </w:rPr>
      </w:pPr>
      <w:r w:rsidRPr="00CE31DF">
        <w:rPr>
          <w:snapToGrid w:val="0"/>
          <w:lang w:val="en-US"/>
        </w:rPr>
        <w:t>21.</w:t>
      </w:r>
      <w:r w:rsidRPr="00CE31DF">
        <w:rPr>
          <w:snapToGrid w:val="0"/>
          <w:lang w:val="en-US"/>
        </w:rPr>
        <w:tab/>
        <w:t xml:space="preserve">Future meetings of the Conference of the Parties will consider and provide any additional recommendation, as necessary, including on the basis of the outcomes from the reviews, with a view to achieving the goals and targets of the Framework. </w:t>
      </w:r>
    </w:p>
    <w:bookmarkEnd w:id="32"/>
    <w:p w14:paraId="25625E2F" w14:textId="77777777" w:rsidR="00E86051" w:rsidRPr="00CE31DF" w:rsidRDefault="00E86051" w:rsidP="00B30138">
      <w:pPr>
        <w:keepNext/>
        <w:tabs>
          <w:tab w:val="left" w:pos="2228"/>
        </w:tabs>
        <w:spacing w:before="240" w:after="120"/>
        <w:jc w:val="center"/>
        <w:rPr>
          <w:b/>
          <w:bCs/>
          <w:color w:val="000000" w:themeColor="text1"/>
          <w:szCs w:val="22"/>
        </w:rPr>
      </w:pPr>
      <w:r w:rsidRPr="00CE31DF">
        <w:rPr>
          <w:b/>
          <w:bCs/>
          <w:color w:val="000000" w:themeColor="text1"/>
          <w:szCs w:val="22"/>
        </w:rPr>
        <w:t>Section K. Communication, education, awareness and uptake</w:t>
      </w:r>
    </w:p>
    <w:p w14:paraId="49C3E5E6" w14:textId="77777777" w:rsidR="00E86051" w:rsidRPr="00CE31DF" w:rsidRDefault="00E86051" w:rsidP="00113F6C">
      <w:pPr>
        <w:pStyle w:val="Para1"/>
        <w:numPr>
          <w:ilvl w:val="0"/>
          <w:numId w:val="0"/>
        </w:numPr>
        <w:rPr>
          <w:color w:val="000000" w:themeColor="text1"/>
        </w:rPr>
      </w:pPr>
      <w:r w:rsidRPr="00CE31DF">
        <w:rPr>
          <w:color w:val="000000" w:themeColor="text1"/>
        </w:rPr>
        <w:t>22.</w:t>
      </w:r>
      <w:r w:rsidRPr="00CE31DF">
        <w:rPr>
          <w:color w:val="000000" w:themeColor="text1"/>
        </w:rPr>
        <w:tab/>
        <w:t xml:space="preserve">Enhancing communication, education, and awareness on biodiversity and the uptake of the </w:t>
      </w:r>
      <w:r w:rsidRPr="00CE31DF">
        <w:t>Kunming-Montreal Global Biodiversity</w:t>
      </w:r>
      <w:r w:rsidRPr="00CE31DF">
        <w:rPr>
          <w:color w:val="000000" w:themeColor="text1"/>
        </w:rPr>
        <w:t xml:space="preserve"> Framework by all actors is essential to achieve its effective implementation and behavioural change, and to promote sustainable lifestyles and biodiversity values, including by:</w:t>
      </w:r>
    </w:p>
    <w:p w14:paraId="7B578490" w14:textId="77777777" w:rsidR="00E86051" w:rsidRPr="00CE31DF" w:rsidRDefault="00E86051" w:rsidP="00113F6C">
      <w:pPr>
        <w:pStyle w:val="Para1"/>
        <w:numPr>
          <w:ilvl w:val="0"/>
          <w:numId w:val="0"/>
        </w:numPr>
        <w:suppressLineNumbers/>
        <w:suppressAutoHyphens/>
        <w:ind w:firstLine="720"/>
        <w:rPr>
          <w:color w:val="000000" w:themeColor="text1"/>
        </w:rPr>
      </w:pPr>
      <w:r w:rsidRPr="00CE31DF">
        <w:rPr>
          <w:color w:val="000000" w:themeColor="text1"/>
        </w:rPr>
        <w:t>(a)</w:t>
      </w:r>
      <w:r w:rsidRPr="00CE31DF">
        <w:rPr>
          <w:color w:val="000000" w:themeColor="text1"/>
        </w:rPr>
        <w:tab/>
        <w:t>Increasing awareness, understanding and appreciation of the knowledge systems, diverse values of biodiversity and nature’s contributions to people, including ecosystems functions and services and traditional knowledge and worldviews of indigenous peoples and local communities as well as of biodiversity’s contribution to sustainable development;</w:t>
      </w:r>
    </w:p>
    <w:p w14:paraId="67858A9C" w14:textId="77777777" w:rsidR="00E86051" w:rsidRPr="00CE31DF" w:rsidRDefault="00E86051" w:rsidP="00113F6C">
      <w:pPr>
        <w:pStyle w:val="Para1"/>
        <w:numPr>
          <w:ilvl w:val="0"/>
          <w:numId w:val="0"/>
        </w:numPr>
        <w:suppressLineNumbers/>
        <w:suppressAutoHyphens/>
        <w:ind w:firstLine="709"/>
        <w:rPr>
          <w:color w:val="000000" w:themeColor="text1"/>
          <w:lang w:val="en-US"/>
        </w:rPr>
      </w:pPr>
      <w:r w:rsidRPr="00CE31DF">
        <w:rPr>
          <w:color w:val="000000" w:themeColor="text1"/>
        </w:rPr>
        <w:t>(b)</w:t>
      </w:r>
      <w:r w:rsidRPr="00CE31DF">
        <w:rPr>
          <w:i/>
          <w:iCs/>
          <w:color w:val="000000" w:themeColor="text1"/>
        </w:rPr>
        <w:tab/>
      </w:r>
      <w:r w:rsidRPr="00CE31DF">
        <w:rPr>
          <w:color w:val="000000" w:themeColor="text1"/>
        </w:rPr>
        <w:t>Increasing awareness on the importance of conservation and sustainable use of biodiversity and of the fair and equitable sharing of the benefits arising from the utilization of genetic resources for sustainable development, including improving sustainable livelihoods and poverty eradication efforts and its overall contribution to global and/or national sustainable development strategies;</w:t>
      </w:r>
    </w:p>
    <w:p w14:paraId="09237E15" w14:textId="77777777" w:rsidR="00E86051" w:rsidRPr="00CE31DF" w:rsidRDefault="00E86051" w:rsidP="00113F6C">
      <w:pPr>
        <w:pStyle w:val="Para1"/>
        <w:numPr>
          <w:ilvl w:val="0"/>
          <w:numId w:val="0"/>
        </w:numPr>
        <w:suppressLineNumbers/>
        <w:suppressAutoHyphens/>
        <w:ind w:firstLine="720"/>
        <w:rPr>
          <w:color w:val="000000" w:themeColor="text1"/>
        </w:rPr>
      </w:pPr>
      <w:r w:rsidRPr="00CE31DF">
        <w:rPr>
          <w:color w:val="000000" w:themeColor="text1"/>
        </w:rPr>
        <w:t>(c)</w:t>
      </w:r>
      <w:r w:rsidRPr="00CE31DF">
        <w:rPr>
          <w:color w:val="000000" w:themeColor="text1"/>
        </w:rPr>
        <w:tab/>
        <w:t>Raising awareness among all sectors and actors of the need for urgent action to implement the Framework, while enabling their active engagement in the implementation and monitoring of progress towards the achievement of its goals and targets;</w:t>
      </w:r>
    </w:p>
    <w:p w14:paraId="31A8A553" w14:textId="77777777" w:rsidR="00E86051" w:rsidRPr="00CE31DF" w:rsidRDefault="00E86051" w:rsidP="00113F6C">
      <w:pPr>
        <w:pStyle w:val="Para1"/>
        <w:numPr>
          <w:ilvl w:val="0"/>
          <w:numId w:val="0"/>
        </w:numPr>
        <w:suppressLineNumbers/>
        <w:suppressAutoHyphens/>
        <w:ind w:firstLine="720"/>
        <w:rPr>
          <w:color w:val="000000" w:themeColor="text1"/>
        </w:rPr>
      </w:pPr>
      <w:r w:rsidRPr="00CE31DF">
        <w:rPr>
          <w:color w:val="000000" w:themeColor="text1"/>
        </w:rPr>
        <w:t>(d)</w:t>
      </w:r>
      <w:r w:rsidRPr="00CE31DF">
        <w:rPr>
          <w:color w:val="000000" w:themeColor="text1"/>
        </w:rPr>
        <w:tab/>
        <w:t>Facilitating understanding of the Framework, including by targeted communication, adapting the language used, level of complexity and thematic content to relevant groups of actors, considering their socioeconomic and cultural context, including by developing material that can be translated into indigenous and local languages;</w:t>
      </w:r>
    </w:p>
    <w:p w14:paraId="2DDB35BF" w14:textId="77777777" w:rsidR="00E86051" w:rsidRPr="00CE31DF" w:rsidRDefault="00E86051" w:rsidP="00113F6C">
      <w:pPr>
        <w:pStyle w:val="Para1"/>
        <w:numPr>
          <w:ilvl w:val="0"/>
          <w:numId w:val="0"/>
        </w:numPr>
        <w:suppressLineNumbers/>
        <w:suppressAutoHyphens/>
        <w:ind w:firstLine="720"/>
        <w:rPr>
          <w:color w:val="000000" w:themeColor="text1"/>
        </w:rPr>
      </w:pPr>
      <w:r w:rsidRPr="00CE31DF">
        <w:rPr>
          <w:color w:val="000000" w:themeColor="text1"/>
        </w:rPr>
        <w:t>(e)</w:t>
      </w:r>
      <w:r w:rsidRPr="00CE31DF">
        <w:rPr>
          <w:color w:val="000000" w:themeColor="text1"/>
        </w:rPr>
        <w:tab/>
        <w:t>Promoting or developing platforms, partnerships and action agendas, including with media, civil society and educational institutions, including academia, to share information on successes, lessons learned and experiences and to allow for adaptive learning and participation in acting for biodiversity;</w:t>
      </w:r>
    </w:p>
    <w:p w14:paraId="4DA9BCFF" w14:textId="77777777" w:rsidR="00E86051" w:rsidRPr="00CE31DF" w:rsidRDefault="00E86051" w:rsidP="00113F6C">
      <w:pPr>
        <w:pStyle w:val="Para1"/>
        <w:numPr>
          <w:ilvl w:val="0"/>
          <w:numId w:val="0"/>
        </w:numPr>
        <w:suppressLineNumbers/>
        <w:suppressAutoHyphens/>
        <w:ind w:firstLine="720"/>
        <w:rPr>
          <w:color w:val="000000" w:themeColor="text1"/>
        </w:rPr>
      </w:pPr>
      <w:r w:rsidRPr="00CE31DF">
        <w:rPr>
          <w:color w:val="000000" w:themeColor="text1"/>
        </w:rPr>
        <w:t>(f)</w:t>
      </w:r>
      <w:r w:rsidRPr="00CE31DF">
        <w:rPr>
          <w:color w:val="000000" w:themeColor="text1"/>
        </w:rPr>
        <w:tab/>
        <w:t>Integrating transformative education on biodiversity into formal, non-formal and informal educational programmes, promoting curriculum on biodiversity conservation and sustainable use in educational institutions, and promoting knowledge, attitudes, values, behaviours and lifestyles that are consistent with living in harmony with nature;</w:t>
      </w:r>
    </w:p>
    <w:p w14:paraId="03C46FF6" w14:textId="77777777" w:rsidR="00E86051" w:rsidRPr="00CE31DF" w:rsidRDefault="00E86051" w:rsidP="00113F6C">
      <w:pPr>
        <w:pStyle w:val="Para1"/>
        <w:numPr>
          <w:ilvl w:val="0"/>
          <w:numId w:val="0"/>
        </w:numPr>
        <w:suppressLineNumbers/>
        <w:suppressAutoHyphens/>
        <w:ind w:firstLine="720"/>
        <w:rPr>
          <w:color w:val="000000" w:themeColor="text1"/>
        </w:rPr>
      </w:pPr>
      <w:r w:rsidRPr="00CE31DF">
        <w:rPr>
          <w:color w:val="000000" w:themeColor="text1"/>
        </w:rPr>
        <w:t>(g)</w:t>
      </w:r>
      <w:r w:rsidRPr="00CE31DF">
        <w:rPr>
          <w:color w:val="000000" w:themeColor="text1"/>
        </w:rPr>
        <w:tab/>
        <w:t>Raising awareness on the critical role of science, technology and innovation to strengthen scientific and technical capacities to monitor biodiversity, address knowledge gaps and develop innovative solutions to improve the conservation and sustainable use of biodiversity.</w:t>
      </w:r>
    </w:p>
    <w:p w14:paraId="57FF9401" w14:textId="77777777" w:rsidR="00005A3C" w:rsidRDefault="00005A3C">
      <w:pPr>
        <w:jc w:val="center"/>
        <w:rPr>
          <w:b/>
          <w:bCs/>
        </w:rPr>
        <w:sectPr w:rsidR="00005A3C" w:rsidSect="00441700">
          <w:footnotePr>
            <w:numRestart w:val="eachSect"/>
          </w:footnotePr>
          <w:pgSz w:w="12240" w:h="15840"/>
          <w:pgMar w:top="567" w:right="1440" w:bottom="1134" w:left="1440" w:header="709" w:footer="709" w:gutter="0"/>
          <w:cols w:space="708"/>
          <w:docGrid w:linePitch="360"/>
        </w:sectPr>
      </w:pPr>
    </w:p>
    <w:p w14:paraId="463B71DA" w14:textId="77777777" w:rsidR="00005A3C" w:rsidRPr="006A0C48" w:rsidRDefault="00005A3C" w:rsidP="00513596">
      <w:pPr>
        <w:pStyle w:val="decision"/>
        <w:rPr>
          <w:rStyle w:val="BodyTextChar"/>
          <w:rFonts w:eastAsia="Malgun Gothic"/>
          <w:b w:val="0"/>
          <w:bCs/>
        </w:rPr>
      </w:pPr>
      <w:bookmarkStart w:id="33" w:name="_Toc150438803"/>
      <w:bookmarkStart w:id="34" w:name="_Toc150670503"/>
      <w:bookmarkStart w:id="35" w:name="_Toc150670613"/>
      <w:bookmarkStart w:id="36" w:name="_Toc150761115"/>
      <w:r w:rsidRPr="006A0C48">
        <w:lastRenderedPageBreak/>
        <w:t>15/5.</w:t>
      </w:r>
      <w:r w:rsidRPr="006A0C48">
        <w:tab/>
        <w:t>Monitoring framework for the Kunming-Montreal Global Biodiversity Framework</w:t>
      </w:r>
      <w:bookmarkEnd w:id="33"/>
      <w:bookmarkEnd w:id="34"/>
      <w:bookmarkEnd w:id="35"/>
      <w:bookmarkEnd w:id="36"/>
    </w:p>
    <w:p w14:paraId="718B9E8B" w14:textId="77777777" w:rsidR="00005A3C" w:rsidRPr="006A0C48" w:rsidRDefault="00005A3C" w:rsidP="00BC5121">
      <w:pPr>
        <w:pStyle w:val="Para1"/>
        <w:numPr>
          <w:ilvl w:val="0"/>
          <w:numId w:val="0"/>
        </w:numPr>
        <w:suppressLineNumbers/>
        <w:suppressAutoHyphens/>
        <w:kinsoku w:val="0"/>
        <w:adjustRightInd w:val="0"/>
        <w:ind w:firstLine="720"/>
        <w:rPr>
          <w:iCs/>
        </w:rPr>
      </w:pPr>
      <w:r w:rsidRPr="006A0C48">
        <w:rPr>
          <w:i/>
        </w:rPr>
        <w:t>The Conference of the Parties</w:t>
      </w:r>
    </w:p>
    <w:p w14:paraId="144E3F59" w14:textId="77777777" w:rsidR="00005A3C" w:rsidRPr="006A0C48" w:rsidRDefault="00005A3C" w:rsidP="00BC5121">
      <w:pPr>
        <w:pStyle w:val="Para1"/>
        <w:numPr>
          <w:ilvl w:val="0"/>
          <w:numId w:val="0"/>
        </w:numPr>
        <w:suppressLineNumbers/>
        <w:suppressAutoHyphens/>
        <w:kinsoku w:val="0"/>
        <w:adjustRightInd w:val="0"/>
        <w:ind w:firstLine="720"/>
        <w:rPr>
          <w:iCs/>
        </w:rPr>
      </w:pPr>
      <w:r w:rsidRPr="006A0C48">
        <w:rPr>
          <w:iCs/>
        </w:rPr>
        <w:t>1.</w:t>
      </w:r>
      <w:r w:rsidRPr="006A0C48">
        <w:rPr>
          <w:i/>
        </w:rPr>
        <w:tab/>
        <w:t>Adopts</w:t>
      </w:r>
      <w:r w:rsidRPr="006A0C48">
        <w:rPr>
          <w:iCs/>
        </w:rPr>
        <w:t xml:space="preserve"> the monitoring framework for the </w:t>
      </w:r>
      <w:r w:rsidRPr="006A0C48">
        <w:t xml:space="preserve">Kunming-Montreal </w:t>
      </w:r>
      <w:r w:rsidRPr="006A0C48">
        <w:rPr>
          <w:iCs/>
        </w:rPr>
        <w:t>Global Biodiversity Framework contained in annex I of the present decision;</w:t>
      </w:r>
    </w:p>
    <w:p w14:paraId="18E0EEC2" w14:textId="77777777" w:rsidR="00005A3C" w:rsidRPr="006A0C48" w:rsidRDefault="00005A3C" w:rsidP="00BC5121">
      <w:pPr>
        <w:pStyle w:val="Para1"/>
        <w:numPr>
          <w:ilvl w:val="0"/>
          <w:numId w:val="0"/>
        </w:numPr>
        <w:suppressLineNumbers/>
        <w:suppressAutoHyphens/>
        <w:kinsoku w:val="0"/>
        <w:adjustRightInd w:val="0"/>
        <w:ind w:firstLine="720"/>
        <w:rPr>
          <w:iCs/>
        </w:rPr>
      </w:pPr>
      <w:r w:rsidRPr="006A0C48">
        <w:rPr>
          <w:iCs/>
        </w:rPr>
        <w:t>2.</w:t>
      </w:r>
      <w:r w:rsidRPr="006A0C48">
        <w:rPr>
          <w:i/>
        </w:rPr>
        <w:tab/>
        <w:t xml:space="preserve">Decides </w:t>
      </w:r>
      <w:r w:rsidRPr="006A0C48">
        <w:rPr>
          <w:iCs/>
        </w:rPr>
        <w:t xml:space="preserve">to use the period from 2011–2020, where data is available, as the reference period, unless otherwise indicated, for reporting and monitoring progress in the implementation of the </w:t>
      </w:r>
      <w:r w:rsidRPr="006A0C48">
        <w:t>Kunming</w:t>
      </w:r>
      <w:r w:rsidRPr="006A0C48">
        <w:noBreakHyphen/>
        <w:t xml:space="preserve">Montreal </w:t>
      </w:r>
      <w:r w:rsidRPr="006A0C48">
        <w:rPr>
          <w:iCs/>
        </w:rPr>
        <w:t>Global Biodiversity Framework, while noting that baselines, conditions and periods used to express desirable states or levels of ambition in goals and targets should, where relevant, take into account historical trends, current status, future scenarios of biodiversity and available information on the natural state;</w:t>
      </w:r>
    </w:p>
    <w:p w14:paraId="08344F83" w14:textId="77777777" w:rsidR="00005A3C" w:rsidRPr="006A0C48" w:rsidRDefault="00005A3C" w:rsidP="00BC5121">
      <w:pPr>
        <w:pStyle w:val="Para1"/>
        <w:numPr>
          <w:ilvl w:val="0"/>
          <w:numId w:val="0"/>
        </w:numPr>
        <w:suppressLineNumbers/>
        <w:suppressAutoHyphens/>
        <w:kinsoku w:val="0"/>
        <w:adjustRightInd w:val="0"/>
        <w:ind w:firstLine="720"/>
        <w:rPr>
          <w:shd w:val="clear" w:color="auto" w:fill="FFFFFF"/>
        </w:rPr>
      </w:pPr>
      <w:r w:rsidRPr="006A0C48">
        <w:t>3.</w:t>
      </w:r>
      <w:r w:rsidRPr="006A0C48">
        <w:rPr>
          <w:i/>
          <w:iCs/>
        </w:rPr>
        <w:tab/>
      </w:r>
      <w:r w:rsidRPr="006A0C48">
        <w:rPr>
          <w:i/>
          <w:iCs/>
          <w:shd w:val="clear" w:color="auto" w:fill="FFFFFF"/>
        </w:rPr>
        <w:t xml:space="preserve">Also decides </w:t>
      </w:r>
      <w:r w:rsidRPr="006A0C48">
        <w:rPr>
          <w:shd w:val="clear" w:color="auto" w:fill="FFFFFF"/>
        </w:rPr>
        <w:t>to consider a review of the monitoring framework in order to finish its development at its sixteenth meeting, and thereafter keep the monitoring framework under review, as appropriate;</w:t>
      </w:r>
    </w:p>
    <w:p w14:paraId="59DB0F8F" w14:textId="77777777" w:rsidR="00005A3C" w:rsidRPr="006A0C48" w:rsidRDefault="00005A3C" w:rsidP="00BC5121">
      <w:pPr>
        <w:pStyle w:val="Para1"/>
        <w:numPr>
          <w:ilvl w:val="0"/>
          <w:numId w:val="0"/>
        </w:numPr>
        <w:suppressLineNumbers/>
        <w:suppressAutoHyphens/>
        <w:kinsoku w:val="0"/>
        <w:adjustRightInd w:val="0"/>
        <w:ind w:firstLine="720"/>
        <w:rPr>
          <w:iCs/>
        </w:rPr>
      </w:pPr>
      <w:r w:rsidRPr="006A0C48">
        <w:rPr>
          <w:iCs/>
        </w:rPr>
        <w:t>4.</w:t>
      </w:r>
      <w:r w:rsidRPr="006A0C48">
        <w:rPr>
          <w:i/>
        </w:rPr>
        <w:tab/>
        <w:t xml:space="preserve">Notes </w:t>
      </w:r>
      <w:r w:rsidRPr="006A0C48">
        <w:rPr>
          <w:iCs/>
        </w:rPr>
        <w:t xml:space="preserve">the value of aligning national monitoring with the System of Environmental-Economic Accounting statistical standard in order to mainstream biodiversity in national statistical systems and to strengthen national monitoring systems and reporting </w:t>
      </w:r>
      <w:r w:rsidRPr="006A0C48">
        <w:rPr>
          <w:iCs/>
          <w:color w:val="000000" w:themeColor="text1"/>
        </w:rPr>
        <w:t>as appropriate and according to their national priorities and circumstances</w:t>
      </w:r>
      <w:r w:rsidRPr="006A0C48">
        <w:rPr>
          <w:iCs/>
        </w:rPr>
        <w:t>;</w:t>
      </w:r>
    </w:p>
    <w:p w14:paraId="43F0B8EA" w14:textId="77777777" w:rsidR="00005A3C" w:rsidRPr="006A0C48" w:rsidRDefault="00005A3C" w:rsidP="00BC5121">
      <w:pPr>
        <w:pStyle w:val="Para1"/>
        <w:numPr>
          <w:ilvl w:val="0"/>
          <w:numId w:val="0"/>
        </w:numPr>
        <w:suppressLineNumbers/>
        <w:suppressAutoHyphens/>
        <w:kinsoku w:val="0"/>
        <w:adjustRightInd w:val="0"/>
        <w:ind w:firstLine="720"/>
      </w:pPr>
      <w:r w:rsidRPr="006A0C48">
        <w:t>5</w:t>
      </w:r>
      <w:r w:rsidRPr="006A0C48">
        <w:rPr>
          <w:i/>
          <w:iCs/>
        </w:rPr>
        <w:t>.</w:t>
      </w:r>
      <w:r w:rsidRPr="006A0C48">
        <w:rPr>
          <w:i/>
          <w:iCs/>
        </w:rPr>
        <w:tab/>
        <w:t>Encourages</w:t>
      </w:r>
      <w:r w:rsidRPr="006A0C48">
        <w:t xml:space="preserve"> Parties and invites</w:t>
      </w:r>
      <w:r w:rsidRPr="006A0C48">
        <w:rPr>
          <w:i/>
          <w:iCs/>
        </w:rPr>
        <w:t xml:space="preserve"> </w:t>
      </w:r>
      <w:r w:rsidRPr="006A0C48">
        <w:t>other Governments, the Global Environment Facility, the Biodiversity Indicator Partnership, the Intergovernmental Science-Policy Platform on Biodiversity and Ecosystem Services and other relevant organizations to support national, regional and global biodiversity monitoring systems, recognizing the need for enhanced international cooperation and capacity-building especially for developing countries;</w:t>
      </w:r>
    </w:p>
    <w:p w14:paraId="04F2CC4B" w14:textId="77777777" w:rsidR="00005A3C" w:rsidRPr="006A0C48" w:rsidRDefault="00005A3C" w:rsidP="00BC5121">
      <w:pPr>
        <w:pStyle w:val="Para1"/>
        <w:numPr>
          <w:ilvl w:val="0"/>
          <w:numId w:val="0"/>
        </w:numPr>
        <w:suppressLineNumbers/>
        <w:suppressAutoHyphens/>
        <w:kinsoku w:val="0"/>
        <w:adjustRightInd w:val="0"/>
        <w:ind w:firstLine="720"/>
      </w:pPr>
      <w:r w:rsidRPr="006A0C48">
        <w:t>6.</w:t>
      </w:r>
      <w:r w:rsidRPr="006A0C48">
        <w:rPr>
          <w:i/>
          <w:iCs/>
        </w:rPr>
        <w:t xml:space="preserve"> </w:t>
      </w:r>
      <w:r w:rsidRPr="006A0C48">
        <w:rPr>
          <w:i/>
          <w:iCs/>
        </w:rPr>
        <w:tab/>
        <w:t xml:space="preserve">Invites </w:t>
      </w:r>
      <w:r w:rsidRPr="006A0C48">
        <w:t>Parties and relevant organizations to support community-based monitoring and information systems and citizen science and their contributions to the implementation of the monitoring framework for the Kunming-Montreal Global Biodiversity Framework;</w:t>
      </w:r>
    </w:p>
    <w:p w14:paraId="71940035" w14:textId="77777777" w:rsidR="00005A3C" w:rsidRPr="006A0C48" w:rsidRDefault="00005A3C" w:rsidP="00BC5121">
      <w:pPr>
        <w:pStyle w:val="Para1"/>
        <w:numPr>
          <w:ilvl w:val="0"/>
          <w:numId w:val="0"/>
        </w:numPr>
        <w:suppressLineNumbers/>
        <w:suppressAutoHyphens/>
        <w:kinsoku w:val="0"/>
        <w:adjustRightInd w:val="0"/>
        <w:ind w:firstLine="720"/>
      </w:pPr>
      <w:r w:rsidRPr="006A0C48">
        <w:t>7</w:t>
      </w:r>
      <w:r w:rsidRPr="006A0C48">
        <w:rPr>
          <w:i/>
        </w:rPr>
        <w:t>.</w:t>
      </w:r>
      <w:r w:rsidRPr="006A0C48">
        <w:rPr>
          <w:i/>
        </w:rPr>
        <w:tab/>
        <w:t xml:space="preserve">Invites </w:t>
      </w:r>
      <w:r w:rsidRPr="006A0C48">
        <w:t>the Statistical Commission, the Group on Earth Observations Biodiversity Observation Network, the Intergovernmental Science-Policy Platform on Biodiversity and Ecosystem Services, the Biodiversity Indicators Partnership and other relevant organizations to support the operationalization of the monitoring framework for the Kunming-Montreal Global Biodiversity Framework;</w:t>
      </w:r>
    </w:p>
    <w:p w14:paraId="55D8DC7A" w14:textId="77777777" w:rsidR="00005A3C" w:rsidRPr="006A0C48" w:rsidRDefault="00005A3C" w:rsidP="00BC5121">
      <w:pPr>
        <w:pStyle w:val="Para1"/>
        <w:numPr>
          <w:ilvl w:val="0"/>
          <w:numId w:val="0"/>
        </w:numPr>
        <w:suppressLineNumbers/>
        <w:suppressAutoHyphens/>
        <w:kinsoku w:val="0"/>
        <w:adjustRightInd w:val="0"/>
        <w:ind w:firstLine="720"/>
      </w:pPr>
      <w:r w:rsidRPr="006A0C48">
        <w:t>8.</w:t>
      </w:r>
      <w:r w:rsidRPr="006A0C48">
        <w:tab/>
      </w:r>
      <w:r w:rsidRPr="006A0C48">
        <w:rPr>
          <w:i/>
        </w:rPr>
        <w:t>Decides</w:t>
      </w:r>
      <w:r w:rsidRPr="006A0C48">
        <w:t xml:space="preserve"> to establish an ad</w:t>
      </w:r>
      <w:r w:rsidRPr="006A0C48">
        <w:rPr>
          <w:iCs/>
        </w:rPr>
        <w:t> </w:t>
      </w:r>
      <w:r w:rsidRPr="006A0C48">
        <w:t>hoc technical expert group, with a time</w:t>
      </w:r>
      <w:r w:rsidRPr="006A0C48">
        <w:rPr>
          <w:iCs/>
        </w:rPr>
        <w:t>-</w:t>
      </w:r>
      <w:r w:rsidRPr="006A0C48">
        <w:t xml:space="preserve">bound mandate until the sixteenth meeting of the Conference of the Parties, to advise on the further operationalization of the monitoring framework for the Kunming-Montreal Global Biodiversity Framework </w:t>
      </w:r>
      <w:r w:rsidRPr="006A0C48">
        <w:rPr>
          <w:iCs/>
        </w:rPr>
        <w:t xml:space="preserve">in accordance </w:t>
      </w:r>
      <w:r w:rsidRPr="006A0C48">
        <w:t>with the terms of reference contained in annex II to the present decision;</w:t>
      </w:r>
    </w:p>
    <w:p w14:paraId="7B8F0B75" w14:textId="77777777" w:rsidR="00005A3C" w:rsidRPr="006A0C48" w:rsidRDefault="00005A3C" w:rsidP="00BC5121">
      <w:pPr>
        <w:pStyle w:val="Para1"/>
        <w:numPr>
          <w:ilvl w:val="0"/>
          <w:numId w:val="0"/>
        </w:numPr>
        <w:suppressLineNumbers/>
        <w:suppressAutoHyphens/>
        <w:kinsoku w:val="0"/>
        <w:adjustRightInd w:val="0"/>
        <w:ind w:firstLine="720"/>
      </w:pPr>
      <w:r w:rsidRPr="006A0C48">
        <w:t>9.</w:t>
      </w:r>
      <w:r w:rsidRPr="006A0C48">
        <w:tab/>
      </w:r>
      <w:r w:rsidRPr="006A0C48">
        <w:rPr>
          <w:i/>
          <w:iCs/>
        </w:rPr>
        <w:t>Requests</w:t>
      </w:r>
      <w:r w:rsidRPr="006A0C48">
        <w:t xml:space="preserve"> the Subsidiary Body on Scientific, Technical and Technological Advice to review the outcomes of the Ad Hoc Technical Expert Group on Indicators established pursuant to paragraph 8 above, to complete the scientific and technical review of the monitoring framework and to report its findings for subsequent consideration by the Subsidiary Body on Implementation and by the Conference of the Parties at its sixteenth meeting;</w:t>
      </w:r>
    </w:p>
    <w:p w14:paraId="39B79139" w14:textId="77777777" w:rsidR="00005A3C" w:rsidRPr="006A0C48" w:rsidRDefault="00005A3C" w:rsidP="00BC5121">
      <w:pPr>
        <w:pStyle w:val="Para1"/>
        <w:numPr>
          <w:ilvl w:val="0"/>
          <w:numId w:val="0"/>
        </w:numPr>
        <w:suppressLineNumbers/>
        <w:suppressAutoHyphens/>
        <w:kinsoku w:val="0"/>
        <w:adjustRightInd w:val="0"/>
        <w:ind w:firstLine="720"/>
      </w:pPr>
      <w:r w:rsidRPr="006A0C48">
        <w:t>10.</w:t>
      </w:r>
      <w:r w:rsidRPr="006A0C48">
        <w:tab/>
      </w:r>
      <w:r w:rsidRPr="006A0C48">
        <w:rPr>
          <w:i/>
        </w:rPr>
        <w:t>Decides</w:t>
      </w:r>
      <w:r w:rsidRPr="006A0C48">
        <w:t xml:space="preserve"> to consider the requirements for further work to fully implement and review the effectiveness of the monitoring framework for the Kunming-Montreal Global Biodiversity Framework at its sixteenth meeting;</w:t>
      </w:r>
    </w:p>
    <w:p w14:paraId="524B0C27" w14:textId="77777777" w:rsidR="00005A3C" w:rsidRPr="006A0C48" w:rsidRDefault="00005A3C" w:rsidP="00BC5121">
      <w:pPr>
        <w:pStyle w:val="Para1"/>
        <w:numPr>
          <w:ilvl w:val="0"/>
          <w:numId w:val="0"/>
        </w:numPr>
        <w:suppressLineNumbers/>
        <w:suppressAutoHyphens/>
        <w:kinsoku w:val="0"/>
        <w:adjustRightInd w:val="0"/>
        <w:ind w:firstLine="720"/>
      </w:pPr>
      <w:r w:rsidRPr="006A0C48">
        <w:t>11.</w:t>
      </w:r>
      <w:r w:rsidRPr="006A0C48">
        <w:tab/>
      </w:r>
      <w:r w:rsidRPr="006A0C48">
        <w:rPr>
          <w:i/>
        </w:rPr>
        <w:t>Requests</w:t>
      </w:r>
      <w:r w:rsidRPr="006A0C48">
        <w:t xml:space="preserve"> the Executive Secretary, in collaboration with the Ad Hoc Technical Expert Group on Indicators, and subject to the availability of resources, to convene moderated online discussions on the monitoring framework;</w:t>
      </w:r>
    </w:p>
    <w:p w14:paraId="241E02D8" w14:textId="77777777" w:rsidR="00005A3C" w:rsidRPr="006A0C48" w:rsidRDefault="00005A3C" w:rsidP="00BC5121">
      <w:pPr>
        <w:pStyle w:val="Para1"/>
        <w:numPr>
          <w:ilvl w:val="0"/>
          <w:numId w:val="0"/>
        </w:numPr>
        <w:suppressLineNumbers/>
        <w:suppressAutoHyphens/>
        <w:kinsoku w:val="0"/>
        <w:adjustRightInd w:val="0"/>
        <w:ind w:firstLine="720"/>
      </w:pPr>
      <w:r w:rsidRPr="006A0C48">
        <w:lastRenderedPageBreak/>
        <w:t>12.</w:t>
      </w:r>
      <w:r w:rsidRPr="006A0C48">
        <w:tab/>
      </w:r>
      <w:r w:rsidRPr="006A0C48">
        <w:rPr>
          <w:i/>
          <w:iCs/>
        </w:rPr>
        <w:t>Invites</w:t>
      </w:r>
      <w:r w:rsidRPr="006A0C48">
        <w:t xml:space="preserve"> the Ad Hoc Open-ended Working Group on Article 8(j) and Related Provisions to continue the development and operationalization of indicators related to traditional knowledge and indigenous peoples and local communities, and to report on this work to the Conference of the Parties; </w:t>
      </w:r>
    </w:p>
    <w:p w14:paraId="2E5FE7AB" w14:textId="77777777" w:rsidR="00005A3C" w:rsidRPr="006A0C48" w:rsidRDefault="00005A3C" w:rsidP="00BC5121">
      <w:pPr>
        <w:pStyle w:val="Para1"/>
        <w:numPr>
          <w:ilvl w:val="0"/>
          <w:numId w:val="0"/>
        </w:numPr>
        <w:suppressLineNumbers/>
        <w:suppressAutoHyphens/>
        <w:kinsoku w:val="0"/>
        <w:adjustRightInd w:val="0"/>
        <w:ind w:firstLine="720"/>
      </w:pPr>
      <w:r w:rsidRPr="006A0C48">
        <w:t>13.</w:t>
      </w:r>
      <w:r w:rsidRPr="006A0C48">
        <w:tab/>
      </w:r>
      <w:r w:rsidRPr="006A0C48">
        <w:rPr>
          <w:i/>
          <w:iCs/>
        </w:rPr>
        <w:t>Request</w:t>
      </w:r>
      <w:r w:rsidRPr="006A0C48">
        <w:t xml:space="preserve"> the Secretariat to make information available on the progress and outcomes of this work to the Ad Hoc Technical Expert Group on Indicators;</w:t>
      </w:r>
    </w:p>
    <w:p w14:paraId="304764BD" w14:textId="77777777" w:rsidR="00005A3C" w:rsidRPr="006A0C48" w:rsidRDefault="00005A3C" w:rsidP="00BC5121">
      <w:pPr>
        <w:pStyle w:val="Para1"/>
        <w:numPr>
          <w:ilvl w:val="0"/>
          <w:numId w:val="0"/>
        </w:numPr>
        <w:suppressLineNumbers/>
        <w:suppressAutoHyphens/>
        <w:kinsoku w:val="0"/>
        <w:adjustRightInd w:val="0"/>
        <w:ind w:firstLine="720"/>
      </w:pPr>
      <w:r w:rsidRPr="006A0C48">
        <w:t>14.</w:t>
      </w:r>
      <w:r w:rsidRPr="006A0C48">
        <w:rPr>
          <w:i/>
          <w:iCs/>
        </w:rPr>
        <w:tab/>
        <w:t xml:space="preserve">Requests </w:t>
      </w:r>
      <w:r w:rsidRPr="006A0C48">
        <w:t>the Executive Secretary, subject to the availability of resources and in collaboration with relevant partners:</w:t>
      </w:r>
    </w:p>
    <w:p w14:paraId="3DF0636D" w14:textId="77777777" w:rsidR="00005A3C" w:rsidRPr="006A0C48" w:rsidRDefault="00005A3C" w:rsidP="00950BE4">
      <w:pPr>
        <w:pStyle w:val="ListParagraph"/>
        <w:numPr>
          <w:ilvl w:val="1"/>
          <w:numId w:val="26"/>
        </w:numPr>
        <w:suppressLineNumbers/>
        <w:suppressAutoHyphens/>
        <w:kinsoku w:val="0"/>
        <w:overflowPunct w:val="0"/>
        <w:autoSpaceDE w:val="0"/>
        <w:autoSpaceDN w:val="0"/>
        <w:adjustRightInd w:val="0"/>
        <w:snapToGrid w:val="0"/>
        <w:spacing w:before="120" w:after="120"/>
        <w:ind w:left="0" w:firstLine="752"/>
        <w:contextualSpacing w:val="0"/>
        <w:rPr>
          <w:kern w:val="22"/>
          <w:szCs w:val="22"/>
        </w:rPr>
      </w:pPr>
      <w:r w:rsidRPr="006A0C48">
        <w:rPr>
          <w:snapToGrid w:val="0"/>
          <w:kern w:val="22"/>
          <w:szCs w:val="22"/>
        </w:rPr>
        <w:t>To facilitate the development of guidance on the development of regional and national monitoring systems and on the implementation of the monitoring framework, including on capacity-building and development to support its implementation, taking into account the special needs, circumstances and priorities of developing countries, including the least developed countries, small island developing States, and countries with economies in transition, also taking into consideration the special situation of developing countries, including those that are most environmentally vulnerable, such as those with arid and semi-arid zones, coastal and mountainous area, in compiling and using the headline indicators, and component and complementary indicators when relevant, including in their national reports, national biodiversity strategies and action plans and other national planning processes;</w:t>
      </w:r>
    </w:p>
    <w:p w14:paraId="4A23325A" w14:textId="77777777" w:rsidR="00005A3C" w:rsidRPr="006A0C48" w:rsidRDefault="00005A3C" w:rsidP="00950BE4">
      <w:pPr>
        <w:pStyle w:val="ListParagraph"/>
        <w:numPr>
          <w:ilvl w:val="1"/>
          <w:numId w:val="26"/>
        </w:numPr>
        <w:suppressLineNumbers/>
        <w:suppressAutoHyphens/>
        <w:kinsoku w:val="0"/>
        <w:overflowPunct w:val="0"/>
        <w:autoSpaceDE w:val="0"/>
        <w:autoSpaceDN w:val="0"/>
        <w:adjustRightInd w:val="0"/>
        <w:snapToGrid w:val="0"/>
        <w:spacing w:before="120" w:after="120"/>
        <w:ind w:left="0" w:firstLine="752"/>
        <w:contextualSpacing w:val="0"/>
        <w:rPr>
          <w:snapToGrid w:val="0"/>
          <w:kern w:val="22"/>
          <w:szCs w:val="22"/>
        </w:rPr>
      </w:pPr>
      <w:r w:rsidRPr="006A0C48">
        <w:rPr>
          <w:snapToGrid w:val="0"/>
          <w:kern w:val="22"/>
          <w:szCs w:val="22"/>
        </w:rPr>
        <w:t>To facilitate the use of relevant tools, including the Data Reporting Tool (DaRT), to facilitate national reporting and the sharing of information between multilateral environment agreements;</w:t>
      </w:r>
    </w:p>
    <w:p w14:paraId="5ADFF5F4" w14:textId="77777777" w:rsidR="00142075" w:rsidRDefault="00005A3C" w:rsidP="00AD7744">
      <w:pPr>
        <w:pStyle w:val="Para1"/>
        <w:numPr>
          <w:ilvl w:val="0"/>
          <w:numId w:val="0"/>
        </w:numPr>
        <w:suppressLineNumbers/>
        <w:suppressAutoHyphens/>
        <w:kinsoku w:val="0"/>
        <w:adjustRightInd w:val="0"/>
        <w:ind w:firstLine="720"/>
      </w:pPr>
      <w:r w:rsidRPr="006A0C48">
        <w:t xml:space="preserve">15. </w:t>
      </w:r>
      <w:r w:rsidRPr="006A0C48">
        <w:tab/>
      </w:r>
      <w:r w:rsidRPr="006A0C48">
        <w:rPr>
          <w:i/>
          <w:iCs/>
        </w:rPr>
        <w:t>Invites</w:t>
      </w:r>
      <w:r w:rsidRPr="006A0C48">
        <w:t xml:space="preserve"> the Global Partnership on Plant Conservation, with the support of the Secretariat and subject to the availability of resources, to prepare a set of complementary actions related to plant conservation to support the implementation of the </w:t>
      </w:r>
      <w:r w:rsidRPr="006A0C48">
        <w:rPr>
          <w:rFonts w:eastAsiaTheme="minorEastAsia"/>
          <w:lang w:val="en-US" w:eastAsia="zh-CN"/>
        </w:rPr>
        <w:t>Kunming-Montreal Global Biodiversity Framework</w:t>
      </w:r>
      <w:r w:rsidRPr="006A0C48">
        <w:t xml:space="preserve"> and</w:t>
      </w:r>
      <w:r w:rsidRPr="006A0C48">
        <w:rPr>
          <w:rFonts w:eastAsiaTheme="minorEastAsia"/>
          <w:lang w:val="en-US" w:eastAsia="zh-CN"/>
        </w:rPr>
        <w:t xml:space="preserve"> other relevant decisions adopted at the fifteenth meeting</w:t>
      </w:r>
      <w:r w:rsidRPr="006A0C48">
        <w:t xml:space="preserve"> of the Conference of the Parties, </w:t>
      </w:r>
      <w:r w:rsidRPr="006A0C48">
        <w:rPr>
          <w:rFonts w:eastAsiaTheme="minorEastAsia"/>
          <w:lang w:val="en-US" w:eastAsia="zh-CN"/>
        </w:rPr>
        <w:t xml:space="preserve">aligned with the </w:t>
      </w:r>
      <w:r w:rsidRPr="006A0C48">
        <w:rPr>
          <w:rFonts w:eastAsiaTheme="minorEastAsia"/>
          <w:szCs w:val="21"/>
          <w:lang w:val="en-US" w:eastAsia="zh-CN"/>
        </w:rPr>
        <w:t xml:space="preserve">Kunming-Montreal </w:t>
      </w:r>
      <w:r w:rsidRPr="006A0C48">
        <w:rPr>
          <w:rFonts w:eastAsiaTheme="minorEastAsia"/>
          <w:lang w:val="en-US" w:eastAsia="zh-CN"/>
        </w:rPr>
        <w:t>Global Biodiversity Framework</w:t>
      </w:r>
      <w:r w:rsidRPr="006A0C48">
        <w:t xml:space="preserve"> and also based on previous experiences with the implementation of the Global Strategy for Plant Conservation as described in the fifth edition of the </w:t>
      </w:r>
      <w:r w:rsidRPr="006A0C48">
        <w:rPr>
          <w:i/>
          <w:iCs/>
        </w:rPr>
        <w:t>Global Biodiversity Outlook</w:t>
      </w:r>
      <w:r w:rsidRPr="00610646">
        <w:rPr>
          <w:rStyle w:val="FootnoteReference"/>
        </w:rPr>
        <w:footnoteReference w:id="35"/>
      </w:r>
      <w:r w:rsidRPr="006A0C48">
        <w:t xml:space="preserve"> and the 2020 Plant Conservation Report,</w:t>
      </w:r>
      <w:r w:rsidRPr="00610646">
        <w:rPr>
          <w:rStyle w:val="FootnoteReference"/>
        </w:rPr>
        <w:footnoteReference w:id="36"/>
      </w:r>
      <w:r w:rsidRPr="006A0C48">
        <w:t xml:space="preserve"> for consideration by the Subsidiary Body on Scientific, Technical and Technological Advice. </w:t>
      </w:r>
    </w:p>
    <w:p w14:paraId="5A1A2F6D" w14:textId="77777777" w:rsidR="00005A3C" w:rsidRPr="00172038" w:rsidRDefault="00005A3C" w:rsidP="00BC374B">
      <w:pPr>
        <w:pStyle w:val="PlainText"/>
        <w:keepNext/>
        <w:ind w:left="3600" w:firstLine="720"/>
        <w:rPr>
          <w:rFonts w:asciiTheme="majorBidi" w:hAnsiTheme="majorBidi" w:cstheme="majorBidi"/>
          <w:i/>
          <w:iCs/>
          <w:szCs w:val="22"/>
          <w:lang w:val="en-CA"/>
        </w:rPr>
      </w:pPr>
      <w:r w:rsidRPr="00172038">
        <w:rPr>
          <w:rFonts w:asciiTheme="majorBidi" w:hAnsiTheme="majorBidi" w:cstheme="majorBidi"/>
          <w:i/>
          <w:szCs w:val="22"/>
          <w:lang w:val="en-CA"/>
        </w:rPr>
        <w:t>Annex I</w:t>
      </w:r>
    </w:p>
    <w:p w14:paraId="399A4C07" w14:textId="77777777" w:rsidR="00005A3C" w:rsidRPr="006A0C48" w:rsidRDefault="00005A3C" w:rsidP="00BC374B">
      <w:pPr>
        <w:pStyle w:val="HEADINGNOTFORTOC"/>
        <w:outlineLvl w:val="9"/>
        <w:rPr>
          <w:szCs w:val="22"/>
        </w:rPr>
      </w:pPr>
      <w:bookmarkStart w:id="37" w:name="_Toc118354967"/>
      <w:r w:rsidRPr="006A0C48">
        <w:rPr>
          <w:szCs w:val="22"/>
        </w:rPr>
        <w:t xml:space="preserve">MONITORING FRAMEWORK FOR THE </w:t>
      </w:r>
      <w:r w:rsidRPr="006A0C48">
        <w:rPr>
          <w:kern w:val="22"/>
        </w:rPr>
        <w:t xml:space="preserve">Kunming-Montreal </w:t>
      </w:r>
      <w:r w:rsidRPr="006A0C48">
        <w:rPr>
          <w:szCs w:val="22"/>
        </w:rPr>
        <w:t>GLOBAL BIODIVERSITY FRAMEWORK</w:t>
      </w:r>
      <w:bookmarkEnd w:id="37"/>
      <w:r w:rsidRPr="006A0C48">
        <w:rPr>
          <w:szCs w:val="22"/>
        </w:rPr>
        <w:t xml:space="preserve"> </w:t>
      </w:r>
    </w:p>
    <w:p w14:paraId="6F6383CE" w14:textId="77777777" w:rsidR="00005A3C" w:rsidRPr="006A0C48" w:rsidRDefault="00005A3C" w:rsidP="00950BE4">
      <w:pPr>
        <w:numPr>
          <w:ilvl w:val="0"/>
          <w:numId w:val="27"/>
        </w:numPr>
        <w:suppressLineNumbers/>
        <w:tabs>
          <w:tab w:val="clear" w:pos="360"/>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eastAsia="x-none"/>
        </w:rPr>
      </w:pPr>
      <w:r w:rsidRPr="006A0C48">
        <w:rPr>
          <w:rFonts w:asciiTheme="majorBidi" w:eastAsia="Malgun Gothic" w:hAnsiTheme="majorBidi" w:cstheme="majorBidi"/>
          <w:snapToGrid w:val="0"/>
          <w:kern w:val="22"/>
          <w:szCs w:val="22"/>
          <w:lang w:eastAsia="x-none"/>
        </w:rPr>
        <w:t xml:space="preserve">The monitoring framework is composed of the following groups of indicators for monitoring the implementation of the </w:t>
      </w:r>
      <w:r w:rsidRPr="006A0C48">
        <w:rPr>
          <w:kern w:val="22"/>
        </w:rPr>
        <w:t xml:space="preserve">Kunming-Montreal </w:t>
      </w:r>
      <w:r w:rsidRPr="006A0C48">
        <w:rPr>
          <w:rFonts w:asciiTheme="majorBidi" w:eastAsia="Malgun Gothic" w:hAnsiTheme="majorBidi" w:cstheme="majorBidi"/>
          <w:snapToGrid w:val="0"/>
          <w:kern w:val="22"/>
          <w:szCs w:val="22"/>
          <w:lang w:eastAsia="x-none"/>
        </w:rPr>
        <w:t>Global Biodiversity Framework:</w:t>
      </w:r>
    </w:p>
    <w:p w14:paraId="57C458D1" w14:textId="77777777" w:rsidR="00005A3C" w:rsidRPr="006A0C48" w:rsidRDefault="00005A3C" w:rsidP="00950BE4">
      <w:pPr>
        <w:numPr>
          <w:ilvl w:val="1"/>
          <w:numId w:val="27"/>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Cs w:val="22"/>
        </w:rPr>
      </w:pPr>
      <w:r w:rsidRPr="006A0C48">
        <w:rPr>
          <w:rFonts w:asciiTheme="majorBidi" w:hAnsiTheme="majorBidi" w:cstheme="majorBidi"/>
          <w:bCs/>
          <w:kern w:val="22"/>
          <w:szCs w:val="22"/>
        </w:rPr>
        <w:t xml:space="preserve">Headline indicators (contained in table 1): a minimum set of high-level indicators, which capture the overall scope of the goals and targets of the </w:t>
      </w:r>
      <w:r w:rsidRPr="006A0C48">
        <w:rPr>
          <w:kern w:val="22"/>
        </w:rPr>
        <w:t xml:space="preserve">Kunming-Montreal </w:t>
      </w:r>
      <w:r w:rsidRPr="006A0C48">
        <w:rPr>
          <w:rFonts w:asciiTheme="majorBidi" w:hAnsiTheme="majorBidi" w:cstheme="majorBidi"/>
          <w:bCs/>
          <w:kern w:val="22"/>
          <w:szCs w:val="22"/>
        </w:rPr>
        <w:t xml:space="preserve">Global Biodiversity Framework to be used for planning and tracking progress as set out in decision 15/6. </w:t>
      </w:r>
      <w:r w:rsidRPr="006A0C48">
        <w:rPr>
          <w:rFonts w:asciiTheme="majorBidi" w:hAnsiTheme="majorBidi" w:cstheme="majorBidi"/>
          <w:spacing w:val="-1"/>
          <w:kern w:val="22"/>
          <w:szCs w:val="22"/>
        </w:rPr>
        <w:t xml:space="preserve">They are nationally, regionally and globally relevant indicators validated by Parties. </w:t>
      </w:r>
      <w:r w:rsidRPr="006A0C48">
        <w:rPr>
          <w:rFonts w:asciiTheme="majorBidi" w:hAnsiTheme="majorBidi" w:cstheme="majorBidi"/>
          <w:bCs/>
          <w:kern w:val="22"/>
          <w:szCs w:val="22"/>
        </w:rPr>
        <w:t>These indicators can also be used for communication purposes;</w:t>
      </w:r>
    </w:p>
    <w:p w14:paraId="229021D2" w14:textId="77777777" w:rsidR="00005A3C" w:rsidRPr="006A0C48" w:rsidRDefault="00005A3C" w:rsidP="00950BE4">
      <w:pPr>
        <w:numPr>
          <w:ilvl w:val="1"/>
          <w:numId w:val="27"/>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bCs/>
          <w:kern w:val="22"/>
          <w:szCs w:val="22"/>
        </w:rPr>
      </w:pPr>
      <w:r w:rsidRPr="006A0C48">
        <w:rPr>
          <w:rFonts w:asciiTheme="majorBidi" w:hAnsiTheme="majorBidi" w:cstheme="majorBidi"/>
          <w:bCs/>
          <w:kern w:val="22"/>
          <w:szCs w:val="22"/>
        </w:rPr>
        <w:tab/>
        <w:t>Global level indicators collated from binary yes/no responses in national reports. They are global indicators based on responses to yes/no questions to be included in the national reporting template. They will provide a count of the number of countries having undertaken specified activities;</w:t>
      </w:r>
      <w:r w:rsidRPr="00610646">
        <w:rPr>
          <w:rStyle w:val="FootnoteReference"/>
        </w:rPr>
        <w:footnoteReference w:id="37"/>
      </w:r>
    </w:p>
    <w:p w14:paraId="0E6E2B3E" w14:textId="77777777" w:rsidR="00005A3C" w:rsidRPr="006A0C48" w:rsidRDefault="00005A3C" w:rsidP="00950BE4">
      <w:pPr>
        <w:numPr>
          <w:ilvl w:val="1"/>
          <w:numId w:val="8"/>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hAnsiTheme="majorBidi" w:cstheme="majorBidi"/>
          <w:kern w:val="22"/>
        </w:rPr>
      </w:pPr>
      <w:r w:rsidRPr="006A0C48">
        <w:rPr>
          <w:rFonts w:asciiTheme="majorBidi" w:hAnsiTheme="majorBidi" w:cstheme="majorBidi"/>
          <w:kern w:val="22"/>
        </w:rPr>
        <w:lastRenderedPageBreak/>
        <w:t xml:space="preserve">Component indicators (contained in table 2): a list of optional indicators that, together with the headline indicators, cover components of the goals and targets of the </w:t>
      </w:r>
      <w:r w:rsidRPr="006A0C48">
        <w:rPr>
          <w:kern w:val="22"/>
        </w:rPr>
        <w:t xml:space="preserve">Kunming-Montreal </w:t>
      </w:r>
      <w:r w:rsidRPr="006A0C48">
        <w:rPr>
          <w:rFonts w:asciiTheme="majorBidi" w:hAnsiTheme="majorBidi" w:cstheme="majorBidi"/>
          <w:kern w:val="22"/>
        </w:rPr>
        <w:t>Global Biodiversity Framework which may apply at the global, regional, national and subnational levels;</w:t>
      </w:r>
    </w:p>
    <w:p w14:paraId="337D949C" w14:textId="77777777" w:rsidR="00005A3C" w:rsidRPr="006A0C48" w:rsidRDefault="00005A3C" w:rsidP="00950BE4">
      <w:pPr>
        <w:numPr>
          <w:ilvl w:val="1"/>
          <w:numId w:val="8"/>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Cs w:val="22"/>
        </w:rPr>
      </w:pPr>
      <w:r w:rsidRPr="006A0C48">
        <w:rPr>
          <w:rFonts w:asciiTheme="majorBidi" w:hAnsiTheme="majorBidi" w:cstheme="majorBidi"/>
          <w:bCs/>
          <w:kern w:val="22"/>
          <w:szCs w:val="22"/>
        </w:rPr>
        <w:t xml:space="preserve">Complementary indicators (contained in table 2): a list of optional indicators for thematic or in-depth analysis of each goal and target which may be applicable at global, regional, national, and subnational levels; </w:t>
      </w:r>
    </w:p>
    <w:p w14:paraId="73BAE927" w14:textId="77777777" w:rsidR="00005A3C" w:rsidRPr="006A0C48" w:rsidRDefault="00005A3C" w:rsidP="00950BE4">
      <w:pPr>
        <w:numPr>
          <w:ilvl w:val="1"/>
          <w:numId w:val="8"/>
        </w:numPr>
        <w:suppressLineNumbers/>
        <w:tabs>
          <w:tab w:val="right" w:pos="9360"/>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kern w:val="22"/>
          <w:szCs w:val="22"/>
        </w:rPr>
      </w:pPr>
      <w:r w:rsidRPr="006A0C48">
        <w:rPr>
          <w:rFonts w:asciiTheme="majorBidi" w:hAnsiTheme="majorBidi" w:cstheme="majorBidi"/>
          <w:bCs/>
          <w:kern w:val="22"/>
          <w:szCs w:val="22"/>
        </w:rPr>
        <w:t>The monitoring framework may be supplemented by additional national and subnational indicators.</w:t>
      </w:r>
    </w:p>
    <w:p w14:paraId="648F7E1E" w14:textId="77777777" w:rsidR="00005A3C" w:rsidRPr="006A0C48" w:rsidRDefault="00005A3C" w:rsidP="00950BE4">
      <w:pPr>
        <w:numPr>
          <w:ilvl w:val="0"/>
          <w:numId w:val="8"/>
        </w:numPr>
        <w:suppressLineNumbers/>
        <w:tabs>
          <w:tab w:val="clear" w:pos="360"/>
          <w:tab w:val="num" w:pos="644"/>
        </w:tab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eastAsia="x-none"/>
        </w:rPr>
      </w:pPr>
      <w:r w:rsidRPr="006A0C48">
        <w:rPr>
          <w:rFonts w:asciiTheme="majorBidi" w:eastAsia="Malgun Gothic" w:hAnsiTheme="majorBidi" w:cstheme="majorBidi"/>
          <w:snapToGrid w:val="0"/>
          <w:kern w:val="22"/>
          <w:szCs w:val="22"/>
          <w:lang w:eastAsia="x-none"/>
        </w:rPr>
        <w:t xml:space="preserve">The indicators in the monitoring framework for the </w:t>
      </w:r>
      <w:r w:rsidRPr="006A0C48">
        <w:rPr>
          <w:kern w:val="22"/>
        </w:rPr>
        <w:t xml:space="preserve">Kunming-Montreal </w:t>
      </w:r>
      <w:r w:rsidRPr="006A0C48">
        <w:rPr>
          <w:rFonts w:asciiTheme="majorBidi" w:eastAsia="Malgun Gothic" w:hAnsiTheme="majorBidi" w:cstheme="majorBidi"/>
          <w:snapToGrid w:val="0"/>
          <w:kern w:val="22"/>
          <w:szCs w:val="22"/>
          <w:lang w:eastAsia="x-none"/>
        </w:rPr>
        <w:t>Global Biodiversity Framework meet, or will be able to meet by 2025, the following criteria:</w:t>
      </w:r>
    </w:p>
    <w:p w14:paraId="6FE635F6" w14:textId="77777777" w:rsidR="00005A3C" w:rsidRPr="006A0C48" w:rsidRDefault="00005A3C" w:rsidP="00950BE4">
      <w:pPr>
        <w:numPr>
          <w:ilvl w:val="1"/>
          <w:numId w:val="8"/>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eastAsia="x-none"/>
        </w:rPr>
      </w:pPr>
      <w:r w:rsidRPr="006A0C48">
        <w:rPr>
          <w:rFonts w:asciiTheme="majorBidi" w:eastAsia="Malgun Gothic" w:hAnsiTheme="majorBidi" w:cstheme="majorBidi"/>
          <w:snapToGrid w:val="0"/>
          <w:kern w:val="22"/>
          <w:szCs w:val="22"/>
          <w:lang w:eastAsia="x-none"/>
        </w:rPr>
        <w:t xml:space="preserve">The data </w:t>
      </w:r>
      <w:r w:rsidRPr="006A0C48">
        <w:rPr>
          <w:rFonts w:asciiTheme="majorBidi" w:hAnsiTheme="majorBidi" w:cstheme="majorBidi"/>
          <w:bCs/>
          <w:snapToGrid w:val="0"/>
          <w:kern w:val="22"/>
          <w:szCs w:val="22"/>
        </w:rPr>
        <w:t>and metadata related to the indicator are publicly available;</w:t>
      </w:r>
    </w:p>
    <w:p w14:paraId="6DB1223D" w14:textId="77777777" w:rsidR="00005A3C" w:rsidRPr="006A0C48" w:rsidRDefault="00005A3C" w:rsidP="00950BE4">
      <w:pPr>
        <w:numPr>
          <w:ilvl w:val="1"/>
          <w:numId w:val="8"/>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eastAsia="x-none"/>
        </w:rPr>
      </w:pPr>
      <w:r w:rsidRPr="006A0C48">
        <w:rPr>
          <w:rFonts w:asciiTheme="majorBidi" w:hAnsiTheme="majorBidi" w:cstheme="majorBidi"/>
          <w:bCs/>
          <w:snapToGrid w:val="0"/>
          <w:kern w:val="22"/>
          <w:szCs w:val="22"/>
        </w:rPr>
        <w:t>The methodology underpinning the indicator is either published in a peer-reviewed academic journal or has gone through a scientific peer-review process and has been validated for national use;</w:t>
      </w:r>
    </w:p>
    <w:p w14:paraId="3F7B7260" w14:textId="77777777" w:rsidR="00005A3C" w:rsidRPr="006A0C48" w:rsidRDefault="00005A3C" w:rsidP="00950BE4">
      <w:pPr>
        <w:numPr>
          <w:ilvl w:val="1"/>
          <w:numId w:val="8"/>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eastAsia="x-none"/>
        </w:rPr>
      </w:pPr>
      <w:r w:rsidRPr="006A0C48">
        <w:rPr>
          <w:rFonts w:asciiTheme="majorBidi" w:hAnsiTheme="majorBidi" w:cstheme="majorBidi"/>
          <w:bCs/>
          <w:snapToGrid w:val="0"/>
          <w:kern w:val="22"/>
          <w:szCs w:val="22"/>
        </w:rPr>
        <w:t>The data sources and indicators are compiled and regularly updated with a time lag of less than five years between updates, if possible;</w:t>
      </w:r>
    </w:p>
    <w:p w14:paraId="7DDF9C38" w14:textId="77777777" w:rsidR="00005A3C" w:rsidRPr="006A0C48" w:rsidRDefault="00005A3C" w:rsidP="00950BE4">
      <w:pPr>
        <w:numPr>
          <w:ilvl w:val="1"/>
          <w:numId w:val="8"/>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eastAsia="x-none"/>
        </w:rPr>
      </w:pPr>
      <w:r w:rsidRPr="006A0C48">
        <w:rPr>
          <w:rFonts w:asciiTheme="majorBidi" w:eastAsia="Malgun Gothic" w:hAnsiTheme="majorBidi" w:cstheme="majorBidi"/>
          <w:snapToGrid w:val="0"/>
          <w:kern w:val="22"/>
          <w:szCs w:val="22"/>
          <w:lang w:eastAsia="x-none"/>
        </w:rPr>
        <w:t>There is an existing mechanism for maintaining the indicator methodology and/or data generation, including, for example, by a member of the Biodiversity Indicators Partnership, an intergovernmental organization or a well-established scientific or research institution, providing nationally applicable guidance on the use of the indicator;</w:t>
      </w:r>
    </w:p>
    <w:p w14:paraId="06791E43" w14:textId="77777777" w:rsidR="00005A3C" w:rsidRPr="006A0C48" w:rsidRDefault="00005A3C" w:rsidP="00950BE4">
      <w:pPr>
        <w:numPr>
          <w:ilvl w:val="1"/>
          <w:numId w:val="8"/>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eastAsia="x-none"/>
        </w:rPr>
      </w:pPr>
      <w:r w:rsidRPr="006A0C48">
        <w:rPr>
          <w:rFonts w:asciiTheme="majorBidi" w:eastAsia="Malgun Gothic" w:hAnsiTheme="majorBidi" w:cstheme="majorBidi"/>
          <w:snapToGrid w:val="0"/>
          <w:kern w:val="22"/>
          <w:szCs w:val="22"/>
          <w:lang w:eastAsia="x-none"/>
        </w:rPr>
        <w:t xml:space="preserve">Indicators are able to detect trends relevant to the components of the goals and targets of the </w:t>
      </w:r>
      <w:r w:rsidRPr="006A0C48">
        <w:rPr>
          <w:kern w:val="22"/>
        </w:rPr>
        <w:t xml:space="preserve">Kunming-Montreal </w:t>
      </w:r>
      <w:r w:rsidRPr="006A0C48">
        <w:rPr>
          <w:rFonts w:asciiTheme="majorBidi" w:eastAsia="Malgun Gothic" w:hAnsiTheme="majorBidi" w:cstheme="majorBidi"/>
          <w:snapToGrid w:val="0"/>
          <w:kern w:val="22"/>
          <w:szCs w:val="22"/>
          <w:lang w:eastAsia="x-none"/>
        </w:rPr>
        <w:t xml:space="preserve">Global Biodiversity Framework; </w:t>
      </w:r>
    </w:p>
    <w:p w14:paraId="6F8AA503" w14:textId="77777777" w:rsidR="00005A3C" w:rsidRPr="006A0C48" w:rsidRDefault="00005A3C" w:rsidP="00950BE4">
      <w:pPr>
        <w:numPr>
          <w:ilvl w:val="1"/>
          <w:numId w:val="8"/>
        </w:numPr>
        <w:suppressLineNumbers/>
        <w:suppressAutoHyphens/>
        <w:kinsoku w:val="0"/>
        <w:overflowPunct w:val="0"/>
        <w:autoSpaceDE w:val="0"/>
        <w:autoSpaceDN w:val="0"/>
        <w:adjustRightInd w:val="0"/>
        <w:snapToGrid w:val="0"/>
        <w:spacing w:before="120" w:after="120" w:line="235" w:lineRule="auto"/>
        <w:rPr>
          <w:rFonts w:asciiTheme="majorBidi" w:eastAsia="Malgun Gothic" w:hAnsiTheme="majorBidi" w:cstheme="majorBidi"/>
          <w:snapToGrid w:val="0"/>
          <w:kern w:val="22"/>
          <w:szCs w:val="22"/>
          <w:lang w:eastAsia="x-none"/>
        </w:rPr>
      </w:pPr>
      <w:r w:rsidRPr="006A0C48">
        <w:rPr>
          <w:rFonts w:asciiTheme="majorBidi" w:eastAsia="Malgun Gothic" w:hAnsiTheme="majorBidi" w:cstheme="majorBidi"/>
          <w:snapToGrid w:val="0"/>
          <w:kern w:val="22"/>
          <w:szCs w:val="22"/>
          <w:lang w:eastAsia="x-none"/>
        </w:rPr>
        <w:t xml:space="preserve">When possible, </w:t>
      </w:r>
      <w:r w:rsidRPr="006A0C48">
        <w:rPr>
          <w:rFonts w:asciiTheme="majorBidi" w:eastAsia="Malgun Gothic" w:hAnsiTheme="majorBidi" w:cstheme="majorBidi"/>
          <w:snapToGrid w:val="0"/>
          <w:szCs w:val="22"/>
        </w:rPr>
        <w:t xml:space="preserve">indicators are aligned with existing intergovernmental processes under the Statistical Commission, such as the Sustainable Development Goals, the Framework for the Development of Environment Statistics or the System of Environmental-Economic Accounting or utilize the existing work on essential biodiversity variables under the Group on Earth Observations Biodiversity Observation Network. </w:t>
      </w:r>
    </w:p>
    <w:p w14:paraId="34E95888" w14:textId="77777777" w:rsidR="00005A3C" w:rsidRPr="006A0C48" w:rsidRDefault="00005A3C" w:rsidP="00950BE4">
      <w:pPr>
        <w:numPr>
          <w:ilvl w:val="0"/>
          <w:numId w:val="8"/>
        </w:numPr>
        <w:tabs>
          <w:tab w:val="clear" w:pos="360"/>
          <w:tab w:val="num" w:pos="644"/>
        </w:tabs>
        <w:spacing w:before="120" w:after="120"/>
        <w:rPr>
          <w:rFonts w:asciiTheme="majorBidi" w:eastAsia="Malgun Gothic" w:hAnsiTheme="majorBidi" w:cstheme="majorBidi"/>
          <w:snapToGrid w:val="0"/>
          <w:szCs w:val="22"/>
          <w:lang w:eastAsia="x-none"/>
        </w:rPr>
      </w:pPr>
      <w:r w:rsidRPr="006A0C48">
        <w:rPr>
          <w:rFonts w:asciiTheme="majorBidi" w:hAnsiTheme="majorBidi" w:cstheme="majorBidi"/>
          <w:snapToGrid w:val="0"/>
          <w:szCs w:val="22"/>
        </w:rPr>
        <w:t xml:space="preserve">Headline indicators use methodologies agreed by Parties and are calculated at a national level based on national data from national monitoring networks and national sources, recognizing that in some cases headline indicators may need to draw on global datasets. If national indicators are not available, then the use of global indicators at a national level must be validated through appropriate national mechanisms. </w:t>
      </w:r>
      <w:r w:rsidRPr="006A0C48">
        <w:rPr>
          <w:rFonts w:asciiTheme="majorBidi" w:hAnsiTheme="majorBidi" w:cstheme="majorBidi"/>
          <w:snapToGrid w:val="0"/>
          <w:spacing w:val="-1"/>
          <w:kern w:val="22"/>
          <w:szCs w:val="22"/>
        </w:rPr>
        <w:t xml:space="preserve">Headline indicators allow for consistent, standardized and scalable tracking of global goals and targets. </w:t>
      </w:r>
    </w:p>
    <w:p w14:paraId="76F6175E" w14:textId="77777777" w:rsidR="00005A3C" w:rsidRPr="006A0C48" w:rsidRDefault="00005A3C" w:rsidP="00950BE4">
      <w:pPr>
        <w:pStyle w:val="Para1"/>
        <w:numPr>
          <w:ilvl w:val="0"/>
          <w:numId w:val="8"/>
        </w:numPr>
        <w:suppressLineNumbers/>
        <w:tabs>
          <w:tab w:val="clear" w:pos="360"/>
          <w:tab w:val="num" w:pos="644"/>
        </w:tabs>
        <w:suppressAutoHyphens/>
        <w:kinsoku w:val="0"/>
        <w:adjustRightInd w:val="0"/>
        <w:spacing w:before="120" w:line="235" w:lineRule="auto"/>
        <w:rPr>
          <w:rFonts w:asciiTheme="majorBidi" w:eastAsia="Malgun Gothic" w:hAnsiTheme="majorBidi" w:cstheme="majorBidi"/>
          <w:spacing w:val="-1"/>
          <w:lang w:eastAsia="x-none"/>
        </w:rPr>
      </w:pPr>
      <w:r w:rsidRPr="006A0C48">
        <w:rPr>
          <w:rFonts w:asciiTheme="majorBidi" w:hAnsiTheme="majorBidi" w:cstheme="majorBidi"/>
        </w:rPr>
        <w:t>To</w:t>
      </w:r>
      <w:r w:rsidRPr="006A0C48">
        <w:rPr>
          <w:rFonts w:asciiTheme="majorBidi" w:eastAsia="Malgun Gothic" w:hAnsiTheme="majorBidi" w:cstheme="majorBidi"/>
        </w:rPr>
        <w:t xml:space="preserve"> facilitate the compilation and use of these headline, component and complementary indicators at the national level, enabled by effective national biodiversity monitoring systems and other information systems, capacity</w:t>
      </w:r>
      <w:r w:rsidRPr="006A0C48">
        <w:rPr>
          <w:rFonts w:asciiTheme="majorBidi" w:eastAsia="Malgun Gothic" w:hAnsiTheme="majorBidi" w:cstheme="majorBidi"/>
        </w:rPr>
        <w:noBreakHyphen/>
        <w:t>building and development activities, technology and other support will be required. The Secretariat, together with organizations identified in the indicator metadata sheets as data providers, are invited to provide guidelines and information for the design or improvement and implementation of national monitoring systems to support the collection of data and the calculation of headline indicators. In this way, Parties will be able to effectively use the headline indicators, as well as component and complementary indicators, supported by adequate means of implementation, including capacity-building and development and technical and scientific cooperation to fill monitoring gaps, especially for developing countries.</w:t>
      </w:r>
    </w:p>
    <w:p w14:paraId="59EB79AB" w14:textId="77777777" w:rsidR="00005A3C" w:rsidRPr="006A0C48" w:rsidRDefault="00005A3C" w:rsidP="00950BE4">
      <w:pPr>
        <w:numPr>
          <w:ilvl w:val="0"/>
          <w:numId w:val="8"/>
        </w:numPr>
        <w:tabs>
          <w:tab w:val="clear" w:pos="360"/>
          <w:tab w:val="num" w:pos="644"/>
        </w:tabs>
        <w:spacing w:before="120" w:after="120"/>
        <w:rPr>
          <w:rFonts w:asciiTheme="majorBidi" w:eastAsia="Malgun Gothic" w:hAnsiTheme="majorBidi" w:cstheme="majorBidi"/>
          <w:snapToGrid w:val="0"/>
          <w:szCs w:val="22"/>
        </w:rPr>
      </w:pPr>
      <w:r w:rsidRPr="006A0C48">
        <w:rPr>
          <w:rFonts w:asciiTheme="majorBidi" w:eastAsia="Malgun Gothic" w:hAnsiTheme="majorBidi" w:cstheme="majorBidi"/>
          <w:snapToGrid w:val="0"/>
          <w:szCs w:val="22"/>
        </w:rPr>
        <w:t xml:space="preserve">In </w:t>
      </w:r>
      <w:r w:rsidRPr="006A0C48">
        <w:rPr>
          <w:rFonts w:asciiTheme="majorBidi" w:hAnsiTheme="majorBidi" w:cstheme="majorBidi"/>
          <w:snapToGrid w:val="0"/>
          <w:kern w:val="22"/>
          <w:szCs w:val="22"/>
        </w:rPr>
        <w:t xml:space="preserve">order to maximize uptake and minimize the reporting burden, the list of headline indicators comprises a small number of indicators which are intended to capture the overall scope of a goal or target in the </w:t>
      </w:r>
      <w:r w:rsidRPr="006A0C48">
        <w:rPr>
          <w:kern w:val="22"/>
        </w:rPr>
        <w:t xml:space="preserve">Kunming-Montreal </w:t>
      </w:r>
      <w:r w:rsidRPr="006A0C48">
        <w:rPr>
          <w:rFonts w:asciiTheme="majorBidi" w:hAnsiTheme="majorBidi" w:cstheme="majorBidi"/>
          <w:snapToGrid w:val="0"/>
          <w:kern w:val="22"/>
          <w:szCs w:val="22"/>
        </w:rPr>
        <w:t xml:space="preserve">Global Biodiversity Framework. The headline indicators may not capture all components of a goal or a target but for analytical purposes can be complemented, as appropriate, with the component and complementary indicators. </w:t>
      </w:r>
    </w:p>
    <w:p w14:paraId="39A76D2A" w14:textId="77777777" w:rsidR="00005A3C" w:rsidRPr="006A0C48" w:rsidRDefault="00005A3C" w:rsidP="00BC374B">
      <w:pPr>
        <w:pStyle w:val="ListParagraph"/>
        <w:keepNext/>
        <w:tabs>
          <w:tab w:val="left" w:pos="720"/>
        </w:tabs>
        <w:spacing w:before="240" w:after="120"/>
        <w:ind w:left="0"/>
        <w:contextualSpacing w:val="0"/>
        <w:jc w:val="left"/>
        <w:rPr>
          <w:b/>
          <w:caps/>
          <w:szCs w:val="22"/>
        </w:rPr>
      </w:pPr>
      <w:bookmarkStart w:id="38" w:name="_Toc118354968"/>
      <w:r w:rsidRPr="006A0C48">
        <w:rPr>
          <w:b/>
          <w:caps/>
          <w:szCs w:val="22"/>
        </w:rPr>
        <w:lastRenderedPageBreak/>
        <w:t>T</w:t>
      </w:r>
      <w:r w:rsidRPr="006A0C48">
        <w:rPr>
          <w:b/>
          <w:szCs w:val="22"/>
        </w:rPr>
        <w:t>able</w:t>
      </w:r>
      <w:r w:rsidRPr="006A0C48">
        <w:rPr>
          <w:b/>
          <w:caps/>
          <w:szCs w:val="22"/>
        </w:rPr>
        <w:t xml:space="preserve"> 1. </w:t>
      </w:r>
      <w:r w:rsidRPr="006A0C48">
        <w:rPr>
          <w:b/>
          <w:szCs w:val="22"/>
        </w:rPr>
        <w:t>Headline indicators for the Kunming-Montreal</w:t>
      </w:r>
      <w:r w:rsidRPr="006A0C48">
        <w:rPr>
          <w:kern w:val="22"/>
          <w:szCs w:val="22"/>
        </w:rPr>
        <w:t xml:space="preserve"> </w:t>
      </w:r>
      <w:r w:rsidRPr="006A0C48">
        <w:rPr>
          <w:b/>
          <w:szCs w:val="22"/>
        </w:rPr>
        <w:t>Global Biodiversity Framework</w:t>
      </w:r>
      <w:bookmarkEnd w:id="38"/>
    </w:p>
    <w:tbl>
      <w:tblPr>
        <w:tblStyle w:val="TableGrid"/>
        <w:tblW w:w="9634" w:type="dxa"/>
        <w:jc w:val="center"/>
        <w:tblLayout w:type="fixed"/>
        <w:tblLook w:val="04A0" w:firstRow="1" w:lastRow="0" w:firstColumn="1" w:lastColumn="0" w:noHBand="0" w:noVBand="1"/>
      </w:tblPr>
      <w:tblGrid>
        <w:gridCol w:w="1184"/>
        <w:gridCol w:w="8450"/>
      </w:tblGrid>
      <w:tr w:rsidR="00005A3C" w:rsidRPr="006A0C48" w14:paraId="72BD1189" w14:textId="77777777" w:rsidTr="00EC38A7">
        <w:trPr>
          <w:trHeight w:val="300"/>
          <w:tblHeader/>
          <w:jc w:val="center"/>
        </w:trPr>
        <w:tc>
          <w:tcPr>
            <w:tcW w:w="1184" w:type="dxa"/>
            <w:shd w:val="clear" w:color="auto" w:fill="FFFFFF" w:themeFill="background1"/>
          </w:tcPr>
          <w:p w14:paraId="6713A824" w14:textId="77777777" w:rsidR="00005A3C" w:rsidRPr="006A0C48" w:rsidRDefault="00005A3C" w:rsidP="006726E6">
            <w:pPr>
              <w:spacing w:before="40" w:after="40"/>
              <w:jc w:val="left"/>
              <w:rPr>
                <w:b/>
                <w:bCs/>
                <w:szCs w:val="22"/>
              </w:rPr>
            </w:pPr>
            <w:r w:rsidRPr="006A0C48">
              <w:rPr>
                <w:b/>
                <w:bCs/>
                <w:szCs w:val="22"/>
              </w:rPr>
              <w:t>A. Goal/ Target</w:t>
            </w:r>
            <w:r w:rsidRPr="00610646">
              <w:rPr>
                <w:rStyle w:val="FootnoteReference"/>
              </w:rPr>
              <w:footnoteReference w:id="38"/>
            </w:r>
          </w:p>
        </w:tc>
        <w:tc>
          <w:tcPr>
            <w:tcW w:w="8450" w:type="dxa"/>
            <w:shd w:val="clear" w:color="auto" w:fill="FFFFFF" w:themeFill="background1"/>
          </w:tcPr>
          <w:p w14:paraId="78265CA5" w14:textId="77777777" w:rsidR="00005A3C" w:rsidRPr="006A0C48" w:rsidRDefault="00005A3C" w:rsidP="00BC5121">
            <w:pPr>
              <w:spacing w:before="40" w:after="40"/>
              <w:jc w:val="left"/>
              <w:rPr>
                <w:b/>
                <w:bCs/>
                <w:szCs w:val="22"/>
                <w:vertAlign w:val="superscript"/>
              </w:rPr>
            </w:pPr>
            <w:r w:rsidRPr="006A0C48">
              <w:rPr>
                <w:b/>
                <w:bCs/>
                <w:szCs w:val="22"/>
              </w:rPr>
              <w:t>Headline indicators</w:t>
            </w:r>
            <w:r w:rsidRPr="00610646">
              <w:rPr>
                <w:rStyle w:val="FootnoteReference"/>
              </w:rPr>
              <w:footnoteReference w:id="39"/>
            </w:r>
          </w:p>
        </w:tc>
      </w:tr>
      <w:tr w:rsidR="00005A3C" w:rsidRPr="006A0C48" w14:paraId="368FA463" w14:textId="77777777" w:rsidTr="00EC38A7">
        <w:trPr>
          <w:trHeight w:val="1088"/>
          <w:jc w:val="center"/>
        </w:trPr>
        <w:tc>
          <w:tcPr>
            <w:tcW w:w="1184" w:type="dxa"/>
            <w:shd w:val="clear" w:color="auto" w:fill="FFFFFF" w:themeFill="background1"/>
          </w:tcPr>
          <w:p w14:paraId="5A56AEAD" w14:textId="77777777" w:rsidR="00005A3C" w:rsidRPr="006A0C48" w:rsidRDefault="00005A3C" w:rsidP="00BC5121">
            <w:pPr>
              <w:spacing w:before="40" w:after="40"/>
              <w:rPr>
                <w:szCs w:val="22"/>
              </w:rPr>
            </w:pPr>
            <w:r w:rsidRPr="006A0C48">
              <w:rPr>
                <w:szCs w:val="22"/>
              </w:rPr>
              <w:t>A</w:t>
            </w:r>
          </w:p>
          <w:p w14:paraId="4A781111" w14:textId="77777777" w:rsidR="00005A3C" w:rsidRPr="006A0C48" w:rsidRDefault="00005A3C" w:rsidP="00BC5121">
            <w:pPr>
              <w:spacing w:before="40" w:after="40"/>
              <w:rPr>
                <w:szCs w:val="22"/>
              </w:rPr>
            </w:pPr>
          </w:p>
        </w:tc>
        <w:tc>
          <w:tcPr>
            <w:tcW w:w="8450" w:type="dxa"/>
            <w:shd w:val="clear" w:color="auto" w:fill="FFFFFF" w:themeFill="background1"/>
          </w:tcPr>
          <w:p w14:paraId="7B339A6E" w14:textId="77777777" w:rsidR="00005A3C" w:rsidRPr="006A0C48" w:rsidRDefault="00005A3C" w:rsidP="006726E6">
            <w:pPr>
              <w:spacing w:before="40" w:after="40"/>
              <w:jc w:val="left"/>
              <w:rPr>
                <w:szCs w:val="22"/>
              </w:rPr>
            </w:pPr>
            <w:r w:rsidRPr="006A0C48">
              <w:rPr>
                <w:szCs w:val="22"/>
              </w:rPr>
              <w:t xml:space="preserve">A.1 Red List of Ecosystems </w:t>
            </w:r>
          </w:p>
          <w:p w14:paraId="05B86553" w14:textId="77777777" w:rsidR="00005A3C" w:rsidRPr="006A0C48" w:rsidRDefault="00005A3C" w:rsidP="006726E6">
            <w:pPr>
              <w:tabs>
                <w:tab w:val="left" w:pos="4813"/>
              </w:tabs>
              <w:spacing w:before="40" w:after="40"/>
              <w:jc w:val="left"/>
              <w:rPr>
                <w:szCs w:val="22"/>
              </w:rPr>
            </w:pPr>
            <w:r w:rsidRPr="006A0C48">
              <w:rPr>
                <w:szCs w:val="22"/>
              </w:rPr>
              <w:t xml:space="preserve">A.2 Extent of natural ecosystems </w:t>
            </w:r>
          </w:p>
          <w:p w14:paraId="0E13E245" w14:textId="77777777" w:rsidR="00005A3C" w:rsidRPr="006A0C48" w:rsidRDefault="00005A3C" w:rsidP="006726E6">
            <w:pPr>
              <w:spacing w:before="40" w:after="40"/>
              <w:jc w:val="left"/>
              <w:rPr>
                <w:szCs w:val="22"/>
              </w:rPr>
            </w:pPr>
            <w:r w:rsidRPr="006A0C48">
              <w:rPr>
                <w:szCs w:val="22"/>
              </w:rPr>
              <w:t>A.3 Red List Index</w:t>
            </w:r>
          </w:p>
          <w:p w14:paraId="2BDC1EA0" w14:textId="77777777" w:rsidR="00005A3C" w:rsidRPr="006A0C48" w:rsidRDefault="00005A3C" w:rsidP="006726E6">
            <w:pPr>
              <w:spacing w:before="40" w:after="40"/>
              <w:jc w:val="left"/>
              <w:rPr>
                <w:szCs w:val="22"/>
              </w:rPr>
            </w:pPr>
            <w:r w:rsidRPr="006A0C48">
              <w:rPr>
                <w:szCs w:val="22"/>
              </w:rPr>
              <w:t>A.4 The proportion of populations within species with an effective population size &gt; 500</w:t>
            </w:r>
          </w:p>
        </w:tc>
      </w:tr>
      <w:tr w:rsidR="00005A3C" w:rsidRPr="006A0C48" w14:paraId="54FF9B07" w14:textId="77777777" w:rsidTr="00EC38A7">
        <w:trPr>
          <w:trHeight w:val="630"/>
          <w:jc w:val="center"/>
        </w:trPr>
        <w:tc>
          <w:tcPr>
            <w:tcW w:w="1184" w:type="dxa"/>
            <w:shd w:val="clear" w:color="auto" w:fill="auto"/>
          </w:tcPr>
          <w:p w14:paraId="3FA22FA6" w14:textId="77777777" w:rsidR="00005A3C" w:rsidRPr="006A0C48" w:rsidRDefault="00005A3C" w:rsidP="00BC5121">
            <w:pPr>
              <w:spacing w:before="40" w:after="40"/>
              <w:rPr>
                <w:szCs w:val="22"/>
              </w:rPr>
            </w:pPr>
            <w:r w:rsidRPr="006A0C48">
              <w:rPr>
                <w:szCs w:val="22"/>
              </w:rPr>
              <w:t>B</w:t>
            </w:r>
            <w:r w:rsidRPr="006A0C48">
              <w:rPr>
                <w:b/>
                <w:bCs/>
                <w:szCs w:val="22"/>
                <w:vertAlign w:val="superscript"/>
              </w:rPr>
              <w:t>b</w:t>
            </w:r>
          </w:p>
        </w:tc>
        <w:tc>
          <w:tcPr>
            <w:tcW w:w="8450" w:type="dxa"/>
            <w:shd w:val="clear" w:color="auto" w:fill="auto"/>
          </w:tcPr>
          <w:p w14:paraId="4C0ACA4C" w14:textId="77777777" w:rsidR="00005A3C" w:rsidRPr="006A0C48" w:rsidRDefault="00005A3C" w:rsidP="006726E6">
            <w:pPr>
              <w:spacing w:before="40" w:after="40"/>
              <w:jc w:val="left"/>
              <w:rPr>
                <w:szCs w:val="22"/>
              </w:rPr>
            </w:pPr>
            <w:r w:rsidRPr="006A0C48">
              <w:rPr>
                <w:szCs w:val="22"/>
              </w:rPr>
              <w:t>B.1 Services provided by ecosystems*</w:t>
            </w:r>
          </w:p>
        </w:tc>
      </w:tr>
      <w:tr w:rsidR="00005A3C" w:rsidRPr="006A0C48" w14:paraId="4700DD8E" w14:textId="77777777" w:rsidTr="00EC38A7">
        <w:trPr>
          <w:trHeight w:val="630"/>
          <w:jc w:val="center"/>
        </w:trPr>
        <w:tc>
          <w:tcPr>
            <w:tcW w:w="1184" w:type="dxa"/>
            <w:shd w:val="clear" w:color="auto" w:fill="auto"/>
          </w:tcPr>
          <w:p w14:paraId="6CEB3814" w14:textId="77777777" w:rsidR="00005A3C" w:rsidRPr="006A0C48" w:rsidRDefault="00005A3C" w:rsidP="00BC5121">
            <w:pPr>
              <w:spacing w:before="40" w:after="40"/>
              <w:rPr>
                <w:szCs w:val="22"/>
              </w:rPr>
            </w:pPr>
            <w:r w:rsidRPr="006A0C48">
              <w:rPr>
                <w:szCs w:val="22"/>
              </w:rPr>
              <w:t>C</w:t>
            </w:r>
            <w:r w:rsidRPr="006A0C48">
              <w:rPr>
                <w:b/>
                <w:bCs/>
                <w:szCs w:val="22"/>
                <w:vertAlign w:val="superscript"/>
              </w:rPr>
              <w:t>b</w:t>
            </w:r>
          </w:p>
        </w:tc>
        <w:tc>
          <w:tcPr>
            <w:tcW w:w="8450" w:type="dxa"/>
            <w:shd w:val="clear" w:color="auto" w:fill="auto"/>
          </w:tcPr>
          <w:p w14:paraId="16D33D9F" w14:textId="77777777" w:rsidR="00005A3C" w:rsidRPr="006A0C48" w:rsidRDefault="00005A3C" w:rsidP="006726E6">
            <w:pPr>
              <w:spacing w:before="40" w:after="40"/>
              <w:jc w:val="left"/>
              <w:rPr>
                <w:szCs w:val="22"/>
              </w:rPr>
            </w:pPr>
            <w:r w:rsidRPr="006A0C48">
              <w:rPr>
                <w:szCs w:val="22"/>
              </w:rPr>
              <w:t>C.1 Indicator on monetary benefits received*</w:t>
            </w:r>
          </w:p>
          <w:p w14:paraId="40EFB508" w14:textId="77777777" w:rsidR="00005A3C" w:rsidRPr="006A0C48" w:rsidRDefault="00005A3C" w:rsidP="006726E6">
            <w:pPr>
              <w:spacing w:before="40" w:after="40"/>
              <w:jc w:val="left"/>
              <w:rPr>
                <w:szCs w:val="22"/>
              </w:rPr>
            </w:pPr>
            <w:r w:rsidRPr="006A0C48">
              <w:rPr>
                <w:szCs w:val="22"/>
              </w:rPr>
              <w:t>C.2 Indicator on non-monetary benefits*</w:t>
            </w:r>
          </w:p>
        </w:tc>
      </w:tr>
      <w:tr w:rsidR="00005A3C" w:rsidRPr="006A0C48" w14:paraId="334DD817" w14:textId="77777777" w:rsidTr="00EC38A7">
        <w:trPr>
          <w:trHeight w:val="630"/>
          <w:jc w:val="center"/>
        </w:trPr>
        <w:tc>
          <w:tcPr>
            <w:tcW w:w="1184" w:type="dxa"/>
            <w:shd w:val="clear" w:color="auto" w:fill="auto"/>
          </w:tcPr>
          <w:p w14:paraId="07406EC6" w14:textId="77777777" w:rsidR="00005A3C" w:rsidRPr="006A0C48" w:rsidRDefault="00005A3C" w:rsidP="00BC5121">
            <w:pPr>
              <w:spacing w:before="40" w:after="40"/>
              <w:rPr>
                <w:szCs w:val="22"/>
              </w:rPr>
            </w:pPr>
            <w:r w:rsidRPr="006A0C48">
              <w:rPr>
                <w:szCs w:val="22"/>
              </w:rPr>
              <w:t>D</w:t>
            </w:r>
          </w:p>
        </w:tc>
        <w:tc>
          <w:tcPr>
            <w:tcW w:w="8450" w:type="dxa"/>
            <w:shd w:val="clear" w:color="auto" w:fill="auto"/>
          </w:tcPr>
          <w:p w14:paraId="4DE661C5" w14:textId="77777777" w:rsidR="00005A3C" w:rsidRPr="006A0C48" w:rsidRDefault="00005A3C" w:rsidP="006726E6">
            <w:pPr>
              <w:spacing w:before="40" w:after="40"/>
              <w:jc w:val="left"/>
              <w:rPr>
                <w:rFonts w:eastAsia="DengXian"/>
                <w:szCs w:val="22"/>
              </w:rPr>
            </w:pPr>
            <w:r w:rsidRPr="006A0C48">
              <w:rPr>
                <w:rFonts w:eastAsia="DengXian"/>
                <w:szCs w:val="22"/>
              </w:rPr>
              <w:t xml:space="preserve">D.1 International public funding, including official development assistance (ODA) for conservation and sustainable use of biodiversity and ecosystems </w:t>
            </w:r>
          </w:p>
          <w:p w14:paraId="1A41931E" w14:textId="77777777" w:rsidR="00005A3C" w:rsidRPr="006A0C48" w:rsidRDefault="00005A3C" w:rsidP="006726E6">
            <w:pPr>
              <w:spacing w:before="40" w:after="40"/>
              <w:jc w:val="left"/>
              <w:rPr>
                <w:rFonts w:eastAsia="DengXian"/>
                <w:szCs w:val="22"/>
              </w:rPr>
            </w:pPr>
            <w:r w:rsidRPr="006A0C48">
              <w:rPr>
                <w:rFonts w:eastAsia="DengXian"/>
                <w:szCs w:val="22"/>
              </w:rPr>
              <w:t xml:space="preserve">D.2 Domestic public funding on conservation and sustainable use of biodiversity and ecosystems </w:t>
            </w:r>
          </w:p>
          <w:p w14:paraId="60B5A37D" w14:textId="77777777" w:rsidR="00005A3C" w:rsidRPr="006A0C48" w:rsidRDefault="00005A3C" w:rsidP="006726E6">
            <w:pPr>
              <w:spacing w:before="40" w:after="40"/>
              <w:jc w:val="left"/>
              <w:rPr>
                <w:szCs w:val="22"/>
                <w:vertAlign w:val="superscript"/>
              </w:rPr>
            </w:pPr>
            <w:r w:rsidRPr="006A0C48">
              <w:rPr>
                <w:rFonts w:eastAsia="DengXian"/>
                <w:szCs w:val="22"/>
              </w:rPr>
              <w:t>D.3 Private funding (domestic and international) on conservation and sustainable use of biodiversity and ecosystems*</w:t>
            </w:r>
          </w:p>
        </w:tc>
      </w:tr>
      <w:tr w:rsidR="00005A3C" w:rsidRPr="006A0C48" w14:paraId="40FE5779" w14:textId="77777777" w:rsidTr="00EC38A7">
        <w:trPr>
          <w:jc w:val="center"/>
        </w:trPr>
        <w:tc>
          <w:tcPr>
            <w:tcW w:w="1184" w:type="dxa"/>
            <w:shd w:val="clear" w:color="auto" w:fill="auto"/>
          </w:tcPr>
          <w:p w14:paraId="4C67B07D" w14:textId="77777777" w:rsidR="00005A3C" w:rsidRPr="006A0C48" w:rsidRDefault="00005A3C" w:rsidP="00BC5121">
            <w:pPr>
              <w:spacing w:before="40" w:after="40"/>
              <w:rPr>
                <w:szCs w:val="22"/>
              </w:rPr>
            </w:pPr>
            <w:r w:rsidRPr="006A0C48">
              <w:rPr>
                <w:szCs w:val="22"/>
              </w:rPr>
              <w:t>1</w:t>
            </w:r>
            <w:r w:rsidRPr="006A0C48">
              <w:rPr>
                <w:b/>
                <w:bCs/>
                <w:szCs w:val="22"/>
                <w:vertAlign w:val="superscript"/>
              </w:rPr>
              <w:t>b</w:t>
            </w:r>
          </w:p>
        </w:tc>
        <w:tc>
          <w:tcPr>
            <w:tcW w:w="8450" w:type="dxa"/>
            <w:shd w:val="clear" w:color="auto" w:fill="auto"/>
          </w:tcPr>
          <w:p w14:paraId="40EA85D9" w14:textId="77777777" w:rsidR="00005A3C" w:rsidRPr="006A0C48" w:rsidRDefault="00005A3C" w:rsidP="00BC5121">
            <w:pPr>
              <w:spacing w:before="40" w:after="40"/>
              <w:rPr>
                <w:szCs w:val="22"/>
              </w:rPr>
            </w:pPr>
            <w:r w:rsidRPr="006A0C48">
              <w:rPr>
                <w:szCs w:val="22"/>
              </w:rPr>
              <w:t>A.1 Red List of Ecosystems</w:t>
            </w:r>
          </w:p>
          <w:p w14:paraId="001DB8E4" w14:textId="77777777" w:rsidR="00005A3C" w:rsidRPr="006A0C48" w:rsidRDefault="00005A3C" w:rsidP="00BC5121">
            <w:pPr>
              <w:spacing w:before="40" w:after="40"/>
              <w:rPr>
                <w:szCs w:val="22"/>
              </w:rPr>
            </w:pPr>
            <w:r w:rsidRPr="006A0C48">
              <w:rPr>
                <w:szCs w:val="22"/>
              </w:rPr>
              <w:t>A.2 Extent of natural ecosystems</w:t>
            </w:r>
          </w:p>
          <w:p w14:paraId="0F4ABB41" w14:textId="77777777" w:rsidR="00005A3C" w:rsidRPr="006A0C48" w:rsidRDefault="00005A3C" w:rsidP="00BC5121">
            <w:pPr>
              <w:spacing w:before="40" w:after="40"/>
              <w:rPr>
                <w:szCs w:val="22"/>
              </w:rPr>
            </w:pPr>
            <w:r w:rsidRPr="006A0C48">
              <w:rPr>
                <w:szCs w:val="22"/>
              </w:rPr>
              <w:t>1.1 Percentage of land and sea area covered by biodiversity-inclusive spatial plans*</w:t>
            </w:r>
          </w:p>
        </w:tc>
      </w:tr>
      <w:tr w:rsidR="00005A3C" w:rsidRPr="006A0C48" w14:paraId="3B22954F" w14:textId="77777777" w:rsidTr="00EC38A7">
        <w:trPr>
          <w:jc w:val="center"/>
        </w:trPr>
        <w:tc>
          <w:tcPr>
            <w:tcW w:w="1184" w:type="dxa"/>
            <w:shd w:val="clear" w:color="auto" w:fill="auto"/>
          </w:tcPr>
          <w:p w14:paraId="786EA144" w14:textId="77777777" w:rsidR="00005A3C" w:rsidRPr="006A0C48" w:rsidRDefault="00005A3C" w:rsidP="00BC5121">
            <w:pPr>
              <w:spacing w:before="40" w:after="40"/>
              <w:rPr>
                <w:szCs w:val="22"/>
              </w:rPr>
            </w:pPr>
            <w:r w:rsidRPr="006A0C48">
              <w:rPr>
                <w:szCs w:val="22"/>
              </w:rPr>
              <w:t>2</w:t>
            </w:r>
          </w:p>
        </w:tc>
        <w:tc>
          <w:tcPr>
            <w:tcW w:w="8450" w:type="dxa"/>
            <w:shd w:val="clear" w:color="auto" w:fill="auto"/>
          </w:tcPr>
          <w:p w14:paraId="472D97BA" w14:textId="77777777" w:rsidR="00005A3C" w:rsidRPr="006A0C48" w:rsidRDefault="00005A3C" w:rsidP="00BC5121">
            <w:pPr>
              <w:spacing w:before="40" w:after="40"/>
              <w:rPr>
                <w:szCs w:val="22"/>
              </w:rPr>
            </w:pPr>
            <w:r w:rsidRPr="006A0C48">
              <w:rPr>
                <w:szCs w:val="22"/>
              </w:rPr>
              <w:t xml:space="preserve">2.2 Area under restoration* </w:t>
            </w:r>
          </w:p>
        </w:tc>
      </w:tr>
      <w:tr w:rsidR="00005A3C" w:rsidRPr="006A0C48" w14:paraId="67EAEC15" w14:textId="77777777" w:rsidTr="00EC38A7">
        <w:trPr>
          <w:jc w:val="center"/>
        </w:trPr>
        <w:tc>
          <w:tcPr>
            <w:tcW w:w="1184" w:type="dxa"/>
            <w:shd w:val="clear" w:color="auto" w:fill="auto"/>
          </w:tcPr>
          <w:p w14:paraId="38C6D044" w14:textId="77777777" w:rsidR="00005A3C" w:rsidRPr="006A0C48" w:rsidRDefault="00005A3C" w:rsidP="00BC5121">
            <w:pPr>
              <w:spacing w:before="40" w:after="40"/>
              <w:rPr>
                <w:szCs w:val="22"/>
              </w:rPr>
            </w:pPr>
            <w:r w:rsidRPr="006A0C48">
              <w:rPr>
                <w:szCs w:val="22"/>
              </w:rPr>
              <w:t>3</w:t>
            </w:r>
          </w:p>
        </w:tc>
        <w:tc>
          <w:tcPr>
            <w:tcW w:w="8450" w:type="dxa"/>
            <w:shd w:val="clear" w:color="auto" w:fill="auto"/>
          </w:tcPr>
          <w:p w14:paraId="3E308F01" w14:textId="77777777" w:rsidR="00005A3C" w:rsidRPr="006A0C48" w:rsidRDefault="00005A3C" w:rsidP="00BC5121">
            <w:pPr>
              <w:spacing w:before="40" w:after="40"/>
              <w:rPr>
                <w:szCs w:val="22"/>
              </w:rPr>
            </w:pPr>
            <w:r w:rsidRPr="006A0C48">
              <w:rPr>
                <w:szCs w:val="22"/>
              </w:rPr>
              <w:t xml:space="preserve">3.1 Coverage of protected areas and other effective area-based conservation measures </w:t>
            </w:r>
          </w:p>
        </w:tc>
      </w:tr>
      <w:tr w:rsidR="00005A3C" w:rsidRPr="006A0C48" w14:paraId="69CEDC2B" w14:textId="77777777" w:rsidTr="00EC38A7">
        <w:trPr>
          <w:jc w:val="center"/>
        </w:trPr>
        <w:tc>
          <w:tcPr>
            <w:tcW w:w="1184" w:type="dxa"/>
            <w:shd w:val="clear" w:color="auto" w:fill="auto"/>
          </w:tcPr>
          <w:p w14:paraId="3A6FCFD9" w14:textId="77777777" w:rsidR="00005A3C" w:rsidRPr="006A0C48" w:rsidRDefault="00005A3C" w:rsidP="00BC5121">
            <w:pPr>
              <w:spacing w:before="40" w:after="40"/>
              <w:rPr>
                <w:szCs w:val="22"/>
              </w:rPr>
            </w:pPr>
            <w:r w:rsidRPr="006A0C48">
              <w:rPr>
                <w:szCs w:val="22"/>
              </w:rPr>
              <w:t>4</w:t>
            </w:r>
          </w:p>
        </w:tc>
        <w:tc>
          <w:tcPr>
            <w:tcW w:w="8450" w:type="dxa"/>
            <w:shd w:val="clear" w:color="auto" w:fill="auto"/>
          </w:tcPr>
          <w:p w14:paraId="6E859916" w14:textId="77777777" w:rsidR="00005A3C" w:rsidRPr="006A0C48" w:rsidRDefault="00005A3C" w:rsidP="00BC5121">
            <w:pPr>
              <w:spacing w:before="40" w:after="40"/>
              <w:rPr>
                <w:szCs w:val="22"/>
              </w:rPr>
            </w:pPr>
            <w:r w:rsidRPr="006A0C48">
              <w:rPr>
                <w:szCs w:val="22"/>
              </w:rPr>
              <w:t>A.3 Red list Index</w:t>
            </w:r>
          </w:p>
          <w:p w14:paraId="164ED85B" w14:textId="77777777" w:rsidR="00005A3C" w:rsidRPr="006A0C48" w:rsidRDefault="00005A3C" w:rsidP="00BC5121">
            <w:pPr>
              <w:spacing w:before="40" w:after="40"/>
              <w:rPr>
                <w:szCs w:val="22"/>
              </w:rPr>
            </w:pPr>
            <w:r w:rsidRPr="006A0C48">
              <w:rPr>
                <w:szCs w:val="22"/>
              </w:rPr>
              <w:t>A.4 The proportion of populations within species with an effective population size &gt; 500</w:t>
            </w:r>
          </w:p>
        </w:tc>
      </w:tr>
      <w:tr w:rsidR="00005A3C" w:rsidRPr="006A0C48" w14:paraId="77BE512D" w14:textId="77777777" w:rsidTr="00EC38A7">
        <w:trPr>
          <w:trHeight w:val="341"/>
          <w:jc w:val="center"/>
        </w:trPr>
        <w:tc>
          <w:tcPr>
            <w:tcW w:w="1184" w:type="dxa"/>
            <w:shd w:val="clear" w:color="auto" w:fill="auto"/>
          </w:tcPr>
          <w:p w14:paraId="3FE157E8" w14:textId="77777777" w:rsidR="00005A3C" w:rsidRPr="006A0C48" w:rsidRDefault="00005A3C" w:rsidP="00BC5121">
            <w:pPr>
              <w:spacing w:before="40" w:after="40"/>
              <w:rPr>
                <w:szCs w:val="22"/>
              </w:rPr>
            </w:pPr>
            <w:r w:rsidRPr="006A0C48">
              <w:rPr>
                <w:szCs w:val="22"/>
              </w:rPr>
              <w:t>5</w:t>
            </w:r>
          </w:p>
        </w:tc>
        <w:tc>
          <w:tcPr>
            <w:tcW w:w="8450" w:type="dxa"/>
            <w:shd w:val="clear" w:color="auto" w:fill="auto"/>
          </w:tcPr>
          <w:p w14:paraId="42F6238B" w14:textId="77777777" w:rsidR="00005A3C" w:rsidRPr="006A0C48" w:rsidRDefault="00005A3C" w:rsidP="00BC5121">
            <w:pPr>
              <w:spacing w:before="40" w:after="40"/>
              <w:jc w:val="left"/>
              <w:rPr>
                <w:szCs w:val="22"/>
              </w:rPr>
            </w:pPr>
            <w:r w:rsidRPr="006A0C48">
              <w:rPr>
                <w:szCs w:val="22"/>
              </w:rPr>
              <w:t>5.1 Proportion of fish stocks within biologically sustainable levels</w:t>
            </w:r>
          </w:p>
        </w:tc>
      </w:tr>
      <w:tr w:rsidR="00005A3C" w:rsidRPr="006A0C48" w14:paraId="02C4FF9C" w14:textId="77777777" w:rsidTr="00EC38A7">
        <w:trPr>
          <w:trHeight w:val="341"/>
          <w:jc w:val="center"/>
        </w:trPr>
        <w:tc>
          <w:tcPr>
            <w:tcW w:w="1184" w:type="dxa"/>
            <w:shd w:val="clear" w:color="auto" w:fill="auto"/>
          </w:tcPr>
          <w:p w14:paraId="5B3D28B4" w14:textId="77777777" w:rsidR="00005A3C" w:rsidRPr="006A0C48" w:rsidRDefault="00005A3C" w:rsidP="00BC5121">
            <w:pPr>
              <w:spacing w:before="40" w:after="40"/>
              <w:rPr>
                <w:szCs w:val="22"/>
                <w:vertAlign w:val="superscript"/>
              </w:rPr>
            </w:pPr>
            <w:r w:rsidRPr="006A0C48">
              <w:rPr>
                <w:szCs w:val="22"/>
              </w:rPr>
              <w:t>6</w:t>
            </w:r>
            <w:r w:rsidRPr="006A0C48">
              <w:rPr>
                <w:b/>
                <w:bCs/>
                <w:szCs w:val="22"/>
                <w:vertAlign w:val="superscript"/>
              </w:rPr>
              <w:t>b</w:t>
            </w:r>
          </w:p>
        </w:tc>
        <w:tc>
          <w:tcPr>
            <w:tcW w:w="8450" w:type="dxa"/>
            <w:shd w:val="clear" w:color="auto" w:fill="auto"/>
          </w:tcPr>
          <w:p w14:paraId="544F56E2" w14:textId="77777777" w:rsidR="00005A3C" w:rsidRPr="006A0C48" w:rsidRDefault="00005A3C" w:rsidP="00BC5121">
            <w:pPr>
              <w:spacing w:before="40" w:after="40"/>
              <w:jc w:val="left"/>
              <w:rPr>
                <w:szCs w:val="22"/>
              </w:rPr>
            </w:pPr>
            <w:r w:rsidRPr="006A0C48">
              <w:rPr>
                <w:szCs w:val="22"/>
              </w:rPr>
              <w:t>6.1 Rate of invasive alien species establishment</w:t>
            </w:r>
          </w:p>
        </w:tc>
      </w:tr>
      <w:tr w:rsidR="00005A3C" w:rsidRPr="006A0C48" w14:paraId="4B340E59" w14:textId="77777777" w:rsidTr="00EC38A7">
        <w:trPr>
          <w:trHeight w:val="530"/>
          <w:jc w:val="center"/>
        </w:trPr>
        <w:tc>
          <w:tcPr>
            <w:tcW w:w="1184" w:type="dxa"/>
            <w:shd w:val="clear" w:color="auto" w:fill="auto"/>
          </w:tcPr>
          <w:p w14:paraId="5A8EBF8A" w14:textId="77777777" w:rsidR="00005A3C" w:rsidRPr="006A0C48" w:rsidRDefault="00005A3C" w:rsidP="00BC5121">
            <w:pPr>
              <w:spacing w:before="40" w:after="40"/>
              <w:rPr>
                <w:szCs w:val="22"/>
              </w:rPr>
            </w:pPr>
            <w:r w:rsidRPr="006A0C48">
              <w:rPr>
                <w:szCs w:val="22"/>
              </w:rPr>
              <w:t>7</w:t>
            </w:r>
          </w:p>
        </w:tc>
        <w:tc>
          <w:tcPr>
            <w:tcW w:w="8450" w:type="dxa"/>
            <w:shd w:val="clear" w:color="auto" w:fill="auto"/>
          </w:tcPr>
          <w:p w14:paraId="3156EFFF" w14:textId="77777777" w:rsidR="00005A3C" w:rsidRPr="006A0C48" w:rsidRDefault="00005A3C" w:rsidP="00BC5121">
            <w:pPr>
              <w:spacing w:before="40" w:after="40"/>
              <w:jc w:val="left"/>
              <w:rPr>
                <w:szCs w:val="22"/>
              </w:rPr>
            </w:pPr>
            <w:r w:rsidRPr="006A0C48">
              <w:rPr>
                <w:szCs w:val="22"/>
              </w:rPr>
              <w:t>7.1 Index of coastal eutrophication potential</w:t>
            </w:r>
          </w:p>
          <w:p w14:paraId="6F41D277" w14:textId="77777777" w:rsidR="00005A3C" w:rsidRPr="006A0C48" w:rsidRDefault="00005A3C" w:rsidP="00BC5121">
            <w:pPr>
              <w:spacing w:before="40" w:after="40"/>
              <w:jc w:val="left"/>
              <w:rPr>
                <w:szCs w:val="22"/>
                <w:vertAlign w:val="superscript"/>
              </w:rPr>
            </w:pPr>
            <w:r w:rsidRPr="006A0C48">
              <w:rPr>
                <w:szCs w:val="22"/>
              </w:rPr>
              <w:t>7.2 Pesticide environment concentration*</w:t>
            </w:r>
          </w:p>
        </w:tc>
      </w:tr>
      <w:tr w:rsidR="00005A3C" w:rsidRPr="006A0C48" w14:paraId="218C8C6E" w14:textId="77777777" w:rsidTr="00EC38A7">
        <w:trPr>
          <w:trHeight w:val="377"/>
          <w:jc w:val="center"/>
        </w:trPr>
        <w:tc>
          <w:tcPr>
            <w:tcW w:w="1184" w:type="dxa"/>
            <w:shd w:val="clear" w:color="auto" w:fill="auto"/>
          </w:tcPr>
          <w:p w14:paraId="2717548F" w14:textId="77777777" w:rsidR="00005A3C" w:rsidRPr="006A0C48" w:rsidRDefault="00005A3C" w:rsidP="00BC5121">
            <w:pPr>
              <w:spacing w:before="40" w:after="40"/>
              <w:rPr>
                <w:szCs w:val="22"/>
              </w:rPr>
            </w:pPr>
            <w:r w:rsidRPr="006A0C48">
              <w:rPr>
                <w:szCs w:val="22"/>
              </w:rPr>
              <w:t>8</w:t>
            </w:r>
            <w:r w:rsidRPr="006A0C48">
              <w:rPr>
                <w:b/>
                <w:bCs/>
                <w:szCs w:val="22"/>
                <w:vertAlign w:val="superscript"/>
              </w:rPr>
              <w:t>b</w:t>
            </w:r>
          </w:p>
        </w:tc>
        <w:tc>
          <w:tcPr>
            <w:tcW w:w="8450" w:type="dxa"/>
            <w:shd w:val="clear" w:color="auto" w:fill="auto"/>
          </w:tcPr>
          <w:p w14:paraId="4513BED3" w14:textId="77777777" w:rsidR="00005A3C" w:rsidRPr="006A0C48" w:rsidRDefault="00005A3C" w:rsidP="00BC5121">
            <w:pPr>
              <w:spacing w:before="40" w:after="40"/>
              <w:rPr>
                <w:szCs w:val="22"/>
              </w:rPr>
            </w:pPr>
            <w:r w:rsidRPr="006A0C48">
              <w:rPr>
                <w:szCs w:val="22"/>
              </w:rPr>
              <w:t>-</w:t>
            </w:r>
          </w:p>
        </w:tc>
      </w:tr>
      <w:tr w:rsidR="00005A3C" w:rsidRPr="006A0C48" w14:paraId="3A88C033" w14:textId="77777777" w:rsidTr="00EC38A7">
        <w:trPr>
          <w:trHeight w:val="377"/>
          <w:jc w:val="center"/>
        </w:trPr>
        <w:tc>
          <w:tcPr>
            <w:tcW w:w="1184" w:type="dxa"/>
            <w:shd w:val="clear" w:color="auto" w:fill="auto"/>
          </w:tcPr>
          <w:p w14:paraId="27F42164" w14:textId="77777777" w:rsidR="00005A3C" w:rsidRPr="006A0C48" w:rsidRDefault="00005A3C" w:rsidP="00BC5121">
            <w:pPr>
              <w:spacing w:before="40" w:after="40"/>
              <w:rPr>
                <w:szCs w:val="22"/>
              </w:rPr>
            </w:pPr>
            <w:r w:rsidRPr="006A0C48">
              <w:rPr>
                <w:szCs w:val="22"/>
              </w:rPr>
              <w:t>9</w:t>
            </w:r>
            <w:r w:rsidRPr="006A0C48">
              <w:rPr>
                <w:b/>
                <w:bCs/>
                <w:szCs w:val="22"/>
                <w:vertAlign w:val="superscript"/>
              </w:rPr>
              <w:t>b</w:t>
            </w:r>
          </w:p>
        </w:tc>
        <w:tc>
          <w:tcPr>
            <w:tcW w:w="8450" w:type="dxa"/>
            <w:shd w:val="clear" w:color="auto" w:fill="auto"/>
          </w:tcPr>
          <w:p w14:paraId="5BB1D377" w14:textId="77777777" w:rsidR="00005A3C" w:rsidRPr="006A0C48" w:rsidRDefault="00005A3C" w:rsidP="00BC5121">
            <w:pPr>
              <w:spacing w:before="40" w:after="40"/>
              <w:rPr>
                <w:szCs w:val="22"/>
              </w:rPr>
            </w:pPr>
            <w:r w:rsidRPr="006A0C48">
              <w:rPr>
                <w:szCs w:val="22"/>
              </w:rPr>
              <w:t>9.1 Benefits from the sustainable use of wild species*</w:t>
            </w:r>
          </w:p>
          <w:p w14:paraId="500A69C6" w14:textId="77777777" w:rsidR="00005A3C" w:rsidRPr="006A0C48" w:rsidRDefault="00005A3C" w:rsidP="00BC5121">
            <w:pPr>
              <w:spacing w:before="40" w:after="40"/>
              <w:rPr>
                <w:szCs w:val="22"/>
              </w:rPr>
            </w:pPr>
            <w:r w:rsidRPr="006A0C48">
              <w:rPr>
                <w:szCs w:val="22"/>
              </w:rPr>
              <w:t>9.2 Percentage of the population in traditional occupations*</w:t>
            </w:r>
          </w:p>
        </w:tc>
      </w:tr>
      <w:tr w:rsidR="00005A3C" w:rsidRPr="006A0C48" w14:paraId="016D9811" w14:textId="77777777" w:rsidTr="00EC38A7">
        <w:trPr>
          <w:jc w:val="center"/>
        </w:trPr>
        <w:tc>
          <w:tcPr>
            <w:tcW w:w="1184" w:type="dxa"/>
            <w:shd w:val="clear" w:color="auto" w:fill="auto"/>
          </w:tcPr>
          <w:p w14:paraId="2B423441" w14:textId="77777777" w:rsidR="00005A3C" w:rsidRPr="006A0C48" w:rsidRDefault="00005A3C" w:rsidP="00BC5121">
            <w:pPr>
              <w:spacing w:before="40" w:after="40"/>
              <w:rPr>
                <w:szCs w:val="22"/>
              </w:rPr>
            </w:pPr>
            <w:r w:rsidRPr="006A0C48">
              <w:rPr>
                <w:szCs w:val="22"/>
              </w:rPr>
              <w:t>10</w:t>
            </w:r>
          </w:p>
        </w:tc>
        <w:tc>
          <w:tcPr>
            <w:tcW w:w="8450" w:type="dxa"/>
            <w:shd w:val="clear" w:color="auto" w:fill="auto"/>
          </w:tcPr>
          <w:p w14:paraId="25DB5F48" w14:textId="77777777" w:rsidR="00005A3C" w:rsidRPr="006A0C48" w:rsidRDefault="00005A3C" w:rsidP="008C27A5">
            <w:pPr>
              <w:spacing w:before="40" w:after="40"/>
              <w:rPr>
                <w:szCs w:val="22"/>
              </w:rPr>
            </w:pPr>
            <w:r w:rsidRPr="006A0C48">
              <w:rPr>
                <w:szCs w:val="22"/>
              </w:rPr>
              <w:t>10.1 Proportion of agricultural area under productive and sustainable agriculture</w:t>
            </w:r>
          </w:p>
          <w:p w14:paraId="6BE31370" w14:textId="77777777" w:rsidR="00005A3C" w:rsidRPr="006A0C48" w:rsidRDefault="00005A3C" w:rsidP="008C27A5">
            <w:pPr>
              <w:spacing w:before="40" w:after="40"/>
              <w:rPr>
                <w:szCs w:val="22"/>
              </w:rPr>
            </w:pPr>
            <w:r w:rsidRPr="006A0C48">
              <w:rPr>
                <w:szCs w:val="22"/>
              </w:rPr>
              <w:t xml:space="preserve">10.2 Progress towards sustainable forest management </w:t>
            </w:r>
          </w:p>
        </w:tc>
      </w:tr>
      <w:tr w:rsidR="00005A3C" w:rsidRPr="006A0C48" w14:paraId="045E38EB" w14:textId="77777777" w:rsidTr="00EC38A7">
        <w:trPr>
          <w:jc w:val="center"/>
        </w:trPr>
        <w:tc>
          <w:tcPr>
            <w:tcW w:w="1184" w:type="dxa"/>
            <w:shd w:val="clear" w:color="auto" w:fill="auto"/>
          </w:tcPr>
          <w:p w14:paraId="646F78B3" w14:textId="77777777" w:rsidR="00005A3C" w:rsidRPr="006A0C48" w:rsidRDefault="00005A3C" w:rsidP="00BC5121">
            <w:pPr>
              <w:spacing w:before="40" w:after="40"/>
              <w:rPr>
                <w:szCs w:val="22"/>
              </w:rPr>
            </w:pPr>
            <w:r w:rsidRPr="006A0C48">
              <w:rPr>
                <w:szCs w:val="22"/>
              </w:rPr>
              <w:t>11</w:t>
            </w:r>
          </w:p>
          <w:p w14:paraId="23765188" w14:textId="77777777" w:rsidR="00005A3C" w:rsidRPr="006A0C48" w:rsidRDefault="00005A3C" w:rsidP="00BC5121">
            <w:pPr>
              <w:spacing w:before="40" w:after="40"/>
              <w:rPr>
                <w:szCs w:val="22"/>
              </w:rPr>
            </w:pPr>
          </w:p>
        </w:tc>
        <w:tc>
          <w:tcPr>
            <w:tcW w:w="8450" w:type="dxa"/>
            <w:shd w:val="clear" w:color="auto" w:fill="auto"/>
          </w:tcPr>
          <w:p w14:paraId="0D229FEF" w14:textId="77777777" w:rsidR="00005A3C" w:rsidRPr="006A0C48" w:rsidRDefault="00005A3C" w:rsidP="00BC5121">
            <w:pPr>
              <w:spacing w:before="40" w:after="40"/>
              <w:rPr>
                <w:szCs w:val="22"/>
              </w:rPr>
            </w:pPr>
            <w:r w:rsidRPr="006A0C48">
              <w:rPr>
                <w:szCs w:val="22"/>
              </w:rPr>
              <w:t xml:space="preserve">B.1 Services provided by ecosystems*  </w:t>
            </w:r>
          </w:p>
        </w:tc>
      </w:tr>
      <w:tr w:rsidR="00005A3C" w:rsidRPr="006A0C48" w14:paraId="7AF3A12B" w14:textId="77777777" w:rsidTr="00EC38A7">
        <w:trPr>
          <w:jc w:val="center"/>
        </w:trPr>
        <w:tc>
          <w:tcPr>
            <w:tcW w:w="1184" w:type="dxa"/>
            <w:shd w:val="clear" w:color="auto" w:fill="auto"/>
          </w:tcPr>
          <w:p w14:paraId="2DBA3F7A" w14:textId="77777777" w:rsidR="00005A3C" w:rsidRPr="006A0C48" w:rsidRDefault="00005A3C" w:rsidP="00BC5121">
            <w:pPr>
              <w:spacing w:before="40" w:after="40"/>
              <w:rPr>
                <w:szCs w:val="22"/>
              </w:rPr>
            </w:pPr>
            <w:r w:rsidRPr="006A0C48">
              <w:rPr>
                <w:szCs w:val="22"/>
              </w:rPr>
              <w:t>12</w:t>
            </w:r>
            <w:r w:rsidRPr="006A0C48">
              <w:rPr>
                <w:b/>
                <w:bCs/>
                <w:szCs w:val="22"/>
                <w:vertAlign w:val="superscript"/>
              </w:rPr>
              <w:t>b</w:t>
            </w:r>
          </w:p>
        </w:tc>
        <w:tc>
          <w:tcPr>
            <w:tcW w:w="8450" w:type="dxa"/>
            <w:shd w:val="clear" w:color="auto" w:fill="auto"/>
          </w:tcPr>
          <w:p w14:paraId="5D21F652" w14:textId="77777777" w:rsidR="00005A3C" w:rsidRPr="006A0C48" w:rsidRDefault="00005A3C" w:rsidP="006726E6">
            <w:pPr>
              <w:spacing w:before="40" w:after="40"/>
              <w:jc w:val="left"/>
              <w:rPr>
                <w:i/>
                <w:iCs/>
                <w:szCs w:val="22"/>
              </w:rPr>
            </w:pPr>
            <w:r w:rsidRPr="006A0C48">
              <w:rPr>
                <w:szCs w:val="22"/>
              </w:rPr>
              <w:t>12.1 Average share of the built-up area of cities that is green/blue space for public use for all</w:t>
            </w:r>
          </w:p>
        </w:tc>
      </w:tr>
      <w:tr w:rsidR="00005A3C" w:rsidRPr="006A0C48" w14:paraId="6BB4623F" w14:textId="77777777" w:rsidTr="00EC38A7">
        <w:trPr>
          <w:trHeight w:val="404"/>
          <w:jc w:val="center"/>
        </w:trPr>
        <w:tc>
          <w:tcPr>
            <w:tcW w:w="1184" w:type="dxa"/>
            <w:shd w:val="clear" w:color="auto" w:fill="auto"/>
          </w:tcPr>
          <w:p w14:paraId="6F7AF8B6" w14:textId="77777777" w:rsidR="00005A3C" w:rsidRPr="006A0C48" w:rsidRDefault="00005A3C" w:rsidP="00BC5121">
            <w:pPr>
              <w:spacing w:before="40" w:after="40"/>
              <w:rPr>
                <w:szCs w:val="22"/>
              </w:rPr>
            </w:pPr>
            <w:r w:rsidRPr="006A0C48">
              <w:rPr>
                <w:szCs w:val="22"/>
              </w:rPr>
              <w:t>13</w:t>
            </w:r>
            <w:r w:rsidRPr="006A0C48">
              <w:rPr>
                <w:b/>
                <w:bCs/>
                <w:szCs w:val="22"/>
                <w:vertAlign w:val="superscript"/>
              </w:rPr>
              <w:t>b</w:t>
            </w:r>
          </w:p>
        </w:tc>
        <w:tc>
          <w:tcPr>
            <w:tcW w:w="8450" w:type="dxa"/>
            <w:shd w:val="clear" w:color="auto" w:fill="auto"/>
          </w:tcPr>
          <w:p w14:paraId="5BA45554" w14:textId="77777777" w:rsidR="00005A3C" w:rsidRPr="006A0C48" w:rsidRDefault="00005A3C" w:rsidP="00BC5121">
            <w:pPr>
              <w:spacing w:before="40" w:after="40"/>
              <w:rPr>
                <w:szCs w:val="22"/>
              </w:rPr>
            </w:pPr>
            <w:r w:rsidRPr="006A0C48">
              <w:rPr>
                <w:szCs w:val="22"/>
              </w:rPr>
              <w:t>C.1 Indicator on monetary benefits received*</w:t>
            </w:r>
          </w:p>
          <w:p w14:paraId="4A6A510E" w14:textId="77777777" w:rsidR="00005A3C" w:rsidRPr="006A0C48" w:rsidRDefault="00005A3C" w:rsidP="00BC5121">
            <w:pPr>
              <w:spacing w:before="40" w:after="40"/>
              <w:rPr>
                <w:szCs w:val="22"/>
              </w:rPr>
            </w:pPr>
            <w:r w:rsidRPr="006A0C48">
              <w:rPr>
                <w:szCs w:val="22"/>
              </w:rPr>
              <w:t>C.2 Indicator on non-monetary benefits*</w:t>
            </w:r>
          </w:p>
        </w:tc>
      </w:tr>
      <w:tr w:rsidR="00005A3C" w:rsidRPr="006A0C48" w14:paraId="6E3BD963" w14:textId="77777777" w:rsidTr="00EC38A7">
        <w:trPr>
          <w:trHeight w:val="386"/>
          <w:jc w:val="center"/>
        </w:trPr>
        <w:tc>
          <w:tcPr>
            <w:tcW w:w="1184" w:type="dxa"/>
            <w:shd w:val="clear" w:color="auto" w:fill="auto"/>
          </w:tcPr>
          <w:p w14:paraId="0229F4C4" w14:textId="77777777" w:rsidR="00005A3C" w:rsidRPr="006A0C48" w:rsidRDefault="00005A3C" w:rsidP="00BC5121">
            <w:pPr>
              <w:spacing w:before="40" w:after="40"/>
              <w:rPr>
                <w:szCs w:val="22"/>
              </w:rPr>
            </w:pPr>
            <w:r w:rsidRPr="006A0C48">
              <w:rPr>
                <w:szCs w:val="22"/>
              </w:rPr>
              <w:lastRenderedPageBreak/>
              <w:t>14</w:t>
            </w:r>
            <w:r w:rsidRPr="006A0C48">
              <w:rPr>
                <w:b/>
                <w:bCs/>
                <w:szCs w:val="22"/>
                <w:vertAlign w:val="superscript"/>
              </w:rPr>
              <w:t>b</w:t>
            </w:r>
          </w:p>
        </w:tc>
        <w:tc>
          <w:tcPr>
            <w:tcW w:w="8450" w:type="dxa"/>
            <w:shd w:val="clear" w:color="auto" w:fill="auto"/>
          </w:tcPr>
          <w:p w14:paraId="1E9FA9A5" w14:textId="77777777" w:rsidR="00005A3C" w:rsidRPr="006A0C48" w:rsidRDefault="00005A3C" w:rsidP="00BC5121">
            <w:pPr>
              <w:spacing w:before="40" w:after="40"/>
              <w:rPr>
                <w:i/>
                <w:iCs/>
                <w:szCs w:val="22"/>
              </w:rPr>
            </w:pPr>
            <w:r w:rsidRPr="006A0C48">
              <w:rPr>
                <w:i/>
                <w:iCs/>
                <w:szCs w:val="22"/>
              </w:rPr>
              <w:t>-</w:t>
            </w:r>
          </w:p>
        </w:tc>
      </w:tr>
      <w:tr w:rsidR="00005A3C" w:rsidRPr="006A0C48" w14:paraId="1D1CCEBA" w14:textId="77777777" w:rsidTr="00EC38A7">
        <w:trPr>
          <w:trHeight w:val="332"/>
          <w:jc w:val="center"/>
        </w:trPr>
        <w:tc>
          <w:tcPr>
            <w:tcW w:w="1184" w:type="dxa"/>
            <w:shd w:val="clear" w:color="auto" w:fill="auto"/>
          </w:tcPr>
          <w:p w14:paraId="090F8F86" w14:textId="77777777" w:rsidR="00005A3C" w:rsidRPr="006A0C48" w:rsidRDefault="00005A3C" w:rsidP="00BC5121">
            <w:pPr>
              <w:spacing w:before="40" w:after="40"/>
              <w:rPr>
                <w:szCs w:val="22"/>
              </w:rPr>
            </w:pPr>
            <w:r w:rsidRPr="006A0C48">
              <w:rPr>
                <w:szCs w:val="22"/>
              </w:rPr>
              <w:t>15</w:t>
            </w:r>
            <w:r w:rsidRPr="006A0C48">
              <w:rPr>
                <w:b/>
                <w:bCs/>
                <w:szCs w:val="22"/>
                <w:vertAlign w:val="superscript"/>
              </w:rPr>
              <w:t>b</w:t>
            </w:r>
          </w:p>
        </w:tc>
        <w:tc>
          <w:tcPr>
            <w:tcW w:w="8450" w:type="dxa"/>
            <w:shd w:val="clear" w:color="auto" w:fill="auto"/>
          </w:tcPr>
          <w:p w14:paraId="3501B22A" w14:textId="77777777" w:rsidR="00005A3C" w:rsidRPr="006A0C48" w:rsidRDefault="00005A3C" w:rsidP="006726E6">
            <w:pPr>
              <w:spacing w:before="40" w:after="40"/>
              <w:jc w:val="left"/>
              <w:rPr>
                <w:szCs w:val="22"/>
                <w:vertAlign w:val="superscript"/>
              </w:rPr>
            </w:pPr>
            <w:r w:rsidRPr="006A0C48">
              <w:rPr>
                <w:szCs w:val="22"/>
              </w:rPr>
              <w:t xml:space="preserve">15.1 Number of companies reporting on disclosures of risks, dependencies and impacts </w:t>
            </w:r>
            <w:r>
              <w:rPr>
                <w:szCs w:val="22"/>
              </w:rPr>
              <w:t xml:space="preserve">on </w:t>
            </w:r>
            <w:r w:rsidRPr="006A0C48">
              <w:rPr>
                <w:szCs w:val="22"/>
              </w:rPr>
              <w:t>biodiversity*</w:t>
            </w:r>
          </w:p>
        </w:tc>
      </w:tr>
      <w:tr w:rsidR="00005A3C" w:rsidRPr="006A0C48" w14:paraId="36A63E13" w14:textId="77777777" w:rsidTr="00EC38A7">
        <w:trPr>
          <w:trHeight w:val="332"/>
          <w:jc w:val="center"/>
        </w:trPr>
        <w:tc>
          <w:tcPr>
            <w:tcW w:w="1184" w:type="dxa"/>
            <w:shd w:val="clear" w:color="auto" w:fill="auto"/>
          </w:tcPr>
          <w:p w14:paraId="75336466" w14:textId="77777777" w:rsidR="00005A3C" w:rsidRPr="006A0C48" w:rsidRDefault="00005A3C" w:rsidP="00BC5121">
            <w:pPr>
              <w:spacing w:before="40" w:after="40"/>
              <w:rPr>
                <w:szCs w:val="22"/>
              </w:rPr>
            </w:pPr>
            <w:r w:rsidRPr="006A0C48">
              <w:rPr>
                <w:szCs w:val="22"/>
              </w:rPr>
              <w:t>16</w:t>
            </w:r>
            <w:r w:rsidRPr="006A0C48">
              <w:rPr>
                <w:b/>
                <w:bCs/>
                <w:szCs w:val="22"/>
                <w:vertAlign w:val="superscript"/>
              </w:rPr>
              <w:t>b</w:t>
            </w:r>
          </w:p>
        </w:tc>
        <w:tc>
          <w:tcPr>
            <w:tcW w:w="8450" w:type="dxa"/>
            <w:shd w:val="clear" w:color="auto" w:fill="auto"/>
          </w:tcPr>
          <w:p w14:paraId="4F9F8B0C" w14:textId="77777777" w:rsidR="00005A3C" w:rsidRPr="006A0C48" w:rsidRDefault="00005A3C" w:rsidP="00BC5121">
            <w:pPr>
              <w:spacing w:before="40" w:after="40"/>
              <w:rPr>
                <w:i/>
                <w:iCs/>
                <w:color w:val="000000"/>
                <w:szCs w:val="22"/>
              </w:rPr>
            </w:pPr>
            <w:r w:rsidRPr="006A0C48">
              <w:rPr>
                <w:szCs w:val="22"/>
              </w:rPr>
              <w:t>-</w:t>
            </w:r>
          </w:p>
        </w:tc>
      </w:tr>
      <w:tr w:rsidR="00005A3C" w:rsidRPr="006A0C48" w14:paraId="087CD0EB" w14:textId="77777777" w:rsidTr="00EC38A7">
        <w:trPr>
          <w:trHeight w:val="332"/>
          <w:jc w:val="center"/>
        </w:trPr>
        <w:tc>
          <w:tcPr>
            <w:tcW w:w="1184" w:type="dxa"/>
            <w:shd w:val="clear" w:color="auto" w:fill="auto"/>
          </w:tcPr>
          <w:p w14:paraId="22A83C44" w14:textId="77777777" w:rsidR="00005A3C" w:rsidRPr="006A0C48" w:rsidRDefault="00005A3C" w:rsidP="00BC5121">
            <w:pPr>
              <w:spacing w:before="40" w:after="40"/>
              <w:rPr>
                <w:szCs w:val="22"/>
              </w:rPr>
            </w:pPr>
            <w:r w:rsidRPr="006A0C48">
              <w:rPr>
                <w:szCs w:val="22"/>
              </w:rPr>
              <w:t>17</w:t>
            </w:r>
            <w:r w:rsidRPr="006A0C48">
              <w:rPr>
                <w:b/>
                <w:bCs/>
                <w:szCs w:val="22"/>
                <w:vertAlign w:val="superscript"/>
              </w:rPr>
              <w:t>b</w:t>
            </w:r>
          </w:p>
        </w:tc>
        <w:tc>
          <w:tcPr>
            <w:tcW w:w="8450" w:type="dxa"/>
            <w:shd w:val="clear" w:color="auto" w:fill="auto"/>
          </w:tcPr>
          <w:p w14:paraId="2B1CBC9E" w14:textId="77777777" w:rsidR="00005A3C" w:rsidRPr="006A0C48" w:rsidRDefault="00005A3C" w:rsidP="00BC5121">
            <w:pPr>
              <w:spacing w:before="40" w:after="40"/>
              <w:rPr>
                <w:i/>
                <w:iCs/>
                <w:color w:val="000000"/>
                <w:szCs w:val="22"/>
              </w:rPr>
            </w:pPr>
            <w:r w:rsidRPr="006A0C48">
              <w:rPr>
                <w:i/>
                <w:iCs/>
                <w:color w:val="000000"/>
                <w:szCs w:val="22"/>
              </w:rPr>
              <w:t>-</w:t>
            </w:r>
          </w:p>
        </w:tc>
      </w:tr>
      <w:tr w:rsidR="00005A3C" w:rsidRPr="006A0C48" w14:paraId="30203661" w14:textId="77777777" w:rsidTr="00EC38A7">
        <w:trPr>
          <w:trHeight w:val="656"/>
          <w:jc w:val="center"/>
        </w:trPr>
        <w:tc>
          <w:tcPr>
            <w:tcW w:w="1184" w:type="dxa"/>
            <w:shd w:val="clear" w:color="auto" w:fill="auto"/>
          </w:tcPr>
          <w:p w14:paraId="376780D8" w14:textId="77777777" w:rsidR="00005A3C" w:rsidRPr="006A0C48" w:rsidRDefault="00005A3C" w:rsidP="00BC5121">
            <w:pPr>
              <w:spacing w:before="40" w:after="40"/>
              <w:rPr>
                <w:szCs w:val="22"/>
              </w:rPr>
            </w:pPr>
            <w:r w:rsidRPr="006A0C48">
              <w:rPr>
                <w:szCs w:val="22"/>
              </w:rPr>
              <w:t>18</w:t>
            </w:r>
          </w:p>
          <w:p w14:paraId="18C69E29" w14:textId="77777777" w:rsidR="00005A3C" w:rsidRPr="006A0C48" w:rsidRDefault="00005A3C" w:rsidP="00BC5121">
            <w:pPr>
              <w:spacing w:before="40" w:after="40"/>
              <w:rPr>
                <w:szCs w:val="22"/>
              </w:rPr>
            </w:pPr>
          </w:p>
        </w:tc>
        <w:tc>
          <w:tcPr>
            <w:tcW w:w="8450" w:type="dxa"/>
            <w:shd w:val="clear" w:color="auto" w:fill="auto"/>
          </w:tcPr>
          <w:p w14:paraId="16AE4D82" w14:textId="77777777" w:rsidR="00005A3C" w:rsidRPr="006A0C48" w:rsidRDefault="00005A3C" w:rsidP="006726E6">
            <w:pPr>
              <w:spacing w:before="40" w:after="40"/>
              <w:jc w:val="left"/>
              <w:rPr>
                <w:color w:val="000000"/>
                <w:szCs w:val="22"/>
              </w:rPr>
            </w:pPr>
            <w:r w:rsidRPr="006A0C48">
              <w:rPr>
                <w:color w:val="000000"/>
                <w:szCs w:val="22"/>
              </w:rPr>
              <w:t>18.1 Positive incentives in place to promote biodiversity conservation and sustainable use</w:t>
            </w:r>
          </w:p>
          <w:p w14:paraId="37E03A10" w14:textId="77777777" w:rsidR="00005A3C" w:rsidRPr="006A0C48" w:rsidRDefault="00005A3C" w:rsidP="006726E6">
            <w:pPr>
              <w:spacing w:before="40" w:after="40"/>
              <w:jc w:val="left"/>
              <w:rPr>
                <w:szCs w:val="22"/>
              </w:rPr>
            </w:pPr>
            <w:r w:rsidRPr="006A0C48">
              <w:rPr>
                <w:szCs w:val="22"/>
              </w:rPr>
              <w:t>18.2 Value of subsidies and other incentives harmful to biodiversity that have been eliminated, phased out or reformed</w:t>
            </w:r>
          </w:p>
        </w:tc>
      </w:tr>
      <w:tr w:rsidR="00005A3C" w:rsidRPr="006A0C48" w14:paraId="1C590EBE" w14:textId="77777777" w:rsidTr="00EC38A7">
        <w:trPr>
          <w:jc w:val="center"/>
        </w:trPr>
        <w:tc>
          <w:tcPr>
            <w:tcW w:w="1184" w:type="dxa"/>
            <w:shd w:val="clear" w:color="auto" w:fill="auto"/>
          </w:tcPr>
          <w:p w14:paraId="5ED2F46A" w14:textId="77777777" w:rsidR="00005A3C" w:rsidRPr="006A0C48" w:rsidRDefault="00005A3C" w:rsidP="00BC5121">
            <w:pPr>
              <w:spacing w:before="40" w:after="40"/>
              <w:rPr>
                <w:szCs w:val="22"/>
              </w:rPr>
            </w:pPr>
            <w:r w:rsidRPr="006A0C48">
              <w:rPr>
                <w:szCs w:val="22"/>
              </w:rPr>
              <w:t>19</w:t>
            </w:r>
          </w:p>
        </w:tc>
        <w:tc>
          <w:tcPr>
            <w:tcW w:w="8450" w:type="dxa"/>
            <w:shd w:val="clear" w:color="auto" w:fill="auto"/>
          </w:tcPr>
          <w:p w14:paraId="5DF763CB" w14:textId="77777777" w:rsidR="00005A3C" w:rsidRPr="006A0C48" w:rsidRDefault="00005A3C" w:rsidP="006726E6">
            <w:pPr>
              <w:spacing w:before="40" w:after="40"/>
              <w:jc w:val="left"/>
              <w:rPr>
                <w:rFonts w:eastAsia="DengXian"/>
                <w:szCs w:val="22"/>
              </w:rPr>
            </w:pPr>
            <w:r w:rsidRPr="006A0C48">
              <w:rPr>
                <w:rFonts w:eastAsia="DengXian"/>
                <w:szCs w:val="22"/>
              </w:rPr>
              <w:t xml:space="preserve">D.1 International public funding, including official development assistance (ODA) for conservation and sustainable use of biodiversity and ecosystems </w:t>
            </w:r>
          </w:p>
          <w:p w14:paraId="76BC420D" w14:textId="77777777" w:rsidR="00005A3C" w:rsidRPr="006A0C48" w:rsidRDefault="00005A3C" w:rsidP="006726E6">
            <w:pPr>
              <w:spacing w:before="40" w:after="40"/>
              <w:jc w:val="left"/>
              <w:rPr>
                <w:rFonts w:eastAsia="DengXian"/>
                <w:szCs w:val="22"/>
              </w:rPr>
            </w:pPr>
            <w:r w:rsidRPr="006A0C48">
              <w:rPr>
                <w:rFonts w:eastAsia="DengXian"/>
                <w:szCs w:val="22"/>
              </w:rPr>
              <w:t xml:space="preserve">D.2 Domestic public funding on conservation and sustainable use of biodiversity and ecosystems </w:t>
            </w:r>
          </w:p>
          <w:p w14:paraId="2F3EEEB9" w14:textId="77777777" w:rsidR="00005A3C" w:rsidRPr="006A0C48" w:rsidRDefault="00005A3C" w:rsidP="006726E6">
            <w:pPr>
              <w:spacing w:before="40" w:after="40"/>
              <w:jc w:val="left"/>
              <w:rPr>
                <w:szCs w:val="22"/>
                <w:vertAlign w:val="superscript"/>
              </w:rPr>
            </w:pPr>
            <w:r w:rsidRPr="006A0C48">
              <w:rPr>
                <w:rFonts w:eastAsia="DengXian"/>
                <w:szCs w:val="22"/>
              </w:rPr>
              <w:t>D.3 Private funding (domestic and international) on conservation and sustainable use of biodiversity and ecosystems*</w:t>
            </w:r>
          </w:p>
        </w:tc>
      </w:tr>
      <w:tr w:rsidR="00005A3C" w:rsidRPr="006A0C48" w14:paraId="7287983E" w14:textId="77777777" w:rsidTr="00EC38A7">
        <w:trPr>
          <w:jc w:val="center"/>
        </w:trPr>
        <w:tc>
          <w:tcPr>
            <w:tcW w:w="1184" w:type="dxa"/>
            <w:shd w:val="clear" w:color="auto" w:fill="auto"/>
          </w:tcPr>
          <w:p w14:paraId="1F975934" w14:textId="77777777" w:rsidR="00005A3C" w:rsidRPr="006A0C48" w:rsidRDefault="00005A3C" w:rsidP="00BC5121">
            <w:pPr>
              <w:spacing w:before="40" w:after="40"/>
              <w:rPr>
                <w:szCs w:val="22"/>
              </w:rPr>
            </w:pPr>
            <w:r w:rsidRPr="006A0C48">
              <w:rPr>
                <w:szCs w:val="22"/>
              </w:rPr>
              <w:t>20</w:t>
            </w:r>
          </w:p>
        </w:tc>
        <w:tc>
          <w:tcPr>
            <w:tcW w:w="8450" w:type="dxa"/>
            <w:shd w:val="clear" w:color="auto" w:fill="auto"/>
          </w:tcPr>
          <w:p w14:paraId="0C45F2FD" w14:textId="77777777" w:rsidR="00005A3C" w:rsidRPr="006A0C48" w:rsidRDefault="00005A3C" w:rsidP="00BC5121">
            <w:pPr>
              <w:spacing w:before="40" w:after="40"/>
              <w:rPr>
                <w:szCs w:val="22"/>
              </w:rPr>
            </w:pPr>
            <w:r w:rsidRPr="006A0C48">
              <w:rPr>
                <w:szCs w:val="22"/>
              </w:rPr>
              <w:t>-</w:t>
            </w:r>
          </w:p>
        </w:tc>
      </w:tr>
      <w:tr w:rsidR="00005A3C" w:rsidRPr="006A0C48" w14:paraId="15469608" w14:textId="77777777" w:rsidTr="00EC38A7">
        <w:trPr>
          <w:jc w:val="center"/>
        </w:trPr>
        <w:tc>
          <w:tcPr>
            <w:tcW w:w="1184" w:type="dxa"/>
            <w:shd w:val="clear" w:color="auto" w:fill="auto"/>
          </w:tcPr>
          <w:p w14:paraId="56E8758A" w14:textId="77777777" w:rsidR="00005A3C" w:rsidRPr="006A0C48" w:rsidRDefault="00005A3C" w:rsidP="00BC5121">
            <w:pPr>
              <w:spacing w:before="40" w:after="40"/>
              <w:rPr>
                <w:szCs w:val="22"/>
              </w:rPr>
            </w:pPr>
            <w:r w:rsidRPr="006A0C48">
              <w:rPr>
                <w:szCs w:val="22"/>
              </w:rPr>
              <w:t>21</w:t>
            </w:r>
          </w:p>
        </w:tc>
        <w:tc>
          <w:tcPr>
            <w:tcW w:w="8450" w:type="dxa"/>
            <w:shd w:val="clear" w:color="auto" w:fill="auto"/>
          </w:tcPr>
          <w:p w14:paraId="2EF20214" w14:textId="77777777" w:rsidR="00005A3C" w:rsidRPr="006A0C48" w:rsidRDefault="00005A3C" w:rsidP="006726E6">
            <w:pPr>
              <w:spacing w:before="40" w:after="40"/>
              <w:jc w:val="left"/>
              <w:rPr>
                <w:i/>
                <w:iCs/>
                <w:szCs w:val="22"/>
              </w:rPr>
            </w:pPr>
            <w:r w:rsidRPr="006A0C48">
              <w:rPr>
                <w:szCs w:val="22"/>
              </w:rPr>
              <w:t xml:space="preserve">21.1 Indicator on biodiversity information for monitoring the Kunming-Montreal Global Biodiversity Framework </w:t>
            </w:r>
          </w:p>
        </w:tc>
      </w:tr>
      <w:tr w:rsidR="00005A3C" w:rsidRPr="006A0C48" w14:paraId="675C6B09" w14:textId="77777777" w:rsidTr="00EC38A7">
        <w:trPr>
          <w:jc w:val="center"/>
        </w:trPr>
        <w:tc>
          <w:tcPr>
            <w:tcW w:w="1184" w:type="dxa"/>
            <w:shd w:val="clear" w:color="auto" w:fill="auto"/>
          </w:tcPr>
          <w:p w14:paraId="4FF65F70" w14:textId="77777777" w:rsidR="00005A3C" w:rsidRPr="006A0C48" w:rsidRDefault="00005A3C" w:rsidP="00BC5121">
            <w:pPr>
              <w:spacing w:before="40" w:after="40"/>
              <w:rPr>
                <w:szCs w:val="22"/>
              </w:rPr>
            </w:pPr>
            <w:r w:rsidRPr="006A0C48">
              <w:rPr>
                <w:szCs w:val="22"/>
              </w:rPr>
              <w:t>22</w:t>
            </w:r>
            <w:r w:rsidRPr="006A0C48">
              <w:rPr>
                <w:szCs w:val="22"/>
                <w:vertAlign w:val="superscript"/>
              </w:rPr>
              <w:t>b</w:t>
            </w:r>
          </w:p>
        </w:tc>
        <w:tc>
          <w:tcPr>
            <w:tcW w:w="8450" w:type="dxa"/>
            <w:shd w:val="clear" w:color="auto" w:fill="auto"/>
          </w:tcPr>
          <w:p w14:paraId="39B81DCF" w14:textId="77777777" w:rsidR="00005A3C" w:rsidRPr="006A0C48" w:rsidRDefault="00005A3C" w:rsidP="00BC5121">
            <w:pPr>
              <w:spacing w:before="40" w:after="40"/>
              <w:rPr>
                <w:szCs w:val="22"/>
              </w:rPr>
            </w:pPr>
            <w:r w:rsidRPr="006A0C48">
              <w:rPr>
                <w:szCs w:val="22"/>
              </w:rPr>
              <w:t>-</w:t>
            </w:r>
          </w:p>
        </w:tc>
      </w:tr>
      <w:tr w:rsidR="00005A3C" w:rsidRPr="006A0C48" w14:paraId="486D9BE8" w14:textId="77777777" w:rsidTr="00EC38A7">
        <w:trPr>
          <w:jc w:val="center"/>
        </w:trPr>
        <w:tc>
          <w:tcPr>
            <w:tcW w:w="1184" w:type="dxa"/>
            <w:shd w:val="clear" w:color="auto" w:fill="auto"/>
          </w:tcPr>
          <w:p w14:paraId="5F831421" w14:textId="77777777" w:rsidR="00005A3C" w:rsidRPr="006A0C48" w:rsidRDefault="00005A3C" w:rsidP="00BC5121">
            <w:pPr>
              <w:spacing w:before="40" w:after="40"/>
              <w:rPr>
                <w:szCs w:val="22"/>
              </w:rPr>
            </w:pPr>
            <w:r w:rsidRPr="006A0C48">
              <w:rPr>
                <w:szCs w:val="22"/>
              </w:rPr>
              <w:t>23</w:t>
            </w:r>
            <w:r w:rsidRPr="006A0C48">
              <w:rPr>
                <w:szCs w:val="22"/>
                <w:vertAlign w:val="superscript"/>
              </w:rPr>
              <w:t>b</w:t>
            </w:r>
          </w:p>
        </w:tc>
        <w:tc>
          <w:tcPr>
            <w:tcW w:w="8450" w:type="dxa"/>
            <w:shd w:val="clear" w:color="auto" w:fill="auto"/>
          </w:tcPr>
          <w:p w14:paraId="42A82A5A" w14:textId="77777777" w:rsidR="00005A3C" w:rsidRPr="006A0C48" w:rsidRDefault="00005A3C" w:rsidP="00BC5121">
            <w:pPr>
              <w:spacing w:before="40" w:after="40"/>
              <w:rPr>
                <w:szCs w:val="22"/>
              </w:rPr>
            </w:pPr>
            <w:r w:rsidRPr="006A0C48">
              <w:rPr>
                <w:szCs w:val="22"/>
              </w:rPr>
              <w:t>-</w:t>
            </w:r>
          </w:p>
        </w:tc>
      </w:tr>
    </w:tbl>
    <w:p w14:paraId="3002EB9F" w14:textId="77777777" w:rsidR="00005A3C" w:rsidRPr="006A0C48" w:rsidRDefault="00005A3C" w:rsidP="00BC5121">
      <w:pPr>
        <w:pStyle w:val="ListParagraph"/>
        <w:ind w:left="0"/>
        <w:rPr>
          <w:sz w:val="20"/>
          <w:szCs w:val="20"/>
        </w:rPr>
      </w:pPr>
    </w:p>
    <w:p w14:paraId="7B161284" w14:textId="77777777" w:rsidR="00005A3C" w:rsidRPr="006A0C48" w:rsidRDefault="00005A3C" w:rsidP="00BC5121">
      <w:pPr>
        <w:pStyle w:val="ListParagraph"/>
        <w:ind w:left="0"/>
        <w:jc w:val="center"/>
        <w:rPr>
          <w:b/>
          <w:bCs/>
        </w:rPr>
      </w:pPr>
    </w:p>
    <w:p w14:paraId="18D15767" w14:textId="77777777" w:rsidR="00005A3C" w:rsidRPr="006A0C48" w:rsidRDefault="00005A3C" w:rsidP="00BC5121">
      <w:pPr>
        <w:spacing w:after="120"/>
        <w:jc w:val="center"/>
        <w:rPr>
          <w:rFonts w:asciiTheme="majorBidi" w:hAnsiTheme="majorBidi" w:cstheme="majorBidi"/>
          <w:b/>
          <w:bCs/>
          <w:snapToGrid w:val="0"/>
        </w:rPr>
        <w:sectPr w:rsidR="00005A3C" w:rsidRPr="006A0C48" w:rsidSect="00FF09AC">
          <w:headerReference w:type="even" r:id="rId18"/>
          <w:headerReference w:type="default" r:id="rId19"/>
          <w:headerReference w:type="first" r:id="rId20"/>
          <w:footnotePr>
            <w:numRestart w:val="eachSect"/>
          </w:footnotePr>
          <w:pgSz w:w="12240" w:h="15840"/>
          <w:pgMar w:top="567" w:right="1440" w:bottom="1134" w:left="1440" w:header="709" w:footer="709" w:gutter="0"/>
          <w:cols w:space="708"/>
          <w:docGrid w:linePitch="360"/>
        </w:sectPr>
      </w:pPr>
    </w:p>
    <w:p w14:paraId="3212D13A" w14:textId="77777777" w:rsidR="00005A3C" w:rsidRPr="006A0C48" w:rsidRDefault="00005A3C" w:rsidP="00BC374B">
      <w:pPr>
        <w:spacing w:after="120"/>
        <w:jc w:val="left"/>
        <w:rPr>
          <w:rFonts w:asciiTheme="majorBidi" w:hAnsiTheme="majorBidi" w:cstheme="majorBidi"/>
          <w:b/>
          <w:bCs/>
        </w:rPr>
      </w:pPr>
      <w:r w:rsidRPr="006A0C48">
        <w:rPr>
          <w:rFonts w:asciiTheme="majorBidi" w:hAnsiTheme="majorBidi" w:cstheme="majorBidi"/>
          <w:b/>
          <w:bCs/>
          <w:snapToGrid w:val="0"/>
        </w:rPr>
        <w:lastRenderedPageBreak/>
        <w:t>Table 2. Proposed indicators for the Kunming-Montreal</w:t>
      </w:r>
      <w:r w:rsidRPr="006A0C48">
        <w:rPr>
          <w:kern w:val="22"/>
        </w:rPr>
        <w:t xml:space="preserve"> </w:t>
      </w:r>
      <w:r w:rsidRPr="006A0C48">
        <w:rPr>
          <w:rFonts w:asciiTheme="majorBidi" w:hAnsiTheme="majorBidi" w:cstheme="majorBidi"/>
          <w:b/>
          <w:bCs/>
          <w:snapToGrid w:val="0"/>
        </w:rPr>
        <w:t xml:space="preserve">Global Biodiversity Framework </w:t>
      </w:r>
    </w:p>
    <w:tbl>
      <w:tblPr>
        <w:tblStyle w:val="TableGrid"/>
        <w:tblW w:w="13036" w:type="dxa"/>
        <w:shd w:val="clear" w:color="auto" w:fill="FFFFFF" w:themeFill="background1"/>
        <w:tblLayout w:type="fixed"/>
        <w:tblLook w:val="04A0" w:firstRow="1" w:lastRow="0" w:firstColumn="1" w:lastColumn="0" w:noHBand="0" w:noVBand="1"/>
      </w:tblPr>
      <w:tblGrid>
        <w:gridCol w:w="846"/>
        <w:gridCol w:w="3260"/>
        <w:gridCol w:w="3567"/>
        <w:gridCol w:w="5363"/>
      </w:tblGrid>
      <w:tr w:rsidR="00005A3C" w:rsidRPr="006A0C48" w14:paraId="29DF5BDF" w14:textId="77777777" w:rsidTr="00967EE7">
        <w:trPr>
          <w:trHeight w:val="300"/>
          <w:tblHeader/>
        </w:trPr>
        <w:tc>
          <w:tcPr>
            <w:tcW w:w="846" w:type="dxa"/>
            <w:shd w:val="clear" w:color="auto" w:fill="FFFFFF" w:themeFill="background1"/>
            <w:tcMar>
              <w:left w:w="57" w:type="dxa"/>
              <w:right w:w="57" w:type="dxa"/>
            </w:tcMar>
          </w:tcPr>
          <w:p w14:paraId="16F16A80" w14:textId="77777777" w:rsidR="00005A3C" w:rsidRPr="006A0C48" w:rsidRDefault="00005A3C" w:rsidP="00BC5121">
            <w:pPr>
              <w:spacing w:before="60" w:after="80"/>
              <w:rPr>
                <w:szCs w:val="22"/>
              </w:rPr>
            </w:pPr>
            <w:r w:rsidRPr="006A0C48">
              <w:rPr>
                <w:b/>
                <w:bCs/>
                <w:szCs w:val="22"/>
              </w:rPr>
              <w:t>Goal/ Target</w:t>
            </w:r>
          </w:p>
        </w:tc>
        <w:tc>
          <w:tcPr>
            <w:tcW w:w="3260" w:type="dxa"/>
            <w:shd w:val="clear" w:color="auto" w:fill="FFFFFF" w:themeFill="background1"/>
          </w:tcPr>
          <w:p w14:paraId="468F6E77" w14:textId="77777777" w:rsidR="00005A3C" w:rsidRPr="006A0C48" w:rsidRDefault="00005A3C" w:rsidP="006726E6">
            <w:pPr>
              <w:spacing w:before="60"/>
              <w:jc w:val="center"/>
              <w:rPr>
                <w:szCs w:val="22"/>
              </w:rPr>
            </w:pPr>
            <w:r w:rsidRPr="006A0C48">
              <w:rPr>
                <w:b/>
                <w:bCs/>
                <w:szCs w:val="22"/>
              </w:rPr>
              <w:t>Headline indicator</w:t>
            </w:r>
          </w:p>
        </w:tc>
        <w:tc>
          <w:tcPr>
            <w:tcW w:w="3567" w:type="dxa"/>
            <w:shd w:val="clear" w:color="auto" w:fill="FFFFFF" w:themeFill="background1"/>
          </w:tcPr>
          <w:p w14:paraId="078DAD64" w14:textId="77777777" w:rsidR="00005A3C" w:rsidRPr="006A0C48" w:rsidRDefault="00005A3C" w:rsidP="006726E6">
            <w:pPr>
              <w:spacing w:before="60" w:after="80"/>
              <w:jc w:val="center"/>
              <w:rPr>
                <w:szCs w:val="22"/>
              </w:rPr>
            </w:pPr>
            <w:r w:rsidRPr="006A0C48">
              <w:rPr>
                <w:b/>
                <w:bCs/>
                <w:szCs w:val="22"/>
              </w:rPr>
              <w:t>Component indicator</w:t>
            </w:r>
          </w:p>
        </w:tc>
        <w:tc>
          <w:tcPr>
            <w:tcW w:w="5363" w:type="dxa"/>
            <w:shd w:val="clear" w:color="auto" w:fill="FFFFFF" w:themeFill="background1"/>
          </w:tcPr>
          <w:p w14:paraId="614186DB" w14:textId="77777777" w:rsidR="00005A3C" w:rsidRPr="006A0C48" w:rsidRDefault="00005A3C" w:rsidP="006726E6">
            <w:pPr>
              <w:spacing w:before="60" w:after="80"/>
              <w:jc w:val="center"/>
              <w:rPr>
                <w:szCs w:val="22"/>
              </w:rPr>
            </w:pPr>
            <w:r w:rsidRPr="006A0C48">
              <w:rPr>
                <w:b/>
                <w:bCs/>
                <w:szCs w:val="22"/>
              </w:rPr>
              <w:t>Complementary indicator</w:t>
            </w:r>
          </w:p>
        </w:tc>
      </w:tr>
      <w:tr w:rsidR="00005A3C" w:rsidRPr="006A0C48" w14:paraId="03016765" w14:textId="77777777" w:rsidTr="00967EE7">
        <w:trPr>
          <w:trHeight w:val="300"/>
        </w:trPr>
        <w:tc>
          <w:tcPr>
            <w:tcW w:w="846" w:type="dxa"/>
            <w:shd w:val="clear" w:color="auto" w:fill="FFFFFF" w:themeFill="background1"/>
          </w:tcPr>
          <w:p w14:paraId="78D44B75" w14:textId="77777777" w:rsidR="00005A3C" w:rsidRPr="006A0C48" w:rsidRDefault="00005A3C" w:rsidP="00BC5121">
            <w:pPr>
              <w:spacing w:before="80" w:after="80"/>
              <w:rPr>
                <w:szCs w:val="22"/>
              </w:rPr>
            </w:pPr>
            <w:r w:rsidRPr="006A0C48">
              <w:rPr>
                <w:szCs w:val="22"/>
              </w:rPr>
              <w:t>A</w:t>
            </w:r>
          </w:p>
        </w:tc>
        <w:tc>
          <w:tcPr>
            <w:tcW w:w="3260" w:type="dxa"/>
            <w:shd w:val="clear" w:color="auto" w:fill="FFFFFF" w:themeFill="background1"/>
          </w:tcPr>
          <w:p w14:paraId="035FB25B" w14:textId="77777777" w:rsidR="00005A3C" w:rsidRPr="006A0C48" w:rsidRDefault="00005A3C" w:rsidP="00BC5121">
            <w:pPr>
              <w:spacing w:before="40" w:after="40"/>
              <w:rPr>
                <w:szCs w:val="22"/>
              </w:rPr>
            </w:pPr>
            <w:r w:rsidRPr="006A0C48">
              <w:rPr>
                <w:szCs w:val="22"/>
              </w:rPr>
              <w:t xml:space="preserve">A.1 Red List of Ecosystems </w:t>
            </w:r>
          </w:p>
          <w:p w14:paraId="094A0170" w14:textId="77777777" w:rsidR="00005A3C" w:rsidRPr="006A0C48" w:rsidRDefault="00005A3C" w:rsidP="00BC5121">
            <w:pPr>
              <w:tabs>
                <w:tab w:val="left" w:pos="4813"/>
              </w:tabs>
              <w:spacing w:before="40" w:after="40"/>
              <w:rPr>
                <w:szCs w:val="22"/>
              </w:rPr>
            </w:pPr>
            <w:r w:rsidRPr="006A0C48">
              <w:rPr>
                <w:szCs w:val="22"/>
              </w:rPr>
              <w:t xml:space="preserve">A.2 Extent of natural ecosystems </w:t>
            </w:r>
          </w:p>
          <w:p w14:paraId="7725D7E3" w14:textId="77777777" w:rsidR="00005A3C" w:rsidRPr="006A0C48" w:rsidRDefault="00005A3C" w:rsidP="00BC5121">
            <w:pPr>
              <w:spacing w:before="40" w:after="40"/>
              <w:rPr>
                <w:szCs w:val="22"/>
              </w:rPr>
            </w:pPr>
            <w:r w:rsidRPr="006A0C48">
              <w:rPr>
                <w:szCs w:val="22"/>
              </w:rPr>
              <w:t>A.3 Red List Index</w:t>
            </w:r>
          </w:p>
          <w:p w14:paraId="01D81422" w14:textId="77777777" w:rsidR="00005A3C" w:rsidRPr="006A0C48" w:rsidRDefault="00005A3C" w:rsidP="006726E6">
            <w:pPr>
              <w:spacing w:before="80" w:after="80"/>
              <w:jc w:val="left"/>
              <w:rPr>
                <w:szCs w:val="22"/>
              </w:rPr>
            </w:pPr>
            <w:r w:rsidRPr="006A0C48">
              <w:rPr>
                <w:szCs w:val="22"/>
              </w:rPr>
              <w:t>A.4 The proportion of populations within species with an effective population size &gt; 500</w:t>
            </w:r>
          </w:p>
        </w:tc>
        <w:tc>
          <w:tcPr>
            <w:tcW w:w="3567" w:type="dxa"/>
            <w:shd w:val="clear" w:color="auto" w:fill="FFFFFF" w:themeFill="background1"/>
          </w:tcPr>
          <w:p w14:paraId="598908C8" w14:textId="77777777" w:rsidR="00005A3C" w:rsidRPr="006A0C48" w:rsidRDefault="00005A3C" w:rsidP="00BC5121">
            <w:pPr>
              <w:spacing w:before="80" w:after="80"/>
              <w:rPr>
                <w:szCs w:val="22"/>
              </w:rPr>
            </w:pPr>
            <w:r w:rsidRPr="006A0C48">
              <w:rPr>
                <w:szCs w:val="22"/>
              </w:rPr>
              <w:t xml:space="preserve">Ecosystem Intactness Index </w:t>
            </w:r>
          </w:p>
          <w:p w14:paraId="7922D5D8" w14:textId="77777777" w:rsidR="00005A3C" w:rsidRPr="006A0C48" w:rsidRDefault="00005A3C" w:rsidP="00BC5121">
            <w:pPr>
              <w:spacing w:before="80" w:after="80"/>
              <w:rPr>
                <w:szCs w:val="22"/>
              </w:rPr>
            </w:pPr>
            <w:r w:rsidRPr="006A0C48">
              <w:rPr>
                <w:szCs w:val="22"/>
              </w:rPr>
              <w:t>Ecosystem Integrity Index</w:t>
            </w:r>
          </w:p>
          <w:p w14:paraId="4872B39C" w14:textId="77777777" w:rsidR="00005A3C" w:rsidRPr="006A0C48" w:rsidRDefault="00005A3C" w:rsidP="00BC5121">
            <w:pPr>
              <w:spacing w:before="80" w:after="80"/>
              <w:rPr>
                <w:szCs w:val="22"/>
              </w:rPr>
            </w:pPr>
            <w:r w:rsidRPr="006A0C48">
              <w:rPr>
                <w:szCs w:val="22"/>
              </w:rPr>
              <w:t>Species Habitat Index</w:t>
            </w:r>
          </w:p>
          <w:p w14:paraId="73613020" w14:textId="77777777" w:rsidR="00005A3C" w:rsidRPr="006A0C48" w:rsidRDefault="00005A3C" w:rsidP="00BC5121">
            <w:pPr>
              <w:spacing w:before="80" w:after="80"/>
              <w:rPr>
                <w:szCs w:val="22"/>
              </w:rPr>
            </w:pPr>
            <w:r w:rsidRPr="006A0C48">
              <w:rPr>
                <w:szCs w:val="22"/>
              </w:rPr>
              <w:t xml:space="preserve">Biodiversity Habitat Index </w:t>
            </w:r>
          </w:p>
          <w:p w14:paraId="72802E43" w14:textId="77777777" w:rsidR="00005A3C" w:rsidRPr="006A0C48" w:rsidRDefault="00005A3C" w:rsidP="00BC5121">
            <w:pPr>
              <w:spacing w:before="80" w:after="80"/>
              <w:rPr>
                <w:szCs w:val="22"/>
              </w:rPr>
            </w:pPr>
            <w:r w:rsidRPr="006A0C48">
              <w:rPr>
                <w:szCs w:val="22"/>
              </w:rPr>
              <w:t>Protected Connected (Protconn) index</w:t>
            </w:r>
          </w:p>
          <w:p w14:paraId="3A7BBD3F" w14:textId="77777777" w:rsidR="00005A3C" w:rsidRPr="006A0C48" w:rsidRDefault="00005A3C" w:rsidP="00BC5121">
            <w:pPr>
              <w:spacing w:before="80" w:after="80"/>
              <w:rPr>
                <w:szCs w:val="22"/>
              </w:rPr>
            </w:pPr>
            <w:r w:rsidRPr="006A0C48">
              <w:rPr>
                <w:szCs w:val="22"/>
              </w:rPr>
              <w:t>Parc connectedness</w:t>
            </w:r>
          </w:p>
          <w:p w14:paraId="3817EBEF" w14:textId="77777777" w:rsidR="00005A3C" w:rsidRPr="006A0C48" w:rsidRDefault="00005A3C" w:rsidP="00BC5121">
            <w:pPr>
              <w:spacing w:before="80" w:after="80"/>
              <w:rPr>
                <w:szCs w:val="22"/>
              </w:rPr>
            </w:pPr>
            <w:r w:rsidRPr="006A0C48">
              <w:rPr>
                <w:szCs w:val="22"/>
              </w:rPr>
              <w:t>EDGE</w:t>
            </w:r>
          </w:p>
          <w:p w14:paraId="08C305B2" w14:textId="77777777" w:rsidR="00005A3C" w:rsidRPr="006A0C48" w:rsidRDefault="00005A3C" w:rsidP="00BC5121">
            <w:pPr>
              <w:spacing w:before="80" w:after="80"/>
              <w:rPr>
                <w:szCs w:val="22"/>
              </w:rPr>
            </w:pPr>
            <w:r w:rsidRPr="006A0C48">
              <w:rPr>
                <w:szCs w:val="22"/>
              </w:rPr>
              <w:t>Living Planet Index</w:t>
            </w:r>
          </w:p>
          <w:p w14:paraId="3CBE3749" w14:textId="77777777" w:rsidR="00005A3C" w:rsidRPr="006A0C48" w:rsidRDefault="00005A3C" w:rsidP="006726E6">
            <w:pPr>
              <w:spacing w:before="80" w:after="80"/>
              <w:jc w:val="left"/>
              <w:rPr>
                <w:szCs w:val="22"/>
              </w:rPr>
            </w:pPr>
            <w:r w:rsidRPr="006A0C48">
              <w:rPr>
                <w:szCs w:val="22"/>
              </w:rPr>
              <w:t>Change in the extent of water-related ecosystems over time</w:t>
            </w:r>
          </w:p>
          <w:p w14:paraId="685BB925" w14:textId="77777777" w:rsidR="00005A3C" w:rsidRPr="006A0C48" w:rsidRDefault="00005A3C" w:rsidP="00BC5121">
            <w:pPr>
              <w:spacing w:before="80" w:after="80"/>
              <w:rPr>
                <w:szCs w:val="22"/>
              </w:rPr>
            </w:pPr>
          </w:p>
        </w:tc>
        <w:tc>
          <w:tcPr>
            <w:tcW w:w="5363" w:type="dxa"/>
            <w:shd w:val="clear" w:color="auto" w:fill="FFFFFF" w:themeFill="background1"/>
          </w:tcPr>
          <w:p w14:paraId="21DAA12D" w14:textId="77777777" w:rsidR="00005A3C" w:rsidRPr="006A0C48" w:rsidRDefault="00005A3C" w:rsidP="006726E6">
            <w:pPr>
              <w:spacing w:before="80" w:after="80"/>
              <w:jc w:val="left"/>
              <w:rPr>
                <w:szCs w:val="22"/>
              </w:rPr>
            </w:pPr>
            <w:r w:rsidRPr="006A0C48">
              <w:rPr>
                <w:szCs w:val="22"/>
              </w:rPr>
              <w:t xml:space="preserve">Forest area as a proportion of total land area  </w:t>
            </w:r>
          </w:p>
          <w:p w14:paraId="5B6601EE" w14:textId="77777777" w:rsidR="00005A3C" w:rsidRPr="006A0C48" w:rsidRDefault="00005A3C" w:rsidP="006726E6">
            <w:pPr>
              <w:spacing w:before="80" w:after="80"/>
              <w:jc w:val="left"/>
              <w:rPr>
                <w:szCs w:val="22"/>
              </w:rPr>
            </w:pPr>
            <w:r w:rsidRPr="006A0C48">
              <w:rPr>
                <w:szCs w:val="22"/>
              </w:rPr>
              <w:t>Forest distribution</w:t>
            </w:r>
          </w:p>
          <w:p w14:paraId="7364E558" w14:textId="77777777" w:rsidR="00005A3C" w:rsidRPr="006A0C48" w:rsidRDefault="00005A3C" w:rsidP="006726E6">
            <w:pPr>
              <w:spacing w:before="80" w:after="80"/>
              <w:jc w:val="left"/>
              <w:rPr>
                <w:szCs w:val="22"/>
              </w:rPr>
            </w:pPr>
            <w:r w:rsidRPr="006A0C48">
              <w:rPr>
                <w:szCs w:val="22"/>
              </w:rPr>
              <w:t>Tree cover loss</w:t>
            </w:r>
          </w:p>
          <w:p w14:paraId="00BF51AA" w14:textId="77777777" w:rsidR="00005A3C" w:rsidRPr="006A0C48" w:rsidRDefault="00005A3C" w:rsidP="006726E6">
            <w:pPr>
              <w:spacing w:before="80" w:after="80"/>
              <w:jc w:val="left"/>
              <w:rPr>
                <w:szCs w:val="22"/>
              </w:rPr>
            </w:pPr>
            <w:r w:rsidRPr="006A0C48">
              <w:rPr>
                <w:szCs w:val="22"/>
              </w:rPr>
              <w:t>Grassland and savannah extent</w:t>
            </w:r>
          </w:p>
          <w:p w14:paraId="46ACA16D" w14:textId="77777777" w:rsidR="00005A3C" w:rsidRPr="006A0C48" w:rsidRDefault="00005A3C" w:rsidP="006726E6">
            <w:pPr>
              <w:spacing w:before="80" w:after="80"/>
              <w:jc w:val="left"/>
              <w:rPr>
                <w:szCs w:val="22"/>
              </w:rPr>
            </w:pPr>
            <w:r w:rsidRPr="006A0C48">
              <w:rPr>
                <w:szCs w:val="22"/>
              </w:rPr>
              <w:t>Mountain Green Cover Index</w:t>
            </w:r>
          </w:p>
          <w:p w14:paraId="67B9B50D" w14:textId="77777777" w:rsidR="00005A3C" w:rsidRPr="006A0C48" w:rsidRDefault="00005A3C" w:rsidP="006726E6">
            <w:pPr>
              <w:spacing w:before="80" w:after="80"/>
              <w:jc w:val="left"/>
              <w:rPr>
                <w:szCs w:val="22"/>
              </w:rPr>
            </w:pPr>
            <w:r w:rsidRPr="006A0C48">
              <w:rPr>
                <w:szCs w:val="22"/>
              </w:rPr>
              <w:t>Peatland extent and condition</w:t>
            </w:r>
          </w:p>
          <w:p w14:paraId="5A63B2F3" w14:textId="77777777" w:rsidR="00005A3C" w:rsidRPr="006A0C48" w:rsidRDefault="00005A3C" w:rsidP="006726E6">
            <w:pPr>
              <w:spacing w:before="80" w:after="80"/>
              <w:jc w:val="left"/>
              <w:rPr>
                <w:szCs w:val="22"/>
              </w:rPr>
            </w:pPr>
            <w:r w:rsidRPr="006A0C48">
              <w:rPr>
                <w:szCs w:val="22"/>
              </w:rPr>
              <w:t>Permafrost thickness, depth and extent</w:t>
            </w:r>
          </w:p>
          <w:p w14:paraId="3DD4FE74" w14:textId="77777777" w:rsidR="00005A3C" w:rsidRPr="006A0C48" w:rsidRDefault="00005A3C" w:rsidP="006726E6">
            <w:pPr>
              <w:spacing w:before="80" w:after="80"/>
              <w:jc w:val="left"/>
              <w:rPr>
                <w:szCs w:val="22"/>
              </w:rPr>
            </w:pPr>
            <w:r w:rsidRPr="006A0C48">
              <w:rPr>
                <w:szCs w:val="22"/>
              </w:rPr>
              <w:t>Continuous global mangrove forest cover</w:t>
            </w:r>
          </w:p>
          <w:p w14:paraId="2F326A61" w14:textId="77777777" w:rsidR="00005A3C" w:rsidRPr="006A0C48" w:rsidRDefault="00005A3C" w:rsidP="006726E6">
            <w:pPr>
              <w:spacing w:before="80" w:after="80"/>
              <w:jc w:val="left"/>
              <w:rPr>
                <w:szCs w:val="22"/>
              </w:rPr>
            </w:pPr>
            <w:r w:rsidRPr="006A0C48">
              <w:rPr>
                <w:szCs w:val="22"/>
              </w:rPr>
              <w:t>Trends in mangrove forest fragmentation</w:t>
            </w:r>
          </w:p>
          <w:p w14:paraId="3C27D498" w14:textId="77777777" w:rsidR="00005A3C" w:rsidRPr="006A0C48" w:rsidRDefault="00005A3C" w:rsidP="006726E6">
            <w:pPr>
              <w:spacing w:before="80" w:after="80"/>
              <w:jc w:val="left"/>
              <w:rPr>
                <w:szCs w:val="22"/>
              </w:rPr>
            </w:pPr>
            <w:r w:rsidRPr="006A0C48">
              <w:rPr>
                <w:szCs w:val="22"/>
              </w:rPr>
              <w:t>Trends in mangrove extent</w:t>
            </w:r>
          </w:p>
          <w:p w14:paraId="5F139E63" w14:textId="77777777" w:rsidR="00005A3C" w:rsidRPr="006A0C48" w:rsidRDefault="00005A3C" w:rsidP="006726E6">
            <w:pPr>
              <w:spacing w:before="80" w:after="80"/>
              <w:jc w:val="left"/>
              <w:rPr>
                <w:szCs w:val="22"/>
              </w:rPr>
            </w:pPr>
            <w:r w:rsidRPr="006A0C48">
              <w:rPr>
                <w:szCs w:val="22"/>
              </w:rPr>
              <w:t xml:space="preserve">Live coral cover </w:t>
            </w:r>
          </w:p>
          <w:p w14:paraId="0EB02DA2" w14:textId="77777777" w:rsidR="00005A3C" w:rsidRPr="006A0C48" w:rsidRDefault="00005A3C" w:rsidP="006726E6">
            <w:pPr>
              <w:spacing w:before="80" w:after="80"/>
              <w:jc w:val="left"/>
              <w:rPr>
                <w:szCs w:val="22"/>
              </w:rPr>
            </w:pPr>
            <w:r w:rsidRPr="006A0C48">
              <w:rPr>
                <w:szCs w:val="22"/>
              </w:rPr>
              <w:t xml:space="preserve">Hard coral cover and composition </w:t>
            </w:r>
          </w:p>
          <w:p w14:paraId="17D36863" w14:textId="77777777" w:rsidR="00005A3C" w:rsidRPr="006A0C48" w:rsidRDefault="00005A3C" w:rsidP="006726E6">
            <w:pPr>
              <w:spacing w:before="80" w:after="80"/>
              <w:jc w:val="left"/>
              <w:rPr>
                <w:szCs w:val="22"/>
              </w:rPr>
            </w:pPr>
            <w:r w:rsidRPr="006A0C48">
              <w:rPr>
                <w:szCs w:val="22"/>
              </w:rPr>
              <w:t xml:space="preserve">Global coral reef extent </w:t>
            </w:r>
          </w:p>
          <w:p w14:paraId="24584AD9" w14:textId="77777777" w:rsidR="00005A3C" w:rsidRPr="006A0C48" w:rsidRDefault="00005A3C" w:rsidP="006726E6">
            <w:pPr>
              <w:spacing w:before="80" w:after="80"/>
              <w:jc w:val="left"/>
              <w:rPr>
                <w:szCs w:val="22"/>
              </w:rPr>
            </w:pPr>
            <w:r w:rsidRPr="006A0C48">
              <w:rPr>
                <w:szCs w:val="22"/>
              </w:rPr>
              <w:t xml:space="preserve">Global seagrass extent (Seagrass Cover and composition) </w:t>
            </w:r>
          </w:p>
          <w:p w14:paraId="6A3C391A" w14:textId="77777777" w:rsidR="00005A3C" w:rsidRPr="006A0C48" w:rsidRDefault="00005A3C" w:rsidP="006726E6">
            <w:pPr>
              <w:spacing w:before="80" w:after="80"/>
              <w:jc w:val="left"/>
              <w:rPr>
                <w:szCs w:val="22"/>
              </w:rPr>
            </w:pPr>
            <w:r w:rsidRPr="006A0C48">
              <w:rPr>
                <w:szCs w:val="22"/>
              </w:rPr>
              <w:t>Global saltmarsh extent</w:t>
            </w:r>
          </w:p>
          <w:p w14:paraId="23678538" w14:textId="77777777" w:rsidR="00005A3C" w:rsidRPr="006A0C48" w:rsidRDefault="00005A3C" w:rsidP="006726E6">
            <w:pPr>
              <w:spacing w:before="80" w:after="80"/>
              <w:jc w:val="left"/>
              <w:rPr>
                <w:szCs w:val="22"/>
              </w:rPr>
            </w:pPr>
            <w:r w:rsidRPr="006A0C48">
              <w:rPr>
                <w:szCs w:val="22"/>
              </w:rPr>
              <w:t>Kelp canopy extent</w:t>
            </w:r>
          </w:p>
          <w:p w14:paraId="556E88F6" w14:textId="77777777" w:rsidR="00005A3C" w:rsidRPr="006A0C48" w:rsidRDefault="00005A3C" w:rsidP="006726E6">
            <w:pPr>
              <w:spacing w:before="80" w:after="80"/>
              <w:jc w:val="left"/>
              <w:rPr>
                <w:szCs w:val="22"/>
              </w:rPr>
            </w:pPr>
            <w:r w:rsidRPr="006A0C48">
              <w:rPr>
                <w:szCs w:val="22"/>
              </w:rPr>
              <w:t>Macroalgal canopy cover and composition</w:t>
            </w:r>
          </w:p>
          <w:p w14:paraId="0C893A7C" w14:textId="77777777" w:rsidR="00005A3C" w:rsidRPr="006A0C48" w:rsidRDefault="00005A3C" w:rsidP="006726E6">
            <w:pPr>
              <w:spacing w:before="80" w:after="80"/>
              <w:jc w:val="left"/>
              <w:rPr>
                <w:szCs w:val="22"/>
              </w:rPr>
            </w:pPr>
            <w:r w:rsidRPr="006A0C48">
              <w:rPr>
                <w:szCs w:val="22"/>
              </w:rPr>
              <w:t>Cover of key benthic groups</w:t>
            </w:r>
          </w:p>
          <w:p w14:paraId="079556DB" w14:textId="77777777" w:rsidR="00005A3C" w:rsidRPr="006A0C48" w:rsidRDefault="00005A3C" w:rsidP="006726E6">
            <w:pPr>
              <w:spacing w:before="80" w:after="80"/>
              <w:jc w:val="left"/>
              <w:rPr>
                <w:szCs w:val="22"/>
              </w:rPr>
            </w:pPr>
            <w:r w:rsidRPr="006A0C48">
              <w:rPr>
                <w:szCs w:val="22"/>
              </w:rPr>
              <w:t>Fleshy algae cover</w:t>
            </w:r>
          </w:p>
          <w:p w14:paraId="0731BEB1" w14:textId="77777777" w:rsidR="00005A3C" w:rsidRPr="006A0C48" w:rsidRDefault="00005A3C" w:rsidP="006726E6">
            <w:pPr>
              <w:spacing w:before="80" w:after="80"/>
              <w:jc w:val="left"/>
              <w:rPr>
                <w:szCs w:val="22"/>
              </w:rPr>
            </w:pPr>
            <w:r w:rsidRPr="006A0C48">
              <w:rPr>
                <w:szCs w:val="22"/>
              </w:rPr>
              <w:t>Wetland Extent Trends Index</w:t>
            </w:r>
          </w:p>
          <w:p w14:paraId="1A6D4972" w14:textId="77777777" w:rsidR="00005A3C" w:rsidRPr="006A0C48" w:rsidRDefault="00005A3C" w:rsidP="006726E6">
            <w:pPr>
              <w:spacing w:before="80" w:after="80"/>
              <w:jc w:val="left"/>
              <w:rPr>
                <w:szCs w:val="22"/>
              </w:rPr>
            </w:pPr>
            <w:r w:rsidRPr="006A0C48">
              <w:rPr>
                <w:szCs w:val="22"/>
              </w:rPr>
              <w:t>Change in the extent of inland water ecosystems over time</w:t>
            </w:r>
          </w:p>
          <w:p w14:paraId="6DA75648" w14:textId="77777777" w:rsidR="00005A3C" w:rsidRPr="006A0C48" w:rsidRDefault="00005A3C" w:rsidP="006726E6">
            <w:pPr>
              <w:spacing w:before="80" w:after="80"/>
              <w:jc w:val="left"/>
              <w:rPr>
                <w:szCs w:val="22"/>
              </w:rPr>
            </w:pPr>
            <w:r w:rsidRPr="006A0C48">
              <w:rPr>
                <w:szCs w:val="22"/>
              </w:rPr>
              <w:t>Forest Fragmentation Index</w:t>
            </w:r>
          </w:p>
          <w:p w14:paraId="47A5E704" w14:textId="77777777" w:rsidR="00005A3C" w:rsidRPr="006A0C48" w:rsidRDefault="00005A3C" w:rsidP="006726E6">
            <w:pPr>
              <w:spacing w:before="80" w:after="80"/>
              <w:jc w:val="left"/>
              <w:rPr>
                <w:szCs w:val="22"/>
              </w:rPr>
            </w:pPr>
            <w:r w:rsidRPr="006A0C48">
              <w:rPr>
                <w:szCs w:val="22"/>
              </w:rPr>
              <w:t>Forest Landscape Integrity Index</w:t>
            </w:r>
          </w:p>
          <w:p w14:paraId="429C5CCB" w14:textId="77777777" w:rsidR="00005A3C" w:rsidRPr="006A0C48" w:rsidRDefault="00005A3C" w:rsidP="006726E6">
            <w:pPr>
              <w:spacing w:before="80" w:after="80"/>
              <w:jc w:val="left"/>
              <w:rPr>
                <w:szCs w:val="22"/>
              </w:rPr>
            </w:pPr>
            <w:r w:rsidRPr="006A0C48">
              <w:rPr>
                <w:szCs w:val="22"/>
              </w:rPr>
              <w:t xml:space="preserve">Biomass of selected natural ecosystems </w:t>
            </w:r>
          </w:p>
          <w:p w14:paraId="03A0B782" w14:textId="77777777" w:rsidR="00005A3C" w:rsidRPr="006A0C48" w:rsidRDefault="00005A3C" w:rsidP="006726E6">
            <w:pPr>
              <w:spacing w:before="80" w:after="80"/>
              <w:jc w:val="left"/>
              <w:rPr>
                <w:szCs w:val="22"/>
              </w:rPr>
            </w:pPr>
            <w:r w:rsidRPr="006A0C48">
              <w:rPr>
                <w:szCs w:val="22"/>
              </w:rPr>
              <w:lastRenderedPageBreak/>
              <w:t xml:space="preserve">Biodiversity Habitat Index </w:t>
            </w:r>
          </w:p>
          <w:p w14:paraId="47ACAEF2" w14:textId="77777777" w:rsidR="00005A3C" w:rsidRPr="006A0C48" w:rsidRDefault="00005A3C" w:rsidP="006726E6">
            <w:pPr>
              <w:spacing w:before="80" w:after="80"/>
              <w:jc w:val="left"/>
              <w:rPr>
                <w:szCs w:val="22"/>
              </w:rPr>
            </w:pPr>
            <w:r w:rsidRPr="006A0C48">
              <w:rPr>
                <w:szCs w:val="22"/>
              </w:rPr>
              <w:t>Global Vegetation Health Products</w:t>
            </w:r>
          </w:p>
          <w:p w14:paraId="46C06702" w14:textId="77777777" w:rsidR="00005A3C" w:rsidRPr="006A0C48" w:rsidRDefault="00005A3C" w:rsidP="006726E6">
            <w:pPr>
              <w:spacing w:before="80" w:after="80"/>
              <w:jc w:val="left"/>
              <w:rPr>
                <w:szCs w:val="22"/>
              </w:rPr>
            </w:pPr>
            <w:r w:rsidRPr="006A0C48">
              <w:rPr>
                <w:szCs w:val="22"/>
              </w:rPr>
              <w:t xml:space="preserve">Bioclimatic Ecosystem Resilience Index (BERI) </w:t>
            </w:r>
          </w:p>
          <w:p w14:paraId="5E3CA38C" w14:textId="77777777" w:rsidR="00005A3C" w:rsidRPr="006A0C48" w:rsidRDefault="00005A3C" w:rsidP="006726E6">
            <w:pPr>
              <w:spacing w:before="80" w:after="80"/>
              <w:jc w:val="left"/>
              <w:rPr>
                <w:szCs w:val="22"/>
              </w:rPr>
            </w:pPr>
            <w:r w:rsidRPr="006A0C48">
              <w:rPr>
                <w:szCs w:val="22"/>
              </w:rPr>
              <w:t xml:space="preserve">Relative magnitude of fragmentation (RMF) </w:t>
            </w:r>
          </w:p>
          <w:p w14:paraId="575B1A4F" w14:textId="77777777" w:rsidR="00005A3C" w:rsidRPr="006A0C48" w:rsidRDefault="00005A3C" w:rsidP="006726E6">
            <w:pPr>
              <w:spacing w:before="80" w:after="80"/>
              <w:jc w:val="left"/>
              <w:rPr>
                <w:szCs w:val="22"/>
              </w:rPr>
            </w:pPr>
            <w:r w:rsidRPr="006A0C48">
              <w:rPr>
                <w:szCs w:val="22"/>
              </w:rPr>
              <w:t>Ecosystem Intactness Index</w:t>
            </w:r>
          </w:p>
          <w:p w14:paraId="5D0D2A7B" w14:textId="77777777" w:rsidR="00005A3C" w:rsidRPr="006A0C48" w:rsidRDefault="00005A3C" w:rsidP="006726E6">
            <w:pPr>
              <w:spacing w:before="80" w:after="80"/>
              <w:jc w:val="left"/>
              <w:rPr>
                <w:szCs w:val="22"/>
              </w:rPr>
            </w:pPr>
            <w:r w:rsidRPr="006A0C48">
              <w:rPr>
                <w:szCs w:val="22"/>
              </w:rPr>
              <w:t xml:space="preserve">Biodiversity Intactness Index </w:t>
            </w:r>
          </w:p>
          <w:p w14:paraId="5D238C18" w14:textId="77777777" w:rsidR="00005A3C" w:rsidRPr="006A0C48" w:rsidRDefault="00005A3C" w:rsidP="006726E6">
            <w:pPr>
              <w:spacing w:before="80" w:after="80"/>
              <w:jc w:val="left"/>
              <w:rPr>
                <w:szCs w:val="22"/>
              </w:rPr>
            </w:pPr>
            <w:r w:rsidRPr="006A0C48">
              <w:rPr>
                <w:szCs w:val="22"/>
              </w:rPr>
              <w:t xml:space="preserve">Ocean Health Index </w:t>
            </w:r>
          </w:p>
          <w:p w14:paraId="37C265A3" w14:textId="77777777" w:rsidR="00005A3C" w:rsidRPr="006A0C48" w:rsidRDefault="00005A3C" w:rsidP="006726E6">
            <w:pPr>
              <w:spacing w:before="80" w:after="80"/>
              <w:jc w:val="left"/>
              <w:rPr>
                <w:szCs w:val="22"/>
              </w:rPr>
            </w:pPr>
            <w:r w:rsidRPr="006A0C48">
              <w:rPr>
                <w:szCs w:val="22"/>
              </w:rPr>
              <w:t xml:space="preserve">Extent of physical damage indicator to predominant seafloor habitats physical damage </w:t>
            </w:r>
          </w:p>
          <w:p w14:paraId="37C1EDCA" w14:textId="77777777" w:rsidR="00005A3C" w:rsidRPr="006A0C48" w:rsidRDefault="00005A3C" w:rsidP="006726E6">
            <w:pPr>
              <w:spacing w:before="80" w:after="80"/>
              <w:jc w:val="left"/>
              <w:rPr>
                <w:szCs w:val="22"/>
              </w:rPr>
            </w:pPr>
            <w:r w:rsidRPr="006A0C48">
              <w:rPr>
                <w:szCs w:val="22"/>
              </w:rPr>
              <w:t>Wetland Extent Trends Index</w:t>
            </w:r>
          </w:p>
          <w:p w14:paraId="25CC347A" w14:textId="77777777" w:rsidR="00005A3C" w:rsidRPr="006A0C48" w:rsidRDefault="00005A3C" w:rsidP="006726E6">
            <w:pPr>
              <w:spacing w:before="80" w:after="80"/>
              <w:jc w:val="left"/>
              <w:rPr>
                <w:szCs w:val="22"/>
              </w:rPr>
            </w:pPr>
            <w:r w:rsidRPr="006A0C48">
              <w:rPr>
                <w:szCs w:val="22"/>
              </w:rPr>
              <w:t>River Fragmentation Index</w:t>
            </w:r>
          </w:p>
          <w:p w14:paraId="2605FAD9" w14:textId="77777777" w:rsidR="00005A3C" w:rsidRPr="006A0C48" w:rsidRDefault="00005A3C" w:rsidP="006726E6">
            <w:pPr>
              <w:spacing w:before="80" w:after="80"/>
              <w:jc w:val="left"/>
              <w:rPr>
                <w:szCs w:val="22"/>
              </w:rPr>
            </w:pPr>
            <w:r w:rsidRPr="006A0C48">
              <w:rPr>
                <w:szCs w:val="22"/>
              </w:rPr>
              <w:t xml:space="preserve">Dendritic Connectivity Index </w:t>
            </w:r>
          </w:p>
          <w:p w14:paraId="4E751818" w14:textId="77777777" w:rsidR="00005A3C" w:rsidRPr="006A0C48" w:rsidRDefault="00005A3C" w:rsidP="006726E6">
            <w:pPr>
              <w:spacing w:before="80" w:after="80"/>
              <w:jc w:val="left"/>
              <w:rPr>
                <w:szCs w:val="22"/>
              </w:rPr>
            </w:pPr>
            <w:r w:rsidRPr="006A0C48">
              <w:rPr>
                <w:szCs w:val="22"/>
              </w:rPr>
              <w:t xml:space="preserve">Percentage of threatened species that are improving in status according to the Red List </w:t>
            </w:r>
          </w:p>
          <w:p w14:paraId="7D2A3292" w14:textId="77777777" w:rsidR="00005A3C" w:rsidRPr="006A0C48" w:rsidRDefault="00005A3C" w:rsidP="006726E6">
            <w:pPr>
              <w:spacing w:before="80" w:after="80"/>
              <w:jc w:val="left"/>
              <w:rPr>
                <w:szCs w:val="22"/>
              </w:rPr>
            </w:pPr>
            <w:r w:rsidRPr="006A0C48">
              <w:rPr>
                <w:szCs w:val="22"/>
              </w:rPr>
              <w:t xml:space="preserve">Number of threatened species by species group </w:t>
            </w:r>
          </w:p>
          <w:p w14:paraId="56E313C8" w14:textId="77777777" w:rsidR="00005A3C" w:rsidRPr="006A0C48" w:rsidRDefault="00005A3C" w:rsidP="006726E6">
            <w:pPr>
              <w:spacing w:before="80" w:after="80"/>
              <w:jc w:val="left"/>
              <w:rPr>
                <w:szCs w:val="22"/>
              </w:rPr>
            </w:pPr>
            <w:r w:rsidRPr="006A0C48">
              <w:rPr>
                <w:szCs w:val="22"/>
              </w:rPr>
              <w:t xml:space="preserve">Wild bird index </w:t>
            </w:r>
          </w:p>
          <w:p w14:paraId="607ACC87" w14:textId="77777777" w:rsidR="00005A3C" w:rsidRPr="006A0C48" w:rsidRDefault="00005A3C" w:rsidP="006726E6">
            <w:pPr>
              <w:spacing w:before="80" w:after="80"/>
              <w:jc w:val="left"/>
              <w:rPr>
                <w:szCs w:val="22"/>
              </w:rPr>
            </w:pPr>
            <w:r w:rsidRPr="006A0C48">
              <w:rPr>
                <w:szCs w:val="22"/>
              </w:rPr>
              <w:t xml:space="preserve">Mean Species Abundance (MSA) </w:t>
            </w:r>
          </w:p>
          <w:p w14:paraId="62052DF5" w14:textId="77777777" w:rsidR="00005A3C" w:rsidRPr="006A0C48" w:rsidRDefault="00005A3C" w:rsidP="006726E6">
            <w:pPr>
              <w:spacing w:before="80" w:after="80"/>
              <w:jc w:val="left"/>
              <w:rPr>
                <w:szCs w:val="22"/>
              </w:rPr>
            </w:pPr>
            <w:r w:rsidRPr="006A0C48">
              <w:rPr>
                <w:szCs w:val="22"/>
              </w:rPr>
              <w:t xml:space="preserve">Species Protection Index </w:t>
            </w:r>
          </w:p>
          <w:p w14:paraId="7BC104D0" w14:textId="77777777" w:rsidR="00005A3C" w:rsidRPr="006A0C48" w:rsidRDefault="00005A3C" w:rsidP="006726E6">
            <w:pPr>
              <w:spacing w:before="80" w:after="80"/>
              <w:jc w:val="left"/>
              <w:rPr>
                <w:szCs w:val="22"/>
              </w:rPr>
            </w:pPr>
            <w:r w:rsidRPr="006A0C48">
              <w:rPr>
                <w:szCs w:val="22"/>
              </w:rPr>
              <w:t xml:space="preserve">Changes in plankton biomass and abundance </w:t>
            </w:r>
          </w:p>
          <w:p w14:paraId="36E2A696" w14:textId="77777777" w:rsidR="00005A3C" w:rsidRPr="006A0C48" w:rsidRDefault="00005A3C" w:rsidP="006726E6">
            <w:pPr>
              <w:spacing w:before="80" w:after="80"/>
              <w:jc w:val="left"/>
              <w:rPr>
                <w:szCs w:val="22"/>
              </w:rPr>
            </w:pPr>
            <w:r w:rsidRPr="006A0C48">
              <w:rPr>
                <w:szCs w:val="22"/>
              </w:rPr>
              <w:t xml:space="preserve">Fish abundance and biomass </w:t>
            </w:r>
          </w:p>
          <w:p w14:paraId="301D8842" w14:textId="77777777" w:rsidR="00005A3C" w:rsidRPr="006A0C48" w:rsidRDefault="00005A3C" w:rsidP="006726E6">
            <w:pPr>
              <w:spacing w:before="80" w:after="80"/>
              <w:jc w:val="left"/>
              <w:rPr>
                <w:szCs w:val="22"/>
              </w:rPr>
            </w:pPr>
            <w:r w:rsidRPr="006A0C48">
              <w:rPr>
                <w:szCs w:val="22"/>
              </w:rPr>
              <w:t xml:space="preserve">Genetic scorecard for wild species </w:t>
            </w:r>
          </w:p>
          <w:p w14:paraId="7801158E" w14:textId="77777777" w:rsidR="00005A3C" w:rsidRPr="006A0C48" w:rsidRDefault="00005A3C" w:rsidP="006726E6">
            <w:pPr>
              <w:spacing w:before="80" w:after="80"/>
              <w:jc w:val="left"/>
              <w:rPr>
                <w:szCs w:val="22"/>
              </w:rPr>
            </w:pPr>
            <w:r w:rsidRPr="006A0C48">
              <w:rPr>
                <w:szCs w:val="22"/>
              </w:rPr>
              <w:t xml:space="preserve">Species richness/Changes in local terrestrial diversity (PREDICTS) </w:t>
            </w:r>
          </w:p>
          <w:p w14:paraId="5CA4D0A9" w14:textId="77777777" w:rsidR="00005A3C" w:rsidRPr="006A0C48" w:rsidRDefault="00005A3C" w:rsidP="006726E6">
            <w:pPr>
              <w:spacing w:before="80" w:after="80"/>
              <w:jc w:val="left"/>
              <w:rPr>
                <w:szCs w:val="22"/>
              </w:rPr>
            </w:pPr>
            <w:r w:rsidRPr="006A0C48">
              <w:rPr>
                <w:szCs w:val="22"/>
              </w:rPr>
              <w:t xml:space="preserve">Marine species richness </w:t>
            </w:r>
          </w:p>
          <w:p w14:paraId="39E5C8C6" w14:textId="77777777" w:rsidR="00005A3C" w:rsidRPr="006A0C48" w:rsidRDefault="00005A3C" w:rsidP="00941CFB">
            <w:pPr>
              <w:spacing w:before="80" w:after="80"/>
              <w:jc w:val="left"/>
              <w:rPr>
                <w:szCs w:val="22"/>
              </w:rPr>
            </w:pPr>
            <w:r w:rsidRPr="006A0C48">
              <w:rPr>
                <w:szCs w:val="22"/>
              </w:rPr>
              <w:t xml:space="preserve">Comprehensiveness of conservation of socioeconomically as well as culturally valuable species </w:t>
            </w:r>
          </w:p>
          <w:p w14:paraId="3F54248E" w14:textId="77777777" w:rsidR="00005A3C" w:rsidRPr="006A0C48" w:rsidRDefault="00005A3C" w:rsidP="006726E6">
            <w:pPr>
              <w:spacing w:before="80" w:after="80"/>
              <w:jc w:val="left"/>
              <w:rPr>
                <w:szCs w:val="22"/>
              </w:rPr>
            </w:pPr>
            <w:r w:rsidRPr="006A0C48">
              <w:rPr>
                <w:szCs w:val="22"/>
              </w:rPr>
              <w:lastRenderedPageBreak/>
              <w:t xml:space="preserve">Number of plant and animal genetic resources for food and agriculture secured in either medium- or long-term conservation facilities </w:t>
            </w:r>
          </w:p>
          <w:p w14:paraId="1A0B2026" w14:textId="77777777" w:rsidR="00005A3C" w:rsidRPr="006A0C48" w:rsidRDefault="00005A3C" w:rsidP="006726E6">
            <w:pPr>
              <w:spacing w:before="80" w:after="80"/>
              <w:jc w:val="left"/>
              <w:rPr>
                <w:szCs w:val="22"/>
              </w:rPr>
            </w:pPr>
            <w:r w:rsidRPr="006A0C48">
              <w:rPr>
                <w:szCs w:val="22"/>
              </w:rPr>
              <w:t xml:space="preserve">Proportion of local breeds classified as being at risk of extinction </w:t>
            </w:r>
          </w:p>
          <w:p w14:paraId="37DD0D00" w14:textId="77777777" w:rsidR="00005A3C" w:rsidRPr="006A0C48" w:rsidRDefault="00005A3C" w:rsidP="006726E6">
            <w:pPr>
              <w:spacing w:before="80" w:after="80"/>
              <w:jc w:val="left"/>
              <w:rPr>
                <w:szCs w:val="22"/>
              </w:rPr>
            </w:pPr>
            <w:r w:rsidRPr="006A0C48">
              <w:rPr>
                <w:szCs w:val="22"/>
              </w:rPr>
              <w:t>Red List Index (wild relatives of domesticated animals)</w:t>
            </w:r>
          </w:p>
          <w:p w14:paraId="36487F82" w14:textId="77777777" w:rsidR="00005A3C" w:rsidRPr="006A0C48" w:rsidRDefault="00005A3C" w:rsidP="006726E6">
            <w:pPr>
              <w:spacing w:before="80" w:after="80"/>
              <w:jc w:val="left"/>
              <w:rPr>
                <w:szCs w:val="22"/>
              </w:rPr>
            </w:pPr>
            <w:r w:rsidRPr="006A0C48">
              <w:rPr>
                <w:szCs w:val="22"/>
              </w:rPr>
              <w:t>CMS Connectivity Indicator</w:t>
            </w:r>
          </w:p>
          <w:p w14:paraId="16507525" w14:textId="77777777" w:rsidR="00005A3C" w:rsidRPr="006A0C48" w:rsidRDefault="00005A3C" w:rsidP="006726E6">
            <w:pPr>
              <w:spacing w:before="80" w:after="80"/>
              <w:jc w:val="left"/>
              <w:rPr>
                <w:szCs w:val="22"/>
              </w:rPr>
            </w:pPr>
            <w:r w:rsidRPr="006A0C48">
              <w:rPr>
                <w:szCs w:val="22"/>
              </w:rPr>
              <w:t>Species Status Index</w:t>
            </w:r>
          </w:p>
          <w:p w14:paraId="27AADAE5" w14:textId="77777777" w:rsidR="00005A3C" w:rsidRPr="006A0C48" w:rsidRDefault="00005A3C" w:rsidP="006726E6">
            <w:pPr>
              <w:spacing w:before="80" w:after="80"/>
              <w:jc w:val="left"/>
              <w:rPr>
                <w:szCs w:val="22"/>
              </w:rPr>
            </w:pPr>
            <w:r w:rsidRPr="006A0C48">
              <w:rPr>
                <w:szCs w:val="22"/>
              </w:rPr>
              <w:t xml:space="preserve">Intact Wilderness </w:t>
            </w:r>
          </w:p>
          <w:p w14:paraId="609C3D7C" w14:textId="77777777" w:rsidR="00005A3C" w:rsidRPr="006A0C48" w:rsidRDefault="00005A3C" w:rsidP="006726E6">
            <w:pPr>
              <w:spacing w:before="80" w:after="80"/>
              <w:jc w:val="left"/>
              <w:rPr>
                <w:szCs w:val="22"/>
              </w:rPr>
            </w:pPr>
            <w:r w:rsidRPr="006A0C48">
              <w:rPr>
                <w:szCs w:val="22"/>
              </w:rPr>
              <w:t xml:space="preserve">Expected Loss of Phylogenetic diversity </w:t>
            </w:r>
          </w:p>
          <w:p w14:paraId="64EFA406" w14:textId="77777777" w:rsidR="00005A3C" w:rsidRPr="006A0C48" w:rsidRDefault="00005A3C" w:rsidP="006726E6">
            <w:pPr>
              <w:spacing w:before="80" w:after="80"/>
              <w:jc w:val="left"/>
              <w:rPr>
                <w:szCs w:val="22"/>
              </w:rPr>
            </w:pPr>
            <w:r w:rsidRPr="006A0C48">
              <w:rPr>
                <w:szCs w:val="22"/>
              </w:rPr>
              <w:t>Proportion of populations maintained within species</w:t>
            </w:r>
          </w:p>
          <w:p w14:paraId="58745C2F" w14:textId="77777777" w:rsidR="00005A3C" w:rsidRPr="006A0C48" w:rsidRDefault="00005A3C" w:rsidP="006726E6">
            <w:pPr>
              <w:spacing w:before="80" w:after="80"/>
              <w:jc w:val="left"/>
              <w:rPr>
                <w:szCs w:val="22"/>
              </w:rPr>
            </w:pPr>
            <w:r w:rsidRPr="006A0C48">
              <w:rPr>
                <w:szCs w:val="22"/>
              </w:rPr>
              <w:t>Free flowing rivers</w:t>
            </w:r>
          </w:p>
        </w:tc>
      </w:tr>
      <w:tr w:rsidR="00005A3C" w:rsidRPr="006A0C48" w14:paraId="36F19947" w14:textId="77777777" w:rsidTr="00967EE7">
        <w:trPr>
          <w:trHeight w:val="300"/>
        </w:trPr>
        <w:tc>
          <w:tcPr>
            <w:tcW w:w="846" w:type="dxa"/>
            <w:shd w:val="clear" w:color="auto" w:fill="FFFFFF" w:themeFill="background1"/>
          </w:tcPr>
          <w:p w14:paraId="67E84BE1" w14:textId="77777777" w:rsidR="00005A3C" w:rsidRPr="006A0C48" w:rsidRDefault="00005A3C" w:rsidP="00BC5121">
            <w:pPr>
              <w:spacing w:before="80" w:after="80"/>
              <w:rPr>
                <w:szCs w:val="22"/>
              </w:rPr>
            </w:pPr>
            <w:r w:rsidRPr="006A0C48">
              <w:rPr>
                <w:szCs w:val="22"/>
              </w:rPr>
              <w:lastRenderedPageBreak/>
              <w:t>B</w:t>
            </w:r>
            <w:r w:rsidRPr="006A0C48">
              <w:rPr>
                <w:b/>
                <w:bCs/>
                <w:szCs w:val="22"/>
                <w:vertAlign w:val="superscript"/>
              </w:rPr>
              <w:t>b</w:t>
            </w:r>
          </w:p>
        </w:tc>
        <w:tc>
          <w:tcPr>
            <w:tcW w:w="3260" w:type="dxa"/>
            <w:shd w:val="clear" w:color="auto" w:fill="FFFFFF" w:themeFill="background1"/>
          </w:tcPr>
          <w:p w14:paraId="55B3EDCD" w14:textId="77777777" w:rsidR="00005A3C" w:rsidRPr="006A0C48" w:rsidRDefault="00005A3C" w:rsidP="006726E6">
            <w:pPr>
              <w:spacing w:before="40" w:after="40"/>
              <w:jc w:val="left"/>
              <w:rPr>
                <w:szCs w:val="22"/>
              </w:rPr>
            </w:pPr>
            <w:r w:rsidRPr="006A0C48">
              <w:rPr>
                <w:szCs w:val="22"/>
              </w:rPr>
              <w:t xml:space="preserve">B.1 Services provided by ecosystems* </w:t>
            </w:r>
          </w:p>
          <w:p w14:paraId="72B6B400" w14:textId="77777777" w:rsidR="00005A3C" w:rsidRPr="006A0C48" w:rsidRDefault="00005A3C" w:rsidP="00BC5121">
            <w:pPr>
              <w:spacing w:before="80" w:after="80"/>
              <w:rPr>
                <w:szCs w:val="22"/>
              </w:rPr>
            </w:pPr>
          </w:p>
        </w:tc>
        <w:tc>
          <w:tcPr>
            <w:tcW w:w="3567" w:type="dxa"/>
            <w:shd w:val="clear" w:color="auto" w:fill="FFFFFF" w:themeFill="background1"/>
          </w:tcPr>
          <w:p w14:paraId="66245EBB" w14:textId="77777777" w:rsidR="00005A3C" w:rsidRPr="006A0C48" w:rsidRDefault="00005A3C" w:rsidP="006726E6">
            <w:pPr>
              <w:spacing w:before="80" w:after="80"/>
              <w:jc w:val="left"/>
              <w:rPr>
                <w:color w:val="000000" w:themeColor="text1"/>
                <w:szCs w:val="22"/>
              </w:rPr>
            </w:pPr>
            <w:r w:rsidRPr="006A0C48">
              <w:rPr>
                <w:color w:val="000000" w:themeColor="text1"/>
                <w:szCs w:val="22"/>
              </w:rPr>
              <w:t>Red List Index (for utilized species)</w:t>
            </w:r>
          </w:p>
          <w:p w14:paraId="1C531A28" w14:textId="77777777" w:rsidR="00005A3C" w:rsidRPr="006A0C48" w:rsidRDefault="00005A3C" w:rsidP="006726E6">
            <w:pPr>
              <w:spacing w:before="80" w:after="80"/>
              <w:jc w:val="left"/>
              <w:rPr>
                <w:color w:val="000000" w:themeColor="text1"/>
                <w:szCs w:val="22"/>
              </w:rPr>
            </w:pPr>
            <w:r w:rsidRPr="006A0C48">
              <w:rPr>
                <w:color w:val="000000" w:themeColor="text1"/>
                <w:szCs w:val="22"/>
              </w:rPr>
              <w:t>Living Planet Index (for used species)</w:t>
            </w:r>
          </w:p>
          <w:p w14:paraId="3B1F2B6D" w14:textId="77777777" w:rsidR="00005A3C" w:rsidRPr="006A0C48" w:rsidRDefault="00005A3C" w:rsidP="00BC5121">
            <w:pPr>
              <w:spacing w:before="80" w:after="80"/>
              <w:rPr>
                <w:szCs w:val="22"/>
              </w:rPr>
            </w:pPr>
          </w:p>
          <w:p w14:paraId="35D1C599" w14:textId="77777777" w:rsidR="00005A3C" w:rsidRPr="006A0C48" w:rsidRDefault="00005A3C" w:rsidP="00BC5121">
            <w:pPr>
              <w:spacing w:before="80" w:after="80"/>
              <w:rPr>
                <w:szCs w:val="22"/>
              </w:rPr>
            </w:pPr>
          </w:p>
        </w:tc>
        <w:tc>
          <w:tcPr>
            <w:tcW w:w="5363" w:type="dxa"/>
            <w:shd w:val="clear" w:color="auto" w:fill="FFFFFF" w:themeFill="background1"/>
          </w:tcPr>
          <w:p w14:paraId="4B963F9F" w14:textId="77777777" w:rsidR="00005A3C" w:rsidRPr="006A0C48" w:rsidRDefault="00005A3C" w:rsidP="00A72C99">
            <w:pPr>
              <w:spacing w:after="120"/>
              <w:jc w:val="left"/>
              <w:rPr>
                <w:rFonts w:asciiTheme="majorBidi" w:hAnsiTheme="majorBidi" w:cstheme="majorBidi"/>
                <w:szCs w:val="22"/>
              </w:rPr>
            </w:pPr>
            <w:r w:rsidRPr="006A0C48">
              <w:rPr>
                <w:rFonts w:asciiTheme="majorBidi" w:hAnsiTheme="majorBidi" w:cstheme="majorBidi"/>
                <w:szCs w:val="22"/>
              </w:rPr>
              <w:t>Levels of poverty in biodiversity dependent communities</w:t>
            </w:r>
          </w:p>
          <w:p w14:paraId="5E1383B6" w14:textId="77777777" w:rsidR="00005A3C" w:rsidRPr="006A0C48" w:rsidRDefault="00005A3C" w:rsidP="006726E6">
            <w:pPr>
              <w:spacing w:before="80" w:after="80"/>
              <w:jc w:val="left"/>
              <w:rPr>
                <w:szCs w:val="22"/>
              </w:rPr>
            </w:pPr>
            <w:r w:rsidRPr="006A0C48">
              <w:rPr>
                <w:szCs w:val="22"/>
              </w:rPr>
              <w:t>Ecological footprint</w:t>
            </w:r>
          </w:p>
          <w:p w14:paraId="2DB0CBDD" w14:textId="77777777" w:rsidR="00005A3C" w:rsidRPr="006A0C48" w:rsidRDefault="00005A3C" w:rsidP="006726E6">
            <w:pPr>
              <w:spacing w:before="80" w:after="80"/>
              <w:jc w:val="left"/>
              <w:rPr>
                <w:szCs w:val="22"/>
              </w:rPr>
            </w:pPr>
            <w:r w:rsidRPr="006A0C48">
              <w:rPr>
                <w:szCs w:val="22"/>
              </w:rPr>
              <w:t>Number of certified forest areas under sustainable management with verified impacts on biodiversity conservation</w:t>
            </w:r>
          </w:p>
          <w:p w14:paraId="7289A297" w14:textId="77777777" w:rsidR="00005A3C" w:rsidRPr="006A0C48" w:rsidRDefault="00005A3C" w:rsidP="006726E6">
            <w:pPr>
              <w:spacing w:before="80" w:after="80"/>
              <w:jc w:val="left"/>
              <w:rPr>
                <w:szCs w:val="22"/>
              </w:rPr>
            </w:pPr>
            <w:r w:rsidRPr="006A0C48">
              <w:rPr>
                <w:szCs w:val="22"/>
              </w:rPr>
              <w:t xml:space="preserve">Expected loss of phylogenetic diversity </w:t>
            </w:r>
          </w:p>
          <w:p w14:paraId="252F7BBC" w14:textId="77777777" w:rsidR="00005A3C" w:rsidRPr="006A0C48" w:rsidRDefault="00005A3C" w:rsidP="006726E6">
            <w:pPr>
              <w:spacing w:before="80" w:after="80"/>
              <w:jc w:val="left"/>
              <w:rPr>
                <w:szCs w:val="22"/>
              </w:rPr>
            </w:pPr>
            <w:r w:rsidRPr="006A0C48">
              <w:rPr>
                <w:szCs w:val="22"/>
              </w:rPr>
              <w:t xml:space="preserve">Red List Index (pollinating species) </w:t>
            </w:r>
          </w:p>
          <w:p w14:paraId="29AA9EF5" w14:textId="77777777" w:rsidR="00005A3C" w:rsidRPr="006A0C48" w:rsidRDefault="00005A3C" w:rsidP="006726E6">
            <w:pPr>
              <w:spacing w:before="80" w:after="80"/>
              <w:jc w:val="left"/>
              <w:rPr>
                <w:szCs w:val="22"/>
              </w:rPr>
            </w:pPr>
            <w:r w:rsidRPr="006A0C48">
              <w:rPr>
                <w:szCs w:val="22"/>
              </w:rPr>
              <w:t xml:space="preserve">Green status index (pollinators) </w:t>
            </w:r>
          </w:p>
          <w:p w14:paraId="11A0F7AC" w14:textId="77777777" w:rsidR="00005A3C" w:rsidRPr="006A0C48" w:rsidRDefault="00005A3C" w:rsidP="006726E6">
            <w:pPr>
              <w:spacing w:before="80" w:after="80"/>
              <w:jc w:val="left"/>
              <w:rPr>
                <w:szCs w:val="22"/>
              </w:rPr>
            </w:pPr>
            <w:r w:rsidRPr="006A0C48">
              <w:rPr>
                <w:szCs w:val="22"/>
              </w:rPr>
              <w:t xml:space="preserve">Air quality index </w:t>
            </w:r>
          </w:p>
          <w:p w14:paraId="674A2CB7" w14:textId="77777777" w:rsidR="00005A3C" w:rsidRPr="006A0C48" w:rsidRDefault="00005A3C" w:rsidP="006726E6">
            <w:pPr>
              <w:spacing w:before="80" w:after="80"/>
              <w:jc w:val="left"/>
              <w:rPr>
                <w:szCs w:val="22"/>
              </w:rPr>
            </w:pPr>
            <w:r w:rsidRPr="006A0C48">
              <w:rPr>
                <w:szCs w:val="22"/>
              </w:rPr>
              <w:t xml:space="preserve">Air pollution emissions account </w:t>
            </w:r>
          </w:p>
          <w:p w14:paraId="23A26144" w14:textId="77777777" w:rsidR="00005A3C" w:rsidRPr="006A0C48" w:rsidRDefault="00005A3C" w:rsidP="006726E6">
            <w:pPr>
              <w:spacing w:before="80" w:after="80"/>
              <w:jc w:val="left"/>
              <w:rPr>
                <w:szCs w:val="22"/>
              </w:rPr>
            </w:pPr>
            <w:r w:rsidRPr="006A0C48">
              <w:rPr>
                <w:szCs w:val="22"/>
              </w:rPr>
              <w:t xml:space="preserve">Zoonotic disease in wildlife </w:t>
            </w:r>
          </w:p>
          <w:p w14:paraId="277A400D" w14:textId="77777777" w:rsidR="00005A3C" w:rsidRPr="006A0C48" w:rsidRDefault="00005A3C" w:rsidP="006726E6">
            <w:pPr>
              <w:spacing w:before="80" w:after="80"/>
              <w:jc w:val="left"/>
              <w:rPr>
                <w:szCs w:val="22"/>
              </w:rPr>
            </w:pPr>
            <w:r w:rsidRPr="006A0C48">
              <w:rPr>
                <w:szCs w:val="22"/>
              </w:rPr>
              <w:t xml:space="preserve">Climatic impact index </w:t>
            </w:r>
          </w:p>
          <w:p w14:paraId="17F7FE1A" w14:textId="77777777" w:rsidR="00005A3C" w:rsidRPr="006A0C48" w:rsidRDefault="00005A3C" w:rsidP="006726E6">
            <w:pPr>
              <w:spacing w:before="80" w:after="80"/>
              <w:jc w:val="left"/>
              <w:rPr>
                <w:szCs w:val="22"/>
              </w:rPr>
            </w:pPr>
            <w:r w:rsidRPr="006A0C48">
              <w:rPr>
                <w:szCs w:val="22"/>
              </w:rPr>
              <w:t xml:space="preserve">Ocean acidification </w:t>
            </w:r>
          </w:p>
          <w:p w14:paraId="1FDBFAF2" w14:textId="77777777" w:rsidR="00005A3C" w:rsidRPr="006A0C48" w:rsidRDefault="00005A3C" w:rsidP="006726E6">
            <w:pPr>
              <w:spacing w:before="80" w:after="80"/>
              <w:jc w:val="left"/>
              <w:rPr>
                <w:szCs w:val="22"/>
              </w:rPr>
            </w:pPr>
            <w:r w:rsidRPr="006A0C48">
              <w:rPr>
                <w:szCs w:val="22"/>
              </w:rPr>
              <w:t xml:space="preserve">Level of water stress: freshwater withdrawal as a proportion of available freshwater resources </w:t>
            </w:r>
          </w:p>
          <w:p w14:paraId="5536E50A" w14:textId="77777777" w:rsidR="00005A3C" w:rsidRPr="006A0C48" w:rsidRDefault="00005A3C" w:rsidP="006726E6">
            <w:pPr>
              <w:spacing w:before="80" w:after="80"/>
              <w:jc w:val="left"/>
              <w:rPr>
                <w:szCs w:val="22"/>
              </w:rPr>
            </w:pPr>
            <w:r w:rsidRPr="006A0C48">
              <w:rPr>
                <w:szCs w:val="22"/>
              </w:rPr>
              <w:lastRenderedPageBreak/>
              <w:t>Proportion of bodies of water with good ambient water quality</w:t>
            </w:r>
          </w:p>
          <w:p w14:paraId="35FD8348" w14:textId="77777777" w:rsidR="00005A3C" w:rsidRPr="006A0C48" w:rsidRDefault="00005A3C" w:rsidP="006726E6">
            <w:pPr>
              <w:spacing w:before="80" w:after="80"/>
              <w:jc w:val="left"/>
              <w:rPr>
                <w:szCs w:val="22"/>
              </w:rPr>
            </w:pPr>
            <w:r w:rsidRPr="006A0C48">
              <w:rPr>
                <w:szCs w:val="22"/>
              </w:rPr>
              <w:t xml:space="preserve">Eflow index </w:t>
            </w:r>
          </w:p>
          <w:p w14:paraId="59A2220B" w14:textId="77777777" w:rsidR="00005A3C" w:rsidRPr="006A0C48" w:rsidRDefault="00005A3C" w:rsidP="006726E6">
            <w:pPr>
              <w:spacing w:before="80" w:after="80"/>
              <w:jc w:val="left"/>
              <w:rPr>
                <w:szCs w:val="22"/>
              </w:rPr>
            </w:pPr>
            <w:r w:rsidRPr="006A0C48">
              <w:rPr>
                <w:szCs w:val="22"/>
              </w:rPr>
              <w:t xml:space="preserve">Change in the quality of inland water ecosystems over time </w:t>
            </w:r>
          </w:p>
          <w:p w14:paraId="3C00E560" w14:textId="77777777" w:rsidR="00005A3C" w:rsidRPr="006A0C48" w:rsidRDefault="00005A3C" w:rsidP="006726E6">
            <w:pPr>
              <w:spacing w:before="80" w:after="80"/>
              <w:jc w:val="left"/>
              <w:rPr>
                <w:szCs w:val="22"/>
              </w:rPr>
            </w:pPr>
            <w:r w:rsidRPr="006A0C48">
              <w:rPr>
                <w:szCs w:val="22"/>
              </w:rPr>
              <w:t xml:space="preserve">Change in the quality of coastal water ecosystems over time </w:t>
            </w:r>
          </w:p>
          <w:p w14:paraId="096C6480" w14:textId="77777777" w:rsidR="00005A3C" w:rsidRPr="006A0C48" w:rsidRDefault="00005A3C" w:rsidP="006726E6">
            <w:pPr>
              <w:spacing w:before="80" w:after="80"/>
              <w:jc w:val="left"/>
              <w:rPr>
                <w:szCs w:val="22"/>
              </w:rPr>
            </w:pPr>
            <w:r w:rsidRPr="006A0C48">
              <w:rPr>
                <w:szCs w:val="22"/>
              </w:rPr>
              <w:t>Level of erosion</w:t>
            </w:r>
          </w:p>
          <w:p w14:paraId="1E584710" w14:textId="77777777" w:rsidR="00005A3C" w:rsidRPr="006A0C48" w:rsidRDefault="00005A3C" w:rsidP="006726E6">
            <w:pPr>
              <w:spacing w:before="80" w:after="80"/>
              <w:jc w:val="left"/>
              <w:rPr>
                <w:szCs w:val="22"/>
              </w:rPr>
            </w:pPr>
            <w:r w:rsidRPr="006A0C48">
              <w:rPr>
                <w:szCs w:val="22"/>
              </w:rPr>
              <w:t xml:space="preserve">Number of deaths, missing persons and directly affected persons attributed to disasters per 100,000 population </w:t>
            </w:r>
          </w:p>
          <w:p w14:paraId="3BAAEC02" w14:textId="77777777" w:rsidR="00005A3C" w:rsidRPr="006A0C48" w:rsidRDefault="00005A3C" w:rsidP="006726E6">
            <w:pPr>
              <w:spacing w:before="80" w:after="80"/>
              <w:jc w:val="left"/>
              <w:rPr>
                <w:szCs w:val="22"/>
              </w:rPr>
            </w:pPr>
            <w:r w:rsidRPr="006A0C48">
              <w:rPr>
                <w:szCs w:val="22"/>
              </w:rPr>
              <w:t>Intact wilderness</w:t>
            </w:r>
          </w:p>
          <w:p w14:paraId="272CCF3C" w14:textId="77777777" w:rsidR="00005A3C" w:rsidRPr="006A0C48" w:rsidRDefault="00005A3C" w:rsidP="006726E6">
            <w:pPr>
              <w:spacing w:before="80" w:after="80"/>
              <w:jc w:val="left"/>
              <w:rPr>
                <w:szCs w:val="22"/>
              </w:rPr>
            </w:pPr>
            <w:r w:rsidRPr="006A0C48">
              <w:rPr>
                <w:szCs w:val="22"/>
              </w:rPr>
              <w:t>Biofuel production</w:t>
            </w:r>
          </w:p>
          <w:p w14:paraId="7D1707B6" w14:textId="77777777" w:rsidR="00005A3C" w:rsidRPr="006A0C48" w:rsidRDefault="00005A3C" w:rsidP="006726E6">
            <w:pPr>
              <w:spacing w:before="80" w:after="80"/>
              <w:jc w:val="left"/>
              <w:rPr>
                <w:szCs w:val="22"/>
              </w:rPr>
            </w:pPr>
            <w:r w:rsidRPr="006A0C48">
              <w:rPr>
                <w:szCs w:val="22"/>
              </w:rPr>
              <w:t>Maximum fish catch potential</w:t>
            </w:r>
          </w:p>
          <w:p w14:paraId="778FC5ED" w14:textId="77777777" w:rsidR="00005A3C" w:rsidRPr="006A0C48" w:rsidRDefault="00005A3C" w:rsidP="006726E6">
            <w:pPr>
              <w:spacing w:before="80" w:after="80"/>
              <w:jc w:val="left"/>
              <w:rPr>
                <w:szCs w:val="22"/>
              </w:rPr>
            </w:pPr>
            <w:r w:rsidRPr="006A0C48">
              <w:rPr>
                <w:szCs w:val="22"/>
              </w:rPr>
              <w:t>Population involved in hunting and gathering</w:t>
            </w:r>
          </w:p>
          <w:p w14:paraId="61A91C31" w14:textId="77777777" w:rsidR="00005A3C" w:rsidRPr="006A0C48" w:rsidRDefault="00005A3C" w:rsidP="006726E6">
            <w:pPr>
              <w:spacing w:before="80" w:after="80"/>
              <w:jc w:val="left"/>
              <w:rPr>
                <w:szCs w:val="22"/>
              </w:rPr>
            </w:pPr>
            <w:r w:rsidRPr="006A0C48">
              <w:rPr>
                <w:szCs w:val="22"/>
              </w:rPr>
              <w:t>Prevalence of moderate or severe food insecurity in the population, based on the Food Insecurity Experience Scale</w:t>
            </w:r>
          </w:p>
          <w:p w14:paraId="2FAB70D3" w14:textId="77777777" w:rsidR="00005A3C" w:rsidRPr="006A0C48" w:rsidRDefault="00005A3C" w:rsidP="006726E6">
            <w:pPr>
              <w:spacing w:before="80" w:after="80"/>
              <w:jc w:val="left"/>
              <w:rPr>
                <w:szCs w:val="22"/>
              </w:rPr>
            </w:pPr>
            <w:r w:rsidRPr="006A0C48">
              <w:rPr>
                <w:szCs w:val="22"/>
              </w:rPr>
              <w:t>Forestry Production &amp; Trade (Wood Fuel)</w:t>
            </w:r>
          </w:p>
          <w:p w14:paraId="5F140D24" w14:textId="77777777" w:rsidR="00005A3C" w:rsidRPr="006A0C48" w:rsidRDefault="00005A3C" w:rsidP="006726E6">
            <w:pPr>
              <w:spacing w:before="80" w:after="80"/>
              <w:jc w:val="left"/>
              <w:rPr>
                <w:szCs w:val="22"/>
              </w:rPr>
            </w:pPr>
            <w:r w:rsidRPr="006A0C48">
              <w:rPr>
                <w:szCs w:val="22"/>
              </w:rPr>
              <w:t>Trends in the legal trade of medicinal plants</w:t>
            </w:r>
          </w:p>
          <w:p w14:paraId="1F490AA7" w14:textId="77777777" w:rsidR="00005A3C" w:rsidRPr="006A0C48" w:rsidRDefault="00005A3C" w:rsidP="006726E6">
            <w:pPr>
              <w:spacing w:before="80" w:after="80"/>
              <w:jc w:val="left"/>
              <w:rPr>
                <w:szCs w:val="22"/>
              </w:rPr>
            </w:pPr>
            <w:r w:rsidRPr="006A0C48">
              <w:rPr>
                <w:szCs w:val="22"/>
              </w:rPr>
              <w:t>Visitor management assessment</w:t>
            </w:r>
          </w:p>
          <w:p w14:paraId="502A63B6" w14:textId="77777777" w:rsidR="00005A3C" w:rsidRPr="006A0C48" w:rsidRDefault="00005A3C" w:rsidP="006726E6">
            <w:pPr>
              <w:spacing w:before="80" w:after="80"/>
              <w:jc w:val="left"/>
              <w:rPr>
                <w:szCs w:val="22"/>
              </w:rPr>
            </w:pPr>
            <w:r w:rsidRPr="006A0C48">
              <w:rPr>
                <w:szCs w:val="22"/>
              </w:rPr>
              <w:t>Number of formal and nonformal education programmes transmitting spiritual and cultural values in the UNESCO World Network of Biosphere Reserves</w:t>
            </w:r>
          </w:p>
          <w:p w14:paraId="05401C0E" w14:textId="77777777" w:rsidR="00005A3C" w:rsidRPr="006A0C48" w:rsidRDefault="00005A3C" w:rsidP="006726E6">
            <w:pPr>
              <w:spacing w:before="80" w:after="80"/>
              <w:jc w:val="left"/>
              <w:rPr>
                <w:szCs w:val="22"/>
              </w:rPr>
            </w:pPr>
            <w:r w:rsidRPr="006A0C48">
              <w:rPr>
                <w:szCs w:val="22"/>
              </w:rPr>
              <w:t xml:space="preserve">Number of mixed sites (having both natural and cultural Outstanding Universal Values), cultural landscapes (recognized as combined works of nature and people) and natural sites with cultural values including those supporting local and indigenous knowledge and practices </w:t>
            </w:r>
            <w:r w:rsidRPr="006A0C48">
              <w:rPr>
                <w:szCs w:val="22"/>
              </w:rPr>
              <w:lastRenderedPageBreak/>
              <w:t>inscribed on the UNESCO World Heritage List and UNESCO World Network of Biosphere Reserves</w:t>
            </w:r>
          </w:p>
          <w:p w14:paraId="0780FDE3" w14:textId="77777777" w:rsidR="00005A3C" w:rsidRPr="006A0C48" w:rsidRDefault="00005A3C" w:rsidP="00A72C99">
            <w:pPr>
              <w:spacing w:before="80" w:after="80"/>
              <w:jc w:val="left"/>
              <w:rPr>
                <w:szCs w:val="22"/>
              </w:rPr>
            </w:pPr>
            <w:r w:rsidRPr="006A0C48">
              <w:rPr>
                <w:szCs w:val="22"/>
              </w:rPr>
              <w:t>Index of Linguistic Diversity - Trends of Bilinguistic diversity and numbers of speakers of indigenous languages</w:t>
            </w:r>
          </w:p>
          <w:p w14:paraId="7A9894CD" w14:textId="77777777" w:rsidR="00005A3C" w:rsidRPr="006A0C48" w:rsidRDefault="00005A3C" w:rsidP="006726E6">
            <w:pPr>
              <w:spacing w:before="80" w:after="80"/>
              <w:jc w:val="left"/>
              <w:rPr>
                <w:szCs w:val="22"/>
              </w:rPr>
            </w:pPr>
            <w:r w:rsidRPr="006A0C48">
              <w:rPr>
                <w:szCs w:val="22"/>
              </w:rPr>
              <w:t>Index of development of the standard-setting framework for the protection and promotion of culture, cultural rights and cultural diversity</w:t>
            </w:r>
          </w:p>
          <w:p w14:paraId="4A91642C" w14:textId="77777777" w:rsidR="00005A3C" w:rsidRPr="006A0C48" w:rsidRDefault="00005A3C" w:rsidP="006726E6">
            <w:pPr>
              <w:spacing w:before="80" w:after="80"/>
              <w:jc w:val="left"/>
              <w:rPr>
                <w:szCs w:val="22"/>
              </w:rPr>
            </w:pPr>
            <w:r w:rsidRPr="006A0C48">
              <w:rPr>
                <w:szCs w:val="22"/>
              </w:rPr>
              <w:t>Cultural vitality index</w:t>
            </w:r>
          </w:p>
          <w:p w14:paraId="46BCD4CF" w14:textId="77777777" w:rsidR="00005A3C" w:rsidRPr="006A0C48" w:rsidRDefault="00005A3C" w:rsidP="006726E6">
            <w:pPr>
              <w:spacing w:before="80" w:after="80"/>
              <w:jc w:val="left"/>
              <w:rPr>
                <w:szCs w:val="22"/>
              </w:rPr>
            </w:pPr>
            <w:r w:rsidRPr="006A0C48">
              <w:rPr>
                <w:szCs w:val="22"/>
              </w:rPr>
              <w:t>UNESCO Culture 2030 (multiple indicators)</w:t>
            </w:r>
          </w:p>
          <w:p w14:paraId="553CE775" w14:textId="77777777" w:rsidR="00005A3C" w:rsidRPr="006A0C48" w:rsidRDefault="00005A3C" w:rsidP="00A72C99">
            <w:pPr>
              <w:spacing w:before="80" w:after="80"/>
              <w:jc w:val="left"/>
              <w:rPr>
                <w:szCs w:val="22"/>
              </w:rPr>
            </w:pPr>
            <w:r w:rsidRPr="006A0C48">
              <w:rPr>
                <w:szCs w:val="22"/>
              </w:rPr>
              <w:t>Processes and tools to monitor the implementation of a right to a healthy environment (e.g. included in NBSAPs and reported in national reports</w:t>
            </w:r>
          </w:p>
          <w:p w14:paraId="1C8860AD" w14:textId="77777777" w:rsidR="00005A3C" w:rsidRPr="006A0C48" w:rsidRDefault="00005A3C" w:rsidP="006726E6">
            <w:pPr>
              <w:spacing w:before="80" w:after="80"/>
              <w:jc w:val="left"/>
              <w:rPr>
                <w:szCs w:val="22"/>
              </w:rPr>
            </w:pPr>
            <w:r w:rsidRPr="006A0C48">
              <w:rPr>
                <w:szCs w:val="22"/>
              </w:rPr>
              <w:t>Red List Index (for internationally traded species)</w:t>
            </w:r>
          </w:p>
        </w:tc>
      </w:tr>
      <w:tr w:rsidR="00005A3C" w:rsidRPr="006A0C48" w14:paraId="3CB1D6C5" w14:textId="77777777" w:rsidTr="00967EE7">
        <w:trPr>
          <w:trHeight w:val="300"/>
        </w:trPr>
        <w:tc>
          <w:tcPr>
            <w:tcW w:w="846" w:type="dxa"/>
            <w:shd w:val="clear" w:color="auto" w:fill="FFFFFF" w:themeFill="background1"/>
          </w:tcPr>
          <w:p w14:paraId="6D91F6C2" w14:textId="77777777" w:rsidR="00005A3C" w:rsidRPr="006A0C48" w:rsidRDefault="00005A3C" w:rsidP="00BC5121">
            <w:pPr>
              <w:spacing w:before="80" w:after="80"/>
              <w:rPr>
                <w:szCs w:val="22"/>
              </w:rPr>
            </w:pPr>
            <w:r w:rsidRPr="006A0C48">
              <w:rPr>
                <w:szCs w:val="22"/>
              </w:rPr>
              <w:lastRenderedPageBreak/>
              <w:t>C</w:t>
            </w:r>
            <w:r w:rsidRPr="006A0C48">
              <w:rPr>
                <w:b/>
                <w:bCs/>
                <w:szCs w:val="22"/>
                <w:vertAlign w:val="superscript"/>
              </w:rPr>
              <w:t>b</w:t>
            </w:r>
          </w:p>
        </w:tc>
        <w:tc>
          <w:tcPr>
            <w:tcW w:w="3260" w:type="dxa"/>
            <w:shd w:val="clear" w:color="auto" w:fill="FFFFFF" w:themeFill="background1"/>
          </w:tcPr>
          <w:p w14:paraId="13B452A3" w14:textId="77777777" w:rsidR="00005A3C" w:rsidRPr="006A0C48" w:rsidRDefault="00005A3C" w:rsidP="006726E6">
            <w:pPr>
              <w:spacing w:before="40" w:after="40"/>
              <w:jc w:val="left"/>
              <w:rPr>
                <w:szCs w:val="22"/>
              </w:rPr>
            </w:pPr>
            <w:r w:rsidRPr="006A0C48">
              <w:rPr>
                <w:szCs w:val="22"/>
              </w:rPr>
              <w:t>C.1 Indicator on monetary benefits received*</w:t>
            </w:r>
          </w:p>
          <w:p w14:paraId="07D2E8E5" w14:textId="77777777" w:rsidR="00005A3C" w:rsidRPr="006A0C48" w:rsidRDefault="00005A3C" w:rsidP="006726E6">
            <w:pPr>
              <w:spacing w:before="80" w:after="80"/>
              <w:jc w:val="left"/>
              <w:rPr>
                <w:color w:val="000000" w:themeColor="text1"/>
                <w:szCs w:val="22"/>
              </w:rPr>
            </w:pPr>
            <w:r w:rsidRPr="006A0C48">
              <w:rPr>
                <w:szCs w:val="22"/>
              </w:rPr>
              <w:t>C.2 Indicator on non-monetary benefits*</w:t>
            </w:r>
          </w:p>
        </w:tc>
        <w:tc>
          <w:tcPr>
            <w:tcW w:w="3567" w:type="dxa"/>
            <w:shd w:val="clear" w:color="auto" w:fill="FFFFFF" w:themeFill="background1"/>
          </w:tcPr>
          <w:p w14:paraId="413D5D14" w14:textId="77777777" w:rsidR="00005A3C" w:rsidRPr="006A0C48" w:rsidRDefault="00005A3C" w:rsidP="00BC5121">
            <w:pPr>
              <w:spacing w:before="80" w:after="80"/>
              <w:rPr>
                <w:szCs w:val="22"/>
              </w:rPr>
            </w:pPr>
          </w:p>
        </w:tc>
        <w:tc>
          <w:tcPr>
            <w:tcW w:w="5363" w:type="dxa"/>
            <w:shd w:val="clear" w:color="auto" w:fill="FFFFFF" w:themeFill="background1"/>
          </w:tcPr>
          <w:p w14:paraId="6A289178" w14:textId="77777777" w:rsidR="00005A3C" w:rsidRPr="006A0C48" w:rsidRDefault="00005A3C" w:rsidP="006726E6">
            <w:pPr>
              <w:spacing w:before="80" w:after="80"/>
              <w:jc w:val="left"/>
              <w:rPr>
                <w:szCs w:val="22"/>
              </w:rPr>
            </w:pPr>
            <w:r w:rsidRPr="006A0C48">
              <w:rPr>
                <w:szCs w:val="22"/>
              </w:rPr>
              <w:t>Number of users that have provided information relevant to the utilization of genetic resources to designated checkpoints</w:t>
            </w:r>
          </w:p>
          <w:p w14:paraId="31619431" w14:textId="77777777" w:rsidR="00005A3C" w:rsidRPr="006A0C48" w:rsidRDefault="00005A3C" w:rsidP="006726E6">
            <w:pPr>
              <w:spacing w:before="80" w:after="80"/>
              <w:jc w:val="left"/>
              <w:rPr>
                <w:szCs w:val="22"/>
              </w:rPr>
            </w:pPr>
            <w:r w:rsidRPr="006A0C48">
              <w:rPr>
                <w:szCs w:val="22"/>
              </w:rPr>
              <w:t>Total number of internationally recognized certificates published in the ABS Clearing-House</w:t>
            </w:r>
          </w:p>
          <w:p w14:paraId="077EEF59" w14:textId="77777777" w:rsidR="00005A3C" w:rsidRPr="006A0C48" w:rsidRDefault="00005A3C" w:rsidP="006726E6">
            <w:pPr>
              <w:spacing w:before="80" w:after="80"/>
              <w:jc w:val="left"/>
              <w:rPr>
                <w:szCs w:val="22"/>
              </w:rPr>
            </w:pPr>
            <w:r w:rsidRPr="006A0C48">
              <w:rPr>
                <w:szCs w:val="22"/>
              </w:rPr>
              <w:t>Number of checkpoint communiqués published in the ABS Clearing-House</w:t>
            </w:r>
          </w:p>
          <w:p w14:paraId="2BB0F11D" w14:textId="77777777" w:rsidR="00005A3C" w:rsidRPr="006A0C48" w:rsidRDefault="00005A3C" w:rsidP="006726E6">
            <w:pPr>
              <w:spacing w:before="80" w:after="80"/>
              <w:jc w:val="left"/>
              <w:rPr>
                <w:szCs w:val="22"/>
              </w:rPr>
            </w:pPr>
            <w:r w:rsidRPr="006A0C48">
              <w:rPr>
                <w:szCs w:val="22"/>
              </w:rPr>
              <w:t>Number of internationally recognized certificates of compliance for non-commercial purposes</w:t>
            </w:r>
          </w:p>
          <w:p w14:paraId="3E1EBFD3" w14:textId="77777777" w:rsidR="00005A3C" w:rsidRPr="006A0C48" w:rsidRDefault="00005A3C" w:rsidP="006A0C48">
            <w:pPr>
              <w:spacing w:before="40" w:after="40"/>
              <w:jc w:val="left"/>
              <w:rPr>
                <w:szCs w:val="22"/>
                <w:shd w:val="clear" w:color="auto" w:fill="FFFFFF" w:themeFill="background1"/>
              </w:rPr>
            </w:pPr>
            <w:r w:rsidRPr="006A0C48">
              <w:rPr>
                <w:szCs w:val="22"/>
                <w:shd w:val="clear" w:color="auto" w:fill="FFFFFF" w:themeFill="background1"/>
              </w:rPr>
              <w:t>Integration of biodiversity into national accounting and reporting systems, defined as implementation of the System of Environmental-Economic Accounting</w:t>
            </w:r>
          </w:p>
        </w:tc>
      </w:tr>
      <w:tr w:rsidR="00005A3C" w:rsidRPr="006A0C48" w14:paraId="0E92CD98" w14:textId="77777777" w:rsidTr="00967EE7">
        <w:trPr>
          <w:trHeight w:val="300"/>
        </w:trPr>
        <w:tc>
          <w:tcPr>
            <w:tcW w:w="846" w:type="dxa"/>
            <w:shd w:val="clear" w:color="auto" w:fill="FFFFFF" w:themeFill="background1"/>
          </w:tcPr>
          <w:p w14:paraId="0D892A99" w14:textId="77777777" w:rsidR="00005A3C" w:rsidRPr="006A0C48" w:rsidRDefault="00005A3C" w:rsidP="00BC5121">
            <w:pPr>
              <w:spacing w:before="80" w:after="80"/>
              <w:rPr>
                <w:szCs w:val="22"/>
              </w:rPr>
            </w:pPr>
            <w:r w:rsidRPr="006A0C48">
              <w:rPr>
                <w:szCs w:val="22"/>
              </w:rPr>
              <w:t>D</w:t>
            </w:r>
          </w:p>
        </w:tc>
        <w:tc>
          <w:tcPr>
            <w:tcW w:w="3260" w:type="dxa"/>
            <w:shd w:val="clear" w:color="auto" w:fill="FFFFFF" w:themeFill="background1"/>
          </w:tcPr>
          <w:p w14:paraId="6233D9B1" w14:textId="77777777" w:rsidR="00005A3C" w:rsidRPr="006A0C48" w:rsidRDefault="00005A3C" w:rsidP="006726E6">
            <w:pPr>
              <w:spacing w:before="120" w:after="60"/>
              <w:jc w:val="left"/>
              <w:rPr>
                <w:rFonts w:eastAsia="DengXian"/>
                <w:szCs w:val="22"/>
              </w:rPr>
            </w:pPr>
            <w:r w:rsidRPr="006A0C48">
              <w:rPr>
                <w:rFonts w:eastAsia="DengXian"/>
                <w:szCs w:val="22"/>
              </w:rPr>
              <w:t xml:space="preserve">D.1 International public funding, including official development assistance (ODA) for </w:t>
            </w:r>
            <w:r w:rsidRPr="006A0C48">
              <w:rPr>
                <w:rFonts w:eastAsia="DengXian"/>
                <w:szCs w:val="22"/>
              </w:rPr>
              <w:lastRenderedPageBreak/>
              <w:t xml:space="preserve">conservation and sustainable use of biodiversity and ecosystems </w:t>
            </w:r>
          </w:p>
          <w:p w14:paraId="7A333849" w14:textId="77777777" w:rsidR="00005A3C" w:rsidRPr="006A0C48" w:rsidRDefault="00005A3C" w:rsidP="006726E6">
            <w:pPr>
              <w:spacing w:before="120" w:after="60"/>
              <w:jc w:val="left"/>
              <w:rPr>
                <w:rFonts w:eastAsia="DengXian"/>
                <w:szCs w:val="22"/>
              </w:rPr>
            </w:pPr>
            <w:r w:rsidRPr="006A0C48">
              <w:rPr>
                <w:rFonts w:eastAsia="DengXian"/>
                <w:szCs w:val="22"/>
              </w:rPr>
              <w:t xml:space="preserve">D.2 Domestic public funding on conservation and sustainable use of biodiversity and ecosystems </w:t>
            </w:r>
          </w:p>
          <w:p w14:paraId="1A033252" w14:textId="77777777" w:rsidR="00005A3C" w:rsidRPr="006A0C48" w:rsidRDefault="00005A3C" w:rsidP="006726E6">
            <w:pPr>
              <w:spacing w:before="120" w:after="60"/>
              <w:jc w:val="left"/>
              <w:rPr>
                <w:szCs w:val="22"/>
              </w:rPr>
            </w:pPr>
            <w:r w:rsidRPr="006A0C48">
              <w:rPr>
                <w:rFonts w:eastAsia="DengXian"/>
                <w:szCs w:val="22"/>
              </w:rPr>
              <w:t>D.3 Private funding (domestic and international) on conservation and sustainable use of biodiversity and ecosystems*</w:t>
            </w:r>
          </w:p>
        </w:tc>
        <w:tc>
          <w:tcPr>
            <w:tcW w:w="3567" w:type="dxa"/>
            <w:shd w:val="clear" w:color="auto" w:fill="FFFFFF" w:themeFill="background1"/>
          </w:tcPr>
          <w:p w14:paraId="07AE398D" w14:textId="77777777" w:rsidR="00005A3C" w:rsidRPr="006A0C48" w:rsidRDefault="00005A3C" w:rsidP="00BC5121">
            <w:pPr>
              <w:spacing w:before="80" w:after="80"/>
              <w:rPr>
                <w:szCs w:val="22"/>
              </w:rPr>
            </w:pPr>
          </w:p>
        </w:tc>
        <w:tc>
          <w:tcPr>
            <w:tcW w:w="5363" w:type="dxa"/>
            <w:shd w:val="clear" w:color="auto" w:fill="FFFFFF" w:themeFill="background1"/>
          </w:tcPr>
          <w:p w14:paraId="41E28DD2" w14:textId="77777777" w:rsidR="00005A3C" w:rsidRPr="006A0C48" w:rsidRDefault="00005A3C" w:rsidP="006726E6">
            <w:pPr>
              <w:spacing w:before="80" w:after="80"/>
              <w:jc w:val="left"/>
              <w:rPr>
                <w:szCs w:val="22"/>
              </w:rPr>
            </w:pPr>
            <w:r w:rsidRPr="006A0C48">
              <w:rPr>
                <w:szCs w:val="22"/>
              </w:rPr>
              <w:t>Finance mobilized for capacity-building</w:t>
            </w:r>
          </w:p>
          <w:p w14:paraId="2B678296" w14:textId="77777777" w:rsidR="00005A3C" w:rsidRPr="006A0C48" w:rsidRDefault="00005A3C" w:rsidP="006726E6">
            <w:pPr>
              <w:spacing w:before="80" w:after="80"/>
              <w:jc w:val="left"/>
              <w:rPr>
                <w:szCs w:val="22"/>
              </w:rPr>
            </w:pPr>
            <w:r w:rsidRPr="006A0C48">
              <w:rPr>
                <w:szCs w:val="22"/>
              </w:rPr>
              <w:lastRenderedPageBreak/>
              <w:t>Financial and technical assistance provided in dollars (including through South-South, North-South and triangular cooperation)</w:t>
            </w:r>
          </w:p>
          <w:p w14:paraId="3D099167" w14:textId="77777777" w:rsidR="00005A3C" w:rsidRPr="006A0C48" w:rsidRDefault="00005A3C" w:rsidP="006726E6">
            <w:pPr>
              <w:spacing w:before="80" w:after="80"/>
              <w:jc w:val="left"/>
              <w:rPr>
                <w:szCs w:val="22"/>
              </w:rPr>
            </w:pPr>
            <w:r w:rsidRPr="006A0C48">
              <w:rPr>
                <w:szCs w:val="22"/>
              </w:rPr>
              <w:t>Finance mobilized for promoting the development, transfer, dissemination and diffusion of technology</w:t>
            </w:r>
          </w:p>
          <w:p w14:paraId="331BFF40" w14:textId="77777777" w:rsidR="00005A3C" w:rsidRPr="006A0C48" w:rsidRDefault="00005A3C" w:rsidP="006726E6">
            <w:pPr>
              <w:spacing w:before="80" w:after="80"/>
              <w:jc w:val="left"/>
              <w:rPr>
                <w:szCs w:val="22"/>
              </w:rPr>
            </w:pPr>
            <w:r w:rsidRPr="006A0C48">
              <w:rPr>
                <w:szCs w:val="22"/>
              </w:rPr>
              <w:t>Number of scientists per population</w:t>
            </w:r>
          </w:p>
          <w:p w14:paraId="541C0421" w14:textId="77777777" w:rsidR="00005A3C" w:rsidRPr="006A0C48" w:rsidRDefault="00005A3C" w:rsidP="006726E6">
            <w:pPr>
              <w:spacing w:before="80" w:after="80"/>
              <w:jc w:val="left"/>
              <w:rPr>
                <w:szCs w:val="22"/>
              </w:rPr>
            </w:pPr>
            <w:r w:rsidRPr="006A0C48">
              <w:rPr>
                <w:szCs w:val="22"/>
              </w:rPr>
              <w:t>Joint scientific papers published (in Ocean Biodiversity Information System (OBIS)) by sector</w:t>
            </w:r>
          </w:p>
          <w:p w14:paraId="51D74393" w14:textId="77777777" w:rsidR="00005A3C" w:rsidRPr="006A0C48" w:rsidRDefault="00005A3C" w:rsidP="006726E6">
            <w:pPr>
              <w:spacing w:before="80" w:after="80"/>
              <w:jc w:val="left"/>
              <w:rPr>
                <w:szCs w:val="22"/>
              </w:rPr>
            </w:pPr>
            <w:r w:rsidRPr="006A0C48">
              <w:rPr>
                <w:szCs w:val="22"/>
              </w:rPr>
              <w:t>Nationally maintained research vessels</w:t>
            </w:r>
          </w:p>
          <w:p w14:paraId="4A483339" w14:textId="77777777" w:rsidR="00005A3C" w:rsidRPr="006A0C48" w:rsidRDefault="00005A3C" w:rsidP="006726E6">
            <w:pPr>
              <w:spacing w:before="80" w:after="80"/>
              <w:jc w:val="left"/>
              <w:rPr>
                <w:szCs w:val="22"/>
              </w:rPr>
            </w:pPr>
            <w:r w:rsidRPr="006A0C48">
              <w:rPr>
                <w:szCs w:val="22"/>
              </w:rPr>
              <w:t>Proportion of total research budget allocated to research in the field of marine technology</w:t>
            </w:r>
          </w:p>
          <w:p w14:paraId="4EE1DCDC" w14:textId="77777777" w:rsidR="00005A3C" w:rsidRPr="006A0C48" w:rsidRDefault="00005A3C" w:rsidP="006726E6">
            <w:pPr>
              <w:spacing w:before="80" w:after="80"/>
              <w:jc w:val="left"/>
              <w:rPr>
                <w:szCs w:val="22"/>
              </w:rPr>
            </w:pPr>
            <w:r w:rsidRPr="006A0C48">
              <w:rPr>
                <w:szCs w:val="22"/>
              </w:rPr>
              <w:t>Volume of official development assistance flows for scholarships by sector and type of study</w:t>
            </w:r>
          </w:p>
          <w:p w14:paraId="49E2C4E1" w14:textId="77777777" w:rsidR="00005A3C" w:rsidRPr="006A0C48" w:rsidRDefault="00005A3C" w:rsidP="006726E6">
            <w:pPr>
              <w:spacing w:before="80" w:after="80"/>
              <w:jc w:val="left"/>
              <w:rPr>
                <w:szCs w:val="22"/>
              </w:rPr>
            </w:pPr>
            <w:r w:rsidRPr="006A0C48">
              <w:rPr>
                <w:szCs w:val="22"/>
              </w:rPr>
              <w:t>Global imports of information and communication technology (ICT) goods as presented by bilateral trade flows by ICT goods categories</w:t>
            </w:r>
          </w:p>
          <w:p w14:paraId="1BA7C73A" w14:textId="77777777" w:rsidR="00005A3C" w:rsidRPr="006A0C48" w:rsidRDefault="00005A3C" w:rsidP="006726E6">
            <w:pPr>
              <w:spacing w:before="80" w:after="80"/>
              <w:jc w:val="left"/>
              <w:rPr>
                <w:szCs w:val="22"/>
              </w:rPr>
            </w:pPr>
            <w:r w:rsidRPr="006A0C48">
              <w:rPr>
                <w:szCs w:val="22"/>
              </w:rPr>
              <w:t>Total amount of funding for developing countries to promote the development, transfer, dissemination and diffusion of environmentally sound technologies</w:t>
            </w:r>
          </w:p>
        </w:tc>
      </w:tr>
      <w:tr w:rsidR="00005A3C" w:rsidRPr="006A0C48" w14:paraId="44E7C0DB" w14:textId="77777777" w:rsidTr="00967EE7">
        <w:trPr>
          <w:trHeight w:val="300"/>
        </w:trPr>
        <w:tc>
          <w:tcPr>
            <w:tcW w:w="846" w:type="dxa"/>
            <w:shd w:val="clear" w:color="auto" w:fill="FFFFFF" w:themeFill="background1"/>
          </w:tcPr>
          <w:p w14:paraId="30E60BAC" w14:textId="77777777" w:rsidR="00005A3C" w:rsidRPr="006A0C48" w:rsidRDefault="00005A3C" w:rsidP="00BC5121">
            <w:pPr>
              <w:spacing w:before="80" w:after="80"/>
              <w:rPr>
                <w:szCs w:val="22"/>
              </w:rPr>
            </w:pPr>
            <w:r w:rsidRPr="006A0C48">
              <w:rPr>
                <w:szCs w:val="22"/>
              </w:rPr>
              <w:lastRenderedPageBreak/>
              <w:t>1</w:t>
            </w:r>
            <w:r w:rsidRPr="006A0C48">
              <w:rPr>
                <w:b/>
                <w:bCs/>
                <w:szCs w:val="22"/>
                <w:vertAlign w:val="superscript"/>
              </w:rPr>
              <w:t>b</w:t>
            </w:r>
          </w:p>
        </w:tc>
        <w:tc>
          <w:tcPr>
            <w:tcW w:w="3260" w:type="dxa"/>
            <w:shd w:val="clear" w:color="auto" w:fill="FFFFFF" w:themeFill="background1"/>
          </w:tcPr>
          <w:p w14:paraId="045A9BF5" w14:textId="77777777" w:rsidR="00005A3C" w:rsidRPr="006A0C48" w:rsidRDefault="00005A3C" w:rsidP="006726E6">
            <w:pPr>
              <w:spacing w:before="40" w:after="40"/>
              <w:jc w:val="left"/>
              <w:rPr>
                <w:szCs w:val="22"/>
              </w:rPr>
            </w:pPr>
            <w:r w:rsidRPr="006A0C48">
              <w:rPr>
                <w:szCs w:val="22"/>
              </w:rPr>
              <w:t>A.1 Red List of Ecosystems</w:t>
            </w:r>
          </w:p>
          <w:p w14:paraId="231DAAA5" w14:textId="77777777" w:rsidR="00005A3C" w:rsidRPr="006A0C48" w:rsidRDefault="00005A3C" w:rsidP="006726E6">
            <w:pPr>
              <w:spacing w:before="40" w:after="40"/>
              <w:jc w:val="left"/>
              <w:rPr>
                <w:szCs w:val="22"/>
              </w:rPr>
            </w:pPr>
            <w:r w:rsidRPr="006A0C48">
              <w:rPr>
                <w:szCs w:val="22"/>
              </w:rPr>
              <w:t>A.2 Extent of natural ecosystems</w:t>
            </w:r>
          </w:p>
          <w:p w14:paraId="44284EF6" w14:textId="77777777" w:rsidR="00005A3C" w:rsidRPr="006A0C48" w:rsidRDefault="00005A3C" w:rsidP="006726E6">
            <w:pPr>
              <w:spacing w:before="80" w:after="80"/>
              <w:jc w:val="left"/>
              <w:rPr>
                <w:szCs w:val="22"/>
              </w:rPr>
            </w:pPr>
            <w:r w:rsidRPr="006A0C48">
              <w:rPr>
                <w:szCs w:val="22"/>
              </w:rPr>
              <w:t>1.1 Percent of land and sea area covered by biodiversity-inclusive spatial plans*</w:t>
            </w:r>
          </w:p>
        </w:tc>
        <w:tc>
          <w:tcPr>
            <w:tcW w:w="3567" w:type="dxa"/>
            <w:shd w:val="clear" w:color="auto" w:fill="FFFFFF" w:themeFill="background1"/>
          </w:tcPr>
          <w:p w14:paraId="596A1718" w14:textId="77777777" w:rsidR="00005A3C" w:rsidRPr="006A0C48" w:rsidRDefault="00005A3C" w:rsidP="006726E6">
            <w:pPr>
              <w:spacing w:before="80" w:after="80"/>
              <w:jc w:val="left"/>
              <w:rPr>
                <w:szCs w:val="22"/>
              </w:rPr>
            </w:pPr>
            <w:r w:rsidRPr="006A0C48">
              <w:rPr>
                <w:szCs w:val="22"/>
              </w:rPr>
              <w:t>Priority retention of intact / wilderness areas</w:t>
            </w:r>
          </w:p>
          <w:p w14:paraId="5604EADB" w14:textId="77777777" w:rsidR="00005A3C" w:rsidRPr="006A0C48" w:rsidRDefault="00005A3C" w:rsidP="006726E6">
            <w:pPr>
              <w:spacing w:before="80" w:after="80"/>
              <w:jc w:val="left"/>
              <w:rPr>
                <w:szCs w:val="22"/>
              </w:rPr>
            </w:pPr>
          </w:p>
        </w:tc>
        <w:tc>
          <w:tcPr>
            <w:tcW w:w="5363" w:type="dxa"/>
            <w:shd w:val="clear" w:color="auto" w:fill="FFFFFF" w:themeFill="background1"/>
          </w:tcPr>
          <w:p w14:paraId="15B2A60F" w14:textId="77777777" w:rsidR="00005A3C" w:rsidRPr="006A0C48" w:rsidRDefault="00005A3C" w:rsidP="006726E6">
            <w:pPr>
              <w:spacing w:before="80" w:after="80"/>
              <w:jc w:val="left"/>
              <w:rPr>
                <w:szCs w:val="22"/>
              </w:rPr>
            </w:pPr>
            <w:r w:rsidRPr="006A0C48">
              <w:rPr>
                <w:szCs w:val="22"/>
              </w:rPr>
              <w:t>Number of countries using natural capital accounts in planning processes</w:t>
            </w:r>
          </w:p>
          <w:p w14:paraId="01994068" w14:textId="77777777" w:rsidR="00005A3C" w:rsidRPr="006A0C48" w:rsidRDefault="00005A3C" w:rsidP="006726E6">
            <w:pPr>
              <w:spacing w:before="80" w:after="80"/>
              <w:jc w:val="left"/>
              <w:rPr>
                <w:szCs w:val="22"/>
              </w:rPr>
            </w:pPr>
            <w:r w:rsidRPr="006A0C48">
              <w:rPr>
                <w:szCs w:val="22"/>
              </w:rPr>
              <w:t>Percentage of spatial plans utilizing information on key biodiversity areas</w:t>
            </w:r>
          </w:p>
          <w:p w14:paraId="6F4876AC" w14:textId="77777777" w:rsidR="00005A3C" w:rsidRPr="006A0C48" w:rsidRDefault="00005A3C" w:rsidP="006726E6">
            <w:pPr>
              <w:spacing w:before="80" w:after="80"/>
              <w:jc w:val="left"/>
              <w:rPr>
                <w:szCs w:val="22"/>
              </w:rPr>
            </w:pPr>
            <w:r w:rsidRPr="006A0C48">
              <w:rPr>
                <w:szCs w:val="22"/>
              </w:rPr>
              <w:t>Habitat patches located within marine protected areas or integrated coastal zone management (ICZM)</w:t>
            </w:r>
          </w:p>
          <w:p w14:paraId="49FD9AB9" w14:textId="77777777" w:rsidR="00005A3C" w:rsidRPr="006A0C48" w:rsidRDefault="00005A3C" w:rsidP="006726E6">
            <w:pPr>
              <w:spacing w:before="80" w:after="80"/>
              <w:jc w:val="left"/>
              <w:rPr>
                <w:szCs w:val="22"/>
              </w:rPr>
            </w:pPr>
            <w:r w:rsidRPr="006A0C48">
              <w:rPr>
                <w:szCs w:val="22"/>
              </w:rPr>
              <w:t>Other spatial management plans (not captured as ICZM or marine spatial planning)</w:t>
            </w:r>
          </w:p>
          <w:p w14:paraId="2125825A" w14:textId="77777777" w:rsidR="00005A3C" w:rsidRPr="006A0C48" w:rsidRDefault="00005A3C" w:rsidP="006726E6">
            <w:pPr>
              <w:spacing w:before="80" w:after="80"/>
              <w:jc w:val="left"/>
              <w:rPr>
                <w:szCs w:val="22"/>
              </w:rPr>
            </w:pPr>
            <w:r w:rsidRPr="006A0C48">
              <w:rPr>
                <w:szCs w:val="22"/>
              </w:rPr>
              <w:t>Number of countries using ocean accounts in planning processes</w:t>
            </w:r>
          </w:p>
          <w:p w14:paraId="370673B0" w14:textId="77777777" w:rsidR="00005A3C" w:rsidRPr="006A0C48" w:rsidRDefault="00005A3C" w:rsidP="006726E6">
            <w:pPr>
              <w:spacing w:before="80" w:after="80"/>
              <w:jc w:val="left"/>
              <w:rPr>
                <w:szCs w:val="22"/>
              </w:rPr>
            </w:pPr>
            <w:r w:rsidRPr="006A0C48">
              <w:rPr>
                <w:szCs w:val="22"/>
              </w:rPr>
              <w:lastRenderedPageBreak/>
              <w:t xml:space="preserve">Proportion of transboundary basin area with an operational arrangement for water cooperation </w:t>
            </w:r>
          </w:p>
          <w:p w14:paraId="0D90FB3C" w14:textId="77777777" w:rsidR="00005A3C" w:rsidRPr="006A0C48" w:rsidRDefault="00005A3C" w:rsidP="006726E6">
            <w:pPr>
              <w:spacing w:before="80" w:after="80"/>
              <w:jc w:val="left"/>
              <w:rPr>
                <w:szCs w:val="22"/>
              </w:rPr>
            </w:pPr>
            <w:r w:rsidRPr="006A0C48">
              <w:rPr>
                <w:szCs w:val="22"/>
              </w:rPr>
              <w:t>Percent of total land area that is under cultivation</w:t>
            </w:r>
          </w:p>
          <w:p w14:paraId="0E02ED8A" w14:textId="77777777" w:rsidR="00005A3C" w:rsidRPr="006A0C48" w:rsidRDefault="00005A3C" w:rsidP="006726E6">
            <w:pPr>
              <w:spacing w:before="80" w:after="80"/>
              <w:jc w:val="left"/>
              <w:rPr>
                <w:szCs w:val="22"/>
              </w:rPr>
            </w:pPr>
            <w:r w:rsidRPr="006A0C48">
              <w:rPr>
                <w:szCs w:val="22"/>
              </w:rPr>
              <w:t>Extent of natural ecosystems by type</w:t>
            </w:r>
          </w:p>
          <w:p w14:paraId="215F7837" w14:textId="77777777" w:rsidR="00005A3C" w:rsidRPr="006A0C48" w:rsidRDefault="00005A3C" w:rsidP="006726E6">
            <w:pPr>
              <w:spacing w:before="80" w:after="80"/>
              <w:jc w:val="left"/>
              <w:rPr>
                <w:szCs w:val="22"/>
              </w:rPr>
            </w:pPr>
            <w:r w:rsidRPr="006A0C48">
              <w:rPr>
                <w:szCs w:val="22"/>
              </w:rPr>
              <w:t xml:space="preserve">Number of countries implementing national legislation, policies or other measures regarding FPIC related to conservation </w:t>
            </w:r>
          </w:p>
          <w:p w14:paraId="6693887B" w14:textId="77777777" w:rsidR="00005A3C" w:rsidRPr="006A0C48" w:rsidRDefault="00005A3C" w:rsidP="006726E6">
            <w:pPr>
              <w:spacing w:before="80" w:after="80"/>
              <w:jc w:val="left"/>
              <w:rPr>
                <w:szCs w:val="22"/>
              </w:rPr>
            </w:pPr>
            <w:r w:rsidRPr="006A0C48">
              <w:rPr>
                <w:szCs w:val="22"/>
              </w:rPr>
              <w:t>Ecosystem Integrity Index</w:t>
            </w:r>
          </w:p>
        </w:tc>
      </w:tr>
      <w:tr w:rsidR="00005A3C" w:rsidRPr="006A0C48" w14:paraId="7DE4D817" w14:textId="77777777" w:rsidTr="00967EE7">
        <w:trPr>
          <w:trHeight w:val="300"/>
        </w:trPr>
        <w:tc>
          <w:tcPr>
            <w:tcW w:w="846" w:type="dxa"/>
            <w:shd w:val="clear" w:color="auto" w:fill="FFFFFF" w:themeFill="background1"/>
          </w:tcPr>
          <w:p w14:paraId="09DE7A2A" w14:textId="77777777" w:rsidR="00005A3C" w:rsidRPr="006A0C48" w:rsidRDefault="00005A3C" w:rsidP="00BC5121">
            <w:pPr>
              <w:spacing w:before="80" w:after="80"/>
              <w:rPr>
                <w:szCs w:val="22"/>
              </w:rPr>
            </w:pPr>
            <w:r w:rsidRPr="006A0C48">
              <w:rPr>
                <w:szCs w:val="22"/>
              </w:rPr>
              <w:lastRenderedPageBreak/>
              <w:t>2</w:t>
            </w:r>
          </w:p>
        </w:tc>
        <w:tc>
          <w:tcPr>
            <w:tcW w:w="3260" w:type="dxa"/>
            <w:shd w:val="clear" w:color="auto" w:fill="FFFFFF" w:themeFill="background1"/>
          </w:tcPr>
          <w:p w14:paraId="37014040" w14:textId="77777777" w:rsidR="00005A3C" w:rsidRPr="006A0C48" w:rsidRDefault="00005A3C" w:rsidP="00BC5121">
            <w:pPr>
              <w:spacing w:before="80" w:after="80"/>
              <w:rPr>
                <w:szCs w:val="22"/>
              </w:rPr>
            </w:pPr>
            <w:r w:rsidRPr="006A0C48">
              <w:rPr>
                <w:szCs w:val="22"/>
              </w:rPr>
              <w:t xml:space="preserve">2.2 Area under restoration </w:t>
            </w:r>
          </w:p>
        </w:tc>
        <w:tc>
          <w:tcPr>
            <w:tcW w:w="3567" w:type="dxa"/>
            <w:shd w:val="clear" w:color="auto" w:fill="FFFFFF" w:themeFill="background1"/>
          </w:tcPr>
          <w:p w14:paraId="460AAA6C" w14:textId="77777777" w:rsidR="00005A3C" w:rsidRPr="006A0C48" w:rsidRDefault="00005A3C" w:rsidP="006726E6">
            <w:pPr>
              <w:spacing w:before="80" w:after="80"/>
              <w:jc w:val="left"/>
              <w:rPr>
                <w:szCs w:val="22"/>
              </w:rPr>
            </w:pPr>
            <w:r w:rsidRPr="006A0C48">
              <w:rPr>
                <w:szCs w:val="22"/>
              </w:rPr>
              <w:t>Extent of natural ecosystems by type</w:t>
            </w:r>
          </w:p>
          <w:p w14:paraId="2238BC8A" w14:textId="77777777" w:rsidR="00005A3C" w:rsidRPr="006A0C48" w:rsidRDefault="00005A3C" w:rsidP="006726E6">
            <w:pPr>
              <w:spacing w:before="80" w:after="80"/>
              <w:jc w:val="left"/>
              <w:rPr>
                <w:szCs w:val="22"/>
              </w:rPr>
            </w:pPr>
          </w:p>
          <w:p w14:paraId="75A5C2A9" w14:textId="77777777" w:rsidR="00005A3C" w:rsidRPr="006A0C48" w:rsidRDefault="00005A3C" w:rsidP="006726E6">
            <w:pPr>
              <w:jc w:val="left"/>
              <w:rPr>
                <w:szCs w:val="22"/>
              </w:rPr>
            </w:pPr>
            <w:r w:rsidRPr="006A0C48">
              <w:rPr>
                <w:szCs w:val="22"/>
              </w:rPr>
              <w:t>Maintenance and restoration of connectivity of natural ecosystems</w:t>
            </w:r>
          </w:p>
          <w:p w14:paraId="7329C700" w14:textId="77777777" w:rsidR="00005A3C" w:rsidRPr="006A0C48" w:rsidRDefault="00005A3C" w:rsidP="006726E6">
            <w:pPr>
              <w:spacing w:before="80" w:after="80"/>
              <w:jc w:val="left"/>
              <w:rPr>
                <w:szCs w:val="22"/>
              </w:rPr>
            </w:pPr>
          </w:p>
          <w:p w14:paraId="24C443B6" w14:textId="77777777" w:rsidR="00005A3C" w:rsidRPr="006A0C48" w:rsidRDefault="00005A3C" w:rsidP="006726E6">
            <w:pPr>
              <w:spacing w:before="80" w:after="80"/>
              <w:jc w:val="left"/>
              <w:rPr>
                <w:szCs w:val="22"/>
              </w:rPr>
            </w:pPr>
          </w:p>
        </w:tc>
        <w:tc>
          <w:tcPr>
            <w:tcW w:w="5363" w:type="dxa"/>
            <w:shd w:val="clear" w:color="auto" w:fill="FFFFFF" w:themeFill="background1"/>
          </w:tcPr>
          <w:p w14:paraId="18666893" w14:textId="77777777" w:rsidR="00005A3C" w:rsidRPr="006A0C48" w:rsidRDefault="00005A3C" w:rsidP="006726E6">
            <w:pPr>
              <w:spacing w:before="80" w:after="80"/>
              <w:jc w:val="left"/>
              <w:rPr>
                <w:szCs w:val="22"/>
              </w:rPr>
            </w:pPr>
            <w:r w:rsidRPr="006A0C48">
              <w:rPr>
                <w:szCs w:val="22"/>
              </w:rPr>
              <w:t>Habitat distributional range</w:t>
            </w:r>
          </w:p>
          <w:p w14:paraId="2BC67F82" w14:textId="77777777" w:rsidR="00005A3C" w:rsidRPr="006A0C48" w:rsidRDefault="00005A3C" w:rsidP="006726E6">
            <w:pPr>
              <w:spacing w:before="80" w:after="80"/>
              <w:jc w:val="left"/>
              <w:rPr>
                <w:szCs w:val="22"/>
              </w:rPr>
            </w:pPr>
            <w:r w:rsidRPr="006A0C48">
              <w:rPr>
                <w:szCs w:val="22"/>
              </w:rPr>
              <w:t>Index of Species Rarity Sites, High Biodiversity Areas, Large Mammal Landscapes, Intact Wilderness and Climate Stabilization Areas</w:t>
            </w:r>
          </w:p>
          <w:p w14:paraId="7916693A" w14:textId="77777777" w:rsidR="00005A3C" w:rsidRPr="006A0C48" w:rsidRDefault="00005A3C" w:rsidP="006726E6">
            <w:pPr>
              <w:spacing w:before="80" w:after="80"/>
              <w:jc w:val="left"/>
              <w:rPr>
                <w:szCs w:val="22"/>
              </w:rPr>
            </w:pPr>
            <w:r w:rsidRPr="006A0C48">
              <w:rPr>
                <w:szCs w:val="22"/>
              </w:rPr>
              <w:t>Increase in secondary natural forest cover</w:t>
            </w:r>
          </w:p>
          <w:p w14:paraId="6BCFCF74" w14:textId="77777777" w:rsidR="00005A3C" w:rsidRPr="006A0C48" w:rsidRDefault="00005A3C" w:rsidP="006726E6">
            <w:pPr>
              <w:spacing w:before="80" w:after="80"/>
              <w:jc w:val="left"/>
              <w:rPr>
                <w:szCs w:val="22"/>
              </w:rPr>
            </w:pPr>
            <w:r w:rsidRPr="006A0C48">
              <w:rPr>
                <w:szCs w:val="22"/>
              </w:rPr>
              <w:t>Annual tropical primary tree cover loss</w:t>
            </w:r>
          </w:p>
          <w:p w14:paraId="1E5678DF" w14:textId="77777777" w:rsidR="00005A3C" w:rsidRPr="006A0C48" w:rsidRDefault="00005A3C" w:rsidP="006726E6">
            <w:pPr>
              <w:spacing w:before="80" w:after="80"/>
              <w:jc w:val="left"/>
              <w:rPr>
                <w:szCs w:val="22"/>
              </w:rPr>
            </w:pPr>
            <w:r w:rsidRPr="006A0C48">
              <w:rPr>
                <w:szCs w:val="22"/>
              </w:rPr>
              <w:t>Forest Landscape Integrity Index</w:t>
            </w:r>
          </w:p>
          <w:p w14:paraId="7667D3DB" w14:textId="77777777" w:rsidR="00005A3C" w:rsidRPr="006A0C48" w:rsidRDefault="00005A3C" w:rsidP="006726E6">
            <w:pPr>
              <w:spacing w:before="80" w:after="80"/>
              <w:jc w:val="left"/>
              <w:rPr>
                <w:szCs w:val="22"/>
              </w:rPr>
            </w:pPr>
            <w:r w:rsidRPr="006A0C48">
              <w:rPr>
                <w:szCs w:val="22"/>
              </w:rPr>
              <w:t>Global Ecosystem Restoration Index</w:t>
            </w:r>
          </w:p>
          <w:p w14:paraId="08377864" w14:textId="77777777" w:rsidR="00005A3C" w:rsidRPr="006A0C48" w:rsidRDefault="00005A3C" w:rsidP="006726E6">
            <w:pPr>
              <w:spacing w:before="80" w:after="80"/>
              <w:jc w:val="left"/>
              <w:rPr>
                <w:szCs w:val="22"/>
              </w:rPr>
            </w:pPr>
            <w:r w:rsidRPr="006A0C48">
              <w:rPr>
                <w:szCs w:val="22"/>
              </w:rPr>
              <w:t>Free flowing rivers</w:t>
            </w:r>
          </w:p>
          <w:p w14:paraId="5312434F" w14:textId="77777777" w:rsidR="00005A3C" w:rsidRPr="006A0C48" w:rsidRDefault="00005A3C" w:rsidP="006726E6">
            <w:pPr>
              <w:spacing w:before="80" w:after="80"/>
              <w:jc w:val="left"/>
              <w:rPr>
                <w:szCs w:val="22"/>
              </w:rPr>
            </w:pPr>
            <w:r w:rsidRPr="006A0C48">
              <w:rPr>
                <w:szCs w:val="22"/>
              </w:rPr>
              <w:t>Percentage of cropped landscapes with at least 10 per cent of natural land</w:t>
            </w:r>
          </w:p>
          <w:p w14:paraId="7EAD0344" w14:textId="77777777" w:rsidR="00005A3C" w:rsidRPr="006A0C48" w:rsidRDefault="00005A3C" w:rsidP="006726E6">
            <w:pPr>
              <w:spacing w:before="80" w:after="80"/>
              <w:jc w:val="left"/>
              <w:rPr>
                <w:szCs w:val="22"/>
              </w:rPr>
            </w:pPr>
            <w:r w:rsidRPr="006A0C48">
              <w:rPr>
                <w:szCs w:val="22"/>
              </w:rPr>
              <w:t>Bioclimatic Ecosystem Resilience Index (BERI)</w:t>
            </w:r>
          </w:p>
          <w:p w14:paraId="4E63322D" w14:textId="77777777" w:rsidR="00005A3C" w:rsidRPr="006A0C48" w:rsidRDefault="00005A3C" w:rsidP="006726E6">
            <w:pPr>
              <w:spacing w:before="80" w:after="80"/>
              <w:jc w:val="left"/>
              <w:rPr>
                <w:szCs w:val="22"/>
              </w:rPr>
            </w:pPr>
            <w:r w:rsidRPr="006A0C48">
              <w:rPr>
                <w:szCs w:val="22"/>
              </w:rPr>
              <w:t>Priority retention of intact / wilderness areas</w:t>
            </w:r>
          </w:p>
          <w:p w14:paraId="4E88C688" w14:textId="77777777" w:rsidR="00005A3C" w:rsidRPr="006A0C48" w:rsidRDefault="00005A3C" w:rsidP="006726E6">
            <w:pPr>
              <w:spacing w:before="80" w:after="80"/>
              <w:jc w:val="left"/>
              <w:rPr>
                <w:szCs w:val="22"/>
              </w:rPr>
            </w:pPr>
            <w:r w:rsidRPr="006A0C48">
              <w:rPr>
                <w:szCs w:val="22"/>
              </w:rPr>
              <w:t>Status of key biodiversity areas</w:t>
            </w:r>
          </w:p>
          <w:p w14:paraId="7035359B" w14:textId="77777777" w:rsidR="00005A3C" w:rsidRPr="006A0C48" w:rsidRDefault="00005A3C" w:rsidP="006726E6">
            <w:pPr>
              <w:spacing w:before="80" w:after="80"/>
              <w:jc w:val="left"/>
              <w:rPr>
                <w:szCs w:val="22"/>
              </w:rPr>
            </w:pPr>
            <w:r w:rsidRPr="006A0C48">
              <w:rPr>
                <w:szCs w:val="22"/>
              </w:rPr>
              <w:t>Biodiversity Habitat Index</w:t>
            </w:r>
          </w:p>
          <w:p w14:paraId="44567238" w14:textId="77777777" w:rsidR="00005A3C" w:rsidRPr="006A0C48" w:rsidRDefault="00005A3C" w:rsidP="006726E6">
            <w:pPr>
              <w:spacing w:before="80" w:after="80"/>
              <w:jc w:val="left"/>
              <w:rPr>
                <w:szCs w:val="22"/>
              </w:rPr>
            </w:pPr>
            <w:r w:rsidRPr="006A0C48">
              <w:rPr>
                <w:szCs w:val="22"/>
              </w:rPr>
              <w:t>Red List Index</w:t>
            </w:r>
          </w:p>
          <w:p w14:paraId="4368B260" w14:textId="77777777" w:rsidR="00005A3C" w:rsidRPr="006A0C48" w:rsidRDefault="00005A3C" w:rsidP="006726E6">
            <w:pPr>
              <w:spacing w:before="80" w:after="80"/>
              <w:jc w:val="left"/>
              <w:rPr>
                <w:szCs w:val="22"/>
              </w:rPr>
            </w:pPr>
            <w:r w:rsidRPr="006A0C48">
              <w:rPr>
                <w:szCs w:val="22"/>
              </w:rPr>
              <w:t>Red List of Ecosystems</w:t>
            </w:r>
          </w:p>
          <w:p w14:paraId="228FD329" w14:textId="77777777" w:rsidR="00005A3C" w:rsidRPr="006A0C48" w:rsidRDefault="00005A3C" w:rsidP="006726E6">
            <w:pPr>
              <w:spacing w:before="80" w:after="80"/>
              <w:jc w:val="left"/>
              <w:rPr>
                <w:szCs w:val="22"/>
              </w:rPr>
            </w:pPr>
            <w:r w:rsidRPr="006A0C48">
              <w:rPr>
                <w:szCs w:val="22"/>
              </w:rPr>
              <w:t>Living Planet Index</w:t>
            </w:r>
          </w:p>
          <w:p w14:paraId="02A48DE9" w14:textId="77777777" w:rsidR="00005A3C" w:rsidRPr="006A0C48" w:rsidRDefault="00005A3C" w:rsidP="006726E6">
            <w:pPr>
              <w:spacing w:before="80" w:after="80"/>
              <w:jc w:val="left"/>
              <w:rPr>
                <w:szCs w:val="22"/>
              </w:rPr>
            </w:pPr>
            <w:r w:rsidRPr="006A0C48">
              <w:rPr>
                <w:szCs w:val="22"/>
              </w:rPr>
              <w:t>Species habitat Index</w:t>
            </w:r>
          </w:p>
        </w:tc>
      </w:tr>
      <w:tr w:rsidR="00005A3C" w:rsidRPr="006A0C48" w14:paraId="2BCF7CEF" w14:textId="77777777" w:rsidTr="00967EE7">
        <w:trPr>
          <w:trHeight w:val="300"/>
        </w:trPr>
        <w:tc>
          <w:tcPr>
            <w:tcW w:w="846" w:type="dxa"/>
            <w:shd w:val="clear" w:color="auto" w:fill="FFFFFF" w:themeFill="background1"/>
          </w:tcPr>
          <w:p w14:paraId="4F42F041" w14:textId="77777777" w:rsidR="00005A3C" w:rsidRPr="006A0C48" w:rsidRDefault="00005A3C" w:rsidP="00BC5121">
            <w:pPr>
              <w:spacing w:before="80" w:after="80"/>
              <w:rPr>
                <w:szCs w:val="22"/>
              </w:rPr>
            </w:pPr>
            <w:r w:rsidRPr="006A0C48">
              <w:rPr>
                <w:szCs w:val="22"/>
              </w:rPr>
              <w:lastRenderedPageBreak/>
              <w:t>3</w:t>
            </w:r>
          </w:p>
        </w:tc>
        <w:tc>
          <w:tcPr>
            <w:tcW w:w="3260" w:type="dxa"/>
            <w:shd w:val="clear" w:color="auto" w:fill="FFFFFF" w:themeFill="background1"/>
          </w:tcPr>
          <w:p w14:paraId="5607CECB" w14:textId="77777777" w:rsidR="00005A3C" w:rsidRPr="006A0C48" w:rsidRDefault="00005A3C" w:rsidP="006726E6">
            <w:pPr>
              <w:spacing w:before="80" w:after="80"/>
              <w:jc w:val="left"/>
              <w:rPr>
                <w:szCs w:val="22"/>
              </w:rPr>
            </w:pPr>
            <w:r w:rsidRPr="006A0C48">
              <w:rPr>
                <w:szCs w:val="22"/>
              </w:rPr>
              <w:t xml:space="preserve">3.1 Coverage of protected areas and other effective area-based conservation measures </w:t>
            </w:r>
          </w:p>
        </w:tc>
        <w:tc>
          <w:tcPr>
            <w:tcW w:w="3567" w:type="dxa"/>
            <w:shd w:val="clear" w:color="auto" w:fill="FFFFFF" w:themeFill="background1"/>
          </w:tcPr>
          <w:p w14:paraId="04953224" w14:textId="77777777" w:rsidR="00005A3C" w:rsidRPr="006A0C48" w:rsidRDefault="00005A3C" w:rsidP="006726E6">
            <w:pPr>
              <w:spacing w:before="80" w:after="80"/>
              <w:jc w:val="left"/>
              <w:rPr>
                <w:szCs w:val="22"/>
              </w:rPr>
            </w:pPr>
            <w:r w:rsidRPr="006A0C48">
              <w:rPr>
                <w:szCs w:val="22"/>
              </w:rPr>
              <w:t xml:space="preserve">Protected area coverage of key biodiversity areas </w:t>
            </w:r>
          </w:p>
          <w:p w14:paraId="6AB1543C" w14:textId="77777777" w:rsidR="00005A3C" w:rsidRPr="006A0C48" w:rsidRDefault="00005A3C" w:rsidP="00E42CE7">
            <w:pPr>
              <w:spacing w:before="80" w:after="80"/>
              <w:jc w:val="left"/>
              <w:rPr>
                <w:szCs w:val="22"/>
              </w:rPr>
            </w:pPr>
            <w:r w:rsidRPr="006A0C48">
              <w:rPr>
                <w:szCs w:val="22"/>
              </w:rPr>
              <w:t xml:space="preserve">Protected Area Management Effectiveness (PAME) </w:t>
            </w:r>
          </w:p>
          <w:p w14:paraId="2FF974BD" w14:textId="77777777" w:rsidR="00005A3C" w:rsidRPr="006A0C48" w:rsidRDefault="00005A3C" w:rsidP="006726E6">
            <w:pPr>
              <w:spacing w:before="80" w:after="80"/>
              <w:jc w:val="left"/>
              <w:rPr>
                <w:szCs w:val="22"/>
              </w:rPr>
            </w:pPr>
            <w:r w:rsidRPr="006A0C48">
              <w:rPr>
                <w:szCs w:val="22"/>
              </w:rPr>
              <w:t>ProtConn</w:t>
            </w:r>
          </w:p>
          <w:p w14:paraId="10004291" w14:textId="77777777" w:rsidR="00005A3C" w:rsidRPr="006A0C48" w:rsidRDefault="00005A3C" w:rsidP="006726E6">
            <w:pPr>
              <w:spacing w:before="80" w:after="80"/>
              <w:jc w:val="left"/>
              <w:rPr>
                <w:szCs w:val="22"/>
              </w:rPr>
            </w:pPr>
            <w:r w:rsidRPr="006A0C48">
              <w:rPr>
                <w:szCs w:val="22"/>
              </w:rPr>
              <w:t>Protected Area Connectedness Index (PARC-Connectedness)</w:t>
            </w:r>
          </w:p>
          <w:p w14:paraId="75066839" w14:textId="77777777" w:rsidR="00005A3C" w:rsidRPr="006A0C48" w:rsidRDefault="00005A3C" w:rsidP="006726E6">
            <w:pPr>
              <w:spacing w:before="80" w:after="80"/>
              <w:jc w:val="left"/>
              <w:rPr>
                <w:szCs w:val="22"/>
              </w:rPr>
            </w:pPr>
            <w:r w:rsidRPr="006A0C48">
              <w:rPr>
                <w:szCs w:val="22"/>
              </w:rPr>
              <w:t>Red List of Ecosystems</w:t>
            </w:r>
          </w:p>
          <w:p w14:paraId="11D951B7" w14:textId="77777777" w:rsidR="00005A3C" w:rsidRPr="006A0C48" w:rsidRDefault="00005A3C" w:rsidP="006726E6">
            <w:pPr>
              <w:spacing w:before="80" w:after="80"/>
              <w:jc w:val="left"/>
              <w:rPr>
                <w:szCs w:val="22"/>
              </w:rPr>
            </w:pPr>
            <w:r w:rsidRPr="006A0C48">
              <w:rPr>
                <w:szCs w:val="22"/>
              </w:rPr>
              <w:t xml:space="preserve">Connectivity Indicator </w:t>
            </w:r>
          </w:p>
          <w:p w14:paraId="59208876" w14:textId="77777777" w:rsidR="00005A3C" w:rsidRPr="006A0C48" w:rsidRDefault="00005A3C" w:rsidP="006726E6">
            <w:pPr>
              <w:spacing w:before="80" w:after="80"/>
              <w:jc w:val="left"/>
              <w:rPr>
                <w:szCs w:val="22"/>
              </w:rPr>
            </w:pPr>
            <w:r w:rsidRPr="006A0C48">
              <w:rPr>
                <w:szCs w:val="22"/>
              </w:rPr>
              <w:t>The number of protected areas that have completed a site-level assessment of governance and equity (SAGE)</w:t>
            </w:r>
          </w:p>
          <w:p w14:paraId="501FEC6F" w14:textId="77777777" w:rsidR="00005A3C" w:rsidRPr="006A0C48" w:rsidRDefault="00005A3C" w:rsidP="006726E6">
            <w:pPr>
              <w:spacing w:before="80" w:after="80"/>
              <w:jc w:val="left"/>
              <w:rPr>
                <w:szCs w:val="22"/>
              </w:rPr>
            </w:pPr>
            <w:r w:rsidRPr="006A0C48">
              <w:rPr>
                <w:szCs w:val="22"/>
              </w:rPr>
              <w:t>Species Protection Index</w:t>
            </w:r>
          </w:p>
          <w:p w14:paraId="73BE48CB" w14:textId="77777777" w:rsidR="00005A3C" w:rsidRPr="006A0C48" w:rsidRDefault="00005A3C" w:rsidP="006726E6">
            <w:pPr>
              <w:spacing w:before="80" w:after="80"/>
              <w:jc w:val="left"/>
              <w:rPr>
                <w:szCs w:val="22"/>
              </w:rPr>
            </w:pPr>
          </w:p>
        </w:tc>
        <w:tc>
          <w:tcPr>
            <w:tcW w:w="5363" w:type="dxa"/>
            <w:shd w:val="clear" w:color="auto" w:fill="FFFFFF" w:themeFill="background1"/>
          </w:tcPr>
          <w:p w14:paraId="65FB9838" w14:textId="77777777" w:rsidR="00005A3C" w:rsidRPr="006A0C48" w:rsidRDefault="00005A3C" w:rsidP="006726E6">
            <w:pPr>
              <w:spacing w:before="80" w:after="80"/>
              <w:jc w:val="left"/>
              <w:rPr>
                <w:szCs w:val="22"/>
              </w:rPr>
            </w:pPr>
            <w:r w:rsidRPr="006A0C48">
              <w:rPr>
                <w:szCs w:val="22"/>
              </w:rPr>
              <w:t>Protected area downgrading, downsizing and degazettement (PD)</w:t>
            </w:r>
          </w:p>
          <w:p w14:paraId="000B7B95" w14:textId="77777777" w:rsidR="00005A3C" w:rsidRPr="006A0C48" w:rsidRDefault="00005A3C" w:rsidP="006726E6">
            <w:pPr>
              <w:spacing w:before="80" w:after="80"/>
              <w:jc w:val="left"/>
              <w:rPr>
                <w:szCs w:val="22"/>
              </w:rPr>
            </w:pPr>
            <w:r w:rsidRPr="006A0C48">
              <w:rPr>
                <w:szCs w:val="22"/>
              </w:rPr>
              <w:t>Status of key biodiversity areas</w:t>
            </w:r>
          </w:p>
          <w:p w14:paraId="5390B16F" w14:textId="77777777" w:rsidR="00005A3C" w:rsidRPr="006A0C48" w:rsidRDefault="00005A3C" w:rsidP="006726E6">
            <w:pPr>
              <w:spacing w:before="80" w:after="80"/>
              <w:jc w:val="left"/>
              <w:rPr>
                <w:szCs w:val="22"/>
              </w:rPr>
            </w:pPr>
            <w:r w:rsidRPr="006A0C48">
              <w:rPr>
                <w:szCs w:val="22"/>
              </w:rPr>
              <w:t>IUCN Green List of Protected and Conserved Areas</w:t>
            </w:r>
          </w:p>
          <w:p w14:paraId="70F3D2E7" w14:textId="77777777" w:rsidR="00005A3C" w:rsidRPr="006A0C48" w:rsidRDefault="00005A3C" w:rsidP="006726E6">
            <w:pPr>
              <w:spacing w:before="80" w:after="80"/>
              <w:jc w:val="left"/>
              <w:rPr>
                <w:szCs w:val="22"/>
              </w:rPr>
            </w:pPr>
            <w:r w:rsidRPr="006A0C48">
              <w:rPr>
                <w:szCs w:val="22"/>
              </w:rPr>
              <w:t>Number of hectares of UNESCO designated sites (natural and mixed World Heritage sites and Biosphere Reserves)</w:t>
            </w:r>
          </w:p>
          <w:p w14:paraId="54EEDEC1" w14:textId="77777777" w:rsidR="00005A3C" w:rsidRPr="006A0C48" w:rsidRDefault="00005A3C" w:rsidP="006726E6">
            <w:pPr>
              <w:spacing w:before="80" w:after="80"/>
              <w:jc w:val="left"/>
              <w:rPr>
                <w:szCs w:val="22"/>
              </w:rPr>
            </w:pPr>
            <w:r w:rsidRPr="006A0C48">
              <w:rPr>
                <w:szCs w:val="22"/>
              </w:rPr>
              <w:t>Protected area and other effective area-based conservation measures management effectiveness (MEPCA) indicator</w:t>
            </w:r>
          </w:p>
          <w:p w14:paraId="6AE46F3F" w14:textId="77777777" w:rsidR="00005A3C" w:rsidRPr="006A0C48" w:rsidRDefault="00005A3C" w:rsidP="006726E6">
            <w:pPr>
              <w:spacing w:before="80" w:after="80"/>
              <w:jc w:val="left"/>
              <w:rPr>
                <w:szCs w:val="22"/>
              </w:rPr>
            </w:pPr>
            <w:r w:rsidRPr="006A0C48">
              <w:rPr>
                <w:szCs w:val="22"/>
              </w:rPr>
              <w:t>Protected Area Isolation Index (PAI)</w:t>
            </w:r>
          </w:p>
          <w:p w14:paraId="588CBB9F" w14:textId="77777777" w:rsidR="00005A3C" w:rsidRPr="006A0C48" w:rsidRDefault="00005A3C" w:rsidP="006726E6">
            <w:pPr>
              <w:spacing w:before="80" w:after="80"/>
              <w:jc w:val="left"/>
              <w:rPr>
                <w:szCs w:val="22"/>
              </w:rPr>
            </w:pPr>
            <w:r w:rsidRPr="006A0C48">
              <w:rPr>
                <w:szCs w:val="22"/>
              </w:rPr>
              <w:t>Protected Areas Network metric (ProNet)</w:t>
            </w:r>
          </w:p>
          <w:p w14:paraId="2A06A6CB" w14:textId="77777777" w:rsidR="00005A3C" w:rsidRPr="006A0C48" w:rsidRDefault="00005A3C" w:rsidP="006726E6">
            <w:pPr>
              <w:spacing w:before="80" w:after="80"/>
              <w:jc w:val="left"/>
              <w:rPr>
                <w:szCs w:val="22"/>
              </w:rPr>
            </w:pPr>
            <w:r w:rsidRPr="006A0C48">
              <w:rPr>
                <w:szCs w:val="22"/>
              </w:rPr>
              <w:t>Extent to which protected areas and other effective area-based conservation measures cover key biodiversity areas that are important for migratory species</w:t>
            </w:r>
          </w:p>
          <w:p w14:paraId="5C398007" w14:textId="77777777" w:rsidR="00005A3C" w:rsidRPr="006A0C48" w:rsidRDefault="00005A3C" w:rsidP="006726E6">
            <w:pPr>
              <w:spacing w:before="80" w:after="80"/>
              <w:jc w:val="left"/>
              <w:rPr>
                <w:szCs w:val="22"/>
              </w:rPr>
            </w:pPr>
            <w:r w:rsidRPr="006A0C48">
              <w:rPr>
                <w:szCs w:val="22"/>
              </w:rPr>
              <w:t>Coverage of protected areas and other effective area-based conservation measures and traditional territories (by governance type)</w:t>
            </w:r>
          </w:p>
          <w:p w14:paraId="24F174EC" w14:textId="77777777" w:rsidR="00005A3C" w:rsidRPr="006A0C48" w:rsidRDefault="00005A3C" w:rsidP="006726E6">
            <w:pPr>
              <w:spacing w:before="80" w:after="80"/>
              <w:jc w:val="left"/>
              <w:rPr>
                <w:szCs w:val="22"/>
              </w:rPr>
            </w:pPr>
            <w:r w:rsidRPr="006A0C48">
              <w:rPr>
                <w:szCs w:val="22"/>
              </w:rPr>
              <w:t>Ramsar Management Effectiveness Tracking Tool (R-METT)</w:t>
            </w:r>
          </w:p>
          <w:p w14:paraId="5E1F362F" w14:textId="77777777" w:rsidR="00005A3C" w:rsidRPr="006A0C48" w:rsidRDefault="00005A3C" w:rsidP="006726E6">
            <w:pPr>
              <w:spacing w:before="80" w:after="80"/>
              <w:jc w:val="left"/>
              <w:rPr>
                <w:szCs w:val="22"/>
              </w:rPr>
            </w:pPr>
            <w:r w:rsidRPr="006A0C48">
              <w:rPr>
                <w:szCs w:val="22"/>
              </w:rPr>
              <w:t>Percentage of biosphere reserves that have a positive conservation outcome and effective management</w:t>
            </w:r>
          </w:p>
          <w:p w14:paraId="6E6E889B" w14:textId="77777777" w:rsidR="00005A3C" w:rsidRPr="006A0C48" w:rsidRDefault="00005A3C" w:rsidP="006726E6">
            <w:pPr>
              <w:spacing w:before="80" w:after="80"/>
              <w:jc w:val="left"/>
              <w:rPr>
                <w:szCs w:val="22"/>
              </w:rPr>
            </w:pPr>
            <w:r w:rsidRPr="006A0C48">
              <w:rPr>
                <w:szCs w:val="22"/>
              </w:rPr>
              <w:t>Extent of indigenous peoples and local communities’ lands that have some form of recognition</w:t>
            </w:r>
          </w:p>
          <w:p w14:paraId="217B92DA" w14:textId="77777777" w:rsidR="00005A3C" w:rsidRPr="006A0C48" w:rsidRDefault="00005A3C" w:rsidP="006726E6">
            <w:pPr>
              <w:spacing w:before="80" w:after="80"/>
              <w:jc w:val="left"/>
              <w:rPr>
                <w:szCs w:val="22"/>
              </w:rPr>
            </w:pPr>
            <w:r w:rsidRPr="006A0C48">
              <w:rPr>
                <w:szCs w:val="22"/>
              </w:rPr>
              <w:t>Species Protection Index</w:t>
            </w:r>
          </w:p>
          <w:p w14:paraId="1CBD8871" w14:textId="77777777" w:rsidR="00005A3C" w:rsidRPr="006A0C48" w:rsidRDefault="00005A3C" w:rsidP="006726E6">
            <w:pPr>
              <w:spacing w:before="80" w:after="80"/>
              <w:jc w:val="left"/>
              <w:rPr>
                <w:szCs w:val="22"/>
              </w:rPr>
            </w:pPr>
            <w:r w:rsidRPr="006A0C48">
              <w:rPr>
                <w:szCs w:val="22"/>
              </w:rPr>
              <w:t>Number of countries implementing national legislation, policies or other measures regarding free, prior and informed consent related to conservation</w:t>
            </w:r>
          </w:p>
          <w:p w14:paraId="2E282953" w14:textId="77777777" w:rsidR="00005A3C" w:rsidRPr="006A0C48" w:rsidRDefault="00005A3C" w:rsidP="006726E6">
            <w:pPr>
              <w:spacing w:before="80" w:after="80"/>
              <w:jc w:val="left"/>
              <w:rPr>
                <w:szCs w:val="22"/>
              </w:rPr>
            </w:pPr>
            <w:r w:rsidRPr="006A0C48">
              <w:rPr>
                <w:szCs w:val="22"/>
              </w:rPr>
              <w:t>Red List of Ecosystems</w:t>
            </w:r>
          </w:p>
          <w:p w14:paraId="55C61990" w14:textId="77777777" w:rsidR="00005A3C" w:rsidRPr="006A0C48" w:rsidRDefault="00005A3C" w:rsidP="006726E6">
            <w:pPr>
              <w:spacing w:before="80" w:after="80"/>
              <w:jc w:val="left"/>
              <w:rPr>
                <w:szCs w:val="22"/>
              </w:rPr>
            </w:pPr>
            <w:r w:rsidRPr="006A0C48">
              <w:rPr>
                <w:szCs w:val="22"/>
              </w:rPr>
              <w:lastRenderedPageBreak/>
              <w:t>Proportion of terrestrial, freshwater and marine ecological regions which are conserved by protected areas or other effective area-based conservation measures</w:t>
            </w:r>
          </w:p>
        </w:tc>
      </w:tr>
      <w:tr w:rsidR="00005A3C" w:rsidRPr="006A0C48" w14:paraId="083D9E3A" w14:textId="77777777" w:rsidTr="00967EE7">
        <w:trPr>
          <w:trHeight w:val="300"/>
        </w:trPr>
        <w:tc>
          <w:tcPr>
            <w:tcW w:w="846" w:type="dxa"/>
            <w:shd w:val="clear" w:color="auto" w:fill="FFFFFF" w:themeFill="background1"/>
          </w:tcPr>
          <w:p w14:paraId="51F8AB93" w14:textId="77777777" w:rsidR="00005A3C" w:rsidRPr="006A0C48" w:rsidRDefault="00005A3C" w:rsidP="00BC5121">
            <w:pPr>
              <w:spacing w:before="80" w:after="80"/>
              <w:rPr>
                <w:szCs w:val="22"/>
              </w:rPr>
            </w:pPr>
            <w:r w:rsidRPr="006A0C48">
              <w:rPr>
                <w:szCs w:val="22"/>
              </w:rPr>
              <w:lastRenderedPageBreak/>
              <w:t>4</w:t>
            </w:r>
          </w:p>
        </w:tc>
        <w:tc>
          <w:tcPr>
            <w:tcW w:w="3260" w:type="dxa"/>
            <w:shd w:val="clear" w:color="auto" w:fill="FFFFFF" w:themeFill="background1"/>
          </w:tcPr>
          <w:p w14:paraId="4BDAFC92" w14:textId="77777777" w:rsidR="00005A3C" w:rsidRPr="006A0C48" w:rsidRDefault="00005A3C" w:rsidP="006726E6">
            <w:pPr>
              <w:spacing w:before="40" w:after="40"/>
              <w:jc w:val="left"/>
              <w:rPr>
                <w:szCs w:val="22"/>
              </w:rPr>
            </w:pPr>
            <w:r w:rsidRPr="006A0C48">
              <w:rPr>
                <w:szCs w:val="22"/>
              </w:rPr>
              <w:t>A.3 Red list Index</w:t>
            </w:r>
          </w:p>
          <w:p w14:paraId="2B184289" w14:textId="77777777" w:rsidR="00005A3C" w:rsidRPr="006A0C48" w:rsidRDefault="00005A3C" w:rsidP="006726E6">
            <w:pPr>
              <w:spacing w:before="80" w:after="80"/>
              <w:jc w:val="left"/>
              <w:rPr>
                <w:szCs w:val="22"/>
              </w:rPr>
            </w:pPr>
            <w:r w:rsidRPr="006A0C48">
              <w:rPr>
                <w:szCs w:val="22"/>
              </w:rPr>
              <w:t>A.4 The proportion of populations within species with an effective population size &gt; 500</w:t>
            </w:r>
          </w:p>
        </w:tc>
        <w:tc>
          <w:tcPr>
            <w:tcW w:w="3567" w:type="dxa"/>
            <w:shd w:val="clear" w:color="auto" w:fill="FFFFFF" w:themeFill="background1"/>
          </w:tcPr>
          <w:p w14:paraId="5CBD3EE9" w14:textId="77777777" w:rsidR="00005A3C" w:rsidRPr="006A0C48" w:rsidRDefault="00005A3C" w:rsidP="006726E6">
            <w:pPr>
              <w:spacing w:before="80" w:after="80"/>
              <w:jc w:val="left"/>
              <w:rPr>
                <w:szCs w:val="22"/>
              </w:rPr>
            </w:pPr>
            <w:r w:rsidRPr="006A0C48">
              <w:rPr>
                <w:szCs w:val="22"/>
              </w:rPr>
              <w:t>Living Planet Index</w:t>
            </w:r>
          </w:p>
          <w:p w14:paraId="632352E0" w14:textId="77777777" w:rsidR="00005A3C" w:rsidRPr="006A0C48" w:rsidRDefault="00005A3C" w:rsidP="006726E6">
            <w:pPr>
              <w:spacing w:before="80" w:after="80"/>
              <w:jc w:val="left"/>
              <w:rPr>
                <w:szCs w:val="22"/>
              </w:rPr>
            </w:pPr>
            <w:r w:rsidRPr="006A0C48">
              <w:rPr>
                <w:szCs w:val="22"/>
              </w:rPr>
              <w:t>Number of plant and animal genetic resources secured in medium or long-term conservation facilities</w:t>
            </w:r>
          </w:p>
          <w:p w14:paraId="5D2F3A3C" w14:textId="77777777" w:rsidR="00005A3C" w:rsidRPr="006A0C48" w:rsidRDefault="00005A3C" w:rsidP="006726E6">
            <w:pPr>
              <w:spacing w:before="80" w:after="80"/>
              <w:jc w:val="left"/>
              <w:rPr>
                <w:szCs w:val="22"/>
              </w:rPr>
            </w:pPr>
            <w:r w:rsidRPr="006A0C48">
              <w:rPr>
                <w:szCs w:val="22"/>
              </w:rPr>
              <w:t>Trends in effective and sustainable management of human-wildlife conflict and coexistence</w:t>
            </w:r>
          </w:p>
          <w:p w14:paraId="77D9E7FC" w14:textId="77777777" w:rsidR="00005A3C" w:rsidRPr="006A0C48" w:rsidRDefault="00005A3C" w:rsidP="006726E6">
            <w:pPr>
              <w:spacing w:before="80" w:after="80"/>
              <w:jc w:val="left"/>
              <w:rPr>
                <w:szCs w:val="22"/>
              </w:rPr>
            </w:pPr>
            <w:r w:rsidRPr="006A0C48">
              <w:rPr>
                <w:szCs w:val="22"/>
              </w:rPr>
              <w:t>Green Status of Species Index</w:t>
            </w:r>
          </w:p>
          <w:p w14:paraId="7DA5A6BA" w14:textId="77777777" w:rsidR="00005A3C" w:rsidRPr="006A0C48" w:rsidRDefault="00005A3C" w:rsidP="006726E6">
            <w:pPr>
              <w:spacing w:before="80" w:after="80"/>
              <w:jc w:val="left"/>
              <w:rPr>
                <w:szCs w:val="22"/>
              </w:rPr>
            </w:pPr>
            <w:r w:rsidRPr="006A0C48">
              <w:rPr>
                <w:szCs w:val="22"/>
              </w:rPr>
              <w:t>Conservation status of species listed in the CITES Appendices has stabilized or improved</w:t>
            </w:r>
          </w:p>
          <w:p w14:paraId="56FA3B42" w14:textId="77777777" w:rsidR="00005A3C" w:rsidRPr="006A0C48" w:rsidRDefault="00005A3C" w:rsidP="006726E6">
            <w:pPr>
              <w:tabs>
                <w:tab w:val="center" w:pos="1675"/>
              </w:tabs>
              <w:spacing w:before="80" w:after="80"/>
              <w:jc w:val="left"/>
              <w:rPr>
                <w:szCs w:val="22"/>
              </w:rPr>
            </w:pPr>
          </w:p>
        </w:tc>
        <w:tc>
          <w:tcPr>
            <w:tcW w:w="5363" w:type="dxa"/>
            <w:shd w:val="clear" w:color="auto" w:fill="FFFFFF" w:themeFill="background1"/>
          </w:tcPr>
          <w:p w14:paraId="58C03F66" w14:textId="77777777" w:rsidR="00005A3C" w:rsidRPr="006A0C48" w:rsidRDefault="00005A3C" w:rsidP="006726E6">
            <w:pPr>
              <w:spacing w:before="80" w:after="80"/>
              <w:jc w:val="left"/>
              <w:rPr>
                <w:szCs w:val="22"/>
              </w:rPr>
            </w:pPr>
            <w:r w:rsidRPr="006A0C48">
              <w:rPr>
                <w:szCs w:val="22"/>
              </w:rPr>
              <w:t>Species threat abatement and restoration metric</w:t>
            </w:r>
          </w:p>
          <w:p w14:paraId="624CFF86" w14:textId="77777777" w:rsidR="00005A3C" w:rsidRPr="006A0C48" w:rsidRDefault="00005A3C" w:rsidP="006726E6">
            <w:pPr>
              <w:spacing w:before="80" w:after="80"/>
              <w:jc w:val="left"/>
              <w:rPr>
                <w:szCs w:val="22"/>
              </w:rPr>
            </w:pPr>
            <w:r w:rsidRPr="006A0C48">
              <w:rPr>
                <w:szCs w:val="22"/>
              </w:rPr>
              <w:t>Changing status of evolutionary distinct and globally endangered species (EDGE Index)</w:t>
            </w:r>
          </w:p>
          <w:p w14:paraId="3EF39EDB" w14:textId="77777777" w:rsidR="00005A3C" w:rsidRPr="006A0C48" w:rsidRDefault="00005A3C" w:rsidP="006726E6">
            <w:pPr>
              <w:spacing w:before="80" w:after="80"/>
              <w:jc w:val="left"/>
              <w:rPr>
                <w:szCs w:val="22"/>
              </w:rPr>
            </w:pPr>
            <w:r w:rsidRPr="006A0C48">
              <w:rPr>
                <w:szCs w:val="22"/>
              </w:rPr>
              <w:t>Percentage of threatened species that are improving in status</w:t>
            </w:r>
          </w:p>
          <w:p w14:paraId="232215F8" w14:textId="77777777" w:rsidR="00005A3C" w:rsidRPr="006A0C48" w:rsidRDefault="00005A3C" w:rsidP="006726E6">
            <w:pPr>
              <w:spacing w:before="80" w:after="80"/>
              <w:jc w:val="left"/>
              <w:rPr>
                <w:szCs w:val="22"/>
              </w:rPr>
            </w:pPr>
            <w:r w:rsidRPr="006A0C48">
              <w:rPr>
                <w:szCs w:val="22"/>
              </w:rPr>
              <w:t>Number of CMS daughter agreements</w:t>
            </w:r>
          </w:p>
          <w:p w14:paraId="6DB19FD6" w14:textId="77777777" w:rsidR="00005A3C" w:rsidRPr="006A0C48" w:rsidRDefault="00005A3C" w:rsidP="006726E6">
            <w:pPr>
              <w:spacing w:before="80" w:after="80"/>
              <w:jc w:val="left"/>
              <w:rPr>
                <w:szCs w:val="22"/>
              </w:rPr>
            </w:pPr>
            <w:r w:rsidRPr="006A0C48">
              <w:rPr>
                <w:szCs w:val="22"/>
              </w:rPr>
              <w:t>Proportion of local breeds classified as being at risk of extinction</w:t>
            </w:r>
          </w:p>
          <w:p w14:paraId="524DBF4A" w14:textId="77777777" w:rsidR="00005A3C" w:rsidRPr="006A0C48" w:rsidRDefault="00005A3C" w:rsidP="006726E6">
            <w:pPr>
              <w:spacing w:before="80" w:after="80"/>
              <w:jc w:val="left"/>
              <w:rPr>
                <w:szCs w:val="22"/>
              </w:rPr>
            </w:pPr>
            <w:r w:rsidRPr="006A0C48">
              <w:rPr>
                <w:szCs w:val="22"/>
              </w:rPr>
              <w:t>Red List Index (wild relatives of domesticated animals)</w:t>
            </w:r>
          </w:p>
          <w:p w14:paraId="0BB05F1D" w14:textId="77777777" w:rsidR="00005A3C" w:rsidRPr="006A0C48" w:rsidRDefault="00005A3C" w:rsidP="006726E6">
            <w:pPr>
              <w:spacing w:before="80" w:after="80"/>
              <w:jc w:val="left"/>
              <w:rPr>
                <w:szCs w:val="22"/>
              </w:rPr>
            </w:pPr>
            <w:r w:rsidRPr="006A0C48">
              <w:rPr>
                <w:szCs w:val="22"/>
              </w:rPr>
              <w:t xml:space="preserve">Rate of invasive alien species establishment </w:t>
            </w:r>
          </w:p>
        </w:tc>
      </w:tr>
      <w:tr w:rsidR="00005A3C" w:rsidRPr="006A0C48" w14:paraId="549BB89F" w14:textId="77777777" w:rsidTr="00967EE7">
        <w:trPr>
          <w:trHeight w:val="300"/>
        </w:trPr>
        <w:tc>
          <w:tcPr>
            <w:tcW w:w="846" w:type="dxa"/>
            <w:shd w:val="clear" w:color="auto" w:fill="FFFFFF" w:themeFill="background1"/>
          </w:tcPr>
          <w:p w14:paraId="3EEBBD82" w14:textId="77777777" w:rsidR="00005A3C" w:rsidRPr="006A0C48" w:rsidRDefault="00005A3C" w:rsidP="00BC5121">
            <w:pPr>
              <w:spacing w:before="80" w:after="80"/>
              <w:rPr>
                <w:szCs w:val="22"/>
              </w:rPr>
            </w:pPr>
            <w:r w:rsidRPr="006A0C48">
              <w:rPr>
                <w:szCs w:val="22"/>
              </w:rPr>
              <w:t>5</w:t>
            </w:r>
          </w:p>
        </w:tc>
        <w:tc>
          <w:tcPr>
            <w:tcW w:w="3260" w:type="dxa"/>
            <w:shd w:val="clear" w:color="auto" w:fill="FFFFFF" w:themeFill="background1"/>
          </w:tcPr>
          <w:p w14:paraId="74D20508" w14:textId="77777777" w:rsidR="00005A3C" w:rsidRPr="006A0C48" w:rsidRDefault="00005A3C" w:rsidP="006726E6">
            <w:pPr>
              <w:spacing w:before="80" w:after="80"/>
              <w:jc w:val="left"/>
              <w:rPr>
                <w:szCs w:val="22"/>
              </w:rPr>
            </w:pPr>
            <w:r w:rsidRPr="006A0C48">
              <w:rPr>
                <w:szCs w:val="22"/>
              </w:rPr>
              <w:t>5.1 Proportion of fish stocks within biologically sustainable levels</w:t>
            </w:r>
          </w:p>
        </w:tc>
        <w:tc>
          <w:tcPr>
            <w:tcW w:w="3567" w:type="dxa"/>
            <w:shd w:val="clear" w:color="auto" w:fill="FFFFFF" w:themeFill="background1"/>
          </w:tcPr>
          <w:p w14:paraId="3817F7D2" w14:textId="77777777" w:rsidR="00005A3C" w:rsidRPr="006A0C48" w:rsidRDefault="00005A3C" w:rsidP="006726E6">
            <w:pPr>
              <w:spacing w:before="80" w:after="80"/>
              <w:jc w:val="left"/>
              <w:rPr>
                <w:szCs w:val="22"/>
              </w:rPr>
            </w:pPr>
            <w:r w:rsidRPr="006A0C48">
              <w:rPr>
                <w:szCs w:val="22"/>
              </w:rPr>
              <w:t>Red List Index for used species</w:t>
            </w:r>
          </w:p>
          <w:p w14:paraId="0A8B0D22" w14:textId="77777777" w:rsidR="00005A3C" w:rsidRPr="006A0C48" w:rsidRDefault="00005A3C" w:rsidP="006726E6">
            <w:pPr>
              <w:spacing w:before="80" w:after="80"/>
              <w:jc w:val="left"/>
              <w:rPr>
                <w:szCs w:val="22"/>
              </w:rPr>
            </w:pPr>
            <w:r w:rsidRPr="006A0C48">
              <w:rPr>
                <w:szCs w:val="22"/>
              </w:rPr>
              <w:t>Living Planet Index for used species</w:t>
            </w:r>
          </w:p>
          <w:p w14:paraId="13837CAA" w14:textId="77777777" w:rsidR="00005A3C" w:rsidRPr="006A0C48" w:rsidRDefault="00005A3C" w:rsidP="006726E6">
            <w:pPr>
              <w:spacing w:before="80" w:after="80"/>
              <w:jc w:val="left"/>
              <w:rPr>
                <w:szCs w:val="22"/>
              </w:rPr>
            </w:pPr>
            <w:r w:rsidRPr="006A0C48">
              <w:rPr>
                <w:szCs w:val="22"/>
              </w:rPr>
              <w:t>Sustainable use of wild species</w:t>
            </w:r>
          </w:p>
        </w:tc>
        <w:tc>
          <w:tcPr>
            <w:tcW w:w="5363" w:type="dxa"/>
            <w:shd w:val="clear" w:color="auto" w:fill="FFFFFF" w:themeFill="background1"/>
          </w:tcPr>
          <w:p w14:paraId="365238C9" w14:textId="77777777" w:rsidR="00005A3C" w:rsidRPr="006A0C48" w:rsidRDefault="00005A3C" w:rsidP="006726E6">
            <w:pPr>
              <w:spacing w:before="80" w:after="80"/>
              <w:jc w:val="left"/>
              <w:rPr>
                <w:szCs w:val="22"/>
              </w:rPr>
            </w:pPr>
            <w:r w:rsidRPr="006A0C48">
              <w:rPr>
                <w:szCs w:val="22"/>
              </w:rPr>
              <w:t xml:space="preserve">Sustainable watershed and inland fisheries index </w:t>
            </w:r>
          </w:p>
          <w:p w14:paraId="0B594540" w14:textId="77777777" w:rsidR="00005A3C" w:rsidRPr="006A0C48" w:rsidRDefault="00005A3C" w:rsidP="006726E6">
            <w:pPr>
              <w:spacing w:before="80" w:after="80"/>
              <w:jc w:val="left"/>
              <w:rPr>
                <w:szCs w:val="22"/>
              </w:rPr>
            </w:pPr>
            <w:r w:rsidRPr="006A0C48">
              <w:rPr>
                <w:szCs w:val="22"/>
              </w:rPr>
              <w:t>Red List Index (for internationally traded species and for migratory species)</w:t>
            </w:r>
          </w:p>
          <w:p w14:paraId="7AC24DA3" w14:textId="77777777" w:rsidR="00005A3C" w:rsidRPr="006A0C48" w:rsidRDefault="00005A3C" w:rsidP="006726E6">
            <w:pPr>
              <w:spacing w:before="80" w:after="80"/>
              <w:jc w:val="left"/>
              <w:rPr>
                <w:szCs w:val="22"/>
              </w:rPr>
            </w:pPr>
            <w:r w:rsidRPr="006A0C48">
              <w:rPr>
                <w:szCs w:val="22"/>
              </w:rPr>
              <w:t>Marine Stewardship Council Fish catch</w:t>
            </w:r>
          </w:p>
          <w:p w14:paraId="0B29588F" w14:textId="77777777" w:rsidR="00005A3C" w:rsidRPr="006A0C48" w:rsidRDefault="00005A3C" w:rsidP="006726E6">
            <w:pPr>
              <w:spacing w:before="80" w:after="80"/>
              <w:jc w:val="left"/>
              <w:rPr>
                <w:szCs w:val="22"/>
              </w:rPr>
            </w:pPr>
            <w:r w:rsidRPr="006A0C48">
              <w:rPr>
                <w:szCs w:val="22"/>
              </w:rPr>
              <w:t>Total catch of cetaceans under the International Convention for the Regulation of Whaling</w:t>
            </w:r>
          </w:p>
          <w:p w14:paraId="4C37209E" w14:textId="77777777" w:rsidR="00005A3C" w:rsidRPr="006A0C48" w:rsidRDefault="00005A3C" w:rsidP="006726E6">
            <w:pPr>
              <w:spacing w:before="80" w:after="80"/>
              <w:jc w:val="left"/>
              <w:rPr>
                <w:szCs w:val="22"/>
              </w:rPr>
            </w:pPr>
            <w:r w:rsidRPr="006A0C48">
              <w:rPr>
                <w:szCs w:val="22"/>
              </w:rPr>
              <w:t>By-catch of vulnerable and non-target species</w:t>
            </w:r>
          </w:p>
          <w:p w14:paraId="79EB2FDA" w14:textId="77777777" w:rsidR="00005A3C" w:rsidRPr="006A0C48" w:rsidRDefault="00005A3C" w:rsidP="006726E6">
            <w:pPr>
              <w:spacing w:before="80" w:after="80"/>
              <w:jc w:val="left"/>
              <w:rPr>
                <w:szCs w:val="22"/>
              </w:rPr>
            </w:pPr>
            <w:r w:rsidRPr="006A0C48">
              <w:rPr>
                <w:szCs w:val="22"/>
              </w:rPr>
              <w:t xml:space="preserve">Degree of implementation of international instruments aiming to combat illegal, unreported and unregulated fishing </w:t>
            </w:r>
          </w:p>
          <w:p w14:paraId="4E97B1F5" w14:textId="77777777" w:rsidR="00005A3C" w:rsidRPr="006A0C48" w:rsidRDefault="00005A3C" w:rsidP="006726E6">
            <w:pPr>
              <w:spacing w:before="80" w:after="80"/>
              <w:jc w:val="left"/>
              <w:rPr>
                <w:szCs w:val="22"/>
              </w:rPr>
            </w:pPr>
            <w:r w:rsidRPr="006A0C48">
              <w:rPr>
                <w:szCs w:val="22"/>
              </w:rPr>
              <w:t xml:space="preserve">Proportion of legal and illegal wildlife trade consisting of species threatened with extinction </w:t>
            </w:r>
          </w:p>
          <w:p w14:paraId="2C92F645" w14:textId="77777777" w:rsidR="00005A3C" w:rsidRPr="006A0C48" w:rsidRDefault="00005A3C" w:rsidP="006726E6">
            <w:pPr>
              <w:spacing w:before="80" w:after="80"/>
              <w:jc w:val="left"/>
              <w:rPr>
                <w:szCs w:val="22"/>
              </w:rPr>
            </w:pPr>
            <w:r w:rsidRPr="006A0C48">
              <w:rPr>
                <w:szCs w:val="22"/>
              </w:rPr>
              <w:t>Illegal trade by CITES species classification</w:t>
            </w:r>
          </w:p>
          <w:p w14:paraId="1CFE8EFC" w14:textId="77777777" w:rsidR="00005A3C" w:rsidRPr="006A0C48" w:rsidRDefault="00005A3C" w:rsidP="006726E6">
            <w:pPr>
              <w:spacing w:before="80" w:after="80"/>
              <w:jc w:val="left"/>
              <w:rPr>
                <w:szCs w:val="22"/>
              </w:rPr>
            </w:pPr>
            <w:r w:rsidRPr="006A0C48">
              <w:rPr>
                <w:szCs w:val="22"/>
              </w:rPr>
              <w:lastRenderedPageBreak/>
              <w:t xml:space="preserve">Number of countries incorporating trade in their national biodiversity policy </w:t>
            </w:r>
          </w:p>
          <w:p w14:paraId="6CC00BD2" w14:textId="77777777" w:rsidR="00005A3C" w:rsidRPr="006A0C48" w:rsidRDefault="00005A3C" w:rsidP="006726E6">
            <w:pPr>
              <w:spacing w:before="80" w:after="80"/>
              <w:jc w:val="left"/>
              <w:rPr>
                <w:szCs w:val="22"/>
              </w:rPr>
            </w:pPr>
            <w:r w:rsidRPr="006A0C48">
              <w:rPr>
                <w:szCs w:val="22"/>
              </w:rPr>
              <w:t xml:space="preserve">Proportion of terrestrial, freshwater and marine ecological regions which are conserved by protected areas or other effective area-based conservation measures </w:t>
            </w:r>
          </w:p>
          <w:p w14:paraId="1E9272EC" w14:textId="77777777" w:rsidR="00005A3C" w:rsidRPr="006A0C48" w:rsidRDefault="00005A3C" w:rsidP="006726E6">
            <w:pPr>
              <w:spacing w:before="80" w:after="80"/>
              <w:jc w:val="left"/>
              <w:rPr>
                <w:szCs w:val="22"/>
              </w:rPr>
            </w:pPr>
            <w:r w:rsidRPr="006A0C48">
              <w:rPr>
                <w:szCs w:val="22"/>
              </w:rPr>
              <w:t>Implementation of measures designed to minimize the impacts of fisheries and hunting on migratory species and their habitats</w:t>
            </w:r>
          </w:p>
          <w:p w14:paraId="734F967B" w14:textId="77777777" w:rsidR="00005A3C" w:rsidRPr="006A0C48" w:rsidRDefault="00005A3C" w:rsidP="006726E6">
            <w:pPr>
              <w:spacing w:before="80" w:after="80"/>
              <w:jc w:val="left"/>
              <w:rPr>
                <w:szCs w:val="22"/>
              </w:rPr>
            </w:pPr>
            <w:r w:rsidRPr="006A0C48">
              <w:rPr>
                <w:szCs w:val="22"/>
              </w:rPr>
              <w:t>Number of MSC Chain of Custody Certification holders by distribution country</w:t>
            </w:r>
          </w:p>
          <w:p w14:paraId="4F4CE937" w14:textId="77777777" w:rsidR="00005A3C" w:rsidRPr="006A0C48" w:rsidRDefault="00005A3C" w:rsidP="006726E6">
            <w:pPr>
              <w:spacing w:before="80" w:after="80"/>
              <w:jc w:val="left"/>
              <w:rPr>
                <w:szCs w:val="22"/>
              </w:rPr>
            </w:pPr>
            <w:r w:rsidRPr="006A0C48">
              <w:rPr>
                <w:szCs w:val="22"/>
              </w:rPr>
              <w:t>Trends of trade and commercialization in biodiversity-based products that is sustainable and legal (in line with BioTrade Principles and/or CITES requirements)</w:t>
            </w:r>
          </w:p>
        </w:tc>
      </w:tr>
      <w:tr w:rsidR="00005A3C" w:rsidRPr="006A0C48" w14:paraId="596AB5FD" w14:textId="77777777" w:rsidTr="00967EE7">
        <w:trPr>
          <w:trHeight w:val="300"/>
        </w:trPr>
        <w:tc>
          <w:tcPr>
            <w:tcW w:w="846" w:type="dxa"/>
            <w:shd w:val="clear" w:color="auto" w:fill="FFFFFF" w:themeFill="background1"/>
          </w:tcPr>
          <w:p w14:paraId="75069D33" w14:textId="77777777" w:rsidR="00005A3C" w:rsidRPr="006A0C48" w:rsidRDefault="00005A3C" w:rsidP="00BC5121">
            <w:pPr>
              <w:spacing w:before="80" w:after="80"/>
              <w:rPr>
                <w:szCs w:val="22"/>
              </w:rPr>
            </w:pPr>
            <w:r w:rsidRPr="006A0C48">
              <w:rPr>
                <w:szCs w:val="22"/>
              </w:rPr>
              <w:lastRenderedPageBreak/>
              <w:t>6</w:t>
            </w:r>
            <w:r w:rsidRPr="006A0C48">
              <w:rPr>
                <w:b/>
                <w:bCs/>
                <w:szCs w:val="22"/>
                <w:vertAlign w:val="superscript"/>
              </w:rPr>
              <w:t>b</w:t>
            </w:r>
          </w:p>
        </w:tc>
        <w:tc>
          <w:tcPr>
            <w:tcW w:w="3260" w:type="dxa"/>
            <w:shd w:val="clear" w:color="auto" w:fill="FFFFFF" w:themeFill="background1"/>
          </w:tcPr>
          <w:p w14:paraId="19C9ADE2" w14:textId="77777777" w:rsidR="00005A3C" w:rsidRPr="006A0C48" w:rsidRDefault="00005A3C" w:rsidP="006726E6">
            <w:pPr>
              <w:spacing w:before="80" w:after="80"/>
              <w:jc w:val="left"/>
              <w:rPr>
                <w:szCs w:val="22"/>
              </w:rPr>
            </w:pPr>
            <w:r w:rsidRPr="006A0C48">
              <w:rPr>
                <w:szCs w:val="22"/>
              </w:rPr>
              <w:t>6.1 Rate of invasive alien species establishment</w:t>
            </w:r>
          </w:p>
        </w:tc>
        <w:tc>
          <w:tcPr>
            <w:tcW w:w="3567" w:type="dxa"/>
            <w:shd w:val="clear" w:color="auto" w:fill="FFFFFF" w:themeFill="background1"/>
          </w:tcPr>
          <w:p w14:paraId="6920706B" w14:textId="77777777" w:rsidR="00005A3C" w:rsidRPr="006A0C48" w:rsidRDefault="00005A3C" w:rsidP="006726E6">
            <w:pPr>
              <w:spacing w:before="80" w:after="80"/>
              <w:jc w:val="left"/>
              <w:rPr>
                <w:szCs w:val="22"/>
              </w:rPr>
            </w:pPr>
            <w:r w:rsidRPr="006A0C48">
              <w:rPr>
                <w:szCs w:val="22"/>
              </w:rPr>
              <w:t>Rate of invasive species impact and rate of impact</w:t>
            </w:r>
          </w:p>
          <w:p w14:paraId="1C85B75A" w14:textId="77777777" w:rsidR="00005A3C" w:rsidRPr="006A0C48" w:rsidRDefault="00005A3C" w:rsidP="006726E6">
            <w:pPr>
              <w:spacing w:before="80" w:after="80"/>
              <w:jc w:val="left"/>
              <w:rPr>
                <w:szCs w:val="22"/>
              </w:rPr>
            </w:pPr>
            <w:r w:rsidRPr="006A0C48">
              <w:rPr>
                <w:szCs w:val="22"/>
              </w:rPr>
              <w:t>Rate of invasive alien species spread</w:t>
            </w:r>
          </w:p>
          <w:p w14:paraId="50D7C28C" w14:textId="77777777" w:rsidR="00005A3C" w:rsidRPr="006A0C48" w:rsidRDefault="00005A3C" w:rsidP="006726E6">
            <w:pPr>
              <w:spacing w:before="80" w:after="80"/>
              <w:jc w:val="left"/>
              <w:rPr>
                <w:szCs w:val="22"/>
              </w:rPr>
            </w:pPr>
            <w:r w:rsidRPr="006A0C48">
              <w:rPr>
                <w:szCs w:val="22"/>
              </w:rPr>
              <w:t>Number of invasive alien species introduction events</w:t>
            </w:r>
          </w:p>
          <w:p w14:paraId="004F6050" w14:textId="77777777" w:rsidR="00005A3C" w:rsidRPr="006A0C48" w:rsidRDefault="00005A3C" w:rsidP="006726E6">
            <w:pPr>
              <w:spacing w:before="80" w:after="80"/>
              <w:jc w:val="left"/>
              <w:rPr>
                <w:szCs w:val="22"/>
              </w:rPr>
            </w:pPr>
          </w:p>
        </w:tc>
        <w:tc>
          <w:tcPr>
            <w:tcW w:w="5363" w:type="dxa"/>
            <w:shd w:val="clear" w:color="auto" w:fill="FFFFFF" w:themeFill="background1"/>
          </w:tcPr>
          <w:p w14:paraId="002E7C50" w14:textId="77777777" w:rsidR="00005A3C" w:rsidRPr="006A0C48" w:rsidRDefault="00005A3C" w:rsidP="006726E6">
            <w:pPr>
              <w:spacing w:before="80" w:after="80"/>
              <w:jc w:val="left"/>
              <w:rPr>
                <w:szCs w:val="22"/>
              </w:rPr>
            </w:pPr>
            <w:r w:rsidRPr="006A0C48">
              <w:rPr>
                <w:szCs w:val="22"/>
              </w:rPr>
              <w:t>Number of invasive alien species in national lists as per the Global Register of Introduced and Invasive Species</w:t>
            </w:r>
          </w:p>
          <w:p w14:paraId="1263B2BA" w14:textId="77777777" w:rsidR="00005A3C" w:rsidRPr="006A0C48" w:rsidRDefault="00005A3C" w:rsidP="006726E6">
            <w:pPr>
              <w:spacing w:before="80" w:after="80"/>
              <w:jc w:val="left"/>
              <w:rPr>
                <w:szCs w:val="22"/>
              </w:rPr>
            </w:pPr>
            <w:r w:rsidRPr="006A0C48">
              <w:rPr>
                <w:szCs w:val="22"/>
              </w:rPr>
              <w:t>Trends in abundance, temporal occurrence, and spatial distribution of non-indigenous species, particularly invasive, non-indigenous species, notably in risk areas (in relation to the main vectors and pathways of spreading of such species)</w:t>
            </w:r>
          </w:p>
          <w:p w14:paraId="15CC4B20" w14:textId="77777777" w:rsidR="00005A3C" w:rsidRPr="006A0C48" w:rsidRDefault="00005A3C" w:rsidP="006726E6">
            <w:pPr>
              <w:spacing w:before="80" w:after="80"/>
              <w:jc w:val="left"/>
              <w:rPr>
                <w:szCs w:val="22"/>
              </w:rPr>
            </w:pPr>
            <w:r w:rsidRPr="006A0C48">
              <w:rPr>
                <w:szCs w:val="22"/>
              </w:rPr>
              <w:t>Red List Index (impacts of invasive alien species)</w:t>
            </w:r>
          </w:p>
        </w:tc>
      </w:tr>
      <w:tr w:rsidR="00005A3C" w:rsidRPr="006A0C48" w14:paraId="1A27623D" w14:textId="77777777" w:rsidTr="00967EE7">
        <w:trPr>
          <w:trHeight w:val="300"/>
        </w:trPr>
        <w:tc>
          <w:tcPr>
            <w:tcW w:w="846" w:type="dxa"/>
            <w:shd w:val="clear" w:color="auto" w:fill="FFFFFF" w:themeFill="background1"/>
          </w:tcPr>
          <w:p w14:paraId="6DD4931D" w14:textId="77777777" w:rsidR="00005A3C" w:rsidRPr="006A0C48" w:rsidRDefault="00005A3C" w:rsidP="00BC5121">
            <w:pPr>
              <w:spacing w:before="80" w:after="80"/>
              <w:rPr>
                <w:szCs w:val="22"/>
              </w:rPr>
            </w:pPr>
            <w:r w:rsidRPr="006A0C48">
              <w:rPr>
                <w:szCs w:val="22"/>
              </w:rPr>
              <w:t>7</w:t>
            </w:r>
          </w:p>
        </w:tc>
        <w:tc>
          <w:tcPr>
            <w:tcW w:w="3260" w:type="dxa"/>
            <w:shd w:val="clear" w:color="auto" w:fill="FFFFFF" w:themeFill="background1"/>
          </w:tcPr>
          <w:p w14:paraId="0F1CBAA5" w14:textId="77777777" w:rsidR="00005A3C" w:rsidRPr="006A0C48" w:rsidRDefault="00005A3C" w:rsidP="0073224E">
            <w:pPr>
              <w:spacing w:before="40" w:after="40"/>
              <w:jc w:val="left"/>
              <w:rPr>
                <w:szCs w:val="22"/>
              </w:rPr>
            </w:pPr>
            <w:r w:rsidRPr="006A0C48">
              <w:rPr>
                <w:szCs w:val="22"/>
              </w:rPr>
              <w:t>7.1 Index of coastal eutrophication potential</w:t>
            </w:r>
          </w:p>
          <w:p w14:paraId="5C311033" w14:textId="77777777" w:rsidR="00005A3C" w:rsidRPr="006A0C48" w:rsidRDefault="00005A3C" w:rsidP="006726E6">
            <w:pPr>
              <w:spacing w:before="80" w:after="80"/>
              <w:jc w:val="left"/>
              <w:rPr>
                <w:szCs w:val="22"/>
              </w:rPr>
            </w:pPr>
            <w:r w:rsidRPr="006A0C48">
              <w:rPr>
                <w:szCs w:val="22"/>
              </w:rPr>
              <w:t>7.2 Pesticide environment concentration*</w:t>
            </w:r>
          </w:p>
        </w:tc>
        <w:tc>
          <w:tcPr>
            <w:tcW w:w="3567" w:type="dxa"/>
            <w:shd w:val="clear" w:color="auto" w:fill="FFFFFF" w:themeFill="background1"/>
          </w:tcPr>
          <w:p w14:paraId="61476092" w14:textId="77777777" w:rsidR="00005A3C" w:rsidRPr="006A0C48" w:rsidRDefault="00005A3C" w:rsidP="006726E6">
            <w:pPr>
              <w:spacing w:before="80" w:after="80"/>
              <w:jc w:val="left"/>
              <w:rPr>
                <w:szCs w:val="22"/>
              </w:rPr>
            </w:pPr>
            <w:r w:rsidRPr="006A0C48">
              <w:rPr>
                <w:szCs w:val="22"/>
              </w:rPr>
              <w:t xml:space="preserve">Fertilizer use </w:t>
            </w:r>
          </w:p>
          <w:p w14:paraId="0A50BE66" w14:textId="77777777" w:rsidR="00005A3C" w:rsidRPr="006A0C48" w:rsidRDefault="00005A3C" w:rsidP="006726E6">
            <w:pPr>
              <w:spacing w:before="80" w:after="80"/>
              <w:jc w:val="left"/>
              <w:rPr>
                <w:szCs w:val="22"/>
              </w:rPr>
            </w:pPr>
            <w:r w:rsidRPr="006A0C48">
              <w:rPr>
                <w:szCs w:val="22"/>
              </w:rPr>
              <w:t>Proportion of domestic and industrial wastewater flow safely treated</w:t>
            </w:r>
          </w:p>
          <w:p w14:paraId="56A4FE1C" w14:textId="77777777" w:rsidR="00005A3C" w:rsidRPr="006A0C48" w:rsidRDefault="00005A3C" w:rsidP="006726E6">
            <w:pPr>
              <w:spacing w:before="80" w:after="80"/>
              <w:jc w:val="left"/>
              <w:rPr>
                <w:szCs w:val="22"/>
              </w:rPr>
            </w:pPr>
            <w:r w:rsidRPr="006A0C48">
              <w:rPr>
                <w:szCs w:val="22"/>
              </w:rPr>
              <w:t xml:space="preserve">Floating plastic debris density (by micro and macro plastics) </w:t>
            </w:r>
          </w:p>
          <w:p w14:paraId="12B554B6" w14:textId="77777777" w:rsidR="00005A3C" w:rsidRPr="006A0C48" w:rsidRDefault="00005A3C" w:rsidP="006726E6">
            <w:pPr>
              <w:spacing w:before="80" w:after="80"/>
              <w:jc w:val="left"/>
              <w:rPr>
                <w:szCs w:val="22"/>
              </w:rPr>
            </w:pPr>
            <w:r w:rsidRPr="006A0C48">
              <w:rPr>
                <w:szCs w:val="22"/>
              </w:rPr>
              <w:t>Red List Index (impact of pollution)</w:t>
            </w:r>
          </w:p>
        </w:tc>
        <w:tc>
          <w:tcPr>
            <w:tcW w:w="5363" w:type="dxa"/>
            <w:shd w:val="clear" w:color="auto" w:fill="FFFFFF" w:themeFill="background1"/>
          </w:tcPr>
          <w:p w14:paraId="517F8A1B" w14:textId="77777777" w:rsidR="00005A3C" w:rsidRPr="006A0C48" w:rsidRDefault="00005A3C" w:rsidP="006726E6">
            <w:pPr>
              <w:spacing w:before="80" w:after="80"/>
              <w:jc w:val="left"/>
              <w:rPr>
                <w:szCs w:val="22"/>
              </w:rPr>
            </w:pPr>
            <w:r w:rsidRPr="006A0C48">
              <w:rPr>
                <w:szCs w:val="22"/>
              </w:rPr>
              <w:t>Trends in loss of reactive nitrogen to the environment.</w:t>
            </w:r>
          </w:p>
          <w:p w14:paraId="24E20C4C" w14:textId="77777777" w:rsidR="00005A3C" w:rsidRPr="006A0C48" w:rsidRDefault="00005A3C" w:rsidP="006726E6">
            <w:pPr>
              <w:spacing w:before="80" w:after="80"/>
              <w:jc w:val="left"/>
              <w:rPr>
                <w:szCs w:val="22"/>
              </w:rPr>
            </w:pPr>
            <w:r w:rsidRPr="006A0C48">
              <w:rPr>
                <w:szCs w:val="22"/>
              </w:rPr>
              <w:t>Trends in nitrogen deposition</w:t>
            </w:r>
          </w:p>
          <w:p w14:paraId="0EFE74F6" w14:textId="77777777" w:rsidR="00005A3C" w:rsidRPr="006A0C48" w:rsidRDefault="00005A3C" w:rsidP="006726E6">
            <w:pPr>
              <w:spacing w:before="80" w:after="80"/>
              <w:jc w:val="left"/>
              <w:rPr>
                <w:szCs w:val="22"/>
              </w:rPr>
            </w:pPr>
            <w:r w:rsidRPr="006A0C48">
              <w:rPr>
                <w:szCs w:val="22"/>
              </w:rPr>
              <w:t xml:space="preserve">Municipal solid waste collected and managed </w:t>
            </w:r>
          </w:p>
          <w:p w14:paraId="52D9C16E" w14:textId="77777777" w:rsidR="00005A3C" w:rsidRPr="006A0C48" w:rsidRDefault="00005A3C" w:rsidP="006726E6">
            <w:pPr>
              <w:spacing w:before="80" w:after="80"/>
              <w:jc w:val="left"/>
              <w:rPr>
                <w:szCs w:val="22"/>
              </w:rPr>
            </w:pPr>
            <w:r w:rsidRPr="006A0C48">
              <w:rPr>
                <w:szCs w:val="22"/>
              </w:rPr>
              <w:t xml:space="preserve">Hazardous waste generation </w:t>
            </w:r>
          </w:p>
          <w:p w14:paraId="06DE7E6B" w14:textId="77777777" w:rsidR="00005A3C" w:rsidRPr="006A0C48" w:rsidRDefault="00005A3C" w:rsidP="006726E6">
            <w:pPr>
              <w:spacing w:before="80" w:after="80"/>
              <w:jc w:val="left"/>
              <w:rPr>
                <w:szCs w:val="22"/>
              </w:rPr>
            </w:pPr>
            <w:r w:rsidRPr="006A0C48">
              <w:rPr>
                <w:szCs w:val="22"/>
              </w:rPr>
              <w:t>Trends in the amount of litter, including microplastics, in the water column and on the seafloor</w:t>
            </w:r>
          </w:p>
          <w:p w14:paraId="20A4801A" w14:textId="77777777" w:rsidR="00005A3C" w:rsidRPr="006A0C48" w:rsidRDefault="00005A3C">
            <w:pPr>
              <w:spacing w:before="80" w:after="80"/>
              <w:jc w:val="left"/>
              <w:rPr>
                <w:szCs w:val="22"/>
              </w:rPr>
            </w:pPr>
            <w:r w:rsidRPr="006A0C48">
              <w:rPr>
                <w:szCs w:val="22"/>
              </w:rPr>
              <w:t xml:space="preserve">Index of coastal eutrophication; </w:t>
            </w:r>
          </w:p>
          <w:p w14:paraId="61D325E2" w14:textId="77777777" w:rsidR="00005A3C" w:rsidRPr="006A0C48" w:rsidRDefault="00005A3C" w:rsidP="006726E6">
            <w:pPr>
              <w:spacing w:before="80" w:after="80"/>
              <w:jc w:val="left"/>
              <w:rPr>
                <w:szCs w:val="22"/>
              </w:rPr>
            </w:pPr>
            <w:r w:rsidRPr="006A0C48">
              <w:rPr>
                <w:szCs w:val="22"/>
              </w:rPr>
              <w:t>Plastic debris density</w:t>
            </w:r>
          </w:p>
          <w:p w14:paraId="7C613108" w14:textId="77777777" w:rsidR="00005A3C" w:rsidRPr="006A0C48" w:rsidRDefault="00005A3C" w:rsidP="006726E6">
            <w:pPr>
              <w:spacing w:before="80" w:after="80"/>
              <w:jc w:val="left"/>
              <w:rPr>
                <w:szCs w:val="22"/>
              </w:rPr>
            </w:pPr>
            <w:r w:rsidRPr="006A0C48">
              <w:rPr>
                <w:szCs w:val="22"/>
              </w:rPr>
              <w:lastRenderedPageBreak/>
              <w:t>Red List of Ecosystems</w:t>
            </w:r>
          </w:p>
          <w:p w14:paraId="37A2E942" w14:textId="77777777" w:rsidR="00005A3C" w:rsidRPr="006A0C48" w:rsidRDefault="00005A3C" w:rsidP="006726E6">
            <w:pPr>
              <w:spacing w:before="80" w:after="80"/>
              <w:jc w:val="left"/>
              <w:rPr>
                <w:szCs w:val="22"/>
              </w:rPr>
            </w:pPr>
            <w:r w:rsidRPr="006A0C48">
              <w:rPr>
                <w:szCs w:val="22"/>
              </w:rPr>
              <w:t>Underwater noise pollution</w:t>
            </w:r>
          </w:p>
          <w:p w14:paraId="7FDB4B6F" w14:textId="77777777" w:rsidR="00005A3C" w:rsidRPr="006A0C48" w:rsidRDefault="00005A3C" w:rsidP="006726E6">
            <w:pPr>
              <w:spacing w:before="80" w:after="80"/>
              <w:jc w:val="left"/>
              <w:rPr>
                <w:szCs w:val="22"/>
              </w:rPr>
            </w:pPr>
            <w:r w:rsidRPr="006A0C48">
              <w:rPr>
                <w:szCs w:val="22"/>
              </w:rPr>
              <w:t>Name, amount/ volume/ concentration of highly hazardous pesticides by type (per land/marine area)</w:t>
            </w:r>
          </w:p>
          <w:p w14:paraId="1AE9E5F3" w14:textId="77777777" w:rsidR="00005A3C" w:rsidRPr="006A0C48" w:rsidRDefault="00005A3C" w:rsidP="006726E6">
            <w:pPr>
              <w:spacing w:before="80" w:after="80"/>
              <w:jc w:val="left"/>
              <w:rPr>
                <w:szCs w:val="22"/>
              </w:rPr>
            </w:pPr>
            <w:r w:rsidRPr="006A0C48">
              <w:rPr>
                <w:szCs w:val="22"/>
              </w:rPr>
              <w:t>Pesticide use per area of cropland</w:t>
            </w:r>
          </w:p>
        </w:tc>
      </w:tr>
      <w:tr w:rsidR="00005A3C" w:rsidRPr="006A0C48" w14:paraId="21880B5C" w14:textId="77777777" w:rsidTr="00967EE7">
        <w:trPr>
          <w:trHeight w:val="300"/>
        </w:trPr>
        <w:tc>
          <w:tcPr>
            <w:tcW w:w="846" w:type="dxa"/>
            <w:shd w:val="clear" w:color="auto" w:fill="FFFFFF" w:themeFill="background1"/>
          </w:tcPr>
          <w:p w14:paraId="73F07228" w14:textId="77777777" w:rsidR="00005A3C" w:rsidRPr="006A0C48" w:rsidRDefault="00005A3C" w:rsidP="00BC5121">
            <w:pPr>
              <w:spacing w:before="80" w:after="80"/>
              <w:rPr>
                <w:szCs w:val="22"/>
              </w:rPr>
            </w:pPr>
            <w:r w:rsidRPr="006A0C48">
              <w:rPr>
                <w:szCs w:val="22"/>
              </w:rPr>
              <w:lastRenderedPageBreak/>
              <w:t>8</w:t>
            </w:r>
            <w:r w:rsidRPr="006A0C48">
              <w:rPr>
                <w:szCs w:val="22"/>
                <w:vertAlign w:val="superscript"/>
              </w:rPr>
              <w:t>b</w:t>
            </w:r>
          </w:p>
        </w:tc>
        <w:tc>
          <w:tcPr>
            <w:tcW w:w="3260" w:type="dxa"/>
            <w:shd w:val="clear" w:color="auto" w:fill="FFFFFF" w:themeFill="background1"/>
          </w:tcPr>
          <w:p w14:paraId="6A586AFB" w14:textId="77777777" w:rsidR="00005A3C" w:rsidRPr="006A0C48" w:rsidRDefault="00005A3C" w:rsidP="00BC5121">
            <w:pPr>
              <w:spacing w:before="80" w:after="80"/>
              <w:rPr>
                <w:szCs w:val="22"/>
              </w:rPr>
            </w:pPr>
            <w:r w:rsidRPr="006A0C48">
              <w:rPr>
                <w:szCs w:val="22"/>
              </w:rPr>
              <w:t>-</w:t>
            </w:r>
          </w:p>
        </w:tc>
        <w:tc>
          <w:tcPr>
            <w:tcW w:w="3567" w:type="dxa"/>
            <w:shd w:val="clear" w:color="auto" w:fill="FFFFFF" w:themeFill="background1"/>
          </w:tcPr>
          <w:p w14:paraId="5D0D022A" w14:textId="77777777" w:rsidR="00005A3C" w:rsidRPr="006A0C48" w:rsidRDefault="00005A3C" w:rsidP="006726E6">
            <w:pPr>
              <w:spacing w:before="80" w:after="80"/>
              <w:jc w:val="left"/>
              <w:rPr>
                <w:szCs w:val="22"/>
              </w:rPr>
            </w:pPr>
            <w:r w:rsidRPr="006A0C48">
              <w:rPr>
                <w:szCs w:val="22"/>
              </w:rPr>
              <w:t>Total climate regulation services provided by ecosystems and by ecosystem type (System of Environmental Economic Accounts)</w:t>
            </w:r>
          </w:p>
          <w:p w14:paraId="5718DD13" w14:textId="77777777" w:rsidR="00005A3C" w:rsidRPr="006A0C48" w:rsidRDefault="00005A3C" w:rsidP="006726E6">
            <w:pPr>
              <w:spacing w:before="80" w:after="80"/>
              <w:jc w:val="left"/>
              <w:rPr>
                <w:szCs w:val="22"/>
              </w:rPr>
            </w:pPr>
            <w:r w:rsidRPr="006A0C48">
              <w:rPr>
                <w:szCs w:val="22"/>
              </w:rPr>
              <w:t xml:space="preserve">Number of countries that adopt and implement national disaster risk reduction strategies in line with the Sendai Framework for Disaster Risk Reduction 2015–2030 which include biodiversity </w:t>
            </w:r>
          </w:p>
          <w:p w14:paraId="6FE5F73E" w14:textId="77777777" w:rsidR="00005A3C" w:rsidRPr="006A0C48" w:rsidRDefault="00005A3C" w:rsidP="006726E6">
            <w:pPr>
              <w:spacing w:before="80" w:after="80"/>
              <w:jc w:val="left"/>
              <w:rPr>
                <w:szCs w:val="22"/>
              </w:rPr>
            </w:pPr>
            <w:r w:rsidRPr="006A0C48">
              <w:rPr>
                <w:szCs w:val="22"/>
              </w:rPr>
              <w:t>National greenhouse inventories from land use and land-use change</w:t>
            </w:r>
          </w:p>
          <w:p w14:paraId="644B0174" w14:textId="77777777" w:rsidR="00005A3C" w:rsidRPr="006A0C48" w:rsidRDefault="00005A3C" w:rsidP="006726E6">
            <w:pPr>
              <w:spacing w:before="80" w:after="80"/>
              <w:jc w:val="left"/>
              <w:rPr>
                <w:szCs w:val="22"/>
              </w:rPr>
            </w:pPr>
            <w:r w:rsidRPr="006A0C48">
              <w:rPr>
                <w:szCs w:val="22"/>
              </w:rPr>
              <w:t>BERI</w:t>
            </w:r>
          </w:p>
        </w:tc>
        <w:tc>
          <w:tcPr>
            <w:tcW w:w="5363" w:type="dxa"/>
            <w:shd w:val="clear" w:color="auto" w:fill="FFFFFF" w:themeFill="background1"/>
          </w:tcPr>
          <w:p w14:paraId="2C83A9C4" w14:textId="77777777" w:rsidR="00005A3C" w:rsidRPr="006A0C48" w:rsidRDefault="00005A3C" w:rsidP="006726E6">
            <w:pPr>
              <w:spacing w:before="80" w:after="80"/>
              <w:jc w:val="left"/>
              <w:rPr>
                <w:szCs w:val="22"/>
              </w:rPr>
            </w:pPr>
            <w:r w:rsidRPr="006A0C48">
              <w:rPr>
                <w:szCs w:val="22"/>
              </w:rPr>
              <w:t>Above-ground biomass stock in forest (tonnes/ha)</w:t>
            </w:r>
          </w:p>
          <w:p w14:paraId="521489E3" w14:textId="77777777" w:rsidR="00005A3C" w:rsidRPr="006A0C48" w:rsidRDefault="00005A3C" w:rsidP="006726E6">
            <w:pPr>
              <w:spacing w:before="80" w:after="80"/>
              <w:jc w:val="left"/>
              <w:rPr>
                <w:szCs w:val="22"/>
              </w:rPr>
            </w:pPr>
            <w:r w:rsidRPr="006A0C48">
              <w:rPr>
                <w:szCs w:val="22"/>
              </w:rPr>
              <w:t>National greenhouse inventories from land use and land-use change</w:t>
            </w:r>
          </w:p>
          <w:p w14:paraId="78FAA074" w14:textId="77777777" w:rsidR="00005A3C" w:rsidRPr="006A0C48" w:rsidRDefault="00005A3C" w:rsidP="006726E6">
            <w:pPr>
              <w:spacing w:before="80" w:after="80"/>
              <w:jc w:val="left"/>
              <w:rPr>
                <w:szCs w:val="22"/>
              </w:rPr>
            </w:pPr>
            <w:r w:rsidRPr="006A0C48">
              <w:rPr>
                <w:szCs w:val="22"/>
              </w:rPr>
              <w:t xml:space="preserve">Proportion of local governments that adopt and implement local disaster risk reduction strategies in line with national disaster risk reduction strategies </w:t>
            </w:r>
          </w:p>
          <w:p w14:paraId="41EA7DEC" w14:textId="77777777" w:rsidR="00005A3C" w:rsidRPr="006A0C48" w:rsidRDefault="00005A3C" w:rsidP="006726E6">
            <w:pPr>
              <w:spacing w:before="80" w:after="80"/>
              <w:jc w:val="left"/>
              <w:rPr>
                <w:szCs w:val="22"/>
              </w:rPr>
            </w:pPr>
            <w:r w:rsidRPr="006A0C48">
              <w:rPr>
                <w:szCs w:val="22"/>
              </w:rPr>
              <w:t xml:space="preserve">Number of least developed countries and small island developing States with nationally determined contributions, long-term strategies, national adaptation plans, strategies as reported in adaptation communications and national communications </w:t>
            </w:r>
          </w:p>
          <w:p w14:paraId="5BEDA345" w14:textId="77777777" w:rsidR="00005A3C" w:rsidRPr="006A0C48" w:rsidRDefault="00005A3C" w:rsidP="006726E6">
            <w:pPr>
              <w:spacing w:before="80" w:after="80"/>
              <w:jc w:val="left"/>
              <w:rPr>
                <w:szCs w:val="22"/>
              </w:rPr>
            </w:pPr>
            <w:r w:rsidRPr="006A0C48">
              <w:rPr>
                <w:szCs w:val="22"/>
              </w:rPr>
              <w:t xml:space="preserve">Index of coastal eutrophication </w:t>
            </w:r>
          </w:p>
          <w:p w14:paraId="469D746B" w14:textId="77777777" w:rsidR="00005A3C" w:rsidRPr="006A0C48" w:rsidRDefault="00005A3C" w:rsidP="006726E6">
            <w:pPr>
              <w:spacing w:before="80" w:after="80"/>
              <w:jc w:val="left"/>
              <w:rPr>
                <w:szCs w:val="22"/>
              </w:rPr>
            </w:pPr>
            <w:r w:rsidRPr="006A0C48">
              <w:rPr>
                <w:szCs w:val="22"/>
              </w:rPr>
              <w:t>Carbon stocks and annual net greenhouse gas emissions, by land-use category, split by natural and non-natural land cover</w:t>
            </w:r>
          </w:p>
        </w:tc>
      </w:tr>
      <w:tr w:rsidR="00005A3C" w:rsidRPr="006A0C48" w14:paraId="77662208" w14:textId="77777777" w:rsidTr="00967EE7">
        <w:trPr>
          <w:trHeight w:val="300"/>
        </w:trPr>
        <w:tc>
          <w:tcPr>
            <w:tcW w:w="846" w:type="dxa"/>
            <w:shd w:val="clear" w:color="auto" w:fill="FFFFFF" w:themeFill="background1"/>
          </w:tcPr>
          <w:p w14:paraId="7B287DC4" w14:textId="77777777" w:rsidR="00005A3C" w:rsidRPr="006A0C48" w:rsidRDefault="00005A3C" w:rsidP="00BC5121">
            <w:pPr>
              <w:spacing w:before="80" w:after="80"/>
              <w:rPr>
                <w:szCs w:val="22"/>
              </w:rPr>
            </w:pPr>
            <w:r w:rsidRPr="006A0C48">
              <w:rPr>
                <w:szCs w:val="22"/>
              </w:rPr>
              <w:t>9</w:t>
            </w:r>
            <w:r w:rsidRPr="006A0C48">
              <w:rPr>
                <w:b/>
                <w:bCs/>
                <w:szCs w:val="22"/>
                <w:vertAlign w:val="superscript"/>
              </w:rPr>
              <w:t>b</w:t>
            </w:r>
          </w:p>
        </w:tc>
        <w:tc>
          <w:tcPr>
            <w:tcW w:w="3260" w:type="dxa"/>
            <w:shd w:val="clear" w:color="auto" w:fill="FFFFFF" w:themeFill="background1"/>
          </w:tcPr>
          <w:p w14:paraId="5B6DD4FE" w14:textId="77777777" w:rsidR="00005A3C" w:rsidRPr="006A0C48" w:rsidRDefault="00005A3C" w:rsidP="006726E6">
            <w:pPr>
              <w:spacing w:before="40" w:after="40"/>
              <w:jc w:val="left"/>
              <w:rPr>
                <w:szCs w:val="22"/>
              </w:rPr>
            </w:pPr>
            <w:r w:rsidRPr="006A0C48">
              <w:rPr>
                <w:szCs w:val="22"/>
              </w:rPr>
              <w:t>9.1 Benefits from the sustainable use of wild species</w:t>
            </w:r>
          </w:p>
          <w:p w14:paraId="1F90F9CE" w14:textId="77777777" w:rsidR="00005A3C" w:rsidRPr="006A0C48" w:rsidRDefault="00005A3C" w:rsidP="006726E6">
            <w:pPr>
              <w:spacing w:before="80" w:after="80"/>
              <w:jc w:val="left"/>
              <w:rPr>
                <w:szCs w:val="22"/>
              </w:rPr>
            </w:pPr>
            <w:r w:rsidRPr="006A0C48">
              <w:rPr>
                <w:szCs w:val="22"/>
              </w:rPr>
              <w:t>9.2 Percentage of the population in traditional occupations</w:t>
            </w:r>
          </w:p>
        </w:tc>
        <w:tc>
          <w:tcPr>
            <w:tcW w:w="3567" w:type="dxa"/>
            <w:shd w:val="clear" w:color="auto" w:fill="FFFFFF" w:themeFill="background1"/>
          </w:tcPr>
          <w:p w14:paraId="17CC0C09" w14:textId="77777777" w:rsidR="00005A3C" w:rsidRPr="006A0C48" w:rsidRDefault="00005A3C" w:rsidP="006726E6">
            <w:pPr>
              <w:spacing w:before="80" w:after="80"/>
              <w:jc w:val="left"/>
              <w:rPr>
                <w:szCs w:val="22"/>
              </w:rPr>
            </w:pPr>
            <w:r w:rsidRPr="006A0C48">
              <w:rPr>
                <w:szCs w:val="22"/>
              </w:rPr>
              <w:t>Number of people using wild resources for energy, food or culture (including firewood collection, hunting and fishing, gathering, medicinal use, craft making, etc.)</w:t>
            </w:r>
          </w:p>
          <w:p w14:paraId="09F67197" w14:textId="77777777" w:rsidR="00005A3C" w:rsidRPr="006A0C48" w:rsidRDefault="00005A3C" w:rsidP="006726E6">
            <w:pPr>
              <w:spacing w:before="80" w:after="80"/>
              <w:jc w:val="left"/>
              <w:rPr>
                <w:szCs w:val="22"/>
              </w:rPr>
            </w:pPr>
            <w:r w:rsidRPr="006A0C48">
              <w:rPr>
                <w:szCs w:val="22"/>
              </w:rPr>
              <w:t>Red List Index (species used for food and medicine)</w:t>
            </w:r>
          </w:p>
          <w:p w14:paraId="4E7069CC" w14:textId="77777777" w:rsidR="00005A3C" w:rsidRPr="006A0C48" w:rsidRDefault="00005A3C" w:rsidP="006726E6">
            <w:pPr>
              <w:spacing w:before="80" w:after="80"/>
              <w:jc w:val="left"/>
              <w:rPr>
                <w:szCs w:val="22"/>
              </w:rPr>
            </w:pPr>
            <w:r w:rsidRPr="006A0C48">
              <w:rPr>
                <w:szCs w:val="22"/>
              </w:rPr>
              <w:t>Living Planet Index for used species</w:t>
            </w:r>
          </w:p>
          <w:p w14:paraId="49979CF0" w14:textId="77777777" w:rsidR="00005A3C" w:rsidRPr="006A0C48" w:rsidRDefault="00005A3C" w:rsidP="006726E6">
            <w:pPr>
              <w:spacing w:before="80" w:after="80"/>
              <w:jc w:val="left"/>
              <w:rPr>
                <w:szCs w:val="22"/>
              </w:rPr>
            </w:pPr>
          </w:p>
        </w:tc>
        <w:tc>
          <w:tcPr>
            <w:tcW w:w="5363" w:type="dxa"/>
            <w:shd w:val="clear" w:color="auto" w:fill="FFFFFF" w:themeFill="background1"/>
          </w:tcPr>
          <w:p w14:paraId="586C7742" w14:textId="77777777" w:rsidR="00005A3C" w:rsidRPr="006A0C48" w:rsidRDefault="00005A3C" w:rsidP="006726E6">
            <w:pPr>
              <w:spacing w:before="80" w:after="80"/>
              <w:jc w:val="left"/>
              <w:rPr>
                <w:szCs w:val="22"/>
              </w:rPr>
            </w:pPr>
            <w:r w:rsidRPr="006A0C48">
              <w:rPr>
                <w:szCs w:val="22"/>
              </w:rPr>
              <w:t xml:space="preserve">Proportion of fish stocks within biologically sustainable levels </w:t>
            </w:r>
          </w:p>
          <w:p w14:paraId="5427F12C" w14:textId="77777777" w:rsidR="00005A3C" w:rsidRPr="006A0C48" w:rsidRDefault="00005A3C" w:rsidP="006726E6">
            <w:pPr>
              <w:spacing w:before="80" w:after="80"/>
              <w:jc w:val="left"/>
              <w:rPr>
                <w:szCs w:val="22"/>
              </w:rPr>
            </w:pPr>
            <w:r w:rsidRPr="006A0C48">
              <w:rPr>
                <w:szCs w:val="22"/>
              </w:rPr>
              <w:t xml:space="preserve">Degree of implementation of international instruments aiming to combat illegal, unreported and unregulated fishing </w:t>
            </w:r>
          </w:p>
          <w:p w14:paraId="1B5C08CB" w14:textId="77777777" w:rsidR="00005A3C" w:rsidRPr="006A0C48" w:rsidRDefault="00005A3C" w:rsidP="006726E6">
            <w:pPr>
              <w:spacing w:before="80" w:after="80"/>
              <w:jc w:val="left"/>
              <w:rPr>
                <w:szCs w:val="22"/>
              </w:rPr>
            </w:pPr>
            <w:r w:rsidRPr="006A0C48">
              <w:rPr>
                <w:szCs w:val="22"/>
              </w:rPr>
              <w:t>Number of MSC Chain of Custody Certification holders by distribution country</w:t>
            </w:r>
          </w:p>
          <w:p w14:paraId="34CA0520" w14:textId="77777777" w:rsidR="00005A3C" w:rsidRPr="006A0C48" w:rsidRDefault="00005A3C" w:rsidP="006726E6">
            <w:pPr>
              <w:spacing w:before="80" w:after="80"/>
              <w:jc w:val="left"/>
              <w:rPr>
                <w:szCs w:val="22"/>
              </w:rPr>
            </w:pPr>
            <w:r w:rsidRPr="006A0C48">
              <w:rPr>
                <w:szCs w:val="22"/>
              </w:rPr>
              <w:t>Spawning stock biomass (related to commercially exploited species)</w:t>
            </w:r>
          </w:p>
          <w:p w14:paraId="45336B00" w14:textId="77777777" w:rsidR="00005A3C" w:rsidRPr="006A0C48" w:rsidRDefault="00005A3C" w:rsidP="006726E6">
            <w:pPr>
              <w:spacing w:before="80" w:after="80"/>
              <w:jc w:val="left"/>
              <w:rPr>
                <w:szCs w:val="22"/>
              </w:rPr>
            </w:pPr>
            <w:r w:rsidRPr="006A0C48">
              <w:rPr>
                <w:szCs w:val="22"/>
              </w:rPr>
              <w:lastRenderedPageBreak/>
              <w:t xml:space="preserve">Number of plant and animal genetic resources for food and agriculture secured in medium- or long-term conservation facilities </w:t>
            </w:r>
          </w:p>
          <w:p w14:paraId="609CB8B0" w14:textId="77777777" w:rsidR="00005A3C" w:rsidRPr="006A0C48" w:rsidRDefault="00005A3C" w:rsidP="006726E6">
            <w:pPr>
              <w:spacing w:before="80" w:after="80"/>
              <w:jc w:val="left"/>
              <w:rPr>
                <w:szCs w:val="22"/>
              </w:rPr>
            </w:pPr>
            <w:r w:rsidRPr="006A0C48">
              <w:rPr>
                <w:szCs w:val="22"/>
              </w:rPr>
              <w:t xml:space="preserve">Volume of production per labour unit by classes of farming/pastoral/ forestry enterprise size </w:t>
            </w:r>
          </w:p>
        </w:tc>
      </w:tr>
      <w:tr w:rsidR="00005A3C" w:rsidRPr="006A0C48" w14:paraId="0CAA9D24" w14:textId="77777777" w:rsidTr="00967EE7">
        <w:trPr>
          <w:trHeight w:val="300"/>
        </w:trPr>
        <w:tc>
          <w:tcPr>
            <w:tcW w:w="846" w:type="dxa"/>
            <w:shd w:val="clear" w:color="auto" w:fill="FFFFFF" w:themeFill="background1"/>
          </w:tcPr>
          <w:p w14:paraId="243494E7" w14:textId="77777777" w:rsidR="00005A3C" w:rsidRPr="006A0C48" w:rsidRDefault="00005A3C" w:rsidP="00BC5121">
            <w:pPr>
              <w:spacing w:before="80" w:after="80"/>
              <w:rPr>
                <w:szCs w:val="22"/>
              </w:rPr>
            </w:pPr>
            <w:r w:rsidRPr="006A0C48">
              <w:rPr>
                <w:szCs w:val="22"/>
              </w:rPr>
              <w:lastRenderedPageBreak/>
              <w:t>10</w:t>
            </w:r>
          </w:p>
        </w:tc>
        <w:tc>
          <w:tcPr>
            <w:tcW w:w="3260" w:type="dxa"/>
            <w:shd w:val="clear" w:color="auto" w:fill="FFFFFF" w:themeFill="background1"/>
          </w:tcPr>
          <w:p w14:paraId="10412F79" w14:textId="77777777" w:rsidR="00005A3C" w:rsidRPr="006A0C48" w:rsidRDefault="00005A3C" w:rsidP="006726E6">
            <w:pPr>
              <w:spacing w:before="40" w:after="40"/>
              <w:jc w:val="left"/>
              <w:rPr>
                <w:szCs w:val="22"/>
              </w:rPr>
            </w:pPr>
            <w:r w:rsidRPr="006A0C48">
              <w:rPr>
                <w:szCs w:val="22"/>
              </w:rPr>
              <w:t>10.1 Proportion of agricultural area under productive and sustainable agriculture</w:t>
            </w:r>
          </w:p>
          <w:p w14:paraId="2FC6E85C" w14:textId="77777777" w:rsidR="00005A3C" w:rsidRPr="006A0C48" w:rsidRDefault="00005A3C" w:rsidP="006726E6">
            <w:pPr>
              <w:spacing w:before="80" w:after="80"/>
              <w:jc w:val="left"/>
              <w:rPr>
                <w:szCs w:val="22"/>
              </w:rPr>
            </w:pPr>
            <w:r w:rsidRPr="006A0C48">
              <w:rPr>
                <w:szCs w:val="22"/>
              </w:rPr>
              <w:t xml:space="preserve">10.2 Progress towards sustainable forest management </w:t>
            </w:r>
          </w:p>
        </w:tc>
        <w:tc>
          <w:tcPr>
            <w:tcW w:w="3567" w:type="dxa"/>
            <w:shd w:val="clear" w:color="auto" w:fill="FFFFFF" w:themeFill="background1"/>
          </w:tcPr>
          <w:p w14:paraId="7CCCDC1F" w14:textId="77777777" w:rsidR="00005A3C" w:rsidRPr="006A0C48" w:rsidRDefault="00005A3C" w:rsidP="006726E6">
            <w:pPr>
              <w:spacing w:before="80" w:after="80"/>
              <w:jc w:val="left"/>
              <w:rPr>
                <w:szCs w:val="22"/>
              </w:rPr>
            </w:pPr>
            <w:r w:rsidRPr="006A0C48">
              <w:rPr>
                <w:szCs w:val="22"/>
              </w:rPr>
              <w:t>Area of forest under sustainable management: total forest management certification by the Forest Stewardship Council and the Programme for the Endorsement of Forest Certification</w:t>
            </w:r>
          </w:p>
          <w:p w14:paraId="5A259522" w14:textId="77777777" w:rsidR="00005A3C" w:rsidRPr="006A0C48" w:rsidRDefault="00005A3C" w:rsidP="006726E6">
            <w:pPr>
              <w:spacing w:before="80" w:after="80"/>
              <w:jc w:val="left"/>
              <w:rPr>
                <w:szCs w:val="22"/>
              </w:rPr>
            </w:pPr>
            <w:r w:rsidRPr="006A0C48">
              <w:rPr>
                <w:szCs w:val="22"/>
              </w:rPr>
              <w:t>Average income of small-scale food producers, by sex and indigenous status</w:t>
            </w:r>
          </w:p>
        </w:tc>
        <w:tc>
          <w:tcPr>
            <w:tcW w:w="5363" w:type="dxa"/>
            <w:shd w:val="clear" w:color="auto" w:fill="FFFFFF" w:themeFill="background1"/>
          </w:tcPr>
          <w:p w14:paraId="6ED72D90" w14:textId="77777777" w:rsidR="00005A3C" w:rsidRPr="006A0C48" w:rsidRDefault="00005A3C" w:rsidP="006726E6">
            <w:pPr>
              <w:spacing w:before="80" w:after="80"/>
              <w:jc w:val="left"/>
              <w:rPr>
                <w:szCs w:val="22"/>
              </w:rPr>
            </w:pPr>
            <w:r w:rsidRPr="006A0C48">
              <w:rPr>
                <w:szCs w:val="22"/>
              </w:rPr>
              <w:t>Agrobiodiversity Index</w:t>
            </w:r>
          </w:p>
          <w:p w14:paraId="4FFBE2F3" w14:textId="77777777" w:rsidR="00005A3C" w:rsidRPr="006A0C48" w:rsidRDefault="00005A3C" w:rsidP="006726E6">
            <w:pPr>
              <w:spacing w:before="80" w:after="80"/>
              <w:jc w:val="left"/>
              <w:rPr>
                <w:szCs w:val="22"/>
              </w:rPr>
            </w:pPr>
            <w:r w:rsidRPr="006A0C48">
              <w:rPr>
                <w:szCs w:val="22"/>
              </w:rPr>
              <w:t>Changes in soil organic carbon stocks</w:t>
            </w:r>
          </w:p>
          <w:p w14:paraId="0D3E6503" w14:textId="77777777" w:rsidR="00005A3C" w:rsidRPr="006A0C48" w:rsidRDefault="00005A3C" w:rsidP="006726E6">
            <w:pPr>
              <w:spacing w:before="80" w:after="80"/>
              <w:jc w:val="left"/>
              <w:rPr>
                <w:szCs w:val="22"/>
              </w:rPr>
            </w:pPr>
            <w:r w:rsidRPr="006A0C48">
              <w:rPr>
                <w:szCs w:val="22"/>
              </w:rPr>
              <w:t xml:space="preserve">Red List Index (wild relatives of domesticated animals) </w:t>
            </w:r>
          </w:p>
          <w:p w14:paraId="2DB5EAAC" w14:textId="77777777" w:rsidR="00005A3C" w:rsidRPr="006A0C48" w:rsidRDefault="00005A3C" w:rsidP="006726E6">
            <w:pPr>
              <w:spacing w:before="80" w:after="80"/>
              <w:jc w:val="left"/>
              <w:rPr>
                <w:szCs w:val="22"/>
              </w:rPr>
            </w:pPr>
            <w:r w:rsidRPr="006A0C48">
              <w:rPr>
                <w:szCs w:val="22"/>
              </w:rPr>
              <w:t>Red List Index (pollinating species)</w:t>
            </w:r>
          </w:p>
          <w:p w14:paraId="36F8A65F" w14:textId="77777777" w:rsidR="00005A3C" w:rsidRPr="006A0C48" w:rsidRDefault="00005A3C" w:rsidP="006726E6">
            <w:pPr>
              <w:spacing w:before="80" w:after="80"/>
              <w:jc w:val="left"/>
              <w:rPr>
                <w:szCs w:val="22"/>
              </w:rPr>
            </w:pPr>
            <w:r w:rsidRPr="006A0C48">
              <w:rPr>
                <w:szCs w:val="22"/>
              </w:rPr>
              <w:t>Proportion of local breeds classified as being at risk of extinction</w:t>
            </w:r>
          </w:p>
          <w:p w14:paraId="7C1354D6" w14:textId="77777777" w:rsidR="00005A3C" w:rsidRPr="006A0C48" w:rsidRDefault="00005A3C" w:rsidP="006726E6">
            <w:pPr>
              <w:spacing w:before="80" w:after="80"/>
              <w:jc w:val="left"/>
              <w:rPr>
                <w:szCs w:val="22"/>
              </w:rPr>
            </w:pPr>
            <w:r w:rsidRPr="006A0C48">
              <w:rPr>
                <w:szCs w:val="22"/>
              </w:rPr>
              <w:t>Proportion of land that is degraded over total land area</w:t>
            </w:r>
          </w:p>
        </w:tc>
      </w:tr>
      <w:tr w:rsidR="00005A3C" w:rsidRPr="006A0C48" w14:paraId="46F1BFC8" w14:textId="77777777" w:rsidTr="00967EE7">
        <w:trPr>
          <w:trHeight w:val="300"/>
        </w:trPr>
        <w:tc>
          <w:tcPr>
            <w:tcW w:w="846" w:type="dxa"/>
            <w:shd w:val="clear" w:color="auto" w:fill="FFFFFF" w:themeFill="background1"/>
          </w:tcPr>
          <w:p w14:paraId="085B2A40" w14:textId="77777777" w:rsidR="00005A3C" w:rsidRPr="006A0C48" w:rsidRDefault="00005A3C" w:rsidP="00BC5121">
            <w:pPr>
              <w:spacing w:before="80" w:after="80"/>
              <w:rPr>
                <w:szCs w:val="22"/>
              </w:rPr>
            </w:pPr>
            <w:r w:rsidRPr="006A0C48">
              <w:rPr>
                <w:szCs w:val="22"/>
              </w:rPr>
              <w:t>11</w:t>
            </w:r>
          </w:p>
        </w:tc>
        <w:tc>
          <w:tcPr>
            <w:tcW w:w="3260" w:type="dxa"/>
            <w:shd w:val="clear" w:color="auto" w:fill="FFFFFF" w:themeFill="background1"/>
          </w:tcPr>
          <w:p w14:paraId="2C708742" w14:textId="77777777" w:rsidR="00005A3C" w:rsidRPr="006A0C48" w:rsidRDefault="00005A3C" w:rsidP="006726E6">
            <w:pPr>
              <w:spacing w:before="80" w:after="80"/>
              <w:jc w:val="left"/>
              <w:rPr>
                <w:szCs w:val="22"/>
              </w:rPr>
            </w:pPr>
            <w:r w:rsidRPr="006A0C48">
              <w:rPr>
                <w:szCs w:val="22"/>
              </w:rPr>
              <w:t xml:space="preserve">B.1 Services provided by ecosystems* </w:t>
            </w:r>
          </w:p>
        </w:tc>
        <w:tc>
          <w:tcPr>
            <w:tcW w:w="3567" w:type="dxa"/>
            <w:shd w:val="clear" w:color="auto" w:fill="FFFFFF" w:themeFill="background1"/>
          </w:tcPr>
          <w:p w14:paraId="7401B6AE" w14:textId="77777777" w:rsidR="00005A3C" w:rsidRPr="006A0C48" w:rsidRDefault="00005A3C" w:rsidP="006726E6">
            <w:pPr>
              <w:spacing w:before="80" w:after="80"/>
              <w:jc w:val="left"/>
              <w:rPr>
                <w:szCs w:val="22"/>
              </w:rPr>
            </w:pPr>
            <w:r w:rsidRPr="006A0C48">
              <w:rPr>
                <w:szCs w:val="22"/>
              </w:rPr>
              <w:t xml:space="preserve">Number of deaths, missing persons and directly affected persons, attributed to disasters per 100,000 population </w:t>
            </w:r>
          </w:p>
          <w:p w14:paraId="00CA2AE6" w14:textId="77777777" w:rsidR="00005A3C" w:rsidRPr="006A0C48" w:rsidRDefault="00005A3C" w:rsidP="006726E6">
            <w:pPr>
              <w:spacing w:before="80" w:after="80"/>
              <w:jc w:val="left"/>
              <w:rPr>
                <w:szCs w:val="22"/>
              </w:rPr>
            </w:pPr>
            <w:r w:rsidRPr="006A0C48">
              <w:rPr>
                <w:szCs w:val="22"/>
              </w:rPr>
              <w:t>Mortality rate attributed to unsafe water, unsafe sanitation and lack of hygiene (exposure to unsafe Water, Sanitation and Hygiene for All (WASH) services</w:t>
            </w:r>
          </w:p>
          <w:p w14:paraId="66DC6C6E" w14:textId="77777777" w:rsidR="00005A3C" w:rsidRPr="006A0C48" w:rsidRDefault="00005A3C" w:rsidP="006726E6">
            <w:pPr>
              <w:spacing w:before="80" w:after="80"/>
              <w:jc w:val="left"/>
              <w:rPr>
                <w:szCs w:val="22"/>
              </w:rPr>
            </w:pPr>
            <w:r w:rsidRPr="006A0C48">
              <w:rPr>
                <w:szCs w:val="22"/>
              </w:rPr>
              <w:t xml:space="preserve">Annual mean levels of fine particulate matter (e.g., PM2.5 and PM10) in cities </w:t>
            </w:r>
          </w:p>
          <w:p w14:paraId="31389E9D" w14:textId="77777777" w:rsidR="00005A3C" w:rsidRPr="006A0C48" w:rsidRDefault="00005A3C" w:rsidP="006726E6">
            <w:pPr>
              <w:spacing w:before="80" w:after="80"/>
              <w:jc w:val="left"/>
              <w:rPr>
                <w:szCs w:val="22"/>
              </w:rPr>
            </w:pPr>
            <w:r w:rsidRPr="006A0C48">
              <w:rPr>
                <w:szCs w:val="22"/>
              </w:rPr>
              <w:t xml:space="preserve">Proportion of bodies of water with good ambient water quality </w:t>
            </w:r>
          </w:p>
          <w:p w14:paraId="6429CC7E" w14:textId="77777777" w:rsidR="00005A3C" w:rsidRPr="006A0C48" w:rsidRDefault="00005A3C" w:rsidP="006726E6">
            <w:pPr>
              <w:spacing w:before="80" w:after="80"/>
              <w:jc w:val="left"/>
              <w:rPr>
                <w:szCs w:val="22"/>
              </w:rPr>
            </w:pPr>
            <w:r w:rsidRPr="006A0C48">
              <w:rPr>
                <w:szCs w:val="22"/>
              </w:rPr>
              <w:t xml:space="preserve">Level of water stress </w:t>
            </w:r>
          </w:p>
        </w:tc>
        <w:tc>
          <w:tcPr>
            <w:tcW w:w="5363" w:type="dxa"/>
            <w:shd w:val="clear" w:color="auto" w:fill="FFFFFF" w:themeFill="background1"/>
          </w:tcPr>
          <w:p w14:paraId="3296E759" w14:textId="77777777" w:rsidR="00005A3C" w:rsidRPr="006A0C48" w:rsidRDefault="00005A3C" w:rsidP="006726E6">
            <w:pPr>
              <w:spacing w:before="80" w:after="80"/>
              <w:jc w:val="left"/>
              <w:rPr>
                <w:szCs w:val="22"/>
              </w:rPr>
            </w:pPr>
            <w:r w:rsidRPr="006A0C48">
              <w:rPr>
                <w:szCs w:val="22"/>
              </w:rPr>
              <w:t>Air emission accounts</w:t>
            </w:r>
          </w:p>
          <w:p w14:paraId="6236188C" w14:textId="77777777" w:rsidR="00005A3C" w:rsidRPr="006A0C48" w:rsidRDefault="00005A3C" w:rsidP="006726E6">
            <w:pPr>
              <w:spacing w:before="80" w:after="80"/>
              <w:jc w:val="left"/>
              <w:rPr>
                <w:szCs w:val="22"/>
              </w:rPr>
            </w:pPr>
            <w:r w:rsidRPr="006A0C48">
              <w:rPr>
                <w:szCs w:val="22"/>
              </w:rPr>
              <w:t xml:space="preserve">Proportion of local administrative units with established and operational policies and procedures for participation of local communities in water and sanitation management </w:t>
            </w:r>
          </w:p>
          <w:p w14:paraId="50589D2F" w14:textId="77777777" w:rsidR="00005A3C" w:rsidRPr="006A0C48" w:rsidRDefault="00005A3C" w:rsidP="006726E6">
            <w:pPr>
              <w:spacing w:before="80" w:after="80"/>
              <w:jc w:val="left"/>
              <w:rPr>
                <w:szCs w:val="22"/>
              </w:rPr>
            </w:pPr>
            <w:r w:rsidRPr="006A0C48">
              <w:rPr>
                <w:szCs w:val="22"/>
              </w:rPr>
              <w:t xml:space="preserve">Proportion of population using safely managed drinking water services </w:t>
            </w:r>
          </w:p>
          <w:p w14:paraId="7292E43F" w14:textId="77777777" w:rsidR="00005A3C" w:rsidRPr="006A0C48" w:rsidRDefault="00005A3C" w:rsidP="006726E6">
            <w:pPr>
              <w:spacing w:before="80" w:after="80"/>
              <w:jc w:val="left"/>
              <w:rPr>
                <w:szCs w:val="22"/>
              </w:rPr>
            </w:pPr>
            <w:r w:rsidRPr="006A0C48">
              <w:rPr>
                <w:szCs w:val="22"/>
              </w:rPr>
              <w:t>Mortality rate attributed to household and ambient air pollution (SDG indicator 3.9.1)</w:t>
            </w:r>
          </w:p>
          <w:p w14:paraId="084B2C5E" w14:textId="77777777" w:rsidR="00005A3C" w:rsidRPr="006A0C48" w:rsidRDefault="00005A3C" w:rsidP="006726E6">
            <w:pPr>
              <w:spacing w:before="80" w:after="80"/>
              <w:jc w:val="left"/>
              <w:rPr>
                <w:szCs w:val="22"/>
              </w:rPr>
            </w:pPr>
          </w:p>
        </w:tc>
      </w:tr>
      <w:tr w:rsidR="00005A3C" w:rsidRPr="006A0C48" w14:paraId="378C54C7" w14:textId="77777777" w:rsidTr="00967EE7">
        <w:trPr>
          <w:trHeight w:val="300"/>
        </w:trPr>
        <w:tc>
          <w:tcPr>
            <w:tcW w:w="846" w:type="dxa"/>
            <w:shd w:val="clear" w:color="auto" w:fill="FFFFFF" w:themeFill="background1"/>
          </w:tcPr>
          <w:p w14:paraId="435726E2" w14:textId="77777777" w:rsidR="00005A3C" w:rsidRPr="006A0C48" w:rsidRDefault="00005A3C" w:rsidP="00BC5121">
            <w:pPr>
              <w:spacing w:before="80" w:after="80"/>
              <w:rPr>
                <w:szCs w:val="22"/>
              </w:rPr>
            </w:pPr>
            <w:r w:rsidRPr="006A0C48">
              <w:rPr>
                <w:szCs w:val="22"/>
              </w:rPr>
              <w:lastRenderedPageBreak/>
              <w:t>12</w:t>
            </w:r>
            <w:r w:rsidRPr="006A0C48">
              <w:rPr>
                <w:b/>
                <w:bCs/>
                <w:szCs w:val="22"/>
                <w:vertAlign w:val="superscript"/>
              </w:rPr>
              <w:t>b</w:t>
            </w:r>
          </w:p>
        </w:tc>
        <w:tc>
          <w:tcPr>
            <w:tcW w:w="3260" w:type="dxa"/>
            <w:shd w:val="clear" w:color="auto" w:fill="FFFFFF" w:themeFill="background1"/>
          </w:tcPr>
          <w:p w14:paraId="017B9408" w14:textId="77777777" w:rsidR="00005A3C" w:rsidRPr="006A0C48" w:rsidRDefault="00005A3C" w:rsidP="006726E6">
            <w:pPr>
              <w:spacing w:before="80" w:after="80"/>
              <w:jc w:val="left"/>
              <w:rPr>
                <w:szCs w:val="22"/>
              </w:rPr>
            </w:pPr>
            <w:r w:rsidRPr="006A0C48">
              <w:rPr>
                <w:szCs w:val="22"/>
              </w:rPr>
              <w:t>12.1 Average share of the built-up area of cities that is green/blue space for public use for all</w:t>
            </w:r>
          </w:p>
        </w:tc>
        <w:tc>
          <w:tcPr>
            <w:tcW w:w="3567" w:type="dxa"/>
            <w:shd w:val="clear" w:color="auto" w:fill="FFFFFF" w:themeFill="background1"/>
          </w:tcPr>
          <w:p w14:paraId="7CEAA7E8" w14:textId="77777777" w:rsidR="00005A3C" w:rsidRPr="006A0C48" w:rsidRDefault="00005A3C" w:rsidP="00BC5121">
            <w:pPr>
              <w:spacing w:before="80" w:after="80"/>
              <w:rPr>
                <w:color w:val="000000" w:themeColor="text1"/>
                <w:szCs w:val="22"/>
              </w:rPr>
            </w:pPr>
            <w:r w:rsidRPr="006A0C48">
              <w:rPr>
                <w:color w:val="000000" w:themeColor="text1"/>
                <w:szCs w:val="22"/>
              </w:rPr>
              <w:t>Recreation and cultural ecosystem services provided</w:t>
            </w:r>
          </w:p>
          <w:p w14:paraId="5138678B" w14:textId="77777777" w:rsidR="00005A3C" w:rsidRPr="006A0C48" w:rsidRDefault="00005A3C" w:rsidP="00BC5121">
            <w:pPr>
              <w:spacing w:before="80" w:after="80"/>
              <w:rPr>
                <w:szCs w:val="22"/>
              </w:rPr>
            </w:pPr>
          </w:p>
        </w:tc>
        <w:tc>
          <w:tcPr>
            <w:tcW w:w="5363" w:type="dxa"/>
            <w:shd w:val="clear" w:color="auto" w:fill="FFFFFF" w:themeFill="background1"/>
          </w:tcPr>
          <w:p w14:paraId="7BE9130A" w14:textId="77777777" w:rsidR="00005A3C" w:rsidRPr="006A0C48" w:rsidRDefault="00005A3C" w:rsidP="00BC5121">
            <w:pPr>
              <w:spacing w:before="80" w:after="80"/>
              <w:rPr>
                <w:szCs w:val="22"/>
              </w:rPr>
            </w:pPr>
          </w:p>
        </w:tc>
      </w:tr>
      <w:tr w:rsidR="00005A3C" w:rsidRPr="006A0C48" w14:paraId="0953B8CE" w14:textId="77777777" w:rsidTr="00967EE7">
        <w:trPr>
          <w:trHeight w:val="300"/>
        </w:trPr>
        <w:tc>
          <w:tcPr>
            <w:tcW w:w="846" w:type="dxa"/>
            <w:shd w:val="clear" w:color="auto" w:fill="FFFFFF" w:themeFill="background1"/>
          </w:tcPr>
          <w:p w14:paraId="1D9D30BC" w14:textId="77777777" w:rsidR="00005A3C" w:rsidRPr="006A0C48" w:rsidRDefault="00005A3C" w:rsidP="00BC5121">
            <w:pPr>
              <w:spacing w:before="80" w:after="80"/>
              <w:rPr>
                <w:szCs w:val="22"/>
              </w:rPr>
            </w:pPr>
            <w:r w:rsidRPr="006A0C48">
              <w:rPr>
                <w:szCs w:val="22"/>
              </w:rPr>
              <w:t>13</w:t>
            </w:r>
            <w:r w:rsidRPr="006A0C48">
              <w:rPr>
                <w:b/>
                <w:bCs/>
                <w:szCs w:val="22"/>
                <w:vertAlign w:val="superscript"/>
              </w:rPr>
              <w:t>b</w:t>
            </w:r>
          </w:p>
        </w:tc>
        <w:tc>
          <w:tcPr>
            <w:tcW w:w="3260" w:type="dxa"/>
            <w:shd w:val="clear" w:color="auto" w:fill="FFFFFF" w:themeFill="background1"/>
          </w:tcPr>
          <w:p w14:paraId="326358FD" w14:textId="77777777" w:rsidR="00005A3C" w:rsidRPr="006A0C48" w:rsidRDefault="00005A3C" w:rsidP="006726E6">
            <w:pPr>
              <w:spacing w:before="40" w:after="40"/>
              <w:jc w:val="left"/>
              <w:rPr>
                <w:szCs w:val="22"/>
              </w:rPr>
            </w:pPr>
            <w:r w:rsidRPr="006A0C48">
              <w:rPr>
                <w:szCs w:val="22"/>
              </w:rPr>
              <w:t xml:space="preserve">C.1 Indicator on monetary benefits received </w:t>
            </w:r>
          </w:p>
          <w:p w14:paraId="2859C0B2" w14:textId="77777777" w:rsidR="00005A3C" w:rsidRPr="006A0C48" w:rsidRDefault="00005A3C" w:rsidP="006726E6">
            <w:pPr>
              <w:spacing w:before="80" w:after="80"/>
              <w:jc w:val="left"/>
              <w:rPr>
                <w:color w:val="000000" w:themeColor="text1"/>
                <w:szCs w:val="22"/>
              </w:rPr>
            </w:pPr>
            <w:r w:rsidRPr="006A0C48">
              <w:rPr>
                <w:szCs w:val="22"/>
              </w:rPr>
              <w:t xml:space="preserve">C.2 Indicator on non-monetary benefits </w:t>
            </w:r>
          </w:p>
        </w:tc>
        <w:tc>
          <w:tcPr>
            <w:tcW w:w="3567" w:type="dxa"/>
            <w:shd w:val="clear" w:color="auto" w:fill="FFFFFF" w:themeFill="background1"/>
          </w:tcPr>
          <w:p w14:paraId="16423DE4" w14:textId="77777777" w:rsidR="00005A3C" w:rsidRPr="006A0C48" w:rsidRDefault="00005A3C" w:rsidP="006726E6">
            <w:pPr>
              <w:spacing w:before="80" w:after="80"/>
              <w:jc w:val="left"/>
              <w:rPr>
                <w:szCs w:val="22"/>
              </w:rPr>
            </w:pPr>
            <w:r w:rsidRPr="006A0C48">
              <w:rPr>
                <w:szCs w:val="22"/>
              </w:rPr>
              <w:t>Number of permits or their equivalents for genetic resources (including those related to traditional knowledge) by type of permit</w:t>
            </w:r>
          </w:p>
        </w:tc>
        <w:tc>
          <w:tcPr>
            <w:tcW w:w="5363" w:type="dxa"/>
            <w:shd w:val="clear" w:color="auto" w:fill="FFFFFF" w:themeFill="background1"/>
          </w:tcPr>
          <w:p w14:paraId="064D0369" w14:textId="77777777" w:rsidR="00005A3C" w:rsidRPr="006A0C48" w:rsidRDefault="00005A3C" w:rsidP="006726E6">
            <w:pPr>
              <w:spacing w:before="80" w:after="80"/>
              <w:jc w:val="left"/>
              <w:rPr>
                <w:szCs w:val="22"/>
              </w:rPr>
            </w:pPr>
            <w:r w:rsidRPr="006A0C48">
              <w:rPr>
                <w:szCs w:val="22"/>
              </w:rPr>
              <w:t>Total number of transfers of crop material from the Multilateral System of the International Treaty on Plant Genetic Resources for Food and Agriculture (ITPGRFA) received in a country</w:t>
            </w:r>
          </w:p>
          <w:p w14:paraId="538893BB" w14:textId="77777777" w:rsidR="00005A3C" w:rsidRPr="006A0C48" w:rsidRDefault="00005A3C" w:rsidP="006726E6">
            <w:pPr>
              <w:spacing w:before="80" w:after="80"/>
              <w:jc w:val="left"/>
              <w:rPr>
                <w:szCs w:val="22"/>
              </w:rPr>
            </w:pPr>
            <w:r w:rsidRPr="006A0C48">
              <w:rPr>
                <w:szCs w:val="22"/>
              </w:rPr>
              <w:t>Total number of permits, or their equivalent, granted for access to genetic resources</w:t>
            </w:r>
          </w:p>
          <w:p w14:paraId="39985CCD" w14:textId="77777777" w:rsidR="00005A3C" w:rsidRPr="006A0C48" w:rsidRDefault="00005A3C" w:rsidP="006726E6">
            <w:pPr>
              <w:spacing w:before="80" w:after="80"/>
              <w:jc w:val="left"/>
              <w:rPr>
                <w:szCs w:val="22"/>
              </w:rPr>
            </w:pPr>
            <w:r w:rsidRPr="006A0C48">
              <w:rPr>
                <w:szCs w:val="22"/>
              </w:rPr>
              <w:t>Total number of internationally recognized certificates of compliance published in the ABS Clearing-House</w:t>
            </w:r>
          </w:p>
          <w:p w14:paraId="252D0595" w14:textId="77777777" w:rsidR="00005A3C" w:rsidRPr="006A0C48" w:rsidRDefault="00005A3C" w:rsidP="006726E6">
            <w:pPr>
              <w:spacing w:before="80" w:after="80"/>
              <w:jc w:val="left"/>
              <w:rPr>
                <w:szCs w:val="22"/>
              </w:rPr>
            </w:pPr>
            <w:r w:rsidRPr="006A0C48">
              <w:rPr>
                <w:szCs w:val="22"/>
              </w:rPr>
              <w:t>Number of countries that require prior informed consent that have published legislative, administrative or policy measures on access and benefit-sharing in the ABS Clearing-House</w:t>
            </w:r>
          </w:p>
          <w:p w14:paraId="4B3BE830" w14:textId="77777777" w:rsidR="00005A3C" w:rsidRPr="006A0C48" w:rsidRDefault="00005A3C" w:rsidP="006726E6">
            <w:pPr>
              <w:spacing w:before="80" w:after="80"/>
              <w:jc w:val="left"/>
              <w:rPr>
                <w:szCs w:val="22"/>
              </w:rPr>
            </w:pPr>
            <w:r w:rsidRPr="006A0C48">
              <w:rPr>
                <w:szCs w:val="22"/>
              </w:rPr>
              <w:t>Number of countries that require prior informed consent that have published information on access and benefit-sharing procedures in the ABS Clearing-House</w:t>
            </w:r>
          </w:p>
          <w:p w14:paraId="54476914" w14:textId="77777777" w:rsidR="00005A3C" w:rsidRPr="006A0C48" w:rsidRDefault="00005A3C" w:rsidP="006726E6">
            <w:pPr>
              <w:spacing w:before="80" w:after="80"/>
              <w:jc w:val="left"/>
              <w:rPr>
                <w:szCs w:val="22"/>
              </w:rPr>
            </w:pPr>
            <w:r w:rsidRPr="006A0C48">
              <w:rPr>
                <w:szCs w:val="22"/>
              </w:rPr>
              <w:t xml:space="preserve">Number of countries that have adopted legislative, administrative and policy frameworks to ensure fair and equitable sharing of benefits </w:t>
            </w:r>
          </w:p>
          <w:p w14:paraId="529716D5" w14:textId="77777777" w:rsidR="00005A3C" w:rsidRPr="006A0C48" w:rsidRDefault="00005A3C" w:rsidP="006726E6">
            <w:pPr>
              <w:spacing w:before="80" w:after="80"/>
              <w:jc w:val="left"/>
              <w:rPr>
                <w:szCs w:val="22"/>
              </w:rPr>
            </w:pPr>
            <w:r w:rsidRPr="006A0C48">
              <w:rPr>
                <w:szCs w:val="22"/>
              </w:rPr>
              <w:t>Estimated percentage of monetary and non-monetary benefits directed towards conservation and sustainable use of biodiversity</w:t>
            </w:r>
          </w:p>
        </w:tc>
      </w:tr>
      <w:tr w:rsidR="00005A3C" w:rsidRPr="006A0C48" w14:paraId="56CC436D" w14:textId="77777777" w:rsidTr="00967EE7">
        <w:trPr>
          <w:trHeight w:val="300"/>
        </w:trPr>
        <w:tc>
          <w:tcPr>
            <w:tcW w:w="846" w:type="dxa"/>
            <w:shd w:val="clear" w:color="auto" w:fill="FFFFFF" w:themeFill="background1"/>
          </w:tcPr>
          <w:p w14:paraId="6BE57EFD" w14:textId="77777777" w:rsidR="00005A3C" w:rsidRPr="006A0C48" w:rsidRDefault="00005A3C" w:rsidP="00BC5121">
            <w:pPr>
              <w:spacing w:before="80" w:after="80"/>
              <w:rPr>
                <w:szCs w:val="22"/>
              </w:rPr>
            </w:pPr>
            <w:r w:rsidRPr="006A0C48">
              <w:rPr>
                <w:szCs w:val="22"/>
              </w:rPr>
              <w:t>14</w:t>
            </w:r>
            <w:r w:rsidRPr="006A0C48">
              <w:rPr>
                <w:b/>
                <w:bCs/>
                <w:szCs w:val="22"/>
                <w:vertAlign w:val="superscript"/>
              </w:rPr>
              <w:t>b</w:t>
            </w:r>
          </w:p>
        </w:tc>
        <w:tc>
          <w:tcPr>
            <w:tcW w:w="3260" w:type="dxa"/>
            <w:shd w:val="clear" w:color="auto" w:fill="FFFFFF" w:themeFill="background1"/>
          </w:tcPr>
          <w:p w14:paraId="5E45AD0A" w14:textId="77777777" w:rsidR="00005A3C" w:rsidRPr="006A0C48" w:rsidRDefault="00005A3C" w:rsidP="00BC5121">
            <w:pPr>
              <w:spacing w:before="80" w:after="80"/>
              <w:rPr>
                <w:color w:val="000000" w:themeColor="text1"/>
                <w:szCs w:val="22"/>
              </w:rPr>
            </w:pPr>
            <w:r w:rsidRPr="006A0C48">
              <w:rPr>
                <w:i/>
                <w:iCs/>
                <w:szCs w:val="22"/>
              </w:rPr>
              <w:t>-</w:t>
            </w:r>
          </w:p>
        </w:tc>
        <w:tc>
          <w:tcPr>
            <w:tcW w:w="3567" w:type="dxa"/>
            <w:shd w:val="clear" w:color="auto" w:fill="FFFFFF" w:themeFill="background1"/>
          </w:tcPr>
          <w:p w14:paraId="320C3FA9" w14:textId="77777777" w:rsidR="00005A3C" w:rsidRPr="006A0C48" w:rsidRDefault="00005A3C" w:rsidP="006726E6">
            <w:pPr>
              <w:spacing w:before="80" w:after="80"/>
              <w:jc w:val="left"/>
              <w:rPr>
                <w:szCs w:val="22"/>
              </w:rPr>
            </w:pPr>
            <w:r w:rsidRPr="006A0C48">
              <w:rPr>
                <w:szCs w:val="22"/>
              </w:rPr>
              <w:t>Number of countries with Implementation of the System of Environmental-Economic Accounting</w:t>
            </w:r>
          </w:p>
        </w:tc>
        <w:tc>
          <w:tcPr>
            <w:tcW w:w="5363" w:type="dxa"/>
            <w:shd w:val="clear" w:color="auto" w:fill="FFFFFF" w:themeFill="background1"/>
          </w:tcPr>
          <w:p w14:paraId="1AF306DF" w14:textId="77777777" w:rsidR="00005A3C" w:rsidRPr="006A0C48" w:rsidRDefault="00005A3C" w:rsidP="00BC5121">
            <w:pPr>
              <w:spacing w:before="80" w:after="80"/>
              <w:rPr>
                <w:szCs w:val="22"/>
              </w:rPr>
            </w:pPr>
            <w:r w:rsidRPr="006A0C48">
              <w:rPr>
                <w:szCs w:val="22"/>
              </w:rPr>
              <w:t>Human Appropriation of Net Primary Production (HANPP)</w:t>
            </w:r>
          </w:p>
          <w:p w14:paraId="785B4FA2" w14:textId="77777777" w:rsidR="00005A3C" w:rsidRPr="006A0C48" w:rsidRDefault="00005A3C" w:rsidP="00BC5121">
            <w:pPr>
              <w:spacing w:before="80" w:after="80"/>
              <w:rPr>
                <w:szCs w:val="22"/>
              </w:rPr>
            </w:pPr>
            <w:r w:rsidRPr="006A0C48">
              <w:rPr>
                <w:szCs w:val="22"/>
              </w:rPr>
              <w:t xml:space="preserve">CO2 emission per unit of value added </w:t>
            </w:r>
          </w:p>
          <w:p w14:paraId="620AE3A6" w14:textId="77777777" w:rsidR="00005A3C" w:rsidRPr="006A0C48" w:rsidRDefault="00005A3C" w:rsidP="00BC5121">
            <w:pPr>
              <w:spacing w:before="80" w:after="80"/>
              <w:rPr>
                <w:szCs w:val="22"/>
              </w:rPr>
            </w:pPr>
            <w:r w:rsidRPr="006A0C48">
              <w:rPr>
                <w:szCs w:val="22"/>
              </w:rPr>
              <w:t xml:space="preserve">Change in water-use efficiency over time </w:t>
            </w:r>
          </w:p>
        </w:tc>
      </w:tr>
      <w:tr w:rsidR="00005A3C" w:rsidRPr="006A0C48" w14:paraId="0CEC490D" w14:textId="77777777" w:rsidTr="00967EE7">
        <w:trPr>
          <w:trHeight w:val="300"/>
        </w:trPr>
        <w:tc>
          <w:tcPr>
            <w:tcW w:w="846" w:type="dxa"/>
            <w:shd w:val="clear" w:color="auto" w:fill="FFFFFF" w:themeFill="background1"/>
          </w:tcPr>
          <w:p w14:paraId="75438A8E" w14:textId="77777777" w:rsidR="00005A3C" w:rsidRPr="006A0C48" w:rsidRDefault="00005A3C" w:rsidP="00BC5121">
            <w:pPr>
              <w:spacing w:before="80" w:after="80"/>
              <w:rPr>
                <w:szCs w:val="22"/>
              </w:rPr>
            </w:pPr>
            <w:r w:rsidRPr="006A0C48">
              <w:rPr>
                <w:szCs w:val="22"/>
              </w:rPr>
              <w:lastRenderedPageBreak/>
              <w:t>15</w:t>
            </w:r>
            <w:r w:rsidRPr="006A0C48">
              <w:rPr>
                <w:b/>
                <w:bCs/>
                <w:szCs w:val="22"/>
                <w:vertAlign w:val="superscript"/>
              </w:rPr>
              <w:t>b</w:t>
            </w:r>
          </w:p>
        </w:tc>
        <w:tc>
          <w:tcPr>
            <w:tcW w:w="3260" w:type="dxa"/>
            <w:shd w:val="clear" w:color="auto" w:fill="FFFFFF" w:themeFill="background1"/>
          </w:tcPr>
          <w:p w14:paraId="3B27613F" w14:textId="77777777" w:rsidR="00005A3C" w:rsidRPr="006A0C48" w:rsidRDefault="00005A3C" w:rsidP="006726E6">
            <w:pPr>
              <w:spacing w:before="80" w:after="80"/>
              <w:jc w:val="left"/>
              <w:rPr>
                <w:color w:val="000000" w:themeColor="text1"/>
                <w:szCs w:val="22"/>
              </w:rPr>
            </w:pPr>
            <w:r w:rsidRPr="006A0C48">
              <w:rPr>
                <w:szCs w:val="22"/>
              </w:rPr>
              <w:t>15.1 Number of companies reporting on disclosures of risks, dependencies and impacts on biodiversity*</w:t>
            </w:r>
          </w:p>
        </w:tc>
        <w:tc>
          <w:tcPr>
            <w:tcW w:w="3567" w:type="dxa"/>
            <w:shd w:val="clear" w:color="auto" w:fill="FFFFFF" w:themeFill="background1"/>
          </w:tcPr>
          <w:p w14:paraId="70CA8ADF" w14:textId="77777777" w:rsidR="00005A3C" w:rsidRPr="006A0C48" w:rsidRDefault="00005A3C" w:rsidP="006726E6">
            <w:pPr>
              <w:spacing w:before="80" w:after="80"/>
              <w:jc w:val="left"/>
              <w:rPr>
                <w:szCs w:val="22"/>
              </w:rPr>
            </w:pPr>
            <w:r w:rsidRPr="006A0C48">
              <w:rPr>
                <w:szCs w:val="22"/>
              </w:rPr>
              <w:t>Indicator based on the Task Force for Nature-related Financial Disclosures</w:t>
            </w:r>
          </w:p>
          <w:p w14:paraId="253E76D0" w14:textId="77777777" w:rsidR="00005A3C" w:rsidRPr="006A0C48" w:rsidRDefault="00005A3C" w:rsidP="006726E6">
            <w:pPr>
              <w:spacing w:before="80" w:after="80"/>
              <w:jc w:val="left"/>
              <w:rPr>
                <w:szCs w:val="22"/>
              </w:rPr>
            </w:pPr>
          </w:p>
        </w:tc>
        <w:tc>
          <w:tcPr>
            <w:tcW w:w="5363" w:type="dxa"/>
            <w:shd w:val="clear" w:color="auto" w:fill="FFFFFF" w:themeFill="background1"/>
          </w:tcPr>
          <w:p w14:paraId="6860CF52" w14:textId="77777777" w:rsidR="00005A3C" w:rsidRPr="006A0C48" w:rsidRDefault="00005A3C" w:rsidP="006726E6">
            <w:pPr>
              <w:spacing w:before="80" w:after="80"/>
              <w:jc w:val="left"/>
              <w:rPr>
                <w:szCs w:val="22"/>
              </w:rPr>
            </w:pPr>
            <w:r w:rsidRPr="006A0C48">
              <w:rPr>
                <w:szCs w:val="22"/>
              </w:rPr>
              <w:t>Species threat abatement and restoration metric</w:t>
            </w:r>
          </w:p>
          <w:p w14:paraId="64FE5ABF" w14:textId="77777777" w:rsidR="00005A3C" w:rsidRPr="006A0C48" w:rsidRDefault="00005A3C" w:rsidP="006726E6">
            <w:pPr>
              <w:spacing w:before="80" w:after="80"/>
              <w:jc w:val="left"/>
              <w:rPr>
                <w:szCs w:val="22"/>
              </w:rPr>
            </w:pPr>
            <w:r w:rsidRPr="006A0C48">
              <w:rPr>
                <w:szCs w:val="22"/>
              </w:rPr>
              <w:t>Number of companies publishing sustainability reports</w:t>
            </w:r>
          </w:p>
        </w:tc>
      </w:tr>
      <w:tr w:rsidR="00005A3C" w:rsidRPr="006A0C48" w14:paraId="338B8460" w14:textId="77777777" w:rsidTr="00967EE7">
        <w:trPr>
          <w:trHeight w:val="300"/>
        </w:trPr>
        <w:tc>
          <w:tcPr>
            <w:tcW w:w="846" w:type="dxa"/>
            <w:shd w:val="clear" w:color="auto" w:fill="FFFFFF" w:themeFill="background1"/>
          </w:tcPr>
          <w:p w14:paraId="5FBB2E45" w14:textId="77777777" w:rsidR="00005A3C" w:rsidRPr="006A0C48" w:rsidRDefault="00005A3C" w:rsidP="00BC5121">
            <w:pPr>
              <w:spacing w:before="80" w:after="80"/>
              <w:rPr>
                <w:szCs w:val="22"/>
              </w:rPr>
            </w:pPr>
            <w:r w:rsidRPr="006A0C48">
              <w:rPr>
                <w:szCs w:val="22"/>
              </w:rPr>
              <w:t>16</w:t>
            </w:r>
            <w:r w:rsidRPr="006A0C48">
              <w:rPr>
                <w:b/>
                <w:bCs/>
                <w:szCs w:val="22"/>
                <w:vertAlign w:val="superscript"/>
              </w:rPr>
              <w:t>b</w:t>
            </w:r>
          </w:p>
        </w:tc>
        <w:tc>
          <w:tcPr>
            <w:tcW w:w="3260" w:type="dxa"/>
            <w:shd w:val="clear" w:color="auto" w:fill="FFFFFF" w:themeFill="background1"/>
          </w:tcPr>
          <w:p w14:paraId="2AEAEFE6" w14:textId="77777777" w:rsidR="00005A3C" w:rsidRPr="006A0C48" w:rsidRDefault="00005A3C" w:rsidP="00BC5121">
            <w:pPr>
              <w:spacing w:before="80" w:after="80"/>
              <w:rPr>
                <w:szCs w:val="22"/>
              </w:rPr>
            </w:pPr>
            <w:r w:rsidRPr="006A0C48">
              <w:rPr>
                <w:szCs w:val="22"/>
              </w:rPr>
              <w:t>-</w:t>
            </w:r>
          </w:p>
        </w:tc>
        <w:tc>
          <w:tcPr>
            <w:tcW w:w="3567" w:type="dxa"/>
            <w:shd w:val="clear" w:color="auto" w:fill="FFFFFF" w:themeFill="background1"/>
          </w:tcPr>
          <w:p w14:paraId="12021470" w14:textId="77777777" w:rsidR="00005A3C" w:rsidRPr="006A0C48" w:rsidRDefault="00005A3C" w:rsidP="006726E6">
            <w:pPr>
              <w:spacing w:before="80" w:after="80"/>
              <w:jc w:val="left"/>
              <w:rPr>
                <w:color w:val="000000" w:themeColor="text1"/>
                <w:szCs w:val="22"/>
              </w:rPr>
            </w:pPr>
            <w:r w:rsidRPr="006A0C48">
              <w:rPr>
                <w:color w:val="000000" w:themeColor="text1"/>
                <w:szCs w:val="22"/>
              </w:rPr>
              <w:t>Food waste Index</w:t>
            </w:r>
          </w:p>
          <w:p w14:paraId="74D6C3E8" w14:textId="77777777" w:rsidR="00005A3C" w:rsidRPr="006A0C48" w:rsidRDefault="00005A3C" w:rsidP="006726E6">
            <w:pPr>
              <w:spacing w:before="80" w:after="80"/>
              <w:jc w:val="left"/>
              <w:rPr>
                <w:color w:val="000000" w:themeColor="text1"/>
                <w:szCs w:val="22"/>
              </w:rPr>
            </w:pPr>
            <w:r w:rsidRPr="006A0C48">
              <w:rPr>
                <w:color w:val="000000" w:themeColor="text1"/>
                <w:szCs w:val="22"/>
              </w:rPr>
              <w:t xml:space="preserve">Material footprint per capita </w:t>
            </w:r>
          </w:p>
          <w:p w14:paraId="6E269676" w14:textId="77777777" w:rsidR="00005A3C" w:rsidRPr="006A0C48" w:rsidRDefault="00005A3C" w:rsidP="006726E6">
            <w:pPr>
              <w:spacing w:before="80" w:after="80"/>
              <w:jc w:val="left"/>
              <w:rPr>
                <w:color w:val="000000" w:themeColor="text1"/>
                <w:szCs w:val="22"/>
              </w:rPr>
            </w:pPr>
            <w:r w:rsidRPr="006A0C48">
              <w:rPr>
                <w:color w:val="000000" w:themeColor="text1"/>
                <w:szCs w:val="22"/>
              </w:rPr>
              <w:t>Global environmental impacts of consumption</w:t>
            </w:r>
          </w:p>
          <w:p w14:paraId="59671E62" w14:textId="77777777" w:rsidR="00005A3C" w:rsidRPr="006A0C48" w:rsidRDefault="00005A3C" w:rsidP="006726E6">
            <w:pPr>
              <w:spacing w:before="80" w:after="80"/>
              <w:jc w:val="left"/>
              <w:rPr>
                <w:color w:val="000000" w:themeColor="text1"/>
                <w:szCs w:val="22"/>
              </w:rPr>
            </w:pPr>
            <w:r w:rsidRPr="006A0C48">
              <w:rPr>
                <w:color w:val="000000" w:themeColor="text1"/>
                <w:szCs w:val="22"/>
              </w:rPr>
              <w:t>Ecological footprint</w:t>
            </w:r>
          </w:p>
        </w:tc>
        <w:tc>
          <w:tcPr>
            <w:tcW w:w="5363" w:type="dxa"/>
            <w:shd w:val="clear" w:color="auto" w:fill="FFFFFF" w:themeFill="background1"/>
          </w:tcPr>
          <w:p w14:paraId="640576A2" w14:textId="77777777" w:rsidR="00005A3C" w:rsidRPr="006A0C48" w:rsidRDefault="00005A3C" w:rsidP="006726E6">
            <w:pPr>
              <w:spacing w:before="80" w:after="80"/>
              <w:jc w:val="left"/>
              <w:rPr>
                <w:szCs w:val="22"/>
              </w:rPr>
            </w:pPr>
            <w:r w:rsidRPr="006A0C48">
              <w:rPr>
                <w:szCs w:val="22"/>
              </w:rPr>
              <w:t xml:space="preserve">Extent to which (a) global citizenship education and (b) education for sustainable development, including gender equality and human rights, are mainstreamed at all levels in: (i) national education policies; (ii) curricula; (iii) teacher education; and (iv) student assessments </w:t>
            </w:r>
          </w:p>
          <w:p w14:paraId="40A5074F" w14:textId="77777777" w:rsidR="00005A3C" w:rsidRPr="006A0C48" w:rsidRDefault="00005A3C" w:rsidP="00BC5121">
            <w:pPr>
              <w:spacing w:before="80" w:after="80"/>
              <w:rPr>
                <w:szCs w:val="22"/>
              </w:rPr>
            </w:pPr>
            <w:r w:rsidRPr="006A0C48">
              <w:rPr>
                <w:szCs w:val="22"/>
              </w:rPr>
              <w:t>Recycling rate</w:t>
            </w:r>
          </w:p>
          <w:p w14:paraId="16162F1A" w14:textId="77777777" w:rsidR="00005A3C" w:rsidRPr="006A0C48" w:rsidRDefault="00005A3C" w:rsidP="006726E6">
            <w:pPr>
              <w:jc w:val="left"/>
              <w:rPr>
                <w:szCs w:val="22"/>
              </w:rPr>
            </w:pPr>
            <w:r w:rsidRPr="006A0C48">
              <w:rPr>
                <w:szCs w:val="22"/>
                <w:lang w:val="en-US"/>
              </w:rPr>
              <w:t>Life cycle Impact assessment (LCIA) e.g.  LIME; Life-cycle impact assessment method based on endpoint modelling</w:t>
            </w:r>
          </w:p>
          <w:p w14:paraId="6C19C445" w14:textId="77777777" w:rsidR="00005A3C" w:rsidRPr="006A0C48" w:rsidRDefault="00005A3C" w:rsidP="006726E6">
            <w:pPr>
              <w:spacing w:before="80" w:after="80"/>
              <w:jc w:val="left"/>
              <w:rPr>
                <w:szCs w:val="22"/>
              </w:rPr>
            </w:pPr>
            <w:r w:rsidRPr="006A0C48">
              <w:rPr>
                <w:szCs w:val="22"/>
              </w:rPr>
              <w:t>Levels of poverty in developing communities</w:t>
            </w:r>
          </w:p>
        </w:tc>
      </w:tr>
      <w:tr w:rsidR="00005A3C" w:rsidRPr="006A0C48" w14:paraId="38FBC476" w14:textId="77777777" w:rsidTr="00967EE7">
        <w:trPr>
          <w:trHeight w:val="300"/>
        </w:trPr>
        <w:tc>
          <w:tcPr>
            <w:tcW w:w="846" w:type="dxa"/>
            <w:shd w:val="clear" w:color="auto" w:fill="FFFFFF" w:themeFill="background1"/>
          </w:tcPr>
          <w:p w14:paraId="0A6233B7" w14:textId="77777777" w:rsidR="00005A3C" w:rsidRPr="006A0C48" w:rsidRDefault="00005A3C" w:rsidP="00BC5121">
            <w:pPr>
              <w:spacing w:before="80" w:after="80"/>
              <w:rPr>
                <w:szCs w:val="22"/>
              </w:rPr>
            </w:pPr>
            <w:r w:rsidRPr="006A0C48">
              <w:rPr>
                <w:szCs w:val="22"/>
              </w:rPr>
              <w:t>17</w:t>
            </w:r>
            <w:r w:rsidRPr="006A0C48">
              <w:rPr>
                <w:b/>
                <w:bCs/>
                <w:szCs w:val="22"/>
                <w:vertAlign w:val="superscript"/>
              </w:rPr>
              <w:t>b</w:t>
            </w:r>
          </w:p>
        </w:tc>
        <w:tc>
          <w:tcPr>
            <w:tcW w:w="3260" w:type="dxa"/>
            <w:shd w:val="clear" w:color="auto" w:fill="FFFFFF" w:themeFill="background1"/>
          </w:tcPr>
          <w:p w14:paraId="7466A8FA" w14:textId="77777777" w:rsidR="00005A3C" w:rsidRPr="006A0C48" w:rsidRDefault="00005A3C" w:rsidP="00BC5121">
            <w:pPr>
              <w:spacing w:before="80" w:after="80"/>
              <w:rPr>
                <w:color w:val="000000" w:themeColor="text1"/>
                <w:szCs w:val="22"/>
              </w:rPr>
            </w:pPr>
            <w:r w:rsidRPr="006A0C48">
              <w:rPr>
                <w:i/>
                <w:iCs/>
                <w:color w:val="000000"/>
                <w:szCs w:val="22"/>
              </w:rPr>
              <w:t>-</w:t>
            </w:r>
          </w:p>
        </w:tc>
        <w:tc>
          <w:tcPr>
            <w:tcW w:w="3567" w:type="dxa"/>
            <w:shd w:val="clear" w:color="auto" w:fill="FFFFFF" w:themeFill="background1"/>
          </w:tcPr>
          <w:p w14:paraId="216D7330" w14:textId="77777777" w:rsidR="00005A3C" w:rsidRPr="006A0C48" w:rsidRDefault="00005A3C" w:rsidP="00BC5121">
            <w:pPr>
              <w:spacing w:before="80" w:after="80"/>
              <w:rPr>
                <w:szCs w:val="22"/>
              </w:rPr>
            </w:pPr>
          </w:p>
        </w:tc>
        <w:tc>
          <w:tcPr>
            <w:tcW w:w="5363" w:type="dxa"/>
            <w:shd w:val="clear" w:color="auto" w:fill="FFFFFF" w:themeFill="background1"/>
          </w:tcPr>
          <w:p w14:paraId="7EE8AF5B" w14:textId="77777777" w:rsidR="00005A3C" w:rsidRPr="006A0C48" w:rsidRDefault="00005A3C" w:rsidP="006726E6">
            <w:pPr>
              <w:spacing w:before="80" w:after="80"/>
              <w:jc w:val="left"/>
              <w:rPr>
                <w:szCs w:val="22"/>
              </w:rPr>
            </w:pPr>
            <w:r w:rsidRPr="006A0C48">
              <w:rPr>
                <w:szCs w:val="22"/>
              </w:rPr>
              <w:t>Number of countries that have the necessary biosafety legal and administrative measures in place</w:t>
            </w:r>
          </w:p>
          <w:p w14:paraId="3F9C3BBB" w14:textId="77777777" w:rsidR="00005A3C" w:rsidRPr="006A0C48" w:rsidRDefault="00005A3C" w:rsidP="006726E6">
            <w:pPr>
              <w:spacing w:before="80" w:after="80"/>
              <w:jc w:val="left"/>
              <w:rPr>
                <w:szCs w:val="22"/>
              </w:rPr>
            </w:pPr>
            <w:r w:rsidRPr="006A0C48">
              <w:rPr>
                <w:szCs w:val="22"/>
              </w:rPr>
              <w:t>Number of countries that implement their biosafety measures</w:t>
            </w:r>
          </w:p>
          <w:p w14:paraId="67AC5092" w14:textId="77777777" w:rsidR="00005A3C" w:rsidRPr="006A0C48" w:rsidRDefault="00005A3C" w:rsidP="006726E6">
            <w:pPr>
              <w:spacing w:before="80" w:after="80"/>
              <w:jc w:val="left"/>
              <w:rPr>
                <w:szCs w:val="22"/>
              </w:rPr>
            </w:pPr>
            <w:r w:rsidRPr="006A0C48">
              <w:rPr>
                <w:szCs w:val="22"/>
              </w:rPr>
              <w:t>Number of countries that have the necessary measures and means for detection and identification of products of biotechnology</w:t>
            </w:r>
          </w:p>
          <w:p w14:paraId="589BD07F" w14:textId="77777777" w:rsidR="00005A3C" w:rsidRPr="006A0C48" w:rsidRDefault="00005A3C" w:rsidP="006726E6">
            <w:pPr>
              <w:spacing w:before="80" w:after="80"/>
              <w:jc w:val="left"/>
              <w:rPr>
                <w:szCs w:val="22"/>
              </w:rPr>
            </w:pPr>
            <w:r w:rsidRPr="006A0C48">
              <w:rPr>
                <w:szCs w:val="22"/>
              </w:rPr>
              <w:t>Number of countries that carry out scientifically sound risk assessments to support biosafety decision-making</w:t>
            </w:r>
          </w:p>
          <w:p w14:paraId="6C9A81B5" w14:textId="77777777" w:rsidR="00005A3C" w:rsidRPr="006A0C48" w:rsidRDefault="00005A3C" w:rsidP="006726E6">
            <w:pPr>
              <w:spacing w:before="80" w:after="80"/>
              <w:jc w:val="left"/>
              <w:rPr>
                <w:szCs w:val="22"/>
              </w:rPr>
            </w:pPr>
            <w:r w:rsidRPr="006A0C48">
              <w:rPr>
                <w:szCs w:val="22"/>
              </w:rPr>
              <w:t>Number of countries that establish and implement risk management measures</w:t>
            </w:r>
          </w:p>
          <w:p w14:paraId="7E6EFA55" w14:textId="77777777" w:rsidR="00005A3C" w:rsidRPr="006A0C48" w:rsidRDefault="00005A3C" w:rsidP="006726E6">
            <w:pPr>
              <w:spacing w:before="80" w:after="80"/>
              <w:jc w:val="left"/>
              <w:rPr>
                <w:szCs w:val="22"/>
              </w:rPr>
            </w:pPr>
            <w:r w:rsidRPr="006A0C48">
              <w:rPr>
                <w:szCs w:val="22"/>
              </w:rPr>
              <w:t>Percentage of Parties to the Cartagena Protocol on Biosafety implementing the relevant provisions of the Protocol</w:t>
            </w:r>
          </w:p>
          <w:p w14:paraId="02867935" w14:textId="77777777" w:rsidR="00005A3C" w:rsidRPr="006A0C48" w:rsidRDefault="00005A3C" w:rsidP="006726E6">
            <w:pPr>
              <w:spacing w:before="80" w:after="80"/>
              <w:jc w:val="left"/>
              <w:rPr>
                <w:szCs w:val="22"/>
              </w:rPr>
            </w:pPr>
            <w:r w:rsidRPr="006A0C48">
              <w:rPr>
                <w:szCs w:val="22"/>
              </w:rPr>
              <w:lastRenderedPageBreak/>
              <w:t>Number of countries with legal and technical measures for restoration and compensation</w:t>
            </w:r>
          </w:p>
          <w:p w14:paraId="7BE49023" w14:textId="77777777" w:rsidR="00005A3C" w:rsidRPr="006A0C48" w:rsidRDefault="00005A3C" w:rsidP="006726E6">
            <w:pPr>
              <w:spacing w:before="80" w:after="80"/>
              <w:jc w:val="left"/>
              <w:rPr>
                <w:szCs w:val="22"/>
              </w:rPr>
            </w:pPr>
            <w:r w:rsidRPr="006A0C48">
              <w:rPr>
                <w:szCs w:val="22"/>
              </w:rPr>
              <w:t>Percentage of Parties to the Nagoya – Kuala Lumpur Supplementary Protocol on Liability and Redress</w:t>
            </w:r>
          </w:p>
          <w:p w14:paraId="0A7A7D2A" w14:textId="77777777" w:rsidR="00005A3C" w:rsidRPr="006A0C48" w:rsidRDefault="00005A3C" w:rsidP="006726E6">
            <w:pPr>
              <w:spacing w:before="80" w:after="80"/>
              <w:jc w:val="left"/>
              <w:rPr>
                <w:szCs w:val="22"/>
              </w:rPr>
            </w:pPr>
            <w:r w:rsidRPr="006A0C48">
              <w:rPr>
                <w:szCs w:val="22"/>
              </w:rPr>
              <w:t>Percentage of countries with systems in place for restoration and compensation of damage to conservation and sustainable use of biological diversity</w:t>
            </w:r>
          </w:p>
          <w:p w14:paraId="182074C6" w14:textId="77777777" w:rsidR="00005A3C" w:rsidRPr="006A0C48" w:rsidRDefault="00005A3C" w:rsidP="006726E6">
            <w:pPr>
              <w:spacing w:before="80" w:after="80"/>
              <w:jc w:val="left"/>
              <w:rPr>
                <w:szCs w:val="22"/>
              </w:rPr>
            </w:pPr>
            <w:r w:rsidRPr="006A0C48">
              <w:rPr>
                <w:szCs w:val="22"/>
              </w:rPr>
              <w:t>Number of countries that establish and implement risk management measures</w:t>
            </w:r>
          </w:p>
          <w:p w14:paraId="302C9278" w14:textId="77777777" w:rsidR="00005A3C" w:rsidRPr="006A0C48" w:rsidRDefault="00005A3C" w:rsidP="006726E6">
            <w:pPr>
              <w:spacing w:before="80" w:after="80"/>
              <w:jc w:val="left"/>
              <w:rPr>
                <w:szCs w:val="22"/>
              </w:rPr>
            </w:pPr>
            <w:r w:rsidRPr="006A0C48">
              <w:rPr>
                <w:szCs w:val="22"/>
              </w:rPr>
              <w:t>Number of countries with mechanisms to facilitate the sharing of and access to information on potential adverse impacts of biotechnology on biodiversity and human health</w:t>
            </w:r>
          </w:p>
        </w:tc>
      </w:tr>
      <w:tr w:rsidR="00005A3C" w:rsidRPr="006A0C48" w14:paraId="282ED155" w14:textId="77777777" w:rsidTr="00967EE7">
        <w:trPr>
          <w:trHeight w:val="300"/>
        </w:trPr>
        <w:tc>
          <w:tcPr>
            <w:tcW w:w="846" w:type="dxa"/>
            <w:shd w:val="clear" w:color="auto" w:fill="FFFFFF" w:themeFill="background1"/>
          </w:tcPr>
          <w:p w14:paraId="2DACA58E" w14:textId="77777777" w:rsidR="00005A3C" w:rsidRPr="006A0C48" w:rsidRDefault="00005A3C" w:rsidP="00BC5121">
            <w:pPr>
              <w:spacing w:before="80" w:after="80"/>
              <w:rPr>
                <w:szCs w:val="22"/>
              </w:rPr>
            </w:pPr>
            <w:r w:rsidRPr="006A0C48">
              <w:rPr>
                <w:szCs w:val="22"/>
              </w:rPr>
              <w:lastRenderedPageBreak/>
              <w:t>18</w:t>
            </w:r>
          </w:p>
        </w:tc>
        <w:tc>
          <w:tcPr>
            <w:tcW w:w="3260" w:type="dxa"/>
            <w:shd w:val="clear" w:color="auto" w:fill="FFFFFF" w:themeFill="background1"/>
          </w:tcPr>
          <w:p w14:paraId="53580563" w14:textId="77777777" w:rsidR="00005A3C" w:rsidRPr="006A0C48" w:rsidRDefault="00005A3C" w:rsidP="006726E6">
            <w:pPr>
              <w:spacing w:before="40" w:after="40"/>
              <w:jc w:val="left"/>
              <w:rPr>
                <w:color w:val="000000"/>
                <w:szCs w:val="22"/>
              </w:rPr>
            </w:pPr>
            <w:r w:rsidRPr="006A0C48">
              <w:rPr>
                <w:color w:val="000000"/>
                <w:szCs w:val="22"/>
              </w:rPr>
              <w:t>18.1 Positive incentives in place to promote biodiversity conservation and sustainable use</w:t>
            </w:r>
          </w:p>
          <w:p w14:paraId="72D387C5" w14:textId="77777777" w:rsidR="00005A3C" w:rsidRPr="006A0C48" w:rsidRDefault="00005A3C" w:rsidP="006726E6">
            <w:pPr>
              <w:spacing w:before="80" w:after="80"/>
              <w:jc w:val="left"/>
              <w:rPr>
                <w:szCs w:val="22"/>
              </w:rPr>
            </w:pPr>
            <w:r w:rsidRPr="006A0C48">
              <w:rPr>
                <w:szCs w:val="22"/>
              </w:rPr>
              <w:t>18.2 Value of subsidies and other incentives harmful to biodiversity that have been eliminated, phased our or reformed</w:t>
            </w:r>
          </w:p>
        </w:tc>
        <w:tc>
          <w:tcPr>
            <w:tcW w:w="3567" w:type="dxa"/>
            <w:shd w:val="clear" w:color="auto" w:fill="FFFFFF" w:themeFill="background1"/>
          </w:tcPr>
          <w:p w14:paraId="380C847B" w14:textId="77777777" w:rsidR="00005A3C" w:rsidRPr="006A0C48" w:rsidRDefault="00005A3C" w:rsidP="006726E6">
            <w:pPr>
              <w:spacing w:before="80" w:after="80"/>
              <w:jc w:val="left"/>
              <w:rPr>
                <w:szCs w:val="22"/>
              </w:rPr>
            </w:pPr>
            <w:r w:rsidRPr="006A0C48">
              <w:rPr>
                <w:szCs w:val="22"/>
              </w:rPr>
              <w:t>Value of subsidies and other incentives harmful to biodiversity, that are redirected, repurposed or eliminated</w:t>
            </w:r>
          </w:p>
        </w:tc>
        <w:tc>
          <w:tcPr>
            <w:tcW w:w="5363" w:type="dxa"/>
            <w:shd w:val="clear" w:color="auto" w:fill="FFFFFF" w:themeFill="background1"/>
          </w:tcPr>
          <w:p w14:paraId="53433C86" w14:textId="77777777" w:rsidR="00005A3C" w:rsidRPr="006A0C48" w:rsidRDefault="00005A3C" w:rsidP="006726E6">
            <w:pPr>
              <w:spacing w:before="80" w:after="80"/>
              <w:jc w:val="left"/>
              <w:rPr>
                <w:szCs w:val="22"/>
              </w:rPr>
            </w:pPr>
            <w:r w:rsidRPr="006A0C48">
              <w:rPr>
                <w:szCs w:val="22"/>
              </w:rPr>
              <w:t>Number of countries with biodiversity-relevant taxes</w:t>
            </w:r>
          </w:p>
          <w:p w14:paraId="5575B25A" w14:textId="77777777" w:rsidR="00005A3C" w:rsidRPr="006A0C48" w:rsidRDefault="00005A3C" w:rsidP="006726E6">
            <w:pPr>
              <w:spacing w:before="80" w:after="80"/>
              <w:jc w:val="left"/>
              <w:rPr>
                <w:szCs w:val="22"/>
              </w:rPr>
            </w:pPr>
            <w:r w:rsidRPr="006A0C48">
              <w:rPr>
                <w:szCs w:val="22"/>
              </w:rPr>
              <w:t>Number of countries with biodiversity-relevant charges and fees</w:t>
            </w:r>
          </w:p>
          <w:p w14:paraId="1F480016" w14:textId="77777777" w:rsidR="00005A3C" w:rsidRPr="006A0C48" w:rsidRDefault="00005A3C" w:rsidP="006726E6">
            <w:pPr>
              <w:spacing w:before="80" w:after="80"/>
              <w:jc w:val="left"/>
              <w:rPr>
                <w:szCs w:val="22"/>
              </w:rPr>
            </w:pPr>
            <w:r w:rsidRPr="006A0C48">
              <w:rPr>
                <w:szCs w:val="22"/>
              </w:rPr>
              <w:t>Number of countries with biodiversity-relevant tradable permit schemes</w:t>
            </w:r>
          </w:p>
          <w:p w14:paraId="28381A38" w14:textId="77777777" w:rsidR="00005A3C" w:rsidRPr="006A0C48" w:rsidRDefault="00005A3C" w:rsidP="006726E6">
            <w:pPr>
              <w:spacing w:before="80" w:after="80"/>
              <w:jc w:val="left"/>
              <w:rPr>
                <w:szCs w:val="22"/>
              </w:rPr>
            </w:pPr>
            <w:r w:rsidRPr="006A0C48">
              <w:rPr>
                <w:szCs w:val="22"/>
              </w:rPr>
              <w:t>Trends in potentially environmentally harmful elements of government support to agriculture (producer support estimate)</w:t>
            </w:r>
          </w:p>
          <w:p w14:paraId="0B52A21A" w14:textId="77777777" w:rsidR="00005A3C" w:rsidRPr="006A0C48" w:rsidRDefault="00005A3C" w:rsidP="006726E6">
            <w:pPr>
              <w:spacing w:before="80" w:after="80"/>
              <w:jc w:val="left"/>
              <w:rPr>
                <w:szCs w:val="22"/>
              </w:rPr>
            </w:pPr>
            <w:r w:rsidRPr="006A0C48">
              <w:rPr>
                <w:szCs w:val="22"/>
              </w:rPr>
              <w:t>Trends in the number and value of government fossil fuel support measures</w:t>
            </w:r>
          </w:p>
          <w:p w14:paraId="7C21650E" w14:textId="77777777" w:rsidR="00005A3C" w:rsidRPr="006A0C48" w:rsidRDefault="00005A3C" w:rsidP="006726E6">
            <w:pPr>
              <w:spacing w:before="80" w:after="80"/>
              <w:jc w:val="left"/>
              <w:rPr>
                <w:szCs w:val="22"/>
              </w:rPr>
            </w:pPr>
            <w:r w:rsidRPr="006A0C48">
              <w:rPr>
                <w:szCs w:val="22"/>
              </w:rPr>
              <w:t xml:space="preserve">Amount of fossil-fuel subsidies per unit of gross domestic product (production and consumption) </w:t>
            </w:r>
          </w:p>
        </w:tc>
      </w:tr>
      <w:tr w:rsidR="00005A3C" w:rsidRPr="006A0C48" w14:paraId="31057BF2" w14:textId="77777777" w:rsidTr="00967EE7">
        <w:trPr>
          <w:trHeight w:val="300"/>
        </w:trPr>
        <w:tc>
          <w:tcPr>
            <w:tcW w:w="846" w:type="dxa"/>
            <w:shd w:val="clear" w:color="auto" w:fill="FFFFFF" w:themeFill="background1"/>
          </w:tcPr>
          <w:p w14:paraId="27217E7A" w14:textId="77777777" w:rsidR="00005A3C" w:rsidRPr="006A0C48" w:rsidRDefault="00005A3C" w:rsidP="00BC5121">
            <w:pPr>
              <w:spacing w:before="80" w:after="80"/>
              <w:rPr>
                <w:szCs w:val="22"/>
              </w:rPr>
            </w:pPr>
            <w:r w:rsidRPr="006A0C48">
              <w:rPr>
                <w:szCs w:val="22"/>
              </w:rPr>
              <w:t>19</w:t>
            </w:r>
          </w:p>
        </w:tc>
        <w:tc>
          <w:tcPr>
            <w:tcW w:w="3260" w:type="dxa"/>
            <w:shd w:val="clear" w:color="auto" w:fill="FFFFFF" w:themeFill="background1"/>
          </w:tcPr>
          <w:p w14:paraId="4AFDC491" w14:textId="77777777" w:rsidR="00005A3C" w:rsidRPr="006A0C48" w:rsidRDefault="00005A3C" w:rsidP="006726E6">
            <w:pPr>
              <w:spacing w:before="40" w:after="40"/>
              <w:jc w:val="left"/>
              <w:rPr>
                <w:rFonts w:eastAsia="DengXian"/>
                <w:szCs w:val="22"/>
              </w:rPr>
            </w:pPr>
            <w:r w:rsidRPr="006A0C48">
              <w:rPr>
                <w:rFonts w:eastAsia="DengXian"/>
                <w:szCs w:val="22"/>
              </w:rPr>
              <w:t xml:space="preserve">D.1 International public funding, including official development assistance (ODA) for conservation and sustainable use of biodiversity and ecosystems </w:t>
            </w:r>
          </w:p>
          <w:p w14:paraId="046ADC00" w14:textId="77777777" w:rsidR="00005A3C" w:rsidRPr="006A0C48" w:rsidRDefault="00005A3C" w:rsidP="006726E6">
            <w:pPr>
              <w:spacing w:before="40" w:after="40"/>
              <w:jc w:val="left"/>
              <w:rPr>
                <w:rFonts w:eastAsia="DengXian"/>
                <w:szCs w:val="22"/>
              </w:rPr>
            </w:pPr>
            <w:r w:rsidRPr="006A0C48">
              <w:rPr>
                <w:rFonts w:eastAsia="DengXian"/>
                <w:szCs w:val="22"/>
              </w:rPr>
              <w:lastRenderedPageBreak/>
              <w:t xml:space="preserve">D.2 Domestic public funding on conservation and sustainable use of biodiversity and ecosystems </w:t>
            </w:r>
          </w:p>
          <w:p w14:paraId="1286A001" w14:textId="77777777" w:rsidR="00005A3C" w:rsidRPr="006A0C48" w:rsidRDefault="00005A3C" w:rsidP="006726E6">
            <w:pPr>
              <w:spacing w:before="80" w:after="80"/>
              <w:jc w:val="left"/>
              <w:rPr>
                <w:szCs w:val="22"/>
              </w:rPr>
            </w:pPr>
            <w:r w:rsidRPr="006A0C48">
              <w:rPr>
                <w:rFonts w:eastAsia="DengXian"/>
                <w:szCs w:val="22"/>
              </w:rPr>
              <w:t>D.3 Private funding (domestic and international) on conservation and sustainable use of biodiversity and ecosystems*</w:t>
            </w:r>
          </w:p>
        </w:tc>
        <w:tc>
          <w:tcPr>
            <w:tcW w:w="3567" w:type="dxa"/>
            <w:shd w:val="clear" w:color="auto" w:fill="FFFFFF" w:themeFill="background1"/>
          </w:tcPr>
          <w:p w14:paraId="51B4FC16" w14:textId="77777777" w:rsidR="00005A3C" w:rsidRPr="006A0C48" w:rsidRDefault="00005A3C" w:rsidP="00BC5121">
            <w:pPr>
              <w:spacing w:before="80" w:after="80"/>
              <w:rPr>
                <w:szCs w:val="22"/>
              </w:rPr>
            </w:pPr>
          </w:p>
        </w:tc>
        <w:tc>
          <w:tcPr>
            <w:tcW w:w="5363" w:type="dxa"/>
            <w:shd w:val="clear" w:color="auto" w:fill="FFFFFF" w:themeFill="background1"/>
          </w:tcPr>
          <w:p w14:paraId="2737BAE6" w14:textId="77777777" w:rsidR="00005A3C" w:rsidRPr="006A0C48" w:rsidRDefault="00005A3C" w:rsidP="006726E6">
            <w:pPr>
              <w:spacing w:before="80" w:after="80"/>
              <w:jc w:val="left"/>
              <w:rPr>
                <w:szCs w:val="22"/>
              </w:rPr>
            </w:pPr>
            <w:r w:rsidRPr="006A0C48">
              <w:rPr>
                <w:szCs w:val="22"/>
              </w:rPr>
              <w:t xml:space="preserve">Amount of funding provided through the Global Environment Facility and allocated to the biodiversity focal area </w:t>
            </w:r>
          </w:p>
          <w:p w14:paraId="2009DA68" w14:textId="77777777" w:rsidR="00005A3C" w:rsidRPr="006A0C48" w:rsidRDefault="00005A3C" w:rsidP="006726E6">
            <w:pPr>
              <w:spacing w:before="80" w:after="80"/>
              <w:jc w:val="left"/>
              <w:rPr>
                <w:szCs w:val="22"/>
              </w:rPr>
            </w:pPr>
            <w:r w:rsidRPr="006A0C48">
              <w:rPr>
                <w:szCs w:val="22"/>
              </w:rPr>
              <w:lastRenderedPageBreak/>
              <w:t xml:space="preserve">Foreign direct investment, official development assistance and South-South cooperation </w:t>
            </w:r>
          </w:p>
          <w:p w14:paraId="350C7AE2" w14:textId="77777777" w:rsidR="00005A3C" w:rsidRPr="006A0C48" w:rsidRDefault="00005A3C" w:rsidP="006726E6">
            <w:pPr>
              <w:spacing w:before="80" w:after="80"/>
              <w:jc w:val="left"/>
              <w:rPr>
                <w:szCs w:val="22"/>
              </w:rPr>
            </w:pPr>
            <w:r w:rsidRPr="006A0C48">
              <w:rPr>
                <w:szCs w:val="22"/>
              </w:rPr>
              <w:t>Amount and composition of biodiversity-related finance reported to the OECD Creditor reporting system</w:t>
            </w:r>
          </w:p>
          <w:p w14:paraId="3AD3054C" w14:textId="77777777" w:rsidR="00005A3C" w:rsidRPr="006A0C48" w:rsidRDefault="00005A3C" w:rsidP="006726E6">
            <w:pPr>
              <w:spacing w:before="80" w:after="80"/>
              <w:jc w:val="left"/>
              <w:rPr>
                <w:szCs w:val="22"/>
              </w:rPr>
            </w:pPr>
            <w:r w:rsidRPr="006A0C48">
              <w:rPr>
                <w:szCs w:val="22"/>
              </w:rPr>
              <w:t xml:space="preserve">Dollar value of financial and technical assistance (including through North-South, South-South and triangular cooperation) committed to developing countries </w:t>
            </w:r>
          </w:p>
          <w:p w14:paraId="4C7EFC3E" w14:textId="77777777" w:rsidR="00005A3C" w:rsidRPr="006A0C48" w:rsidRDefault="00005A3C" w:rsidP="006726E6">
            <w:pPr>
              <w:spacing w:before="80" w:after="80"/>
              <w:jc w:val="left"/>
              <w:rPr>
                <w:szCs w:val="22"/>
              </w:rPr>
            </w:pPr>
            <w:r w:rsidRPr="006A0C48">
              <w:rPr>
                <w:szCs w:val="22"/>
              </w:rPr>
              <w:t xml:space="preserve">Dollar value of all resources made available to strengthen statistical capacity in developing countries </w:t>
            </w:r>
          </w:p>
          <w:p w14:paraId="3E9FA2E0" w14:textId="77777777" w:rsidR="00005A3C" w:rsidRPr="006A0C48" w:rsidRDefault="00005A3C" w:rsidP="006726E6">
            <w:pPr>
              <w:spacing w:before="80" w:after="80"/>
              <w:jc w:val="left"/>
              <w:rPr>
                <w:szCs w:val="22"/>
              </w:rPr>
            </w:pPr>
            <w:r w:rsidRPr="006A0C48">
              <w:rPr>
                <w:szCs w:val="22"/>
              </w:rPr>
              <w:t>Amount of biodiversity-related philanthropic funding</w:t>
            </w:r>
          </w:p>
          <w:p w14:paraId="0D3848BD" w14:textId="77777777" w:rsidR="00005A3C" w:rsidRPr="006A0C48" w:rsidRDefault="00005A3C" w:rsidP="006726E6">
            <w:pPr>
              <w:spacing w:before="80" w:after="80"/>
              <w:jc w:val="left"/>
              <w:rPr>
                <w:szCs w:val="22"/>
              </w:rPr>
            </w:pPr>
            <w:r w:rsidRPr="006A0C48">
              <w:rPr>
                <w:szCs w:val="22"/>
              </w:rPr>
              <w:t>Proportion of total research budget allocated to research in the field of marine technology</w:t>
            </w:r>
          </w:p>
          <w:p w14:paraId="434B3A93" w14:textId="77777777" w:rsidR="00005A3C" w:rsidRPr="006A0C48" w:rsidRDefault="00005A3C" w:rsidP="006726E6">
            <w:pPr>
              <w:spacing w:before="80" w:after="80"/>
              <w:jc w:val="left"/>
              <w:rPr>
                <w:szCs w:val="22"/>
              </w:rPr>
            </w:pPr>
            <w:r w:rsidRPr="006A0C48">
              <w:rPr>
                <w:szCs w:val="22"/>
              </w:rPr>
              <w:t xml:space="preserve">Total amount of approved funding for developing countries to promote the development, transfer, dissemination and diffusion of environmentally sound technologies </w:t>
            </w:r>
          </w:p>
          <w:p w14:paraId="3812F0EB" w14:textId="77777777" w:rsidR="00005A3C" w:rsidRPr="006A0C48" w:rsidRDefault="00005A3C" w:rsidP="006726E6">
            <w:pPr>
              <w:spacing w:before="80" w:after="80"/>
              <w:jc w:val="left"/>
              <w:rPr>
                <w:szCs w:val="22"/>
              </w:rPr>
            </w:pPr>
            <w:r w:rsidRPr="006A0C48">
              <w:rPr>
                <w:szCs w:val="22"/>
              </w:rPr>
              <w:t>Number of countries (and number of instruments) with payments for ecosystem services (PES) programmes</w:t>
            </w:r>
          </w:p>
          <w:p w14:paraId="49B14734" w14:textId="77777777" w:rsidR="00005A3C" w:rsidRPr="006A0C48" w:rsidRDefault="00005A3C" w:rsidP="006726E6">
            <w:pPr>
              <w:spacing w:before="80" w:after="80"/>
              <w:jc w:val="left"/>
              <w:rPr>
                <w:szCs w:val="22"/>
              </w:rPr>
            </w:pPr>
            <w:r w:rsidRPr="006A0C48">
              <w:rPr>
                <w:szCs w:val="22"/>
              </w:rPr>
              <w:t>Number of countries that have (a) assessed values of biodiversity in accordance with the Convention, (b) identified and reported funding needs, gaps and priorities, (c) developed national financial plans for biodiversity, (d) been provided with the necessary funding and capacity</w:t>
            </w:r>
            <w:r w:rsidRPr="006A0C48">
              <w:rPr>
                <w:szCs w:val="22"/>
              </w:rPr>
              <w:noBreakHyphen/>
              <w:t>building to undertake the above activities</w:t>
            </w:r>
          </w:p>
        </w:tc>
      </w:tr>
      <w:tr w:rsidR="00005A3C" w:rsidRPr="006A0C48" w14:paraId="42A85307" w14:textId="77777777" w:rsidTr="00967EE7">
        <w:trPr>
          <w:trHeight w:val="300"/>
        </w:trPr>
        <w:tc>
          <w:tcPr>
            <w:tcW w:w="846" w:type="dxa"/>
            <w:shd w:val="clear" w:color="auto" w:fill="FFFFFF" w:themeFill="background1"/>
          </w:tcPr>
          <w:p w14:paraId="3A70B587" w14:textId="77777777" w:rsidR="00005A3C" w:rsidRPr="006A0C48" w:rsidRDefault="00005A3C" w:rsidP="00BC5121">
            <w:pPr>
              <w:spacing w:before="80" w:after="80"/>
              <w:rPr>
                <w:szCs w:val="22"/>
              </w:rPr>
            </w:pPr>
            <w:r w:rsidRPr="006A0C48">
              <w:rPr>
                <w:szCs w:val="22"/>
              </w:rPr>
              <w:lastRenderedPageBreak/>
              <w:t>20</w:t>
            </w:r>
          </w:p>
        </w:tc>
        <w:tc>
          <w:tcPr>
            <w:tcW w:w="3260" w:type="dxa"/>
            <w:shd w:val="clear" w:color="auto" w:fill="FFFFFF" w:themeFill="background1"/>
          </w:tcPr>
          <w:p w14:paraId="10F0C1E1" w14:textId="77777777" w:rsidR="00005A3C" w:rsidRPr="006A0C48" w:rsidRDefault="00005A3C" w:rsidP="00BC5121">
            <w:pPr>
              <w:spacing w:before="80" w:after="80"/>
              <w:rPr>
                <w:szCs w:val="22"/>
              </w:rPr>
            </w:pPr>
            <w:r w:rsidRPr="006A0C48">
              <w:rPr>
                <w:szCs w:val="22"/>
              </w:rPr>
              <w:t>-</w:t>
            </w:r>
          </w:p>
        </w:tc>
        <w:tc>
          <w:tcPr>
            <w:tcW w:w="3567" w:type="dxa"/>
            <w:shd w:val="clear" w:color="auto" w:fill="FFFFFF" w:themeFill="background1"/>
          </w:tcPr>
          <w:p w14:paraId="7F4A934D" w14:textId="77777777" w:rsidR="00005A3C" w:rsidRPr="006A0C48" w:rsidRDefault="00005A3C" w:rsidP="00BC5121">
            <w:pPr>
              <w:spacing w:before="80" w:after="80"/>
              <w:rPr>
                <w:szCs w:val="22"/>
              </w:rPr>
            </w:pPr>
          </w:p>
        </w:tc>
        <w:tc>
          <w:tcPr>
            <w:tcW w:w="5363" w:type="dxa"/>
            <w:shd w:val="clear" w:color="auto" w:fill="FFFFFF" w:themeFill="background1"/>
          </w:tcPr>
          <w:p w14:paraId="6B01E483" w14:textId="77777777" w:rsidR="00005A3C" w:rsidRPr="006A0C48" w:rsidRDefault="00005A3C" w:rsidP="00BC5121">
            <w:pPr>
              <w:spacing w:before="80" w:after="80"/>
              <w:rPr>
                <w:szCs w:val="22"/>
              </w:rPr>
            </w:pPr>
          </w:p>
        </w:tc>
      </w:tr>
      <w:tr w:rsidR="00005A3C" w:rsidRPr="006A0C48" w14:paraId="2A6F76F7" w14:textId="77777777" w:rsidTr="00967EE7">
        <w:trPr>
          <w:trHeight w:val="300"/>
        </w:trPr>
        <w:tc>
          <w:tcPr>
            <w:tcW w:w="846" w:type="dxa"/>
            <w:shd w:val="clear" w:color="auto" w:fill="FFFFFF" w:themeFill="background1"/>
          </w:tcPr>
          <w:p w14:paraId="4E85FA80" w14:textId="77777777" w:rsidR="00005A3C" w:rsidRPr="006A0C48" w:rsidRDefault="00005A3C" w:rsidP="00BC5121">
            <w:pPr>
              <w:spacing w:before="80" w:after="80"/>
              <w:rPr>
                <w:szCs w:val="22"/>
              </w:rPr>
            </w:pPr>
            <w:r w:rsidRPr="006A0C48">
              <w:rPr>
                <w:szCs w:val="22"/>
              </w:rPr>
              <w:t>21</w:t>
            </w:r>
          </w:p>
        </w:tc>
        <w:tc>
          <w:tcPr>
            <w:tcW w:w="3260" w:type="dxa"/>
            <w:shd w:val="clear" w:color="auto" w:fill="FFFFFF" w:themeFill="background1"/>
          </w:tcPr>
          <w:p w14:paraId="04E7DADE" w14:textId="77777777" w:rsidR="00005A3C" w:rsidRPr="006A0C48" w:rsidRDefault="00005A3C" w:rsidP="006726E6">
            <w:pPr>
              <w:spacing w:before="80" w:after="80"/>
              <w:jc w:val="left"/>
              <w:rPr>
                <w:szCs w:val="22"/>
              </w:rPr>
            </w:pPr>
            <w:r w:rsidRPr="006A0C48">
              <w:rPr>
                <w:szCs w:val="22"/>
              </w:rPr>
              <w:t xml:space="preserve">21.1 Indicator on biodiversity information for the monitoring the Kunming-Montreal Global Biodiversity Framework </w:t>
            </w:r>
          </w:p>
        </w:tc>
        <w:tc>
          <w:tcPr>
            <w:tcW w:w="3567" w:type="dxa"/>
            <w:shd w:val="clear" w:color="auto" w:fill="FFFFFF" w:themeFill="background1"/>
          </w:tcPr>
          <w:p w14:paraId="4DC42C5F" w14:textId="77777777" w:rsidR="00005A3C" w:rsidRPr="006A0C48" w:rsidRDefault="00005A3C" w:rsidP="006726E6">
            <w:pPr>
              <w:spacing w:before="80" w:after="80"/>
              <w:jc w:val="left"/>
              <w:rPr>
                <w:szCs w:val="22"/>
              </w:rPr>
            </w:pPr>
            <w:r w:rsidRPr="006A0C48">
              <w:rPr>
                <w:szCs w:val="22"/>
              </w:rPr>
              <w:t>Species Status Index</w:t>
            </w:r>
          </w:p>
          <w:p w14:paraId="79E71B6A" w14:textId="77777777" w:rsidR="00005A3C" w:rsidRPr="006A0C48" w:rsidRDefault="00005A3C" w:rsidP="006726E6">
            <w:pPr>
              <w:spacing w:before="80" w:after="80"/>
              <w:jc w:val="left"/>
              <w:rPr>
                <w:szCs w:val="22"/>
              </w:rPr>
            </w:pPr>
            <w:r w:rsidRPr="006A0C48">
              <w:rPr>
                <w:szCs w:val="22"/>
              </w:rPr>
              <w:t xml:space="preserve">Extent to which (a) global citizenship education and (b) education for sustainable development, including gender equality and human rights, are </w:t>
            </w:r>
            <w:r w:rsidRPr="006A0C48">
              <w:rPr>
                <w:szCs w:val="22"/>
              </w:rPr>
              <w:lastRenderedPageBreak/>
              <w:t xml:space="preserve">mainstreamed at all levels in: (i) national education policies, (ii) curricula, (iii) teacher education and (iv) student assessments </w:t>
            </w:r>
          </w:p>
          <w:p w14:paraId="3213A8B8" w14:textId="77777777" w:rsidR="00005A3C" w:rsidRPr="006A0C48" w:rsidRDefault="00005A3C" w:rsidP="006726E6">
            <w:pPr>
              <w:spacing w:before="80" w:after="80"/>
              <w:jc w:val="left"/>
              <w:rPr>
                <w:szCs w:val="22"/>
              </w:rPr>
            </w:pPr>
          </w:p>
        </w:tc>
        <w:tc>
          <w:tcPr>
            <w:tcW w:w="5363" w:type="dxa"/>
            <w:shd w:val="clear" w:color="auto" w:fill="FFFFFF" w:themeFill="background1"/>
          </w:tcPr>
          <w:p w14:paraId="373C7462" w14:textId="77777777" w:rsidR="00005A3C" w:rsidRPr="006A0C48" w:rsidRDefault="00005A3C" w:rsidP="006726E6">
            <w:pPr>
              <w:spacing w:before="80" w:after="80"/>
              <w:jc w:val="left"/>
              <w:rPr>
                <w:szCs w:val="22"/>
              </w:rPr>
            </w:pPr>
            <w:r w:rsidRPr="006A0C48">
              <w:rPr>
                <w:szCs w:val="22"/>
              </w:rPr>
              <w:lastRenderedPageBreak/>
              <w:t>Growth in number of records and species in the Living Planet Index database</w:t>
            </w:r>
          </w:p>
          <w:p w14:paraId="2549AFC4" w14:textId="77777777" w:rsidR="00005A3C" w:rsidRPr="006A0C48" w:rsidRDefault="00005A3C" w:rsidP="006726E6">
            <w:pPr>
              <w:spacing w:before="80" w:after="80"/>
              <w:jc w:val="left"/>
              <w:rPr>
                <w:szCs w:val="22"/>
              </w:rPr>
            </w:pPr>
            <w:r w:rsidRPr="006A0C48">
              <w:rPr>
                <w:szCs w:val="22"/>
              </w:rPr>
              <w:t>Growth in species occurrence records accessible through the Global Biodiversity Information Facility</w:t>
            </w:r>
          </w:p>
          <w:p w14:paraId="16E8B5B7" w14:textId="77777777" w:rsidR="00005A3C" w:rsidRPr="006A0C48" w:rsidRDefault="00005A3C" w:rsidP="006726E6">
            <w:pPr>
              <w:spacing w:before="80" w:after="80"/>
              <w:jc w:val="left"/>
              <w:rPr>
                <w:szCs w:val="22"/>
              </w:rPr>
            </w:pPr>
            <w:r w:rsidRPr="006A0C48">
              <w:rPr>
                <w:szCs w:val="22"/>
              </w:rPr>
              <w:lastRenderedPageBreak/>
              <w:t>Growth in marine species occurrence records accessible through the Ocean Biodiversity Information System (OBIS)</w:t>
            </w:r>
          </w:p>
          <w:p w14:paraId="788FFA34" w14:textId="77777777" w:rsidR="00005A3C" w:rsidRPr="006A0C48" w:rsidRDefault="00005A3C" w:rsidP="006726E6">
            <w:pPr>
              <w:spacing w:before="80" w:after="80"/>
              <w:jc w:val="left"/>
              <w:rPr>
                <w:szCs w:val="22"/>
              </w:rPr>
            </w:pPr>
            <w:r w:rsidRPr="006A0C48">
              <w:rPr>
                <w:szCs w:val="22"/>
              </w:rPr>
              <w:t>Proportion of known species assessed through The IUCN Red List of Threatened Species™</w:t>
            </w:r>
          </w:p>
          <w:p w14:paraId="467E9D18" w14:textId="77777777" w:rsidR="00005A3C" w:rsidRPr="006A0C48" w:rsidRDefault="00005A3C" w:rsidP="006726E6">
            <w:pPr>
              <w:spacing w:before="80" w:after="80"/>
              <w:jc w:val="left"/>
              <w:rPr>
                <w:szCs w:val="22"/>
              </w:rPr>
            </w:pPr>
            <w:r w:rsidRPr="006A0C48">
              <w:rPr>
                <w:szCs w:val="22"/>
              </w:rPr>
              <w:t>Number of assessments on the IUCN Red List of Threatened Species™</w:t>
            </w:r>
          </w:p>
          <w:p w14:paraId="025D7378" w14:textId="77777777" w:rsidR="00005A3C" w:rsidRPr="006A0C48" w:rsidRDefault="00005A3C" w:rsidP="006726E6">
            <w:pPr>
              <w:spacing w:before="80" w:after="80"/>
              <w:jc w:val="left"/>
              <w:rPr>
                <w:szCs w:val="22"/>
              </w:rPr>
            </w:pPr>
            <w:r w:rsidRPr="006A0C48">
              <w:rPr>
                <w:szCs w:val="22"/>
              </w:rPr>
              <w:t>World Association of Zoos and Aquariums (WAZA) bio-literacy survey (Biodiversity literacy in global zoo and aquarium visitors)</w:t>
            </w:r>
          </w:p>
          <w:p w14:paraId="56237C96" w14:textId="77777777" w:rsidR="00005A3C" w:rsidRPr="006A0C48" w:rsidRDefault="00005A3C" w:rsidP="006726E6">
            <w:pPr>
              <w:spacing w:before="80" w:after="80"/>
              <w:jc w:val="left"/>
              <w:rPr>
                <w:szCs w:val="22"/>
              </w:rPr>
            </w:pPr>
            <w:r w:rsidRPr="006A0C48">
              <w:rPr>
                <w:szCs w:val="22"/>
              </w:rPr>
              <w:t>Species Status Information Index</w:t>
            </w:r>
          </w:p>
        </w:tc>
      </w:tr>
      <w:tr w:rsidR="00005A3C" w:rsidRPr="006A0C48" w14:paraId="6EDB6659" w14:textId="77777777" w:rsidTr="00967EE7">
        <w:trPr>
          <w:trHeight w:val="300"/>
        </w:trPr>
        <w:tc>
          <w:tcPr>
            <w:tcW w:w="846" w:type="dxa"/>
            <w:shd w:val="clear" w:color="auto" w:fill="FFFFFF" w:themeFill="background1"/>
          </w:tcPr>
          <w:p w14:paraId="11339E80" w14:textId="77777777" w:rsidR="00005A3C" w:rsidRPr="006A0C48" w:rsidRDefault="00005A3C" w:rsidP="00BC5121">
            <w:pPr>
              <w:spacing w:before="80" w:after="80"/>
              <w:rPr>
                <w:szCs w:val="22"/>
              </w:rPr>
            </w:pPr>
            <w:r w:rsidRPr="006A0C48">
              <w:rPr>
                <w:szCs w:val="22"/>
              </w:rPr>
              <w:lastRenderedPageBreak/>
              <w:t>22</w:t>
            </w:r>
            <w:r w:rsidRPr="006A0C48">
              <w:rPr>
                <w:b/>
                <w:bCs/>
                <w:szCs w:val="22"/>
                <w:vertAlign w:val="superscript"/>
              </w:rPr>
              <w:t>b</w:t>
            </w:r>
          </w:p>
        </w:tc>
        <w:tc>
          <w:tcPr>
            <w:tcW w:w="3260" w:type="dxa"/>
            <w:shd w:val="clear" w:color="auto" w:fill="FFFFFF" w:themeFill="background1"/>
          </w:tcPr>
          <w:p w14:paraId="045453E5" w14:textId="77777777" w:rsidR="00005A3C" w:rsidRPr="006A0C48" w:rsidRDefault="00005A3C" w:rsidP="00BC5121">
            <w:pPr>
              <w:spacing w:before="80" w:after="80"/>
              <w:rPr>
                <w:szCs w:val="22"/>
              </w:rPr>
            </w:pPr>
            <w:r w:rsidRPr="006A0C48">
              <w:rPr>
                <w:szCs w:val="22"/>
              </w:rPr>
              <w:t>-</w:t>
            </w:r>
          </w:p>
        </w:tc>
        <w:tc>
          <w:tcPr>
            <w:tcW w:w="3567" w:type="dxa"/>
            <w:shd w:val="clear" w:color="auto" w:fill="FFFFFF" w:themeFill="background1"/>
          </w:tcPr>
          <w:p w14:paraId="32231EEE" w14:textId="77777777" w:rsidR="00005A3C" w:rsidRPr="006A0C48" w:rsidRDefault="00005A3C" w:rsidP="006726E6">
            <w:pPr>
              <w:spacing w:before="80" w:after="80"/>
              <w:jc w:val="left"/>
              <w:rPr>
                <w:szCs w:val="22"/>
              </w:rPr>
            </w:pPr>
            <w:r w:rsidRPr="006A0C48">
              <w:rPr>
                <w:szCs w:val="22"/>
              </w:rPr>
              <w:t xml:space="preserve">Proportion of total adult population with secure tenure rights to land, (a) with legally recognized documentation, and (b) who perceive their rights to land as secure, by sex and type of tenure </w:t>
            </w:r>
          </w:p>
        </w:tc>
        <w:tc>
          <w:tcPr>
            <w:tcW w:w="5363" w:type="dxa"/>
            <w:shd w:val="clear" w:color="auto" w:fill="FFFFFF" w:themeFill="background1"/>
          </w:tcPr>
          <w:p w14:paraId="086666C8" w14:textId="77777777" w:rsidR="00005A3C" w:rsidRPr="006A0C48" w:rsidRDefault="00005A3C" w:rsidP="006726E6">
            <w:pPr>
              <w:spacing w:before="80" w:after="80"/>
              <w:jc w:val="left"/>
              <w:rPr>
                <w:szCs w:val="22"/>
              </w:rPr>
            </w:pPr>
            <w:r w:rsidRPr="006A0C48">
              <w:rPr>
                <w:szCs w:val="22"/>
              </w:rPr>
              <w:t>Percentage of positions in national and local institutions, including: (a) the legislatures; (b) the public service; and (c) the judiciary, compared to national distributions, by sex, age, persons with disabilities and population groups</w:t>
            </w:r>
          </w:p>
          <w:p w14:paraId="5B81C3B9" w14:textId="77777777" w:rsidR="00005A3C" w:rsidRPr="006A0C48" w:rsidRDefault="00005A3C" w:rsidP="006726E6">
            <w:pPr>
              <w:spacing w:before="80" w:after="80"/>
              <w:jc w:val="left"/>
              <w:rPr>
                <w:szCs w:val="22"/>
              </w:rPr>
            </w:pPr>
            <w:r w:rsidRPr="006A0C48">
              <w:rPr>
                <w:szCs w:val="22"/>
              </w:rPr>
              <w:t xml:space="preserve">Number of countries with systems to track and make public allocations for gender equality and women’s empowerment </w:t>
            </w:r>
          </w:p>
          <w:p w14:paraId="1C3E6B79" w14:textId="77777777" w:rsidR="00005A3C" w:rsidRPr="006A0C48" w:rsidRDefault="00005A3C" w:rsidP="006726E6">
            <w:pPr>
              <w:spacing w:before="80" w:after="80"/>
              <w:jc w:val="left"/>
              <w:rPr>
                <w:szCs w:val="22"/>
              </w:rPr>
            </w:pPr>
            <w:r w:rsidRPr="006A0C48">
              <w:rPr>
                <w:szCs w:val="22"/>
              </w:rPr>
              <w:t>Proportion of total agricultural population with ownership or secure tenure rights over agricultural land, by sex; and share of women among owners or rights-bearers of agricultural land, by type of tenure</w:t>
            </w:r>
          </w:p>
          <w:p w14:paraId="21ADBD94" w14:textId="77777777" w:rsidR="00005A3C" w:rsidRPr="006A0C48" w:rsidRDefault="00005A3C" w:rsidP="006726E6">
            <w:pPr>
              <w:spacing w:before="80" w:after="80"/>
              <w:jc w:val="left"/>
              <w:rPr>
                <w:szCs w:val="22"/>
              </w:rPr>
            </w:pPr>
            <w:r w:rsidRPr="006A0C48">
              <w:rPr>
                <w:szCs w:val="22"/>
              </w:rPr>
              <w:t>Number of countries where the legal framework (including customary law) guarantees women’s equal rights to land ownership and/or control</w:t>
            </w:r>
          </w:p>
          <w:p w14:paraId="214E8838" w14:textId="77777777" w:rsidR="00005A3C" w:rsidRPr="006A0C48" w:rsidRDefault="00005A3C" w:rsidP="006726E6">
            <w:pPr>
              <w:spacing w:before="80" w:after="80"/>
              <w:jc w:val="left"/>
              <w:rPr>
                <w:szCs w:val="22"/>
              </w:rPr>
            </w:pPr>
            <w:r w:rsidRPr="006A0C48">
              <w:rPr>
                <w:szCs w:val="22"/>
              </w:rPr>
              <w:t>Number of protected areas that have completed a site-level assessment of governance and equity (SAGE)</w:t>
            </w:r>
          </w:p>
          <w:p w14:paraId="5CCCA1B0" w14:textId="77777777" w:rsidR="00005A3C" w:rsidRPr="006A0C48" w:rsidRDefault="00005A3C" w:rsidP="006726E6">
            <w:pPr>
              <w:spacing w:before="80" w:after="80"/>
              <w:jc w:val="left"/>
              <w:rPr>
                <w:szCs w:val="22"/>
              </w:rPr>
            </w:pPr>
            <w:r w:rsidRPr="006A0C48">
              <w:rPr>
                <w:szCs w:val="22"/>
              </w:rPr>
              <w:t xml:space="preserve">Trends in number of environmental human rights defenders killed annually, disaggregated by country and </w:t>
            </w:r>
            <w:r w:rsidRPr="006A0C48">
              <w:rPr>
                <w:szCs w:val="22"/>
              </w:rPr>
              <w:lastRenderedPageBreak/>
              <w:t>gender; and number of indigenous environmental human rights defenders killed</w:t>
            </w:r>
          </w:p>
          <w:p w14:paraId="3163B282" w14:textId="77777777" w:rsidR="00005A3C" w:rsidRPr="006A0C48" w:rsidRDefault="00005A3C" w:rsidP="006726E6">
            <w:pPr>
              <w:spacing w:before="80" w:after="80"/>
              <w:jc w:val="left"/>
              <w:rPr>
                <w:rFonts w:asciiTheme="majorBidi" w:hAnsiTheme="majorBidi" w:cstheme="majorBidi"/>
                <w:bCs/>
                <w:szCs w:val="22"/>
              </w:rPr>
            </w:pPr>
            <w:r w:rsidRPr="006A0C48">
              <w:rPr>
                <w:rFonts w:asciiTheme="majorBidi" w:hAnsiTheme="majorBidi" w:cstheme="majorBidi"/>
                <w:bCs/>
                <w:szCs w:val="22"/>
              </w:rPr>
              <w:t>Land tenure of indigenous peoples and local communities by sex and type of tenure</w:t>
            </w:r>
          </w:p>
          <w:p w14:paraId="58C3E956" w14:textId="77777777" w:rsidR="00005A3C" w:rsidRPr="006A0C48" w:rsidRDefault="00005A3C" w:rsidP="006726E6">
            <w:pPr>
              <w:spacing w:before="80" w:after="80"/>
              <w:jc w:val="left"/>
              <w:rPr>
                <w:szCs w:val="22"/>
              </w:rPr>
            </w:pPr>
            <w:r w:rsidRPr="006A0C48">
              <w:rPr>
                <w:szCs w:val="22"/>
              </w:rPr>
              <w:t>Proportion of population who believe decision-making is inclusive and responsive, by sex, age, disability and population group</w:t>
            </w:r>
          </w:p>
        </w:tc>
      </w:tr>
      <w:tr w:rsidR="00005A3C" w:rsidRPr="006A0C48" w14:paraId="18BF8D33" w14:textId="77777777" w:rsidTr="00967EE7">
        <w:trPr>
          <w:trHeight w:val="300"/>
        </w:trPr>
        <w:tc>
          <w:tcPr>
            <w:tcW w:w="846" w:type="dxa"/>
            <w:shd w:val="clear" w:color="auto" w:fill="FFFFFF" w:themeFill="background1"/>
          </w:tcPr>
          <w:p w14:paraId="71F269ED" w14:textId="77777777" w:rsidR="00005A3C" w:rsidRPr="006A0C48" w:rsidRDefault="00005A3C" w:rsidP="00BC5121">
            <w:pPr>
              <w:spacing w:before="80" w:after="80"/>
              <w:rPr>
                <w:szCs w:val="22"/>
              </w:rPr>
            </w:pPr>
            <w:r w:rsidRPr="006A0C48">
              <w:rPr>
                <w:szCs w:val="22"/>
              </w:rPr>
              <w:lastRenderedPageBreak/>
              <w:t>23</w:t>
            </w:r>
            <w:r w:rsidRPr="006A0C48">
              <w:rPr>
                <w:b/>
                <w:bCs/>
                <w:szCs w:val="22"/>
                <w:vertAlign w:val="superscript"/>
              </w:rPr>
              <w:t>b</w:t>
            </w:r>
          </w:p>
        </w:tc>
        <w:tc>
          <w:tcPr>
            <w:tcW w:w="3260" w:type="dxa"/>
            <w:shd w:val="clear" w:color="auto" w:fill="FFFFFF" w:themeFill="background1"/>
          </w:tcPr>
          <w:p w14:paraId="7BD6A434" w14:textId="77777777" w:rsidR="00005A3C" w:rsidRPr="006A0C48" w:rsidRDefault="00005A3C" w:rsidP="00BC5121">
            <w:pPr>
              <w:spacing w:before="80" w:after="80"/>
              <w:rPr>
                <w:szCs w:val="22"/>
              </w:rPr>
            </w:pPr>
            <w:r w:rsidRPr="006A0C48">
              <w:rPr>
                <w:szCs w:val="22"/>
              </w:rPr>
              <w:t>-</w:t>
            </w:r>
          </w:p>
        </w:tc>
        <w:tc>
          <w:tcPr>
            <w:tcW w:w="3567" w:type="dxa"/>
            <w:shd w:val="clear" w:color="auto" w:fill="FFFFFF" w:themeFill="background1"/>
          </w:tcPr>
          <w:p w14:paraId="74664983" w14:textId="77777777" w:rsidR="00005A3C" w:rsidRPr="006A0C48" w:rsidRDefault="00005A3C" w:rsidP="006726E6">
            <w:pPr>
              <w:spacing w:before="80" w:after="80"/>
              <w:jc w:val="left"/>
              <w:rPr>
                <w:szCs w:val="22"/>
              </w:rPr>
            </w:pPr>
            <w:r w:rsidRPr="006A0C48">
              <w:rPr>
                <w:szCs w:val="22"/>
              </w:rPr>
              <w:t xml:space="preserve">Proportion of seats held by women in (a) national parliaments and (b) local governments </w:t>
            </w:r>
          </w:p>
          <w:p w14:paraId="131F12B7" w14:textId="77777777" w:rsidR="00005A3C" w:rsidRPr="006A0C48" w:rsidRDefault="00005A3C" w:rsidP="006726E6">
            <w:pPr>
              <w:spacing w:before="80" w:after="80"/>
              <w:jc w:val="left"/>
              <w:rPr>
                <w:szCs w:val="22"/>
              </w:rPr>
            </w:pPr>
            <w:r w:rsidRPr="006A0C48">
              <w:rPr>
                <w:szCs w:val="22"/>
              </w:rPr>
              <w:t>Indicator on national implementation of the Gender Plan of Action</w:t>
            </w:r>
          </w:p>
          <w:p w14:paraId="2A1DAE27" w14:textId="77777777" w:rsidR="00005A3C" w:rsidRPr="006A0C48" w:rsidRDefault="00005A3C" w:rsidP="006726E6">
            <w:pPr>
              <w:spacing w:before="80" w:after="80"/>
              <w:jc w:val="left"/>
              <w:rPr>
                <w:szCs w:val="22"/>
              </w:rPr>
            </w:pPr>
            <w:r w:rsidRPr="006A0C48">
              <w:rPr>
                <w:szCs w:val="22"/>
              </w:rPr>
              <w:t>Proportion of total adult population with secure tenure rights to land, (a) with legally recognized documentation; and (b) who perceive their rights to land as secure, by sex and type of tenure</w:t>
            </w:r>
          </w:p>
        </w:tc>
        <w:tc>
          <w:tcPr>
            <w:tcW w:w="5363" w:type="dxa"/>
            <w:shd w:val="clear" w:color="auto" w:fill="FFFFFF" w:themeFill="background1"/>
          </w:tcPr>
          <w:p w14:paraId="4FAEE66F" w14:textId="77777777" w:rsidR="00005A3C" w:rsidRPr="006A0C48" w:rsidRDefault="00005A3C" w:rsidP="006726E6">
            <w:pPr>
              <w:spacing w:before="80" w:after="80"/>
              <w:jc w:val="left"/>
              <w:rPr>
                <w:szCs w:val="22"/>
              </w:rPr>
            </w:pPr>
            <w:r w:rsidRPr="006A0C48">
              <w:rPr>
                <w:szCs w:val="22"/>
              </w:rPr>
              <w:t>Percentage of positions in national and local institutions, including: (a) the legislatures; (b) the public service; and (c) the judiciary, compared to national distributions, by sex, age, persons with disabilities and population groups</w:t>
            </w:r>
          </w:p>
          <w:p w14:paraId="03CB091E" w14:textId="77777777" w:rsidR="00005A3C" w:rsidRPr="006A0C48" w:rsidRDefault="00005A3C" w:rsidP="006726E6">
            <w:pPr>
              <w:spacing w:before="80" w:after="80"/>
              <w:jc w:val="left"/>
              <w:rPr>
                <w:szCs w:val="22"/>
              </w:rPr>
            </w:pPr>
            <w:r w:rsidRPr="006A0C48">
              <w:rPr>
                <w:szCs w:val="22"/>
              </w:rPr>
              <w:t xml:space="preserve">Proportion of total agricultural population with ownership or secure rights over agricultural land, by sex; and share of women among owners or rights-bearers of agricultural land, by type of tenure </w:t>
            </w:r>
          </w:p>
          <w:p w14:paraId="1F2980BE" w14:textId="77777777" w:rsidR="00005A3C" w:rsidRPr="006A0C48" w:rsidRDefault="00005A3C" w:rsidP="006726E6">
            <w:pPr>
              <w:spacing w:before="80" w:after="80"/>
              <w:jc w:val="left"/>
              <w:rPr>
                <w:szCs w:val="22"/>
              </w:rPr>
            </w:pPr>
            <w:r w:rsidRPr="006A0C48">
              <w:rPr>
                <w:szCs w:val="22"/>
              </w:rPr>
              <w:t xml:space="preserve">Number of countries with systems to track and make public allocations for gender equality and women’s empowerment </w:t>
            </w:r>
          </w:p>
          <w:p w14:paraId="163CBF62" w14:textId="77777777" w:rsidR="00005A3C" w:rsidRPr="006A0C48" w:rsidRDefault="00005A3C" w:rsidP="006726E6">
            <w:pPr>
              <w:spacing w:before="80" w:after="80"/>
              <w:jc w:val="left"/>
              <w:rPr>
                <w:szCs w:val="22"/>
              </w:rPr>
            </w:pPr>
            <w:r w:rsidRPr="006A0C48">
              <w:rPr>
                <w:szCs w:val="22"/>
              </w:rPr>
              <w:t>Number of protected areas that have completed a site-level assessment of governance and equity (SAGE)</w:t>
            </w:r>
          </w:p>
          <w:p w14:paraId="3386DB95" w14:textId="77777777" w:rsidR="00005A3C" w:rsidRPr="006A0C48" w:rsidRDefault="00005A3C" w:rsidP="006726E6">
            <w:pPr>
              <w:spacing w:before="80" w:after="80"/>
              <w:jc w:val="left"/>
              <w:rPr>
                <w:szCs w:val="22"/>
              </w:rPr>
            </w:pPr>
            <w:r w:rsidRPr="006A0C48">
              <w:rPr>
                <w:szCs w:val="22"/>
              </w:rPr>
              <w:t>Percentage of population who believe decision</w:t>
            </w:r>
            <w:r w:rsidRPr="006A0C48">
              <w:rPr>
                <w:szCs w:val="22"/>
              </w:rPr>
              <w:noBreakHyphen/>
              <w:t>making is inclusive and responsive, by sex, age, disability and population group</w:t>
            </w:r>
          </w:p>
          <w:p w14:paraId="57A2B9D2" w14:textId="77777777" w:rsidR="00005A3C" w:rsidRPr="006A0C48" w:rsidRDefault="00005A3C" w:rsidP="006726E6">
            <w:pPr>
              <w:spacing w:before="80" w:after="80"/>
              <w:jc w:val="left"/>
              <w:rPr>
                <w:szCs w:val="22"/>
              </w:rPr>
            </w:pPr>
            <w:r w:rsidRPr="006A0C48">
              <w:rPr>
                <w:szCs w:val="22"/>
              </w:rPr>
              <w:t xml:space="preserve">Proportion of countries where the legal framework (including customary law) guarantees women’s equal rights to land ownership and/or control </w:t>
            </w:r>
          </w:p>
        </w:tc>
      </w:tr>
    </w:tbl>
    <w:p w14:paraId="0798A430" w14:textId="77777777" w:rsidR="00005A3C" w:rsidRPr="006A0C48" w:rsidRDefault="00005A3C" w:rsidP="00BC5121">
      <w:pPr>
        <w:spacing w:after="120"/>
        <w:rPr>
          <w:rFonts w:eastAsia="DengXian"/>
          <w:sz w:val="20"/>
          <w:szCs w:val="20"/>
        </w:rPr>
        <w:sectPr w:rsidR="00005A3C" w:rsidRPr="006A0C48" w:rsidSect="00877CF8">
          <w:pgSz w:w="15840" w:h="12240" w:orient="landscape"/>
          <w:pgMar w:top="1440" w:right="1440" w:bottom="1327" w:left="1440" w:header="720" w:footer="720" w:gutter="0"/>
          <w:cols w:space="720"/>
          <w:docGrid w:linePitch="360"/>
        </w:sectPr>
      </w:pPr>
    </w:p>
    <w:p w14:paraId="05DF83EE" w14:textId="77777777" w:rsidR="00005A3C" w:rsidRPr="006A0C48" w:rsidRDefault="00005A3C" w:rsidP="00A718E7">
      <w:pPr>
        <w:spacing w:after="120"/>
        <w:jc w:val="center"/>
        <w:rPr>
          <w:rFonts w:asciiTheme="majorBidi" w:hAnsiTheme="majorBidi" w:cstheme="majorBidi"/>
          <w:i/>
          <w:iCs/>
          <w:snapToGrid w:val="0"/>
          <w:szCs w:val="22"/>
        </w:rPr>
      </w:pPr>
      <w:r w:rsidRPr="006A0C48">
        <w:rPr>
          <w:rFonts w:asciiTheme="majorBidi" w:hAnsiTheme="majorBidi" w:cstheme="majorBidi"/>
          <w:i/>
          <w:iCs/>
          <w:snapToGrid w:val="0"/>
          <w:szCs w:val="22"/>
        </w:rPr>
        <w:lastRenderedPageBreak/>
        <w:t>Annex II</w:t>
      </w:r>
    </w:p>
    <w:p w14:paraId="6AD507AB" w14:textId="77777777" w:rsidR="00005A3C" w:rsidRPr="006A0C48" w:rsidRDefault="00005A3C" w:rsidP="00A718E7">
      <w:pPr>
        <w:pStyle w:val="HEADINGNOTFORTOC"/>
        <w:outlineLvl w:val="9"/>
        <w:rPr>
          <w:szCs w:val="22"/>
        </w:rPr>
      </w:pPr>
      <w:bookmarkStart w:id="39" w:name="_Toc118354971"/>
      <w:r w:rsidRPr="006A0C48">
        <w:rPr>
          <w:szCs w:val="22"/>
        </w:rPr>
        <w:t xml:space="preserve">TERMS OF REFERENCE FOR THE AD HOC TECHNICAL EXPERT GROUP ON INDICATORS FOR THE </w:t>
      </w:r>
      <w:r w:rsidRPr="006A0C48">
        <w:rPr>
          <w:kern w:val="22"/>
        </w:rPr>
        <w:t xml:space="preserve">Kunming-Montreal </w:t>
      </w:r>
      <w:r w:rsidRPr="006A0C48">
        <w:rPr>
          <w:szCs w:val="22"/>
        </w:rPr>
        <w:t>GLOBAL BIODIVERSITY FRAMEWORK</w:t>
      </w:r>
      <w:bookmarkEnd w:id="39"/>
    </w:p>
    <w:p w14:paraId="09940C88" w14:textId="77777777" w:rsidR="00005A3C" w:rsidRPr="006A0C48" w:rsidRDefault="00005A3C" w:rsidP="00BC5121">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Cs w:val="22"/>
        </w:rPr>
      </w:pPr>
      <w:r w:rsidRPr="006A0C48">
        <w:rPr>
          <w:snapToGrid w:val="0"/>
          <w:kern w:val="22"/>
          <w:szCs w:val="22"/>
        </w:rPr>
        <w:t>1.</w:t>
      </w:r>
      <w:r w:rsidRPr="006A0C48">
        <w:rPr>
          <w:snapToGrid w:val="0"/>
          <w:kern w:val="22"/>
          <w:szCs w:val="22"/>
        </w:rPr>
        <w:tab/>
        <w:t>The Ad Hoc Technical Expert Group on Indicators will work:</w:t>
      </w:r>
    </w:p>
    <w:p w14:paraId="0FB175FB" w14:textId="77777777" w:rsidR="00005A3C" w:rsidRPr="006A0C48" w:rsidRDefault="00005A3C" w:rsidP="00950BE4">
      <w:pPr>
        <w:pStyle w:val="ListParagraph"/>
        <w:numPr>
          <w:ilvl w:val="0"/>
          <w:numId w:val="28"/>
        </w:numPr>
        <w:spacing w:before="120" w:after="120"/>
        <w:ind w:left="0" w:firstLine="839"/>
        <w:contextualSpacing w:val="0"/>
        <w:rPr>
          <w:rFonts w:eastAsia="Open Sans"/>
          <w:szCs w:val="22"/>
        </w:rPr>
      </w:pPr>
      <w:r w:rsidRPr="006A0C48">
        <w:rPr>
          <w:rFonts w:eastAsia="Arial"/>
          <w:szCs w:val="22"/>
        </w:rPr>
        <w:t>To provide technical advice on remaining and unresolved issues relating to the monitoring framework for the Kunming-Montreal Global Biodiversity Framework, as outlined by the Conference of the Parties at its fifteenth meeting, and to prioritize work on the following elements leading up to the sixteenth meeting of the Conference of the Parties:</w:t>
      </w:r>
    </w:p>
    <w:p w14:paraId="2607D6FB" w14:textId="77777777" w:rsidR="00005A3C" w:rsidRPr="006A0C48" w:rsidRDefault="00005A3C" w:rsidP="00950BE4">
      <w:pPr>
        <w:pStyle w:val="ListParagraph"/>
        <w:numPr>
          <w:ilvl w:val="0"/>
          <w:numId w:val="29"/>
        </w:numPr>
        <w:spacing w:before="120" w:after="120"/>
        <w:ind w:left="1434" w:hanging="357"/>
        <w:contextualSpacing w:val="0"/>
        <w:rPr>
          <w:rFonts w:eastAsia="Open Sans"/>
          <w:szCs w:val="22"/>
        </w:rPr>
      </w:pPr>
      <w:r w:rsidRPr="006A0C48">
        <w:rPr>
          <w:rFonts w:eastAsia="Calibri"/>
          <w:szCs w:val="22"/>
        </w:rPr>
        <w:t>Support the work to address critical gaps to improve the monitoring framework, in particular on headline indicators that do not have an existing methodology, and advise on their implementation at the national level. Attention should be paid to fill gaps under Goals B, C and D and Targets 2, 13 and 14 to 22, given the imbalance in available headline indicators and their interlinkages across the goals and targets of the Kunming-Montreal Global Biodiversity Framework;</w:t>
      </w:r>
    </w:p>
    <w:p w14:paraId="15CF28E3" w14:textId="77777777" w:rsidR="00005A3C" w:rsidRPr="006A0C48" w:rsidRDefault="00005A3C" w:rsidP="00950BE4">
      <w:pPr>
        <w:pStyle w:val="ListParagraph"/>
        <w:numPr>
          <w:ilvl w:val="0"/>
          <w:numId w:val="29"/>
        </w:numPr>
        <w:spacing w:before="120" w:after="120"/>
        <w:ind w:left="1434" w:hanging="357"/>
        <w:contextualSpacing w:val="0"/>
        <w:rPr>
          <w:rFonts w:eastAsia="Calibri"/>
          <w:szCs w:val="22"/>
        </w:rPr>
      </w:pPr>
      <w:r w:rsidRPr="006A0C48">
        <w:rPr>
          <w:rFonts w:eastAsia="Calibri"/>
          <w:szCs w:val="22"/>
        </w:rPr>
        <w:t xml:space="preserve">Support the identification of important aspects related to the disaggregation and aggregation for each headline indicator, as applicable, including any methodological improvements as appropriate; </w:t>
      </w:r>
    </w:p>
    <w:p w14:paraId="47604DCD" w14:textId="77777777" w:rsidR="00005A3C" w:rsidRPr="006A0C48" w:rsidRDefault="00005A3C" w:rsidP="00950BE4">
      <w:pPr>
        <w:pStyle w:val="ListParagraph"/>
        <w:numPr>
          <w:ilvl w:val="0"/>
          <w:numId w:val="29"/>
        </w:numPr>
        <w:spacing w:before="120" w:after="120"/>
        <w:ind w:left="1434" w:hanging="357"/>
        <w:contextualSpacing w:val="0"/>
        <w:rPr>
          <w:rFonts w:eastAsia="Calibri"/>
          <w:szCs w:val="22"/>
        </w:rPr>
      </w:pPr>
      <w:r w:rsidRPr="006A0C48">
        <w:rPr>
          <w:rFonts w:eastAsia="Calibri"/>
          <w:szCs w:val="22"/>
        </w:rPr>
        <w:t xml:space="preserve">Identify gaps in terms of the operationalization of each headline indicator, the management of data flows and advise on implementation at the national level; </w:t>
      </w:r>
    </w:p>
    <w:p w14:paraId="54959A4C" w14:textId="77777777" w:rsidR="00005A3C" w:rsidRPr="006A0C48" w:rsidRDefault="00005A3C" w:rsidP="00950BE4">
      <w:pPr>
        <w:pStyle w:val="ListParagraph"/>
        <w:numPr>
          <w:ilvl w:val="0"/>
          <w:numId w:val="29"/>
        </w:numPr>
        <w:spacing w:before="120" w:after="120"/>
        <w:ind w:left="1434" w:hanging="357"/>
        <w:contextualSpacing w:val="0"/>
        <w:rPr>
          <w:rFonts w:eastAsia="Calibri"/>
          <w:szCs w:val="22"/>
        </w:rPr>
      </w:pPr>
      <w:r w:rsidRPr="006A0C48">
        <w:rPr>
          <w:rFonts w:eastAsia="Calibri"/>
          <w:szCs w:val="22"/>
        </w:rPr>
        <w:t xml:space="preserve">Keep the list of binary, component and complementary indicators under review;   </w:t>
      </w:r>
    </w:p>
    <w:p w14:paraId="0A4D33DF" w14:textId="77777777" w:rsidR="00005A3C" w:rsidRPr="006A0C48" w:rsidRDefault="00005A3C" w:rsidP="00950BE4">
      <w:pPr>
        <w:pStyle w:val="ListParagraph"/>
        <w:numPr>
          <w:ilvl w:val="0"/>
          <w:numId w:val="29"/>
        </w:numPr>
        <w:spacing w:before="120" w:after="120"/>
        <w:ind w:left="1434" w:hanging="357"/>
        <w:contextualSpacing w:val="0"/>
        <w:rPr>
          <w:snapToGrid w:val="0"/>
          <w:kern w:val="22"/>
          <w:szCs w:val="22"/>
        </w:rPr>
      </w:pPr>
      <w:r w:rsidRPr="006A0C48">
        <w:rPr>
          <w:rFonts w:eastAsia="Open Sans"/>
          <w:szCs w:val="22"/>
        </w:rPr>
        <w:t>Advise on the wording of questions to construct binary indicators to be used in national reports</w:t>
      </w:r>
      <w:r w:rsidRPr="006A0C48">
        <w:rPr>
          <w:rFonts w:eastAsia="Open Sans"/>
          <w:color w:val="000000"/>
          <w:szCs w:val="22"/>
        </w:rPr>
        <w:t xml:space="preserve"> building upon table 1 below;</w:t>
      </w:r>
    </w:p>
    <w:p w14:paraId="4ECBB8D2" w14:textId="77777777" w:rsidR="00005A3C" w:rsidRPr="006A0C48" w:rsidRDefault="00005A3C" w:rsidP="00950BE4">
      <w:pPr>
        <w:pStyle w:val="ListParagraph"/>
        <w:numPr>
          <w:ilvl w:val="0"/>
          <w:numId w:val="28"/>
        </w:numPr>
        <w:spacing w:before="120" w:after="120"/>
        <w:ind w:left="0" w:firstLine="839"/>
        <w:contextualSpacing w:val="0"/>
        <w:rPr>
          <w:snapToGrid w:val="0"/>
          <w:color w:val="000000" w:themeColor="text1"/>
          <w:kern w:val="22"/>
          <w:szCs w:val="22"/>
        </w:rPr>
      </w:pPr>
      <w:r w:rsidRPr="006A0C48">
        <w:rPr>
          <w:snapToGrid w:val="0"/>
          <w:color w:val="000000" w:themeColor="text1"/>
          <w:kern w:val="22"/>
          <w:szCs w:val="22"/>
        </w:rPr>
        <w:t xml:space="preserve">To provide </w:t>
      </w:r>
      <w:r w:rsidRPr="006A0C48">
        <w:rPr>
          <w:rFonts w:eastAsia="Arial"/>
          <w:szCs w:val="22"/>
        </w:rPr>
        <w:t>guidance</w:t>
      </w:r>
      <w:r w:rsidRPr="006A0C48">
        <w:rPr>
          <w:snapToGrid w:val="0"/>
          <w:color w:val="000000" w:themeColor="text1"/>
          <w:kern w:val="22"/>
          <w:szCs w:val="22"/>
        </w:rPr>
        <w:t xml:space="preserve"> to Parties on the use of indicators in national planning and reporting, including by reviewing how indicators are proposed for capture in the Online Reporting Tool for national reporting;</w:t>
      </w:r>
    </w:p>
    <w:p w14:paraId="787E1CB6" w14:textId="77777777" w:rsidR="00005A3C" w:rsidRPr="006A0C48" w:rsidRDefault="00005A3C" w:rsidP="00950BE4">
      <w:pPr>
        <w:pStyle w:val="ListParagraph"/>
        <w:numPr>
          <w:ilvl w:val="0"/>
          <w:numId w:val="28"/>
        </w:numPr>
        <w:spacing w:before="120" w:after="120"/>
        <w:ind w:left="0" w:firstLine="839"/>
        <w:contextualSpacing w:val="0"/>
        <w:rPr>
          <w:snapToGrid w:val="0"/>
          <w:color w:val="000000" w:themeColor="text1"/>
          <w:kern w:val="22"/>
          <w:szCs w:val="22"/>
        </w:rPr>
      </w:pPr>
      <w:r w:rsidRPr="006A0C48">
        <w:rPr>
          <w:snapToGrid w:val="0"/>
          <w:color w:val="000000" w:themeColor="text1"/>
          <w:kern w:val="22"/>
          <w:szCs w:val="22"/>
        </w:rPr>
        <w:t xml:space="preserve">To provide </w:t>
      </w:r>
      <w:r w:rsidRPr="006A0C48">
        <w:rPr>
          <w:rFonts w:eastAsia="Arial"/>
          <w:szCs w:val="22"/>
        </w:rPr>
        <w:t>guidance</w:t>
      </w:r>
      <w:r w:rsidRPr="006A0C48">
        <w:rPr>
          <w:snapToGrid w:val="0"/>
          <w:color w:val="000000" w:themeColor="text1"/>
          <w:kern w:val="22"/>
          <w:szCs w:val="22"/>
        </w:rPr>
        <w:t xml:space="preserve"> to Parties on ways to fill temporal and spatial data gaps, including through the use of big data, citizen science, community-based monitoring and information systems, remote sensing, modelling and statistical analysis, and other forms of data and other knowledge systems, recognizing the specific challenges faced by developing country Parties to develop and access information tools;</w:t>
      </w:r>
    </w:p>
    <w:p w14:paraId="19207CD0" w14:textId="77777777" w:rsidR="00005A3C" w:rsidRPr="006A0C48" w:rsidRDefault="00005A3C" w:rsidP="00950BE4">
      <w:pPr>
        <w:pStyle w:val="ListParagraph"/>
        <w:numPr>
          <w:ilvl w:val="0"/>
          <w:numId w:val="28"/>
        </w:numPr>
        <w:spacing w:before="120" w:after="120"/>
        <w:ind w:left="0" w:firstLine="839"/>
        <w:contextualSpacing w:val="0"/>
        <w:rPr>
          <w:snapToGrid w:val="0"/>
          <w:color w:val="000000" w:themeColor="text1"/>
          <w:kern w:val="22"/>
          <w:szCs w:val="22"/>
        </w:rPr>
      </w:pPr>
      <w:r w:rsidRPr="006A0C48">
        <w:rPr>
          <w:snapToGrid w:val="0"/>
          <w:kern w:val="22"/>
          <w:szCs w:val="22"/>
        </w:rPr>
        <w:t xml:space="preserve">To provide </w:t>
      </w:r>
      <w:r w:rsidRPr="006A0C48">
        <w:rPr>
          <w:rFonts w:eastAsia="Arial"/>
          <w:szCs w:val="22"/>
        </w:rPr>
        <w:t>advice</w:t>
      </w:r>
      <w:r w:rsidRPr="006A0C48">
        <w:rPr>
          <w:snapToGrid w:val="0"/>
          <w:kern w:val="22"/>
          <w:szCs w:val="22"/>
        </w:rPr>
        <w:t xml:space="preserve"> on the existing capacity, gaps and needs in terms of capacity development, technology transfer and financing needs related to the monitoring of the Kunming-Montreal Global Biodiversity Framework</w:t>
      </w:r>
      <w:r w:rsidRPr="006A0C48">
        <w:rPr>
          <w:szCs w:val="22"/>
        </w:rPr>
        <w:t>.</w:t>
      </w:r>
    </w:p>
    <w:p w14:paraId="0E60F36F" w14:textId="77777777" w:rsidR="00005A3C" w:rsidRPr="006A0C48" w:rsidRDefault="00005A3C" w:rsidP="00BC5121">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Cs w:val="22"/>
        </w:rPr>
      </w:pPr>
      <w:r w:rsidRPr="006A0C48">
        <w:rPr>
          <w:snapToGrid w:val="0"/>
          <w:kern w:val="22"/>
          <w:szCs w:val="22"/>
        </w:rPr>
        <w:t>2.</w:t>
      </w:r>
      <w:r w:rsidRPr="006A0C48">
        <w:rPr>
          <w:snapToGrid w:val="0"/>
          <w:kern w:val="22"/>
          <w:szCs w:val="22"/>
        </w:rPr>
        <w:tab/>
        <w:t>The Ad Hoc Technical Expert Group will take into account:</w:t>
      </w:r>
    </w:p>
    <w:p w14:paraId="3867A1D2" w14:textId="77777777" w:rsidR="00005A3C" w:rsidRPr="006A0C48" w:rsidRDefault="00005A3C" w:rsidP="00BC5121">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6A0C48">
        <w:rPr>
          <w:snapToGrid w:val="0"/>
          <w:kern w:val="22"/>
          <w:szCs w:val="22"/>
        </w:rPr>
        <w:t>(a)</w:t>
      </w:r>
      <w:r w:rsidRPr="006A0C48">
        <w:rPr>
          <w:snapToGrid w:val="0"/>
          <w:kern w:val="22"/>
          <w:szCs w:val="22"/>
        </w:rPr>
        <w:tab/>
        <w:t>Previous work and experience under the Convention and other relevant programmes of work concerning indicators and monitoring;</w:t>
      </w:r>
    </w:p>
    <w:p w14:paraId="7AB7CD7A" w14:textId="77777777" w:rsidR="00005A3C" w:rsidRPr="006A0C48" w:rsidRDefault="00005A3C" w:rsidP="00BC5121">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6A0C48">
        <w:rPr>
          <w:snapToGrid w:val="0"/>
          <w:color w:val="000000" w:themeColor="text1"/>
          <w:kern w:val="22"/>
          <w:szCs w:val="22"/>
        </w:rPr>
        <w:t>(b)</w:t>
      </w:r>
      <w:r w:rsidRPr="006A0C48">
        <w:rPr>
          <w:snapToGrid w:val="0"/>
          <w:color w:val="000000" w:themeColor="text1"/>
          <w:kern w:val="22"/>
          <w:szCs w:val="22"/>
        </w:rPr>
        <w:tab/>
        <w:t>Statistical standards and development under the Statistical Commission or other statistical offices;</w:t>
      </w:r>
    </w:p>
    <w:p w14:paraId="7852B981" w14:textId="77777777" w:rsidR="00005A3C" w:rsidRPr="006A0C48" w:rsidRDefault="00005A3C" w:rsidP="00BC5121">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6A0C48">
        <w:rPr>
          <w:snapToGrid w:val="0"/>
          <w:color w:val="000000" w:themeColor="text1"/>
          <w:kern w:val="22"/>
          <w:szCs w:val="22"/>
        </w:rPr>
        <w:t>(c)</w:t>
      </w:r>
      <w:r w:rsidRPr="006A0C48">
        <w:rPr>
          <w:snapToGrid w:val="0"/>
          <w:color w:val="000000" w:themeColor="text1"/>
          <w:kern w:val="22"/>
          <w:szCs w:val="22"/>
        </w:rPr>
        <w:tab/>
        <w:t>Previous work and experience with other relevant global, regional, national and subnational monitoring frameworks, multilateral environment agreements, and knowledge systems;</w:t>
      </w:r>
    </w:p>
    <w:p w14:paraId="18A37131" w14:textId="77777777" w:rsidR="00005A3C" w:rsidRPr="006A0C48" w:rsidRDefault="00005A3C" w:rsidP="00BC5121">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6A0C48">
        <w:rPr>
          <w:snapToGrid w:val="0"/>
          <w:kern w:val="22"/>
          <w:szCs w:val="22"/>
        </w:rPr>
        <w:t>(d)</w:t>
      </w:r>
      <w:r w:rsidRPr="006A0C48">
        <w:rPr>
          <w:snapToGrid w:val="0"/>
          <w:kern w:val="22"/>
          <w:szCs w:val="22"/>
        </w:rPr>
        <w:tab/>
        <w:t>Recent developments and information on issues related to the indicators, their metadata and baselines.</w:t>
      </w:r>
    </w:p>
    <w:p w14:paraId="513A2ADC" w14:textId="77777777" w:rsidR="00005A3C" w:rsidRPr="006A0C48" w:rsidRDefault="00005A3C" w:rsidP="00BC5121">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Cs w:val="22"/>
        </w:rPr>
      </w:pPr>
      <w:r w:rsidRPr="006A0C48">
        <w:rPr>
          <w:snapToGrid w:val="0"/>
          <w:kern w:val="22"/>
          <w:szCs w:val="22"/>
        </w:rPr>
        <w:lastRenderedPageBreak/>
        <w:t>3.</w:t>
      </w:r>
      <w:r w:rsidRPr="006A0C48">
        <w:rPr>
          <w:snapToGrid w:val="0"/>
          <w:kern w:val="22"/>
          <w:szCs w:val="22"/>
        </w:rPr>
        <w:tab/>
        <w:t>The Ad Hoc Technical Expert Group will be composed of 30 technical experts nominated by Parties, including experts on statistics and experts in relevant social and natural sciences, and up to 15 representatives nominated by observer organizations and other relevant organizations. The Executive Secretary, in consultation with the Bureau of the Subsidiary Body on Scientific, Technical and Technological Advice, will select experts from the nominations submitted by Parties and organizations with due regard to representation of different areas of technical expertise, and ensuring balance in expertise on all aspects of the goals and targets of the Kunming-Montreal Global Biodiversity Framework, also taking into account geographical representation, and the representation of indigenous peoples and local communities, women’s and youth groups, and major stakeholders, gender balance and the special conditions of developing countries, in particular the least developed countries and small island developing States, and countries with economies in transition, also taking into consideration the special situation of developing countries that are most environmentally vulnerable, such as those with arid and semi-arid zones, coastal and mountainous area.</w:t>
      </w:r>
    </w:p>
    <w:p w14:paraId="3F8B0D64" w14:textId="77777777" w:rsidR="00005A3C" w:rsidRPr="006A0C48" w:rsidRDefault="00005A3C" w:rsidP="00BC5121">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Cs w:val="22"/>
        </w:rPr>
      </w:pPr>
      <w:r w:rsidRPr="006A0C48">
        <w:rPr>
          <w:snapToGrid w:val="0"/>
          <w:kern w:val="22"/>
          <w:szCs w:val="22"/>
        </w:rPr>
        <w:t>4.</w:t>
      </w:r>
      <w:r w:rsidRPr="006A0C48">
        <w:rPr>
          <w:snapToGrid w:val="0"/>
          <w:kern w:val="22"/>
          <w:szCs w:val="22"/>
        </w:rPr>
        <w:tab/>
        <w:t>The Ad Hoc Technical Expert Group will nominate two co-chairs from among the selected experts.</w:t>
      </w:r>
    </w:p>
    <w:p w14:paraId="548D9C81" w14:textId="77777777" w:rsidR="00005A3C" w:rsidRPr="006A0C48" w:rsidRDefault="00005A3C" w:rsidP="00BC5121">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Cs w:val="22"/>
        </w:rPr>
      </w:pPr>
      <w:r w:rsidRPr="006A0C48">
        <w:rPr>
          <w:snapToGrid w:val="0"/>
          <w:kern w:val="22"/>
          <w:szCs w:val="22"/>
        </w:rPr>
        <w:t>5.</w:t>
      </w:r>
      <w:r w:rsidRPr="006A0C48">
        <w:rPr>
          <w:snapToGrid w:val="0"/>
          <w:kern w:val="22"/>
          <w:szCs w:val="22"/>
        </w:rPr>
        <w:tab/>
        <w:t>The Chair of the Subsidiary Body on Scientific, Technical and Technological Advice will be invited to participate, ex officio, in the Ad Hoc Technical Expert Group.</w:t>
      </w:r>
    </w:p>
    <w:p w14:paraId="57B9DF46" w14:textId="77777777" w:rsidR="00005A3C" w:rsidRPr="006A0C48" w:rsidRDefault="00005A3C" w:rsidP="00BC5121">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Cs w:val="22"/>
        </w:rPr>
      </w:pPr>
      <w:r w:rsidRPr="006A0C48">
        <w:rPr>
          <w:snapToGrid w:val="0"/>
          <w:kern w:val="22"/>
          <w:szCs w:val="22"/>
        </w:rPr>
        <w:t>6.</w:t>
      </w:r>
      <w:r w:rsidRPr="006A0C48">
        <w:rPr>
          <w:snapToGrid w:val="0"/>
          <w:kern w:val="22"/>
          <w:szCs w:val="22"/>
        </w:rPr>
        <w:tab/>
        <w:t>The Ad Hoc Technical Expert Group may also invite other experts, as appropriate, to contribute their expertise and experiences on specific issues related to the terms of reference of the Ad Hoc Technical Expert Group.</w:t>
      </w:r>
    </w:p>
    <w:p w14:paraId="10B7552D" w14:textId="77777777" w:rsidR="00005A3C" w:rsidRPr="006A0C48" w:rsidRDefault="00005A3C" w:rsidP="00BC5121">
      <w:pPr>
        <w:pStyle w:val="ListParagraph"/>
        <w:suppressLineNumbers/>
        <w:suppressAutoHyphens/>
        <w:kinsoku w:val="0"/>
        <w:overflowPunct w:val="0"/>
        <w:autoSpaceDE w:val="0"/>
        <w:autoSpaceDN w:val="0"/>
        <w:adjustRightInd w:val="0"/>
        <w:snapToGrid w:val="0"/>
        <w:spacing w:before="120" w:after="120"/>
        <w:ind w:left="0"/>
        <w:contextualSpacing w:val="0"/>
        <w:rPr>
          <w:snapToGrid w:val="0"/>
          <w:kern w:val="22"/>
          <w:szCs w:val="22"/>
        </w:rPr>
      </w:pPr>
      <w:r w:rsidRPr="006A0C48">
        <w:rPr>
          <w:snapToGrid w:val="0"/>
          <w:kern w:val="22"/>
          <w:szCs w:val="22"/>
        </w:rPr>
        <w:t>7.</w:t>
      </w:r>
      <w:r w:rsidRPr="006A0C48">
        <w:rPr>
          <w:snapToGrid w:val="0"/>
          <w:kern w:val="22"/>
          <w:szCs w:val="22"/>
        </w:rPr>
        <w:tab/>
        <w:t>The Ad Hoc Technical Expert Group will primarily conduct its work electronically and, subject to the availability of resources, will also meet physically, if possible, at least twice during the intersessional period.</w:t>
      </w:r>
    </w:p>
    <w:p w14:paraId="644B6388" w14:textId="77777777" w:rsidR="00005A3C" w:rsidRPr="006A0C48" w:rsidRDefault="00005A3C" w:rsidP="00BC5121">
      <w:pPr>
        <w:pStyle w:val="ListParagraph"/>
        <w:suppressLineNumbers/>
        <w:suppressAutoHyphens/>
        <w:kinsoku w:val="0"/>
        <w:overflowPunct w:val="0"/>
        <w:autoSpaceDE w:val="0"/>
        <w:autoSpaceDN w:val="0"/>
        <w:adjustRightInd w:val="0"/>
        <w:snapToGrid w:val="0"/>
        <w:spacing w:before="120" w:after="120"/>
        <w:ind w:left="0"/>
        <w:contextualSpacing w:val="0"/>
        <w:rPr>
          <w:snapToGrid w:val="0"/>
          <w:color w:val="000000" w:themeColor="text1"/>
          <w:kern w:val="22"/>
          <w:szCs w:val="22"/>
        </w:rPr>
      </w:pPr>
      <w:r w:rsidRPr="006A0C48">
        <w:rPr>
          <w:snapToGrid w:val="0"/>
          <w:color w:val="000000" w:themeColor="text1"/>
          <w:kern w:val="22"/>
          <w:szCs w:val="22"/>
        </w:rPr>
        <w:t>8.</w:t>
      </w:r>
      <w:r w:rsidRPr="006A0C48">
        <w:rPr>
          <w:snapToGrid w:val="0"/>
          <w:color w:val="000000" w:themeColor="text1"/>
          <w:kern w:val="22"/>
          <w:szCs w:val="22"/>
        </w:rPr>
        <w:tab/>
        <w:t>The Ad Hoc Technical Expert Group should be established and start its work immediately after approval by the Conference of the Parties at its fifteenth meeting and report on its work to the Subsidiary Body on Implementation and the Subsidiary Body on Scientific, Technical and Technological Advice at meetings held prior to the sixteenth meeting of the Conference of the Parties.</w:t>
      </w:r>
    </w:p>
    <w:p w14:paraId="3B363D7C" w14:textId="77777777" w:rsidR="00005A3C" w:rsidRPr="006A0C48" w:rsidRDefault="00005A3C" w:rsidP="00BC5121">
      <w:pPr>
        <w:jc w:val="center"/>
        <w:rPr>
          <w:rFonts w:asciiTheme="majorBidi" w:hAnsiTheme="majorBidi" w:cstheme="majorBidi"/>
          <w:i/>
          <w:iCs/>
          <w:sz w:val="20"/>
          <w:szCs w:val="20"/>
        </w:rPr>
      </w:pPr>
    </w:p>
    <w:p w14:paraId="2AE19929" w14:textId="77777777" w:rsidR="00005A3C" w:rsidRPr="006A0C48" w:rsidRDefault="00005A3C" w:rsidP="00A718E7">
      <w:pPr>
        <w:spacing w:after="120"/>
        <w:jc w:val="left"/>
        <w:rPr>
          <w:bCs/>
          <w:szCs w:val="22"/>
        </w:rPr>
      </w:pPr>
      <w:r w:rsidRPr="006A0C48">
        <w:rPr>
          <w:rFonts w:asciiTheme="majorBidi" w:hAnsiTheme="majorBidi" w:cstheme="majorBidi"/>
          <w:b/>
          <w:bCs/>
          <w:szCs w:val="22"/>
        </w:rPr>
        <w:t xml:space="preserve">Table 1. </w:t>
      </w:r>
      <w:bookmarkStart w:id="40" w:name="_Toc118354969"/>
      <w:r w:rsidRPr="006A0C48">
        <w:rPr>
          <w:b/>
          <w:bCs/>
          <w:szCs w:val="22"/>
        </w:rPr>
        <w:t>Global scale indicators to be considered for further development by the Ad Hoc Technical Expert Group and collated from binary (yes/no) reporting from countries through national reports</w:t>
      </w:r>
      <w:bookmarkEnd w:id="40"/>
    </w:p>
    <w:p w14:paraId="2BBD8EF1" w14:textId="77777777" w:rsidR="00005A3C" w:rsidRPr="006A0C48" w:rsidRDefault="00005A3C" w:rsidP="00BC5121">
      <w:pPr>
        <w:rPr>
          <w:rFonts w:asciiTheme="majorBidi" w:hAnsiTheme="majorBidi" w:cstheme="majorBidi"/>
          <w:i/>
          <w:iCs/>
          <w:color w:val="000000"/>
          <w:kern w:val="22"/>
          <w:sz w:val="20"/>
          <w:szCs w:val="20"/>
        </w:rPr>
      </w:pPr>
      <w:r w:rsidRPr="006A0C48">
        <w:rPr>
          <w:rFonts w:asciiTheme="majorBidi" w:hAnsiTheme="majorBidi" w:cstheme="majorBidi"/>
          <w:i/>
          <w:iCs/>
          <w:color w:val="000000"/>
          <w:kern w:val="22"/>
          <w:sz w:val="20"/>
          <w:szCs w:val="20"/>
        </w:rPr>
        <w:t xml:space="preserve">Note: This table is being shared with the Ad Hoc Technical Expert Group as an indication of the types of binary indicators that might be considered. This text has not been agreed or negotiated. It is being shared for information only. </w:t>
      </w:r>
    </w:p>
    <w:p w14:paraId="22216D3F" w14:textId="77777777" w:rsidR="00005A3C" w:rsidRPr="006A0C48" w:rsidRDefault="00005A3C" w:rsidP="00BC5121">
      <w:pPr>
        <w:rPr>
          <w:rFonts w:asciiTheme="majorBidi" w:hAnsiTheme="majorBidi" w:cstheme="majorBidi"/>
          <w:color w:val="000000"/>
          <w:kern w:val="22"/>
          <w:sz w:val="20"/>
          <w:szCs w:val="20"/>
        </w:rPr>
      </w:pPr>
    </w:p>
    <w:tbl>
      <w:tblPr>
        <w:tblStyle w:val="TableGrid"/>
        <w:tblW w:w="9579" w:type="dxa"/>
        <w:tblLook w:val="04A0" w:firstRow="1" w:lastRow="0" w:firstColumn="1" w:lastColumn="0" w:noHBand="0" w:noVBand="1"/>
      </w:tblPr>
      <w:tblGrid>
        <w:gridCol w:w="1075"/>
        <w:gridCol w:w="8504"/>
      </w:tblGrid>
      <w:tr w:rsidR="00005A3C" w:rsidRPr="006A0C48" w14:paraId="69D4B790" w14:textId="77777777" w:rsidTr="00B00692">
        <w:trPr>
          <w:trHeight w:val="300"/>
          <w:tblHeader/>
        </w:trPr>
        <w:tc>
          <w:tcPr>
            <w:tcW w:w="1075" w:type="dxa"/>
            <w:shd w:val="clear" w:color="auto" w:fill="auto"/>
          </w:tcPr>
          <w:p w14:paraId="7768DE7A" w14:textId="77777777" w:rsidR="00005A3C" w:rsidRPr="006A0C48" w:rsidRDefault="00005A3C" w:rsidP="006726E6">
            <w:pPr>
              <w:spacing w:before="40" w:after="40"/>
              <w:jc w:val="left"/>
              <w:rPr>
                <w:b/>
                <w:bCs/>
                <w:szCs w:val="22"/>
              </w:rPr>
            </w:pPr>
            <w:r w:rsidRPr="006A0C48">
              <w:rPr>
                <w:b/>
                <w:bCs/>
                <w:szCs w:val="22"/>
              </w:rPr>
              <w:t>1. Goal/ Target</w:t>
            </w:r>
          </w:p>
        </w:tc>
        <w:tc>
          <w:tcPr>
            <w:tcW w:w="8504" w:type="dxa"/>
            <w:shd w:val="clear" w:color="auto" w:fill="auto"/>
          </w:tcPr>
          <w:p w14:paraId="0D2BF14C" w14:textId="77777777" w:rsidR="00005A3C" w:rsidRPr="006A0C48" w:rsidRDefault="00005A3C" w:rsidP="00BC5121">
            <w:pPr>
              <w:spacing w:before="40" w:after="40"/>
              <w:rPr>
                <w:b/>
                <w:bCs/>
                <w:szCs w:val="22"/>
              </w:rPr>
            </w:pPr>
            <w:r w:rsidRPr="006A0C48">
              <w:rPr>
                <w:b/>
                <w:bCs/>
                <w:szCs w:val="22"/>
              </w:rPr>
              <w:t>2. Global indicator derived from binary reporting</w:t>
            </w:r>
          </w:p>
        </w:tc>
      </w:tr>
      <w:tr w:rsidR="00005A3C" w:rsidRPr="006A0C48" w14:paraId="272914C0" w14:textId="77777777" w:rsidTr="00B00692">
        <w:tc>
          <w:tcPr>
            <w:tcW w:w="1075" w:type="dxa"/>
            <w:shd w:val="clear" w:color="auto" w:fill="auto"/>
          </w:tcPr>
          <w:p w14:paraId="2093100B" w14:textId="77777777" w:rsidR="00005A3C" w:rsidRPr="006A0C48" w:rsidRDefault="00005A3C" w:rsidP="00BC5121">
            <w:pPr>
              <w:spacing w:before="40" w:after="40"/>
              <w:rPr>
                <w:szCs w:val="22"/>
              </w:rPr>
            </w:pPr>
            <w:r w:rsidRPr="006A0C48">
              <w:rPr>
                <w:szCs w:val="22"/>
              </w:rPr>
              <w:t>B</w:t>
            </w:r>
          </w:p>
        </w:tc>
        <w:tc>
          <w:tcPr>
            <w:tcW w:w="8504" w:type="dxa"/>
            <w:shd w:val="clear" w:color="auto" w:fill="auto"/>
          </w:tcPr>
          <w:p w14:paraId="44DB2BB8" w14:textId="77777777" w:rsidR="00005A3C" w:rsidRPr="006A0C48" w:rsidRDefault="00005A3C" w:rsidP="006726E6">
            <w:pPr>
              <w:spacing w:before="40" w:after="40"/>
              <w:jc w:val="left"/>
              <w:rPr>
                <w:color w:val="000000"/>
                <w:szCs w:val="22"/>
              </w:rPr>
            </w:pPr>
            <w:r w:rsidRPr="006A0C48">
              <w:rPr>
                <w:szCs w:val="22"/>
              </w:rPr>
              <w:t>Number of countries with national constitution or legislation recognizing and implementing and monitoring a right to a healthy environment</w:t>
            </w:r>
          </w:p>
        </w:tc>
      </w:tr>
      <w:tr w:rsidR="00005A3C" w:rsidRPr="006A0C48" w14:paraId="0F6A16B5" w14:textId="77777777" w:rsidTr="00B00692">
        <w:tc>
          <w:tcPr>
            <w:tcW w:w="1075" w:type="dxa"/>
            <w:shd w:val="clear" w:color="auto" w:fill="auto"/>
          </w:tcPr>
          <w:p w14:paraId="6E0DDA98" w14:textId="77777777" w:rsidR="00005A3C" w:rsidRPr="006A0C48" w:rsidRDefault="00005A3C" w:rsidP="00BC5121">
            <w:pPr>
              <w:spacing w:before="40" w:after="40"/>
              <w:rPr>
                <w:szCs w:val="22"/>
              </w:rPr>
            </w:pPr>
            <w:r w:rsidRPr="006A0C48">
              <w:rPr>
                <w:szCs w:val="22"/>
              </w:rPr>
              <w:t>1</w:t>
            </w:r>
          </w:p>
        </w:tc>
        <w:tc>
          <w:tcPr>
            <w:tcW w:w="8504" w:type="dxa"/>
            <w:shd w:val="clear" w:color="auto" w:fill="auto"/>
          </w:tcPr>
          <w:p w14:paraId="2487F90C" w14:textId="77777777" w:rsidR="00005A3C" w:rsidRPr="006A0C48" w:rsidRDefault="00005A3C" w:rsidP="006726E6">
            <w:pPr>
              <w:spacing w:before="40" w:after="40"/>
              <w:jc w:val="left"/>
              <w:rPr>
                <w:szCs w:val="22"/>
              </w:rPr>
            </w:pPr>
            <w:r w:rsidRPr="006A0C48">
              <w:rPr>
                <w:szCs w:val="22"/>
              </w:rPr>
              <w:t>Number of countries using terrestrial and marine spatial planning to identify areas of high biodiversity importance in national development planning</w:t>
            </w:r>
          </w:p>
        </w:tc>
      </w:tr>
      <w:tr w:rsidR="00005A3C" w:rsidRPr="006A0C48" w14:paraId="11A5CF82" w14:textId="77777777" w:rsidTr="00B00692">
        <w:tc>
          <w:tcPr>
            <w:tcW w:w="1075" w:type="dxa"/>
            <w:shd w:val="clear" w:color="auto" w:fill="auto"/>
          </w:tcPr>
          <w:p w14:paraId="73F5CCF5" w14:textId="77777777" w:rsidR="00005A3C" w:rsidRPr="006A0C48" w:rsidRDefault="00005A3C" w:rsidP="00BC5121">
            <w:pPr>
              <w:spacing w:before="40" w:after="40"/>
              <w:rPr>
                <w:szCs w:val="22"/>
              </w:rPr>
            </w:pPr>
            <w:r w:rsidRPr="006A0C48">
              <w:rPr>
                <w:szCs w:val="22"/>
              </w:rPr>
              <w:t>6</w:t>
            </w:r>
          </w:p>
        </w:tc>
        <w:tc>
          <w:tcPr>
            <w:tcW w:w="8504" w:type="dxa"/>
            <w:shd w:val="clear" w:color="auto" w:fill="auto"/>
          </w:tcPr>
          <w:p w14:paraId="37C4BD7A" w14:textId="77777777" w:rsidR="00005A3C" w:rsidRPr="006A0C48" w:rsidRDefault="00005A3C" w:rsidP="006726E6">
            <w:pPr>
              <w:spacing w:before="40" w:after="40"/>
              <w:jc w:val="left"/>
              <w:rPr>
                <w:szCs w:val="22"/>
              </w:rPr>
            </w:pPr>
            <w:r w:rsidRPr="006A0C48">
              <w:rPr>
                <w:szCs w:val="22"/>
              </w:rPr>
              <w:t>Number of countries adopting relevant national legislation and adequately resourcing the prevention or control of invasive alien species</w:t>
            </w:r>
          </w:p>
        </w:tc>
      </w:tr>
      <w:tr w:rsidR="00005A3C" w:rsidRPr="006A0C48" w14:paraId="53376729" w14:textId="77777777" w:rsidTr="00B00692">
        <w:tc>
          <w:tcPr>
            <w:tcW w:w="1075" w:type="dxa"/>
            <w:shd w:val="clear" w:color="auto" w:fill="auto"/>
          </w:tcPr>
          <w:p w14:paraId="21166E11" w14:textId="77777777" w:rsidR="00005A3C" w:rsidRPr="006A0C48" w:rsidRDefault="00005A3C" w:rsidP="00BC5121">
            <w:pPr>
              <w:spacing w:before="40" w:after="40"/>
              <w:rPr>
                <w:szCs w:val="22"/>
              </w:rPr>
            </w:pPr>
            <w:r w:rsidRPr="006A0C48">
              <w:rPr>
                <w:szCs w:val="22"/>
              </w:rPr>
              <w:t>8</w:t>
            </w:r>
          </w:p>
        </w:tc>
        <w:tc>
          <w:tcPr>
            <w:tcW w:w="8504" w:type="dxa"/>
            <w:shd w:val="clear" w:color="auto" w:fill="auto"/>
          </w:tcPr>
          <w:p w14:paraId="748952B9" w14:textId="77777777" w:rsidR="00005A3C" w:rsidRPr="006A0C48" w:rsidRDefault="00005A3C" w:rsidP="006726E6">
            <w:pPr>
              <w:spacing w:before="40" w:after="40"/>
              <w:jc w:val="left"/>
              <w:rPr>
                <w:szCs w:val="22"/>
              </w:rPr>
            </w:pPr>
            <w:r w:rsidRPr="006A0C48">
              <w:rPr>
                <w:szCs w:val="22"/>
              </w:rPr>
              <w:t>Number of countries with nationally determined contributions, long-term strategies, national adaptation plans and adaptation communications that reflect biodiversity</w:t>
            </w:r>
          </w:p>
        </w:tc>
      </w:tr>
      <w:tr w:rsidR="00005A3C" w:rsidRPr="006A0C48" w14:paraId="11A28BFE" w14:textId="77777777" w:rsidTr="00B00692">
        <w:tc>
          <w:tcPr>
            <w:tcW w:w="1075" w:type="dxa"/>
            <w:shd w:val="clear" w:color="auto" w:fill="auto"/>
          </w:tcPr>
          <w:p w14:paraId="0F7D75BA" w14:textId="77777777" w:rsidR="00005A3C" w:rsidRPr="006A0C48" w:rsidRDefault="00005A3C" w:rsidP="00BC5121">
            <w:pPr>
              <w:spacing w:before="40" w:after="40"/>
              <w:rPr>
                <w:szCs w:val="22"/>
              </w:rPr>
            </w:pPr>
            <w:r w:rsidRPr="006A0C48">
              <w:rPr>
                <w:szCs w:val="22"/>
              </w:rPr>
              <w:t>9</w:t>
            </w:r>
          </w:p>
        </w:tc>
        <w:tc>
          <w:tcPr>
            <w:tcW w:w="8504" w:type="dxa"/>
            <w:shd w:val="clear" w:color="auto" w:fill="auto"/>
          </w:tcPr>
          <w:p w14:paraId="5B1A0E46" w14:textId="77777777" w:rsidR="00005A3C" w:rsidRPr="006A0C48" w:rsidRDefault="00005A3C" w:rsidP="006726E6">
            <w:pPr>
              <w:spacing w:before="40" w:after="40"/>
              <w:jc w:val="left"/>
              <w:rPr>
                <w:szCs w:val="22"/>
              </w:rPr>
            </w:pPr>
            <w:r w:rsidRPr="006A0C48">
              <w:rPr>
                <w:szCs w:val="22"/>
              </w:rPr>
              <w:t>Number of countries with legal instruments to regulate the use and trade of wild species, and respecting customary sustainable use by indigenous peoples and local communities</w:t>
            </w:r>
          </w:p>
        </w:tc>
      </w:tr>
      <w:tr w:rsidR="00005A3C" w:rsidRPr="006A0C48" w14:paraId="27CEB915" w14:textId="77777777" w:rsidTr="00B00692">
        <w:tc>
          <w:tcPr>
            <w:tcW w:w="1075" w:type="dxa"/>
            <w:shd w:val="clear" w:color="auto" w:fill="auto"/>
          </w:tcPr>
          <w:p w14:paraId="23E14CB7" w14:textId="77777777" w:rsidR="00005A3C" w:rsidRPr="006A0C48" w:rsidRDefault="00005A3C" w:rsidP="00BC5121">
            <w:pPr>
              <w:spacing w:before="40" w:after="40"/>
              <w:rPr>
                <w:szCs w:val="22"/>
              </w:rPr>
            </w:pPr>
            <w:r w:rsidRPr="006A0C48">
              <w:rPr>
                <w:szCs w:val="22"/>
              </w:rPr>
              <w:lastRenderedPageBreak/>
              <w:t>12</w:t>
            </w:r>
          </w:p>
        </w:tc>
        <w:tc>
          <w:tcPr>
            <w:tcW w:w="8504" w:type="dxa"/>
            <w:shd w:val="clear" w:color="auto" w:fill="auto"/>
          </w:tcPr>
          <w:p w14:paraId="1548E039" w14:textId="77777777" w:rsidR="00005A3C" w:rsidRPr="006A0C48" w:rsidRDefault="00005A3C" w:rsidP="006726E6">
            <w:pPr>
              <w:spacing w:before="40" w:after="40"/>
              <w:jc w:val="left"/>
              <w:rPr>
                <w:rFonts w:eastAsia="DengXian"/>
                <w:bCs/>
                <w:snapToGrid w:val="0"/>
                <w:color w:val="000000"/>
                <w:kern w:val="22"/>
                <w:szCs w:val="22"/>
                <w:lang w:eastAsia="en-CA"/>
              </w:rPr>
            </w:pPr>
            <w:r w:rsidRPr="006A0C48">
              <w:rPr>
                <w:rFonts w:eastAsia="DengXian"/>
                <w:bCs/>
                <w:snapToGrid w:val="0"/>
                <w:color w:val="000000"/>
                <w:kern w:val="22"/>
                <w:szCs w:val="22"/>
                <w:lang w:eastAsia="en-CA"/>
              </w:rPr>
              <w:t>Number of countries with urban sustainability plans referring to green and/or blue spatial management</w:t>
            </w:r>
          </w:p>
        </w:tc>
      </w:tr>
      <w:tr w:rsidR="00005A3C" w:rsidRPr="006A0C48" w14:paraId="3D8C8350" w14:textId="77777777" w:rsidTr="00B00692">
        <w:tc>
          <w:tcPr>
            <w:tcW w:w="1075" w:type="dxa"/>
            <w:shd w:val="clear" w:color="auto" w:fill="auto"/>
          </w:tcPr>
          <w:p w14:paraId="409F3452" w14:textId="77777777" w:rsidR="00005A3C" w:rsidRPr="006A0C48" w:rsidRDefault="00005A3C" w:rsidP="00BC5121">
            <w:pPr>
              <w:spacing w:before="40" w:after="40"/>
              <w:rPr>
                <w:szCs w:val="22"/>
              </w:rPr>
            </w:pPr>
            <w:r w:rsidRPr="006A0C48">
              <w:rPr>
                <w:szCs w:val="22"/>
              </w:rPr>
              <w:t>13 / C</w:t>
            </w:r>
          </w:p>
        </w:tc>
        <w:tc>
          <w:tcPr>
            <w:tcW w:w="8504" w:type="dxa"/>
            <w:shd w:val="clear" w:color="auto" w:fill="auto"/>
          </w:tcPr>
          <w:p w14:paraId="36A6F186" w14:textId="77777777" w:rsidR="00005A3C" w:rsidRPr="006A0C48" w:rsidRDefault="00005A3C" w:rsidP="00BC5121">
            <w:pPr>
              <w:spacing w:before="40" w:after="40"/>
              <w:rPr>
                <w:szCs w:val="22"/>
              </w:rPr>
            </w:pPr>
            <w:r w:rsidRPr="006A0C48">
              <w:rPr>
                <w:rFonts w:eastAsia="DengXian"/>
                <w:bCs/>
                <w:snapToGrid w:val="0"/>
                <w:color w:val="000000"/>
                <w:kern w:val="22"/>
                <w:szCs w:val="22"/>
                <w:lang w:eastAsia="en-CA"/>
              </w:rPr>
              <w:t>Number of countries that have operational legislative, administrative or policy frameworks which relate to Target 13</w:t>
            </w:r>
          </w:p>
        </w:tc>
      </w:tr>
      <w:tr w:rsidR="00005A3C" w:rsidRPr="006A0C48" w14:paraId="2C0B2249" w14:textId="77777777" w:rsidTr="00B00692">
        <w:tc>
          <w:tcPr>
            <w:tcW w:w="1075" w:type="dxa"/>
            <w:shd w:val="clear" w:color="auto" w:fill="auto"/>
          </w:tcPr>
          <w:p w14:paraId="5296618A" w14:textId="77777777" w:rsidR="00005A3C" w:rsidRPr="006A0C48" w:rsidRDefault="00005A3C" w:rsidP="00BC5121">
            <w:pPr>
              <w:spacing w:before="40" w:after="40"/>
              <w:rPr>
                <w:szCs w:val="22"/>
              </w:rPr>
            </w:pPr>
            <w:r w:rsidRPr="006A0C48">
              <w:rPr>
                <w:szCs w:val="22"/>
              </w:rPr>
              <w:t>14</w:t>
            </w:r>
          </w:p>
        </w:tc>
        <w:tc>
          <w:tcPr>
            <w:tcW w:w="8504" w:type="dxa"/>
            <w:shd w:val="clear" w:color="auto" w:fill="auto"/>
          </w:tcPr>
          <w:p w14:paraId="6E28BDED" w14:textId="77777777" w:rsidR="00005A3C" w:rsidRPr="006A0C48" w:rsidRDefault="00005A3C" w:rsidP="00BC5121">
            <w:pPr>
              <w:spacing w:before="40" w:after="40"/>
              <w:rPr>
                <w:szCs w:val="22"/>
              </w:rPr>
            </w:pPr>
            <w:r w:rsidRPr="006A0C48">
              <w:rPr>
                <w:rFonts w:eastAsia="DengXian"/>
                <w:bCs/>
                <w:snapToGrid w:val="0"/>
                <w:color w:val="000000"/>
                <w:kern w:val="22"/>
                <w:szCs w:val="22"/>
                <w:lang w:eastAsia="en-CA"/>
              </w:rPr>
              <w:t>Number of countries with national targets for integrating biodiversity values into policies, regulations, planning, development processes, poverty reduction strategies and accounts at all levels, ensuring that biodiversity values are mainstreamed across all sectors and integrated into assessments of environmental impacts</w:t>
            </w:r>
          </w:p>
        </w:tc>
      </w:tr>
      <w:tr w:rsidR="00005A3C" w:rsidRPr="006A0C48" w14:paraId="7B6E384B" w14:textId="77777777" w:rsidTr="00B00692">
        <w:tc>
          <w:tcPr>
            <w:tcW w:w="1075" w:type="dxa"/>
            <w:shd w:val="clear" w:color="auto" w:fill="auto"/>
          </w:tcPr>
          <w:p w14:paraId="422F27A8" w14:textId="77777777" w:rsidR="00005A3C" w:rsidRPr="006A0C48" w:rsidRDefault="00005A3C" w:rsidP="00BC5121">
            <w:pPr>
              <w:spacing w:before="40" w:after="40"/>
              <w:rPr>
                <w:szCs w:val="22"/>
              </w:rPr>
            </w:pPr>
            <w:r w:rsidRPr="006A0C48">
              <w:rPr>
                <w:szCs w:val="22"/>
              </w:rPr>
              <w:t>15</w:t>
            </w:r>
          </w:p>
        </w:tc>
        <w:tc>
          <w:tcPr>
            <w:tcW w:w="8504" w:type="dxa"/>
            <w:shd w:val="clear" w:color="auto" w:fill="auto"/>
          </w:tcPr>
          <w:p w14:paraId="26112968" w14:textId="77777777" w:rsidR="00005A3C" w:rsidRPr="006A0C48" w:rsidRDefault="00005A3C" w:rsidP="00BC5121">
            <w:pPr>
              <w:keepNext/>
              <w:keepLines/>
              <w:spacing w:before="40" w:after="40"/>
              <w:rPr>
                <w:szCs w:val="22"/>
              </w:rPr>
            </w:pPr>
            <w:r w:rsidRPr="006A0C48">
              <w:rPr>
                <w:rFonts w:eastAsia="DengXian"/>
                <w:bCs/>
                <w:snapToGrid w:val="0"/>
                <w:color w:val="000000"/>
                <w:kern w:val="22"/>
                <w:szCs w:val="22"/>
                <w:lang w:eastAsia="en-CA"/>
              </w:rPr>
              <w:t>Number of countries taking legal, administrative or policy measures to ensure that Target 15 is achieved</w:t>
            </w:r>
          </w:p>
        </w:tc>
      </w:tr>
      <w:tr w:rsidR="00005A3C" w:rsidRPr="006A0C48" w14:paraId="45CFAE0F" w14:textId="77777777" w:rsidTr="00B00692">
        <w:tc>
          <w:tcPr>
            <w:tcW w:w="1075" w:type="dxa"/>
            <w:shd w:val="clear" w:color="auto" w:fill="auto"/>
          </w:tcPr>
          <w:p w14:paraId="4E729A51" w14:textId="77777777" w:rsidR="00005A3C" w:rsidRPr="006A0C48" w:rsidRDefault="00005A3C" w:rsidP="00BC5121">
            <w:pPr>
              <w:spacing w:before="40" w:after="40"/>
              <w:rPr>
                <w:szCs w:val="22"/>
              </w:rPr>
            </w:pPr>
            <w:r w:rsidRPr="006A0C48">
              <w:rPr>
                <w:szCs w:val="22"/>
              </w:rPr>
              <w:t>16</w:t>
            </w:r>
          </w:p>
        </w:tc>
        <w:tc>
          <w:tcPr>
            <w:tcW w:w="8504" w:type="dxa"/>
            <w:shd w:val="clear" w:color="auto" w:fill="auto"/>
          </w:tcPr>
          <w:p w14:paraId="1D97060C" w14:textId="77777777" w:rsidR="00005A3C" w:rsidRPr="006A0C48" w:rsidRDefault="00005A3C" w:rsidP="00BC5121">
            <w:pPr>
              <w:spacing w:before="40" w:after="40"/>
              <w:rPr>
                <w:szCs w:val="22"/>
              </w:rPr>
            </w:pPr>
            <w:r w:rsidRPr="006A0C48">
              <w:rPr>
                <w:color w:val="000000"/>
                <w:szCs w:val="22"/>
                <w:lang w:eastAsia="en-GB"/>
              </w:rPr>
              <w:t>Number of countries developing, adopting or implementing policy instruments aimed at supporting the shift to sustainable consumption and production (SDG Indicator 12.1.1)</w:t>
            </w:r>
          </w:p>
        </w:tc>
      </w:tr>
      <w:tr w:rsidR="00005A3C" w:rsidRPr="006A0C48" w14:paraId="4C51C163" w14:textId="77777777" w:rsidTr="00B00692">
        <w:tc>
          <w:tcPr>
            <w:tcW w:w="1075" w:type="dxa"/>
            <w:shd w:val="clear" w:color="auto" w:fill="auto"/>
          </w:tcPr>
          <w:p w14:paraId="4B555C07" w14:textId="77777777" w:rsidR="00005A3C" w:rsidRPr="006A0C48" w:rsidRDefault="00005A3C" w:rsidP="00BC5121">
            <w:pPr>
              <w:spacing w:before="40" w:after="40"/>
              <w:rPr>
                <w:szCs w:val="22"/>
              </w:rPr>
            </w:pPr>
            <w:r w:rsidRPr="006A0C48">
              <w:rPr>
                <w:szCs w:val="22"/>
              </w:rPr>
              <w:t xml:space="preserve">17 </w:t>
            </w:r>
          </w:p>
        </w:tc>
        <w:tc>
          <w:tcPr>
            <w:tcW w:w="8504" w:type="dxa"/>
            <w:shd w:val="clear" w:color="auto" w:fill="auto"/>
          </w:tcPr>
          <w:p w14:paraId="24B84592" w14:textId="77777777" w:rsidR="00005A3C" w:rsidRPr="006A0C48" w:rsidRDefault="00005A3C" w:rsidP="00BC5121">
            <w:pPr>
              <w:spacing w:before="40" w:after="40"/>
              <w:rPr>
                <w:szCs w:val="22"/>
              </w:rPr>
            </w:pPr>
            <w:r w:rsidRPr="006A0C48">
              <w:rPr>
                <w:rFonts w:eastAsia="DengXian"/>
                <w:bCs/>
                <w:snapToGrid w:val="0"/>
                <w:color w:val="000000"/>
                <w:kern w:val="22"/>
                <w:szCs w:val="22"/>
                <w:lang w:eastAsia="en-CA"/>
              </w:rPr>
              <w:t>Number of countries with capacity and measures in place related to Target 17</w:t>
            </w:r>
          </w:p>
        </w:tc>
      </w:tr>
      <w:tr w:rsidR="00005A3C" w:rsidRPr="006A0C48" w14:paraId="03C522B0" w14:textId="77777777" w:rsidTr="00B00692">
        <w:tc>
          <w:tcPr>
            <w:tcW w:w="1075" w:type="dxa"/>
            <w:shd w:val="clear" w:color="auto" w:fill="auto"/>
          </w:tcPr>
          <w:p w14:paraId="7774DA83" w14:textId="77777777" w:rsidR="00005A3C" w:rsidRPr="006A0C48" w:rsidRDefault="00005A3C" w:rsidP="00BC5121">
            <w:pPr>
              <w:spacing w:before="40" w:after="40"/>
              <w:rPr>
                <w:szCs w:val="22"/>
              </w:rPr>
            </w:pPr>
            <w:r w:rsidRPr="006A0C48">
              <w:rPr>
                <w:szCs w:val="22"/>
              </w:rPr>
              <w:t>22</w:t>
            </w:r>
          </w:p>
        </w:tc>
        <w:tc>
          <w:tcPr>
            <w:tcW w:w="8504" w:type="dxa"/>
            <w:shd w:val="clear" w:color="auto" w:fill="auto"/>
          </w:tcPr>
          <w:p w14:paraId="58EFD4D7" w14:textId="77777777" w:rsidR="00005A3C" w:rsidRPr="006A0C48" w:rsidRDefault="00005A3C" w:rsidP="006726E6">
            <w:pPr>
              <w:spacing w:before="40" w:after="40"/>
              <w:jc w:val="left"/>
              <w:rPr>
                <w:rFonts w:eastAsia="DengXian"/>
                <w:bCs/>
                <w:szCs w:val="22"/>
              </w:rPr>
            </w:pPr>
            <w:r w:rsidRPr="006A0C48">
              <w:rPr>
                <w:rFonts w:eastAsia="DengXian"/>
                <w:bCs/>
                <w:szCs w:val="22"/>
              </w:rPr>
              <w:t>Number of countries recognizing the legal rights of indigenous peoples and local communities, environmental human rights defenders, women, youth and persons with disabilities with respect to their traditional territories, cultures and practices</w:t>
            </w:r>
          </w:p>
        </w:tc>
      </w:tr>
      <w:tr w:rsidR="00005A3C" w:rsidRPr="006A0C48" w14:paraId="014EFBCD" w14:textId="77777777" w:rsidTr="00B00692">
        <w:tc>
          <w:tcPr>
            <w:tcW w:w="1075" w:type="dxa"/>
            <w:shd w:val="clear" w:color="auto" w:fill="auto"/>
          </w:tcPr>
          <w:p w14:paraId="3CD0609A" w14:textId="77777777" w:rsidR="00005A3C" w:rsidRPr="006A0C48" w:rsidRDefault="00005A3C" w:rsidP="00BC5121">
            <w:pPr>
              <w:spacing w:before="40" w:after="40"/>
              <w:rPr>
                <w:szCs w:val="22"/>
              </w:rPr>
            </w:pPr>
            <w:r w:rsidRPr="006A0C48">
              <w:rPr>
                <w:szCs w:val="22"/>
              </w:rPr>
              <w:t>23</w:t>
            </w:r>
          </w:p>
        </w:tc>
        <w:tc>
          <w:tcPr>
            <w:tcW w:w="8504" w:type="dxa"/>
            <w:shd w:val="clear" w:color="auto" w:fill="auto"/>
          </w:tcPr>
          <w:p w14:paraId="2116C34C" w14:textId="77777777" w:rsidR="00005A3C" w:rsidRPr="006A0C48" w:rsidRDefault="00005A3C" w:rsidP="00BC5121">
            <w:pPr>
              <w:spacing w:before="40" w:after="40"/>
              <w:rPr>
                <w:szCs w:val="22"/>
              </w:rPr>
            </w:pPr>
            <w:r w:rsidRPr="006A0C48">
              <w:rPr>
                <w:rFonts w:eastAsia="DengXian"/>
                <w:bCs/>
                <w:szCs w:val="22"/>
              </w:rPr>
              <w:t xml:space="preserve">Number of countries where the legal framework (including customary law) guarantees women’s equal rights to land ownership and/or control    </w:t>
            </w:r>
          </w:p>
        </w:tc>
      </w:tr>
    </w:tbl>
    <w:p w14:paraId="3A16948C" w14:textId="77777777" w:rsidR="00005A3C" w:rsidRDefault="00005A3C" w:rsidP="00BC5121">
      <w:pPr>
        <w:pStyle w:val="ListParagraph"/>
        <w:suppressLineNumbers/>
        <w:suppressAutoHyphens/>
        <w:kinsoku w:val="0"/>
        <w:overflowPunct w:val="0"/>
        <w:autoSpaceDE w:val="0"/>
        <w:autoSpaceDN w:val="0"/>
        <w:adjustRightInd w:val="0"/>
        <w:snapToGrid w:val="0"/>
        <w:spacing w:before="120" w:after="120"/>
        <w:ind w:left="0"/>
        <w:contextualSpacing w:val="0"/>
        <w:jc w:val="center"/>
        <w:rPr>
          <w:snapToGrid w:val="0"/>
          <w:color w:val="000000" w:themeColor="text1"/>
          <w:kern w:val="22"/>
          <w:szCs w:val="22"/>
        </w:rPr>
        <w:sectPr w:rsidR="00005A3C" w:rsidSect="00441700">
          <w:pgSz w:w="12240" w:h="15840"/>
          <w:pgMar w:top="567" w:right="1440" w:bottom="1134" w:left="1440" w:header="709" w:footer="709" w:gutter="0"/>
          <w:cols w:space="708"/>
          <w:docGrid w:linePitch="360"/>
        </w:sectPr>
      </w:pPr>
    </w:p>
    <w:p w14:paraId="7969E194" w14:textId="77777777" w:rsidR="00005A3C" w:rsidRPr="00D236EB" w:rsidRDefault="00005A3C" w:rsidP="0040414C">
      <w:pPr>
        <w:pStyle w:val="decision"/>
        <w:rPr>
          <w:rStyle w:val="BodyTextChar"/>
          <w:rFonts w:eastAsia="Malgun Gothic"/>
          <w:b w:val="0"/>
          <w:bCs/>
        </w:rPr>
      </w:pPr>
      <w:bookmarkStart w:id="41" w:name="_Toc150438804"/>
      <w:bookmarkStart w:id="42" w:name="_Toc150670504"/>
      <w:bookmarkStart w:id="43" w:name="_Toc150670614"/>
      <w:bookmarkStart w:id="44" w:name="_Toc150761116"/>
      <w:r>
        <w:lastRenderedPageBreak/>
        <w:t>15/6.</w:t>
      </w:r>
      <w:r>
        <w:tab/>
        <w:t>Mechanisms for planning, monitoring, reporting and review</w:t>
      </w:r>
      <w:bookmarkEnd w:id="41"/>
      <w:bookmarkEnd w:id="42"/>
      <w:bookmarkEnd w:id="43"/>
      <w:bookmarkEnd w:id="44"/>
    </w:p>
    <w:p w14:paraId="6DFFD384" w14:textId="77777777" w:rsidR="00005A3C" w:rsidRDefault="00005A3C" w:rsidP="00D236EB">
      <w:pPr>
        <w:suppressLineNumbers/>
        <w:suppressAutoHyphens/>
        <w:adjustRightInd w:val="0"/>
        <w:spacing w:before="240" w:after="120"/>
        <w:ind w:firstLine="851"/>
        <w:jc w:val="left"/>
        <w:rPr>
          <w:rFonts w:asciiTheme="majorBidi" w:hAnsiTheme="majorBidi" w:cstheme="majorBidi"/>
          <w:bCs/>
          <w:i/>
          <w:snapToGrid w:val="0"/>
          <w:kern w:val="22"/>
        </w:rPr>
      </w:pPr>
      <w:r>
        <w:rPr>
          <w:rFonts w:asciiTheme="majorBidi" w:hAnsiTheme="majorBidi" w:cstheme="majorBidi"/>
          <w:bCs/>
          <w:i/>
          <w:snapToGrid w:val="0"/>
          <w:kern w:val="22"/>
        </w:rPr>
        <w:t>The Conference of the Parties,</w:t>
      </w:r>
    </w:p>
    <w:p w14:paraId="0A6251CA" w14:textId="77777777" w:rsidR="00005A3C" w:rsidRPr="003D43AF" w:rsidRDefault="00005A3C" w:rsidP="009D6BD6">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D43AF">
        <w:rPr>
          <w:rFonts w:asciiTheme="majorBidi" w:hAnsiTheme="majorBidi" w:cstheme="majorBidi"/>
          <w:bCs/>
          <w:i/>
          <w:snapToGrid w:val="0"/>
          <w:kern w:val="22"/>
        </w:rPr>
        <w:t xml:space="preserve">Recalling </w:t>
      </w:r>
      <w:r w:rsidRPr="003D43AF">
        <w:rPr>
          <w:rFonts w:asciiTheme="majorBidi" w:hAnsiTheme="majorBidi" w:cstheme="majorBidi"/>
          <w:bCs/>
          <w:snapToGrid w:val="0"/>
          <w:kern w:val="22"/>
        </w:rPr>
        <w:t>Articles 6, 23, and 26 of the Convention,</w:t>
      </w:r>
    </w:p>
    <w:p w14:paraId="78E855F8" w14:textId="77777777" w:rsidR="00005A3C" w:rsidRPr="003D43AF"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Pr>
          <w:rFonts w:asciiTheme="majorBidi" w:hAnsiTheme="majorBidi" w:cstheme="majorBidi"/>
          <w:bCs/>
          <w:i/>
          <w:snapToGrid w:val="0"/>
          <w:kern w:val="22"/>
        </w:rPr>
        <w:t>R</w:t>
      </w:r>
      <w:r w:rsidRPr="003D43AF">
        <w:rPr>
          <w:rFonts w:asciiTheme="majorBidi" w:hAnsiTheme="majorBidi" w:cstheme="majorBidi"/>
          <w:bCs/>
          <w:i/>
          <w:snapToGrid w:val="0"/>
          <w:kern w:val="22"/>
        </w:rPr>
        <w:t>ecalling</w:t>
      </w:r>
      <w:r>
        <w:rPr>
          <w:rFonts w:asciiTheme="majorBidi" w:hAnsiTheme="majorBidi" w:cstheme="majorBidi"/>
          <w:bCs/>
          <w:i/>
          <w:snapToGrid w:val="0"/>
          <w:kern w:val="22"/>
        </w:rPr>
        <w:t xml:space="preserve"> also</w:t>
      </w:r>
      <w:r w:rsidRPr="003D43AF">
        <w:rPr>
          <w:rFonts w:asciiTheme="majorBidi" w:hAnsiTheme="majorBidi" w:cstheme="majorBidi"/>
          <w:bCs/>
          <w:snapToGrid w:val="0"/>
          <w:kern w:val="22"/>
        </w:rPr>
        <w:t xml:space="preserve"> decisions IX/8, X/2, X/10, </w:t>
      </w:r>
      <w:r w:rsidRPr="003D43AF">
        <w:rPr>
          <w:rFonts w:asciiTheme="majorBidi" w:hAnsiTheme="majorBidi" w:cstheme="majorBidi"/>
          <w:bCs/>
          <w:snapToGrid w:val="0"/>
          <w:kern w:val="22"/>
          <w:szCs w:val="18"/>
        </w:rPr>
        <w:t xml:space="preserve">XI/10, </w:t>
      </w:r>
      <w:r w:rsidRPr="003D43AF">
        <w:rPr>
          <w:rFonts w:asciiTheme="majorBidi" w:hAnsiTheme="majorBidi" w:cstheme="majorBidi"/>
          <w:bCs/>
          <w:snapToGrid w:val="0"/>
          <w:kern w:val="22"/>
        </w:rPr>
        <w:t>XIII/27, 14/27 and 14/34,</w:t>
      </w:r>
    </w:p>
    <w:p w14:paraId="04371604" w14:textId="77777777" w:rsidR="00005A3C" w:rsidRPr="004F65AE" w:rsidRDefault="00005A3C" w:rsidP="009D6BD6">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iCs/>
          <w:snapToGrid w:val="0"/>
          <w:kern w:val="22"/>
        </w:rPr>
      </w:pPr>
      <w:r>
        <w:rPr>
          <w:rFonts w:asciiTheme="majorBidi" w:hAnsiTheme="majorBidi" w:cstheme="majorBidi"/>
          <w:bCs/>
          <w:i/>
          <w:snapToGrid w:val="0"/>
          <w:kern w:val="22"/>
        </w:rPr>
        <w:t>R</w:t>
      </w:r>
      <w:r w:rsidRPr="003D43AF">
        <w:rPr>
          <w:rFonts w:asciiTheme="majorBidi" w:hAnsiTheme="majorBidi" w:cstheme="majorBidi"/>
          <w:bCs/>
          <w:i/>
          <w:snapToGrid w:val="0"/>
          <w:kern w:val="22"/>
        </w:rPr>
        <w:t>ecalling</w:t>
      </w:r>
      <w:r>
        <w:rPr>
          <w:rFonts w:asciiTheme="majorBidi" w:hAnsiTheme="majorBidi" w:cstheme="majorBidi"/>
          <w:bCs/>
          <w:i/>
          <w:snapToGrid w:val="0"/>
          <w:kern w:val="22"/>
        </w:rPr>
        <w:t xml:space="preserve"> further</w:t>
      </w:r>
      <w:r w:rsidRPr="003D43AF">
        <w:rPr>
          <w:rFonts w:asciiTheme="majorBidi" w:hAnsiTheme="majorBidi" w:cstheme="majorBidi"/>
          <w:bCs/>
          <w:i/>
          <w:snapToGrid w:val="0"/>
          <w:kern w:val="22"/>
        </w:rPr>
        <w:t xml:space="preserve"> </w:t>
      </w:r>
      <w:r w:rsidRPr="003D43AF">
        <w:rPr>
          <w:rFonts w:asciiTheme="majorBidi" w:hAnsiTheme="majorBidi" w:cstheme="majorBidi"/>
          <w:bCs/>
          <w:iCs/>
          <w:snapToGrid w:val="0"/>
          <w:kern w:val="22"/>
        </w:rPr>
        <w:t xml:space="preserve">decision 14/29, in which it recognized that implementation by Parties and underlying commitments needed to be strengthened to bring the global community on a path towards achieving the 2050 </w:t>
      </w:r>
      <w:r w:rsidRPr="004F65AE">
        <w:rPr>
          <w:rFonts w:asciiTheme="majorBidi" w:hAnsiTheme="majorBidi" w:cstheme="majorBidi"/>
          <w:bCs/>
          <w:iCs/>
          <w:snapToGrid w:val="0"/>
          <w:kern w:val="22"/>
        </w:rPr>
        <w:t>Vision laid out in the Strategic Plan for Biodiversity 2011</w:t>
      </w:r>
      <w:r>
        <w:rPr>
          <w:rFonts w:asciiTheme="majorBidi" w:hAnsiTheme="majorBidi" w:cstheme="majorBidi"/>
          <w:bCs/>
          <w:iCs/>
          <w:snapToGrid w:val="0"/>
          <w:kern w:val="22"/>
        </w:rPr>
        <w:t>–</w:t>
      </w:r>
      <w:r w:rsidRPr="004F65AE">
        <w:rPr>
          <w:rFonts w:asciiTheme="majorBidi" w:hAnsiTheme="majorBidi" w:cstheme="majorBidi"/>
          <w:bCs/>
          <w:iCs/>
          <w:snapToGrid w:val="0"/>
          <w:kern w:val="22"/>
        </w:rPr>
        <w:t>2020,</w:t>
      </w:r>
      <w:r w:rsidRPr="00610646">
        <w:rPr>
          <w:rStyle w:val="FootnoteReference"/>
        </w:rPr>
        <w:footnoteReference w:id="40"/>
      </w:r>
      <w:r w:rsidRPr="004F65AE">
        <w:rPr>
          <w:rFonts w:asciiTheme="majorBidi" w:hAnsiTheme="majorBidi" w:cstheme="majorBidi"/>
          <w:bCs/>
          <w:iCs/>
          <w:snapToGrid w:val="0"/>
          <w:kern w:val="22"/>
        </w:rPr>
        <w:t xml:space="preserve"> emphasizing that national reports, provided for in Article 26 of the Convention, continue to be a core element for reviewing progress in implementation as part of the multidimensional review approach, and recognizing that elements of the multidimensional review approach under the Convention should be technically sound, objective, transparent, collaborative and constructive</w:t>
      </w:r>
      <w:r>
        <w:rPr>
          <w:rFonts w:asciiTheme="majorBidi" w:hAnsiTheme="majorBidi" w:cstheme="majorBidi"/>
          <w:bCs/>
          <w:iCs/>
          <w:snapToGrid w:val="0"/>
          <w:kern w:val="22"/>
        </w:rPr>
        <w:t>,</w:t>
      </w:r>
      <w:r w:rsidRPr="004F65AE">
        <w:rPr>
          <w:rFonts w:asciiTheme="majorBidi" w:hAnsiTheme="majorBidi" w:cstheme="majorBidi"/>
          <w:bCs/>
          <w:iCs/>
          <w:snapToGrid w:val="0"/>
          <w:kern w:val="22"/>
        </w:rPr>
        <w:t xml:space="preserve"> and aim to facilitate enhanced efforts by Parties,</w:t>
      </w:r>
    </w:p>
    <w:p w14:paraId="505441F0" w14:textId="77777777" w:rsidR="00005A3C" w:rsidRPr="004F65AE" w:rsidRDefault="00005A3C" w:rsidP="009D6BD6">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18"/>
          <w:lang w:val="en-US"/>
        </w:rPr>
      </w:pPr>
      <w:r w:rsidRPr="004F65AE">
        <w:rPr>
          <w:rFonts w:asciiTheme="majorBidi" w:hAnsiTheme="majorBidi" w:cstheme="majorBidi"/>
          <w:bCs/>
          <w:i/>
          <w:iCs/>
          <w:snapToGrid w:val="0"/>
          <w:kern w:val="22"/>
          <w:szCs w:val="22"/>
        </w:rPr>
        <w:t xml:space="preserve">Recalling </w:t>
      </w:r>
      <w:r w:rsidRPr="004F65AE">
        <w:rPr>
          <w:rFonts w:asciiTheme="majorBidi" w:hAnsiTheme="majorBidi" w:cstheme="majorBidi"/>
          <w:bCs/>
          <w:snapToGrid w:val="0"/>
          <w:kern w:val="22"/>
          <w:szCs w:val="22"/>
        </w:rPr>
        <w:t xml:space="preserve">that national biodiversity strategies and action plans are the main instrument for implementing the Convention at the national level </w:t>
      </w:r>
      <w:r w:rsidRPr="004F65AE">
        <w:rPr>
          <w:rFonts w:asciiTheme="majorBidi" w:hAnsiTheme="majorBidi" w:cstheme="majorBidi"/>
          <w:bCs/>
          <w:snapToGrid w:val="0"/>
          <w:kern w:val="22"/>
          <w:szCs w:val="18"/>
        </w:rPr>
        <w:t>and</w:t>
      </w:r>
      <w:r w:rsidRPr="004F65AE">
        <w:rPr>
          <w:rFonts w:asciiTheme="majorBidi" w:hAnsiTheme="majorBidi" w:cstheme="majorBidi"/>
          <w:bCs/>
          <w:i/>
          <w:iCs/>
          <w:snapToGrid w:val="0"/>
          <w:kern w:val="22"/>
          <w:szCs w:val="18"/>
        </w:rPr>
        <w:t xml:space="preserve"> </w:t>
      </w:r>
      <w:r w:rsidRPr="004F65AE">
        <w:rPr>
          <w:rFonts w:asciiTheme="majorBidi" w:hAnsiTheme="majorBidi" w:cstheme="majorBidi"/>
          <w:bCs/>
          <w:snapToGrid w:val="0"/>
          <w:kern w:val="22"/>
          <w:szCs w:val="18"/>
        </w:rPr>
        <w:t xml:space="preserve">that national reports are the main instrument for monitoring and </w:t>
      </w:r>
      <w:r w:rsidRPr="004F65AE">
        <w:rPr>
          <w:rFonts w:asciiTheme="majorBidi" w:hAnsiTheme="majorBidi" w:cstheme="majorBidi"/>
          <w:bCs/>
          <w:snapToGrid w:val="0"/>
          <w:kern w:val="22"/>
          <w:szCs w:val="18"/>
          <w:lang w:val="en-US"/>
        </w:rPr>
        <w:t xml:space="preserve">reviewing the implementation of the Convention and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Pr>
          <w:rFonts w:asciiTheme="majorBidi" w:hAnsiTheme="majorBidi" w:cstheme="majorBidi"/>
          <w:bCs/>
          <w:snapToGrid w:val="0"/>
          <w:kern w:val="22"/>
          <w:szCs w:val="18"/>
          <w:lang w:val="en-US"/>
        </w:rPr>
        <w:t>G</w:t>
      </w:r>
      <w:r w:rsidRPr="004F65AE">
        <w:rPr>
          <w:rFonts w:asciiTheme="majorBidi" w:hAnsiTheme="majorBidi" w:cstheme="majorBidi"/>
          <w:bCs/>
          <w:snapToGrid w:val="0"/>
          <w:kern w:val="22"/>
          <w:szCs w:val="18"/>
          <w:lang w:val="en-US"/>
        </w:rPr>
        <w:t xml:space="preserve">lobal </w:t>
      </w:r>
      <w:r>
        <w:rPr>
          <w:rFonts w:asciiTheme="majorBidi" w:hAnsiTheme="majorBidi" w:cstheme="majorBidi"/>
          <w:bCs/>
          <w:snapToGrid w:val="0"/>
          <w:kern w:val="22"/>
          <w:szCs w:val="18"/>
          <w:lang w:val="en-US"/>
        </w:rPr>
        <w:t>B</w:t>
      </w:r>
      <w:r w:rsidRPr="004F65AE">
        <w:rPr>
          <w:rFonts w:asciiTheme="majorBidi" w:hAnsiTheme="majorBidi" w:cstheme="majorBidi"/>
          <w:bCs/>
          <w:snapToGrid w:val="0"/>
          <w:kern w:val="22"/>
          <w:szCs w:val="18"/>
          <w:lang w:val="en-US"/>
        </w:rPr>
        <w:t xml:space="preserve">iodiversity </w:t>
      </w:r>
      <w:r>
        <w:rPr>
          <w:rFonts w:asciiTheme="majorBidi" w:hAnsiTheme="majorBidi" w:cstheme="majorBidi"/>
          <w:bCs/>
          <w:snapToGrid w:val="0"/>
          <w:kern w:val="22"/>
          <w:szCs w:val="18"/>
          <w:lang w:val="en-US"/>
        </w:rPr>
        <w:t>F</w:t>
      </w:r>
      <w:r w:rsidRPr="004F65AE">
        <w:rPr>
          <w:rFonts w:asciiTheme="majorBidi" w:hAnsiTheme="majorBidi" w:cstheme="majorBidi"/>
          <w:bCs/>
          <w:snapToGrid w:val="0"/>
          <w:kern w:val="22"/>
          <w:szCs w:val="18"/>
          <w:lang w:val="en-US"/>
        </w:rPr>
        <w:t>ramework,</w:t>
      </w:r>
    </w:p>
    <w:p w14:paraId="4B726DA7" w14:textId="77777777" w:rsidR="00005A3C" w:rsidRPr="004F65AE" w:rsidRDefault="00005A3C" w:rsidP="009D6BD6">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n-US"/>
        </w:rPr>
      </w:pPr>
      <w:r w:rsidRPr="004F65AE">
        <w:rPr>
          <w:rFonts w:asciiTheme="majorBidi" w:hAnsiTheme="majorBidi" w:cstheme="majorBidi"/>
          <w:bCs/>
          <w:snapToGrid w:val="0"/>
          <w:kern w:val="22"/>
          <w:szCs w:val="22"/>
          <w:lang w:val="en-US"/>
        </w:rPr>
        <w:t>1.</w:t>
      </w:r>
      <w:r w:rsidRPr="004F65AE">
        <w:rPr>
          <w:rFonts w:asciiTheme="majorBidi" w:hAnsiTheme="majorBidi" w:cstheme="majorBidi"/>
          <w:bCs/>
          <w:snapToGrid w:val="0"/>
          <w:kern w:val="22"/>
          <w:szCs w:val="22"/>
          <w:lang w:val="en-US"/>
        </w:rPr>
        <w:tab/>
      </w:r>
      <w:r w:rsidRPr="004F65AE">
        <w:rPr>
          <w:rFonts w:asciiTheme="majorBidi" w:hAnsiTheme="majorBidi" w:cstheme="majorBidi"/>
          <w:bCs/>
          <w:i/>
          <w:iCs/>
          <w:snapToGrid w:val="0"/>
          <w:kern w:val="22"/>
          <w:szCs w:val="22"/>
          <w:lang w:val="en-US"/>
        </w:rPr>
        <w:t>Adopts</w:t>
      </w:r>
      <w:r w:rsidRPr="004F65AE">
        <w:rPr>
          <w:rFonts w:asciiTheme="majorBidi" w:hAnsiTheme="majorBidi" w:cstheme="majorBidi"/>
          <w:bCs/>
          <w:snapToGrid w:val="0"/>
          <w:kern w:val="22"/>
          <w:szCs w:val="22"/>
          <w:lang w:val="en-US"/>
        </w:rPr>
        <w:t xml:space="preserve"> an enhanced multidimensional approach to planning, monitoring, reporting and review with a view to enhancing implementation of the Convention on Biological Diversity and </w:t>
      </w:r>
      <w:r>
        <w:rPr>
          <w:rFonts w:asciiTheme="majorBidi" w:hAnsiTheme="majorBidi" w:cstheme="majorBidi"/>
          <w:bCs/>
          <w:snapToGrid w:val="0"/>
          <w:kern w:val="22"/>
          <w:szCs w:val="22"/>
          <w:lang w:val="en-US"/>
        </w:rPr>
        <w:t xml:space="preserve">of </w:t>
      </w:r>
      <w:r w:rsidRPr="004F65AE">
        <w:rPr>
          <w:rFonts w:asciiTheme="majorBidi" w:hAnsiTheme="majorBidi" w:cstheme="majorBidi"/>
          <w:bCs/>
          <w:snapToGrid w:val="0"/>
          <w:kern w:val="22"/>
          <w:szCs w:val="22"/>
          <w:lang w:val="en-US"/>
        </w:rPr>
        <w:t xml:space="preserve">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sidRPr="004F65AE">
        <w:rPr>
          <w:rFonts w:asciiTheme="majorBidi" w:hAnsiTheme="majorBidi" w:cstheme="majorBidi"/>
          <w:bCs/>
          <w:snapToGrid w:val="0"/>
          <w:kern w:val="22"/>
          <w:szCs w:val="22"/>
          <w:lang w:val="en-US"/>
        </w:rPr>
        <w:t>Global Biodiversity Framework, comprising:</w:t>
      </w:r>
    </w:p>
    <w:p w14:paraId="7FE574DC" w14:textId="77777777" w:rsidR="00005A3C" w:rsidRDefault="00005A3C" w:rsidP="009D6BD6">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n-US"/>
        </w:rPr>
      </w:pPr>
      <w:r>
        <w:rPr>
          <w:rFonts w:asciiTheme="majorBidi" w:hAnsiTheme="majorBidi" w:cstheme="majorBidi"/>
          <w:bCs/>
          <w:snapToGrid w:val="0"/>
          <w:kern w:val="22"/>
          <w:szCs w:val="22"/>
          <w:lang w:val="en-US"/>
        </w:rPr>
        <w:t>(</w:t>
      </w:r>
      <w:r w:rsidRPr="004F65AE">
        <w:rPr>
          <w:rFonts w:asciiTheme="majorBidi" w:hAnsiTheme="majorBidi" w:cstheme="majorBidi"/>
          <w:bCs/>
          <w:snapToGrid w:val="0"/>
          <w:kern w:val="22"/>
          <w:szCs w:val="22"/>
          <w:lang w:val="en-US"/>
        </w:rPr>
        <w:t>a</w:t>
      </w:r>
      <w:r w:rsidRPr="00A142CA">
        <w:rPr>
          <w:rFonts w:asciiTheme="majorBidi" w:hAnsiTheme="majorBidi" w:cstheme="majorBidi"/>
          <w:bCs/>
          <w:snapToGrid w:val="0"/>
          <w:kern w:val="22"/>
          <w:szCs w:val="22"/>
          <w:lang w:val="en-US"/>
        </w:rPr>
        <w:t>)</w:t>
      </w:r>
      <w:r>
        <w:rPr>
          <w:rFonts w:asciiTheme="majorBidi" w:hAnsiTheme="majorBidi" w:cstheme="majorBidi"/>
          <w:bCs/>
          <w:snapToGrid w:val="0"/>
          <w:kern w:val="22"/>
          <w:szCs w:val="22"/>
          <w:lang w:val="en-US"/>
        </w:rPr>
        <w:tab/>
      </w:r>
      <w:r w:rsidRPr="00A142CA">
        <w:rPr>
          <w:rFonts w:asciiTheme="majorBidi" w:hAnsiTheme="majorBidi" w:cstheme="majorBidi"/>
          <w:bCs/>
          <w:snapToGrid w:val="0"/>
          <w:kern w:val="22"/>
          <w:szCs w:val="22"/>
          <w:lang w:val="en-US"/>
        </w:rPr>
        <w:t xml:space="preserve">National biodiversity strategies and action plans, revised or updated in alignment with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Pr>
          <w:rFonts w:asciiTheme="majorBidi" w:hAnsiTheme="majorBidi" w:cstheme="majorBidi"/>
          <w:bCs/>
          <w:snapToGrid w:val="0"/>
          <w:kern w:val="22"/>
          <w:szCs w:val="22"/>
          <w:lang w:val="en-US"/>
        </w:rPr>
        <w:t>G</w:t>
      </w:r>
      <w:r w:rsidRPr="00A142CA">
        <w:rPr>
          <w:rFonts w:asciiTheme="majorBidi" w:hAnsiTheme="majorBidi" w:cstheme="majorBidi"/>
          <w:bCs/>
          <w:snapToGrid w:val="0"/>
          <w:kern w:val="22"/>
          <w:szCs w:val="22"/>
          <w:lang w:val="en-US"/>
        </w:rPr>
        <w:t xml:space="preserve">lobal </w:t>
      </w:r>
      <w:r>
        <w:rPr>
          <w:rFonts w:asciiTheme="majorBidi" w:hAnsiTheme="majorBidi" w:cstheme="majorBidi"/>
          <w:bCs/>
          <w:snapToGrid w:val="0"/>
          <w:kern w:val="22"/>
          <w:szCs w:val="22"/>
          <w:lang w:val="en-US"/>
        </w:rPr>
        <w:t>B</w:t>
      </w:r>
      <w:r w:rsidRPr="00A142CA">
        <w:rPr>
          <w:rFonts w:asciiTheme="majorBidi" w:hAnsiTheme="majorBidi" w:cstheme="majorBidi"/>
          <w:bCs/>
          <w:snapToGrid w:val="0"/>
          <w:kern w:val="22"/>
          <w:szCs w:val="22"/>
          <w:lang w:val="en-US"/>
        </w:rPr>
        <w:t xml:space="preserve">iodiversity </w:t>
      </w:r>
      <w:r>
        <w:rPr>
          <w:rFonts w:asciiTheme="majorBidi" w:hAnsiTheme="majorBidi" w:cstheme="majorBidi"/>
          <w:bCs/>
          <w:snapToGrid w:val="0"/>
          <w:kern w:val="22"/>
          <w:szCs w:val="22"/>
          <w:lang w:val="en-US"/>
        </w:rPr>
        <w:t>F</w:t>
      </w:r>
      <w:r w:rsidRPr="00A142CA">
        <w:rPr>
          <w:rFonts w:asciiTheme="majorBidi" w:hAnsiTheme="majorBidi" w:cstheme="majorBidi"/>
          <w:bCs/>
          <w:snapToGrid w:val="0"/>
          <w:kern w:val="22"/>
          <w:szCs w:val="22"/>
          <w:lang w:val="en-US"/>
        </w:rPr>
        <w:t xml:space="preserve">ramework and its goals and targets as the main vehicle for implementation of the </w:t>
      </w:r>
      <w:r>
        <w:rPr>
          <w:rFonts w:asciiTheme="majorBidi" w:hAnsiTheme="majorBidi" w:cstheme="majorBidi"/>
          <w:bCs/>
          <w:snapToGrid w:val="0"/>
          <w:kern w:val="22"/>
          <w:szCs w:val="22"/>
          <w:lang w:val="en-US"/>
        </w:rPr>
        <w:t>Framework</w:t>
      </w:r>
      <w:r w:rsidRPr="00A142CA">
        <w:rPr>
          <w:rFonts w:asciiTheme="majorBidi" w:hAnsiTheme="majorBidi" w:cstheme="majorBidi"/>
          <w:bCs/>
          <w:snapToGrid w:val="0"/>
          <w:kern w:val="22"/>
          <w:szCs w:val="22"/>
          <w:lang w:val="en-US"/>
        </w:rPr>
        <w:t>, including national targets communicated in a standardized format</w:t>
      </w:r>
      <w:r>
        <w:rPr>
          <w:rFonts w:asciiTheme="majorBidi" w:hAnsiTheme="majorBidi" w:cstheme="majorBidi"/>
          <w:bCs/>
          <w:snapToGrid w:val="0"/>
          <w:kern w:val="22"/>
          <w:szCs w:val="22"/>
          <w:lang w:val="en-US"/>
        </w:rPr>
        <w:t xml:space="preserve"> </w:t>
      </w:r>
      <w:r w:rsidRPr="00A142CA">
        <w:rPr>
          <w:rFonts w:asciiTheme="majorBidi" w:hAnsiTheme="majorBidi" w:cstheme="majorBidi"/>
          <w:bCs/>
          <w:snapToGrid w:val="0"/>
          <w:kern w:val="22"/>
          <w:szCs w:val="22"/>
          <w:lang w:val="en-US"/>
        </w:rPr>
        <w:t xml:space="preserve">by </w:t>
      </w:r>
      <w:r>
        <w:rPr>
          <w:rFonts w:asciiTheme="majorBidi" w:hAnsiTheme="majorBidi" w:cstheme="majorBidi"/>
          <w:bCs/>
          <w:snapToGrid w:val="0"/>
          <w:kern w:val="22"/>
          <w:szCs w:val="22"/>
          <w:lang w:val="en-US"/>
        </w:rPr>
        <w:t>the Conference of the Parties at its sixteenth meeting</w:t>
      </w:r>
      <w:r w:rsidRPr="00A142CA">
        <w:rPr>
          <w:rFonts w:asciiTheme="majorBidi" w:hAnsiTheme="majorBidi" w:cstheme="majorBidi"/>
          <w:bCs/>
          <w:snapToGrid w:val="0"/>
          <w:kern w:val="22"/>
          <w:szCs w:val="22"/>
          <w:lang w:val="en-US"/>
        </w:rPr>
        <w:t>;</w:t>
      </w:r>
    </w:p>
    <w:p w14:paraId="20C109EB" w14:textId="77777777" w:rsidR="00005A3C" w:rsidRPr="004F65AE" w:rsidRDefault="00005A3C" w:rsidP="008174C8">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n-US"/>
        </w:rPr>
      </w:pPr>
      <w:r>
        <w:rPr>
          <w:rFonts w:asciiTheme="majorBidi" w:hAnsiTheme="majorBidi" w:cstheme="majorBidi"/>
          <w:bCs/>
          <w:snapToGrid w:val="0"/>
          <w:kern w:val="22"/>
          <w:szCs w:val="22"/>
          <w:lang w:val="en-US"/>
        </w:rPr>
        <w:t>(</w:t>
      </w:r>
      <w:r w:rsidRPr="004F65AE">
        <w:rPr>
          <w:rFonts w:asciiTheme="majorBidi" w:hAnsiTheme="majorBidi" w:cstheme="majorBidi"/>
          <w:bCs/>
          <w:snapToGrid w:val="0"/>
          <w:kern w:val="22"/>
          <w:szCs w:val="22"/>
          <w:lang w:val="en-US"/>
        </w:rPr>
        <w:t>b)</w:t>
      </w:r>
      <w:r>
        <w:rPr>
          <w:rFonts w:asciiTheme="majorBidi" w:hAnsiTheme="majorBidi" w:cstheme="majorBidi"/>
          <w:bCs/>
          <w:snapToGrid w:val="0"/>
          <w:kern w:val="22"/>
          <w:szCs w:val="22"/>
          <w:lang w:val="en-US"/>
        </w:rPr>
        <w:tab/>
      </w:r>
      <w:r w:rsidRPr="004F65AE">
        <w:rPr>
          <w:rFonts w:asciiTheme="majorBidi" w:hAnsiTheme="majorBidi" w:cstheme="majorBidi"/>
          <w:bCs/>
          <w:snapToGrid w:val="0"/>
          <w:kern w:val="22"/>
          <w:szCs w:val="22"/>
          <w:lang w:val="en-US"/>
        </w:rPr>
        <w:t>National reports submitted in 2026 and 2029, including the headline and</w:t>
      </w:r>
      <w:r>
        <w:rPr>
          <w:rFonts w:asciiTheme="majorBidi" w:hAnsiTheme="majorBidi" w:cstheme="majorBidi"/>
          <w:bCs/>
          <w:snapToGrid w:val="0"/>
          <w:kern w:val="22"/>
          <w:szCs w:val="22"/>
          <w:lang w:val="en-US"/>
        </w:rPr>
        <w:t>,</w:t>
      </w:r>
      <w:r w:rsidRPr="004F65AE">
        <w:rPr>
          <w:rFonts w:asciiTheme="majorBidi" w:hAnsiTheme="majorBidi" w:cstheme="majorBidi"/>
          <w:bCs/>
          <w:snapToGrid w:val="0"/>
          <w:kern w:val="22"/>
          <w:szCs w:val="22"/>
          <w:lang w:val="en-US"/>
        </w:rPr>
        <w:t xml:space="preserve"> </w:t>
      </w:r>
      <w:r>
        <w:rPr>
          <w:rFonts w:asciiTheme="majorBidi" w:hAnsiTheme="majorBidi" w:cstheme="majorBidi"/>
          <w:bCs/>
          <w:snapToGrid w:val="0"/>
          <w:kern w:val="22"/>
          <w:szCs w:val="22"/>
          <w:lang w:val="en-US"/>
        </w:rPr>
        <w:t xml:space="preserve">as appropriate, </w:t>
      </w:r>
      <w:r w:rsidRPr="004F65AE">
        <w:rPr>
          <w:rFonts w:asciiTheme="majorBidi" w:hAnsiTheme="majorBidi" w:cstheme="majorBidi"/>
          <w:bCs/>
          <w:snapToGrid w:val="0"/>
          <w:kern w:val="22"/>
          <w:szCs w:val="22"/>
          <w:lang w:val="en-US"/>
        </w:rPr>
        <w:t xml:space="preserve">other indicators adopted in decision </w:t>
      </w:r>
      <w:r w:rsidRPr="003158B8">
        <w:rPr>
          <w:rFonts w:asciiTheme="majorBidi" w:hAnsiTheme="majorBidi" w:cstheme="majorBidi"/>
          <w:bCs/>
          <w:snapToGrid w:val="0"/>
          <w:kern w:val="22"/>
          <w:szCs w:val="22"/>
          <w:lang w:val="en-US"/>
        </w:rPr>
        <w:t>15/5;</w:t>
      </w:r>
    </w:p>
    <w:p w14:paraId="28A648BA" w14:textId="77777777" w:rsidR="00005A3C" w:rsidRPr="004F65AE" w:rsidRDefault="00005A3C" w:rsidP="009D6BD6">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n-US"/>
        </w:rPr>
      </w:pPr>
      <w:r>
        <w:rPr>
          <w:rFonts w:asciiTheme="majorBidi" w:hAnsiTheme="majorBidi" w:cstheme="majorBidi"/>
          <w:bCs/>
          <w:snapToGrid w:val="0"/>
          <w:kern w:val="22"/>
          <w:szCs w:val="22"/>
          <w:lang w:val="en-US"/>
        </w:rPr>
        <w:t>(</w:t>
      </w:r>
      <w:r w:rsidRPr="004F65AE">
        <w:rPr>
          <w:rFonts w:asciiTheme="majorBidi" w:hAnsiTheme="majorBidi" w:cstheme="majorBidi"/>
          <w:bCs/>
          <w:snapToGrid w:val="0"/>
          <w:kern w:val="22"/>
          <w:szCs w:val="22"/>
          <w:lang w:val="en-US"/>
        </w:rPr>
        <w:t>c)</w:t>
      </w:r>
      <w:r>
        <w:rPr>
          <w:rFonts w:asciiTheme="majorBidi" w:hAnsiTheme="majorBidi" w:cstheme="majorBidi"/>
          <w:bCs/>
          <w:snapToGrid w:val="0"/>
          <w:kern w:val="22"/>
          <w:szCs w:val="22"/>
          <w:lang w:val="en-US"/>
        </w:rPr>
        <w:tab/>
      </w:r>
      <w:r w:rsidRPr="004F65AE">
        <w:rPr>
          <w:rFonts w:asciiTheme="majorBidi" w:hAnsiTheme="majorBidi" w:cstheme="majorBidi"/>
          <w:bCs/>
          <w:snapToGrid w:val="0"/>
          <w:kern w:val="22"/>
          <w:szCs w:val="22"/>
          <w:lang w:val="en-US"/>
        </w:rPr>
        <w:t xml:space="preserve">Global analysis of information in </w:t>
      </w:r>
      <w:r>
        <w:rPr>
          <w:rFonts w:asciiTheme="majorBidi" w:hAnsiTheme="majorBidi" w:cstheme="majorBidi"/>
          <w:bCs/>
          <w:snapToGrid w:val="0"/>
          <w:kern w:val="22"/>
          <w:szCs w:val="22"/>
          <w:lang w:val="en-US"/>
        </w:rPr>
        <w:t>n</w:t>
      </w:r>
      <w:r w:rsidRPr="008D5D25">
        <w:rPr>
          <w:rFonts w:asciiTheme="majorBidi" w:hAnsiTheme="majorBidi" w:cstheme="majorBidi"/>
          <w:bCs/>
          <w:snapToGrid w:val="0"/>
          <w:kern w:val="22"/>
          <w:szCs w:val="22"/>
          <w:lang w:val="en-US"/>
        </w:rPr>
        <w:t>ational biodiversity strategies and action plans</w:t>
      </w:r>
      <w:r>
        <w:rPr>
          <w:rFonts w:asciiTheme="majorBidi" w:hAnsiTheme="majorBidi" w:cstheme="majorBidi"/>
          <w:bCs/>
          <w:snapToGrid w:val="0"/>
          <w:kern w:val="22"/>
          <w:szCs w:val="22"/>
          <w:lang w:val="en-US"/>
        </w:rPr>
        <w:t>,</w:t>
      </w:r>
      <w:r w:rsidRPr="008D5D25" w:rsidDel="008D5D25">
        <w:rPr>
          <w:rFonts w:asciiTheme="majorBidi" w:hAnsiTheme="majorBidi" w:cstheme="majorBidi"/>
          <w:bCs/>
          <w:snapToGrid w:val="0"/>
          <w:kern w:val="22"/>
          <w:szCs w:val="22"/>
          <w:lang w:val="en-US"/>
        </w:rPr>
        <w:t xml:space="preserve"> </w:t>
      </w:r>
      <w:r>
        <w:rPr>
          <w:rFonts w:asciiTheme="majorBidi" w:hAnsiTheme="majorBidi" w:cstheme="majorBidi"/>
          <w:bCs/>
          <w:snapToGrid w:val="0"/>
          <w:kern w:val="22"/>
          <w:szCs w:val="22"/>
          <w:lang w:val="en-US"/>
        </w:rPr>
        <w:t xml:space="preserve">including national targets </w:t>
      </w:r>
      <w:r w:rsidRPr="004F65AE">
        <w:rPr>
          <w:rFonts w:asciiTheme="majorBidi" w:hAnsiTheme="majorBidi" w:cstheme="majorBidi"/>
          <w:bCs/>
          <w:snapToGrid w:val="0"/>
          <w:kern w:val="22"/>
          <w:szCs w:val="22"/>
          <w:lang w:val="en-US"/>
        </w:rPr>
        <w:t xml:space="preserve">to assess the contribution towards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Pr>
          <w:rFonts w:asciiTheme="majorBidi" w:hAnsiTheme="majorBidi" w:cstheme="majorBidi"/>
          <w:bCs/>
          <w:snapToGrid w:val="0"/>
          <w:kern w:val="22"/>
          <w:szCs w:val="22"/>
          <w:lang w:val="en-US"/>
        </w:rPr>
        <w:t>Global Biodiversity Framework</w:t>
      </w:r>
      <w:r w:rsidRPr="004F65AE">
        <w:rPr>
          <w:rFonts w:asciiTheme="majorBidi" w:hAnsiTheme="majorBidi" w:cstheme="majorBidi"/>
          <w:bCs/>
          <w:snapToGrid w:val="0"/>
          <w:kern w:val="22"/>
          <w:szCs w:val="22"/>
          <w:lang w:val="en-US"/>
        </w:rPr>
        <w:t xml:space="preserve"> considered </w:t>
      </w:r>
      <w:r>
        <w:rPr>
          <w:rFonts w:asciiTheme="majorBidi" w:hAnsiTheme="majorBidi" w:cstheme="majorBidi"/>
          <w:bCs/>
          <w:snapToGrid w:val="0"/>
          <w:kern w:val="22"/>
          <w:szCs w:val="22"/>
          <w:lang w:val="en-US"/>
        </w:rPr>
        <w:t>by</w:t>
      </w:r>
      <w:r w:rsidRPr="004F65AE">
        <w:rPr>
          <w:rFonts w:asciiTheme="majorBidi" w:hAnsiTheme="majorBidi" w:cstheme="majorBidi"/>
          <w:bCs/>
          <w:snapToGrid w:val="0"/>
          <w:kern w:val="22"/>
          <w:szCs w:val="22"/>
          <w:lang w:val="en-US"/>
        </w:rPr>
        <w:t xml:space="preserve"> </w:t>
      </w:r>
      <w:r>
        <w:rPr>
          <w:rFonts w:asciiTheme="majorBidi" w:hAnsiTheme="majorBidi" w:cstheme="majorBidi"/>
          <w:bCs/>
          <w:snapToGrid w:val="0"/>
          <w:kern w:val="22"/>
          <w:szCs w:val="22"/>
          <w:lang w:val="en-US"/>
        </w:rPr>
        <w:t>the Conference of the Parties</w:t>
      </w:r>
      <w:r w:rsidRPr="004F65AE" w:rsidDel="001212F5">
        <w:rPr>
          <w:rFonts w:asciiTheme="majorBidi" w:hAnsiTheme="majorBidi" w:cstheme="majorBidi"/>
          <w:bCs/>
          <w:snapToGrid w:val="0"/>
          <w:kern w:val="22"/>
          <w:szCs w:val="22"/>
          <w:lang w:val="en-US"/>
        </w:rPr>
        <w:t xml:space="preserve"> </w:t>
      </w:r>
      <w:r>
        <w:rPr>
          <w:rFonts w:asciiTheme="majorBidi" w:hAnsiTheme="majorBidi" w:cstheme="majorBidi"/>
          <w:bCs/>
          <w:snapToGrid w:val="0"/>
          <w:kern w:val="22"/>
          <w:szCs w:val="22"/>
          <w:lang w:val="en-US"/>
        </w:rPr>
        <w:t xml:space="preserve">at its sixteenth meeting </w:t>
      </w:r>
      <w:r w:rsidRPr="004F65AE">
        <w:rPr>
          <w:rFonts w:asciiTheme="majorBidi" w:hAnsiTheme="majorBidi" w:cstheme="majorBidi"/>
          <w:bCs/>
          <w:snapToGrid w:val="0"/>
          <w:kern w:val="22"/>
          <w:szCs w:val="22"/>
          <w:lang w:val="en-US"/>
        </w:rPr>
        <w:t xml:space="preserve">and at each subsequent </w:t>
      </w:r>
      <w:r>
        <w:rPr>
          <w:rFonts w:asciiTheme="majorBidi" w:hAnsiTheme="majorBidi" w:cstheme="majorBidi"/>
          <w:bCs/>
          <w:snapToGrid w:val="0"/>
          <w:kern w:val="22"/>
          <w:szCs w:val="22"/>
          <w:lang w:val="en-US"/>
        </w:rPr>
        <w:t>meeting of the Conference of the Parties</w:t>
      </w:r>
      <w:r w:rsidRPr="004F65AE">
        <w:rPr>
          <w:rFonts w:asciiTheme="majorBidi" w:hAnsiTheme="majorBidi" w:cstheme="majorBidi"/>
          <w:bCs/>
          <w:snapToGrid w:val="0"/>
          <w:kern w:val="22"/>
          <w:szCs w:val="22"/>
          <w:lang w:val="en-US"/>
        </w:rPr>
        <w:t>;</w:t>
      </w:r>
    </w:p>
    <w:p w14:paraId="0E40BE92" w14:textId="77777777" w:rsidR="00005A3C" w:rsidRPr="004F65AE" w:rsidRDefault="00005A3C" w:rsidP="009D6BD6">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n-US"/>
        </w:rPr>
      </w:pPr>
      <w:r>
        <w:rPr>
          <w:rFonts w:asciiTheme="majorBidi" w:hAnsiTheme="majorBidi" w:cstheme="majorBidi"/>
          <w:bCs/>
          <w:snapToGrid w:val="0"/>
          <w:kern w:val="22"/>
          <w:szCs w:val="22"/>
          <w:lang w:val="en-US"/>
        </w:rPr>
        <w:t>(</w:t>
      </w:r>
      <w:r w:rsidRPr="004F65AE">
        <w:rPr>
          <w:rFonts w:asciiTheme="majorBidi" w:hAnsiTheme="majorBidi" w:cstheme="majorBidi"/>
          <w:bCs/>
          <w:snapToGrid w:val="0"/>
          <w:kern w:val="22"/>
          <w:szCs w:val="22"/>
          <w:lang w:val="en-US"/>
        </w:rPr>
        <w:t>d)</w:t>
      </w:r>
      <w:r>
        <w:rPr>
          <w:rFonts w:asciiTheme="majorBidi" w:hAnsiTheme="majorBidi" w:cstheme="majorBidi"/>
          <w:bCs/>
          <w:snapToGrid w:val="0"/>
          <w:kern w:val="22"/>
          <w:szCs w:val="22"/>
          <w:lang w:val="en-US"/>
        </w:rPr>
        <w:tab/>
      </w:r>
      <w:r w:rsidRPr="004F65AE">
        <w:rPr>
          <w:rFonts w:asciiTheme="majorBidi" w:hAnsiTheme="majorBidi" w:cstheme="majorBidi"/>
          <w:bCs/>
          <w:snapToGrid w:val="0"/>
          <w:kern w:val="22"/>
          <w:szCs w:val="22"/>
          <w:lang w:val="en-US"/>
        </w:rPr>
        <w:t xml:space="preserve">Global review of collective progress in the implementation of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Pr>
          <w:rFonts w:asciiTheme="majorBidi" w:hAnsiTheme="majorBidi" w:cstheme="majorBidi"/>
          <w:bCs/>
          <w:snapToGrid w:val="0"/>
          <w:kern w:val="22"/>
          <w:szCs w:val="22"/>
          <w:lang w:val="en-US"/>
        </w:rPr>
        <w:t>Global Biodiversity Framework,</w:t>
      </w:r>
      <w:r w:rsidRPr="004F65AE">
        <w:rPr>
          <w:rFonts w:asciiTheme="majorBidi" w:hAnsiTheme="majorBidi" w:cstheme="majorBidi"/>
          <w:bCs/>
          <w:snapToGrid w:val="0"/>
          <w:kern w:val="22"/>
          <w:szCs w:val="22"/>
          <w:lang w:val="en-US"/>
        </w:rPr>
        <w:t xml:space="preserve"> including the means of implementation</w:t>
      </w:r>
      <w:r>
        <w:rPr>
          <w:rFonts w:asciiTheme="majorBidi" w:hAnsiTheme="majorBidi" w:cstheme="majorBidi"/>
          <w:bCs/>
          <w:snapToGrid w:val="0"/>
          <w:kern w:val="22"/>
          <w:szCs w:val="22"/>
          <w:lang w:val="en-US"/>
        </w:rPr>
        <w:t>, based on national reports and, as appropriate, other sources, to be considered</w:t>
      </w:r>
      <w:r w:rsidRPr="004F65AE">
        <w:rPr>
          <w:rFonts w:asciiTheme="majorBidi" w:hAnsiTheme="majorBidi" w:cstheme="majorBidi"/>
          <w:bCs/>
          <w:snapToGrid w:val="0"/>
          <w:kern w:val="22"/>
          <w:szCs w:val="22"/>
          <w:lang w:val="en-US"/>
        </w:rPr>
        <w:t xml:space="preserve"> </w:t>
      </w:r>
      <w:r>
        <w:rPr>
          <w:rFonts w:asciiTheme="majorBidi" w:hAnsiTheme="majorBidi" w:cstheme="majorBidi"/>
          <w:bCs/>
          <w:snapToGrid w:val="0"/>
          <w:kern w:val="22"/>
          <w:szCs w:val="22"/>
          <w:lang w:val="en-US"/>
        </w:rPr>
        <w:t>by the Conference of the Parties</w:t>
      </w:r>
      <w:r w:rsidRPr="007C7DCC">
        <w:rPr>
          <w:rFonts w:asciiTheme="majorBidi" w:hAnsiTheme="majorBidi" w:cstheme="majorBidi"/>
          <w:bCs/>
          <w:snapToGrid w:val="0"/>
          <w:kern w:val="22"/>
          <w:szCs w:val="22"/>
          <w:lang w:val="en-US"/>
        </w:rPr>
        <w:t xml:space="preserve"> </w:t>
      </w:r>
      <w:r w:rsidRPr="004F65AE">
        <w:rPr>
          <w:rFonts w:asciiTheme="majorBidi" w:hAnsiTheme="majorBidi" w:cstheme="majorBidi"/>
          <w:bCs/>
          <w:snapToGrid w:val="0"/>
          <w:kern w:val="22"/>
          <w:szCs w:val="22"/>
          <w:lang w:val="en-US"/>
        </w:rPr>
        <w:t xml:space="preserve">at </w:t>
      </w:r>
      <w:r>
        <w:rPr>
          <w:rFonts w:asciiTheme="majorBidi" w:hAnsiTheme="majorBidi" w:cstheme="majorBidi"/>
          <w:bCs/>
          <w:snapToGrid w:val="0"/>
          <w:kern w:val="22"/>
          <w:szCs w:val="22"/>
          <w:lang w:val="en-US"/>
        </w:rPr>
        <w:t>its seventeenth and nineteenth meetings</w:t>
      </w:r>
      <w:r w:rsidRPr="004F65AE">
        <w:rPr>
          <w:rFonts w:asciiTheme="majorBidi" w:hAnsiTheme="majorBidi" w:cstheme="majorBidi"/>
          <w:bCs/>
          <w:snapToGrid w:val="0"/>
          <w:kern w:val="22"/>
          <w:szCs w:val="22"/>
          <w:lang w:val="en-US"/>
        </w:rPr>
        <w:t>;</w:t>
      </w:r>
      <w:r>
        <w:rPr>
          <w:rFonts w:asciiTheme="majorBidi" w:hAnsiTheme="majorBidi" w:cstheme="majorBidi"/>
          <w:bCs/>
          <w:snapToGrid w:val="0"/>
          <w:kern w:val="22"/>
          <w:szCs w:val="22"/>
          <w:lang w:val="en-US"/>
        </w:rPr>
        <w:t xml:space="preserve"> </w:t>
      </w:r>
    </w:p>
    <w:p w14:paraId="64DBA6F3" w14:textId="77777777" w:rsidR="00005A3C" w:rsidRDefault="00005A3C" w:rsidP="009D6BD6">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n-US"/>
        </w:rPr>
      </w:pPr>
      <w:r>
        <w:rPr>
          <w:rFonts w:asciiTheme="majorBidi" w:hAnsiTheme="majorBidi" w:cstheme="majorBidi"/>
          <w:bCs/>
          <w:snapToGrid w:val="0"/>
          <w:kern w:val="22"/>
          <w:szCs w:val="22"/>
          <w:lang w:val="en-US"/>
        </w:rPr>
        <w:t>(</w:t>
      </w:r>
      <w:r w:rsidRPr="004F65AE">
        <w:rPr>
          <w:rFonts w:asciiTheme="majorBidi" w:hAnsiTheme="majorBidi" w:cstheme="majorBidi"/>
          <w:bCs/>
          <w:snapToGrid w:val="0"/>
          <w:kern w:val="22"/>
          <w:szCs w:val="22"/>
          <w:lang w:val="en-US"/>
        </w:rPr>
        <w:t>e)</w:t>
      </w:r>
      <w:r>
        <w:rPr>
          <w:rFonts w:asciiTheme="majorBidi" w:hAnsiTheme="majorBidi" w:cstheme="majorBidi"/>
          <w:bCs/>
          <w:snapToGrid w:val="0"/>
          <w:kern w:val="22"/>
          <w:szCs w:val="22"/>
          <w:lang w:val="en-US"/>
        </w:rPr>
        <w:tab/>
      </w:r>
      <w:r w:rsidRPr="004F65AE">
        <w:rPr>
          <w:rFonts w:asciiTheme="majorBidi" w:hAnsiTheme="majorBidi" w:cstheme="majorBidi"/>
          <w:bCs/>
          <w:snapToGrid w:val="0"/>
          <w:kern w:val="22"/>
          <w:szCs w:val="22"/>
          <w:lang w:val="en-US"/>
        </w:rPr>
        <w:t>Voluntary peer reviews</w:t>
      </w:r>
      <w:r>
        <w:rPr>
          <w:rFonts w:asciiTheme="majorBidi" w:hAnsiTheme="majorBidi" w:cstheme="majorBidi"/>
          <w:bCs/>
          <w:snapToGrid w:val="0"/>
          <w:kern w:val="22"/>
          <w:szCs w:val="22"/>
          <w:lang w:val="en-US"/>
        </w:rPr>
        <w:t>;</w:t>
      </w:r>
      <w:r w:rsidRPr="004F65AE">
        <w:rPr>
          <w:rFonts w:asciiTheme="majorBidi" w:hAnsiTheme="majorBidi" w:cstheme="majorBidi"/>
          <w:bCs/>
          <w:snapToGrid w:val="0"/>
          <w:kern w:val="22"/>
          <w:szCs w:val="22"/>
          <w:lang w:val="en-US"/>
        </w:rPr>
        <w:t xml:space="preserve"> </w:t>
      </w:r>
    </w:p>
    <w:p w14:paraId="59A0B628" w14:textId="571E7AE5" w:rsidR="00005A3C" w:rsidRPr="004F65AE" w:rsidRDefault="00005A3C" w:rsidP="009D6BD6">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n-US"/>
        </w:rPr>
      </w:pPr>
      <w:r>
        <w:rPr>
          <w:rFonts w:asciiTheme="majorBidi" w:hAnsiTheme="majorBidi" w:cstheme="majorBidi"/>
          <w:bCs/>
          <w:snapToGrid w:val="0"/>
          <w:kern w:val="22"/>
          <w:szCs w:val="22"/>
          <w:lang w:val="en-US"/>
        </w:rPr>
        <w:t>(f)</w:t>
      </w:r>
      <w:r>
        <w:rPr>
          <w:rFonts w:asciiTheme="majorBidi" w:hAnsiTheme="majorBidi" w:cstheme="majorBidi"/>
          <w:bCs/>
          <w:snapToGrid w:val="0"/>
          <w:kern w:val="22"/>
          <w:szCs w:val="22"/>
          <w:lang w:val="en-US"/>
        </w:rPr>
        <w:tab/>
        <w:t>F</w:t>
      </w:r>
      <w:r w:rsidRPr="004F65AE">
        <w:rPr>
          <w:rFonts w:asciiTheme="majorBidi" w:hAnsiTheme="majorBidi" w:cstheme="majorBidi"/>
          <w:bCs/>
          <w:snapToGrid w:val="0"/>
          <w:kern w:val="22"/>
          <w:szCs w:val="22"/>
          <w:lang w:val="en-US"/>
        </w:rPr>
        <w:t>urther development and testing of an open-ended forum for voluntary count</w:t>
      </w:r>
      <w:r w:rsidR="009256B5">
        <w:rPr>
          <w:rFonts w:asciiTheme="majorBidi" w:hAnsiTheme="majorBidi" w:cstheme="majorBidi"/>
          <w:bCs/>
          <w:snapToGrid w:val="0"/>
          <w:kern w:val="22"/>
          <w:szCs w:val="22"/>
          <w:lang w:val="en-US"/>
        </w:rPr>
        <w:t>r</w:t>
      </w:r>
      <w:r w:rsidRPr="004F65AE">
        <w:rPr>
          <w:rFonts w:asciiTheme="majorBidi" w:hAnsiTheme="majorBidi" w:cstheme="majorBidi"/>
          <w:bCs/>
          <w:snapToGrid w:val="0"/>
          <w:kern w:val="22"/>
          <w:szCs w:val="22"/>
          <w:lang w:val="en-US"/>
        </w:rPr>
        <w:t>y reviews</w:t>
      </w:r>
      <w:r>
        <w:rPr>
          <w:rFonts w:asciiTheme="majorBidi" w:hAnsiTheme="majorBidi" w:cstheme="majorBidi"/>
          <w:bCs/>
          <w:snapToGrid w:val="0"/>
          <w:kern w:val="22"/>
          <w:szCs w:val="22"/>
          <w:lang w:val="en-US"/>
        </w:rPr>
        <w:t>;</w:t>
      </w:r>
    </w:p>
    <w:p w14:paraId="0578FC5E" w14:textId="77777777" w:rsidR="00005A3C" w:rsidRDefault="00005A3C" w:rsidP="009D6BD6">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n-US"/>
        </w:rPr>
      </w:pPr>
      <w:r>
        <w:rPr>
          <w:rFonts w:asciiTheme="majorBidi" w:hAnsiTheme="majorBidi" w:cstheme="majorBidi"/>
          <w:bCs/>
          <w:snapToGrid w:val="0"/>
          <w:kern w:val="22"/>
          <w:szCs w:val="22"/>
          <w:lang w:val="en-US"/>
        </w:rPr>
        <w:t>(g</w:t>
      </w:r>
      <w:r w:rsidRPr="004F65AE">
        <w:rPr>
          <w:rFonts w:asciiTheme="majorBidi" w:hAnsiTheme="majorBidi" w:cstheme="majorBidi"/>
          <w:bCs/>
          <w:snapToGrid w:val="0"/>
          <w:kern w:val="22"/>
          <w:szCs w:val="22"/>
          <w:lang w:val="en-US"/>
        </w:rPr>
        <w:t xml:space="preserve">) </w:t>
      </w:r>
      <w:r>
        <w:rPr>
          <w:rFonts w:asciiTheme="majorBidi" w:hAnsiTheme="majorBidi" w:cstheme="majorBidi"/>
          <w:bCs/>
          <w:snapToGrid w:val="0"/>
          <w:kern w:val="22"/>
          <w:szCs w:val="22"/>
          <w:lang w:val="en-US"/>
        </w:rPr>
        <w:tab/>
        <w:t>I</w:t>
      </w:r>
      <w:r w:rsidRPr="004F65AE">
        <w:rPr>
          <w:rFonts w:asciiTheme="majorBidi" w:hAnsiTheme="majorBidi" w:cstheme="majorBidi"/>
          <w:bCs/>
          <w:snapToGrid w:val="0"/>
          <w:kern w:val="22"/>
          <w:szCs w:val="22"/>
          <w:lang w:val="en-US"/>
        </w:rPr>
        <w:t>nformation on non-</w:t>
      </w:r>
      <w:r>
        <w:rPr>
          <w:rFonts w:asciiTheme="majorBidi" w:hAnsiTheme="majorBidi" w:cstheme="majorBidi"/>
          <w:bCs/>
          <w:snapToGrid w:val="0"/>
          <w:kern w:val="22"/>
          <w:szCs w:val="22"/>
          <w:lang w:val="en-US"/>
        </w:rPr>
        <w:t>S</w:t>
      </w:r>
      <w:r w:rsidRPr="004F65AE">
        <w:rPr>
          <w:rFonts w:asciiTheme="majorBidi" w:hAnsiTheme="majorBidi" w:cstheme="majorBidi"/>
          <w:bCs/>
          <w:snapToGrid w:val="0"/>
          <w:kern w:val="22"/>
          <w:szCs w:val="22"/>
          <w:lang w:val="en-US"/>
        </w:rPr>
        <w:t xml:space="preserve">tate actor commitments towards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Pr>
          <w:rFonts w:asciiTheme="majorBidi" w:hAnsiTheme="majorBidi" w:cstheme="majorBidi"/>
          <w:bCs/>
          <w:snapToGrid w:val="0"/>
          <w:kern w:val="22"/>
          <w:szCs w:val="22"/>
          <w:lang w:val="en-US"/>
        </w:rPr>
        <w:t>Global Biodiversity Framework;</w:t>
      </w:r>
    </w:p>
    <w:p w14:paraId="0D7661D7" w14:textId="77777777" w:rsidR="00005A3C" w:rsidRDefault="00005A3C" w:rsidP="008174C8">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n-US"/>
        </w:rPr>
      </w:pPr>
      <w:r>
        <w:rPr>
          <w:rFonts w:asciiTheme="majorBidi" w:hAnsiTheme="majorBidi" w:cstheme="majorBidi"/>
          <w:bCs/>
          <w:snapToGrid w:val="0"/>
          <w:kern w:val="22"/>
          <w:szCs w:val="22"/>
          <w:lang w:val="en-US"/>
        </w:rPr>
        <w:t>2.</w:t>
      </w:r>
      <w:r>
        <w:rPr>
          <w:rFonts w:asciiTheme="majorBidi" w:hAnsiTheme="majorBidi" w:cstheme="majorBidi"/>
          <w:bCs/>
          <w:snapToGrid w:val="0"/>
          <w:kern w:val="22"/>
          <w:szCs w:val="22"/>
          <w:lang w:val="en-US"/>
        </w:rPr>
        <w:tab/>
      </w:r>
      <w:r>
        <w:rPr>
          <w:rFonts w:asciiTheme="majorBidi" w:hAnsiTheme="majorBidi" w:cstheme="majorBidi"/>
          <w:bCs/>
          <w:i/>
          <w:iCs/>
          <w:snapToGrid w:val="0"/>
          <w:kern w:val="22"/>
          <w:szCs w:val="22"/>
          <w:lang w:val="en-US"/>
        </w:rPr>
        <w:t>Decides</w:t>
      </w:r>
      <w:r w:rsidRPr="00A142CA">
        <w:rPr>
          <w:rFonts w:asciiTheme="majorBidi" w:hAnsiTheme="majorBidi" w:cstheme="majorBidi"/>
          <w:bCs/>
          <w:snapToGrid w:val="0"/>
          <w:kern w:val="22"/>
          <w:szCs w:val="22"/>
          <w:lang w:val="en-US"/>
        </w:rPr>
        <w:t xml:space="preserve"> that</w:t>
      </w:r>
      <w:r>
        <w:rPr>
          <w:rFonts w:asciiTheme="majorBidi" w:hAnsiTheme="majorBidi" w:cstheme="majorBidi"/>
          <w:bCs/>
          <w:i/>
          <w:iCs/>
          <w:snapToGrid w:val="0"/>
          <w:kern w:val="22"/>
          <w:szCs w:val="22"/>
          <w:lang w:val="en-US"/>
        </w:rPr>
        <w:t xml:space="preserve"> </w:t>
      </w:r>
      <w:r>
        <w:rPr>
          <w:rFonts w:asciiTheme="majorBidi" w:hAnsiTheme="majorBidi" w:cstheme="majorBidi"/>
          <w:bCs/>
          <w:snapToGrid w:val="0"/>
          <w:kern w:val="22"/>
          <w:szCs w:val="22"/>
          <w:lang w:val="en-US"/>
        </w:rPr>
        <w:t xml:space="preserve">future meetings of the Conference of the Parties will consider and provide any recommendations, as necessary, with a view to achieving the goals and targets of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Pr>
          <w:rFonts w:asciiTheme="majorBidi" w:hAnsiTheme="majorBidi" w:cstheme="majorBidi"/>
          <w:bCs/>
          <w:snapToGrid w:val="0"/>
          <w:kern w:val="22"/>
          <w:szCs w:val="22"/>
          <w:lang w:val="en-US"/>
        </w:rPr>
        <w:t>Global Biodiversity Framework;</w:t>
      </w:r>
    </w:p>
    <w:p w14:paraId="119437B8" w14:textId="77777777" w:rsidR="00005A3C" w:rsidRPr="004F65AE" w:rsidRDefault="00005A3C" w:rsidP="008174C8">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lang w:val="en-US"/>
        </w:rPr>
      </w:pPr>
      <w:r>
        <w:rPr>
          <w:rFonts w:asciiTheme="majorBidi" w:hAnsiTheme="majorBidi" w:cstheme="majorBidi"/>
          <w:bCs/>
          <w:snapToGrid w:val="0"/>
          <w:kern w:val="22"/>
          <w:szCs w:val="22"/>
          <w:lang w:val="en-US"/>
        </w:rPr>
        <w:t>3.</w:t>
      </w:r>
      <w:r w:rsidRPr="00B90392">
        <w:rPr>
          <w:rFonts w:asciiTheme="majorBidi" w:hAnsiTheme="majorBidi" w:cstheme="majorBidi"/>
          <w:bCs/>
          <w:i/>
          <w:iCs/>
          <w:snapToGrid w:val="0"/>
          <w:kern w:val="22"/>
          <w:szCs w:val="22"/>
          <w:lang w:val="en-US"/>
        </w:rPr>
        <w:t xml:space="preserve"> </w:t>
      </w:r>
      <w:r>
        <w:rPr>
          <w:rFonts w:asciiTheme="majorBidi" w:hAnsiTheme="majorBidi" w:cstheme="majorBidi"/>
          <w:bCs/>
          <w:i/>
          <w:iCs/>
          <w:snapToGrid w:val="0"/>
          <w:kern w:val="22"/>
          <w:szCs w:val="22"/>
          <w:lang w:val="en-US"/>
        </w:rPr>
        <w:tab/>
        <w:t>Also d</w:t>
      </w:r>
      <w:r w:rsidRPr="00B90392">
        <w:rPr>
          <w:rFonts w:asciiTheme="majorBidi" w:hAnsiTheme="majorBidi" w:cstheme="majorBidi"/>
          <w:bCs/>
          <w:i/>
          <w:iCs/>
          <w:snapToGrid w:val="0"/>
          <w:kern w:val="22"/>
          <w:szCs w:val="22"/>
          <w:lang w:val="en-US"/>
        </w:rPr>
        <w:t>ecides</w:t>
      </w:r>
      <w:r w:rsidRPr="00B90392">
        <w:rPr>
          <w:rFonts w:asciiTheme="majorBidi" w:hAnsiTheme="majorBidi" w:cstheme="majorBidi"/>
          <w:bCs/>
          <w:snapToGrid w:val="0"/>
          <w:kern w:val="22"/>
          <w:szCs w:val="22"/>
          <w:lang w:val="en-US"/>
        </w:rPr>
        <w:t xml:space="preserve"> that the enhanced multidimensional approach to planning, monitoring, reporting and review will be undertaken in a facilitative, non-intrusive</w:t>
      </w:r>
      <w:r>
        <w:rPr>
          <w:rFonts w:asciiTheme="majorBidi" w:hAnsiTheme="majorBidi" w:cstheme="majorBidi"/>
          <w:bCs/>
          <w:snapToGrid w:val="0"/>
          <w:kern w:val="22"/>
          <w:szCs w:val="22"/>
          <w:lang w:val="en-US"/>
        </w:rPr>
        <w:t xml:space="preserve"> and</w:t>
      </w:r>
      <w:r w:rsidRPr="00B90392">
        <w:rPr>
          <w:rFonts w:asciiTheme="majorBidi" w:hAnsiTheme="majorBidi" w:cstheme="majorBidi"/>
          <w:bCs/>
          <w:snapToGrid w:val="0"/>
          <w:kern w:val="22"/>
          <w:szCs w:val="22"/>
          <w:lang w:val="en-US"/>
        </w:rPr>
        <w:t xml:space="preserve"> non</w:t>
      </w:r>
      <w:r>
        <w:rPr>
          <w:rFonts w:asciiTheme="majorBidi" w:hAnsiTheme="majorBidi" w:cstheme="majorBidi"/>
          <w:bCs/>
          <w:snapToGrid w:val="0"/>
          <w:kern w:val="22"/>
          <w:szCs w:val="22"/>
          <w:lang w:val="en-US"/>
        </w:rPr>
        <w:t>-</w:t>
      </w:r>
      <w:r w:rsidRPr="00B90392">
        <w:rPr>
          <w:rFonts w:asciiTheme="majorBidi" w:hAnsiTheme="majorBidi" w:cstheme="majorBidi"/>
          <w:bCs/>
          <w:snapToGrid w:val="0"/>
          <w:kern w:val="22"/>
          <w:szCs w:val="22"/>
          <w:lang w:val="en-US"/>
        </w:rPr>
        <w:t>punitive manner, respecting national sovereignty and avoiding placing undue burden on Parties, in particular developing countries</w:t>
      </w:r>
      <w:r>
        <w:rPr>
          <w:rFonts w:asciiTheme="majorBidi" w:hAnsiTheme="majorBidi" w:cstheme="majorBidi"/>
          <w:bCs/>
          <w:snapToGrid w:val="0"/>
          <w:kern w:val="22"/>
          <w:szCs w:val="22"/>
          <w:lang w:val="en-US"/>
        </w:rPr>
        <w:t>;</w:t>
      </w:r>
      <w:r w:rsidRPr="00B90392" w:rsidDel="00B36BFB">
        <w:rPr>
          <w:rFonts w:asciiTheme="majorBidi" w:hAnsiTheme="majorBidi" w:cstheme="majorBidi"/>
          <w:bCs/>
          <w:snapToGrid w:val="0"/>
          <w:kern w:val="22"/>
          <w:szCs w:val="22"/>
          <w:lang w:val="en-US"/>
        </w:rPr>
        <w:t xml:space="preserve"> </w:t>
      </w:r>
    </w:p>
    <w:p w14:paraId="7E2A53AC" w14:textId="77777777" w:rsidR="00005A3C" w:rsidRDefault="00005A3C" w:rsidP="008174C8">
      <w:pPr>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Cs/>
          <w:snapToGrid w:val="0"/>
          <w:kern w:val="22"/>
          <w:szCs w:val="22"/>
        </w:rPr>
      </w:pPr>
      <w:r>
        <w:rPr>
          <w:rFonts w:asciiTheme="majorBidi" w:hAnsiTheme="majorBidi" w:cstheme="majorBidi"/>
          <w:bCs/>
          <w:snapToGrid w:val="0"/>
          <w:kern w:val="22"/>
          <w:szCs w:val="22"/>
        </w:rPr>
        <w:lastRenderedPageBreak/>
        <w:t>4</w:t>
      </w:r>
      <w:r w:rsidRPr="004F65AE">
        <w:rPr>
          <w:rFonts w:asciiTheme="majorBidi" w:hAnsiTheme="majorBidi" w:cstheme="majorBidi"/>
          <w:bCs/>
          <w:snapToGrid w:val="0"/>
          <w:kern w:val="22"/>
          <w:szCs w:val="22"/>
        </w:rPr>
        <w:t>.</w:t>
      </w:r>
      <w:r w:rsidRPr="004F65AE">
        <w:rPr>
          <w:rFonts w:asciiTheme="majorBidi" w:hAnsiTheme="majorBidi" w:cstheme="majorBidi"/>
          <w:bCs/>
          <w:snapToGrid w:val="0"/>
          <w:kern w:val="22"/>
          <w:szCs w:val="22"/>
        </w:rPr>
        <w:tab/>
      </w:r>
      <w:r w:rsidRPr="004F65AE">
        <w:rPr>
          <w:rFonts w:asciiTheme="majorBidi" w:hAnsiTheme="majorBidi" w:cstheme="majorBidi"/>
          <w:bCs/>
          <w:i/>
          <w:iCs/>
          <w:snapToGrid w:val="0"/>
          <w:kern w:val="22"/>
          <w:szCs w:val="22"/>
        </w:rPr>
        <w:t>Encourages</w:t>
      </w:r>
      <w:r w:rsidRPr="004F65AE">
        <w:rPr>
          <w:rFonts w:asciiTheme="majorBidi" w:hAnsiTheme="majorBidi" w:cstheme="majorBidi"/>
          <w:bCs/>
          <w:snapToGrid w:val="0"/>
          <w:kern w:val="22"/>
          <w:szCs w:val="22"/>
        </w:rPr>
        <w:t xml:space="preserve"> Parties to apply the </w:t>
      </w:r>
      <w:r>
        <w:rPr>
          <w:rFonts w:asciiTheme="majorBidi" w:hAnsiTheme="majorBidi" w:cstheme="majorBidi"/>
          <w:bCs/>
          <w:snapToGrid w:val="0"/>
          <w:kern w:val="22"/>
          <w:szCs w:val="22"/>
        </w:rPr>
        <w:t>G</w:t>
      </w:r>
      <w:r w:rsidRPr="004F65AE">
        <w:rPr>
          <w:rFonts w:asciiTheme="majorBidi" w:hAnsiTheme="majorBidi" w:cstheme="majorBidi"/>
          <w:bCs/>
          <w:snapToGrid w:val="0"/>
          <w:kern w:val="22"/>
          <w:szCs w:val="22"/>
        </w:rPr>
        <w:t xml:space="preserve">ender </w:t>
      </w:r>
      <w:r>
        <w:rPr>
          <w:rFonts w:asciiTheme="majorBidi" w:hAnsiTheme="majorBidi" w:cstheme="majorBidi"/>
          <w:bCs/>
          <w:snapToGrid w:val="0"/>
          <w:kern w:val="22"/>
          <w:szCs w:val="22"/>
        </w:rPr>
        <w:t>P</w:t>
      </w:r>
      <w:r w:rsidRPr="004F65AE">
        <w:rPr>
          <w:rFonts w:asciiTheme="majorBidi" w:hAnsiTheme="majorBidi" w:cstheme="majorBidi"/>
          <w:bCs/>
          <w:snapToGrid w:val="0"/>
          <w:kern w:val="22"/>
          <w:szCs w:val="22"/>
        </w:rPr>
        <w:t xml:space="preserve">lan of </w:t>
      </w:r>
      <w:r>
        <w:rPr>
          <w:rFonts w:asciiTheme="majorBidi" w:hAnsiTheme="majorBidi" w:cstheme="majorBidi"/>
          <w:bCs/>
          <w:snapToGrid w:val="0"/>
          <w:kern w:val="22"/>
          <w:szCs w:val="22"/>
        </w:rPr>
        <w:t>A</w:t>
      </w:r>
      <w:r w:rsidRPr="004F65AE">
        <w:rPr>
          <w:rFonts w:asciiTheme="majorBidi" w:hAnsiTheme="majorBidi" w:cstheme="majorBidi"/>
          <w:bCs/>
          <w:snapToGrid w:val="0"/>
          <w:kern w:val="22"/>
          <w:szCs w:val="22"/>
        </w:rPr>
        <w:t>ction</w:t>
      </w:r>
      <w:r w:rsidRPr="00610646">
        <w:rPr>
          <w:rStyle w:val="FootnoteReference"/>
        </w:rPr>
        <w:footnoteReference w:id="41"/>
      </w:r>
      <w:r w:rsidRPr="004F65AE">
        <w:rPr>
          <w:rFonts w:asciiTheme="majorBidi" w:hAnsiTheme="majorBidi" w:cstheme="majorBidi"/>
          <w:bCs/>
          <w:snapToGrid w:val="0"/>
          <w:kern w:val="22"/>
          <w:szCs w:val="22"/>
        </w:rPr>
        <w:t xml:space="preserve"> in all aspects and at all scales of planning, implementation, reporting and review related to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sidRPr="004F65AE">
        <w:rPr>
          <w:rFonts w:asciiTheme="majorBidi" w:hAnsiTheme="majorBidi" w:cstheme="majorBidi"/>
          <w:bCs/>
          <w:snapToGrid w:val="0"/>
          <w:kern w:val="22"/>
          <w:szCs w:val="22"/>
        </w:rPr>
        <w:t xml:space="preserve">Global Biodiversity Framework; </w:t>
      </w:r>
    </w:p>
    <w:p w14:paraId="38D8F8C7" w14:textId="77777777" w:rsidR="00005A3C" w:rsidRPr="004F65AE" w:rsidRDefault="00005A3C" w:rsidP="009D6BD6">
      <w:pPr>
        <w:keepNext/>
        <w:suppressLineNumbers/>
        <w:tabs>
          <w:tab w:val="left" w:pos="720"/>
        </w:tabs>
        <w:suppressAutoHyphens/>
        <w:kinsoku w:val="0"/>
        <w:overflowPunct w:val="0"/>
        <w:autoSpaceDE w:val="0"/>
        <w:autoSpaceDN w:val="0"/>
        <w:adjustRightInd w:val="0"/>
        <w:spacing w:before="120" w:after="120"/>
        <w:ind w:firstLine="851"/>
        <w:rPr>
          <w:rFonts w:asciiTheme="majorBidi" w:hAnsiTheme="majorBidi" w:cstheme="majorBidi"/>
          <w:b/>
          <w:snapToGrid w:val="0"/>
          <w:kern w:val="22"/>
          <w:szCs w:val="22"/>
        </w:rPr>
      </w:pPr>
      <w:r w:rsidRPr="004F65AE">
        <w:rPr>
          <w:rFonts w:asciiTheme="majorBidi" w:hAnsiTheme="majorBidi" w:cstheme="majorBidi"/>
          <w:b/>
          <w:snapToGrid w:val="0"/>
          <w:kern w:val="22"/>
          <w:szCs w:val="22"/>
        </w:rPr>
        <w:t xml:space="preserve">Planning </w:t>
      </w:r>
    </w:p>
    <w:p w14:paraId="76CCB78B" w14:textId="77777777" w:rsidR="00005A3C" w:rsidRPr="004F65AE" w:rsidRDefault="00005A3C" w:rsidP="009D6BD6">
      <w:pPr>
        <w:suppressLineNumbers/>
        <w:suppressAutoHyphens/>
        <w:adjustRightInd w:val="0"/>
        <w:snapToGrid w:val="0"/>
        <w:spacing w:before="120" w:after="120"/>
        <w:ind w:firstLine="851"/>
        <w:rPr>
          <w:rFonts w:asciiTheme="majorBidi" w:hAnsiTheme="majorBidi" w:cstheme="majorBidi"/>
          <w:bCs/>
          <w:snapToGrid w:val="0"/>
          <w:kern w:val="22"/>
          <w:szCs w:val="22"/>
        </w:rPr>
      </w:pPr>
      <w:r>
        <w:rPr>
          <w:rFonts w:asciiTheme="majorBidi" w:hAnsiTheme="majorBidi" w:cstheme="majorBidi"/>
          <w:bCs/>
          <w:snapToGrid w:val="0"/>
          <w:kern w:val="22"/>
          <w:szCs w:val="22"/>
        </w:rPr>
        <w:t>5</w:t>
      </w:r>
      <w:r w:rsidRPr="004F65AE">
        <w:rPr>
          <w:rFonts w:asciiTheme="majorBidi" w:hAnsiTheme="majorBidi" w:cstheme="majorBidi"/>
          <w:bCs/>
          <w:snapToGrid w:val="0"/>
          <w:kern w:val="22"/>
          <w:szCs w:val="22"/>
        </w:rPr>
        <w:t>.</w:t>
      </w:r>
      <w:r w:rsidRPr="004F65AE">
        <w:rPr>
          <w:rFonts w:asciiTheme="majorBidi" w:hAnsiTheme="majorBidi" w:cstheme="majorBidi"/>
          <w:bCs/>
          <w:i/>
          <w:iCs/>
          <w:snapToGrid w:val="0"/>
          <w:kern w:val="22"/>
          <w:szCs w:val="22"/>
        </w:rPr>
        <w:tab/>
        <w:t xml:space="preserve">Adopts </w:t>
      </w:r>
      <w:r w:rsidRPr="004F65AE">
        <w:rPr>
          <w:rFonts w:asciiTheme="majorBidi" w:hAnsiTheme="majorBidi" w:cstheme="majorBidi"/>
          <w:bCs/>
          <w:snapToGrid w:val="0"/>
          <w:kern w:val="22"/>
          <w:szCs w:val="22"/>
        </w:rPr>
        <w:t>the guidance for revising and updating national biodiversity strategies and action plans</w:t>
      </w:r>
      <w:r>
        <w:rPr>
          <w:rFonts w:asciiTheme="majorBidi" w:hAnsiTheme="majorBidi" w:cstheme="majorBidi"/>
          <w:bCs/>
          <w:snapToGrid w:val="0"/>
          <w:kern w:val="22"/>
          <w:szCs w:val="22"/>
        </w:rPr>
        <w:t xml:space="preserve"> contained</w:t>
      </w:r>
      <w:r w:rsidRPr="004F65AE">
        <w:rPr>
          <w:rFonts w:asciiTheme="majorBidi" w:hAnsiTheme="majorBidi" w:cstheme="majorBidi"/>
          <w:bCs/>
          <w:snapToGrid w:val="0"/>
          <w:kern w:val="22"/>
          <w:szCs w:val="22"/>
        </w:rPr>
        <w:t xml:space="preserve"> in annex I</w:t>
      </w:r>
      <w:r>
        <w:rPr>
          <w:rFonts w:asciiTheme="majorBidi" w:hAnsiTheme="majorBidi" w:cstheme="majorBidi"/>
          <w:bCs/>
          <w:snapToGrid w:val="0"/>
          <w:kern w:val="22"/>
          <w:szCs w:val="22"/>
        </w:rPr>
        <w:t xml:space="preserve"> to the present decision</w:t>
      </w:r>
      <w:r w:rsidRPr="004F65AE">
        <w:rPr>
          <w:rFonts w:asciiTheme="majorBidi" w:hAnsiTheme="majorBidi" w:cstheme="majorBidi"/>
          <w:bCs/>
          <w:snapToGrid w:val="0"/>
          <w:kern w:val="22"/>
          <w:szCs w:val="22"/>
        </w:rPr>
        <w:t>;</w:t>
      </w:r>
    </w:p>
    <w:p w14:paraId="26AA33C1" w14:textId="77777777" w:rsidR="00005A3C" w:rsidRPr="004F65AE" w:rsidRDefault="00005A3C" w:rsidP="009D6BD6">
      <w:pPr>
        <w:suppressLineNumbers/>
        <w:suppressAutoHyphens/>
        <w:adjustRightInd w:val="0"/>
        <w:snapToGrid w:val="0"/>
        <w:spacing w:before="120" w:after="120"/>
        <w:ind w:firstLine="851"/>
        <w:rPr>
          <w:rFonts w:asciiTheme="majorBidi" w:hAnsiTheme="majorBidi" w:cstheme="majorBidi"/>
          <w:bCs/>
          <w:snapToGrid w:val="0"/>
          <w:kern w:val="22"/>
          <w:szCs w:val="22"/>
        </w:rPr>
      </w:pPr>
      <w:r>
        <w:rPr>
          <w:rFonts w:asciiTheme="majorBidi" w:hAnsiTheme="majorBidi" w:cstheme="majorBidi"/>
          <w:bCs/>
          <w:snapToGrid w:val="0"/>
          <w:szCs w:val="22"/>
        </w:rPr>
        <w:t>6</w:t>
      </w:r>
      <w:r w:rsidRPr="004F65AE">
        <w:rPr>
          <w:rFonts w:asciiTheme="majorBidi" w:hAnsiTheme="majorBidi" w:cstheme="majorBidi"/>
          <w:bCs/>
          <w:snapToGrid w:val="0"/>
          <w:szCs w:val="22"/>
        </w:rPr>
        <w:t>.</w:t>
      </w:r>
      <w:r w:rsidRPr="004F65AE">
        <w:rPr>
          <w:rFonts w:asciiTheme="majorBidi" w:hAnsiTheme="majorBidi" w:cstheme="majorBidi"/>
          <w:bCs/>
          <w:i/>
          <w:iCs/>
          <w:snapToGrid w:val="0"/>
          <w:kern w:val="22"/>
          <w:szCs w:val="22"/>
        </w:rPr>
        <w:tab/>
        <w:t>Request</w:t>
      </w:r>
      <w:r>
        <w:rPr>
          <w:rFonts w:asciiTheme="majorBidi" w:hAnsiTheme="majorBidi" w:cstheme="majorBidi"/>
          <w:bCs/>
          <w:i/>
          <w:iCs/>
          <w:snapToGrid w:val="0"/>
          <w:kern w:val="22"/>
          <w:szCs w:val="22"/>
        </w:rPr>
        <w:t>s</w:t>
      </w:r>
      <w:r w:rsidRPr="004F65AE">
        <w:rPr>
          <w:rFonts w:asciiTheme="majorBidi" w:hAnsiTheme="majorBidi" w:cstheme="majorBidi"/>
          <w:bCs/>
          <w:i/>
          <w:iCs/>
          <w:snapToGrid w:val="0"/>
          <w:kern w:val="22"/>
          <w:szCs w:val="22"/>
        </w:rPr>
        <w:t xml:space="preserve"> </w:t>
      </w:r>
      <w:r w:rsidRPr="004F65AE">
        <w:rPr>
          <w:rFonts w:asciiTheme="majorBidi" w:hAnsiTheme="majorBidi" w:cstheme="majorBidi"/>
          <w:bCs/>
          <w:snapToGrid w:val="0"/>
          <w:kern w:val="22"/>
          <w:szCs w:val="22"/>
        </w:rPr>
        <w:t xml:space="preserve">Parties to revise and update their national biodiversity strategies and action plans </w:t>
      </w:r>
      <w:r w:rsidRPr="00200B77">
        <w:rPr>
          <w:rFonts w:asciiTheme="majorBidi" w:hAnsiTheme="majorBidi" w:cstheme="majorBidi"/>
          <w:bCs/>
          <w:snapToGrid w:val="0"/>
          <w:kern w:val="22"/>
          <w:szCs w:val="22"/>
        </w:rPr>
        <w:t>in accordance with Article 6 of the Convention, following the guidance provided in annex I to the present decision, aligned with the</w:t>
      </w:r>
      <w:r w:rsidRPr="004F65AE">
        <w:rPr>
          <w:rFonts w:asciiTheme="majorBidi" w:hAnsiTheme="majorBidi" w:cstheme="majorBidi"/>
          <w:bCs/>
          <w:snapToGrid w:val="0"/>
          <w:kern w:val="22"/>
          <w:szCs w:val="22"/>
        </w:rPr>
        <w:t xml:space="preserv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sidRPr="004F65AE">
        <w:rPr>
          <w:rFonts w:asciiTheme="majorBidi" w:hAnsiTheme="majorBidi" w:cstheme="majorBidi"/>
          <w:bCs/>
          <w:snapToGrid w:val="0"/>
          <w:kern w:val="22"/>
          <w:szCs w:val="22"/>
        </w:rPr>
        <w:t>Global Biodiversity Framework</w:t>
      </w:r>
      <w:r>
        <w:rPr>
          <w:rFonts w:asciiTheme="majorBidi" w:hAnsiTheme="majorBidi" w:cstheme="majorBidi"/>
          <w:bCs/>
          <w:snapToGrid w:val="0"/>
          <w:kern w:val="22"/>
          <w:szCs w:val="22"/>
        </w:rPr>
        <w:t xml:space="preserve"> and its goals and targets, including those related to means of implementation,</w:t>
      </w:r>
      <w:r w:rsidRPr="004F65AE">
        <w:rPr>
          <w:rFonts w:asciiTheme="majorBidi" w:hAnsiTheme="majorBidi" w:cstheme="majorBidi"/>
          <w:bCs/>
          <w:snapToGrid w:val="0"/>
          <w:kern w:val="22"/>
          <w:szCs w:val="22"/>
        </w:rPr>
        <w:t xml:space="preserve"> and to submit them through the clearing</w:t>
      </w:r>
      <w:r w:rsidRPr="004F65AE">
        <w:rPr>
          <w:rFonts w:asciiTheme="majorBidi" w:hAnsiTheme="majorBidi" w:cstheme="majorBidi"/>
          <w:bCs/>
          <w:snapToGrid w:val="0"/>
          <w:kern w:val="22"/>
          <w:szCs w:val="22"/>
        </w:rPr>
        <w:noBreakHyphen/>
        <w:t xml:space="preserve">house mechanism </w:t>
      </w:r>
      <w:r w:rsidRPr="00767A38">
        <w:rPr>
          <w:rFonts w:asciiTheme="majorBidi" w:hAnsiTheme="majorBidi" w:cstheme="majorBidi"/>
          <w:bCs/>
          <w:snapToGrid w:val="0"/>
          <w:kern w:val="22"/>
          <w:szCs w:val="22"/>
        </w:rPr>
        <w:t xml:space="preserve">by </w:t>
      </w:r>
      <w:r>
        <w:rPr>
          <w:rFonts w:asciiTheme="majorBidi" w:hAnsiTheme="majorBidi" w:cstheme="majorBidi"/>
          <w:bCs/>
          <w:snapToGrid w:val="0"/>
          <w:kern w:val="22"/>
          <w:szCs w:val="22"/>
          <w:lang w:val="en-US"/>
        </w:rPr>
        <w:t>the sixteenth meeting of the Conference of the Parties</w:t>
      </w:r>
      <w:r w:rsidRPr="00767A38">
        <w:rPr>
          <w:rFonts w:asciiTheme="majorBidi" w:hAnsiTheme="majorBidi" w:cstheme="majorBidi"/>
          <w:bCs/>
          <w:snapToGrid w:val="0"/>
          <w:kern w:val="22"/>
          <w:szCs w:val="22"/>
        </w:rPr>
        <w:t>;</w:t>
      </w:r>
    </w:p>
    <w:p w14:paraId="6A902816" w14:textId="77777777" w:rsidR="00005A3C" w:rsidRPr="004C50B1" w:rsidRDefault="00005A3C" w:rsidP="009D6BD6">
      <w:pPr>
        <w:suppressLineNumbers/>
        <w:suppressAutoHyphens/>
        <w:adjustRightInd w:val="0"/>
        <w:spacing w:before="120" w:after="120"/>
        <w:ind w:firstLine="851"/>
        <w:rPr>
          <w:rFonts w:asciiTheme="majorBidi" w:hAnsiTheme="majorBidi" w:cstheme="majorBidi"/>
          <w:bCs/>
          <w:snapToGrid w:val="0"/>
          <w:kern w:val="22"/>
          <w:szCs w:val="22"/>
        </w:rPr>
      </w:pPr>
      <w:r>
        <w:rPr>
          <w:rFonts w:asciiTheme="majorBidi" w:hAnsiTheme="majorBidi" w:cstheme="majorBidi"/>
          <w:bCs/>
          <w:snapToGrid w:val="0"/>
          <w:kern w:val="22"/>
          <w:szCs w:val="22"/>
        </w:rPr>
        <w:t>7</w:t>
      </w:r>
      <w:r w:rsidRPr="004C50B1">
        <w:rPr>
          <w:rFonts w:asciiTheme="majorBidi" w:hAnsiTheme="majorBidi" w:cstheme="majorBidi"/>
          <w:bCs/>
          <w:snapToGrid w:val="0"/>
          <w:kern w:val="22"/>
          <w:szCs w:val="22"/>
        </w:rPr>
        <w:t>.</w:t>
      </w:r>
      <w:r w:rsidRPr="004C50B1">
        <w:rPr>
          <w:rFonts w:asciiTheme="majorBidi" w:hAnsiTheme="majorBidi" w:cstheme="majorBidi"/>
          <w:bCs/>
          <w:snapToGrid w:val="0"/>
          <w:kern w:val="22"/>
          <w:szCs w:val="22"/>
        </w:rPr>
        <w:tab/>
      </w:r>
      <w:r w:rsidRPr="004C50B1">
        <w:rPr>
          <w:rFonts w:asciiTheme="majorBidi" w:hAnsiTheme="majorBidi" w:cstheme="majorBidi"/>
          <w:bCs/>
          <w:i/>
          <w:iCs/>
          <w:snapToGrid w:val="0"/>
          <w:kern w:val="22"/>
          <w:szCs w:val="22"/>
        </w:rPr>
        <w:t>Requests</w:t>
      </w:r>
      <w:r w:rsidRPr="004C50B1">
        <w:rPr>
          <w:rFonts w:asciiTheme="majorBidi" w:hAnsiTheme="majorBidi" w:cstheme="majorBidi"/>
          <w:bCs/>
          <w:snapToGrid w:val="0"/>
          <w:kern w:val="22"/>
          <w:szCs w:val="22"/>
        </w:rPr>
        <w:t xml:space="preserve"> Parties not in a position to submit their revised </w:t>
      </w:r>
      <w:r w:rsidRPr="004F65AE">
        <w:rPr>
          <w:rFonts w:asciiTheme="majorBidi" w:hAnsiTheme="majorBidi" w:cstheme="majorBidi"/>
          <w:bCs/>
          <w:snapToGrid w:val="0"/>
          <w:kern w:val="22"/>
          <w:szCs w:val="22"/>
        </w:rPr>
        <w:t>national biodiversity strategies and action plans</w:t>
      </w:r>
      <w:r w:rsidRPr="004C50B1">
        <w:rPr>
          <w:rFonts w:asciiTheme="majorBidi" w:hAnsiTheme="majorBidi" w:cstheme="majorBidi"/>
          <w:bCs/>
          <w:snapToGrid w:val="0"/>
          <w:kern w:val="22"/>
          <w:szCs w:val="22"/>
        </w:rPr>
        <w:t xml:space="preserve"> by </w:t>
      </w:r>
      <w:r>
        <w:rPr>
          <w:rFonts w:asciiTheme="majorBidi" w:hAnsiTheme="majorBidi" w:cstheme="majorBidi"/>
          <w:bCs/>
          <w:snapToGrid w:val="0"/>
          <w:kern w:val="22"/>
          <w:szCs w:val="22"/>
          <w:lang w:val="en-US"/>
        </w:rPr>
        <w:t>the sixteenth meeting of the Conference of the Parties</w:t>
      </w:r>
      <w:r w:rsidRPr="004C50B1">
        <w:rPr>
          <w:rFonts w:asciiTheme="majorBidi" w:hAnsiTheme="majorBidi" w:cstheme="majorBidi"/>
          <w:bCs/>
          <w:snapToGrid w:val="0"/>
          <w:kern w:val="22"/>
          <w:szCs w:val="22"/>
          <w:lang w:val="en-US"/>
        </w:rPr>
        <w:t xml:space="preserve"> </w:t>
      </w:r>
      <w:r w:rsidRPr="004C50B1">
        <w:rPr>
          <w:rFonts w:asciiTheme="majorBidi" w:hAnsiTheme="majorBidi" w:cstheme="majorBidi"/>
          <w:bCs/>
          <w:snapToGrid w:val="0"/>
          <w:kern w:val="22"/>
          <w:szCs w:val="22"/>
        </w:rPr>
        <w:t xml:space="preserve">to communicate national targets reflecting, as applicable, all the goals and targets of the </w:t>
      </w:r>
      <w:r>
        <w:rPr>
          <w:rFonts w:asciiTheme="majorBidi" w:hAnsiTheme="majorBidi" w:cstheme="majorBidi"/>
          <w:bCs/>
          <w:snapToGrid w:val="0"/>
          <w:kern w:val="22"/>
          <w:szCs w:val="18"/>
          <w:lang w:val="en-US"/>
        </w:rPr>
        <w:t>Kunming-Montreal</w:t>
      </w:r>
      <w:r w:rsidRPr="004C50B1">
        <w:rPr>
          <w:rFonts w:asciiTheme="majorBidi" w:hAnsiTheme="majorBidi" w:cstheme="majorBidi"/>
          <w:bCs/>
          <w:snapToGrid w:val="0"/>
          <w:kern w:val="22"/>
          <w:szCs w:val="22"/>
        </w:rPr>
        <w:t xml:space="preserve"> Global Biodiversity Framework, including those related to all means of implementation</w:t>
      </w:r>
      <w:r>
        <w:rPr>
          <w:rFonts w:asciiTheme="majorBidi" w:hAnsiTheme="majorBidi" w:cstheme="majorBidi"/>
          <w:bCs/>
          <w:snapToGrid w:val="0"/>
          <w:kern w:val="22"/>
          <w:szCs w:val="22"/>
        </w:rPr>
        <w:t>,</w:t>
      </w:r>
      <w:r w:rsidRPr="004C50B1">
        <w:rPr>
          <w:rFonts w:asciiTheme="majorBidi" w:hAnsiTheme="majorBidi" w:cstheme="majorBidi"/>
          <w:bCs/>
          <w:snapToGrid w:val="0"/>
          <w:kern w:val="22"/>
          <w:szCs w:val="22"/>
        </w:rPr>
        <w:t xml:space="preserve"> in accordance with the reporting template provided in annex I</w:t>
      </w:r>
      <w:r>
        <w:rPr>
          <w:rFonts w:asciiTheme="majorBidi" w:hAnsiTheme="majorBidi" w:cstheme="majorBidi"/>
          <w:bCs/>
          <w:snapToGrid w:val="0"/>
          <w:kern w:val="22"/>
          <w:szCs w:val="22"/>
        </w:rPr>
        <w:t>,</w:t>
      </w:r>
      <w:r w:rsidRPr="004C50B1">
        <w:rPr>
          <w:rFonts w:asciiTheme="majorBidi" w:hAnsiTheme="majorBidi" w:cstheme="majorBidi"/>
          <w:bCs/>
          <w:snapToGrid w:val="0"/>
          <w:kern w:val="22"/>
          <w:szCs w:val="22"/>
        </w:rPr>
        <w:t xml:space="preserve"> as a standalone submission</w:t>
      </w:r>
      <w:r>
        <w:rPr>
          <w:rFonts w:asciiTheme="majorBidi" w:hAnsiTheme="majorBidi" w:cstheme="majorBidi"/>
          <w:bCs/>
          <w:snapToGrid w:val="0"/>
          <w:kern w:val="22"/>
          <w:szCs w:val="22"/>
        </w:rPr>
        <w:t>,</w:t>
      </w:r>
      <w:r w:rsidRPr="004C50B1">
        <w:rPr>
          <w:rFonts w:asciiTheme="majorBidi" w:hAnsiTheme="majorBidi" w:cstheme="majorBidi"/>
          <w:bCs/>
          <w:snapToGrid w:val="0"/>
          <w:kern w:val="22"/>
          <w:szCs w:val="22"/>
        </w:rPr>
        <w:t xml:space="preserve"> by </w:t>
      </w:r>
      <w:r>
        <w:rPr>
          <w:rFonts w:asciiTheme="majorBidi" w:hAnsiTheme="majorBidi" w:cstheme="majorBidi"/>
          <w:bCs/>
          <w:snapToGrid w:val="0"/>
          <w:kern w:val="22"/>
          <w:szCs w:val="22"/>
          <w:lang w:val="en-US"/>
        </w:rPr>
        <w:t>the sixteenth meeting of the Conference of the Parties,</w:t>
      </w:r>
      <w:r w:rsidRPr="004C50B1" w:rsidDel="003C70DC">
        <w:rPr>
          <w:rFonts w:asciiTheme="majorBidi" w:hAnsiTheme="majorBidi" w:cstheme="majorBidi"/>
          <w:bCs/>
          <w:snapToGrid w:val="0"/>
          <w:kern w:val="22"/>
          <w:szCs w:val="22"/>
        </w:rPr>
        <w:t xml:space="preserve"> </w:t>
      </w:r>
      <w:r w:rsidRPr="004C50B1">
        <w:rPr>
          <w:rFonts w:asciiTheme="majorBidi" w:hAnsiTheme="majorBidi" w:cstheme="majorBidi"/>
          <w:bCs/>
          <w:snapToGrid w:val="0"/>
          <w:kern w:val="22"/>
          <w:szCs w:val="22"/>
        </w:rPr>
        <w:t xml:space="preserve">in advance of the full submission of the </w:t>
      </w:r>
      <w:r w:rsidRPr="004F65AE">
        <w:rPr>
          <w:rFonts w:asciiTheme="majorBidi" w:hAnsiTheme="majorBidi" w:cstheme="majorBidi"/>
          <w:bCs/>
          <w:snapToGrid w:val="0"/>
          <w:kern w:val="22"/>
          <w:szCs w:val="22"/>
        </w:rPr>
        <w:t>national biodiversity strateg</w:t>
      </w:r>
      <w:r>
        <w:rPr>
          <w:rFonts w:asciiTheme="majorBidi" w:hAnsiTheme="majorBidi" w:cstheme="majorBidi"/>
          <w:bCs/>
          <w:snapToGrid w:val="0"/>
          <w:kern w:val="22"/>
          <w:szCs w:val="22"/>
        </w:rPr>
        <w:t>y</w:t>
      </w:r>
      <w:r w:rsidRPr="004F65AE">
        <w:rPr>
          <w:rFonts w:asciiTheme="majorBidi" w:hAnsiTheme="majorBidi" w:cstheme="majorBidi"/>
          <w:bCs/>
          <w:snapToGrid w:val="0"/>
          <w:kern w:val="22"/>
          <w:szCs w:val="22"/>
        </w:rPr>
        <w:t xml:space="preserve"> and action plan</w:t>
      </w:r>
      <w:r w:rsidRPr="004C50B1">
        <w:rPr>
          <w:rFonts w:asciiTheme="majorBidi" w:hAnsiTheme="majorBidi" w:cstheme="majorBidi"/>
          <w:bCs/>
          <w:snapToGrid w:val="0"/>
          <w:kern w:val="22"/>
          <w:szCs w:val="22"/>
        </w:rPr>
        <w:t>;</w:t>
      </w:r>
    </w:p>
    <w:p w14:paraId="375EBDF1" w14:textId="77777777" w:rsidR="00005A3C" w:rsidRPr="004F65AE" w:rsidRDefault="00005A3C" w:rsidP="009D6BD6">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22"/>
        </w:rPr>
      </w:pPr>
      <w:r>
        <w:rPr>
          <w:rFonts w:asciiTheme="majorBidi" w:hAnsiTheme="majorBidi" w:cstheme="majorBidi"/>
          <w:bCs/>
          <w:iCs/>
          <w:snapToGrid w:val="0"/>
          <w:color w:val="000000" w:themeColor="text1"/>
          <w:kern w:val="22"/>
          <w:szCs w:val="22"/>
        </w:rPr>
        <w:t>8</w:t>
      </w:r>
      <w:r w:rsidRPr="004F65AE">
        <w:rPr>
          <w:rFonts w:asciiTheme="majorBidi" w:hAnsiTheme="majorBidi" w:cstheme="majorBidi"/>
          <w:bCs/>
          <w:iCs/>
          <w:snapToGrid w:val="0"/>
          <w:color w:val="000000" w:themeColor="text1"/>
          <w:kern w:val="22"/>
          <w:szCs w:val="22"/>
        </w:rPr>
        <w:t>.</w:t>
      </w:r>
      <w:r w:rsidRPr="004F65AE">
        <w:rPr>
          <w:rFonts w:asciiTheme="majorBidi" w:hAnsiTheme="majorBidi" w:cstheme="majorBidi"/>
          <w:bCs/>
          <w:i/>
          <w:snapToGrid w:val="0"/>
          <w:color w:val="000000" w:themeColor="text1"/>
          <w:kern w:val="22"/>
          <w:szCs w:val="22"/>
        </w:rPr>
        <w:tab/>
      </w:r>
      <w:r>
        <w:rPr>
          <w:rFonts w:asciiTheme="majorBidi" w:hAnsiTheme="majorBidi" w:cstheme="majorBidi"/>
          <w:bCs/>
          <w:i/>
          <w:snapToGrid w:val="0"/>
          <w:color w:val="000000" w:themeColor="text1"/>
          <w:kern w:val="22"/>
          <w:szCs w:val="22"/>
        </w:rPr>
        <w:t>Urges</w:t>
      </w:r>
      <w:r w:rsidRPr="004F65AE">
        <w:rPr>
          <w:rFonts w:asciiTheme="majorBidi" w:hAnsiTheme="majorBidi" w:cstheme="majorBidi"/>
          <w:bCs/>
          <w:iCs/>
          <w:snapToGrid w:val="0"/>
          <w:color w:val="000000" w:themeColor="text1"/>
          <w:kern w:val="22"/>
          <w:szCs w:val="22"/>
        </w:rPr>
        <w:t xml:space="preserve"> all Parties to use the headline indicators, supplemented by component and complementary indicators and other national indicators</w:t>
      </w:r>
      <w:r>
        <w:rPr>
          <w:rFonts w:asciiTheme="majorBidi" w:hAnsiTheme="majorBidi" w:cstheme="majorBidi"/>
          <w:bCs/>
          <w:iCs/>
          <w:snapToGrid w:val="0"/>
          <w:color w:val="000000" w:themeColor="text1"/>
          <w:kern w:val="22"/>
          <w:szCs w:val="22"/>
        </w:rPr>
        <w:t>,</w:t>
      </w:r>
      <w:r w:rsidRPr="004F65AE">
        <w:rPr>
          <w:rFonts w:asciiTheme="majorBidi" w:hAnsiTheme="majorBidi" w:cstheme="majorBidi"/>
          <w:bCs/>
          <w:iCs/>
          <w:snapToGrid w:val="0"/>
          <w:color w:val="000000" w:themeColor="text1"/>
          <w:kern w:val="22"/>
          <w:szCs w:val="22"/>
        </w:rPr>
        <w:t xml:space="preserve"> in relevant national planning processes, including national biodiversity strategies and action plans, according to their national circumstances;</w:t>
      </w:r>
    </w:p>
    <w:p w14:paraId="48A99A3F" w14:textId="77777777" w:rsidR="00005A3C" w:rsidRPr="004F65AE" w:rsidRDefault="00005A3C" w:rsidP="008174C8">
      <w:pPr>
        <w:pStyle w:val="Para1"/>
        <w:numPr>
          <w:ilvl w:val="0"/>
          <w:numId w:val="0"/>
        </w:numPr>
        <w:shd w:val="clear" w:color="auto" w:fill="FFFFFF" w:themeFill="background1"/>
        <w:tabs>
          <w:tab w:val="left" w:pos="720"/>
        </w:tabs>
        <w:ind w:firstLine="851"/>
        <w:rPr>
          <w:rFonts w:asciiTheme="majorBidi" w:hAnsiTheme="majorBidi" w:cstheme="majorBidi"/>
          <w:bCs/>
          <w:iCs/>
          <w:color w:val="000000" w:themeColor="text1"/>
        </w:rPr>
      </w:pPr>
      <w:r w:rsidRPr="008174C8">
        <w:rPr>
          <w:rFonts w:asciiTheme="majorBidi" w:hAnsiTheme="majorBidi" w:cstheme="majorBidi"/>
          <w:bCs/>
          <w:iCs/>
          <w:color w:val="000000" w:themeColor="text1"/>
        </w:rPr>
        <w:t>9.</w:t>
      </w:r>
      <w:r w:rsidRPr="004F65AE">
        <w:rPr>
          <w:rFonts w:asciiTheme="majorBidi" w:hAnsiTheme="majorBidi" w:cstheme="majorBidi"/>
          <w:bCs/>
          <w:iCs/>
          <w:color w:val="000000" w:themeColor="text1"/>
        </w:rPr>
        <w:tab/>
      </w:r>
      <w:r w:rsidRPr="004F65AE">
        <w:rPr>
          <w:rFonts w:asciiTheme="majorBidi" w:hAnsiTheme="majorBidi" w:cstheme="majorBidi"/>
          <w:bCs/>
          <w:i/>
          <w:color w:val="000000" w:themeColor="text1"/>
        </w:rPr>
        <w:t>Encourages</w:t>
      </w:r>
      <w:r w:rsidRPr="004F65AE">
        <w:rPr>
          <w:rFonts w:asciiTheme="majorBidi" w:hAnsiTheme="majorBidi" w:cstheme="majorBidi"/>
          <w:bCs/>
          <w:iCs/>
          <w:color w:val="000000" w:themeColor="text1"/>
        </w:rPr>
        <w:t xml:space="preserve"> Parties to adopt the revised or updated </w:t>
      </w:r>
      <w:r w:rsidRPr="004F65AE">
        <w:rPr>
          <w:rFonts w:asciiTheme="majorBidi" w:hAnsiTheme="majorBidi" w:cstheme="majorBidi"/>
          <w:bCs/>
        </w:rPr>
        <w:t>national biodiversity strategies and action plans</w:t>
      </w:r>
      <w:r w:rsidRPr="004F65AE">
        <w:rPr>
          <w:rFonts w:asciiTheme="majorBidi" w:hAnsiTheme="majorBidi" w:cstheme="majorBidi"/>
          <w:bCs/>
          <w:iCs/>
          <w:color w:val="000000" w:themeColor="text1"/>
        </w:rPr>
        <w:t xml:space="preserve"> as policy and/or legal instruments and to mainstream them (or elements thereof) with broader strategies and plans, such as national sustainable development plans, national development plans, poverty reduction strategies and other relevant national sectoral and cross-sectoral plans, in line with national circumstances and priorities.</w:t>
      </w:r>
    </w:p>
    <w:p w14:paraId="2D8F389B" w14:textId="77777777" w:rsidR="00005A3C" w:rsidRPr="004F65AE" w:rsidRDefault="00005A3C" w:rsidP="00CA676A">
      <w:pPr>
        <w:keepNext/>
        <w:spacing w:before="120" w:after="120"/>
        <w:ind w:firstLine="851"/>
        <w:rPr>
          <w:rFonts w:asciiTheme="majorBidi" w:hAnsiTheme="majorBidi" w:cstheme="majorBidi"/>
          <w:b/>
          <w:szCs w:val="22"/>
        </w:rPr>
      </w:pPr>
      <w:r w:rsidRPr="004F65AE">
        <w:rPr>
          <w:rFonts w:asciiTheme="majorBidi" w:hAnsiTheme="majorBidi" w:cstheme="majorBidi"/>
          <w:b/>
          <w:szCs w:val="22"/>
        </w:rPr>
        <w:t>Reporting</w:t>
      </w:r>
    </w:p>
    <w:p w14:paraId="6A7B645A" w14:textId="77777777" w:rsidR="00005A3C" w:rsidRPr="004F65AE" w:rsidRDefault="00005A3C" w:rsidP="009D6BD6">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rPr>
      </w:pPr>
      <w:r>
        <w:rPr>
          <w:rFonts w:asciiTheme="majorBidi" w:hAnsiTheme="majorBidi" w:cstheme="majorBidi"/>
          <w:bCs/>
          <w:snapToGrid w:val="0"/>
          <w:kern w:val="22"/>
          <w:szCs w:val="22"/>
        </w:rPr>
        <w:t>10</w:t>
      </w:r>
      <w:r w:rsidRPr="004F65AE">
        <w:rPr>
          <w:rFonts w:asciiTheme="majorBidi" w:hAnsiTheme="majorBidi" w:cstheme="majorBidi"/>
          <w:bCs/>
          <w:snapToGrid w:val="0"/>
          <w:kern w:val="22"/>
          <w:szCs w:val="22"/>
        </w:rPr>
        <w:t>.</w:t>
      </w:r>
      <w:r w:rsidRPr="004F65AE">
        <w:rPr>
          <w:rFonts w:asciiTheme="majorBidi" w:hAnsiTheme="majorBidi" w:cstheme="majorBidi"/>
          <w:bCs/>
          <w:snapToGrid w:val="0"/>
          <w:kern w:val="22"/>
          <w:szCs w:val="22"/>
        </w:rPr>
        <w:tab/>
      </w:r>
      <w:r w:rsidRPr="004F65AE">
        <w:rPr>
          <w:rFonts w:asciiTheme="majorBidi" w:hAnsiTheme="majorBidi" w:cstheme="majorBidi"/>
          <w:bCs/>
          <w:i/>
          <w:iCs/>
          <w:snapToGrid w:val="0"/>
          <w:kern w:val="22"/>
          <w:szCs w:val="22"/>
        </w:rPr>
        <w:t xml:space="preserve">Adopts </w:t>
      </w:r>
      <w:r w:rsidRPr="004F65AE">
        <w:rPr>
          <w:rFonts w:asciiTheme="majorBidi" w:hAnsiTheme="majorBidi" w:cstheme="majorBidi"/>
          <w:bCs/>
          <w:snapToGrid w:val="0"/>
          <w:kern w:val="22"/>
          <w:szCs w:val="22"/>
        </w:rPr>
        <w:t>the guidelines for the seventh and eighth national reports contained in annex II, including the draft reporting template;</w:t>
      </w:r>
    </w:p>
    <w:p w14:paraId="1AC5CCEE" w14:textId="77777777" w:rsidR="00005A3C" w:rsidRDefault="00005A3C" w:rsidP="009D6BD6">
      <w:pPr>
        <w:suppressLineNumbers/>
        <w:suppressAutoHyphens/>
        <w:spacing w:before="120" w:after="120"/>
        <w:ind w:firstLine="851"/>
        <w:rPr>
          <w:rFonts w:asciiTheme="majorBidi" w:hAnsiTheme="majorBidi" w:cstheme="majorBidi"/>
          <w:bCs/>
          <w:iCs/>
          <w:snapToGrid w:val="0"/>
          <w:kern w:val="22"/>
          <w:szCs w:val="22"/>
        </w:rPr>
      </w:pPr>
      <w:r>
        <w:rPr>
          <w:rFonts w:asciiTheme="majorBidi" w:hAnsiTheme="majorBidi" w:cstheme="majorBidi"/>
          <w:bCs/>
          <w:iCs/>
          <w:snapToGrid w:val="0"/>
          <w:kern w:val="22"/>
          <w:szCs w:val="22"/>
        </w:rPr>
        <w:t>11</w:t>
      </w:r>
      <w:r w:rsidRPr="004F65AE">
        <w:rPr>
          <w:rFonts w:asciiTheme="majorBidi" w:hAnsiTheme="majorBidi" w:cstheme="majorBidi"/>
          <w:bCs/>
          <w:iCs/>
          <w:snapToGrid w:val="0"/>
          <w:kern w:val="22"/>
          <w:szCs w:val="22"/>
        </w:rPr>
        <w:t>.</w:t>
      </w:r>
      <w:r w:rsidRPr="004F65AE">
        <w:rPr>
          <w:rFonts w:asciiTheme="majorBidi" w:hAnsiTheme="majorBidi" w:cstheme="majorBidi"/>
          <w:bCs/>
          <w:i/>
          <w:snapToGrid w:val="0"/>
          <w:kern w:val="22"/>
          <w:szCs w:val="22"/>
        </w:rPr>
        <w:tab/>
        <w:t>Requests</w:t>
      </w:r>
      <w:r w:rsidRPr="004F65AE">
        <w:rPr>
          <w:rFonts w:asciiTheme="majorBidi" w:hAnsiTheme="majorBidi" w:cstheme="majorBidi"/>
          <w:bCs/>
          <w:snapToGrid w:val="0"/>
          <w:kern w:val="22"/>
          <w:szCs w:val="22"/>
        </w:rPr>
        <w:t xml:space="preserve"> Parties to submit their seventh national report by 28 Feb</w:t>
      </w:r>
      <w:r>
        <w:rPr>
          <w:rFonts w:asciiTheme="majorBidi" w:hAnsiTheme="majorBidi" w:cstheme="majorBidi"/>
          <w:bCs/>
          <w:snapToGrid w:val="0"/>
          <w:kern w:val="22"/>
          <w:szCs w:val="22"/>
        </w:rPr>
        <w:t>ruary</w:t>
      </w:r>
      <w:r w:rsidRPr="004F65AE">
        <w:rPr>
          <w:rFonts w:asciiTheme="majorBidi" w:hAnsiTheme="majorBidi" w:cstheme="majorBidi"/>
          <w:bCs/>
          <w:snapToGrid w:val="0"/>
          <w:kern w:val="22"/>
          <w:szCs w:val="22"/>
        </w:rPr>
        <w:t xml:space="preserve"> 2026 and their eighth national report by 30 June 2029</w:t>
      </w:r>
      <w:r>
        <w:rPr>
          <w:rFonts w:asciiTheme="majorBidi" w:hAnsiTheme="majorBidi" w:cstheme="majorBidi"/>
          <w:bCs/>
          <w:snapToGrid w:val="0"/>
          <w:kern w:val="22"/>
          <w:szCs w:val="22"/>
        </w:rPr>
        <w:t>, to enable the preparation of the global reviews</w:t>
      </w:r>
      <w:r w:rsidRPr="004F65AE">
        <w:rPr>
          <w:rFonts w:asciiTheme="majorBidi" w:hAnsiTheme="majorBidi" w:cstheme="majorBidi"/>
          <w:bCs/>
          <w:snapToGrid w:val="0"/>
          <w:kern w:val="22"/>
          <w:szCs w:val="22"/>
        </w:rPr>
        <w:t>, as per Article 26 of the Convention, using the template provided in annex II</w:t>
      </w:r>
      <w:r>
        <w:rPr>
          <w:rFonts w:asciiTheme="majorBidi" w:hAnsiTheme="majorBidi" w:cstheme="majorBidi"/>
          <w:bCs/>
          <w:snapToGrid w:val="0"/>
          <w:kern w:val="22"/>
          <w:szCs w:val="22"/>
        </w:rPr>
        <w:t>,</w:t>
      </w:r>
      <w:r w:rsidRPr="004F65AE">
        <w:rPr>
          <w:rFonts w:asciiTheme="majorBidi" w:hAnsiTheme="majorBidi" w:cstheme="majorBidi"/>
          <w:bCs/>
          <w:snapToGrid w:val="0"/>
          <w:kern w:val="22"/>
          <w:szCs w:val="22"/>
          <w:vertAlign w:val="superscript"/>
        </w:rPr>
        <w:t xml:space="preserve"> </w:t>
      </w:r>
      <w:r>
        <w:rPr>
          <w:rFonts w:asciiTheme="majorBidi" w:hAnsiTheme="majorBidi" w:cstheme="majorBidi"/>
          <w:bCs/>
          <w:snapToGrid w:val="0"/>
          <w:kern w:val="22"/>
          <w:szCs w:val="22"/>
        </w:rPr>
        <w:t xml:space="preserve">recognizing the specific challenges faced by developing country Parties in preparing and submitting their national reports in a timely manner, and the need for enhanced international cooperation to support them accordingly; </w:t>
      </w:r>
    </w:p>
    <w:p w14:paraId="31538015" w14:textId="71D14E8A" w:rsidR="00005A3C" w:rsidRPr="004F65AE" w:rsidRDefault="00005A3C" w:rsidP="009D6BD6">
      <w:pPr>
        <w:suppressLineNumbers/>
        <w:suppressAutoHyphens/>
        <w:spacing w:before="120" w:after="120"/>
        <w:ind w:firstLine="851"/>
        <w:rPr>
          <w:rFonts w:asciiTheme="majorBidi" w:hAnsiTheme="majorBidi" w:cstheme="majorBidi"/>
          <w:bCs/>
          <w:snapToGrid w:val="0"/>
          <w:kern w:val="22"/>
          <w:szCs w:val="22"/>
        </w:rPr>
      </w:pPr>
      <w:r>
        <w:rPr>
          <w:rFonts w:asciiTheme="majorBidi" w:hAnsiTheme="majorBidi" w:cstheme="majorBidi"/>
          <w:bCs/>
          <w:iCs/>
          <w:snapToGrid w:val="0"/>
          <w:kern w:val="22"/>
          <w:szCs w:val="22"/>
        </w:rPr>
        <w:t>12</w:t>
      </w:r>
      <w:r w:rsidRPr="004F65AE">
        <w:rPr>
          <w:rFonts w:asciiTheme="majorBidi" w:hAnsiTheme="majorBidi" w:cstheme="majorBidi"/>
          <w:bCs/>
          <w:iCs/>
          <w:snapToGrid w:val="0"/>
          <w:kern w:val="22"/>
          <w:szCs w:val="22"/>
        </w:rPr>
        <w:t>.</w:t>
      </w:r>
      <w:r w:rsidRPr="004F65AE">
        <w:rPr>
          <w:rFonts w:asciiTheme="majorBidi" w:hAnsiTheme="majorBidi" w:cstheme="majorBidi"/>
          <w:bCs/>
          <w:i/>
          <w:snapToGrid w:val="0"/>
          <w:kern w:val="22"/>
          <w:szCs w:val="22"/>
        </w:rPr>
        <w:tab/>
        <w:t xml:space="preserve">Encourages </w:t>
      </w:r>
      <w:r w:rsidRPr="004F65AE">
        <w:rPr>
          <w:rFonts w:asciiTheme="majorBidi" w:hAnsiTheme="majorBidi" w:cstheme="majorBidi"/>
          <w:bCs/>
          <w:iCs/>
          <w:snapToGrid w:val="0"/>
          <w:kern w:val="22"/>
          <w:szCs w:val="22"/>
        </w:rPr>
        <w:t>Parties to collaborate</w:t>
      </w:r>
      <w:r w:rsidRPr="004F65AE">
        <w:rPr>
          <w:rFonts w:asciiTheme="majorBidi" w:hAnsiTheme="majorBidi" w:cstheme="majorBidi"/>
          <w:bCs/>
          <w:snapToGrid w:val="0"/>
          <w:kern w:val="22"/>
          <w:szCs w:val="22"/>
        </w:rPr>
        <w:t xml:space="preserve">, where appropriate, with other reporting processes, including the Sustainable Development Goals and relevant multilateral environment </w:t>
      </w:r>
      <w:r w:rsidRPr="000D3BDE">
        <w:rPr>
          <w:rFonts w:asciiTheme="majorBidi" w:hAnsiTheme="majorBidi" w:cstheme="majorBidi"/>
          <w:bCs/>
          <w:snapToGrid w:val="0"/>
          <w:kern w:val="22"/>
          <w:szCs w:val="22"/>
        </w:rPr>
        <w:t>agreement reporting,</w:t>
      </w:r>
      <w:r w:rsidRPr="004F65AE">
        <w:rPr>
          <w:rFonts w:asciiTheme="majorBidi" w:hAnsiTheme="majorBidi" w:cstheme="majorBidi"/>
          <w:bCs/>
          <w:snapToGrid w:val="0"/>
          <w:kern w:val="22"/>
          <w:szCs w:val="22"/>
        </w:rPr>
        <w:t xml:space="preserve"> including by using a modular data reporting tool</w:t>
      </w:r>
      <w:r>
        <w:rPr>
          <w:rFonts w:asciiTheme="majorBidi" w:hAnsiTheme="majorBidi" w:cstheme="majorBidi"/>
          <w:bCs/>
          <w:snapToGrid w:val="0"/>
          <w:kern w:val="22"/>
          <w:szCs w:val="22"/>
        </w:rPr>
        <w:t>,</w:t>
      </w:r>
      <w:r w:rsidRPr="004F65AE">
        <w:rPr>
          <w:rFonts w:asciiTheme="majorBidi" w:hAnsiTheme="majorBidi" w:cstheme="majorBidi"/>
          <w:bCs/>
          <w:snapToGrid w:val="0"/>
          <w:kern w:val="22"/>
          <w:szCs w:val="22"/>
        </w:rPr>
        <w:t xml:space="preserve"> such as DART</w:t>
      </w:r>
      <w:r>
        <w:rPr>
          <w:rFonts w:asciiTheme="majorBidi" w:hAnsiTheme="majorBidi" w:cstheme="majorBidi"/>
          <w:bCs/>
          <w:snapToGrid w:val="0"/>
          <w:kern w:val="22"/>
          <w:szCs w:val="22"/>
        </w:rPr>
        <w:t>,</w:t>
      </w:r>
      <w:r w:rsidRPr="004F65AE">
        <w:rPr>
          <w:rFonts w:asciiTheme="majorBidi" w:hAnsiTheme="majorBidi" w:cstheme="majorBidi"/>
          <w:bCs/>
          <w:snapToGrid w:val="0"/>
          <w:kern w:val="22"/>
          <w:szCs w:val="22"/>
        </w:rPr>
        <w:t xml:space="preserve"> on a voluntary basis;</w:t>
      </w:r>
    </w:p>
    <w:p w14:paraId="6B657341" w14:textId="05BEF02F" w:rsidR="00005A3C" w:rsidRDefault="00005A3C" w:rsidP="009D6BD6">
      <w:pPr>
        <w:ind w:firstLine="851"/>
        <w:rPr>
          <w:rFonts w:asciiTheme="majorBidi" w:hAnsiTheme="majorBidi" w:cstheme="majorBidi"/>
          <w:bCs/>
          <w:szCs w:val="22"/>
          <w:lang w:val="en-US"/>
        </w:rPr>
      </w:pPr>
      <w:r w:rsidRPr="004F65AE">
        <w:rPr>
          <w:rFonts w:asciiTheme="majorBidi" w:hAnsiTheme="majorBidi" w:cstheme="majorBidi"/>
          <w:bCs/>
          <w:iCs/>
          <w:color w:val="000000" w:themeColor="text1"/>
          <w:kern w:val="22"/>
          <w:szCs w:val="22"/>
          <w:lang w:val="en-US"/>
        </w:rPr>
        <w:t>1</w:t>
      </w:r>
      <w:r>
        <w:rPr>
          <w:rFonts w:asciiTheme="majorBidi" w:hAnsiTheme="majorBidi" w:cstheme="majorBidi"/>
          <w:bCs/>
          <w:iCs/>
          <w:color w:val="000000" w:themeColor="text1"/>
          <w:kern w:val="22"/>
          <w:szCs w:val="22"/>
          <w:lang w:val="en-US"/>
        </w:rPr>
        <w:t>3</w:t>
      </w:r>
      <w:r w:rsidRPr="004F65AE">
        <w:rPr>
          <w:rFonts w:asciiTheme="majorBidi" w:hAnsiTheme="majorBidi" w:cstheme="majorBidi"/>
          <w:bCs/>
          <w:iCs/>
          <w:color w:val="000000" w:themeColor="text1"/>
          <w:kern w:val="22"/>
          <w:szCs w:val="22"/>
          <w:lang w:val="en-US"/>
        </w:rPr>
        <w:t>.</w:t>
      </w:r>
      <w:r w:rsidRPr="004F65AE">
        <w:rPr>
          <w:rFonts w:asciiTheme="majorBidi" w:hAnsiTheme="majorBidi" w:cstheme="majorBidi"/>
          <w:bCs/>
          <w:iCs/>
          <w:color w:val="000000" w:themeColor="text1"/>
          <w:kern w:val="22"/>
          <w:szCs w:val="22"/>
          <w:lang w:val="en-US"/>
        </w:rPr>
        <w:tab/>
      </w:r>
      <w:r w:rsidRPr="004F65AE">
        <w:rPr>
          <w:rFonts w:asciiTheme="majorBidi" w:hAnsiTheme="majorBidi" w:cstheme="majorBidi"/>
          <w:bCs/>
          <w:i/>
          <w:color w:val="000000" w:themeColor="text1"/>
          <w:kern w:val="22"/>
          <w:szCs w:val="22"/>
          <w:lang w:val="en-US"/>
        </w:rPr>
        <w:t>Requests</w:t>
      </w:r>
      <w:r w:rsidRPr="004F65AE">
        <w:rPr>
          <w:rFonts w:asciiTheme="majorBidi" w:hAnsiTheme="majorBidi" w:cstheme="majorBidi"/>
          <w:bCs/>
          <w:iCs/>
          <w:color w:val="000000" w:themeColor="text1"/>
          <w:kern w:val="22"/>
          <w:szCs w:val="22"/>
          <w:lang w:val="en-US"/>
        </w:rPr>
        <w:t xml:space="preserve"> all Parties </w:t>
      </w:r>
      <w:r>
        <w:rPr>
          <w:rFonts w:asciiTheme="majorBidi" w:hAnsiTheme="majorBidi" w:cstheme="majorBidi"/>
          <w:bCs/>
          <w:iCs/>
          <w:color w:val="000000" w:themeColor="text1"/>
          <w:kern w:val="22"/>
          <w:szCs w:val="22"/>
          <w:lang w:val="en-US"/>
        </w:rPr>
        <w:t xml:space="preserve">to </w:t>
      </w:r>
      <w:r w:rsidRPr="004F65AE">
        <w:rPr>
          <w:rFonts w:asciiTheme="majorBidi" w:hAnsiTheme="majorBidi" w:cstheme="majorBidi"/>
          <w:bCs/>
          <w:iCs/>
          <w:color w:val="000000" w:themeColor="text1"/>
          <w:kern w:val="22"/>
          <w:szCs w:val="22"/>
          <w:lang w:val="en-US"/>
        </w:rPr>
        <w:t xml:space="preserve">use headline indicators </w:t>
      </w:r>
      <w:r>
        <w:rPr>
          <w:rFonts w:asciiTheme="majorBidi" w:hAnsiTheme="majorBidi" w:cstheme="majorBidi"/>
          <w:bCs/>
          <w:iCs/>
          <w:color w:val="000000" w:themeColor="text1"/>
          <w:kern w:val="22"/>
          <w:szCs w:val="22"/>
          <w:lang w:val="en-US"/>
        </w:rPr>
        <w:t xml:space="preserve">and to provide responses on binary yes/no questions, </w:t>
      </w:r>
      <w:r w:rsidRPr="004F65AE">
        <w:rPr>
          <w:rFonts w:asciiTheme="majorBidi" w:hAnsiTheme="majorBidi" w:cstheme="majorBidi"/>
          <w:bCs/>
          <w:szCs w:val="22"/>
          <w:lang w:val="en-US"/>
        </w:rPr>
        <w:t xml:space="preserve">as set out in the monitoring framework of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sidRPr="004F65AE">
        <w:rPr>
          <w:rFonts w:asciiTheme="majorBidi" w:hAnsiTheme="majorBidi" w:cstheme="majorBidi"/>
          <w:bCs/>
          <w:szCs w:val="22"/>
          <w:lang w:val="en-US"/>
        </w:rPr>
        <w:t>Global Biodiversity Framework adopted in decision 15/</w:t>
      </w:r>
      <w:r>
        <w:rPr>
          <w:rFonts w:asciiTheme="majorBidi" w:hAnsiTheme="majorBidi" w:cstheme="majorBidi"/>
          <w:bCs/>
          <w:szCs w:val="22"/>
          <w:lang w:val="en-US"/>
        </w:rPr>
        <w:t>5</w:t>
      </w:r>
      <w:r w:rsidRPr="004F65AE">
        <w:rPr>
          <w:rFonts w:asciiTheme="majorBidi" w:hAnsiTheme="majorBidi" w:cstheme="majorBidi"/>
          <w:bCs/>
          <w:szCs w:val="22"/>
          <w:lang w:val="en-US"/>
        </w:rPr>
        <w:t xml:space="preserve">, </w:t>
      </w:r>
      <w:r w:rsidRPr="004E339F">
        <w:rPr>
          <w:rFonts w:asciiTheme="majorBidi" w:hAnsiTheme="majorBidi" w:cstheme="majorBidi"/>
          <w:bCs/>
          <w:szCs w:val="22"/>
          <w:lang w:val="en-US"/>
        </w:rPr>
        <w:t>in their national reports,</w:t>
      </w:r>
      <w:r w:rsidRPr="004F65AE">
        <w:rPr>
          <w:rFonts w:asciiTheme="majorBidi" w:hAnsiTheme="majorBidi" w:cstheme="majorBidi"/>
          <w:bCs/>
          <w:szCs w:val="22"/>
          <w:lang w:val="en-US"/>
        </w:rPr>
        <w:t xml:space="preserve"> and supplemented, as appropriate, by optional component and complementary indicators also included therein and other national indicators</w:t>
      </w:r>
      <w:r>
        <w:rPr>
          <w:rFonts w:asciiTheme="majorBidi" w:hAnsiTheme="majorBidi" w:cstheme="majorBidi"/>
          <w:bCs/>
          <w:szCs w:val="22"/>
          <w:lang w:val="en-US"/>
        </w:rPr>
        <w:t xml:space="preserve"> </w:t>
      </w:r>
      <w:r w:rsidRPr="004F65AE">
        <w:rPr>
          <w:rFonts w:asciiTheme="majorBidi" w:hAnsiTheme="majorBidi" w:cstheme="majorBidi"/>
          <w:bCs/>
          <w:szCs w:val="22"/>
          <w:lang w:val="en-US"/>
        </w:rPr>
        <w:t>providing flexibility in the progressive implementation of this paragraph to countries, particularly developing countries, in</w:t>
      </w:r>
      <w:r>
        <w:rPr>
          <w:rFonts w:asciiTheme="majorBidi" w:hAnsiTheme="majorBidi" w:cstheme="majorBidi"/>
          <w:bCs/>
          <w:szCs w:val="22"/>
          <w:lang w:val="en-US"/>
        </w:rPr>
        <w:t xml:space="preserve"> the</w:t>
      </w:r>
      <w:r w:rsidRPr="004F65AE">
        <w:rPr>
          <w:rFonts w:asciiTheme="majorBidi" w:hAnsiTheme="majorBidi" w:cstheme="majorBidi"/>
          <w:bCs/>
          <w:szCs w:val="22"/>
          <w:lang w:val="en-US"/>
        </w:rPr>
        <w:t xml:space="preserve"> light of the fact that not all indicators are currently ready and </w:t>
      </w:r>
      <w:r>
        <w:rPr>
          <w:rFonts w:asciiTheme="majorBidi" w:hAnsiTheme="majorBidi" w:cstheme="majorBidi"/>
          <w:bCs/>
          <w:szCs w:val="22"/>
          <w:lang w:val="en-US"/>
        </w:rPr>
        <w:t xml:space="preserve">of </w:t>
      </w:r>
      <w:r w:rsidRPr="004F65AE">
        <w:rPr>
          <w:rFonts w:asciiTheme="majorBidi" w:hAnsiTheme="majorBidi" w:cstheme="majorBidi"/>
          <w:bCs/>
          <w:szCs w:val="22"/>
          <w:lang w:val="en-US"/>
        </w:rPr>
        <w:t>the need for capacity</w:t>
      </w:r>
      <w:r>
        <w:rPr>
          <w:rFonts w:asciiTheme="majorBidi" w:hAnsiTheme="majorBidi" w:cstheme="majorBidi"/>
          <w:bCs/>
          <w:szCs w:val="22"/>
          <w:lang w:val="en-US"/>
        </w:rPr>
        <w:t>-</w:t>
      </w:r>
      <w:r w:rsidRPr="004F65AE">
        <w:rPr>
          <w:rFonts w:asciiTheme="majorBidi" w:hAnsiTheme="majorBidi" w:cstheme="majorBidi"/>
          <w:bCs/>
          <w:szCs w:val="22"/>
          <w:lang w:val="en-US"/>
        </w:rPr>
        <w:t>building and development on the headline indicators;</w:t>
      </w:r>
    </w:p>
    <w:p w14:paraId="2E036559" w14:textId="77777777" w:rsidR="00005A3C" w:rsidRDefault="00005A3C" w:rsidP="009D6BD6">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FD73B8">
        <w:rPr>
          <w:rFonts w:asciiTheme="majorBidi" w:hAnsiTheme="majorBidi" w:cstheme="majorBidi"/>
          <w:bCs/>
          <w:snapToGrid w:val="0"/>
          <w:kern w:val="22"/>
          <w:szCs w:val="22"/>
          <w:lang w:val="en-US"/>
        </w:rPr>
        <w:lastRenderedPageBreak/>
        <w:t>1</w:t>
      </w:r>
      <w:r>
        <w:rPr>
          <w:rFonts w:asciiTheme="majorBidi" w:hAnsiTheme="majorBidi" w:cstheme="majorBidi"/>
          <w:bCs/>
          <w:snapToGrid w:val="0"/>
          <w:kern w:val="22"/>
          <w:szCs w:val="22"/>
          <w:lang w:val="en-US"/>
        </w:rPr>
        <w:t>4</w:t>
      </w:r>
      <w:r w:rsidRPr="00FD73B8">
        <w:rPr>
          <w:rFonts w:asciiTheme="majorBidi" w:hAnsiTheme="majorBidi" w:cstheme="majorBidi"/>
          <w:bCs/>
          <w:snapToGrid w:val="0"/>
          <w:kern w:val="22"/>
          <w:szCs w:val="22"/>
          <w:lang w:val="en-US"/>
        </w:rPr>
        <w:t>.</w:t>
      </w:r>
      <w:r w:rsidRPr="00FD73B8">
        <w:rPr>
          <w:rFonts w:asciiTheme="majorBidi" w:hAnsiTheme="majorBidi" w:cstheme="majorBidi"/>
          <w:bCs/>
          <w:snapToGrid w:val="0"/>
          <w:kern w:val="22"/>
          <w:szCs w:val="22"/>
          <w:lang w:val="en-US"/>
        </w:rPr>
        <w:tab/>
      </w:r>
      <w:r w:rsidRPr="00FD73B8">
        <w:rPr>
          <w:rFonts w:asciiTheme="majorBidi" w:hAnsiTheme="majorBidi" w:cstheme="majorBidi"/>
          <w:bCs/>
          <w:i/>
          <w:iCs/>
          <w:snapToGrid w:val="0"/>
          <w:kern w:val="22"/>
          <w:szCs w:val="22"/>
          <w:lang w:val="en-US"/>
        </w:rPr>
        <w:t>Requests</w:t>
      </w:r>
      <w:r w:rsidRPr="00FD73B8">
        <w:rPr>
          <w:rFonts w:asciiTheme="majorBidi" w:hAnsiTheme="majorBidi" w:cstheme="majorBidi"/>
          <w:bCs/>
          <w:snapToGrid w:val="0"/>
          <w:kern w:val="22"/>
          <w:szCs w:val="22"/>
          <w:lang w:val="en-US"/>
        </w:rPr>
        <w:t xml:space="preserve"> Parties </w:t>
      </w:r>
      <w:r>
        <w:rPr>
          <w:rFonts w:asciiTheme="majorBidi" w:hAnsiTheme="majorBidi" w:cstheme="majorBidi"/>
          <w:bCs/>
          <w:snapToGrid w:val="0"/>
          <w:kern w:val="22"/>
          <w:szCs w:val="22"/>
          <w:lang w:val="en-US"/>
        </w:rPr>
        <w:t xml:space="preserve">to </w:t>
      </w:r>
      <w:r w:rsidRPr="00FD73B8">
        <w:rPr>
          <w:rFonts w:asciiTheme="majorBidi" w:hAnsiTheme="majorBidi" w:cstheme="majorBidi"/>
          <w:bCs/>
          <w:snapToGrid w:val="0"/>
          <w:kern w:val="22"/>
          <w:szCs w:val="22"/>
          <w:lang w:val="en-US"/>
        </w:rPr>
        <w:t>include qualitative</w:t>
      </w:r>
      <w:r>
        <w:rPr>
          <w:rFonts w:asciiTheme="majorBidi" w:hAnsiTheme="majorBidi" w:cstheme="majorBidi"/>
          <w:bCs/>
          <w:snapToGrid w:val="0"/>
          <w:kern w:val="22"/>
          <w:szCs w:val="22"/>
          <w:lang w:val="en-US"/>
        </w:rPr>
        <w:t xml:space="preserve"> information</w:t>
      </w:r>
      <w:r w:rsidRPr="00FD73B8">
        <w:rPr>
          <w:rFonts w:asciiTheme="majorBidi" w:hAnsiTheme="majorBidi" w:cstheme="majorBidi"/>
          <w:bCs/>
          <w:snapToGrid w:val="0"/>
          <w:kern w:val="22"/>
          <w:szCs w:val="22"/>
          <w:lang w:val="en-US"/>
        </w:rPr>
        <w:t xml:space="preserve"> in addition to the quantitative information on Goal D</w:t>
      </w:r>
      <w:r>
        <w:rPr>
          <w:rFonts w:asciiTheme="majorBidi" w:hAnsiTheme="majorBidi" w:cstheme="majorBidi"/>
          <w:bCs/>
          <w:snapToGrid w:val="0"/>
          <w:kern w:val="22"/>
          <w:szCs w:val="22"/>
          <w:lang w:val="en-US"/>
        </w:rPr>
        <w:t xml:space="preserve"> and Target 19</w:t>
      </w:r>
      <w:r w:rsidRPr="00FD73B8">
        <w:rPr>
          <w:rFonts w:asciiTheme="majorBidi" w:hAnsiTheme="majorBidi" w:cstheme="majorBidi"/>
          <w:bCs/>
          <w:snapToGrid w:val="0"/>
          <w:kern w:val="22"/>
          <w:szCs w:val="22"/>
          <w:lang w:val="en-US"/>
        </w:rPr>
        <w:t xml:space="preserve">, particularly in terms of the </w:t>
      </w:r>
      <w:r w:rsidRPr="00AB584C">
        <w:rPr>
          <w:rFonts w:asciiTheme="majorBidi" w:hAnsiTheme="majorBidi" w:cstheme="majorBidi"/>
          <w:bCs/>
          <w:snapToGrid w:val="0"/>
          <w:kern w:val="22"/>
          <w:szCs w:val="22"/>
          <w:lang w:val="en-US"/>
        </w:rPr>
        <w:t>provisioning of</w:t>
      </w:r>
      <w:r w:rsidRPr="00FD73B8">
        <w:rPr>
          <w:rFonts w:asciiTheme="majorBidi" w:hAnsiTheme="majorBidi" w:cstheme="majorBidi"/>
          <w:bCs/>
          <w:snapToGrid w:val="0"/>
          <w:kern w:val="22"/>
          <w:szCs w:val="22"/>
          <w:lang w:val="en-US"/>
        </w:rPr>
        <w:t xml:space="preserve"> means of implementation;</w:t>
      </w:r>
    </w:p>
    <w:p w14:paraId="5353CDFD" w14:textId="77777777" w:rsidR="00005A3C" w:rsidRPr="004F65AE" w:rsidRDefault="00005A3C" w:rsidP="008174C8">
      <w:pPr>
        <w:keepNext/>
        <w:spacing w:before="120" w:after="120"/>
        <w:ind w:firstLine="851"/>
        <w:rPr>
          <w:rFonts w:asciiTheme="majorBidi" w:hAnsiTheme="majorBidi" w:cstheme="majorBidi"/>
          <w:b/>
          <w:szCs w:val="22"/>
        </w:rPr>
      </w:pPr>
      <w:r w:rsidRPr="004F65AE">
        <w:rPr>
          <w:rFonts w:asciiTheme="majorBidi" w:hAnsiTheme="majorBidi" w:cstheme="majorBidi"/>
          <w:b/>
          <w:szCs w:val="22"/>
        </w:rPr>
        <w:t>Review</w:t>
      </w:r>
    </w:p>
    <w:p w14:paraId="511247C3" w14:textId="77777777" w:rsidR="00005A3C" w:rsidRPr="004F65AE" w:rsidRDefault="00005A3C" w:rsidP="00964609">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18"/>
          <w:lang w:val="en-US"/>
        </w:rPr>
      </w:pPr>
      <w:r w:rsidRPr="004F65AE">
        <w:rPr>
          <w:rFonts w:asciiTheme="majorBidi" w:hAnsiTheme="majorBidi" w:cstheme="majorBidi"/>
          <w:bCs/>
          <w:iCs/>
          <w:snapToGrid w:val="0"/>
          <w:color w:val="000000" w:themeColor="text1"/>
          <w:kern w:val="22"/>
          <w:szCs w:val="18"/>
          <w:lang w:val="en-US"/>
        </w:rPr>
        <w:t>1</w:t>
      </w:r>
      <w:r>
        <w:rPr>
          <w:rFonts w:asciiTheme="majorBidi" w:hAnsiTheme="majorBidi" w:cstheme="majorBidi"/>
          <w:bCs/>
          <w:iCs/>
          <w:snapToGrid w:val="0"/>
          <w:color w:val="000000" w:themeColor="text1"/>
          <w:kern w:val="22"/>
          <w:szCs w:val="18"/>
          <w:lang w:val="en-US"/>
        </w:rPr>
        <w:t>5</w:t>
      </w:r>
      <w:r w:rsidRPr="004F65AE">
        <w:rPr>
          <w:rFonts w:asciiTheme="majorBidi" w:hAnsiTheme="majorBidi" w:cstheme="majorBidi"/>
          <w:bCs/>
          <w:iCs/>
          <w:snapToGrid w:val="0"/>
          <w:color w:val="000000" w:themeColor="text1"/>
          <w:kern w:val="22"/>
          <w:szCs w:val="18"/>
          <w:lang w:val="en-US"/>
        </w:rPr>
        <w:t xml:space="preserve">. </w:t>
      </w:r>
      <w:r>
        <w:rPr>
          <w:rFonts w:asciiTheme="majorBidi" w:hAnsiTheme="majorBidi" w:cstheme="majorBidi"/>
          <w:bCs/>
          <w:iCs/>
          <w:snapToGrid w:val="0"/>
          <w:color w:val="000000" w:themeColor="text1"/>
          <w:kern w:val="22"/>
          <w:szCs w:val="18"/>
          <w:lang w:val="en-US"/>
        </w:rPr>
        <w:tab/>
      </w:r>
      <w:r w:rsidRPr="00A142CA">
        <w:rPr>
          <w:rFonts w:asciiTheme="majorBidi" w:hAnsiTheme="majorBidi" w:cstheme="majorBidi"/>
          <w:bCs/>
          <w:i/>
          <w:snapToGrid w:val="0"/>
          <w:color w:val="000000" w:themeColor="text1"/>
          <w:kern w:val="22"/>
          <w:szCs w:val="18"/>
          <w:lang w:val="en-US"/>
        </w:rPr>
        <w:t>Decides</w:t>
      </w:r>
      <w:r w:rsidRPr="004F65AE">
        <w:rPr>
          <w:rFonts w:asciiTheme="majorBidi" w:hAnsiTheme="majorBidi" w:cstheme="majorBidi"/>
          <w:bCs/>
          <w:iCs/>
          <w:snapToGrid w:val="0"/>
          <w:color w:val="000000" w:themeColor="text1"/>
          <w:kern w:val="22"/>
          <w:szCs w:val="18"/>
          <w:lang w:val="en-US"/>
        </w:rPr>
        <w:t xml:space="preserve"> to consider</w:t>
      </w:r>
      <w:r>
        <w:rPr>
          <w:rFonts w:asciiTheme="majorBidi" w:hAnsiTheme="majorBidi" w:cstheme="majorBidi"/>
          <w:bCs/>
          <w:iCs/>
          <w:snapToGrid w:val="0"/>
          <w:color w:val="000000" w:themeColor="text1"/>
          <w:kern w:val="22"/>
          <w:szCs w:val="18"/>
          <w:lang w:val="en-US"/>
        </w:rPr>
        <w:t>,</w:t>
      </w:r>
      <w:r w:rsidRPr="004F65AE">
        <w:rPr>
          <w:rFonts w:asciiTheme="majorBidi" w:hAnsiTheme="majorBidi" w:cstheme="majorBidi"/>
          <w:bCs/>
          <w:iCs/>
          <w:snapToGrid w:val="0"/>
          <w:color w:val="000000" w:themeColor="text1"/>
          <w:kern w:val="22"/>
          <w:szCs w:val="18"/>
          <w:lang w:val="en-US"/>
        </w:rPr>
        <w:t xml:space="preserve"> at </w:t>
      </w:r>
      <w:r>
        <w:rPr>
          <w:rFonts w:asciiTheme="majorBidi" w:hAnsiTheme="majorBidi" w:cstheme="majorBidi"/>
          <w:bCs/>
          <w:snapToGrid w:val="0"/>
          <w:kern w:val="22"/>
          <w:szCs w:val="22"/>
          <w:lang w:val="en-US"/>
        </w:rPr>
        <w:t>its sixteenth meeting</w:t>
      </w:r>
      <w:r w:rsidRPr="004F65AE">
        <w:rPr>
          <w:rFonts w:asciiTheme="majorBidi" w:hAnsiTheme="majorBidi" w:cstheme="majorBidi"/>
          <w:bCs/>
          <w:iCs/>
          <w:snapToGrid w:val="0"/>
          <w:color w:val="000000" w:themeColor="text1"/>
          <w:kern w:val="22"/>
          <w:szCs w:val="18"/>
          <w:lang w:val="en-US"/>
        </w:rPr>
        <w:t xml:space="preserve"> and at each subsequent </w:t>
      </w:r>
      <w:r>
        <w:rPr>
          <w:rFonts w:asciiTheme="majorBidi" w:hAnsiTheme="majorBidi" w:cstheme="majorBidi"/>
          <w:bCs/>
          <w:iCs/>
          <w:snapToGrid w:val="0"/>
          <w:color w:val="000000" w:themeColor="text1"/>
          <w:kern w:val="22"/>
          <w:szCs w:val="18"/>
          <w:lang w:val="en-US"/>
        </w:rPr>
        <w:t xml:space="preserve">meeting of the </w:t>
      </w:r>
      <w:r>
        <w:rPr>
          <w:rFonts w:asciiTheme="majorBidi" w:hAnsiTheme="majorBidi" w:cstheme="majorBidi"/>
          <w:bCs/>
          <w:snapToGrid w:val="0"/>
          <w:kern w:val="22"/>
          <w:szCs w:val="22"/>
          <w:lang w:val="en-US"/>
        </w:rPr>
        <w:t>Conference of the Parties</w:t>
      </w:r>
      <w:r>
        <w:rPr>
          <w:rFonts w:asciiTheme="majorBidi" w:hAnsiTheme="majorBidi" w:cstheme="majorBidi"/>
          <w:bCs/>
          <w:iCs/>
          <w:snapToGrid w:val="0"/>
          <w:color w:val="000000" w:themeColor="text1"/>
          <w:kern w:val="22"/>
          <w:szCs w:val="18"/>
          <w:lang w:val="en-US"/>
        </w:rPr>
        <w:t>,</w:t>
      </w:r>
      <w:r w:rsidRPr="004F65AE">
        <w:rPr>
          <w:rFonts w:asciiTheme="majorBidi" w:hAnsiTheme="majorBidi" w:cstheme="majorBidi"/>
          <w:bCs/>
          <w:iCs/>
          <w:snapToGrid w:val="0"/>
          <w:color w:val="000000" w:themeColor="text1"/>
          <w:kern w:val="22"/>
          <w:szCs w:val="18"/>
          <w:lang w:val="en-US"/>
        </w:rPr>
        <w:t xml:space="preserve"> a global analysis of the information provided </w:t>
      </w:r>
      <w:r>
        <w:rPr>
          <w:rFonts w:asciiTheme="majorBidi" w:hAnsiTheme="majorBidi" w:cstheme="majorBidi"/>
          <w:bCs/>
          <w:iCs/>
          <w:snapToGrid w:val="0"/>
          <w:color w:val="000000" w:themeColor="text1"/>
          <w:kern w:val="22"/>
          <w:szCs w:val="18"/>
          <w:lang w:val="en-US"/>
        </w:rPr>
        <w:t xml:space="preserve">pursuant to </w:t>
      </w:r>
      <w:r w:rsidRPr="004F65AE">
        <w:rPr>
          <w:rFonts w:asciiTheme="majorBidi" w:hAnsiTheme="majorBidi" w:cstheme="majorBidi"/>
          <w:bCs/>
          <w:iCs/>
          <w:snapToGrid w:val="0"/>
          <w:color w:val="000000" w:themeColor="text1"/>
          <w:kern w:val="22"/>
          <w:szCs w:val="18"/>
          <w:lang w:val="en-US"/>
        </w:rPr>
        <w:t>para</w:t>
      </w:r>
      <w:r>
        <w:rPr>
          <w:rFonts w:asciiTheme="majorBidi" w:hAnsiTheme="majorBidi" w:cstheme="majorBidi"/>
          <w:bCs/>
          <w:iCs/>
          <w:snapToGrid w:val="0"/>
          <w:color w:val="000000" w:themeColor="text1"/>
          <w:kern w:val="22"/>
          <w:szCs w:val="18"/>
          <w:lang w:val="en-US"/>
        </w:rPr>
        <w:t>graphs</w:t>
      </w:r>
      <w:r w:rsidRPr="004F65AE">
        <w:rPr>
          <w:rFonts w:asciiTheme="majorBidi" w:hAnsiTheme="majorBidi" w:cstheme="majorBidi"/>
          <w:bCs/>
          <w:iCs/>
          <w:snapToGrid w:val="0"/>
          <w:color w:val="000000" w:themeColor="text1"/>
          <w:kern w:val="22"/>
          <w:szCs w:val="18"/>
          <w:lang w:val="en-US"/>
        </w:rPr>
        <w:t xml:space="preserve"> </w:t>
      </w:r>
      <w:r>
        <w:rPr>
          <w:rFonts w:asciiTheme="majorBidi" w:hAnsiTheme="majorBidi" w:cstheme="majorBidi"/>
          <w:bCs/>
          <w:iCs/>
          <w:snapToGrid w:val="0"/>
          <w:color w:val="000000" w:themeColor="text1"/>
          <w:kern w:val="22"/>
          <w:szCs w:val="18"/>
          <w:lang w:val="en-US"/>
        </w:rPr>
        <w:t>6</w:t>
      </w:r>
      <w:r w:rsidRPr="004F65AE">
        <w:rPr>
          <w:rFonts w:asciiTheme="majorBidi" w:hAnsiTheme="majorBidi" w:cstheme="majorBidi"/>
          <w:bCs/>
          <w:iCs/>
          <w:snapToGrid w:val="0"/>
          <w:color w:val="000000" w:themeColor="text1"/>
          <w:kern w:val="22"/>
          <w:szCs w:val="18"/>
          <w:lang w:val="en-US"/>
        </w:rPr>
        <w:t xml:space="preserve"> and </w:t>
      </w:r>
      <w:r>
        <w:rPr>
          <w:rFonts w:asciiTheme="majorBidi" w:hAnsiTheme="majorBidi" w:cstheme="majorBidi"/>
          <w:bCs/>
          <w:iCs/>
          <w:snapToGrid w:val="0"/>
          <w:color w:val="000000" w:themeColor="text1"/>
          <w:kern w:val="22"/>
          <w:szCs w:val="18"/>
          <w:lang w:val="en-US"/>
        </w:rPr>
        <w:t>7</w:t>
      </w:r>
      <w:r w:rsidRPr="004F65AE">
        <w:rPr>
          <w:rFonts w:asciiTheme="majorBidi" w:hAnsiTheme="majorBidi" w:cstheme="majorBidi"/>
          <w:bCs/>
          <w:iCs/>
          <w:snapToGrid w:val="0"/>
          <w:color w:val="000000" w:themeColor="text1"/>
          <w:kern w:val="22"/>
          <w:szCs w:val="18"/>
          <w:lang w:val="en-US"/>
        </w:rPr>
        <w:t xml:space="preserve"> </w:t>
      </w:r>
      <w:r>
        <w:rPr>
          <w:rFonts w:asciiTheme="majorBidi" w:hAnsiTheme="majorBidi" w:cstheme="majorBidi"/>
          <w:bCs/>
          <w:iCs/>
          <w:snapToGrid w:val="0"/>
          <w:color w:val="000000" w:themeColor="text1"/>
          <w:kern w:val="22"/>
          <w:szCs w:val="18"/>
          <w:lang w:val="en-US"/>
        </w:rPr>
        <w:t xml:space="preserve">of the present decision, </w:t>
      </w:r>
      <w:r w:rsidRPr="004F65AE">
        <w:rPr>
          <w:rFonts w:asciiTheme="majorBidi" w:hAnsiTheme="majorBidi" w:cstheme="majorBidi"/>
          <w:bCs/>
          <w:iCs/>
          <w:snapToGrid w:val="0"/>
          <w:color w:val="000000" w:themeColor="text1"/>
          <w:kern w:val="22"/>
          <w:szCs w:val="18"/>
          <w:lang w:val="en-US"/>
        </w:rPr>
        <w:t xml:space="preserve">to assess the contribution towards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sidRPr="004F65AE">
        <w:rPr>
          <w:rFonts w:asciiTheme="majorBidi" w:hAnsiTheme="majorBidi" w:cstheme="majorBidi"/>
          <w:bCs/>
          <w:snapToGrid w:val="0"/>
          <w:kern w:val="22"/>
          <w:szCs w:val="18"/>
        </w:rPr>
        <w:t>Global Biodiversity Framework</w:t>
      </w:r>
      <w:r>
        <w:rPr>
          <w:rFonts w:asciiTheme="majorBidi" w:hAnsiTheme="majorBidi" w:cstheme="majorBidi"/>
          <w:bCs/>
          <w:iCs/>
          <w:snapToGrid w:val="0"/>
          <w:color w:val="000000" w:themeColor="text1"/>
          <w:kern w:val="22"/>
          <w:szCs w:val="18"/>
          <w:lang w:val="en-US"/>
        </w:rPr>
        <w:t>;</w:t>
      </w:r>
    </w:p>
    <w:p w14:paraId="4557F069" w14:textId="77777777" w:rsidR="00005A3C" w:rsidRPr="004F65AE" w:rsidRDefault="00005A3C">
      <w:pPr>
        <w:suppressLineNumbers/>
        <w:suppressAutoHyphens/>
        <w:adjustRightInd w:val="0"/>
        <w:snapToGrid w:val="0"/>
        <w:spacing w:before="120" w:after="120"/>
        <w:ind w:firstLine="851"/>
        <w:rPr>
          <w:rFonts w:asciiTheme="majorBidi" w:hAnsiTheme="majorBidi" w:cstheme="majorBidi"/>
          <w:bCs/>
          <w:iCs/>
          <w:snapToGrid w:val="0"/>
          <w:color w:val="000000" w:themeColor="text1"/>
          <w:kern w:val="22"/>
          <w:szCs w:val="18"/>
          <w:lang w:val="en-US"/>
        </w:rPr>
      </w:pPr>
      <w:r w:rsidRPr="00AD2BAA">
        <w:rPr>
          <w:rFonts w:asciiTheme="majorBidi" w:hAnsiTheme="majorBidi" w:cstheme="majorBidi"/>
          <w:bCs/>
          <w:iCs/>
          <w:snapToGrid w:val="0"/>
          <w:color w:val="000000" w:themeColor="text1"/>
          <w:kern w:val="22"/>
          <w:szCs w:val="18"/>
          <w:lang w:val="en-US"/>
        </w:rPr>
        <w:t xml:space="preserve">16. </w:t>
      </w:r>
      <w:r w:rsidRPr="00AD2BAA">
        <w:rPr>
          <w:rFonts w:asciiTheme="majorBidi" w:hAnsiTheme="majorBidi" w:cstheme="majorBidi"/>
          <w:bCs/>
          <w:iCs/>
          <w:snapToGrid w:val="0"/>
          <w:color w:val="000000" w:themeColor="text1"/>
          <w:kern w:val="22"/>
          <w:szCs w:val="18"/>
          <w:lang w:val="en-US"/>
        </w:rPr>
        <w:tab/>
      </w:r>
      <w:r w:rsidRPr="00AD2BAA">
        <w:rPr>
          <w:rFonts w:asciiTheme="majorBidi" w:hAnsiTheme="majorBidi" w:cstheme="majorBidi"/>
          <w:bCs/>
          <w:i/>
          <w:snapToGrid w:val="0"/>
          <w:color w:val="000000" w:themeColor="text1"/>
          <w:kern w:val="22"/>
          <w:szCs w:val="18"/>
          <w:lang w:val="en-US"/>
        </w:rPr>
        <w:t>Also decides</w:t>
      </w:r>
      <w:r w:rsidRPr="00AD2BAA">
        <w:rPr>
          <w:rFonts w:asciiTheme="majorBidi" w:hAnsiTheme="majorBidi" w:cstheme="majorBidi"/>
          <w:bCs/>
          <w:iCs/>
          <w:snapToGrid w:val="0"/>
          <w:color w:val="000000" w:themeColor="text1"/>
          <w:kern w:val="22"/>
          <w:szCs w:val="18"/>
          <w:lang w:val="en-US"/>
        </w:rPr>
        <w:t xml:space="preserve"> to conduct a global review of the collective progress in the implementation of the </w:t>
      </w:r>
      <w:r w:rsidRPr="00AD2BAA">
        <w:rPr>
          <w:rFonts w:asciiTheme="majorBidi" w:hAnsiTheme="majorBidi" w:cstheme="majorBidi"/>
          <w:bCs/>
          <w:snapToGrid w:val="0"/>
          <w:kern w:val="22"/>
          <w:szCs w:val="22"/>
          <w:lang w:val="en-US"/>
        </w:rPr>
        <w:t xml:space="preserve">Kunming-Montreal </w:t>
      </w:r>
      <w:r w:rsidRPr="00AD2BAA">
        <w:rPr>
          <w:rFonts w:asciiTheme="majorBidi" w:hAnsiTheme="majorBidi" w:cstheme="majorBidi"/>
          <w:bCs/>
          <w:iCs/>
          <w:snapToGrid w:val="0"/>
          <w:color w:val="000000" w:themeColor="text1"/>
          <w:kern w:val="22"/>
          <w:szCs w:val="22"/>
          <w:lang w:val="en-US"/>
        </w:rPr>
        <w:t>Global</w:t>
      </w:r>
      <w:r w:rsidRPr="00AD2BAA">
        <w:rPr>
          <w:rFonts w:asciiTheme="majorBidi" w:hAnsiTheme="majorBidi" w:cstheme="majorBidi"/>
          <w:bCs/>
          <w:iCs/>
          <w:snapToGrid w:val="0"/>
          <w:color w:val="000000" w:themeColor="text1"/>
          <w:kern w:val="22"/>
          <w:szCs w:val="18"/>
          <w:lang w:val="en-US"/>
        </w:rPr>
        <w:t xml:space="preserve"> Biodiversity Framework, including the means of implementation, at </w:t>
      </w:r>
      <w:r w:rsidRPr="00CA676A">
        <w:rPr>
          <w:rFonts w:asciiTheme="majorBidi" w:hAnsiTheme="majorBidi" w:cstheme="majorBidi"/>
          <w:bCs/>
          <w:iCs/>
          <w:snapToGrid w:val="0"/>
          <w:color w:val="000000" w:themeColor="text1"/>
          <w:kern w:val="22"/>
          <w:szCs w:val="18"/>
          <w:lang w:val="en-US"/>
        </w:rPr>
        <w:t>its</w:t>
      </w:r>
      <w:r w:rsidRPr="00AD2BAA">
        <w:rPr>
          <w:rFonts w:asciiTheme="majorBidi" w:hAnsiTheme="majorBidi" w:cstheme="majorBidi"/>
          <w:bCs/>
          <w:iCs/>
          <w:snapToGrid w:val="0"/>
          <w:color w:val="000000" w:themeColor="text1"/>
          <w:kern w:val="22"/>
          <w:szCs w:val="18"/>
          <w:lang w:val="en-US"/>
        </w:rPr>
        <w:t xml:space="preserve"> seventeenth and nineteenth meetings, based on national reports and, as appropriate, other sources of information;</w:t>
      </w:r>
    </w:p>
    <w:p w14:paraId="59AECD8D" w14:textId="77777777" w:rsidR="00005A3C" w:rsidRDefault="00005A3C">
      <w:pPr>
        <w:suppressLineNumbers/>
        <w:suppressAutoHyphens/>
        <w:spacing w:before="120" w:after="120"/>
        <w:ind w:firstLine="851"/>
        <w:rPr>
          <w:rFonts w:asciiTheme="majorBidi" w:hAnsiTheme="majorBidi" w:cstheme="majorBidi"/>
          <w:bCs/>
          <w:snapToGrid w:val="0"/>
          <w:kern w:val="22"/>
          <w:szCs w:val="22"/>
        </w:rPr>
      </w:pPr>
      <w:r w:rsidRPr="004F65AE">
        <w:rPr>
          <w:rFonts w:asciiTheme="majorBidi" w:hAnsiTheme="majorBidi" w:cstheme="majorBidi"/>
          <w:bCs/>
          <w:snapToGrid w:val="0"/>
          <w:kern w:val="22"/>
          <w:szCs w:val="22"/>
        </w:rPr>
        <w:t>1</w:t>
      </w:r>
      <w:r>
        <w:rPr>
          <w:rFonts w:asciiTheme="majorBidi" w:hAnsiTheme="majorBidi" w:cstheme="majorBidi"/>
          <w:bCs/>
          <w:snapToGrid w:val="0"/>
          <w:kern w:val="22"/>
          <w:szCs w:val="22"/>
        </w:rPr>
        <w:t>7.</w:t>
      </w:r>
      <w:r>
        <w:rPr>
          <w:rFonts w:asciiTheme="majorBidi" w:hAnsiTheme="majorBidi" w:cstheme="majorBidi"/>
          <w:bCs/>
          <w:i/>
          <w:iCs/>
          <w:snapToGrid w:val="0"/>
          <w:kern w:val="22"/>
          <w:szCs w:val="22"/>
        </w:rPr>
        <w:tab/>
        <w:t>Further d</w:t>
      </w:r>
      <w:r w:rsidRPr="004F65AE">
        <w:rPr>
          <w:rFonts w:asciiTheme="majorBidi" w:hAnsiTheme="majorBidi" w:cstheme="majorBidi"/>
          <w:bCs/>
          <w:i/>
          <w:iCs/>
          <w:snapToGrid w:val="0"/>
          <w:kern w:val="22"/>
          <w:szCs w:val="22"/>
        </w:rPr>
        <w:t xml:space="preserve">ecides </w:t>
      </w:r>
      <w:r w:rsidRPr="004F65AE">
        <w:rPr>
          <w:rFonts w:asciiTheme="majorBidi" w:hAnsiTheme="majorBidi" w:cstheme="majorBidi"/>
          <w:bCs/>
          <w:snapToGrid w:val="0"/>
          <w:kern w:val="22"/>
          <w:szCs w:val="22"/>
        </w:rPr>
        <w:t xml:space="preserve">to mandate the Subsidiary Body on Implementation to develop the concrete procedures for the global review </w:t>
      </w:r>
      <w:r w:rsidRPr="004F65AE">
        <w:rPr>
          <w:rFonts w:asciiTheme="majorBidi" w:hAnsiTheme="majorBidi" w:cstheme="majorBidi"/>
          <w:bCs/>
          <w:iCs/>
          <w:snapToGrid w:val="0"/>
          <w:color w:val="000000" w:themeColor="text1"/>
          <w:kern w:val="22"/>
          <w:szCs w:val="18"/>
          <w:lang w:val="en-US"/>
        </w:rPr>
        <w:t>mentioned in paragraph 1</w:t>
      </w:r>
      <w:r>
        <w:rPr>
          <w:rFonts w:asciiTheme="majorBidi" w:hAnsiTheme="majorBidi" w:cstheme="majorBidi"/>
          <w:bCs/>
          <w:iCs/>
          <w:snapToGrid w:val="0"/>
          <w:color w:val="000000" w:themeColor="text1"/>
          <w:kern w:val="22"/>
          <w:szCs w:val="18"/>
          <w:lang w:val="en-US"/>
        </w:rPr>
        <w:t>6 above</w:t>
      </w:r>
      <w:r w:rsidRPr="004F65AE">
        <w:rPr>
          <w:rFonts w:asciiTheme="majorBidi" w:hAnsiTheme="majorBidi" w:cstheme="majorBidi"/>
          <w:bCs/>
          <w:iCs/>
          <w:snapToGrid w:val="0"/>
          <w:color w:val="000000" w:themeColor="text1"/>
          <w:kern w:val="22"/>
          <w:szCs w:val="18"/>
          <w:lang w:val="en-US"/>
        </w:rPr>
        <w:t>,</w:t>
      </w:r>
      <w:r w:rsidRPr="004F65AE">
        <w:rPr>
          <w:rFonts w:asciiTheme="majorBidi" w:hAnsiTheme="majorBidi" w:cstheme="majorBidi"/>
          <w:bCs/>
          <w:snapToGrid w:val="0"/>
          <w:kern w:val="22"/>
          <w:szCs w:val="22"/>
        </w:rPr>
        <w:t xml:space="preserve"> including on the use of indicators, and to prepare the review for </w:t>
      </w:r>
      <w:r w:rsidRPr="00CA676A">
        <w:rPr>
          <w:rFonts w:asciiTheme="majorBidi" w:hAnsiTheme="majorBidi" w:cstheme="majorBidi"/>
          <w:bCs/>
          <w:snapToGrid w:val="0"/>
          <w:kern w:val="22"/>
          <w:szCs w:val="22"/>
        </w:rPr>
        <w:t>consideration</w:t>
      </w:r>
      <w:r w:rsidRPr="005A12B2">
        <w:rPr>
          <w:rFonts w:asciiTheme="majorBidi" w:hAnsiTheme="majorBidi" w:cstheme="majorBidi"/>
          <w:bCs/>
          <w:snapToGrid w:val="0"/>
          <w:kern w:val="22"/>
          <w:szCs w:val="22"/>
        </w:rPr>
        <w:t xml:space="preserve"> </w:t>
      </w:r>
      <w:r w:rsidRPr="00CA676A">
        <w:rPr>
          <w:rFonts w:asciiTheme="majorBidi" w:hAnsiTheme="majorBidi" w:cstheme="majorBidi"/>
          <w:bCs/>
          <w:snapToGrid w:val="0"/>
          <w:kern w:val="22"/>
          <w:szCs w:val="22"/>
        </w:rPr>
        <w:t>by the Conference of the Parties at its</w:t>
      </w:r>
      <w:r w:rsidRPr="005A12B2">
        <w:rPr>
          <w:rFonts w:asciiTheme="majorBidi" w:hAnsiTheme="majorBidi" w:cstheme="majorBidi"/>
          <w:bCs/>
          <w:snapToGrid w:val="0"/>
          <w:kern w:val="22"/>
          <w:szCs w:val="22"/>
        </w:rPr>
        <w:t xml:space="preserve"> </w:t>
      </w:r>
      <w:r w:rsidRPr="005A12B2">
        <w:rPr>
          <w:rFonts w:asciiTheme="majorBidi" w:hAnsiTheme="majorBidi" w:cstheme="majorBidi"/>
          <w:bCs/>
          <w:snapToGrid w:val="0"/>
          <w:kern w:val="22"/>
          <w:szCs w:val="22"/>
          <w:lang w:val="en-US"/>
        </w:rPr>
        <w:t>sixteenth meeting</w:t>
      </w:r>
      <w:r w:rsidRPr="005A12B2">
        <w:rPr>
          <w:rFonts w:asciiTheme="majorBidi" w:hAnsiTheme="majorBidi" w:cstheme="majorBidi"/>
          <w:bCs/>
          <w:snapToGrid w:val="0"/>
          <w:kern w:val="22"/>
          <w:szCs w:val="22"/>
        </w:rPr>
        <w:t>;</w:t>
      </w:r>
      <w:r w:rsidRPr="004F65AE">
        <w:rPr>
          <w:rFonts w:asciiTheme="majorBidi" w:hAnsiTheme="majorBidi" w:cstheme="majorBidi"/>
          <w:bCs/>
          <w:snapToGrid w:val="0"/>
          <w:kern w:val="22"/>
          <w:szCs w:val="22"/>
        </w:rPr>
        <w:t xml:space="preserve"> </w:t>
      </w:r>
    </w:p>
    <w:p w14:paraId="22107929" w14:textId="77777777" w:rsidR="00005A3C" w:rsidRDefault="00005A3C">
      <w:pPr>
        <w:suppressLineNumbers/>
        <w:suppressAutoHyphens/>
        <w:spacing w:before="120" w:after="120"/>
        <w:ind w:firstLine="851"/>
        <w:rPr>
          <w:rFonts w:asciiTheme="majorBidi" w:hAnsiTheme="majorBidi" w:cstheme="majorBidi"/>
          <w:bCs/>
          <w:snapToGrid w:val="0"/>
          <w:kern w:val="22"/>
          <w:szCs w:val="22"/>
        </w:rPr>
      </w:pPr>
      <w:r>
        <w:rPr>
          <w:rFonts w:asciiTheme="majorBidi" w:hAnsiTheme="majorBidi" w:cstheme="majorBidi"/>
          <w:bCs/>
          <w:snapToGrid w:val="0"/>
          <w:kern w:val="22"/>
          <w:szCs w:val="22"/>
        </w:rPr>
        <w:t>18.</w:t>
      </w:r>
      <w:r>
        <w:rPr>
          <w:rFonts w:asciiTheme="majorBidi" w:hAnsiTheme="majorBidi" w:cstheme="majorBidi"/>
          <w:bCs/>
          <w:snapToGrid w:val="0"/>
          <w:kern w:val="22"/>
          <w:szCs w:val="22"/>
        </w:rPr>
        <w:tab/>
      </w:r>
      <w:r w:rsidRPr="00A142CA">
        <w:rPr>
          <w:rFonts w:asciiTheme="majorBidi" w:hAnsiTheme="majorBidi" w:cstheme="majorBidi"/>
          <w:bCs/>
          <w:i/>
          <w:iCs/>
          <w:snapToGrid w:val="0"/>
          <w:kern w:val="22"/>
          <w:szCs w:val="22"/>
        </w:rPr>
        <w:t>Requests</w:t>
      </w:r>
      <w:r>
        <w:rPr>
          <w:rFonts w:asciiTheme="majorBidi" w:hAnsiTheme="majorBidi" w:cstheme="majorBidi"/>
          <w:bCs/>
          <w:snapToGrid w:val="0"/>
          <w:kern w:val="22"/>
          <w:szCs w:val="22"/>
        </w:rPr>
        <w:t xml:space="preserve"> the Subsidiary Body on Scientific, Technical and Technological Advice, at its twenty-fifth meeting, to pro</w:t>
      </w:r>
      <w:r w:rsidRPr="00AD2BAA">
        <w:rPr>
          <w:rFonts w:asciiTheme="majorBidi" w:hAnsiTheme="majorBidi" w:cstheme="majorBidi"/>
          <w:bCs/>
          <w:snapToGrid w:val="0"/>
          <w:kern w:val="22"/>
          <w:szCs w:val="22"/>
        </w:rPr>
        <w:t>vide advice on relevant scientific, technical and technological inputs that should inform the global review mentioned</w:t>
      </w:r>
      <w:r>
        <w:rPr>
          <w:rFonts w:asciiTheme="majorBidi" w:hAnsiTheme="majorBidi" w:cstheme="majorBidi"/>
          <w:bCs/>
          <w:snapToGrid w:val="0"/>
          <w:kern w:val="22"/>
          <w:szCs w:val="22"/>
        </w:rPr>
        <w:t xml:space="preserve"> in paragraph 16, for consideration by the Subsidiary Body on Implementation;</w:t>
      </w:r>
    </w:p>
    <w:p w14:paraId="6D04D2B0" w14:textId="77777777" w:rsidR="00005A3C" w:rsidRPr="004F65AE" w:rsidRDefault="00005A3C" w:rsidP="00DF1593">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DF1593">
        <w:rPr>
          <w:rFonts w:asciiTheme="majorBidi" w:hAnsiTheme="majorBidi" w:cstheme="majorBidi"/>
          <w:bCs/>
          <w:snapToGrid w:val="0"/>
          <w:kern w:val="22"/>
          <w:szCs w:val="22"/>
          <w:lang w:val="en-US"/>
        </w:rPr>
        <w:t>1</w:t>
      </w:r>
      <w:r>
        <w:rPr>
          <w:rFonts w:asciiTheme="majorBidi" w:hAnsiTheme="majorBidi" w:cstheme="majorBidi"/>
          <w:bCs/>
          <w:snapToGrid w:val="0"/>
          <w:kern w:val="22"/>
          <w:szCs w:val="22"/>
          <w:lang w:val="en-US"/>
        </w:rPr>
        <w:t>9</w:t>
      </w:r>
      <w:r w:rsidRPr="00DF1593">
        <w:rPr>
          <w:rFonts w:asciiTheme="majorBidi" w:hAnsiTheme="majorBidi" w:cstheme="majorBidi"/>
          <w:bCs/>
          <w:snapToGrid w:val="0"/>
          <w:kern w:val="22"/>
          <w:szCs w:val="22"/>
          <w:lang w:val="en-US"/>
        </w:rPr>
        <w:t>.</w:t>
      </w:r>
      <w:r w:rsidRPr="004F65AE">
        <w:rPr>
          <w:rFonts w:asciiTheme="majorBidi" w:hAnsiTheme="majorBidi" w:cstheme="majorBidi"/>
          <w:bCs/>
          <w:i/>
          <w:iCs/>
          <w:snapToGrid w:val="0"/>
          <w:kern w:val="22"/>
          <w:szCs w:val="22"/>
          <w:lang w:val="en-US"/>
        </w:rPr>
        <w:t xml:space="preserve"> </w:t>
      </w:r>
      <w:r>
        <w:rPr>
          <w:rFonts w:asciiTheme="majorBidi" w:hAnsiTheme="majorBidi" w:cstheme="majorBidi"/>
          <w:bCs/>
          <w:i/>
          <w:iCs/>
          <w:snapToGrid w:val="0"/>
          <w:kern w:val="22"/>
          <w:szCs w:val="22"/>
          <w:lang w:val="en-US"/>
        </w:rPr>
        <w:tab/>
      </w:r>
      <w:r w:rsidRPr="004F65AE">
        <w:rPr>
          <w:rFonts w:asciiTheme="majorBidi" w:hAnsiTheme="majorBidi" w:cstheme="majorBidi"/>
          <w:bCs/>
          <w:i/>
          <w:iCs/>
          <w:snapToGrid w:val="0"/>
          <w:kern w:val="22"/>
          <w:szCs w:val="22"/>
          <w:lang w:val="en-US"/>
        </w:rPr>
        <w:t>Decides</w:t>
      </w:r>
      <w:r w:rsidRPr="004F65AE">
        <w:rPr>
          <w:rFonts w:asciiTheme="majorBidi" w:hAnsiTheme="majorBidi" w:cstheme="majorBidi"/>
          <w:bCs/>
          <w:snapToGrid w:val="0"/>
          <w:kern w:val="22"/>
          <w:szCs w:val="22"/>
          <w:lang w:val="en-US"/>
        </w:rPr>
        <w:t xml:space="preserve"> that </w:t>
      </w:r>
      <w:r>
        <w:rPr>
          <w:rFonts w:asciiTheme="majorBidi" w:hAnsiTheme="majorBidi" w:cstheme="majorBidi"/>
          <w:bCs/>
          <w:snapToGrid w:val="0"/>
          <w:kern w:val="22"/>
          <w:szCs w:val="22"/>
          <w:lang w:val="en-US"/>
        </w:rPr>
        <w:t>the Conference of the Parties</w:t>
      </w:r>
      <w:r w:rsidRPr="004F65AE">
        <w:rPr>
          <w:rFonts w:asciiTheme="majorBidi" w:hAnsiTheme="majorBidi" w:cstheme="majorBidi"/>
          <w:bCs/>
          <w:snapToGrid w:val="0"/>
          <w:kern w:val="22"/>
          <w:szCs w:val="22"/>
          <w:lang w:val="en-US"/>
        </w:rPr>
        <w:t xml:space="preserve"> will consider and provide any additional </w:t>
      </w:r>
      <w:r w:rsidRPr="0033715A">
        <w:rPr>
          <w:rFonts w:asciiTheme="majorBidi" w:hAnsiTheme="majorBidi" w:cstheme="majorBidi"/>
          <w:bCs/>
          <w:snapToGrid w:val="0"/>
          <w:kern w:val="22"/>
          <w:szCs w:val="22"/>
          <w:lang w:val="en-US"/>
        </w:rPr>
        <w:t>recommendations, as necessary, at future meetings of the Conference of the Parties, on the basis of the inputs received pursuant to</w:t>
      </w:r>
      <w:r>
        <w:rPr>
          <w:rFonts w:asciiTheme="majorBidi" w:hAnsiTheme="majorBidi" w:cstheme="majorBidi"/>
          <w:bCs/>
          <w:snapToGrid w:val="0"/>
          <w:kern w:val="22"/>
          <w:szCs w:val="22"/>
          <w:lang w:val="en-US"/>
        </w:rPr>
        <w:t xml:space="preserve"> </w:t>
      </w:r>
      <w:r w:rsidRPr="004F65AE">
        <w:rPr>
          <w:rFonts w:asciiTheme="majorBidi" w:hAnsiTheme="majorBidi" w:cstheme="majorBidi"/>
          <w:bCs/>
          <w:snapToGrid w:val="0"/>
          <w:kern w:val="22"/>
          <w:szCs w:val="22"/>
          <w:lang w:val="en-US"/>
        </w:rPr>
        <w:t>para</w:t>
      </w:r>
      <w:r>
        <w:rPr>
          <w:rFonts w:asciiTheme="majorBidi" w:hAnsiTheme="majorBidi" w:cstheme="majorBidi"/>
          <w:bCs/>
          <w:snapToGrid w:val="0"/>
          <w:kern w:val="22"/>
          <w:szCs w:val="22"/>
          <w:lang w:val="en-US"/>
        </w:rPr>
        <w:t>graphs</w:t>
      </w:r>
      <w:r w:rsidRPr="004F65AE">
        <w:rPr>
          <w:rFonts w:asciiTheme="majorBidi" w:hAnsiTheme="majorBidi" w:cstheme="majorBidi"/>
          <w:bCs/>
          <w:snapToGrid w:val="0"/>
          <w:kern w:val="22"/>
          <w:szCs w:val="22"/>
          <w:lang w:val="en-US"/>
        </w:rPr>
        <w:t xml:space="preserve"> 1</w:t>
      </w:r>
      <w:r>
        <w:rPr>
          <w:rFonts w:asciiTheme="majorBidi" w:hAnsiTheme="majorBidi" w:cstheme="majorBidi"/>
          <w:bCs/>
          <w:snapToGrid w:val="0"/>
          <w:kern w:val="22"/>
          <w:szCs w:val="22"/>
          <w:lang w:val="en-US"/>
        </w:rPr>
        <w:t>5</w:t>
      </w:r>
      <w:r w:rsidRPr="004F65AE">
        <w:rPr>
          <w:rFonts w:asciiTheme="majorBidi" w:hAnsiTheme="majorBidi" w:cstheme="majorBidi"/>
          <w:bCs/>
          <w:snapToGrid w:val="0"/>
          <w:kern w:val="22"/>
          <w:szCs w:val="22"/>
          <w:lang w:val="en-US"/>
        </w:rPr>
        <w:t xml:space="preserve"> and 1</w:t>
      </w:r>
      <w:r>
        <w:rPr>
          <w:rFonts w:asciiTheme="majorBidi" w:hAnsiTheme="majorBidi" w:cstheme="majorBidi"/>
          <w:bCs/>
          <w:snapToGrid w:val="0"/>
          <w:kern w:val="22"/>
          <w:szCs w:val="22"/>
          <w:lang w:val="en-US"/>
        </w:rPr>
        <w:t>6,</w:t>
      </w:r>
      <w:r w:rsidRPr="004F65AE">
        <w:rPr>
          <w:rFonts w:asciiTheme="majorBidi" w:hAnsiTheme="majorBidi" w:cstheme="majorBidi"/>
          <w:bCs/>
          <w:snapToGrid w:val="0"/>
          <w:kern w:val="22"/>
          <w:szCs w:val="22"/>
          <w:lang w:val="en-US"/>
        </w:rPr>
        <w:t xml:space="preserve"> with a view to achieving the goals and targets of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sidRPr="004F65AE">
        <w:rPr>
          <w:rFonts w:asciiTheme="majorBidi" w:hAnsiTheme="majorBidi" w:cstheme="majorBidi"/>
          <w:bCs/>
          <w:snapToGrid w:val="0"/>
          <w:kern w:val="22"/>
          <w:szCs w:val="22"/>
          <w:lang w:val="en-US"/>
        </w:rPr>
        <w:t>Global Biodiversity Framework</w:t>
      </w:r>
      <w:r>
        <w:rPr>
          <w:rFonts w:asciiTheme="majorBidi" w:hAnsiTheme="majorBidi" w:cstheme="majorBidi"/>
          <w:bCs/>
          <w:snapToGrid w:val="0"/>
          <w:kern w:val="22"/>
          <w:szCs w:val="22"/>
          <w:lang w:val="en-US"/>
        </w:rPr>
        <w:t>;</w:t>
      </w:r>
    </w:p>
    <w:p w14:paraId="6D139E00" w14:textId="77777777" w:rsidR="00005A3C" w:rsidRDefault="00005A3C" w:rsidP="00964609">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lang w:val="en-CA"/>
        </w:rPr>
      </w:pPr>
      <w:r>
        <w:rPr>
          <w:rFonts w:asciiTheme="majorBidi" w:hAnsiTheme="majorBidi" w:cstheme="majorBidi"/>
          <w:bCs/>
          <w:snapToGrid w:val="0"/>
          <w:kern w:val="22"/>
          <w:szCs w:val="22"/>
          <w:lang w:val="en-CA"/>
        </w:rPr>
        <w:t>20</w:t>
      </w:r>
      <w:r w:rsidRPr="006668AE">
        <w:rPr>
          <w:rFonts w:asciiTheme="majorBidi" w:hAnsiTheme="majorBidi" w:cstheme="majorBidi"/>
          <w:bCs/>
          <w:snapToGrid w:val="0"/>
          <w:kern w:val="22"/>
          <w:szCs w:val="22"/>
          <w:lang w:val="en-CA"/>
        </w:rPr>
        <w:t xml:space="preserve">. </w:t>
      </w:r>
      <w:r>
        <w:rPr>
          <w:rFonts w:asciiTheme="majorBidi" w:hAnsiTheme="majorBidi" w:cstheme="majorBidi"/>
          <w:bCs/>
          <w:snapToGrid w:val="0"/>
          <w:kern w:val="22"/>
          <w:szCs w:val="22"/>
          <w:lang w:val="en-CA"/>
        </w:rPr>
        <w:tab/>
      </w:r>
      <w:r>
        <w:rPr>
          <w:rFonts w:asciiTheme="majorBidi" w:hAnsiTheme="majorBidi" w:cstheme="majorBidi"/>
          <w:bCs/>
          <w:i/>
          <w:iCs/>
          <w:snapToGrid w:val="0"/>
          <w:kern w:val="22"/>
          <w:szCs w:val="22"/>
          <w:lang w:val="en-CA"/>
        </w:rPr>
        <w:t xml:space="preserve">Recognizes </w:t>
      </w:r>
      <w:r w:rsidRPr="008174C8">
        <w:rPr>
          <w:rFonts w:asciiTheme="majorBidi" w:hAnsiTheme="majorBidi" w:cstheme="majorBidi"/>
          <w:bCs/>
          <w:snapToGrid w:val="0"/>
          <w:kern w:val="22"/>
          <w:szCs w:val="22"/>
          <w:lang w:val="en-CA"/>
        </w:rPr>
        <w:t>that</w:t>
      </w:r>
      <w:r w:rsidRPr="006668AE">
        <w:rPr>
          <w:rFonts w:asciiTheme="majorBidi" w:hAnsiTheme="majorBidi" w:cstheme="majorBidi"/>
          <w:bCs/>
          <w:snapToGrid w:val="0"/>
          <w:kern w:val="22"/>
          <w:szCs w:val="22"/>
          <w:lang w:val="en-CA"/>
        </w:rPr>
        <w:t xml:space="preserve"> Parties </w:t>
      </w:r>
      <w:r>
        <w:rPr>
          <w:rFonts w:asciiTheme="majorBidi" w:hAnsiTheme="majorBidi" w:cstheme="majorBidi"/>
          <w:bCs/>
          <w:snapToGrid w:val="0"/>
          <w:kern w:val="22"/>
          <w:szCs w:val="22"/>
          <w:lang w:val="en-CA"/>
        </w:rPr>
        <w:t xml:space="preserve">may </w:t>
      </w:r>
      <w:r w:rsidRPr="006668AE">
        <w:rPr>
          <w:rFonts w:asciiTheme="majorBidi" w:hAnsiTheme="majorBidi" w:cstheme="majorBidi"/>
          <w:bCs/>
          <w:snapToGrid w:val="0"/>
          <w:kern w:val="22"/>
          <w:szCs w:val="22"/>
          <w:lang w:val="en-CA"/>
        </w:rPr>
        <w:t xml:space="preserve">take the outcome of the </w:t>
      </w:r>
      <w:r>
        <w:rPr>
          <w:rFonts w:asciiTheme="majorBidi" w:hAnsiTheme="majorBidi" w:cstheme="majorBidi"/>
          <w:bCs/>
          <w:snapToGrid w:val="0"/>
          <w:kern w:val="22"/>
          <w:szCs w:val="22"/>
          <w:lang w:val="en-CA"/>
        </w:rPr>
        <w:t xml:space="preserve">global </w:t>
      </w:r>
      <w:r w:rsidRPr="006668AE">
        <w:rPr>
          <w:rFonts w:asciiTheme="majorBidi" w:hAnsiTheme="majorBidi" w:cstheme="majorBidi"/>
          <w:bCs/>
          <w:snapToGrid w:val="0"/>
          <w:kern w:val="22"/>
          <w:szCs w:val="22"/>
          <w:lang w:val="en-CA"/>
        </w:rPr>
        <w:t>review</w:t>
      </w:r>
      <w:r w:rsidRPr="00DD48AB">
        <w:rPr>
          <w:rFonts w:asciiTheme="majorBidi" w:hAnsiTheme="majorBidi" w:cstheme="majorBidi"/>
          <w:bCs/>
          <w:snapToGrid w:val="0"/>
          <w:kern w:val="22"/>
          <w:szCs w:val="22"/>
          <w:lang w:val="en-CA"/>
        </w:rPr>
        <w:t xml:space="preserve"> into</w:t>
      </w:r>
      <w:r w:rsidRPr="006668AE">
        <w:rPr>
          <w:rFonts w:asciiTheme="majorBidi" w:hAnsiTheme="majorBidi" w:cstheme="majorBidi"/>
          <w:bCs/>
          <w:snapToGrid w:val="0"/>
          <w:kern w:val="22"/>
          <w:szCs w:val="22"/>
          <w:lang w:val="en-CA"/>
        </w:rPr>
        <w:t xml:space="preserve"> account in future revisions </w:t>
      </w:r>
      <w:r>
        <w:rPr>
          <w:rFonts w:asciiTheme="majorBidi" w:hAnsiTheme="majorBidi" w:cstheme="majorBidi"/>
          <w:bCs/>
          <w:snapToGrid w:val="0"/>
          <w:kern w:val="22"/>
          <w:szCs w:val="22"/>
          <w:lang w:val="en-CA"/>
        </w:rPr>
        <w:t xml:space="preserve">and implementation </w:t>
      </w:r>
      <w:r w:rsidRPr="006668AE">
        <w:rPr>
          <w:rFonts w:asciiTheme="majorBidi" w:hAnsiTheme="majorBidi" w:cstheme="majorBidi"/>
          <w:bCs/>
          <w:snapToGrid w:val="0"/>
          <w:kern w:val="22"/>
          <w:szCs w:val="22"/>
          <w:lang w:val="en-CA"/>
        </w:rPr>
        <w:t xml:space="preserve">of their </w:t>
      </w:r>
      <w:r>
        <w:rPr>
          <w:rFonts w:asciiTheme="majorBidi" w:hAnsiTheme="majorBidi" w:cstheme="majorBidi"/>
          <w:bCs/>
          <w:snapToGrid w:val="0"/>
          <w:kern w:val="22"/>
          <w:szCs w:val="22"/>
          <w:lang w:val="en-CA"/>
        </w:rPr>
        <w:t xml:space="preserve">national biodiversity </w:t>
      </w:r>
      <w:r w:rsidRPr="00090832">
        <w:rPr>
          <w:rFonts w:asciiTheme="majorBidi" w:hAnsiTheme="majorBidi" w:cstheme="majorBidi"/>
          <w:bCs/>
          <w:snapToGrid w:val="0"/>
          <w:kern w:val="22"/>
          <w:szCs w:val="22"/>
          <w:lang w:val="en-CA"/>
        </w:rPr>
        <w:t>strategies and action plans,</w:t>
      </w:r>
      <w:r w:rsidRPr="006668AE">
        <w:rPr>
          <w:rFonts w:asciiTheme="majorBidi" w:hAnsiTheme="majorBidi" w:cstheme="majorBidi"/>
          <w:bCs/>
          <w:snapToGrid w:val="0"/>
          <w:kern w:val="22"/>
          <w:szCs w:val="22"/>
          <w:lang w:val="en-CA"/>
        </w:rPr>
        <w:t xml:space="preserve"> including the provision of means of implementation to developing country Parties, with a view to improv</w:t>
      </w:r>
      <w:r>
        <w:rPr>
          <w:rFonts w:asciiTheme="majorBidi" w:hAnsiTheme="majorBidi" w:cstheme="majorBidi"/>
          <w:bCs/>
          <w:snapToGrid w:val="0"/>
          <w:kern w:val="22"/>
          <w:szCs w:val="22"/>
          <w:lang w:val="en-CA"/>
        </w:rPr>
        <w:t>ing</w:t>
      </w:r>
      <w:r w:rsidRPr="006668AE">
        <w:rPr>
          <w:rFonts w:asciiTheme="majorBidi" w:hAnsiTheme="majorBidi" w:cstheme="majorBidi"/>
          <w:bCs/>
          <w:snapToGrid w:val="0"/>
          <w:kern w:val="22"/>
          <w:szCs w:val="22"/>
          <w:lang w:val="en-CA"/>
        </w:rPr>
        <w:t xml:space="preserve"> actions and efforts, as appropriate</w:t>
      </w:r>
      <w:r>
        <w:rPr>
          <w:rFonts w:asciiTheme="majorBidi" w:hAnsiTheme="majorBidi" w:cstheme="majorBidi"/>
          <w:bCs/>
          <w:snapToGrid w:val="0"/>
          <w:kern w:val="22"/>
          <w:szCs w:val="22"/>
          <w:lang w:val="en-CA"/>
        </w:rPr>
        <w:t>;</w:t>
      </w:r>
    </w:p>
    <w:p w14:paraId="24A14DC7" w14:textId="77777777" w:rsidR="00005A3C" w:rsidRPr="004F65AE" w:rsidRDefault="00005A3C">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rPr>
      </w:pPr>
      <w:r>
        <w:rPr>
          <w:rFonts w:asciiTheme="majorBidi" w:hAnsiTheme="majorBidi" w:cstheme="majorBidi"/>
          <w:bCs/>
          <w:snapToGrid w:val="0"/>
          <w:kern w:val="22"/>
        </w:rPr>
        <w:t>21</w:t>
      </w:r>
      <w:r w:rsidRPr="004F65AE">
        <w:rPr>
          <w:rFonts w:asciiTheme="majorBidi" w:hAnsiTheme="majorBidi" w:cstheme="majorBidi"/>
          <w:bCs/>
          <w:snapToGrid w:val="0"/>
          <w:kern w:val="22"/>
        </w:rPr>
        <w:t>.</w:t>
      </w:r>
      <w:r w:rsidRPr="004F65AE">
        <w:rPr>
          <w:rFonts w:asciiTheme="majorBidi" w:hAnsiTheme="majorBidi" w:cstheme="majorBidi"/>
          <w:bCs/>
          <w:i/>
          <w:iCs/>
          <w:snapToGrid w:val="0"/>
          <w:kern w:val="22"/>
        </w:rPr>
        <w:tab/>
      </w:r>
      <w:r w:rsidRPr="004F65AE">
        <w:rPr>
          <w:i/>
          <w:iCs/>
          <w:snapToGrid w:val="0"/>
          <w:kern w:val="22"/>
        </w:rPr>
        <w:t>Invites</w:t>
      </w:r>
      <w:r w:rsidRPr="004F65AE">
        <w:rPr>
          <w:snapToGrid w:val="0"/>
          <w:kern w:val="22"/>
        </w:rPr>
        <w:t xml:space="preserve"> Parties </w:t>
      </w:r>
      <w:r w:rsidRPr="006D5BA2">
        <w:rPr>
          <w:snapToGrid w:val="0"/>
          <w:kern w:val="22"/>
        </w:rPr>
        <w:t>hosting the</w:t>
      </w:r>
      <w:r>
        <w:rPr>
          <w:snapToGrid w:val="0"/>
          <w:kern w:val="22"/>
        </w:rPr>
        <w:t xml:space="preserve"> seventeenth and nineteenth</w:t>
      </w:r>
      <w:r w:rsidRPr="004F65AE">
        <w:rPr>
          <w:snapToGrid w:val="0"/>
          <w:kern w:val="22"/>
        </w:rPr>
        <w:t xml:space="preserve"> meetings of the Conference of the Parties to consider organizing a high-level discussion on the review of progress towards the implementation of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sidRPr="004F65AE">
        <w:rPr>
          <w:snapToGrid w:val="0"/>
          <w:kern w:val="22"/>
        </w:rPr>
        <w:t>Global Biodiversity Framework;</w:t>
      </w:r>
    </w:p>
    <w:p w14:paraId="5B3194CC" w14:textId="77777777" w:rsidR="00005A3C" w:rsidRPr="004F65AE" w:rsidDel="001A4C1C" w:rsidRDefault="00005A3C" w:rsidP="009D6BD6">
      <w:pPr>
        <w:keepNext/>
        <w:suppressLineNumbers/>
        <w:suppressAutoHyphens/>
        <w:adjustRightInd w:val="0"/>
        <w:snapToGrid w:val="0"/>
        <w:spacing w:before="120" w:after="120"/>
        <w:ind w:firstLine="720"/>
        <w:rPr>
          <w:rFonts w:asciiTheme="majorBidi" w:hAnsiTheme="majorBidi" w:cstheme="majorBidi"/>
          <w:b/>
          <w:snapToGrid w:val="0"/>
          <w:kern w:val="22"/>
          <w:szCs w:val="22"/>
          <w:lang w:val="en-US"/>
        </w:rPr>
      </w:pPr>
      <w:r>
        <w:rPr>
          <w:rFonts w:asciiTheme="majorBidi" w:hAnsiTheme="majorBidi" w:cstheme="majorBidi"/>
          <w:b/>
          <w:snapToGrid w:val="0"/>
          <w:kern w:val="22"/>
          <w:szCs w:val="22"/>
          <w:lang w:val="en-US"/>
        </w:rPr>
        <w:t>Cooperation, synergies and s</w:t>
      </w:r>
      <w:r w:rsidRPr="004F65AE" w:rsidDel="001A4C1C">
        <w:rPr>
          <w:rFonts w:asciiTheme="majorBidi" w:hAnsiTheme="majorBidi" w:cstheme="majorBidi"/>
          <w:b/>
          <w:snapToGrid w:val="0"/>
          <w:kern w:val="22"/>
          <w:szCs w:val="22"/>
          <w:lang w:val="en-US"/>
        </w:rPr>
        <w:t>takeholder engagement</w:t>
      </w:r>
    </w:p>
    <w:p w14:paraId="18263738" w14:textId="77777777" w:rsidR="00005A3C" w:rsidRPr="004F65AE" w:rsidRDefault="00005A3C" w:rsidP="00D8126D">
      <w:pPr>
        <w:suppressLineNumbers/>
        <w:suppressAutoHyphens/>
        <w:adjustRightInd w:val="0"/>
        <w:snapToGrid w:val="0"/>
        <w:spacing w:before="120" w:after="120"/>
        <w:ind w:firstLine="851"/>
        <w:rPr>
          <w:rFonts w:asciiTheme="majorBidi" w:hAnsiTheme="majorBidi" w:cstheme="majorBidi"/>
          <w:bCs/>
          <w:snapToGrid w:val="0"/>
          <w:kern w:val="22"/>
          <w:szCs w:val="22"/>
        </w:rPr>
      </w:pPr>
      <w:bookmarkStart w:id="45" w:name="_Hlk72849767"/>
      <w:r w:rsidRPr="004F65AE">
        <w:rPr>
          <w:rFonts w:asciiTheme="majorBidi" w:hAnsiTheme="majorBidi" w:cstheme="majorBidi"/>
          <w:bCs/>
          <w:snapToGrid w:val="0"/>
          <w:kern w:val="22"/>
          <w:szCs w:val="22"/>
        </w:rPr>
        <w:t>2</w:t>
      </w:r>
      <w:r>
        <w:rPr>
          <w:rFonts w:asciiTheme="majorBidi" w:hAnsiTheme="majorBidi" w:cstheme="majorBidi"/>
          <w:bCs/>
          <w:snapToGrid w:val="0"/>
          <w:kern w:val="22"/>
          <w:szCs w:val="22"/>
        </w:rPr>
        <w:t>2</w:t>
      </w:r>
      <w:r w:rsidRPr="004F65AE">
        <w:rPr>
          <w:rFonts w:asciiTheme="majorBidi" w:hAnsiTheme="majorBidi" w:cstheme="majorBidi"/>
          <w:bCs/>
          <w:snapToGrid w:val="0"/>
          <w:kern w:val="22"/>
          <w:szCs w:val="22"/>
        </w:rPr>
        <w:t>.</w:t>
      </w:r>
      <w:r w:rsidRPr="004F65AE">
        <w:rPr>
          <w:rFonts w:asciiTheme="majorBidi" w:hAnsiTheme="majorBidi" w:cstheme="majorBidi"/>
          <w:bCs/>
          <w:snapToGrid w:val="0"/>
          <w:kern w:val="22"/>
          <w:szCs w:val="22"/>
        </w:rPr>
        <w:tab/>
      </w:r>
      <w:r w:rsidRPr="004F65AE">
        <w:rPr>
          <w:rFonts w:asciiTheme="majorBidi" w:hAnsiTheme="majorBidi" w:cstheme="majorBidi"/>
          <w:bCs/>
          <w:i/>
          <w:iCs/>
          <w:snapToGrid w:val="0"/>
          <w:kern w:val="22"/>
          <w:szCs w:val="22"/>
        </w:rPr>
        <w:t xml:space="preserve">Recognizes </w:t>
      </w:r>
      <w:r w:rsidRPr="004F65AE">
        <w:rPr>
          <w:rFonts w:asciiTheme="majorBidi" w:hAnsiTheme="majorBidi" w:cstheme="majorBidi"/>
          <w:bCs/>
          <w:snapToGrid w:val="0"/>
          <w:kern w:val="22"/>
          <w:szCs w:val="22"/>
        </w:rPr>
        <w:t xml:space="preserve">that other biodiversity-related multilateral environmental agreements will contribute to the implementation with respect to relevant or corresponding elements of the </w:t>
      </w:r>
      <w:r>
        <w:rPr>
          <w:rFonts w:asciiTheme="majorBidi" w:hAnsiTheme="majorBidi" w:cstheme="majorBidi"/>
          <w:bCs/>
          <w:snapToGrid w:val="0"/>
          <w:kern w:val="22"/>
          <w:szCs w:val="18"/>
          <w:lang w:val="en-US"/>
        </w:rPr>
        <w:t>Kunming</w:t>
      </w:r>
      <w:r>
        <w:rPr>
          <w:rFonts w:asciiTheme="majorBidi" w:hAnsiTheme="majorBidi" w:cstheme="majorBidi"/>
          <w:bCs/>
          <w:snapToGrid w:val="0"/>
          <w:kern w:val="22"/>
          <w:szCs w:val="18"/>
          <w:lang w:val="en-US"/>
        </w:rPr>
        <w:noBreakHyphen/>
        <w:t>Montreal</w:t>
      </w:r>
      <w:r w:rsidRPr="004F65AE">
        <w:rPr>
          <w:rFonts w:asciiTheme="majorBidi" w:hAnsiTheme="majorBidi" w:cstheme="majorBidi"/>
          <w:bCs/>
          <w:snapToGrid w:val="0"/>
          <w:kern w:val="22"/>
          <w:szCs w:val="18"/>
          <w:lang w:val="en-US"/>
        </w:rPr>
        <w:t xml:space="preserve"> </w:t>
      </w:r>
      <w:r w:rsidRPr="004F65AE">
        <w:rPr>
          <w:rFonts w:asciiTheme="majorBidi" w:hAnsiTheme="majorBidi" w:cstheme="majorBidi"/>
          <w:bCs/>
          <w:snapToGrid w:val="0"/>
          <w:kern w:val="22"/>
          <w:szCs w:val="22"/>
        </w:rPr>
        <w:t>Global Biodiversity Framework consistent with their mandates and priorities;</w:t>
      </w:r>
    </w:p>
    <w:p w14:paraId="0D212268" w14:textId="77777777"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Pr>
          <w:rFonts w:asciiTheme="majorBidi" w:hAnsiTheme="majorBidi" w:cstheme="majorBidi"/>
          <w:bCs/>
          <w:iCs/>
          <w:snapToGrid w:val="0"/>
          <w:kern w:val="22"/>
        </w:rPr>
        <w:t>23</w:t>
      </w:r>
      <w:r w:rsidRPr="004F65AE">
        <w:rPr>
          <w:rFonts w:asciiTheme="majorBidi" w:hAnsiTheme="majorBidi" w:cstheme="majorBidi"/>
          <w:bCs/>
          <w:iCs/>
          <w:snapToGrid w:val="0"/>
          <w:kern w:val="22"/>
        </w:rPr>
        <w:t>.</w:t>
      </w:r>
      <w:r w:rsidRPr="004F65AE">
        <w:rPr>
          <w:rFonts w:asciiTheme="majorBidi" w:hAnsiTheme="majorBidi" w:cstheme="majorBidi"/>
          <w:bCs/>
          <w:i/>
          <w:snapToGrid w:val="0"/>
          <w:kern w:val="22"/>
        </w:rPr>
        <w:tab/>
        <w:t>Encourages</w:t>
      </w:r>
      <w:r w:rsidRPr="004F65AE">
        <w:rPr>
          <w:rFonts w:asciiTheme="majorBidi" w:hAnsiTheme="majorBidi" w:cstheme="majorBidi"/>
          <w:bCs/>
          <w:iCs/>
          <w:snapToGrid w:val="0"/>
          <w:kern w:val="22"/>
        </w:rPr>
        <w:t xml:space="preserve"> Parties:</w:t>
      </w:r>
    </w:p>
    <w:p w14:paraId="4B31B910" w14:textId="77777777" w:rsidR="00005A3C" w:rsidRPr="004F65AE" w:rsidRDefault="00005A3C" w:rsidP="009D6BD6">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rPr>
      </w:pPr>
      <w:r w:rsidRPr="004F65AE">
        <w:rPr>
          <w:rFonts w:asciiTheme="majorBidi" w:hAnsiTheme="majorBidi" w:cstheme="majorBidi"/>
          <w:bCs/>
          <w:snapToGrid w:val="0"/>
          <w:kern w:val="22"/>
          <w:szCs w:val="18"/>
        </w:rPr>
        <w:t xml:space="preserve">(a) </w:t>
      </w:r>
      <w:r w:rsidRPr="004F65AE">
        <w:rPr>
          <w:rFonts w:asciiTheme="majorBidi" w:hAnsiTheme="majorBidi" w:cstheme="majorBidi"/>
          <w:bCs/>
          <w:snapToGrid w:val="0"/>
          <w:kern w:val="22"/>
          <w:szCs w:val="18"/>
        </w:rPr>
        <w:tab/>
        <w:t xml:space="preserve">To include in their national biodiversity strategies and action plans and national reports, relevant actions to implement commitments and recommendations under each of the biodiversity-related multilateral environmental agreements to which they are a </w:t>
      </w:r>
      <w:r>
        <w:rPr>
          <w:rFonts w:asciiTheme="majorBidi" w:hAnsiTheme="majorBidi" w:cstheme="majorBidi"/>
          <w:bCs/>
          <w:snapToGrid w:val="0"/>
          <w:kern w:val="22"/>
          <w:szCs w:val="18"/>
        </w:rPr>
        <w:t>p</w:t>
      </w:r>
      <w:r w:rsidRPr="004F65AE">
        <w:rPr>
          <w:rFonts w:asciiTheme="majorBidi" w:hAnsiTheme="majorBidi" w:cstheme="majorBidi"/>
          <w:bCs/>
          <w:snapToGrid w:val="0"/>
          <w:kern w:val="22"/>
          <w:szCs w:val="18"/>
        </w:rPr>
        <w:t xml:space="preserve">arty; </w:t>
      </w:r>
    </w:p>
    <w:p w14:paraId="4D956704" w14:textId="77777777" w:rsidR="00005A3C" w:rsidRPr="004F65AE" w:rsidRDefault="00005A3C" w:rsidP="009D6BD6">
      <w:pPr>
        <w:suppressLineNumbers/>
        <w:suppressAutoHyphens/>
        <w:kinsoku w:val="0"/>
        <w:overflowPunct w:val="0"/>
        <w:autoSpaceDE w:val="0"/>
        <w:autoSpaceDN w:val="0"/>
        <w:adjustRightInd w:val="0"/>
        <w:spacing w:after="120"/>
        <w:ind w:firstLine="851"/>
        <w:rPr>
          <w:rFonts w:asciiTheme="majorBidi" w:hAnsiTheme="majorBidi" w:cstheme="majorBidi"/>
          <w:bCs/>
          <w:iCs/>
          <w:snapToGrid w:val="0"/>
          <w:kern w:val="22"/>
        </w:rPr>
      </w:pPr>
      <w:r w:rsidRPr="004F65AE">
        <w:rPr>
          <w:rFonts w:asciiTheme="majorBidi" w:hAnsiTheme="majorBidi" w:cstheme="majorBidi"/>
          <w:bCs/>
          <w:snapToGrid w:val="0"/>
          <w:kern w:val="22"/>
          <w:szCs w:val="18"/>
        </w:rPr>
        <w:t xml:space="preserve">(b) </w:t>
      </w:r>
      <w:r w:rsidRPr="004F65AE">
        <w:rPr>
          <w:rFonts w:asciiTheme="majorBidi" w:hAnsiTheme="majorBidi" w:cstheme="majorBidi"/>
          <w:bCs/>
          <w:snapToGrid w:val="0"/>
          <w:kern w:val="22"/>
          <w:szCs w:val="18"/>
        </w:rPr>
        <w:tab/>
        <w:t>To facilitate, as appropriate, engagement with and coordination among focal points for other relevant multilateral environment agreements and the Rio conventions</w:t>
      </w:r>
      <w:r w:rsidRPr="004F65AE">
        <w:rPr>
          <w:rFonts w:asciiTheme="majorBidi" w:hAnsiTheme="majorBidi" w:cstheme="majorBidi"/>
          <w:bCs/>
          <w:iCs/>
          <w:snapToGrid w:val="0"/>
          <w:kern w:val="22"/>
        </w:rPr>
        <w:t>;</w:t>
      </w:r>
    </w:p>
    <w:p w14:paraId="779DD3E0" w14:textId="77777777" w:rsidR="00005A3C" w:rsidRPr="000223EA" w:rsidRDefault="00005A3C" w:rsidP="009D6BD6">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22"/>
          <w:lang w:val="en-US"/>
        </w:rPr>
      </w:pPr>
      <w:r w:rsidRPr="004F65AE">
        <w:rPr>
          <w:rFonts w:asciiTheme="majorBidi" w:hAnsiTheme="majorBidi" w:cstheme="majorBidi"/>
          <w:bCs/>
          <w:iCs/>
          <w:snapToGrid w:val="0"/>
          <w:kern w:val="22"/>
        </w:rPr>
        <w:t>(c)</w:t>
      </w:r>
      <w:r w:rsidRPr="004F65AE">
        <w:rPr>
          <w:rFonts w:asciiTheme="majorBidi" w:hAnsiTheme="majorBidi" w:cstheme="majorBidi"/>
          <w:bCs/>
          <w:iCs/>
          <w:snapToGrid w:val="0"/>
          <w:kern w:val="22"/>
        </w:rPr>
        <w:tab/>
      </w:r>
      <w:r w:rsidRPr="004F65AE">
        <w:rPr>
          <w:rFonts w:asciiTheme="majorBidi" w:hAnsiTheme="majorBidi" w:cstheme="majorBidi"/>
          <w:bCs/>
          <w:snapToGrid w:val="0"/>
          <w:kern w:val="22"/>
          <w:szCs w:val="22"/>
          <w:lang w:val="en-US"/>
        </w:rPr>
        <w:t xml:space="preserve">To enable the full and effective participation and engagement of women, indigenous peoples and local communities, youth, civil society organizations, academia, the private sector, all levels of government and stakeholders from all other relevant sectors, </w:t>
      </w:r>
      <w:r w:rsidRPr="000223EA">
        <w:rPr>
          <w:rFonts w:asciiTheme="majorBidi" w:hAnsiTheme="majorBidi" w:cstheme="majorBidi"/>
          <w:bCs/>
          <w:snapToGrid w:val="0"/>
          <w:kern w:val="22"/>
          <w:szCs w:val="22"/>
          <w:lang w:val="en-US"/>
        </w:rPr>
        <w:t>in all levels of development and implementatio</w:t>
      </w:r>
      <w:r w:rsidRPr="000223EA">
        <w:rPr>
          <w:rFonts w:asciiTheme="majorBidi" w:hAnsiTheme="majorBidi" w:cstheme="majorBidi"/>
          <w:bCs/>
          <w:snapToGrid w:val="0"/>
          <w:kern w:val="22"/>
          <w:szCs w:val="18"/>
        </w:rPr>
        <w:t>n</w:t>
      </w:r>
      <w:r w:rsidRPr="000223EA">
        <w:rPr>
          <w:rFonts w:asciiTheme="majorBidi" w:hAnsiTheme="majorBidi" w:cstheme="majorBidi"/>
          <w:bCs/>
          <w:snapToGrid w:val="0"/>
          <w:kern w:val="22"/>
          <w:szCs w:val="22"/>
          <w:lang w:val="en-US"/>
        </w:rPr>
        <w:t xml:space="preserve"> of the national biodiversity strategies and action plans</w:t>
      </w:r>
      <w:r w:rsidRPr="000223EA">
        <w:rPr>
          <w:rFonts w:asciiTheme="majorBidi" w:hAnsiTheme="majorBidi" w:cstheme="majorBidi"/>
          <w:bCs/>
          <w:snapToGrid w:val="0"/>
          <w:kern w:val="22"/>
          <w:szCs w:val="18"/>
        </w:rPr>
        <w:t>, as well as in the preparation of the seventh and eighth national reports;</w:t>
      </w:r>
    </w:p>
    <w:p w14:paraId="7CD626E4" w14:textId="77777777" w:rsidR="00005A3C" w:rsidRPr="004F65AE" w:rsidRDefault="00005A3C" w:rsidP="009D6BD6">
      <w:pPr>
        <w:suppressLineNumbers/>
        <w:suppressAutoHyphens/>
        <w:adjustRightInd w:val="0"/>
        <w:snapToGrid w:val="0"/>
        <w:spacing w:before="120" w:after="120"/>
        <w:ind w:firstLine="851"/>
        <w:rPr>
          <w:rFonts w:asciiTheme="majorBidi" w:hAnsiTheme="majorBidi" w:cstheme="majorBidi"/>
          <w:bCs/>
          <w:snapToGrid w:val="0"/>
          <w:kern w:val="22"/>
          <w:szCs w:val="22"/>
          <w:lang w:val="en-US"/>
        </w:rPr>
      </w:pPr>
      <w:r w:rsidRPr="000223EA">
        <w:rPr>
          <w:rFonts w:asciiTheme="majorBidi" w:hAnsiTheme="majorBidi" w:cstheme="majorBidi"/>
          <w:bCs/>
          <w:snapToGrid w:val="0"/>
          <w:kern w:val="22"/>
          <w:szCs w:val="22"/>
        </w:rPr>
        <w:lastRenderedPageBreak/>
        <w:t>(d)</w:t>
      </w:r>
      <w:r w:rsidRPr="000223EA">
        <w:rPr>
          <w:rFonts w:asciiTheme="majorBidi" w:hAnsiTheme="majorBidi" w:cstheme="majorBidi"/>
          <w:bCs/>
          <w:snapToGrid w:val="0"/>
          <w:kern w:val="22"/>
          <w:szCs w:val="22"/>
        </w:rPr>
        <w:tab/>
      </w:r>
      <w:r w:rsidRPr="000223EA">
        <w:rPr>
          <w:rFonts w:asciiTheme="majorBidi" w:hAnsiTheme="majorBidi" w:cstheme="majorBidi"/>
          <w:bCs/>
          <w:snapToGrid w:val="0"/>
          <w:kern w:val="22"/>
          <w:szCs w:val="22"/>
          <w:lang w:val="en-US"/>
        </w:rPr>
        <w:t>To ensure consultations in order to obtain the free, prior and informed consent</w:t>
      </w:r>
      <w:r w:rsidRPr="00610646">
        <w:rPr>
          <w:rStyle w:val="FootnoteReference"/>
        </w:rPr>
        <w:footnoteReference w:id="42"/>
      </w:r>
      <w:r w:rsidRPr="000223EA">
        <w:rPr>
          <w:rFonts w:asciiTheme="majorBidi" w:hAnsiTheme="majorBidi" w:cstheme="majorBidi"/>
          <w:bCs/>
          <w:snapToGrid w:val="0"/>
          <w:kern w:val="22"/>
          <w:szCs w:val="22"/>
          <w:lang w:val="en-US"/>
        </w:rPr>
        <w:t xml:space="preserve"> of indigenous peoples and local communities</w:t>
      </w:r>
      <w:r w:rsidRPr="000223EA">
        <w:rPr>
          <w:rFonts w:asciiTheme="majorBidi" w:hAnsiTheme="majorBidi" w:cstheme="majorBidi"/>
          <w:bCs/>
          <w:snapToGrid w:val="0"/>
          <w:kern w:val="22"/>
          <w:szCs w:val="18"/>
        </w:rPr>
        <w:t xml:space="preserve">, as appropriate, </w:t>
      </w:r>
      <w:r w:rsidRPr="000223EA">
        <w:rPr>
          <w:rFonts w:asciiTheme="majorBidi" w:hAnsiTheme="majorBidi" w:cstheme="majorBidi"/>
          <w:bCs/>
          <w:snapToGrid w:val="0"/>
          <w:kern w:val="22"/>
          <w:szCs w:val="22"/>
        </w:rPr>
        <w:t>in</w:t>
      </w:r>
      <w:r w:rsidRPr="000223EA">
        <w:rPr>
          <w:rFonts w:asciiTheme="majorBidi" w:hAnsiTheme="majorBidi" w:cstheme="majorBidi"/>
          <w:bCs/>
          <w:snapToGrid w:val="0"/>
          <w:kern w:val="22"/>
          <w:szCs w:val="22"/>
          <w:lang w:val="en-US"/>
        </w:rPr>
        <w:t xml:space="preserve"> their engagement and participation in the updating and revision of national biodiversity strategies and action plans </w:t>
      </w:r>
      <w:r w:rsidRPr="000223EA">
        <w:rPr>
          <w:rFonts w:asciiTheme="majorBidi" w:hAnsiTheme="majorBidi" w:cstheme="majorBidi"/>
          <w:bCs/>
          <w:snapToGrid w:val="0"/>
          <w:kern w:val="22"/>
          <w:szCs w:val="18"/>
        </w:rPr>
        <w:t>and national targets,</w:t>
      </w:r>
      <w:r w:rsidRPr="000223EA">
        <w:rPr>
          <w:rFonts w:asciiTheme="majorBidi" w:hAnsiTheme="majorBidi" w:cstheme="majorBidi"/>
          <w:bCs/>
          <w:snapToGrid w:val="0"/>
          <w:kern w:val="22"/>
          <w:szCs w:val="22"/>
          <w:lang w:val="en-US"/>
        </w:rPr>
        <w:t xml:space="preserve"> with</w:t>
      </w:r>
      <w:r>
        <w:rPr>
          <w:rFonts w:asciiTheme="majorBidi" w:hAnsiTheme="majorBidi" w:cstheme="majorBidi"/>
          <w:bCs/>
          <w:snapToGrid w:val="0"/>
          <w:kern w:val="22"/>
          <w:szCs w:val="22"/>
          <w:lang w:val="en-US"/>
        </w:rPr>
        <w:t xml:space="preserve"> respect</w:t>
      </w:r>
      <w:r w:rsidRPr="00D81670">
        <w:rPr>
          <w:rFonts w:asciiTheme="majorBidi" w:hAnsiTheme="majorBidi" w:cstheme="majorBidi"/>
          <w:bCs/>
          <w:snapToGrid w:val="0"/>
          <w:kern w:val="22"/>
          <w:szCs w:val="22"/>
          <w:lang w:val="en-US"/>
        </w:rPr>
        <w:t xml:space="preserve"> to measures that may affect them.</w:t>
      </w:r>
    </w:p>
    <w:p w14:paraId="3E9EF609" w14:textId="77777777" w:rsidR="00005A3C" w:rsidRPr="004F65AE" w:rsidRDefault="00005A3C" w:rsidP="009D6BD6">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22"/>
        </w:rPr>
      </w:pPr>
      <w:r>
        <w:rPr>
          <w:rFonts w:asciiTheme="majorBidi" w:hAnsiTheme="majorBidi" w:cstheme="majorBidi"/>
          <w:bCs/>
          <w:snapToGrid w:val="0"/>
          <w:kern w:val="22"/>
          <w:szCs w:val="22"/>
        </w:rPr>
        <w:t>24</w:t>
      </w:r>
      <w:r w:rsidRPr="004F65AE">
        <w:rPr>
          <w:rFonts w:asciiTheme="majorBidi" w:hAnsiTheme="majorBidi" w:cstheme="majorBidi"/>
          <w:bCs/>
          <w:snapToGrid w:val="0"/>
          <w:kern w:val="22"/>
          <w:szCs w:val="22"/>
        </w:rPr>
        <w:t>.</w:t>
      </w:r>
      <w:r w:rsidRPr="004F65AE">
        <w:rPr>
          <w:rFonts w:asciiTheme="majorBidi" w:hAnsiTheme="majorBidi" w:cstheme="majorBidi"/>
          <w:bCs/>
          <w:snapToGrid w:val="0"/>
          <w:kern w:val="22"/>
          <w:szCs w:val="22"/>
        </w:rPr>
        <w:tab/>
      </w:r>
      <w:r w:rsidRPr="004F65AE">
        <w:rPr>
          <w:rFonts w:asciiTheme="majorBidi" w:hAnsiTheme="majorBidi" w:cstheme="majorBidi"/>
          <w:bCs/>
          <w:i/>
          <w:iCs/>
          <w:snapToGrid w:val="0"/>
          <w:kern w:val="22"/>
          <w:szCs w:val="22"/>
        </w:rPr>
        <w:t xml:space="preserve">Invites </w:t>
      </w:r>
      <w:r w:rsidRPr="004F65AE">
        <w:rPr>
          <w:rFonts w:asciiTheme="majorBidi" w:hAnsiTheme="majorBidi" w:cstheme="majorBidi"/>
          <w:bCs/>
          <w:snapToGrid w:val="0"/>
          <w:kern w:val="22"/>
          <w:szCs w:val="22"/>
        </w:rPr>
        <w:t xml:space="preserve">Parties and other Governments to cooperate at the regional and international levels in implementing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sidRPr="004F65AE">
        <w:rPr>
          <w:rFonts w:asciiTheme="majorBidi" w:hAnsiTheme="majorBidi" w:cstheme="majorBidi"/>
          <w:bCs/>
          <w:snapToGrid w:val="0"/>
          <w:kern w:val="22"/>
          <w:szCs w:val="22"/>
        </w:rPr>
        <w:t>Global Biodiversity Framework;</w:t>
      </w:r>
    </w:p>
    <w:bookmarkEnd w:id="45"/>
    <w:p w14:paraId="73517ED3" w14:textId="77777777" w:rsidR="00005A3C" w:rsidRPr="004F65AE" w:rsidRDefault="00005A3C" w:rsidP="009D6BD6">
      <w:pPr>
        <w:suppressLineNumbers/>
        <w:suppressAutoHyphens/>
        <w:kinsoku w:val="0"/>
        <w:overflowPunct w:val="0"/>
        <w:autoSpaceDE w:val="0"/>
        <w:autoSpaceDN w:val="0"/>
        <w:adjustRightInd w:val="0"/>
        <w:snapToGrid w:val="0"/>
        <w:spacing w:before="120" w:after="120"/>
        <w:ind w:firstLine="851"/>
        <w:rPr>
          <w:rFonts w:asciiTheme="majorBidi" w:hAnsiTheme="majorBidi" w:cstheme="majorBidi"/>
          <w:bCs/>
          <w:snapToGrid w:val="0"/>
          <w:kern w:val="22"/>
          <w:szCs w:val="22"/>
        </w:rPr>
      </w:pPr>
      <w:r w:rsidRPr="000D76BE">
        <w:rPr>
          <w:rFonts w:asciiTheme="majorBidi" w:hAnsiTheme="majorBidi" w:cstheme="majorBidi"/>
          <w:bCs/>
          <w:snapToGrid w:val="0"/>
          <w:kern w:val="22"/>
          <w:szCs w:val="22"/>
        </w:rPr>
        <w:t>2</w:t>
      </w:r>
      <w:r>
        <w:rPr>
          <w:rFonts w:asciiTheme="majorBidi" w:hAnsiTheme="majorBidi" w:cstheme="majorBidi"/>
          <w:bCs/>
          <w:snapToGrid w:val="0"/>
          <w:kern w:val="22"/>
          <w:szCs w:val="22"/>
        </w:rPr>
        <w:t>5</w:t>
      </w:r>
      <w:r w:rsidRPr="000D76BE">
        <w:rPr>
          <w:rFonts w:asciiTheme="majorBidi" w:hAnsiTheme="majorBidi" w:cstheme="majorBidi"/>
          <w:bCs/>
          <w:snapToGrid w:val="0"/>
          <w:kern w:val="22"/>
          <w:szCs w:val="22"/>
        </w:rPr>
        <w:t>.</w:t>
      </w:r>
      <w:r w:rsidRPr="000D76BE">
        <w:rPr>
          <w:rFonts w:asciiTheme="majorBidi" w:hAnsiTheme="majorBidi" w:cstheme="majorBidi"/>
          <w:bCs/>
          <w:i/>
          <w:iCs/>
          <w:snapToGrid w:val="0"/>
          <w:kern w:val="22"/>
          <w:szCs w:val="22"/>
        </w:rPr>
        <w:tab/>
        <w:t xml:space="preserve">Takes note </w:t>
      </w:r>
      <w:r w:rsidRPr="008174C8">
        <w:rPr>
          <w:rFonts w:asciiTheme="majorBidi" w:hAnsiTheme="majorBidi" w:cstheme="majorBidi"/>
          <w:bCs/>
          <w:snapToGrid w:val="0"/>
          <w:kern w:val="22"/>
          <w:szCs w:val="22"/>
        </w:rPr>
        <w:t xml:space="preserve">of </w:t>
      </w:r>
      <w:r w:rsidRPr="000D76BE">
        <w:rPr>
          <w:rFonts w:asciiTheme="majorBidi" w:hAnsiTheme="majorBidi" w:cstheme="majorBidi"/>
          <w:bCs/>
          <w:snapToGrid w:val="0"/>
          <w:kern w:val="22"/>
          <w:szCs w:val="22"/>
        </w:rPr>
        <w:t>the core reporting elements for sharing voluntary non-</w:t>
      </w:r>
      <w:r>
        <w:rPr>
          <w:rFonts w:asciiTheme="majorBidi" w:hAnsiTheme="majorBidi" w:cstheme="majorBidi"/>
          <w:bCs/>
          <w:snapToGrid w:val="0"/>
          <w:kern w:val="22"/>
          <w:szCs w:val="22"/>
        </w:rPr>
        <w:t>S</w:t>
      </w:r>
      <w:r w:rsidRPr="000D76BE">
        <w:rPr>
          <w:rFonts w:asciiTheme="majorBidi" w:hAnsiTheme="majorBidi" w:cstheme="majorBidi"/>
          <w:bCs/>
          <w:snapToGrid w:val="0"/>
          <w:kern w:val="22"/>
          <w:szCs w:val="22"/>
        </w:rPr>
        <w:t xml:space="preserve">tate actor commitments that contribute to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Pr>
          <w:rFonts w:asciiTheme="majorBidi" w:hAnsiTheme="majorBidi" w:cstheme="majorBidi"/>
          <w:bCs/>
          <w:snapToGrid w:val="0"/>
          <w:kern w:val="22"/>
          <w:szCs w:val="22"/>
        </w:rPr>
        <w:t>G</w:t>
      </w:r>
      <w:r w:rsidRPr="000D76BE">
        <w:rPr>
          <w:rFonts w:asciiTheme="majorBidi" w:hAnsiTheme="majorBidi" w:cstheme="majorBidi"/>
          <w:bCs/>
          <w:snapToGrid w:val="0"/>
          <w:kern w:val="22"/>
          <w:szCs w:val="22"/>
        </w:rPr>
        <w:t xml:space="preserve">lobal </w:t>
      </w:r>
      <w:r>
        <w:rPr>
          <w:rFonts w:asciiTheme="majorBidi" w:hAnsiTheme="majorBidi" w:cstheme="majorBidi"/>
          <w:bCs/>
          <w:snapToGrid w:val="0"/>
          <w:kern w:val="22"/>
          <w:szCs w:val="22"/>
        </w:rPr>
        <w:t>B</w:t>
      </w:r>
      <w:r w:rsidRPr="000D76BE">
        <w:rPr>
          <w:rFonts w:asciiTheme="majorBidi" w:hAnsiTheme="majorBidi" w:cstheme="majorBidi"/>
          <w:bCs/>
          <w:snapToGrid w:val="0"/>
          <w:kern w:val="22"/>
          <w:szCs w:val="22"/>
        </w:rPr>
        <w:t xml:space="preserve">iodiversity </w:t>
      </w:r>
      <w:r>
        <w:rPr>
          <w:rFonts w:asciiTheme="majorBidi" w:hAnsiTheme="majorBidi" w:cstheme="majorBidi"/>
          <w:bCs/>
          <w:snapToGrid w:val="0"/>
          <w:kern w:val="22"/>
          <w:szCs w:val="22"/>
        </w:rPr>
        <w:t>F</w:t>
      </w:r>
      <w:r w:rsidRPr="000D76BE">
        <w:rPr>
          <w:rFonts w:asciiTheme="majorBidi" w:hAnsiTheme="majorBidi" w:cstheme="majorBidi"/>
          <w:bCs/>
          <w:snapToGrid w:val="0"/>
          <w:kern w:val="22"/>
          <w:szCs w:val="22"/>
        </w:rPr>
        <w:t xml:space="preserve">ramework to be included in the online </w:t>
      </w:r>
      <w:r w:rsidRPr="007A4EB3">
        <w:rPr>
          <w:rFonts w:asciiTheme="majorBidi" w:hAnsiTheme="majorBidi" w:cstheme="majorBidi"/>
          <w:bCs/>
          <w:snapToGrid w:val="0"/>
          <w:kern w:val="22"/>
          <w:szCs w:val="22"/>
        </w:rPr>
        <w:t>platform for the Sharm El-Sheikh to Kunming and Montreal Action Agenda for Nature and People;</w:t>
      </w:r>
    </w:p>
    <w:p w14:paraId="187B5067" w14:textId="77777777" w:rsidR="00005A3C" w:rsidRPr="004F65AE" w:rsidRDefault="00005A3C" w:rsidP="009D6BD6">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rPr>
      </w:pPr>
      <w:r w:rsidRPr="003035D2">
        <w:rPr>
          <w:rFonts w:asciiTheme="majorBidi" w:hAnsiTheme="majorBidi" w:cstheme="majorBidi"/>
          <w:bCs/>
          <w:snapToGrid w:val="0"/>
          <w:kern w:val="22"/>
          <w:szCs w:val="18"/>
        </w:rPr>
        <w:t>26</w:t>
      </w:r>
      <w:r w:rsidRPr="003035D2">
        <w:rPr>
          <w:rFonts w:asciiTheme="majorBidi" w:hAnsiTheme="majorBidi" w:cstheme="majorBidi"/>
          <w:bCs/>
          <w:i/>
          <w:iCs/>
          <w:snapToGrid w:val="0"/>
          <w:kern w:val="22"/>
          <w:szCs w:val="18"/>
        </w:rPr>
        <w:t>.</w:t>
      </w:r>
      <w:r w:rsidRPr="003035D2">
        <w:rPr>
          <w:rFonts w:asciiTheme="majorBidi" w:hAnsiTheme="majorBidi" w:cstheme="majorBidi"/>
          <w:bCs/>
          <w:i/>
          <w:iCs/>
          <w:snapToGrid w:val="0"/>
          <w:kern w:val="22"/>
          <w:szCs w:val="18"/>
        </w:rPr>
        <w:tab/>
        <w:t>Invites</w:t>
      </w:r>
      <w:r w:rsidRPr="003035D2">
        <w:rPr>
          <w:rFonts w:asciiTheme="majorBidi" w:hAnsiTheme="majorBidi" w:cstheme="majorBidi"/>
          <w:bCs/>
          <w:snapToGrid w:val="0"/>
          <w:kern w:val="22"/>
          <w:szCs w:val="18"/>
        </w:rPr>
        <w:t xml:space="preserve"> indigenous peoples and local communities, subnational governments, cities and other local authorities, intergovernmental organizations, other multilateral environmental agreements, non</w:t>
      </w:r>
      <w:r w:rsidRPr="00CA676A">
        <w:rPr>
          <w:rFonts w:asciiTheme="majorBidi" w:hAnsiTheme="majorBidi" w:cstheme="majorBidi"/>
          <w:bCs/>
          <w:snapToGrid w:val="0"/>
          <w:kern w:val="22"/>
          <w:szCs w:val="18"/>
        </w:rPr>
        <w:noBreakHyphen/>
      </w:r>
      <w:r w:rsidRPr="003035D2">
        <w:rPr>
          <w:rFonts w:asciiTheme="majorBidi" w:hAnsiTheme="majorBidi" w:cstheme="majorBidi"/>
          <w:bCs/>
          <w:snapToGrid w:val="0"/>
          <w:kern w:val="22"/>
          <w:szCs w:val="18"/>
        </w:rPr>
        <w:t>governmental organizations, women, youth, research organizations, the business and finance community and representatives of sectors related to or dependent on biodiversity, to develop</w:t>
      </w:r>
      <w:r w:rsidRPr="00CA676A">
        <w:rPr>
          <w:rFonts w:asciiTheme="majorBidi" w:hAnsiTheme="majorBidi" w:cstheme="majorBidi"/>
          <w:bCs/>
          <w:snapToGrid w:val="0"/>
          <w:kern w:val="22"/>
          <w:szCs w:val="18"/>
        </w:rPr>
        <w:t>,</w:t>
      </w:r>
      <w:r w:rsidRPr="003035D2">
        <w:rPr>
          <w:rFonts w:asciiTheme="majorBidi" w:hAnsiTheme="majorBidi" w:cstheme="majorBidi"/>
          <w:bCs/>
          <w:snapToGrid w:val="0"/>
          <w:kern w:val="22"/>
          <w:szCs w:val="18"/>
        </w:rPr>
        <w:t xml:space="preserve"> </w:t>
      </w:r>
      <w:r w:rsidRPr="00CA676A">
        <w:rPr>
          <w:rFonts w:asciiTheme="majorBidi" w:hAnsiTheme="majorBidi" w:cstheme="majorBidi"/>
          <w:bCs/>
          <w:snapToGrid w:val="0"/>
          <w:kern w:val="22"/>
          <w:szCs w:val="18"/>
        </w:rPr>
        <w:t xml:space="preserve">on a voluntary basis, </w:t>
      </w:r>
      <w:r w:rsidRPr="003035D2">
        <w:rPr>
          <w:rFonts w:asciiTheme="majorBidi" w:hAnsiTheme="majorBidi" w:cstheme="majorBidi"/>
          <w:bCs/>
          <w:snapToGrid w:val="0"/>
          <w:kern w:val="22"/>
          <w:szCs w:val="18"/>
        </w:rPr>
        <w:t xml:space="preserve">commitments contributing to national biodiversity strategies and action plans and </w:t>
      </w:r>
      <w:r w:rsidRPr="00CA676A">
        <w:rPr>
          <w:rFonts w:asciiTheme="majorBidi" w:hAnsiTheme="majorBidi" w:cstheme="majorBidi"/>
          <w:bCs/>
          <w:snapToGrid w:val="0"/>
          <w:kern w:val="22"/>
          <w:szCs w:val="18"/>
        </w:rPr>
        <w:t xml:space="preserve">to </w:t>
      </w:r>
      <w:r w:rsidRPr="003035D2">
        <w:rPr>
          <w:rFonts w:asciiTheme="majorBidi" w:hAnsiTheme="majorBidi" w:cstheme="majorBidi"/>
          <w:bCs/>
          <w:snapToGrid w:val="0"/>
          <w:kern w:val="22"/>
          <w:szCs w:val="18"/>
        </w:rPr>
        <w:t xml:space="preserve">the </w:t>
      </w:r>
      <w:r w:rsidRPr="003035D2">
        <w:rPr>
          <w:rFonts w:asciiTheme="majorBidi" w:hAnsiTheme="majorBidi" w:cstheme="majorBidi"/>
          <w:bCs/>
          <w:snapToGrid w:val="0"/>
          <w:kern w:val="22"/>
          <w:szCs w:val="18"/>
          <w:lang w:val="en-US"/>
        </w:rPr>
        <w:t xml:space="preserve">Kunming-Montreal </w:t>
      </w:r>
      <w:r w:rsidRPr="003035D2">
        <w:rPr>
          <w:rFonts w:asciiTheme="majorBidi" w:hAnsiTheme="majorBidi" w:cstheme="majorBidi"/>
          <w:bCs/>
          <w:snapToGrid w:val="0"/>
          <w:kern w:val="22"/>
          <w:szCs w:val="18"/>
        </w:rPr>
        <w:t>Global Biodiversity Framework, and to share them through the online platform for the Sharm El</w:t>
      </w:r>
      <w:r w:rsidRPr="00CA676A">
        <w:rPr>
          <w:rFonts w:asciiTheme="majorBidi" w:hAnsiTheme="majorBidi" w:cstheme="majorBidi"/>
          <w:bCs/>
          <w:snapToGrid w:val="0"/>
          <w:kern w:val="22"/>
          <w:szCs w:val="18"/>
        </w:rPr>
        <w:noBreakHyphen/>
      </w:r>
      <w:r w:rsidRPr="003035D2">
        <w:rPr>
          <w:rFonts w:asciiTheme="majorBidi" w:hAnsiTheme="majorBidi" w:cstheme="majorBidi"/>
          <w:bCs/>
          <w:snapToGrid w:val="0"/>
          <w:kern w:val="22"/>
          <w:szCs w:val="18"/>
        </w:rPr>
        <w:t>Sheikh to Kunming and Montreal Action Agenda for Nature and People;</w:t>
      </w:r>
    </w:p>
    <w:p w14:paraId="4DC83AB0" w14:textId="77777777" w:rsidR="00005A3C" w:rsidRPr="004F65AE" w:rsidRDefault="00005A3C" w:rsidP="009D6BD6">
      <w:pPr>
        <w:spacing w:before="120" w:after="120"/>
        <w:ind w:firstLine="851"/>
        <w:rPr>
          <w:rFonts w:asciiTheme="majorBidi" w:hAnsiTheme="majorBidi" w:cstheme="majorBidi"/>
          <w:b/>
          <w:lang w:val="en-US"/>
        </w:rPr>
      </w:pPr>
      <w:r w:rsidRPr="004F65AE">
        <w:rPr>
          <w:rFonts w:asciiTheme="majorBidi" w:hAnsiTheme="majorBidi" w:cstheme="majorBidi"/>
          <w:b/>
          <w:lang w:val="en-US"/>
        </w:rPr>
        <w:t xml:space="preserve">Means of implementation </w:t>
      </w:r>
    </w:p>
    <w:p w14:paraId="15803F6B" w14:textId="77777777" w:rsidR="00005A3C" w:rsidRPr="001254DC" w:rsidRDefault="00005A3C" w:rsidP="009D6BD6">
      <w:pPr>
        <w:suppressLineNumbers/>
        <w:suppressAutoHyphens/>
        <w:kinsoku w:val="0"/>
        <w:overflowPunct w:val="0"/>
        <w:autoSpaceDE w:val="0"/>
        <w:autoSpaceDN w:val="0"/>
        <w:adjustRightInd w:val="0"/>
        <w:spacing w:after="120"/>
        <w:ind w:firstLine="851"/>
        <w:rPr>
          <w:rFonts w:asciiTheme="majorBidi" w:hAnsiTheme="majorBidi" w:cstheme="majorBidi"/>
          <w:bCs/>
          <w:iCs/>
          <w:snapToGrid w:val="0"/>
          <w:kern w:val="22"/>
          <w:lang w:val="en-US"/>
        </w:rPr>
      </w:pPr>
      <w:r w:rsidRPr="00A3771C">
        <w:rPr>
          <w:rFonts w:asciiTheme="majorBidi" w:hAnsiTheme="majorBidi" w:cstheme="majorBidi"/>
          <w:bCs/>
          <w:iCs/>
          <w:snapToGrid w:val="0"/>
          <w:kern w:val="22"/>
          <w:lang w:val="en-US"/>
        </w:rPr>
        <w:t>2</w:t>
      </w:r>
      <w:r>
        <w:rPr>
          <w:rFonts w:asciiTheme="majorBidi" w:hAnsiTheme="majorBidi" w:cstheme="majorBidi"/>
          <w:bCs/>
          <w:iCs/>
          <w:snapToGrid w:val="0"/>
          <w:kern w:val="22"/>
          <w:lang w:val="en-US"/>
        </w:rPr>
        <w:t>7.</w:t>
      </w:r>
      <w:r>
        <w:rPr>
          <w:rFonts w:asciiTheme="majorBidi" w:hAnsiTheme="majorBidi" w:cstheme="majorBidi"/>
          <w:bCs/>
          <w:iCs/>
          <w:snapToGrid w:val="0"/>
          <w:kern w:val="22"/>
          <w:lang w:val="en-US"/>
        </w:rPr>
        <w:tab/>
      </w:r>
      <w:r w:rsidRPr="002A52C1">
        <w:rPr>
          <w:rFonts w:asciiTheme="majorBidi" w:hAnsiTheme="majorBidi" w:cstheme="majorBidi"/>
          <w:bCs/>
          <w:i/>
          <w:snapToGrid w:val="0"/>
          <w:kern w:val="22"/>
          <w:lang w:val="en-US"/>
        </w:rPr>
        <w:t>Requests</w:t>
      </w:r>
      <w:r w:rsidRPr="002A52C1">
        <w:rPr>
          <w:rFonts w:asciiTheme="majorBidi" w:hAnsiTheme="majorBidi" w:cstheme="majorBidi"/>
          <w:bCs/>
          <w:iCs/>
          <w:snapToGrid w:val="0"/>
          <w:kern w:val="22"/>
          <w:lang w:val="en-US"/>
        </w:rPr>
        <w:t xml:space="preserve"> Parties, in accordance with Article</w:t>
      </w:r>
      <w:r>
        <w:rPr>
          <w:rFonts w:asciiTheme="majorBidi" w:hAnsiTheme="majorBidi" w:cstheme="majorBidi"/>
          <w:bCs/>
          <w:iCs/>
          <w:snapToGrid w:val="0"/>
          <w:kern w:val="22"/>
          <w:lang w:val="en-US"/>
        </w:rPr>
        <w:t>s</w:t>
      </w:r>
      <w:r w:rsidRPr="002A52C1">
        <w:rPr>
          <w:rFonts w:asciiTheme="majorBidi" w:hAnsiTheme="majorBidi" w:cstheme="majorBidi"/>
          <w:bCs/>
          <w:iCs/>
          <w:snapToGrid w:val="0"/>
          <w:kern w:val="22"/>
          <w:lang w:val="en-US"/>
        </w:rPr>
        <w:t xml:space="preserve"> 20 and 21 of the Convention, and invites other Governments and </w:t>
      </w:r>
      <w:r w:rsidRPr="000223EA">
        <w:rPr>
          <w:rFonts w:asciiTheme="majorBidi" w:hAnsiTheme="majorBidi" w:cstheme="majorBidi"/>
          <w:bCs/>
          <w:iCs/>
          <w:snapToGrid w:val="0"/>
          <w:kern w:val="22"/>
          <w:lang w:val="en-US"/>
        </w:rPr>
        <w:t>relevant</w:t>
      </w:r>
      <w:r w:rsidRPr="002A52C1">
        <w:rPr>
          <w:rFonts w:asciiTheme="majorBidi" w:hAnsiTheme="majorBidi" w:cstheme="majorBidi"/>
          <w:bCs/>
          <w:iCs/>
          <w:snapToGrid w:val="0"/>
          <w:kern w:val="22"/>
          <w:lang w:val="en-US"/>
        </w:rPr>
        <w:t xml:space="preserve"> organizations</w:t>
      </w:r>
      <w:r>
        <w:rPr>
          <w:rFonts w:asciiTheme="majorBidi" w:hAnsiTheme="majorBidi" w:cstheme="majorBidi"/>
          <w:bCs/>
          <w:iCs/>
          <w:snapToGrid w:val="0"/>
          <w:kern w:val="22"/>
          <w:lang w:val="en-US"/>
        </w:rPr>
        <w:t>,</w:t>
      </w:r>
      <w:r w:rsidRPr="002A52C1">
        <w:rPr>
          <w:rFonts w:asciiTheme="majorBidi" w:hAnsiTheme="majorBidi" w:cstheme="majorBidi"/>
          <w:bCs/>
          <w:iCs/>
          <w:snapToGrid w:val="0"/>
          <w:kern w:val="22"/>
          <w:lang w:val="en-US"/>
        </w:rPr>
        <w:t xml:space="preserve"> to provide financial and technical support for enabling the implementation of the enhanced multidimensional approach to planning, monitoring, reporting and review of the </w:t>
      </w:r>
      <w:r w:rsidRPr="001254DC">
        <w:rPr>
          <w:rFonts w:asciiTheme="majorBidi" w:hAnsiTheme="majorBidi" w:cstheme="majorBidi"/>
          <w:bCs/>
          <w:snapToGrid w:val="0"/>
          <w:kern w:val="22"/>
          <w:szCs w:val="18"/>
          <w:lang w:val="en-US"/>
        </w:rPr>
        <w:t xml:space="preserve">Kunming-Montreal </w:t>
      </w:r>
      <w:r w:rsidRPr="001254DC">
        <w:rPr>
          <w:rFonts w:asciiTheme="majorBidi" w:hAnsiTheme="majorBidi" w:cstheme="majorBidi"/>
          <w:bCs/>
          <w:iCs/>
          <w:snapToGrid w:val="0"/>
          <w:kern w:val="22"/>
          <w:lang w:val="en-US"/>
        </w:rPr>
        <w:t xml:space="preserve">Global Biodiversity Framework </w:t>
      </w:r>
      <w:r w:rsidRPr="00CA676A">
        <w:rPr>
          <w:rFonts w:asciiTheme="majorBidi" w:hAnsiTheme="majorBidi" w:cstheme="majorBidi"/>
          <w:bCs/>
          <w:iCs/>
          <w:snapToGrid w:val="0"/>
          <w:kern w:val="22"/>
          <w:lang w:val="en-US"/>
        </w:rPr>
        <w:t>described</w:t>
      </w:r>
      <w:r w:rsidRPr="001254DC">
        <w:rPr>
          <w:rFonts w:asciiTheme="majorBidi" w:hAnsiTheme="majorBidi" w:cstheme="majorBidi"/>
          <w:bCs/>
          <w:iCs/>
          <w:snapToGrid w:val="0"/>
          <w:kern w:val="22"/>
          <w:lang w:val="en-US"/>
        </w:rPr>
        <w:t xml:space="preserve"> in the present decision, especially for developing country Parties, in particular the least developed countries and small island developing States;</w:t>
      </w:r>
    </w:p>
    <w:p w14:paraId="740D984D" w14:textId="77777777" w:rsidR="00005A3C" w:rsidRPr="004F65AE" w:rsidRDefault="00005A3C" w:rsidP="009D6BD6">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rPr>
      </w:pPr>
      <w:r w:rsidRPr="001254DC">
        <w:rPr>
          <w:rFonts w:asciiTheme="majorBidi" w:hAnsiTheme="majorBidi" w:cstheme="majorBidi"/>
          <w:bCs/>
          <w:iCs/>
          <w:snapToGrid w:val="0"/>
          <w:kern w:val="22"/>
          <w:lang w:val="en-US"/>
        </w:rPr>
        <w:t>28.</w:t>
      </w:r>
      <w:r w:rsidRPr="001254DC">
        <w:rPr>
          <w:rFonts w:asciiTheme="majorBidi" w:hAnsiTheme="majorBidi" w:cstheme="majorBidi"/>
          <w:bCs/>
          <w:i/>
          <w:snapToGrid w:val="0"/>
          <w:kern w:val="22"/>
        </w:rPr>
        <w:tab/>
        <w:t>Invites</w:t>
      </w:r>
      <w:r w:rsidRPr="001254DC">
        <w:rPr>
          <w:rFonts w:asciiTheme="majorBidi" w:hAnsiTheme="majorBidi" w:cstheme="majorBidi"/>
          <w:bCs/>
          <w:snapToGrid w:val="0"/>
          <w:kern w:val="22"/>
        </w:rPr>
        <w:t xml:space="preserve"> relevant international, regional, subregional or national organizations to support Parties in updating and revising national biodiversity strategies and action plans and in the preparation of national</w:t>
      </w:r>
      <w:r w:rsidRPr="004F65AE">
        <w:rPr>
          <w:rFonts w:asciiTheme="majorBidi" w:hAnsiTheme="majorBidi" w:cstheme="majorBidi"/>
          <w:bCs/>
          <w:snapToGrid w:val="0"/>
          <w:kern w:val="22"/>
        </w:rPr>
        <w:t xml:space="preserve"> reports, including through the provision of relevant data, support for implementation of the monitoring framework and information and capacity</w:t>
      </w:r>
      <w:r>
        <w:rPr>
          <w:rFonts w:asciiTheme="majorBidi" w:hAnsiTheme="majorBidi" w:cstheme="majorBidi"/>
          <w:bCs/>
          <w:snapToGrid w:val="0"/>
          <w:kern w:val="22"/>
        </w:rPr>
        <w:t>-</w:t>
      </w:r>
      <w:r w:rsidRPr="004F65AE">
        <w:rPr>
          <w:rFonts w:asciiTheme="majorBidi" w:hAnsiTheme="majorBidi" w:cstheme="majorBidi"/>
          <w:bCs/>
          <w:snapToGrid w:val="0"/>
          <w:kern w:val="22"/>
        </w:rPr>
        <w:t>development activities;</w:t>
      </w:r>
    </w:p>
    <w:p w14:paraId="4898B729" w14:textId="77777777" w:rsidR="00005A3C" w:rsidRPr="004F65AE" w:rsidRDefault="00005A3C" w:rsidP="009D6BD6">
      <w:pPr>
        <w:suppressLineNumbers/>
        <w:suppressAutoHyphens/>
        <w:kinsoku w:val="0"/>
        <w:overflowPunct w:val="0"/>
        <w:autoSpaceDE w:val="0"/>
        <w:autoSpaceDN w:val="0"/>
        <w:adjustRightInd w:val="0"/>
        <w:spacing w:after="120"/>
        <w:ind w:firstLine="851"/>
        <w:rPr>
          <w:rFonts w:asciiTheme="majorBidi" w:hAnsiTheme="majorBidi" w:cstheme="majorBidi"/>
          <w:bCs/>
          <w:snapToGrid w:val="0"/>
          <w:kern w:val="22"/>
          <w:szCs w:val="18"/>
        </w:rPr>
      </w:pPr>
      <w:bookmarkStart w:id="46" w:name="_Hlk99051573"/>
      <w:r w:rsidRPr="004F65AE">
        <w:rPr>
          <w:rFonts w:asciiTheme="majorBidi" w:hAnsiTheme="majorBidi" w:cstheme="majorBidi"/>
          <w:bCs/>
          <w:iCs/>
          <w:snapToGrid w:val="0"/>
          <w:kern w:val="22"/>
        </w:rPr>
        <w:t>2</w:t>
      </w:r>
      <w:r>
        <w:rPr>
          <w:rFonts w:asciiTheme="majorBidi" w:hAnsiTheme="majorBidi" w:cstheme="majorBidi"/>
          <w:bCs/>
          <w:iCs/>
          <w:snapToGrid w:val="0"/>
          <w:kern w:val="22"/>
        </w:rPr>
        <w:t>9</w:t>
      </w:r>
      <w:r w:rsidRPr="004F65AE">
        <w:rPr>
          <w:rFonts w:asciiTheme="majorBidi" w:hAnsiTheme="majorBidi" w:cstheme="majorBidi"/>
          <w:bCs/>
          <w:iCs/>
          <w:snapToGrid w:val="0"/>
          <w:kern w:val="22"/>
        </w:rPr>
        <w:t>.</w:t>
      </w:r>
      <w:r w:rsidRPr="004F65AE">
        <w:rPr>
          <w:rFonts w:asciiTheme="majorBidi" w:hAnsiTheme="majorBidi" w:cstheme="majorBidi"/>
          <w:bCs/>
          <w:iCs/>
          <w:snapToGrid w:val="0"/>
          <w:kern w:val="22"/>
        </w:rPr>
        <w:tab/>
      </w:r>
      <w:r w:rsidRPr="004F65AE">
        <w:rPr>
          <w:rFonts w:asciiTheme="majorBidi" w:hAnsiTheme="majorBidi" w:cstheme="majorBidi"/>
          <w:bCs/>
          <w:i/>
          <w:snapToGrid w:val="0"/>
          <w:kern w:val="22"/>
        </w:rPr>
        <w:t>Requests</w:t>
      </w:r>
      <w:r w:rsidRPr="004F65AE">
        <w:rPr>
          <w:rFonts w:asciiTheme="majorBidi" w:hAnsiTheme="majorBidi" w:cstheme="majorBidi"/>
          <w:bCs/>
          <w:snapToGrid w:val="0"/>
          <w:kern w:val="22"/>
        </w:rPr>
        <w:t xml:space="preserve"> the Executive Secretary to support the operationalization of the </w:t>
      </w:r>
      <w:r w:rsidRPr="004F65AE">
        <w:rPr>
          <w:rFonts w:asciiTheme="majorBidi" w:hAnsiTheme="majorBidi" w:cstheme="majorBidi"/>
          <w:bCs/>
          <w:snapToGrid w:val="0"/>
          <w:kern w:val="22"/>
          <w:szCs w:val="22"/>
        </w:rPr>
        <w:t xml:space="preserve">enhanced multidimensional approach to planning, monitoring, reporting and review </w:t>
      </w:r>
      <w:r w:rsidRPr="004F65AE">
        <w:rPr>
          <w:rFonts w:asciiTheme="majorBidi" w:hAnsiTheme="majorBidi" w:cstheme="majorBidi"/>
          <w:bCs/>
          <w:snapToGrid w:val="0"/>
          <w:kern w:val="22"/>
        </w:rPr>
        <w:t>set out in paragraph 1</w:t>
      </w:r>
      <w:r>
        <w:rPr>
          <w:rFonts w:asciiTheme="majorBidi" w:hAnsiTheme="majorBidi" w:cstheme="majorBidi"/>
          <w:bCs/>
          <w:snapToGrid w:val="0"/>
          <w:kern w:val="22"/>
        </w:rPr>
        <w:t xml:space="preserve"> of the present decision</w:t>
      </w:r>
      <w:r w:rsidRPr="004F65AE">
        <w:rPr>
          <w:rFonts w:asciiTheme="majorBidi" w:hAnsiTheme="majorBidi" w:cstheme="majorBidi"/>
          <w:bCs/>
          <w:snapToGrid w:val="0"/>
          <w:kern w:val="22"/>
        </w:rPr>
        <w:t>, including, as appropriate, by:</w:t>
      </w:r>
    </w:p>
    <w:p w14:paraId="25B77D08" w14:textId="77777777" w:rsidR="00005A3C" w:rsidRPr="00B3720D"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highlight w:val="yellow"/>
        </w:rPr>
      </w:pPr>
      <w:r w:rsidRPr="004F65AE">
        <w:rPr>
          <w:rFonts w:asciiTheme="majorBidi" w:hAnsiTheme="majorBidi" w:cstheme="majorBidi"/>
          <w:bCs/>
          <w:snapToGrid w:val="0"/>
          <w:kern w:val="22"/>
        </w:rPr>
        <w:t xml:space="preserve">(a) </w:t>
      </w:r>
      <w:r w:rsidRPr="004F65AE">
        <w:rPr>
          <w:rFonts w:asciiTheme="majorBidi" w:hAnsiTheme="majorBidi" w:cstheme="majorBidi"/>
          <w:bCs/>
          <w:snapToGrid w:val="0"/>
          <w:kern w:val="22"/>
        </w:rPr>
        <w:tab/>
        <w:t xml:space="preserve">Supporting the implementation of the guidelines </w:t>
      </w:r>
      <w:r>
        <w:rPr>
          <w:rFonts w:asciiTheme="majorBidi" w:hAnsiTheme="majorBidi" w:cstheme="majorBidi"/>
          <w:bCs/>
          <w:snapToGrid w:val="0"/>
          <w:kern w:val="22"/>
        </w:rPr>
        <w:t xml:space="preserve">set out </w:t>
      </w:r>
      <w:r w:rsidRPr="004F65AE">
        <w:rPr>
          <w:rFonts w:asciiTheme="majorBidi" w:hAnsiTheme="majorBidi" w:cstheme="majorBidi"/>
          <w:bCs/>
          <w:snapToGrid w:val="0"/>
          <w:kern w:val="22"/>
        </w:rPr>
        <w:t xml:space="preserve">in </w:t>
      </w:r>
      <w:r w:rsidRPr="00767A38">
        <w:rPr>
          <w:rFonts w:asciiTheme="majorBidi" w:hAnsiTheme="majorBidi" w:cstheme="majorBidi"/>
          <w:bCs/>
          <w:snapToGrid w:val="0"/>
          <w:kern w:val="22"/>
        </w:rPr>
        <w:t>annexes I and II</w:t>
      </w:r>
      <w:r>
        <w:rPr>
          <w:rFonts w:asciiTheme="majorBidi" w:hAnsiTheme="majorBidi" w:cstheme="majorBidi"/>
          <w:bCs/>
          <w:snapToGrid w:val="0"/>
          <w:kern w:val="22"/>
        </w:rPr>
        <w:t xml:space="preserve"> to the present decision</w:t>
      </w:r>
      <w:r w:rsidRPr="00767A38">
        <w:rPr>
          <w:rFonts w:asciiTheme="majorBidi" w:hAnsiTheme="majorBidi" w:cstheme="majorBidi"/>
          <w:bCs/>
          <w:snapToGrid w:val="0"/>
          <w:kern w:val="22"/>
        </w:rPr>
        <w:t>;</w:t>
      </w:r>
    </w:p>
    <w:p w14:paraId="0B446D48" w14:textId="77777777"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3C4F93">
        <w:rPr>
          <w:rFonts w:asciiTheme="majorBidi" w:hAnsiTheme="majorBidi" w:cstheme="majorBidi"/>
          <w:bCs/>
          <w:snapToGrid w:val="0"/>
          <w:kern w:val="22"/>
        </w:rPr>
        <w:t xml:space="preserve">(b) </w:t>
      </w:r>
      <w:r w:rsidRPr="003C4F93">
        <w:rPr>
          <w:rFonts w:asciiTheme="majorBidi" w:hAnsiTheme="majorBidi" w:cstheme="majorBidi"/>
          <w:bCs/>
          <w:snapToGrid w:val="0"/>
          <w:kern w:val="22"/>
        </w:rPr>
        <w:tab/>
        <w:t xml:space="preserve">Supporting the Subsidiary Body on Implementation in the further development and\or piloting of the template </w:t>
      </w:r>
      <w:r>
        <w:rPr>
          <w:rFonts w:asciiTheme="majorBidi" w:hAnsiTheme="majorBidi" w:cstheme="majorBidi"/>
          <w:bCs/>
          <w:snapToGrid w:val="0"/>
          <w:kern w:val="22"/>
        </w:rPr>
        <w:t xml:space="preserve">contained </w:t>
      </w:r>
      <w:r w:rsidRPr="003C4F93">
        <w:rPr>
          <w:rFonts w:asciiTheme="majorBidi" w:hAnsiTheme="majorBidi" w:cstheme="majorBidi"/>
          <w:bCs/>
          <w:snapToGrid w:val="0"/>
          <w:kern w:val="22"/>
        </w:rPr>
        <w:t>in annex II</w:t>
      </w:r>
      <w:r>
        <w:rPr>
          <w:rFonts w:asciiTheme="majorBidi" w:hAnsiTheme="majorBidi" w:cstheme="majorBidi"/>
          <w:bCs/>
          <w:snapToGrid w:val="0"/>
          <w:kern w:val="22"/>
        </w:rPr>
        <w:t xml:space="preserve"> to the present decision,</w:t>
      </w:r>
      <w:r w:rsidRPr="003C4F93">
        <w:rPr>
          <w:rFonts w:asciiTheme="majorBidi" w:hAnsiTheme="majorBidi" w:cstheme="majorBidi"/>
          <w:bCs/>
          <w:snapToGrid w:val="0"/>
          <w:kern w:val="22"/>
        </w:rPr>
        <w:t xml:space="preserve"> and </w:t>
      </w:r>
      <w:r w:rsidRPr="000223EA">
        <w:rPr>
          <w:rFonts w:asciiTheme="majorBidi" w:hAnsiTheme="majorBidi" w:cstheme="majorBidi"/>
          <w:bCs/>
          <w:snapToGrid w:val="0"/>
          <w:kern w:val="22"/>
        </w:rPr>
        <w:t>of core</w:t>
      </w:r>
      <w:r w:rsidRPr="003C4F93">
        <w:rPr>
          <w:rFonts w:asciiTheme="majorBidi" w:hAnsiTheme="majorBidi" w:cstheme="majorBidi"/>
          <w:bCs/>
          <w:snapToGrid w:val="0"/>
          <w:kern w:val="22"/>
        </w:rPr>
        <w:t xml:space="preserve"> elements for reporting of non-</w:t>
      </w:r>
      <w:r>
        <w:rPr>
          <w:rFonts w:asciiTheme="majorBidi" w:hAnsiTheme="majorBidi" w:cstheme="majorBidi"/>
          <w:bCs/>
          <w:snapToGrid w:val="0"/>
          <w:kern w:val="22"/>
        </w:rPr>
        <w:t>S</w:t>
      </w:r>
      <w:r w:rsidRPr="003C4F93">
        <w:rPr>
          <w:rFonts w:asciiTheme="majorBidi" w:hAnsiTheme="majorBidi" w:cstheme="majorBidi"/>
          <w:bCs/>
          <w:snapToGrid w:val="0"/>
          <w:kern w:val="22"/>
        </w:rPr>
        <w:t>tate actors, where needed</w:t>
      </w:r>
      <w:r>
        <w:rPr>
          <w:rFonts w:asciiTheme="majorBidi" w:hAnsiTheme="majorBidi" w:cstheme="majorBidi"/>
          <w:bCs/>
          <w:snapToGrid w:val="0"/>
          <w:kern w:val="22"/>
        </w:rPr>
        <w:t>,</w:t>
      </w:r>
      <w:r w:rsidRPr="003C4F93">
        <w:rPr>
          <w:rFonts w:asciiTheme="majorBidi" w:hAnsiTheme="majorBidi" w:cstheme="majorBidi"/>
          <w:bCs/>
          <w:snapToGrid w:val="0"/>
          <w:kern w:val="22"/>
        </w:rPr>
        <w:t xml:space="preserve"> </w:t>
      </w:r>
      <w:r w:rsidRPr="009676A3">
        <w:rPr>
          <w:rFonts w:asciiTheme="majorBidi" w:hAnsiTheme="majorBidi" w:cstheme="majorBidi"/>
          <w:bCs/>
          <w:snapToGrid w:val="0"/>
          <w:kern w:val="22"/>
        </w:rPr>
        <w:t>and</w:t>
      </w:r>
      <w:r w:rsidRPr="003C4F93">
        <w:rPr>
          <w:rFonts w:asciiTheme="majorBidi" w:hAnsiTheme="majorBidi" w:cstheme="majorBidi"/>
          <w:bCs/>
          <w:snapToGrid w:val="0"/>
          <w:kern w:val="22"/>
        </w:rPr>
        <w:t xml:space="preserve"> in an inclusive and transparent manner;</w:t>
      </w:r>
    </w:p>
    <w:p w14:paraId="5B2120AC" w14:textId="37C03575"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4F65AE">
        <w:rPr>
          <w:rFonts w:asciiTheme="majorBidi" w:hAnsiTheme="majorBidi" w:cstheme="majorBidi"/>
          <w:bCs/>
          <w:snapToGrid w:val="0"/>
          <w:kern w:val="22"/>
        </w:rPr>
        <w:t>(</w:t>
      </w:r>
      <w:r>
        <w:rPr>
          <w:rFonts w:asciiTheme="majorBidi" w:hAnsiTheme="majorBidi" w:cstheme="majorBidi"/>
          <w:bCs/>
          <w:snapToGrid w:val="0"/>
          <w:kern w:val="22"/>
        </w:rPr>
        <w:t>c</w:t>
      </w:r>
      <w:r w:rsidRPr="004F65AE">
        <w:rPr>
          <w:rFonts w:asciiTheme="majorBidi" w:hAnsiTheme="majorBidi" w:cstheme="majorBidi"/>
          <w:bCs/>
          <w:snapToGrid w:val="0"/>
          <w:kern w:val="22"/>
        </w:rPr>
        <w:t>)</w:t>
      </w:r>
      <w:r w:rsidRPr="004F65AE">
        <w:rPr>
          <w:rFonts w:asciiTheme="majorBidi" w:hAnsiTheme="majorBidi" w:cstheme="majorBidi"/>
          <w:bCs/>
          <w:snapToGrid w:val="0"/>
          <w:kern w:val="22"/>
        </w:rPr>
        <w:tab/>
        <w:t xml:space="preserve">Supporting the Subsidiary Body on Implementation in the further development and piloting </w:t>
      </w:r>
      <w:r w:rsidRPr="00626FD6">
        <w:rPr>
          <w:rFonts w:asciiTheme="majorBidi" w:hAnsiTheme="majorBidi" w:cstheme="majorBidi"/>
          <w:bCs/>
          <w:snapToGrid w:val="0"/>
          <w:kern w:val="22"/>
        </w:rPr>
        <w:t>of</w:t>
      </w:r>
      <w:r>
        <w:rPr>
          <w:rFonts w:asciiTheme="majorBidi" w:hAnsiTheme="majorBidi" w:cstheme="majorBidi"/>
          <w:bCs/>
          <w:snapToGrid w:val="0"/>
          <w:kern w:val="22"/>
        </w:rPr>
        <w:t xml:space="preserve"> </w:t>
      </w:r>
      <w:r w:rsidRPr="004F65AE">
        <w:rPr>
          <w:rFonts w:asciiTheme="majorBidi" w:hAnsiTheme="majorBidi" w:cstheme="majorBidi"/>
          <w:bCs/>
          <w:snapToGrid w:val="0"/>
          <w:kern w:val="22"/>
        </w:rPr>
        <w:t xml:space="preserve">a modus operandi of an open-ended forum for </w:t>
      </w:r>
      <w:r w:rsidR="00674816">
        <w:rPr>
          <w:rFonts w:asciiTheme="majorBidi" w:hAnsiTheme="majorBidi" w:cstheme="majorBidi"/>
          <w:bCs/>
          <w:snapToGrid w:val="0"/>
          <w:kern w:val="22"/>
        </w:rPr>
        <w:t xml:space="preserve">the </w:t>
      </w:r>
      <w:r w:rsidRPr="004F65AE">
        <w:rPr>
          <w:rFonts w:asciiTheme="majorBidi" w:hAnsiTheme="majorBidi" w:cstheme="majorBidi"/>
          <w:bCs/>
          <w:snapToGrid w:val="0"/>
          <w:kern w:val="22"/>
        </w:rPr>
        <w:t xml:space="preserve">voluntary country review, which may include possible expert assisted reviews; </w:t>
      </w:r>
    </w:p>
    <w:p w14:paraId="20EF4532" w14:textId="77777777"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4F65AE">
        <w:rPr>
          <w:rFonts w:asciiTheme="majorBidi" w:hAnsiTheme="majorBidi" w:cstheme="majorBidi"/>
          <w:bCs/>
          <w:snapToGrid w:val="0"/>
          <w:kern w:val="22"/>
        </w:rPr>
        <w:t>(</w:t>
      </w:r>
      <w:r>
        <w:rPr>
          <w:rFonts w:asciiTheme="majorBidi" w:hAnsiTheme="majorBidi" w:cstheme="majorBidi"/>
          <w:bCs/>
          <w:snapToGrid w:val="0"/>
          <w:kern w:val="22"/>
        </w:rPr>
        <w:t>d</w:t>
      </w:r>
      <w:r w:rsidRPr="004F65AE">
        <w:rPr>
          <w:rFonts w:asciiTheme="majorBidi" w:hAnsiTheme="majorBidi" w:cstheme="majorBidi"/>
          <w:bCs/>
          <w:snapToGrid w:val="0"/>
          <w:kern w:val="22"/>
        </w:rPr>
        <w:t>)</w:t>
      </w:r>
      <w:r w:rsidRPr="004F65AE">
        <w:rPr>
          <w:rFonts w:asciiTheme="majorBidi" w:hAnsiTheme="majorBidi" w:cstheme="majorBidi"/>
          <w:bCs/>
          <w:snapToGrid w:val="0"/>
          <w:kern w:val="22"/>
        </w:rPr>
        <w:tab/>
        <w:t>Further developing the online reporting tool for national reports on the clearing</w:t>
      </w:r>
      <w:r w:rsidRPr="004F65AE">
        <w:rPr>
          <w:rFonts w:asciiTheme="majorBidi" w:hAnsiTheme="majorBidi" w:cstheme="majorBidi"/>
          <w:bCs/>
          <w:snapToGrid w:val="0"/>
          <w:kern w:val="22"/>
        </w:rPr>
        <w:noBreakHyphen/>
        <w:t>house mechanism of the Convention;</w:t>
      </w:r>
    </w:p>
    <w:p w14:paraId="163E596C" w14:textId="77777777"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4F65AE">
        <w:rPr>
          <w:rFonts w:asciiTheme="majorBidi" w:hAnsiTheme="majorBidi" w:cstheme="majorBidi"/>
          <w:bCs/>
          <w:snapToGrid w:val="0"/>
          <w:kern w:val="22"/>
        </w:rPr>
        <w:t>(</w:t>
      </w:r>
      <w:r>
        <w:rPr>
          <w:rFonts w:asciiTheme="majorBidi" w:hAnsiTheme="majorBidi" w:cstheme="majorBidi"/>
          <w:bCs/>
          <w:snapToGrid w:val="0"/>
          <w:kern w:val="22"/>
        </w:rPr>
        <w:t>e</w:t>
      </w:r>
      <w:r w:rsidRPr="004F65AE">
        <w:rPr>
          <w:rFonts w:asciiTheme="majorBidi" w:hAnsiTheme="majorBidi" w:cstheme="majorBidi"/>
          <w:bCs/>
          <w:snapToGrid w:val="0"/>
          <w:kern w:val="22"/>
        </w:rPr>
        <w:t>)</w:t>
      </w:r>
      <w:r w:rsidRPr="004F65AE">
        <w:rPr>
          <w:rFonts w:asciiTheme="majorBidi" w:hAnsiTheme="majorBidi" w:cstheme="majorBidi"/>
          <w:bCs/>
          <w:snapToGrid w:val="0"/>
          <w:kern w:val="22"/>
        </w:rPr>
        <w:tab/>
        <w:t xml:space="preserve">Further developing the online decision-tracking tool; </w:t>
      </w:r>
    </w:p>
    <w:p w14:paraId="70F937EF" w14:textId="77777777"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4F65AE">
        <w:rPr>
          <w:rFonts w:asciiTheme="majorBidi" w:hAnsiTheme="majorBidi" w:cstheme="majorBidi"/>
          <w:bCs/>
          <w:snapToGrid w:val="0"/>
          <w:kern w:val="22"/>
        </w:rPr>
        <w:lastRenderedPageBreak/>
        <w:t>(</w:t>
      </w:r>
      <w:r>
        <w:rPr>
          <w:rFonts w:asciiTheme="majorBidi" w:hAnsiTheme="majorBidi" w:cstheme="majorBidi"/>
          <w:bCs/>
          <w:snapToGrid w:val="0"/>
          <w:kern w:val="22"/>
        </w:rPr>
        <w:t>f</w:t>
      </w:r>
      <w:r w:rsidRPr="004F65AE">
        <w:rPr>
          <w:rFonts w:asciiTheme="majorBidi" w:hAnsiTheme="majorBidi" w:cstheme="majorBidi"/>
          <w:bCs/>
          <w:snapToGrid w:val="0"/>
          <w:kern w:val="22"/>
        </w:rPr>
        <w:t xml:space="preserve">) </w:t>
      </w:r>
      <w:r w:rsidRPr="004F65AE">
        <w:rPr>
          <w:rFonts w:asciiTheme="majorBidi" w:hAnsiTheme="majorBidi" w:cstheme="majorBidi"/>
          <w:bCs/>
          <w:snapToGrid w:val="0"/>
          <w:kern w:val="22"/>
        </w:rPr>
        <w:tab/>
        <w:t>Further developing a mechanism for tracking commitments of non-State actors, including voluntary online reporting</w:t>
      </w:r>
      <w:r>
        <w:rPr>
          <w:rFonts w:asciiTheme="majorBidi" w:hAnsiTheme="majorBidi" w:cstheme="majorBidi"/>
          <w:bCs/>
          <w:snapToGrid w:val="0"/>
          <w:kern w:val="22"/>
        </w:rPr>
        <w:t>,</w:t>
      </w:r>
      <w:r w:rsidRPr="004F65AE">
        <w:rPr>
          <w:rFonts w:asciiTheme="majorBidi" w:hAnsiTheme="majorBidi" w:cstheme="majorBidi"/>
          <w:bCs/>
          <w:snapToGrid w:val="0"/>
          <w:kern w:val="22"/>
        </w:rPr>
        <w:t xml:space="preserve"> in accordance with the Sharm El-Sheikh to Kunming</w:t>
      </w:r>
      <w:r>
        <w:rPr>
          <w:rFonts w:asciiTheme="majorBidi" w:hAnsiTheme="majorBidi" w:cstheme="majorBidi"/>
          <w:bCs/>
          <w:snapToGrid w:val="0"/>
          <w:kern w:val="22"/>
        </w:rPr>
        <w:t xml:space="preserve"> and Montreal</w:t>
      </w:r>
      <w:r w:rsidRPr="004F65AE">
        <w:rPr>
          <w:rFonts w:asciiTheme="majorBidi" w:hAnsiTheme="majorBidi" w:cstheme="majorBidi"/>
          <w:bCs/>
          <w:snapToGrid w:val="0"/>
          <w:kern w:val="22"/>
        </w:rPr>
        <w:t xml:space="preserve"> Action Agenda for Nature and People; </w:t>
      </w:r>
    </w:p>
    <w:p w14:paraId="23E3B267" w14:textId="77777777"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4F65AE">
        <w:rPr>
          <w:rFonts w:asciiTheme="majorBidi" w:hAnsiTheme="majorBidi" w:cstheme="majorBidi"/>
          <w:bCs/>
          <w:snapToGrid w:val="0"/>
          <w:kern w:val="22"/>
        </w:rPr>
        <w:t>(</w:t>
      </w:r>
      <w:r>
        <w:rPr>
          <w:rFonts w:asciiTheme="majorBidi" w:hAnsiTheme="majorBidi" w:cstheme="majorBidi"/>
          <w:bCs/>
          <w:snapToGrid w:val="0"/>
          <w:kern w:val="22"/>
        </w:rPr>
        <w:t>g</w:t>
      </w:r>
      <w:r w:rsidRPr="004F65AE">
        <w:rPr>
          <w:rFonts w:asciiTheme="majorBidi" w:hAnsiTheme="majorBidi" w:cstheme="majorBidi"/>
          <w:bCs/>
          <w:snapToGrid w:val="0"/>
          <w:kern w:val="22"/>
        </w:rPr>
        <w:t>)</w:t>
      </w:r>
      <w:r w:rsidRPr="004F65AE">
        <w:rPr>
          <w:rFonts w:asciiTheme="majorBidi" w:hAnsiTheme="majorBidi" w:cstheme="majorBidi"/>
          <w:bCs/>
          <w:snapToGrid w:val="0"/>
          <w:kern w:val="22"/>
        </w:rPr>
        <w:tab/>
        <w:t>Facilitating of the voluntary use of modular tools for data reporting, such as the Data Reporting Tool (DaRT);</w:t>
      </w:r>
    </w:p>
    <w:p w14:paraId="713FE684" w14:textId="77777777"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4F65AE">
        <w:rPr>
          <w:rFonts w:asciiTheme="majorBidi" w:hAnsiTheme="majorBidi" w:cstheme="majorBidi"/>
          <w:bCs/>
          <w:snapToGrid w:val="0"/>
          <w:kern w:val="22"/>
        </w:rPr>
        <w:t>(</w:t>
      </w:r>
      <w:r>
        <w:rPr>
          <w:rFonts w:asciiTheme="majorBidi" w:hAnsiTheme="majorBidi" w:cstheme="majorBidi"/>
          <w:bCs/>
          <w:snapToGrid w:val="0"/>
          <w:kern w:val="22"/>
        </w:rPr>
        <w:t>h</w:t>
      </w:r>
      <w:r w:rsidRPr="004F65AE">
        <w:rPr>
          <w:rFonts w:asciiTheme="majorBidi" w:hAnsiTheme="majorBidi" w:cstheme="majorBidi"/>
          <w:bCs/>
          <w:snapToGrid w:val="0"/>
          <w:kern w:val="22"/>
        </w:rPr>
        <w:t>)</w:t>
      </w:r>
      <w:r w:rsidRPr="004F65AE">
        <w:rPr>
          <w:rFonts w:asciiTheme="majorBidi" w:hAnsiTheme="majorBidi" w:cstheme="majorBidi"/>
          <w:bCs/>
          <w:snapToGrid w:val="0"/>
          <w:kern w:val="22"/>
        </w:rPr>
        <w:tab/>
        <w:t xml:space="preserve">Compiling views from Parties on the concrete procedures for </w:t>
      </w:r>
      <w:r>
        <w:rPr>
          <w:rFonts w:asciiTheme="majorBidi" w:hAnsiTheme="majorBidi" w:cstheme="majorBidi"/>
          <w:bCs/>
          <w:snapToGrid w:val="0"/>
          <w:kern w:val="22"/>
        </w:rPr>
        <w:t xml:space="preserve">the </w:t>
      </w:r>
      <w:r w:rsidRPr="004F65AE">
        <w:rPr>
          <w:rFonts w:asciiTheme="majorBidi" w:hAnsiTheme="majorBidi" w:cstheme="majorBidi"/>
          <w:bCs/>
          <w:snapToGrid w:val="0"/>
          <w:kern w:val="22"/>
        </w:rPr>
        <w:t>global review mentioned in para</w:t>
      </w:r>
      <w:r>
        <w:rPr>
          <w:rFonts w:asciiTheme="majorBidi" w:hAnsiTheme="majorBidi" w:cstheme="majorBidi"/>
          <w:bCs/>
          <w:snapToGrid w:val="0"/>
          <w:kern w:val="22"/>
        </w:rPr>
        <w:t>graph</w:t>
      </w:r>
      <w:r w:rsidRPr="004F65AE">
        <w:rPr>
          <w:rFonts w:asciiTheme="majorBidi" w:hAnsiTheme="majorBidi" w:cstheme="majorBidi"/>
          <w:bCs/>
          <w:snapToGrid w:val="0"/>
          <w:kern w:val="22"/>
        </w:rPr>
        <w:t xml:space="preserve"> 1</w:t>
      </w:r>
      <w:r>
        <w:rPr>
          <w:rFonts w:asciiTheme="majorBidi" w:hAnsiTheme="majorBidi" w:cstheme="majorBidi"/>
          <w:bCs/>
          <w:snapToGrid w:val="0"/>
          <w:kern w:val="22"/>
        </w:rPr>
        <w:t>6 of the present decision</w:t>
      </w:r>
      <w:r w:rsidRPr="00272BC4">
        <w:rPr>
          <w:rFonts w:asciiTheme="majorBidi" w:hAnsiTheme="majorBidi" w:cstheme="majorBidi"/>
          <w:bCs/>
          <w:snapToGrid w:val="0"/>
          <w:kern w:val="22"/>
        </w:rPr>
        <w:t>, to</w:t>
      </w:r>
      <w:r w:rsidRPr="004F65AE">
        <w:rPr>
          <w:rFonts w:asciiTheme="majorBidi" w:hAnsiTheme="majorBidi" w:cstheme="majorBidi"/>
          <w:bCs/>
          <w:snapToGrid w:val="0"/>
          <w:kern w:val="22"/>
        </w:rPr>
        <w:t xml:space="preserve"> support the </w:t>
      </w:r>
      <w:r>
        <w:rPr>
          <w:rFonts w:asciiTheme="majorBidi" w:hAnsiTheme="majorBidi" w:cstheme="majorBidi"/>
          <w:bCs/>
          <w:snapToGrid w:val="0"/>
          <w:kern w:val="22"/>
        </w:rPr>
        <w:t>Subsidiary Body on Implementation</w:t>
      </w:r>
      <w:r w:rsidRPr="004F65AE">
        <w:rPr>
          <w:rFonts w:asciiTheme="majorBidi" w:hAnsiTheme="majorBidi" w:cstheme="majorBidi"/>
          <w:bCs/>
          <w:snapToGrid w:val="0"/>
          <w:kern w:val="22"/>
        </w:rPr>
        <w:t xml:space="preserve"> in the development of these procedures</w:t>
      </w:r>
      <w:r>
        <w:rPr>
          <w:rFonts w:asciiTheme="majorBidi" w:hAnsiTheme="majorBidi" w:cstheme="majorBidi"/>
          <w:bCs/>
          <w:snapToGrid w:val="0"/>
          <w:kern w:val="22"/>
        </w:rPr>
        <w:t>;</w:t>
      </w:r>
      <w:r w:rsidRPr="004F65AE">
        <w:rPr>
          <w:rFonts w:asciiTheme="majorBidi" w:hAnsiTheme="majorBidi" w:cstheme="majorBidi"/>
          <w:bCs/>
          <w:snapToGrid w:val="0"/>
          <w:kern w:val="22"/>
        </w:rPr>
        <w:t xml:space="preserve"> </w:t>
      </w:r>
    </w:p>
    <w:p w14:paraId="3B7B52A2" w14:textId="77777777"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4F65AE">
        <w:rPr>
          <w:rFonts w:asciiTheme="majorBidi" w:hAnsiTheme="majorBidi" w:cstheme="majorBidi"/>
          <w:bCs/>
          <w:snapToGrid w:val="0"/>
          <w:kern w:val="22"/>
        </w:rPr>
        <w:t>(</w:t>
      </w:r>
      <w:r>
        <w:rPr>
          <w:rFonts w:asciiTheme="majorBidi" w:hAnsiTheme="majorBidi" w:cstheme="majorBidi"/>
          <w:bCs/>
          <w:snapToGrid w:val="0"/>
          <w:kern w:val="22"/>
        </w:rPr>
        <w:t>i</w:t>
      </w:r>
      <w:r w:rsidRPr="004F65AE">
        <w:rPr>
          <w:rFonts w:asciiTheme="majorBidi" w:hAnsiTheme="majorBidi" w:cstheme="majorBidi"/>
          <w:bCs/>
          <w:snapToGrid w:val="0"/>
          <w:kern w:val="22"/>
        </w:rPr>
        <w:t>)</w:t>
      </w:r>
      <w:r>
        <w:rPr>
          <w:rFonts w:asciiTheme="majorBidi" w:hAnsiTheme="majorBidi" w:cstheme="majorBidi"/>
          <w:bCs/>
          <w:snapToGrid w:val="0"/>
          <w:kern w:val="22"/>
        </w:rPr>
        <w:tab/>
      </w:r>
      <w:r w:rsidRPr="004F65AE">
        <w:rPr>
          <w:rFonts w:asciiTheme="majorBidi" w:hAnsiTheme="majorBidi" w:cstheme="majorBidi"/>
          <w:bCs/>
          <w:snapToGrid w:val="0"/>
          <w:kern w:val="22"/>
        </w:rPr>
        <w:t>Coordinating the preparation of the inputs referred to in para</w:t>
      </w:r>
      <w:r>
        <w:rPr>
          <w:rFonts w:asciiTheme="majorBidi" w:hAnsiTheme="majorBidi" w:cstheme="majorBidi"/>
          <w:bCs/>
          <w:snapToGrid w:val="0"/>
          <w:kern w:val="22"/>
        </w:rPr>
        <w:t>graphs</w:t>
      </w:r>
      <w:r w:rsidRPr="004F65AE">
        <w:rPr>
          <w:rFonts w:asciiTheme="majorBidi" w:hAnsiTheme="majorBidi" w:cstheme="majorBidi"/>
          <w:bCs/>
          <w:snapToGrid w:val="0"/>
          <w:kern w:val="22"/>
        </w:rPr>
        <w:t xml:space="preserve"> 1</w:t>
      </w:r>
      <w:r>
        <w:rPr>
          <w:rFonts w:asciiTheme="majorBidi" w:hAnsiTheme="majorBidi" w:cstheme="majorBidi"/>
          <w:bCs/>
          <w:snapToGrid w:val="0"/>
          <w:kern w:val="22"/>
        </w:rPr>
        <w:t>5</w:t>
      </w:r>
      <w:r w:rsidRPr="004F65AE">
        <w:rPr>
          <w:rFonts w:asciiTheme="majorBidi" w:hAnsiTheme="majorBidi" w:cstheme="majorBidi"/>
          <w:bCs/>
          <w:snapToGrid w:val="0"/>
          <w:kern w:val="22"/>
        </w:rPr>
        <w:t xml:space="preserve"> and 1</w:t>
      </w:r>
      <w:r>
        <w:rPr>
          <w:rFonts w:asciiTheme="majorBidi" w:hAnsiTheme="majorBidi" w:cstheme="majorBidi"/>
          <w:bCs/>
          <w:snapToGrid w:val="0"/>
          <w:kern w:val="22"/>
        </w:rPr>
        <w:t>6 of the present decision</w:t>
      </w:r>
      <w:r w:rsidRPr="004F65AE">
        <w:rPr>
          <w:rFonts w:asciiTheme="majorBidi" w:hAnsiTheme="majorBidi" w:cstheme="majorBidi"/>
          <w:bCs/>
          <w:snapToGrid w:val="0"/>
          <w:kern w:val="22"/>
        </w:rPr>
        <w:t xml:space="preserve"> in a transparent manner;</w:t>
      </w:r>
    </w:p>
    <w:p w14:paraId="051DF449" w14:textId="77777777"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snapToGrid w:val="0"/>
          <w:kern w:val="22"/>
        </w:rPr>
      </w:pPr>
      <w:r w:rsidRPr="004F65AE">
        <w:rPr>
          <w:rFonts w:asciiTheme="majorBidi" w:hAnsiTheme="majorBidi" w:cstheme="majorBidi"/>
          <w:bCs/>
          <w:snapToGrid w:val="0"/>
          <w:kern w:val="22"/>
        </w:rPr>
        <w:t>(</w:t>
      </w:r>
      <w:r>
        <w:rPr>
          <w:rFonts w:asciiTheme="majorBidi" w:hAnsiTheme="majorBidi" w:cstheme="majorBidi"/>
          <w:bCs/>
          <w:snapToGrid w:val="0"/>
          <w:kern w:val="22"/>
        </w:rPr>
        <w:t>j</w:t>
      </w:r>
      <w:r w:rsidRPr="004F65AE">
        <w:rPr>
          <w:rFonts w:asciiTheme="majorBidi" w:hAnsiTheme="majorBidi" w:cstheme="majorBidi"/>
          <w:bCs/>
          <w:snapToGrid w:val="0"/>
          <w:kern w:val="22"/>
        </w:rPr>
        <w:t>)</w:t>
      </w:r>
      <w:r w:rsidRPr="004F65AE">
        <w:rPr>
          <w:rFonts w:asciiTheme="majorBidi" w:hAnsiTheme="majorBidi" w:cstheme="majorBidi"/>
          <w:bCs/>
          <w:snapToGrid w:val="0"/>
          <w:kern w:val="22"/>
        </w:rPr>
        <w:tab/>
        <w:t>Coordinating and collaborating with relevant partners to provide necessary capacity</w:t>
      </w:r>
      <w:r>
        <w:rPr>
          <w:rFonts w:asciiTheme="majorBidi" w:hAnsiTheme="majorBidi" w:cstheme="majorBidi"/>
          <w:bCs/>
          <w:snapToGrid w:val="0"/>
          <w:kern w:val="22"/>
        </w:rPr>
        <w:noBreakHyphen/>
      </w:r>
      <w:r w:rsidRPr="004F65AE">
        <w:rPr>
          <w:rFonts w:asciiTheme="majorBidi" w:hAnsiTheme="majorBidi" w:cstheme="majorBidi"/>
          <w:bCs/>
          <w:snapToGrid w:val="0"/>
          <w:kern w:val="22"/>
        </w:rPr>
        <w:t>building and development and other support, in particular to developing countries, to improve planning, monitoring, reporting and</w:t>
      </w:r>
      <w:r w:rsidRPr="00FB1CAF">
        <w:rPr>
          <w:rFonts w:asciiTheme="majorBidi" w:hAnsiTheme="majorBidi" w:cstheme="majorBidi"/>
          <w:bCs/>
          <w:snapToGrid w:val="0"/>
          <w:kern w:val="22"/>
        </w:rPr>
        <w:t xml:space="preserve"> </w:t>
      </w:r>
      <w:r w:rsidRPr="004F65AE">
        <w:rPr>
          <w:rFonts w:asciiTheme="majorBidi" w:hAnsiTheme="majorBidi" w:cstheme="majorBidi"/>
          <w:bCs/>
          <w:snapToGrid w:val="0"/>
          <w:kern w:val="22"/>
        </w:rPr>
        <w:t>review</w:t>
      </w:r>
      <w:r>
        <w:rPr>
          <w:rFonts w:asciiTheme="majorBidi" w:hAnsiTheme="majorBidi" w:cstheme="majorBidi"/>
          <w:bCs/>
          <w:snapToGrid w:val="0"/>
          <w:kern w:val="22"/>
        </w:rPr>
        <w:t>;</w:t>
      </w:r>
      <w:bookmarkEnd w:id="46"/>
    </w:p>
    <w:p w14:paraId="6931496B" w14:textId="77777777" w:rsidR="00005A3C" w:rsidRPr="004F65AE" w:rsidRDefault="00005A3C" w:rsidP="009D6BD6">
      <w:pPr>
        <w:suppressLineNumbers/>
        <w:suppressAutoHyphens/>
        <w:kinsoku w:val="0"/>
        <w:overflowPunct w:val="0"/>
        <w:autoSpaceDE w:val="0"/>
        <w:autoSpaceDN w:val="0"/>
        <w:adjustRightInd w:val="0"/>
        <w:spacing w:before="120" w:after="120"/>
        <w:ind w:firstLine="851"/>
        <w:rPr>
          <w:rFonts w:asciiTheme="majorBidi" w:hAnsiTheme="majorBidi" w:cstheme="majorBidi"/>
          <w:bCs/>
          <w:i/>
          <w:iCs/>
          <w:snapToGrid w:val="0"/>
          <w:kern w:val="22"/>
          <w:szCs w:val="18"/>
        </w:rPr>
      </w:pPr>
      <w:r w:rsidRPr="004F65AE">
        <w:rPr>
          <w:rFonts w:asciiTheme="majorBidi" w:hAnsiTheme="majorBidi" w:cstheme="majorBidi"/>
          <w:bCs/>
          <w:snapToGrid w:val="0"/>
          <w:kern w:val="22"/>
          <w:szCs w:val="18"/>
        </w:rPr>
        <w:t>3</w:t>
      </w:r>
      <w:r>
        <w:rPr>
          <w:rFonts w:asciiTheme="majorBidi" w:hAnsiTheme="majorBidi" w:cstheme="majorBidi"/>
          <w:bCs/>
          <w:snapToGrid w:val="0"/>
          <w:kern w:val="22"/>
          <w:szCs w:val="18"/>
        </w:rPr>
        <w:t>0</w:t>
      </w:r>
      <w:r w:rsidRPr="004F65AE">
        <w:rPr>
          <w:rFonts w:asciiTheme="majorBidi" w:hAnsiTheme="majorBidi" w:cstheme="majorBidi"/>
          <w:bCs/>
          <w:snapToGrid w:val="0"/>
          <w:kern w:val="22"/>
          <w:szCs w:val="18"/>
        </w:rPr>
        <w:t>.</w:t>
      </w:r>
      <w:r w:rsidRPr="004F65AE">
        <w:rPr>
          <w:rFonts w:asciiTheme="majorBidi" w:hAnsiTheme="majorBidi" w:cstheme="majorBidi"/>
          <w:bCs/>
          <w:snapToGrid w:val="0"/>
          <w:kern w:val="22"/>
          <w:szCs w:val="18"/>
        </w:rPr>
        <w:tab/>
      </w:r>
      <w:r w:rsidRPr="004F65AE">
        <w:rPr>
          <w:rFonts w:asciiTheme="majorBidi" w:hAnsiTheme="majorBidi" w:cstheme="majorBidi"/>
          <w:bCs/>
          <w:i/>
          <w:iCs/>
          <w:snapToGrid w:val="0"/>
          <w:kern w:val="22"/>
          <w:szCs w:val="18"/>
        </w:rPr>
        <w:t xml:space="preserve">Welcomes </w:t>
      </w:r>
      <w:r w:rsidRPr="004F65AE">
        <w:rPr>
          <w:rFonts w:asciiTheme="majorBidi" w:hAnsiTheme="majorBidi" w:cstheme="majorBidi"/>
          <w:bCs/>
          <w:snapToGrid w:val="0"/>
          <w:kern w:val="22"/>
          <w:szCs w:val="18"/>
        </w:rPr>
        <w:t xml:space="preserve">the financial and in-kind contributions, including from the Japan Biodiversity Fund, to initiatives intended to contribute to the support of the updating or revision of </w:t>
      </w:r>
      <w:r>
        <w:rPr>
          <w:rFonts w:asciiTheme="majorBidi" w:hAnsiTheme="majorBidi" w:cstheme="majorBidi"/>
          <w:bCs/>
          <w:snapToGrid w:val="0"/>
          <w:kern w:val="22"/>
          <w:szCs w:val="18"/>
        </w:rPr>
        <w:t>national biodiversity strategies and action plans,</w:t>
      </w:r>
      <w:r w:rsidRPr="004F65AE">
        <w:rPr>
          <w:rFonts w:asciiTheme="majorBidi" w:hAnsiTheme="majorBidi" w:cstheme="majorBidi"/>
          <w:bCs/>
          <w:snapToGrid w:val="0"/>
          <w:kern w:val="22"/>
          <w:szCs w:val="18"/>
        </w:rPr>
        <w:t xml:space="preserve"> and invites</w:t>
      </w:r>
      <w:r w:rsidRPr="004F65AE">
        <w:rPr>
          <w:rFonts w:asciiTheme="majorBidi" w:hAnsiTheme="majorBidi" w:cstheme="majorBidi"/>
          <w:bCs/>
          <w:i/>
          <w:iCs/>
          <w:snapToGrid w:val="0"/>
          <w:kern w:val="22"/>
          <w:szCs w:val="18"/>
        </w:rPr>
        <w:t xml:space="preserve"> </w:t>
      </w:r>
      <w:r w:rsidRPr="004F65AE">
        <w:rPr>
          <w:rFonts w:asciiTheme="majorBidi" w:hAnsiTheme="majorBidi" w:cstheme="majorBidi"/>
          <w:bCs/>
          <w:snapToGrid w:val="0"/>
          <w:kern w:val="22"/>
          <w:szCs w:val="18"/>
        </w:rPr>
        <w:t xml:space="preserve">donors, Governments and multilateral and bilateral agencies to make funds </w:t>
      </w:r>
      <w:r>
        <w:rPr>
          <w:rFonts w:asciiTheme="majorBidi" w:hAnsiTheme="majorBidi" w:cstheme="majorBidi"/>
          <w:bCs/>
          <w:snapToGrid w:val="0"/>
          <w:kern w:val="22"/>
          <w:szCs w:val="18"/>
        </w:rPr>
        <w:t xml:space="preserve">available </w:t>
      </w:r>
      <w:r w:rsidRPr="00037328">
        <w:rPr>
          <w:rFonts w:asciiTheme="majorBidi" w:hAnsiTheme="majorBidi" w:cstheme="majorBidi"/>
          <w:bCs/>
          <w:snapToGrid w:val="0"/>
          <w:kern w:val="22"/>
          <w:szCs w:val="18"/>
        </w:rPr>
        <w:t>to support</w:t>
      </w:r>
      <w:r w:rsidRPr="004F65AE">
        <w:rPr>
          <w:rFonts w:asciiTheme="majorBidi" w:hAnsiTheme="majorBidi" w:cstheme="majorBidi"/>
          <w:bCs/>
          <w:snapToGrid w:val="0"/>
          <w:kern w:val="22"/>
          <w:szCs w:val="18"/>
        </w:rPr>
        <w:t xml:space="preserve"> planning, monitoring, reporting and review</w:t>
      </w:r>
      <w:r>
        <w:rPr>
          <w:rFonts w:asciiTheme="majorBidi" w:hAnsiTheme="majorBidi" w:cstheme="majorBidi"/>
          <w:bCs/>
          <w:snapToGrid w:val="0"/>
          <w:kern w:val="22"/>
          <w:szCs w:val="18"/>
        </w:rPr>
        <w:t>,</w:t>
      </w:r>
      <w:r w:rsidRPr="004F65AE">
        <w:rPr>
          <w:rFonts w:asciiTheme="majorBidi" w:hAnsiTheme="majorBidi" w:cstheme="majorBidi"/>
          <w:bCs/>
          <w:snapToGrid w:val="0"/>
          <w:kern w:val="22"/>
          <w:szCs w:val="18"/>
        </w:rPr>
        <w:t xml:space="preserve"> </w:t>
      </w:r>
      <w:r>
        <w:rPr>
          <w:rFonts w:asciiTheme="majorBidi" w:hAnsiTheme="majorBidi" w:cstheme="majorBidi"/>
          <w:bCs/>
          <w:snapToGrid w:val="0"/>
          <w:kern w:val="22"/>
          <w:szCs w:val="18"/>
        </w:rPr>
        <w:t>in support of</w:t>
      </w:r>
      <w:r w:rsidRPr="004F65AE">
        <w:rPr>
          <w:rFonts w:asciiTheme="majorBidi" w:hAnsiTheme="majorBidi" w:cstheme="majorBidi"/>
          <w:bCs/>
          <w:snapToGrid w:val="0"/>
          <w:kern w:val="22"/>
          <w:szCs w:val="18"/>
        </w:rPr>
        <w:t xml:space="preserve"> the implementation of the </w:t>
      </w:r>
      <w:r>
        <w:rPr>
          <w:rFonts w:asciiTheme="majorBidi" w:hAnsiTheme="majorBidi" w:cstheme="majorBidi"/>
          <w:bCs/>
          <w:snapToGrid w:val="0"/>
          <w:kern w:val="22"/>
          <w:szCs w:val="18"/>
          <w:lang w:val="en-US"/>
        </w:rPr>
        <w:t>Kunming-Montreal</w:t>
      </w:r>
      <w:r w:rsidRPr="004F65AE">
        <w:rPr>
          <w:rFonts w:asciiTheme="majorBidi" w:hAnsiTheme="majorBidi" w:cstheme="majorBidi"/>
          <w:bCs/>
          <w:snapToGrid w:val="0"/>
          <w:kern w:val="22"/>
          <w:szCs w:val="18"/>
          <w:lang w:val="en-US"/>
        </w:rPr>
        <w:t xml:space="preserve"> </w:t>
      </w:r>
      <w:r w:rsidRPr="004F65AE">
        <w:rPr>
          <w:rFonts w:asciiTheme="majorBidi" w:hAnsiTheme="majorBidi" w:cstheme="majorBidi"/>
          <w:bCs/>
          <w:snapToGrid w:val="0"/>
          <w:kern w:val="22"/>
          <w:szCs w:val="18"/>
        </w:rPr>
        <w:t xml:space="preserve">Global Biodiversity Framework, including for the development and strengthening of national monitoring and information </w:t>
      </w:r>
      <w:r w:rsidRPr="004F65AE">
        <w:rPr>
          <w:rFonts w:asciiTheme="majorBidi" w:hAnsiTheme="majorBidi" w:cstheme="majorBidi"/>
          <w:bCs/>
          <w:snapToGrid w:val="0"/>
          <w:kern w:val="22"/>
        </w:rPr>
        <w:t>management systems.</w:t>
      </w:r>
    </w:p>
    <w:p w14:paraId="31283303" w14:textId="77777777" w:rsidR="00005A3C" w:rsidRPr="00CA676A" w:rsidRDefault="00005A3C" w:rsidP="0040414C">
      <w:pPr>
        <w:keepNext/>
        <w:shd w:val="clear" w:color="auto" w:fill="FFFFFF" w:themeFill="background1"/>
        <w:spacing w:before="120" w:after="240"/>
        <w:jc w:val="center"/>
        <w:rPr>
          <w:rFonts w:asciiTheme="majorBidi" w:hAnsiTheme="majorBidi" w:cstheme="majorBidi"/>
          <w:bCs/>
          <w:i/>
          <w:iCs/>
          <w:szCs w:val="22"/>
        </w:rPr>
      </w:pPr>
      <w:bookmarkStart w:id="47" w:name="_Toc118355017"/>
      <w:r w:rsidRPr="00CA676A">
        <w:rPr>
          <w:rFonts w:asciiTheme="majorBidi" w:hAnsiTheme="majorBidi" w:cstheme="majorBidi"/>
          <w:bCs/>
          <w:i/>
          <w:iCs/>
          <w:szCs w:val="22"/>
        </w:rPr>
        <w:t xml:space="preserve">Annex I </w:t>
      </w:r>
      <w:bookmarkEnd w:id="47"/>
    </w:p>
    <w:p w14:paraId="6E39CF6E" w14:textId="77777777" w:rsidR="00005A3C" w:rsidRPr="00CA676A" w:rsidRDefault="00005A3C" w:rsidP="0040414C">
      <w:pPr>
        <w:keepNext/>
        <w:shd w:val="clear" w:color="auto" w:fill="FFFFFF" w:themeFill="background1"/>
        <w:spacing w:before="120" w:after="240"/>
        <w:jc w:val="center"/>
        <w:rPr>
          <w:rFonts w:asciiTheme="majorBidi" w:hAnsiTheme="majorBidi" w:cstheme="majorBidi"/>
          <w:bCs/>
          <w:i/>
          <w:iCs/>
          <w:caps/>
          <w:szCs w:val="22"/>
        </w:rPr>
      </w:pPr>
      <w:bookmarkStart w:id="48" w:name="_Toc118355018"/>
      <w:r w:rsidRPr="00CA676A">
        <w:rPr>
          <w:rFonts w:asciiTheme="majorBidi" w:hAnsiTheme="majorBidi" w:cstheme="majorBidi"/>
          <w:b/>
          <w:bCs/>
          <w:caps/>
          <w:szCs w:val="22"/>
        </w:rPr>
        <w:t xml:space="preserve">guidance for revising or updating national biodiversity strategies and action plans to Align with the </w:t>
      </w:r>
      <w:r w:rsidRPr="00E3500C">
        <w:rPr>
          <w:rFonts w:asciiTheme="majorBidi" w:hAnsiTheme="majorBidi" w:cstheme="majorBidi"/>
          <w:b/>
          <w:snapToGrid w:val="0"/>
          <w:kern w:val="22"/>
          <w:szCs w:val="22"/>
          <w:lang w:val="en-US"/>
        </w:rPr>
        <w:t>KUNMING-MONTREAL</w:t>
      </w:r>
      <w:r w:rsidRPr="00E3500C">
        <w:rPr>
          <w:rFonts w:asciiTheme="majorBidi" w:hAnsiTheme="majorBidi" w:cstheme="majorBidi"/>
          <w:bCs/>
          <w:snapToGrid w:val="0"/>
          <w:kern w:val="22"/>
          <w:szCs w:val="22"/>
          <w:lang w:val="en-US"/>
        </w:rPr>
        <w:t xml:space="preserve"> </w:t>
      </w:r>
      <w:r w:rsidRPr="00CA676A">
        <w:rPr>
          <w:rFonts w:asciiTheme="majorBidi" w:hAnsiTheme="majorBidi" w:cstheme="majorBidi"/>
          <w:b/>
          <w:bCs/>
          <w:caps/>
          <w:szCs w:val="22"/>
        </w:rPr>
        <w:t>global biodiversity framework</w:t>
      </w:r>
      <w:bookmarkEnd w:id="48"/>
    </w:p>
    <w:p w14:paraId="3AD7AAE5" w14:textId="77777777" w:rsidR="00005A3C" w:rsidRPr="00CA676A" w:rsidRDefault="00005A3C" w:rsidP="009D6BD6">
      <w:pPr>
        <w:pStyle w:val="Para1"/>
        <w:numPr>
          <w:ilvl w:val="0"/>
          <w:numId w:val="0"/>
        </w:numPr>
        <w:shd w:val="clear" w:color="auto" w:fill="FFFFFF" w:themeFill="background1"/>
        <w:tabs>
          <w:tab w:val="left" w:pos="720"/>
        </w:tabs>
        <w:rPr>
          <w:rFonts w:asciiTheme="majorBidi" w:hAnsiTheme="majorBidi" w:cstheme="majorBidi"/>
        </w:rPr>
      </w:pPr>
      <w:r w:rsidRPr="00CA676A">
        <w:rPr>
          <w:rFonts w:asciiTheme="majorBidi" w:hAnsiTheme="majorBidi" w:cstheme="majorBidi"/>
        </w:rPr>
        <w:t>1.</w:t>
      </w:r>
      <w:r w:rsidRPr="00CA676A">
        <w:rPr>
          <w:rFonts w:asciiTheme="majorBidi" w:hAnsiTheme="majorBidi" w:cstheme="majorBidi"/>
        </w:rPr>
        <w:tab/>
        <w:t xml:space="preserve">National biodiversity strategies and action plans (NBSAPs) are the main vehicle for implementation of the Convention on Biological Diversity at the national level. They are expected to be a key component of the enhanced planning, monitoring, reporting and review mechanism of the Convention for the </w:t>
      </w:r>
      <w:r w:rsidRPr="00CA676A">
        <w:rPr>
          <w:rFonts w:asciiTheme="majorBidi" w:hAnsiTheme="majorBidi" w:cstheme="majorBidi"/>
          <w:bCs/>
          <w:lang w:val="en-US"/>
        </w:rPr>
        <w:t>Kunming-Montreal</w:t>
      </w:r>
      <w:r w:rsidRPr="00E3500C">
        <w:rPr>
          <w:rFonts w:asciiTheme="majorBidi" w:hAnsiTheme="majorBidi" w:cstheme="majorBidi"/>
          <w:bCs/>
          <w:lang w:val="en-US"/>
        </w:rPr>
        <w:t xml:space="preserve"> </w:t>
      </w:r>
      <w:r>
        <w:rPr>
          <w:rFonts w:asciiTheme="majorBidi" w:hAnsiTheme="majorBidi" w:cstheme="majorBidi"/>
        </w:rPr>
        <w:t>G</w:t>
      </w:r>
      <w:r w:rsidRPr="00CA676A">
        <w:rPr>
          <w:rFonts w:asciiTheme="majorBidi" w:hAnsiTheme="majorBidi" w:cstheme="majorBidi"/>
        </w:rPr>
        <w:t xml:space="preserve">lobal </w:t>
      </w:r>
      <w:r>
        <w:rPr>
          <w:rFonts w:asciiTheme="majorBidi" w:hAnsiTheme="majorBidi" w:cstheme="majorBidi"/>
        </w:rPr>
        <w:t>B</w:t>
      </w:r>
      <w:r w:rsidRPr="00CA676A">
        <w:rPr>
          <w:rFonts w:asciiTheme="majorBidi" w:hAnsiTheme="majorBidi" w:cstheme="majorBidi"/>
        </w:rPr>
        <w:t xml:space="preserve">iodiversity </w:t>
      </w:r>
      <w:r>
        <w:rPr>
          <w:rFonts w:asciiTheme="majorBidi" w:hAnsiTheme="majorBidi" w:cstheme="majorBidi"/>
        </w:rPr>
        <w:t>F</w:t>
      </w:r>
      <w:r w:rsidRPr="00CA676A">
        <w:rPr>
          <w:rFonts w:asciiTheme="majorBidi" w:hAnsiTheme="majorBidi" w:cstheme="majorBidi"/>
        </w:rPr>
        <w:t xml:space="preserve">ramework. The present document provides guidance on revising or updating NBSAPs in the light of the </w:t>
      </w:r>
      <w:r w:rsidRPr="00CA676A">
        <w:rPr>
          <w:rFonts w:asciiTheme="majorBidi" w:hAnsiTheme="majorBidi" w:cstheme="majorBidi"/>
          <w:bCs/>
          <w:lang w:val="en-US"/>
        </w:rPr>
        <w:t>Kunming-Montreal</w:t>
      </w:r>
      <w:r w:rsidRPr="00E3500C">
        <w:rPr>
          <w:rFonts w:asciiTheme="majorBidi" w:hAnsiTheme="majorBidi" w:cstheme="majorBidi"/>
          <w:bCs/>
          <w:lang w:val="en-US"/>
        </w:rPr>
        <w:t xml:space="preserve"> </w:t>
      </w:r>
      <w:r>
        <w:rPr>
          <w:rFonts w:asciiTheme="majorBidi" w:hAnsiTheme="majorBidi" w:cstheme="majorBidi"/>
        </w:rPr>
        <w:t>G</w:t>
      </w:r>
      <w:r w:rsidRPr="00CA676A">
        <w:rPr>
          <w:rFonts w:asciiTheme="majorBidi" w:hAnsiTheme="majorBidi" w:cstheme="majorBidi"/>
        </w:rPr>
        <w:t xml:space="preserve">lobal </w:t>
      </w:r>
      <w:r>
        <w:rPr>
          <w:rFonts w:asciiTheme="majorBidi" w:hAnsiTheme="majorBidi" w:cstheme="majorBidi"/>
        </w:rPr>
        <w:t>B</w:t>
      </w:r>
      <w:r w:rsidRPr="00CA676A">
        <w:rPr>
          <w:rFonts w:asciiTheme="majorBidi" w:hAnsiTheme="majorBidi" w:cstheme="majorBidi"/>
        </w:rPr>
        <w:t xml:space="preserve">iodiversity </w:t>
      </w:r>
      <w:r>
        <w:rPr>
          <w:rFonts w:asciiTheme="majorBidi" w:hAnsiTheme="majorBidi" w:cstheme="majorBidi"/>
        </w:rPr>
        <w:t>F</w:t>
      </w:r>
      <w:r w:rsidRPr="00CA676A">
        <w:rPr>
          <w:rFonts w:asciiTheme="majorBidi" w:hAnsiTheme="majorBidi" w:cstheme="majorBidi"/>
        </w:rPr>
        <w:t>ramework. This guidance is in line with Article 6 of the Convention and complements previous decisions of the Conference of the Parties on various aspects of NBSAPs (in particular decision IX/8, para. 8, and decision X/2, para. 3). This guidance also takes into account calls to integrate and mainstream biosafety and access and benefit-sharing in NBSAPs pursuant to relevant decisions of the Conference of the Parties to the Convention and of the Conference of the Parties serving as the meetings of the Parties to the Cartagena Protocol on Biosafety and the Nagoya Protocol on Access and Benefit-sharing, as appropriate.</w:t>
      </w:r>
      <w:r w:rsidRPr="00610646">
        <w:rPr>
          <w:rStyle w:val="FootnoteReference"/>
        </w:rPr>
        <w:footnoteReference w:id="43"/>
      </w:r>
    </w:p>
    <w:p w14:paraId="7EC3D773" w14:textId="77777777" w:rsidR="00005A3C" w:rsidRPr="00CA676A" w:rsidRDefault="00005A3C" w:rsidP="009D6BD6">
      <w:pPr>
        <w:pStyle w:val="Para1"/>
        <w:numPr>
          <w:ilvl w:val="0"/>
          <w:numId w:val="0"/>
        </w:numPr>
        <w:shd w:val="clear" w:color="auto" w:fill="FFFFFF" w:themeFill="background1"/>
        <w:tabs>
          <w:tab w:val="left" w:pos="720"/>
        </w:tabs>
        <w:rPr>
          <w:rFonts w:asciiTheme="majorBidi" w:hAnsiTheme="majorBidi" w:cstheme="majorBidi"/>
          <w:color w:val="000000" w:themeColor="text1"/>
        </w:rPr>
      </w:pPr>
      <w:r w:rsidRPr="00CA676A">
        <w:rPr>
          <w:rFonts w:asciiTheme="majorBidi" w:hAnsiTheme="majorBidi" w:cstheme="majorBidi"/>
          <w:color w:val="000000" w:themeColor="text1"/>
        </w:rPr>
        <w:t>2.</w:t>
      </w:r>
      <w:r w:rsidRPr="00CA676A">
        <w:rPr>
          <w:rFonts w:asciiTheme="majorBidi" w:hAnsiTheme="majorBidi" w:cstheme="majorBidi"/>
          <w:color w:val="000000" w:themeColor="text1"/>
        </w:rPr>
        <w:tab/>
      </w:r>
      <w:r w:rsidRPr="00F37D69">
        <w:rPr>
          <w:rFonts w:asciiTheme="majorBidi" w:hAnsiTheme="majorBidi" w:cstheme="majorBidi"/>
        </w:rPr>
        <w:t>National biodiversity strategies and action plans</w:t>
      </w:r>
      <w:r w:rsidRPr="00CA676A">
        <w:rPr>
          <w:rFonts w:asciiTheme="majorBidi" w:hAnsiTheme="majorBidi" w:cstheme="majorBidi"/>
          <w:color w:val="000000" w:themeColor="text1"/>
        </w:rPr>
        <w:t xml:space="preserve"> should be seen as an umbrella process under which all national targets and actions relevant to the </w:t>
      </w:r>
      <w:r w:rsidRPr="00CA676A">
        <w:rPr>
          <w:rFonts w:asciiTheme="majorBidi" w:hAnsiTheme="majorBidi" w:cstheme="majorBidi"/>
          <w:bCs/>
          <w:lang w:val="en-US"/>
        </w:rPr>
        <w:t>Kunming-Montreal</w:t>
      </w:r>
      <w:r w:rsidRPr="00E3500C">
        <w:rPr>
          <w:rFonts w:asciiTheme="majorBidi" w:hAnsiTheme="majorBidi" w:cstheme="majorBidi"/>
          <w:bCs/>
          <w:lang w:val="en-US"/>
        </w:rPr>
        <w:t xml:space="preserve"> </w:t>
      </w:r>
      <w:r>
        <w:rPr>
          <w:rFonts w:asciiTheme="majorBidi" w:hAnsiTheme="majorBidi" w:cstheme="majorBidi"/>
          <w:color w:val="000000" w:themeColor="text1"/>
        </w:rPr>
        <w:t>G</w:t>
      </w:r>
      <w:r w:rsidRPr="00CA676A">
        <w:rPr>
          <w:rFonts w:asciiTheme="majorBidi" w:hAnsiTheme="majorBidi" w:cstheme="majorBidi"/>
          <w:color w:val="000000" w:themeColor="text1"/>
        </w:rPr>
        <w:t xml:space="preserve">lobal </w:t>
      </w:r>
      <w:r>
        <w:rPr>
          <w:rFonts w:asciiTheme="majorBidi" w:hAnsiTheme="majorBidi" w:cstheme="majorBidi"/>
          <w:color w:val="000000" w:themeColor="text1"/>
        </w:rPr>
        <w:t>B</w:t>
      </w:r>
      <w:r w:rsidRPr="00CA676A">
        <w:rPr>
          <w:rFonts w:asciiTheme="majorBidi" w:hAnsiTheme="majorBidi" w:cstheme="majorBidi"/>
          <w:color w:val="000000" w:themeColor="text1"/>
        </w:rPr>
        <w:t xml:space="preserve">iodiversity </w:t>
      </w:r>
      <w:r>
        <w:rPr>
          <w:rFonts w:asciiTheme="majorBidi" w:hAnsiTheme="majorBidi" w:cstheme="majorBidi"/>
          <w:color w:val="000000" w:themeColor="text1"/>
        </w:rPr>
        <w:t>F</w:t>
      </w:r>
      <w:r w:rsidRPr="00CA676A">
        <w:rPr>
          <w:rFonts w:asciiTheme="majorBidi" w:hAnsiTheme="majorBidi" w:cstheme="majorBidi"/>
          <w:color w:val="000000" w:themeColor="text1"/>
        </w:rPr>
        <w:t xml:space="preserve">ramework can be planned, implemented, monitored, reviewed and enhanced. </w:t>
      </w:r>
      <w:r>
        <w:rPr>
          <w:rFonts w:asciiTheme="majorBidi" w:hAnsiTheme="majorBidi" w:cstheme="majorBidi"/>
          <w:color w:val="000000" w:themeColor="text1"/>
          <w:lang w:val="en-US"/>
        </w:rPr>
        <w:t>They</w:t>
      </w:r>
      <w:r w:rsidRPr="00CA676A">
        <w:rPr>
          <w:rFonts w:asciiTheme="majorBidi" w:hAnsiTheme="majorBidi" w:cstheme="majorBidi"/>
          <w:color w:val="000000" w:themeColor="text1"/>
          <w:lang w:val="en-US"/>
        </w:rPr>
        <w:t xml:space="preserve"> are the main instrument through which Parties establish and communicate their national contribution towards the </w:t>
      </w:r>
      <w:r>
        <w:rPr>
          <w:rFonts w:asciiTheme="majorBidi" w:hAnsiTheme="majorBidi" w:cstheme="majorBidi"/>
          <w:color w:val="000000" w:themeColor="text1"/>
          <w:lang w:val="en-US"/>
        </w:rPr>
        <w:t>F</w:t>
      </w:r>
      <w:r w:rsidRPr="00CA676A">
        <w:rPr>
          <w:rFonts w:asciiTheme="majorBidi" w:hAnsiTheme="majorBidi" w:cstheme="majorBidi"/>
          <w:color w:val="000000" w:themeColor="text1"/>
          <w:lang w:val="en-US"/>
        </w:rPr>
        <w:t xml:space="preserve">ramework and its goals and targets. </w:t>
      </w:r>
      <w:r w:rsidRPr="00CA676A">
        <w:rPr>
          <w:rFonts w:asciiTheme="majorBidi" w:hAnsiTheme="majorBidi" w:cstheme="majorBidi"/>
          <w:color w:val="000000" w:themeColor="text1"/>
        </w:rPr>
        <w:t>They should involve and facilitate the engagement of all government sectors at all levels of government, and all stakeholders, indigenous peoples and local communities, women and youth across society</w:t>
      </w:r>
      <w:r>
        <w:rPr>
          <w:rFonts w:asciiTheme="majorBidi" w:hAnsiTheme="majorBidi" w:cstheme="majorBidi"/>
          <w:color w:val="000000" w:themeColor="text1"/>
        </w:rPr>
        <w:t>,</w:t>
      </w:r>
      <w:r w:rsidRPr="00CA676A">
        <w:rPr>
          <w:rFonts w:asciiTheme="majorBidi" w:hAnsiTheme="majorBidi" w:cstheme="majorBidi"/>
          <w:color w:val="000000" w:themeColor="text1"/>
        </w:rPr>
        <w:t xml:space="preserve"> to ensure that targets, actions and expected outcomes are coordinated, that the concerns of different actors are addressed, and that their ownership and commitment towards implementation are attained. The NBSAPs should promote synergies and planning across other biodiversity-related conventions and </w:t>
      </w:r>
      <w:r w:rsidRPr="00CA676A">
        <w:rPr>
          <w:rFonts w:asciiTheme="majorBidi" w:hAnsiTheme="majorBidi" w:cstheme="majorBidi"/>
          <w:color w:val="000000" w:themeColor="text1"/>
        </w:rPr>
        <w:lastRenderedPageBreak/>
        <w:t>multilateral environmental agreements (MEAs).</w:t>
      </w:r>
      <w:r w:rsidRPr="00610646">
        <w:rPr>
          <w:rStyle w:val="FootnoteReference"/>
        </w:rPr>
        <w:footnoteReference w:id="44"/>
      </w:r>
      <w:r w:rsidRPr="00CA676A">
        <w:rPr>
          <w:rFonts w:asciiTheme="majorBidi" w:hAnsiTheme="majorBidi" w:cstheme="majorBidi"/>
          <w:color w:val="000000" w:themeColor="text1"/>
        </w:rPr>
        <w:t xml:space="preserve"> Additionally, the NBSAP process should garner high-level political support, ensure </w:t>
      </w:r>
      <w:r w:rsidRPr="00CA676A">
        <w:rPr>
          <w:rFonts w:asciiTheme="majorBidi" w:hAnsiTheme="majorBidi" w:cstheme="majorBidi"/>
          <w:noProof/>
          <w:color w:val="000000" w:themeColor="text1"/>
        </w:rPr>
        <w:t>interministerial</w:t>
      </w:r>
      <w:r w:rsidRPr="00CA676A">
        <w:rPr>
          <w:rFonts w:asciiTheme="majorBidi" w:hAnsiTheme="majorBidi" w:cstheme="majorBidi"/>
          <w:color w:val="000000" w:themeColor="text1"/>
        </w:rPr>
        <w:t xml:space="preserve"> coordination and vertical integration, and facilitate implementation. </w:t>
      </w:r>
    </w:p>
    <w:p w14:paraId="3A2D42D3" w14:textId="77777777" w:rsidR="00005A3C" w:rsidRPr="00CA676A" w:rsidRDefault="00005A3C" w:rsidP="009D6BD6">
      <w:pPr>
        <w:pStyle w:val="Para1"/>
        <w:numPr>
          <w:ilvl w:val="0"/>
          <w:numId w:val="0"/>
        </w:numPr>
        <w:shd w:val="clear" w:color="auto" w:fill="FFFFFF" w:themeFill="background1"/>
        <w:tabs>
          <w:tab w:val="left" w:pos="720"/>
        </w:tabs>
        <w:rPr>
          <w:rFonts w:asciiTheme="majorBidi" w:hAnsiTheme="majorBidi" w:cstheme="majorBidi"/>
          <w:color w:val="000000" w:themeColor="text1"/>
        </w:rPr>
      </w:pPr>
      <w:r w:rsidRPr="00CA676A">
        <w:rPr>
          <w:rFonts w:asciiTheme="majorBidi" w:hAnsiTheme="majorBidi" w:cstheme="majorBidi"/>
          <w:color w:val="000000" w:themeColor="text1"/>
        </w:rPr>
        <w:t>3.</w:t>
      </w:r>
      <w:r w:rsidRPr="00CA676A">
        <w:rPr>
          <w:rFonts w:asciiTheme="majorBidi" w:hAnsiTheme="majorBidi" w:cstheme="majorBidi"/>
          <w:color w:val="000000" w:themeColor="text1"/>
        </w:rPr>
        <w:tab/>
      </w:r>
      <w:r w:rsidRPr="00F37D69">
        <w:rPr>
          <w:rFonts w:asciiTheme="majorBidi" w:hAnsiTheme="majorBidi" w:cstheme="majorBidi"/>
        </w:rPr>
        <w:t>National biodiversity strategies and action plans</w:t>
      </w:r>
      <w:r w:rsidRPr="00F37D69">
        <w:rPr>
          <w:rFonts w:asciiTheme="majorBidi" w:hAnsiTheme="majorBidi" w:cstheme="majorBidi"/>
          <w:color w:val="000000" w:themeColor="text1"/>
        </w:rPr>
        <w:t xml:space="preserve"> </w:t>
      </w:r>
      <w:r w:rsidRPr="00CA676A">
        <w:rPr>
          <w:rFonts w:asciiTheme="majorBidi" w:hAnsiTheme="majorBidi" w:cstheme="majorBidi"/>
          <w:color w:val="000000" w:themeColor="text1"/>
        </w:rPr>
        <w:t>should be revised or updated as needed</w:t>
      </w:r>
      <w:r>
        <w:rPr>
          <w:rFonts w:asciiTheme="majorBidi" w:hAnsiTheme="majorBidi" w:cstheme="majorBidi"/>
          <w:color w:val="000000" w:themeColor="text1"/>
        </w:rPr>
        <w:t>,</w:t>
      </w:r>
      <w:r w:rsidRPr="00CA676A">
        <w:rPr>
          <w:rFonts w:asciiTheme="majorBidi" w:hAnsiTheme="majorBidi" w:cstheme="majorBidi"/>
          <w:color w:val="000000" w:themeColor="text1"/>
        </w:rPr>
        <w:t xml:space="preserve"> without interrupting implementation. </w:t>
      </w:r>
    </w:p>
    <w:p w14:paraId="75696FCA" w14:textId="77777777" w:rsidR="00005A3C" w:rsidRPr="00CA676A" w:rsidRDefault="00005A3C" w:rsidP="009D6BD6">
      <w:pPr>
        <w:pStyle w:val="Para1"/>
        <w:numPr>
          <w:ilvl w:val="0"/>
          <w:numId w:val="0"/>
        </w:numPr>
        <w:shd w:val="clear" w:color="auto" w:fill="FFFFFF" w:themeFill="background1"/>
        <w:tabs>
          <w:tab w:val="left" w:pos="720"/>
        </w:tabs>
        <w:rPr>
          <w:rFonts w:asciiTheme="majorBidi" w:hAnsiTheme="majorBidi" w:cstheme="majorBidi"/>
        </w:rPr>
      </w:pPr>
      <w:r w:rsidRPr="00CA676A">
        <w:rPr>
          <w:rFonts w:asciiTheme="majorBidi" w:hAnsiTheme="majorBidi" w:cstheme="majorBidi"/>
        </w:rPr>
        <w:t>4.</w:t>
      </w:r>
      <w:r w:rsidRPr="00CA676A">
        <w:rPr>
          <w:rFonts w:asciiTheme="majorBidi" w:hAnsiTheme="majorBidi" w:cstheme="majorBidi"/>
        </w:rPr>
        <w:tab/>
        <w:t xml:space="preserve">In accordance with Articles 3, 6, 20 and 21 of the Convention, the revision or updating of NBSAPs to align with the </w:t>
      </w:r>
      <w:r w:rsidRPr="00CA676A">
        <w:rPr>
          <w:rFonts w:asciiTheme="majorBidi" w:hAnsiTheme="majorBidi" w:cstheme="majorBidi"/>
          <w:bCs/>
          <w:lang w:val="en-US"/>
        </w:rPr>
        <w:t>Kunming-Montreal</w:t>
      </w:r>
      <w:r w:rsidRPr="00E3500C">
        <w:rPr>
          <w:rFonts w:asciiTheme="majorBidi" w:hAnsiTheme="majorBidi" w:cstheme="majorBidi"/>
          <w:bCs/>
          <w:lang w:val="en-US"/>
        </w:rPr>
        <w:t xml:space="preserve"> </w:t>
      </w:r>
      <w:r w:rsidRPr="00CA676A">
        <w:rPr>
          <w:rFonts w:asciiTheme="majorBidi" w:hAnsiTheme="majorBidi" w:cstheme="majorBidi"/>
        </w:rPr>
        <w:t xml:space="preserve">Global Biodiversity Framework, including the corresponding national targets, should be self-determined by each Party in accordance with their particular conditions and capabilities. </w:t>
      </w:r>
    </w:p>
    <w:p w14:paraId="68F2A219" w14:textId="77777777" w:rsidR="00005A3C" w:rsidRPr="00CA676A" w:rsidRDefault="00005A3C" w:rsidP="00B3720D">
      <w:pPr>
        <w:shd w:val="clear" w:color="auto" w:fill="FFFFFF" w:themeFill="background1"/>
        <w:spacing w:before="120" w:after="120"/>
        <w:rPr>
          <w:rFonts w:asciiTheme="majorBidi" w:hAnsiTheme="majorBidi" w:cstheme="majorBidi"/>
          <w:color w:val="000000" w:themeColor="text1"/>
          <w:szCs w:val="22"/>
        </w:rPr>
      </w:pPr>
      <w:r w:rsidRPr="00CA676A">
        <w:rPr>
          <w:rFonts w:asciiTheme="majorBidi" w:hAnsiTheme="majorBidi" w:cstheme="majorBidi"/>
          <w:color w:val="000000" w:themeColor="text1"/>
          <w:szCs w:val="22"/>
        </w:rPr>
        <w:t xml:space="preserve">5. </w:t>
      </w:r>
      <w:r w:rsidRPr="00CA676A">
        <w:rPr>
          <w:rFonts w:asciiTheme="majorBidi" w:hAnsiTheme="majorBidi" w:cstheme="majorBidi"/>
          <w:color w:val="000000" w:themeColor="text1"/>
          <w:szCs w:val="22"/>
        </w:rPr>
        <w:tab/>
      </w:r>
      <w:r w:rsidRPr="00F37D69">
        <w:rPr>
          <w:rFonts w:asciiTheme="majorBidi" w:hAnsiTheme="majorBidi" w:cstheme="majorBidi"/>
          <w:szCs w:val="22"/>
        </w:rPr>
        <w:t>National biodiversity strategies and action plans</w:t>
      </w:r>
      <w:r w:rsidRPr="00CA676A">
        <w:rPr>
          <w:rFonts w:asciiTheme="majorBidi" w:hAnsiTheme="majorBidi" w:cstheme="majorBidi"/>
          <w:color w:val="000000" w:themeColor="text1"/>
          <w:szCs w:val="22"/>
        </w:rPr>
        <w:t xml:space="preserve"> should promote and support increased efforts and actions, </w:t>
      </w:r>
      <w:r>
        <w:rPr>
          <w:rFonts w:asciiTheme="majorBidi" w:hAnsiTheme="majorBidi" w:cstheme="majorBidi"/>
          <w:color w:val="000000" w:themeColor="text1"/>
          <w:szCs w:val="22"/>
        </w:rPr>
        <w:t xml:space="preserve">and </w:t>
      </w:r>
      <w:r w:rsidRPr="00CA676A">
        <w:rPr>
          <w:rFonts w:asciiTheme="majorBidi" w:hAnsiTheme="majorBidi" w:cstheme="majorBidi"/>
          <w:color w:val="000000" w:themeColor="text1"/>
          <w:szCs w:val="22"/>
        </w:rPr>
        <w:t>improved implementation and consistency over time, in a cooperative and flexible manner, ensuring responsibility and transparency of information on national targets reflecting</w:t>
      </w:r>
      <w:r>
        <w:rPr>
          <w:rFonts w:asciiTheme="majorBidi" w:hAnsiTheme="majorBidi" w:cstheme="majorBidi"/>
          <w:color w:val="000000" w:themeColor="text1"/>
          <w:szCs w:val="22"/>
        </w:rPr>
        <w:t>,</w:t>
      </w:r>
      <w:r w:rsidRPr="00CA676A">
        <w:rPr>
          <w:rFonts w:asciiTheme="majorBidi" w:hAnsiTheme="majorBidi" w:cstheme="majorBidi"/>
          <w:color w:val="000000" w:themeColor="text1"/>
          <w:szCs w:val="22"/>
        </w:rPr>
        <w:t xml:space="preserve"> as applicable</w:t>
      </w:r>
      <w:r>
        <w:rPr>
          <w:rFonts w:asciiTheme="majorBidi" w:hAnsiTheme="majorBidi" w:cstheme="majorBidi"/>
          <w:color w:val="000000" w:themeColor="text1"/>
          <w:szCs w:val="22"/>
        </w:rPr>
        <w:t>,</w:t>
      </w:r>
      <w:r w:rsidRPr="00CA676A">
        <w:rPr>
          <w:rFonts w:asciiTheme="majorBidi" w:hAnsiTheme="majorBidi" w:cstheme="majorBidi"/>
          <w:color w:val="000000" w:themeColor="text1"/>
          <w:szCs w:val="22"/>
        </w:rPr>
        <w:t xml:space="preserve"> all the goals and targets of the </w:t>
      </w:r>
      <w:r w:rsidRPr="00E3500C">
        <w:rPr>
          <w:rFonts w:asciiTheme="majorBidi" w:hAnsiTheme="majorBidi" w:cstheme="majorBidi"/>
          <w:bCs/>
          <w:snapToGrid w:val="0"/>
          <w:kern w:val="22"/>
          <w:szCs w:val="22"/>
          <w:lang w:val="en-US"/>
        </w:rPr>
        <w:t xml:space="preserve">Kunming-Montreal </w:t>
      </w:r>
      <w:r w:rsidRPr="00CA676A">
        <w:rPr>
          <w:rFonts w:asciiTheme="majorBidi" w:hAnsiTheme="majorBidi" w:cstheme="majorBidi"/>
          <w:bCs/>
          <w:snapToGrid w:val="0"/>
          <w:kern w:val="22"/>
          <w:szCs w:val="22"/>
        </w:rPr>
        <w:t>Global Biodiversity Framework</w:t>
      </w:r>
      <w:r w:rsidRPr="00CA676A" w:rsidDel="00D8126D">
        <w:rPr>
          <w:rFonts w:asciiTheme="majorBidi" w:hAnsiTheme="majorBidi" w:cstheme="majorBidi"/>
          <w:color w:val="000000" w:themeColor="text1"/>
          <w:szCs w:val="22"/>
        </w:rPr>
        <w:t xml:space="preserve"> </w:t>
      </w:r>
      <w:r w:rsidRPr="00CA676A">
        <w:rPr>
          <w:rFonts w:asciiTheme="majorBidi" w:hAnsiTheme="majorBidi" w:cstheme="majorBidi"/>
          <w:color w:val="000000" w:themeColor="text1"/>
          <w:szCs w:val="22"/>
        </w:rPr>
        <w:t xml:space="preserve">and including information regarding means of implementation for developing countries, in particular </w:t>
      </w:r>
      <w:r w:rsidRPr="00E3500C">
        <w:rPr>
          <w:rFonts w:asciiTheme="majorBidi" w:hAnsiTheme="majorBidi" w:cstheme="majorBidi"/>
          <w:bCs/>
          <w:iCs/>
          <w:snapToGrid w:val="0"/>
          <w:kern w:val="22"/>
          <w:szCs w:val="22"/>
          <w:lang w:val="en-US"/>
        </w:rPr>
        <w:t xml:space="preserve">the least developed countries and small island developing </w:t>
      </w:r>
      <w:r w:rsidRPr="00CA676A">
        <w:rPr>
          <w:rFonts w:asciiTheme="majorBidi" w:hAnsiTheme="majorBidi" w:cstheme="majorBidi"/>
          <w:bCs/>
          <w:iCs/>
          <w:snapToGrid w:val="0"/>
          <w:kern w:val="22"/>
          <w:szCs w:val="22"/>
          <w:lang w:val="en-US"/>
        </w:rPr>
        <w:t>S</w:t>
      </w:r>
      <w:r w:rsidRPr="00E3500C">
        <w:rPr>
          <w:rFonts w:asciiTheme="majorBidi" w:hAnsiTheme="majorBidi" w:cstheme="majorBidi"/>
          <w:bCs/>
          <w:iCs/>
          <w:snapToGrid w:val="0"/>
          <w:kern w:val="22"/>
          <w:szCs w:val="22"/>
          <w:lang w:val="en-US"/>
        </w:rPr>
        <w:t>tates</w:t>
      </w:r>
      <w:r w:rsidRPr="00CA676A" w:rsidDel="00D8126D">
        <w:rPr>
          <w:rFonts w:asciiTheme="majorBidi" w:hAnsiTheme="majorBidi" w:cstheme="majorBidi"/>
          <w:color w:val="000000" w:themeColor="text1"/>
          <w:szCs w:val="22"/>
        </w:rPr>
        <w:t xml:space="preserve"> </w:t>
      </w:r>
      <w:r w:rsidRPr="00CA676A">
        <w:rPr>
          <w:rFonts w:asciiTheme="majorBidi" w:hAnsiTheme="majorBidi" w:cstheme="majorBidi"/>
          <w:color w:val="000000" w:themeColor="text1"/>
          <w:szCs w:val="22"/>
        </w:rPr>
        <w:t>in line with the relevant Articles</w:t>
      </w:r>
      <w:r w:rsidRPr="00CA676A" w:rsidDel="00125CED">
        <w:rPr>
          <w:rFonts w:asciiTheme="majorBidi" w:hAnsiTheme="majorBidi" w:cstheme="majorBidi"/>
          <w:color w:val="000000" w:themeColor="text1"/>
          <w:szCs w:val="22"/>
        </w:rPr>
        <w:t xml:space="preserve"> </w:t>
      </w:r>
      <w:r w:rsidRPr="00CA676A">
        <w:rPr>
          <w:rFonts w:asciiTheme="majorBidi" w:hAnsiTheme="majorBidi" w:cstheme="majorBidi"/>
          <w:color w:val="000000" w:themeColor="text1"/>
          <w:szCs w:val="22"/>
        </w:rPr>
        <w:t xml:space="preserve">of the Convention. </w:t>
      </w:r>
    </w:p>
    <w:p w14:paraId="3F4193E4" w14:textId="77777777" w:rsidR="00005A3C" w:rsidRPr="00CA676A" w:rsidRDefault="00005A3C" w:rsidP="009D6BD6">
      <w:pPr>
        <w:pStyle w:val="Para1"/>
        <w:numPr>
          <w:ilvl w:val="0"/>
          <w:numId w:val="0"/>
        </w:numPr>
        <w:shd w:val="clear" w:color="auto" w:fill="FFFFFF" w:themeFill="background1"/>
        <w:tabs>
          <w:tab w:val="left" w:pos="720"/>
        </w:tabs>
        <w:rPr>
          <w:rFonts w:asciiTheme="majorBidi" w:hAnsiTheme="majorBidi" w:cstheme="majorBidi"/>
        </w:rPr>
      </w:pPr>
      <w:r w:rsidRPr="00CA676A">
        <w:rPr>
          <w:rFonts w:asciiTheme="majorBidi" w:hAnsiTheme="majorBidi" w:cstheme="majorBidi"/>
        </w:rPr>
        <w:t>6.</w:t>
      </w:r>
      <w:r w:rsidRPr="00CA676A">
        <w:rPr>
          <w:rFonts w:asciiTheme="majorBidi" w:hAnsiTheme="majorBidi" w:cstheme="majorBidi"/>
        </w:rPr>
        <w:tab/>
        <w:t xml:space="preserve">Revised or updated NBSAPs following the adoption of the </w:t>
      </w:r>
      <w:r w:rsidRPr="00CA676A">
        <w:rPr>
          <w:rFonts w:asciiTheme="majorBidi" w:hAnsiTheme="majorBidi" w:cstheme="majorBidi"/>
          <w:bCs/>
          <w:lang w:val="en-US"/>
        </w:rPr>
        <w:t>Kunming-Montreal</w:t>
      </w:r>
      <w:r w:rsidRPr="00E3500C">
        <w:rPr>
          <w:rFonts w:asciiTheme="majorBidi" w:hAnsiTheme="majorBidi" w:cstheme="majorBidi"/>
          <w:bCs/>
          <w:lang w:val="en-US"/>
        </w:rPr>
        <w:t xml:space="preserve"> </w:t>
      </w:r>
      <w:r w:rsidRPr="00CA676A">
        <w:rPr>
          <w:rFonts w:asciiTheme="majorBidi" w:hAnsiTheme="majorBidi" w:cstheme="majorBidi"/>
        </w:rPr>
        <w:t>Global Biodiversity Framework should contain the following common elements in order to ensure the utility of NBSAPs in the enhanced implementation, monitoring, reporting and review mechanism, while retaining their flexibility and their principal role as national implementation vehicles:</w:t>
      </w:r>
    </w:p>
    <w:p w14:paraId="51D36081" w14:textId="77777777" w:rsidR="00005A3C" w:rsidRPr="00CA676A" w:rsidRDefault="00005A3C" w:rsidP="009D6BD6">
      <w:pPr>
        <w:shd w:val="clear" w:color="auto" w:fill="FFFFFF" w:themeFill="background1"/>
        <w:spacing w:before="120" w:after="120"/>
        <w:ind w:firstLine="720"/>
        <w:rPr>
          <w:rFonts w:asciiTheme="majorBidi" w:hAnsiTheme="majorBidi" w:cstheme="majorBidi"/>
          <w:szCs w:val="22"/>
        </w:rPr>
      </w:pPr>
      <w:r w:rsidRPr="00CA676A">
        <w:rPr>
          <w:rFonts w:asciiTheme="majorBidi" w:hAnsiTheme="majorBidi" w:cstheme="majorBidi"/>
          <w:szCs w:val="22"/>
        </w:rPr>
        <w:t xml:space="preserve">(a) </w:t>
      </w:r>
      <w:r w:rsidRPr="00CA676A">
        <w:rPr>
          <w:rFonts w:asciiTheme="majorBidi" w:hAnsiTheme="majorBidi" w:cstheme="majorBidi"/>
          <w:szCs w:val="22"/>
        </w:rPr>
        <w:tab/>
        <w:t xml:space="preserve">National targets addressing or contributing towards each of the goals and targets of the </w:t>
      </w:r>
      <w:r w:rsidRPr="00CA676A">
        <w:rPr>
          <w:rFonts w:asciiTheme="majorBidi" w:hAnsiTheme="majorBidi" w:cstheme="majorBidi"/>
          <w:bCs/>
          <w:snapToGrid w:val="0"/>
          <w:kern w:val="22"/>
          <w:szCs w:val="22"/>
          <w:lang w:val="en-US"/>
        </w:rPr>
        <w:t xml:space="preserve">Kunming-Montreal </w:t>
      </w:r>
      <w:r w:rsidRPr="00CA676A">
        <w:rPr>
          <w:rFonts w:asciiTheme="majorBidi" w:hAnsiTheme="majorBidi" w:cstheme="majorBidi"/>
          <w:szCs w:val="22"/>
        </w:rPr>
        <w:t>Global Biodiversity Framework and ensuring close alignment where possible, taking into account</w:t>
      </w:r>
      <w:r w:rsidRPr="00CA676A" w:rsidDel="00962A5D">
        <w:rPr>
          <w:rFonts w:asciiTheme="majorBidi" w:hAnsiTheme="majorBidi" w:cstheme="majorBidi"/>
          <w:szCs w:val="22"/>
        </w:rPr>
        <w:t xml:space="preserve"> </w:t>
      </w:r>
      <w:r w:rsidRPr="00CA676A">
        <w:rPr>
          <w:rFonts w:asciiTheme="majorBidi" w:hAnsiTheme="majorBidi" w:cstheme="majorBidi"/>
          <w:szCs w:val="22"/>
        </w:rPr>
        <w:t>the availability of resources and means of implementation. Some Parties may wish to distinguish those targets and actions that will be implemented with already identified resources from those which they will only be able to achieve or implement if additional resources become available.</w:t>
      </w:r>
      <w:r w:rsidRPr="00CA676A" w:rsidDel="00422DDF">
        <w:rPr>
          <w:rFonts w:asciiTheme="majorBidi" w:hAnsiTheme="majorBidi" w:cstheme="majorBidi"/>
          <w:szCs w:val="22"/>
        </w:rPr>
        <w:t xml:space="preserve"> </w:t>
      </w:r>
      <w:r w:rsidRPr="00CA676A">
        <w:rPr>
          <w:rFonts w:asciiTheme="majorBidi" w:hAnsiTheme="majorBidi" w:cstheme="majorBidi"/>
          <w:szCs w:val="22"/>
        </w:rPr>
        <w:t>National targets may leverage commitments made under other intergovernmental processes</w:t>
      </w:r>
      <w:r>
        <w:rPr>
          <w:rFonts w:asciiTheme="majorBidi" w:hAnsiTheme="majorBidi" w:cstheme="majorBidi"/>
          <w:szCs w:val="22"/>
        </w:rPr>
        <w:t xml:space="preserve"> and</w:t>
      </w:r>
      <w:r w:rsidRPr="00CA676A">
        <w:rPr>
          <w:rFonts w:asciiTheme="majorBidi" w:hAnsiTheme="majorBidi" w:cstheme="majorBidi"/>
          <w:szCs w:val="22"/>
        </w:rPr>
        <w:t xml:space="preserve"> relevant multilateral environmental agreements, including the Rio conventions</w:t>
      </w:r>
      <w:r>
        <w:rPr>
          <w:rFonts w:asciiTheme="majorBidi" w:hAnsiTheme="majorBidi" w:cstheme="majorBidi"/>
          <w:szCs w:val="22"/>
        </w:rPr>
        <w:t>;</w:t>
      </w:r>
      <w:r w:rsidRPr="00CA676A">
        <w:rPr>
          <w:rFonts w:asciiTheme="majorBidi" w:hAnsiTheme="majorBidi" w:cstheme="majorBidi"/>
          <w:szCs w:val="22"/>
        </w:rPr>
        <w:t xml:space="preserve"> </w:t>
      </w:r>
    </w:p>
    <w:p w14:paraId="352A0410" w14:textId="77777777" w:rsidR="00005A3C" w:rsidRPr="00CA676A" w:rsidRDefault="00005A3C" w:rsidP="00CA676A">
      <w:pPr>
        <w:shd w:val="clear" w:color="auto" w:fill="FFFFFF" w:themeFill="background1"/>
        <w:spacing w:before="120" w:after="120"/>
        <w:ind w:firstLine="720"/>
        <w:rPr>
          <w:rFonts w:asciiTheme="majorBidi" w:hAnsiTheme="majorBidi" w:cstheme="majorBidi"/>
          <w:szCs w:val="22"/>
        </w:rPr>
      </w:pPr>
      <w:r w:rsidRPr="00CA676A">
        <w:rPr>
          <w:rFonts w:asciiTheme="majorBidi" w:hAnsiTheme="majorBidi" w:cstheme="majorBidi"/>
          <w:szCs w:val="22"/>
        </w:rPr>
        <w:t>(b)</w:t>
      </w:r>
      <w:r w:rsidRPr="00CA676A">
        <w:rPr>
          <w:rFonts w:asciiTheme="majorBidi" w:hAnsiTheme="majorBidi" w:cstheme="majorBidi"/>
          <w:szCs w:val="22"/>
        </w:rPr>
        <w:tab/>
        <w:t>Concrete actions, policies and programmes</w:t>
      </w:r>
      <w:r w:rsidRPr="00CA676A">
        <w:rPr>
          <w:rFonts w:asciiTheme="majorBidi" w:hAnsiTheme="majorBidi" w:cstheme="majorBidi"/>
          <w:i/>
          <w:iCs/>
          <w:szCs w:val="22"/>
        </w:rPr>
        <w:t xml:space="preserve"> </w:t>
      </w:r>
      <w:r w:rsidRPr="00CA676A">
        <w:rPr>
          <w:rFonts w:asciiTheme="majorBidi" w:hAnsiTheme="majorBidi" w:cstheme="majorBidi"/>
          <w:szCs w:val="22"/>
        </w:rPr>
        <w:t xml:space="preserve">designed to meet the national targets and contribute to the global goals and targets, including spatial, temporal and financial aspects, as appropriate. The development of these actions should go hand in hand with the identification of financing and capacity gaps and the development of national finance plans, or similar instruments, </w:t>
      </w:r>
      <w:r w:rsidRPr="00CA676A">
        <w:rPr>
          <w:rFonts w:asciiTheme="majorBidi" w:hAnsiTheme="majorBidi" w:cstheme="majorBidi"/>
          <w:iCs/>
          <w:szCs w:val="22"/>
        </w:rPr>
        <w:t>as well as capacity-building and development plans</w:t>
      </w:r>
      <w:r w:rsidRPr="00CA676A">
        <w:rPr>
          <w:rFonts w:asciiTheme="majorBidi" w:hAnsiTheme="majorBidi" w:cstheme="majorBidi"/>
          <w:szCs w:val="22"/>
        </w:rPr>
        <w:t>. This should also include the provision of finance and other means of implementation;</w:t>
      </w:r>
    </w:p>
    <w:p w14:paraId="27EAB36E" w14:textId="77777777" w:rsidR="00005A3C" w:rsidRPr="00CA676A" w:rsidRDefault="00005A3C" w:rsidP="009D6BD6">
      <w:pPr>
        <w:keepNext/>
        <w:shd w:val="clear" w:color="auto" w:fill="FFFFFF" w:themeFill="background1"/>
        <w:spacing w:before="120" w:after="120"/>
        <w:ind w:firstLine="720"/>
        <w:rPr>
          <w:rFonts w:asciiTheme="majorBidi" w:hAnsiTheme="majorBidi" w:cstheme="majorBidi"/>
          <w:szCs w:val="22"/>
        </w:rPr>
      </w:pPr>
      <w:r w:rsidRPr="00CA676A">
        <w:rPr>
          <w:rFonts w:asciiTheme="majorBidi" w:hAnsiTheme="majorBidi" w:cstheme="majorBidi"/>
          <w:szCs w:val="22"/>
        </w:rPr>
        <w:t xml:space="preserve">(c) </w:t>
      </w:r>
      <w:r w:rsidRPr="00CA676A">
        <w:rPr>
          <w:rFonts w:asciiTheme="majorBidi" w:hAnsiTheme="majorBidi" w:cstheme="majorBidi"/>
          <w:szCs w:val="22"/>
        </w:rPr>
        <w:tab/>
        <w:t xml:space="preserve">National monitoring, reviewing and assessment. </w:t>
      </w:r>
      <w:r w:rsidRPr="00CA676A">
        <w:rPr>
          <w:rStyle w:val="normaltextrun"/>
          <w:rFonts w:asciiTheme="majorBidi" w:eastAsiaTheme="majorEastAsia" w:hAnsiTheme="majorBidi" w:cstheme="majorBidi"/>
          <w:color w:val="000000" w:themeColor="text1"/>
          <w:szCs w:val="22"/>
        </w:rPr>
        <w:t xml:space="preserve">While revising or updating NBSAPs, headline indicators as well as </w:t>
      </w:r>
      <w:r w:rsidRPr="00CA676A">
        <w:rPr>
          <w:rFonts w:asciiTheme="majorBidi" w:hAnsiTheme="majorBidi" w:cstheme="majorBidi"/>
          <w:color w:val="000000" w:themeColor="text1"/>
          <w:szCs w:val="22"/>
        </w:rPr>
        <w:t>component, complementary and other national indicators</w:t>
      </w:r>
      <w:r>
        <w:rPr>
          <w:rFonts w:asciiTheme="majorBidi" w:hAnsiTheme="majorBidi" w:cstheme="majorBidi"/>
          <w:color w:val="000000" w:themeColor="text1"/>
          <w:szCs w:val="22"/>
        </w:rPr>
        <w:t>,</w:t>
      </w:r>
      <w:r w:rsidRPr="00CA676A">
        <w:rPr>
          <w:rFonts w:asciiTheme="majorBidi" w:hAnsiTheme="majorBidi" w:cstheme="majorBidi"/>
          <w:color w:val="000000" w:themeColor="text1"/>
          <w:szCs w:val="22"/>
        </w:rPr>
        <w:t xml:space="preserve"> where relevant</w:t>
      </w:r>
      <w:r>
        <w:rPr>
          <w:rFonts w:asciiTheme="majorBidi" w:hAnsiTheme="majorBidi" w:cstheme="majorBidi"/>
          <w:color w:val="000000" w:themeColor="text1"/>
          <w:szCs w:val="22"/>
        </w:rPr>
        <w:t>,</w:t>
      </w:r>
      <w:r w:rsidRPr="00CA676A">
        <w:rPr>
          <w:rFonts w:asciiTheme="majorBidi" w:hAnsiTheme="majorBidi" w:cstheme="majorBidi"/>
          <w:color w:val="000000" w:themeColor="text1"/>
          <w:szCs w:val="22"/>
        </w:rPr>
        <w:t xml:space="preserve"> </w:t>
      </w:r>
      <w:r w:rsidRPr="00CA676A">
        <w:rPr>
          <w:rStyle w:val="normaltextrun"/>
          <w:rFonts w:asciiTheme="majorBidi" w:eastAsiaTheme="majorEastAsia" w:hAnsiTheme="majorBidi" w:cstheme="majorBidi"/>
          <w:color w:val="000000" w:themeColor="text1"/>
          <w:szCs w:val="22"/>
        </w:rPr>
        <w:t xml:space="preserve">should be used, including to track contributions towards the goals and targets of the </w:t>
      </w:r>
      <w:r w:rsidRPr="00CA676A">
        <w:rPr>
          <w:rFonts w:asciiTheme="majorBidi" w:hAnsiTheme="majorBidi" w:cstheme="majorBidi"/>
          <w:bCs/>
          <w:snapToGrid w:val="0"/>
          <w:kern w:val="22"/>
          <w:szCs w:val="22"/>
          <w:lang w:val="en-US"/>
        </w:rPr>
        <w:t xml:space="preserve">Kunming-Montreal </w:t>
      </w:r>
      <w:r w:rsidRPr="00CA676A">
        <w:rPr>
          <w:rStyle w:val="normaltextrun"/>
          <w:rFonts w:asciiTheme="majorBidi" w:eastAsiaTheme="majorEastAsia" w:hAnsiTheme="majorBidi" w:cstheme="majorBidi"/>
          <w:color w:val="000000" w:themeColor="text1"/>
          <w:szCs w:val="22"/>
        </w:rPr>
        <w:t xml:space="preserve">Global Biodiversity Framework, taking into account national circumstances. </w:t>
      </w:r>
      <w:r w:rsidRPr="00CA676A">
        <w:rPr>
          <w:rFonts w:asciiTheme="majorBidi" w:hAnsiTheme="majorBidi" w:cstheme="majorBidi"/>
          <w:szCs w:val="22"/>
        </w:rPr>
        <w:t>NBSAPs may identify the relevant agencies responsible for collecting the data and compiling these indicators, any need for further development of such indicators, and any capacity</w:t>
      </w:r>
      <w:r>
        <w:rPr>
          <w:rFonts w:asciiTheme="majorBidi" w:hAnsiTheme="majorBidi" w:cstheme="majorBidi"/>
          <w:szCs w:val="22"/>
        </w:rPr>
        <w:t xml:space="preserve"> </w:t>
      </w:r>
      <w:r w:rsidRPr="00CA676A">
        <w:rPr>
          <w:rFonts w:asciiTheme="majorBidi" w:hAnsiTheme="majorBidi" w:cstheme="majorBidi"/>
          <w:szCs w:val="22"/>
        </w:rPr>
        <w:t xml:space="preserve">development needs. </w:t>
      </w:r>
    </w:p>
    <w:p w14:paraId="71F23FBA" w14:textId="77777777" w:rsidR="00005A3C" w:rsidRPr="00CA676A" w:rsidRDefault="00005A3C" w:rsidP="009D6BD6">
      <w:pPr>
        <w:pStyle w:val="Para1"/>
        <w:numPr>
          <w:ilvl w:val="0"/>
          <w:numId w:val="0"/>
        </w:numPr>
        <w:shd w:val="clear" w:color="auto" w:fill="FFFFFF" w:themeFill="background1"/>
        <w:tabs>
          <w:tab w:val="left" w:pos="720"/>
        </w:tabs>
        <w:rPr>
          <w:rFonts w:asciiTheme="majorBidi" w:eastAsia="Calibri" w:hAnsiTheme="majorBidi" w:cstheme="majorBidi"/>
        </w:rPr>
      </w:pPr>
      <w:r w:rsidRPr="00CA676A">
        <w:rPr>
          <w:rFonts w:asciiTheme="majorBidi" w:eastAsia="Calibri" w:hAnsiTheme="majorBidi" w:cstheme="majorBidi"/>
        </w:rPr>
        <w:t>7.</w:t>
      </w:r>
      <w:r w:rsidRPr="00CA676A">
        <w:rPr>
          <w:rFonts w:asciiTheme="majorBidi" w:eastAsia="Calibri" w:hAnsiTheme="majorBidi" w:cstheme="majorBidi"/>
        </w:rPr>
        <w:tab/>
      </w:r>
      <w:r w:rsidRPr="00CA676A">
        <w:rPr>
          <w:rFonts w:asciiTheme="majorBidi" w:hAnsiTheme="majorBidi" w:cstheme="majorBidi"/>
          <w:color w:val="000000" w:themeColor="text1"/>
        </w:rPr>
        <w:t xml:space="preserve">In order to minimize the time and resources required to revise or update NBSAPs, the alignment of existing NBSAPs and their targets with the new framework could be assessed. This assessment should consider, according to national circumstances, elements such as implementation gaps, existing goals, targets and indicators, the effectiveness of past actions, monitoring systems (including any data and/or knowledge systems and gaps), sectoral and cross-sectoral policies, finance and other means of implementation, and an assessment of how stakeholders, indigenous peoples and local communities, women and youth were involved in </w:t>
      </w:r>
      <w:r>
        <w:rPr>
          <w:rFonts w:asciiTheme="majorBidi" w:hAnsiTheme="majorBidi" w:cstheme="majorBidi"/>
          <w:color w:val="000000" w:themeColor="text1"/>
        </w:rPr>
        <w:t xml:space="preserve">the </w:t>
      </w:r>
      <w:r w:rsidRPr="00CA676A">
        <w:rPr>
          <w:rFonts w:asciiTheme="majorBidi" w:hAnsiTheme="majorBidi" w:cstheme="majorBidi"/>
          <w:color w:val="000000" w:themeColor="text1"/>
        </w:rPr>
        <w:t>revision and implementation. This exercise will allow</w:t>
      </w:r>
      <w:r>
        <w:rPr>
          <w:rFonts w:asciiTheme="majorBidi" w:hAnsiTheme="majorBidi" w:cstheme="majorBidi"/>
          <w:color w:val="000000" w:themeColor="text1"/>
        </w:rPr>
        <w:t xml:space="preserve"> the</w:t>
      </w:r>
      <w:r w:rsidRPr="00CA676A">
        <w:rPr>
          <w:rFonts w:asciiTheme="majorBidi" w:hAnsiTheme="majorBidi" w:cstheme="majorBidi"/>
          <w:color w:val="000000" w:themeColor="text1"/>
        </w:rPr>
        <w:t xml:space="preserve"> identification of those aspects or components of their NBSAPs that need to be revised or updated in the light of the new framework.</w:t>
      </w:r>
    </w:p>
    <w:p w14:paraId="7583A852" w14:textId="77777777" w:rsidR="00005A3C" w:rsidRPr="00CA676A" w:rsidRDefault="00005A3C" w:rsidP="009D6BD6">
      <w:pPr>
        <w:pStyle w:val="Para1"/>
        <w:numPr>
          <w:ilvl w:val="0"/>
          <w:numId w:val="0"/>
        </w:numPr>
        <w:shd w:val="clear" w:color="auto" w:fill="FFFFFF" w:themeFill="background1"/>
        <w:tabs>
          <w:tab w:val="left" w:pos="720"/>
        </w:tabs>
        <w:rPr>
          <w:rFonts w:asciiTheme="majorBidi" w:hAnsiTheme="majorBidi" w:cstheme="majorBidi"/>
        </w:rPr>
      </w:pPr>
      <w:r w:rsidRPr="00CA676A">
        <w:rPr>
          <w:rFonts w:asciiTheme="majorBidi" w:hAnsiTheme="majorBidi" w:cstheme="majorBidi"/>
        </w:rPr>
        <w:lastRenderedPageBreak/>
        <w:t>8.</w:t>
      </w:r>
      <w:r w:rsidRPr="00CA676A">
        <w:rPr>
          <w:rFonts w:asciiTheme="majorBidi" w:hAnsiTheme="majorBidi" w:cstheme="majorBidi"/>
        </w:rPr>
        <w:tab/>
        <w:t xml:space="preserve">Parties may take into account different value systems, to revise or update, implement and review their NBSAPs. This may involve a national coordination mechanism, including representatives of key government ministries and other authorities at all levels, national gender and biodiversity focal points, traditional knowledge focal points, national focal points for the Cartagena and Nagoya Protocols, national focal points of the biodiversity-related conventions and </w:t>
      </w:r>
      <w:r>
        <w:rPr>
          <w:rFonts w:asciiTheme="majorBidi" w:hAnsiTheme="majorBidi" w:cstheme="majorBidi"/>
        </w:rPr>
        <w:t xml:space="preserve">the </w:t>
      </w:r>
      <w:r w:rsidRPr="00CA676A">
        <w:rPr>
          <w:rFonts w:asciiTheme="majorBidi" w:hAnsiTheme="majorBidi" w:cstheme="majorBidi"/>
        </w:rPr>
        <w:t>Rio conventions and for the Sustainable Development Goals, representatives of national statistical institutes and other data holders, indigenous peoples and local communities, non-governmental organizations, women’s groups, youth groups, the business and finance community, the scientific community, academia, faith-based organizations, representatives of sectors related to or dependent on biodiversity, citizens at large, and stakeholders.</w:t>
      </w:r>
    </w:p>
    <w:p w14:paraId="56DD4567" w14:textId="77777777" w:rsidR="00005A3C" w:rsidRPr="00CA676A" w:rsidRDefault="00005A3C" w:rsidP="009D6BD6">
      <w:pPr>
        <w:pStyle w:val="Para1"/>
        <w:numPr>
          <w:ilvl w:val="0"/>
          <w:numId w:val="0"/>
        </w:numPr>
        <w:shd w:val="clear" w:color="auto" w:fill="FFFFFF" w:themeFill="background1"/>
        <w:tabs>
          <w:tab w:val="left" w:pos="720"/>
        </w:tabs>
        <w:rPr>
          <w:rFonts w:asciiTheme="majorBidi" w:hAnsiTheme="majorBidi" w:cstheme="majorBidi"/>
        </w:rPr>
      </w:pPr>
      <w:r w:rsidRPr="00CA676A">
        <w:rPr>
          <w:rFonts w:asciiTheme="majorBidi" w:hAnsiTheme="majorBidi" w:cstheme="majorBidi"/>
        </w:rPr>
        <w:t>9.</w:t>
      </w:r>
      <w:r w:rsidRPr="00CA676A">
        <w:rPr>
          <w:rFonts w:asciiTheme="majorBidi" w:hAnsiTheme="majorBidi" w:cstheme="majorBidi"/>
        </w:rPr>
        <w:tab/>
        <w:t>Synergies among NBSAPs and the planning and implementation mechanisms of the other biodiversity-related conventions, Rio conventions and other relevant multilateral environmental agreements, and the Sustainable Development Goals should be identified and utilized to maximize efficiency and coherence.</w:t>
      </w:r>
    </w:p>
    <w:p w14:paraId="01BC64C0" w14:textId="77777777" w:rsidR="00005A3C" w:rsidRPr="00CA676A" w:rsidRDefault="00005A3C" w:rsidP="009D6BD6">
      <w:pPr>
        <w:pStyle w:val="Para1"/>
        <w:numPr>
          <w:ilvl w:val="0"/>
          <w:numId w:val="0"/>
        </w:numPr>
        <w:shd w:val="clear" w:color="auto" w:fill="FFFFFF" w:themeFill="background1"/>
        <w:tabs>
          <w:tab w:val="left" w:pos="720"/>
        </w:tabs>
        <w:rPr>
          <w:rFonts w:asciiTheme="majorBidi" w:hAnsiTheme="majorBidi" w:cstheme="majorBidi"/>
        </w:rPr>
      </w:pPr>
      <w:r w:rsidRPr="00CA676A">
        <w:rPr>
          <w:rFonts w:asciiTheme="majorBidi" w:hAnsiTheme="majorBidi" w:cstheme="majorBidi"/>
        </w:rPr>
        <w:t>10.</w:t>
      </w:r>
      <w:r w:rsidRPr="00CA676A">
        <w:rPr>
          <w:rFonts w:asciiTheme="majorBidi" w:hAnsiTheme="majorBidi" w:cstheme="majorBidi"/>
        </w:rPr>
        <w:tab/>
        <w:t>Information on commitments from non-</w:t>
      </w:r>
      <w:r>
        <w:rPr>
          <w:rFonts w:asciiTheme="majorBidi" w:hAnsiTheme="majorBidi" w:cstheme="majorBidi"/>
        </w:rPr>
        <w:t>S</w:t>
      </w:r>
      <w:r w:rsidRPr="00CA676A">
        <w:rPr>
          <w:rFonts w:asciiTheme="majorBidi" w:hAnsiTheme="majorBidi" w:cstheme="majorBidi"/>
        </w:rPr>
        <w:t>tate actors may be a useful source of information for revising or updating NBSAPs. Additionally, Parties may include these commitments in their national targets, or they could be maintained as separate commitments from actors beyond the national Government, as appropriate to national circumstances. Double counting of commitments from non-</w:t>
      </w:r>
      <w:r>
        <w:rPr>
          <w:rFonts w:asciiTheme="majorBidi" w:hAnsiTheme="majorBidi" w:cstheme="majorBidi"/>
        </w:rPr>
        <w:t>S</w:t>
      </w:r>
      <w:r w:rsidRPr="00CA676A">
        <w:rPr>
          <w:rFonts w:asciiTheme="majorBidi" w:hAnsiTheme="majorBidi" w:cstheme="majorBidi"/>
        </w:rPr>
        <w:t>tate actors should be avoided.</w:t>
      </w:r>
    </w:p>
    <w:p w14:paraId="4F808247" w14:textId="77777777" w:rsidR="00005A3C" w:rsidRPr="00CA676A" w:rsidRDefault="00005A3C" w:rsidP="009D6BD6">
      <w:pPr>
        <w:keepNext/>
        <w:shd w:val="clear" w:color="auto" w:fill="FFFFFF" w:themeFill="background1"/>
        <w:spacing w:before="240" w:after="120"/>
        <w:jc w:val="center"/>
        <w:rPr>
          <w:rFonts w:ascii="Calibri" w:eastAsia="DengXian" w:hAnsi="Calibri"/>
          <w:b/>
          <w:kern w:val="22"/>
          <w:szCs w:val="22"/>
          <w:lang w:val="en-US"/>
        </w:rPr>
      </w:pPr>
      <w:r w:rsidRPr="00CA676A">
        <w:rPr>
          <w:rFonts w:ascii="Times New Roman Bold" w:hAnsi="Times New Roman Bold"/>
          <w:b/>
          <w:bCs/>
          <w:caps/>
          <w:szCs w:val="22"/>
        </w:rPr>
        <w:t xml:space="preserve">template for submission of national targets as part of </w:t>
      </w:r>
      <w:r w:rsidRPr="00F44A8E">
        <w:rPr>
          <w:rFonts w:ascii="Times New Roman Bold" w:hAnsi="Times New Roman Bold"/>
          <w:b/>
          <w:bCs/>
          <w:caps/>
          <w:szCs w:val="22"/>
        </w:rPr>
        <w:t>National biodiversity strategies and action plans</w:t>
      </w:r>
      <w:r w:rsidRPr="00610646">
        <w:rPr>
          <w:rStyle w:val="FootnoteReference"/>
        </w:rPr>
        <w:footnoteReference w:id="45"/>
      </w:r>
      <w:r w:rsidRPr="00CA676A">
        <w:rPr>
          <w:rFonts w:ascii="Times New Roman Bold" w:hAnsi="Times New Roman Bold"/>
          <w:b/>
          <w:bCs/>
          <w:caps/>
          <w:szCs w:val="22"/>
        </w:rPr>
        <w:t xml:space="preserve"> toward</w:t>
      </w:r>
      <w:r>
        <w:rPr>
          <w:rFonts w:ascii="Times New Roman Bold" w:hAnsi="Times New Roman Bold"/>
          <w:b/>
          <w:bCs/>
          <w:caps/>
          <w:szCs w:val="22"/>
        </w:rPr>
        <w:t>S</w:t>
      </w:r>
      <w:r w:rsidRPr="00CA676A">
        <w:rPr>
          <w:rFonts w:ascii="Times New Roman Bold" w:hAnsi="Times New Roman Bold"/>
          <w:b/>
          <w:bCs/>
          <w:caps/>
          <w:szCs w:val="22"/>
        </w:rPr>
        <w:t xml:space="preserve"> the implementation of the </w:t>
      </w:r>
      <w:r w:rsidRPr="00E3500C">
        <w:rPr>
          <w:rFonts w:asciiTheme="majorBidi" w:hAnsiTheme="majorBidi" w:cstheme="majorBidi"/>
          <w:b/>
          <w:snapToGrid w:val="0"/>
          <w:kern w:val="22"/>
          <w:szCs w:val="22"/>
          <w:lang w:val="en-US"/>
        </w:rPr>
        <w:t>KUNMING-MONTREAL</w:t>
      </w:r>
      <w:r w:rsidRPr="00E3500C">
        <w:rPr>
          <w:rFonts w:asciiTheme="majorBidi" w:hAnsiTheme="majorBidi" w:cstheme="majorBidi"/>
          <w:bCs/>
          <w:snapToGrid w:val="0"/>
          <w:kern w:val="22"/>
          <w:szCs w:val="22"/>
          <w:lang w:val="en-US"/>
        </w:rPr>
        <w:t xml:space="preserve"> </w:t>
      </w:r>
      <w:r w:rsidRPr="00CA676A">
        <w:rPr>
          <w:rFonts w:ascii="Times New Roman Bold" w:hAnsi="Times New Roman Bold"/>
          <w:b/>
          <w:bCs/>
          <w:caps/>
          <w:szCs w:val="22"/>
        </w:rPr>
        <w:t>global biodiversity framework</w:t>
      </w:r>
    </w:p>
    <w:tbl>
      <w:tblPr>
        <w:tblStyle w:val="TableGrid1"/>
        <w:tblW w:w="9445" w:type="dxa"/>
        <w:shd w:val="clear" w:color="auto" w:fill="FFFFFF" w:themeFill="background1"/>
        <w:tblLayout w:type="fixed"/>
        <w:tblLook w:val="04A0" w:firstRow="1" w:lastRow="0" w:firstColumn="1" w:lastColumn="0" w:noHBand="0" w:noVBand="1"/>
      </w:tblPr>
      <w:tblGrid>
        <w:gridCol w:w="4957"/>
        <w:gridCol w:w="1701"/>
        <w:gridCol w:w="1559"/>
        <w:gridCol w:w="1228"/>
      </w:tblGrid>
      <w:tr w:rsidR="00005A3C" w:rsidRPr="004F65AE" w14:paraId="3C3D8F71" w14:textId="77777777" w:rsidTr="00F36208">
        <w:trPr>
          <w:trHeight w:val="526"/>
        </w:trPr>
        <w:tc>
          <w:tcPr>
            <w:tcW w:w="9445" w:type="dxa"/>
            <w:gridSpan w:val="4"/>
            <w:shd w:val="clear" w:color="auto" w:fill="FFFFFF" w:themeFill="background1"/>
            <w:vAlign w:val="center"/>
          </w:tcPr>
          <w:p w14:paraId="1012CC8A" w14:textId="77777777" w:rsidR="00005A3C" w:rsidRPr="004F65AE" w:rsidRDefault="00005A3C" w:rsidP="00F36208">
            <w:pPr>
              <w:keepNext/>
              <w:suppressLineNumbers/>
              <w:shd w:val="clear" w:color="auto" w:fill="FFFFFF" w:themeFill="background1"/>
              <w:suppressAutoHyphens/>
              <w:adjustRightInd w:val="0"/>
              <w:snapToGrid w:val="0"/>
              <w:spacing w:before="120" w:after="120"/>
              <w:jc w:val="center"/>
              <w:rPr>
                <w:rFonts w:asciiTheme="majorBidi" w:eastAsia="DengXian" w:hAnsiTheme="majorBidi" w:cstheme="majorBidi"/>
                <w:b/>
                <w:caps/>
                <w:kern w:val="22"/>
                <w:sz w:val="20"/>
                <w:szCs w:val="20"/>
                <w:lang w:val="fr-CA"/>
              </w:rPr>
            </w:pPr>
            <w:r w:rsidRPr="004F65AE">
              <w:rPr>
                <w:rFonts w:asciiTheme="majorBidi" w:hAnsiTheme="majorBidi" w:cstheme="majorBidi"/>
                <w:b/>
                <w:bCs/>
                <w:caps/>
                <w:color w:val="000000"/>
                <w:kern w:val="22"/>
                <w:sz w:val="20"/>
                <w:szCs w:val="20"/>
              </w:rPr>
              <w:t>National targets</w:t>
            </w:r>
          </w:p>
        </w:tc>
      </w:tr>
      <w:tr w:rsidR="00005A3C" w:rsidRPr="004F65AE" w14:paraId="700CBB8C" w14:textId="77777777" w:rsidTr="00CA676A">
        <w:tc>
          <w:tcPr>
            <w:tcW w:w="4957" w:type="dxa"/>
            <w:shd w:val="clear" w:color="auto" w:fill="FFFFFF" w:themeFill="background1"/>
          </w:tcPr>
          <w:p w14:paraId="20B4BC91" w14:textId="77777777" w:rsidR="00005A3C" w:rsidRPr="008874D9" w:rsidRDefault="00005A3C" w:rsidP="00F36208">
            <w:pPr>
              <w:suppressLineNumbers/>
              <w:shd w:val="clear" w:color="auto" w:fill="FFFFFF" w:themeFill="background1"/>
              <w:suppressAutoHyphens/>
              <w:adjustRightInd w:val="0"/>
              <w:snapToGrid w:val="0"/>
              <w:spacing w:before="120" w:after="120"/>
              <w:rPr>
                <w:rFonts w:asciiTheme="majorBidi" w:hAnsiTheme="majorBidi" w:cstheme="majorBidi"/>
                <w:b/>
                <w:bCs/>
                <w:color w:val="000000"/>
                <w:kern w:val="22"/>
                <w:sz w:val="20"/>
                <w:szCs w:val="20"/>
              </w:rPr>
            </w:pPr>
            <w:r w:rsidRPr="008874D9">
              <w:rPr>
                <w:rFonts w:asciiTheme="majorBidi" w:hAnsiTheme="majorBidi" w:cstheme="majorBidi"/>
                <w:b/>
                <w:bCs/>
                <w:color w:val="000000"/>
                <w:kern w:val="22"/>
                <w:sz w:val="20"/>
                <w:szCs w:val="20"/>
              </w:rPr>
              <w:t>National target 1</w:t>
            </w:r>
          </w:p>
          <w:p w14:paraId="50B2CA56" w14:textId="77777777" w:rsidR="00005A3C" w:rsidRPr="008874D9" w:rsidRDefault="00005A3C" w:rsidP="00F36208">
            <w:pPr>
              <w:suppressLineNumbers/>
              <w:shd w:val="clear" w:color="auto" w:fill="FFFFFF" w:themeFill="background1"/>
              <w:suppressAutoHyphens/>
              <w:adjustRightInd w:val="0"/>
              <w:snapToGrid w:val="0"/>
              <w:spacing w:before="120" w:after="120"/>
              <w:rPr>
                <w:rFonts w:asciiTheme="majorBidi" w:hAnsiTheme="majorBidi" w:cstheme="majorBidi"/>
                <w:b/>
                <w:bCs/>
                <w:color w:val="000000"/>
                <w:kern w:val="22"/>
                <w:sz w:val="20"/>
                <w:szCs w:val="20"/>
              </w:rPr>
            </w:pPr>
            <w:r w:rsidRPr="008874D9">
              <w:rPr>
                <w:rFonts w:asciiTheme="majorBidi" w:hAnsiTheme="majorBidi" w:cstheme="majorBidi"/>
                <w:b/>
                <w:bCs/>
                <w:color w:val="000000"/>
                <w:kern w:val="22"/>
                <w:sz w:val="20"/>
                <w:szCs w:val="20"/>
              </w:rPr>
              <w:t>Full name/title of national target</w:t>
            </w:r>
          </w:p>
          <w:p w14:paraId="76091FE7" w14:textId="77777777" w:rsidR="00005A3C" w:rsidRPr="008874D9" w:rsidRDefault="00005A3C" w:rsidP="00F36208">
            <w:pPr>
              <w:suppressLineNumbers/>
              <w:pBdr>
                <w:top w:val="single" w:sz="6" w:space="1" w:color="auto"/>
                <w:bottom w:val="single" w:sz="6" w:space="1" w:color="auto"/>
              </w:pBdr>
              <w:shd w:val="clear" w:color="auto" w:fill="FFFFFF" w:themeFill="background1"/>
              <w:suppressAutoHyphens/>
              <w:adjustRightInd w:val="0"/>
              <w:snapToGrid w:val="0"/>
              <w:jc w:val="left"/>
              <w:rPr>
                <w:rFonts w:asciiTheme="majorBidi" w:hAnsiTheme="majorBidi" w:cstheme="majorBidi"/>
                <w:color w:val="000000"/>
                <w:kern w:val="22"/>
                <w:sz w:val="20"/>
                <w:szCs w:val="20"/>
              </w:rPr>
            </w:pPr>
          </w:p>
          <w:p w14:paraId="5719D8E1" w14:textId="77777777" w:rsidR="00005A3C" w:rsidRPr="008874D9" w:rsidRDefault="00005A3C" w:rsidP="00F36208">
            <w:pPr>
              <w:suppressLineNumbers/>
              <w:pBdr>
                <w:bottom w:val="single" w:sz="6" w:space="1" w:color="auto"/>
                <w:between w:val="single" w:sz="6" w:space="1" w:color="auto"/>
              </w:pBdr>
              <w:shd w:val="clear" w:color="auto" w:fill="FFFFFF" w:themeFill="background1"/>
              <w:suppressAutoHyphens/>
              <w:adjustRightInd w:val="0"/>
              <w:snapToGrid w:val="0"/>
              <w:jc w:val="left"/>
              <w:rPr>
                <w:rFonts w:asciiTheme="majorBidi" w:hAnsiTheme="majorBidi" w:cstheme="majorBidi"/>
                <w:color w:val="000000"/>
                <w:kern w:val="22"/>
                <w:sz w:val="20"/>
                <w:szCs w:val="20"/>
              </w:rPr>
            </w:pPr>
          </w:p>
          <w:p w14:paraId="15A2023D" w14:textId="77777777" w:rsidR="00005A3C" w:rsidRPr="008874D9" w:rsidRDefault="00005A3C" w:rsidP="00A259B8">
            <w:pPr>
              <w:suppressLineNumbers/>
              <w:pBdr>
                <w:bottom w:val="single" w:sz="6" w:space="1" w:color="auto"/>
                <w:between w:val="single" w:sz="6" w:space="1" w:color="auto"/>
              </w:pBdr>
              <w:shd w:val="clear" w:color="auto" w:fill="FFFFFF" w:themeFill="background1"/>
              <w:suppressAutoHyphens/>
              <w:adjustRightInd w:val="0"/>
              <w:snapToGrid w:val="0"/>
              <w:jc w:val="left"/>
              <w:rPr>
                <w:rFonts w:asciiTheme="majorBidi" w:hAnsiTheme="majorBidi" w:cstheme="majorBidi"/>
                <w:color w:val="000000"/>
                <w:kern w:val="22"/>
                <w:sz w:val="20"/>
                <w:szCs w:val="20"/>
              </w:rPr>
            </w:pPr>
          </w:p>
          <w:p w14:paraId="033C911E" w14:textId="77777777" w:rsidR="00005A3C" w:rsidRPr="008874D9" w:rsidRDefault="00005A3C" w:rsidP="00F36208">
            <w:pPr>
              <w:shd w:val="clear" w:color="auto" w:fill="FFFFFF" w:themeFill="background1"/>
              <w:jc w:val="left"/>
              <w:rPr>
                <w:rFonts w:asciiTheme="majorBidi" w:eastAsia="DengXian" w:hAnsiTheme="majorBidi" w:cstheme="majorBidi"/>
                <w:b/>
                <w:kern w:val="22"/>
                <w:sz w:val="20"/>
                <w:szCs w:val="20"/>
              </w:rPr>
            </w:pPr>
          </w:p>
        </w:tc>
        <w:tc>
          <w:tcPr>
            <w:tcW w:w="1701" w:type="dxa"/>
            <w:shd w:val="clear" w:color="auto" w:fill="FFFFFF" w:themeFill="background1"/>
          </w:tcPr>
          <w:p w14:paraId="4597CCCB" w14:textId="77777777" w:rsidR="00005A3C" w:rsidRPr="008874D9"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rFonts w:asciiTheme="majorBidi" w:eastAsia="MS Gothic" w:hAnsiTheme="majorBidi" w:cstheme="majorBidi"/>
                <w:b/>
                <w:bCs/>
                <w:color w:val="000000"/>
                <w:kern w:val="22"/>
                <w:sz w:val="20"/>
                <w:szCs w:val="20"/>
              </w:rPr>
            </w:pPr>
            <w:r w:rsidRPr="008874D9">
              <w:rPr>
                <w:rFonts w:asciiTheme="majorBidi" w:eastAsia="MS Gothic" w:hAnsiTheme="majorBidi" w:cstheme="majorBidi"/>
                <w:b/>
                <w:bCs/>
                <w:color w:val="000000"/>
                <w:kern w:val="22"/>
                <w:sz w:val="20"/>
                <w:szCs w:val="20"/>
              </w:rPr>
              <w:t>Alignment with global goals and targets</w:t>
            </w:r>
          </w:p>
          <w:p w14:paraId="6B98579F" w14:textId="77777777" w:rsidR="00005A3C" w:rsidRPr="008874D9"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848843236"/>
                <w14:checkbox>
                  <w14:checked w14:val="0"/>
                  <w14:checkedState w14:val="2612" w14:font="MS Gothic"/>
                  <w14:uncheckedState w14:val="2610" w14:font="MS Gothic"/>
                </w14:checkbox>
              </w:sdtPr>
              <w:sdtContent>
                <w:r w:rsidR="00005A3C" w:rsidRPr="008874D9">
                  <w:rPr>
                    <w:rFonts w:ascii="Segoe UI Symbol" w:eastAsia="MS Gothic" w:hAnsi="Segoe UI Symbol" w:cs="Segoe UI Symbol"/>
                    <w:color w:val="000000"/>
                    <w:kern w:val="22"/>
                    <w:sz w:val="20"/>
                    <w:szCs w:val="20"/>
                  </w:rPr>
                  <w:t>☐</w:t>
                </w:r>
              </w:sdtContent>
            </w:sdt>
            <w:r w:rsidR="00005A3C" w:rsidRPr="008874D9">
              <w:rPr>
                <w:rFonts w:asciiTheme="majorBidi" w:eastAsia="MS Gothic" w:hAnsiTheme="majorBidi" w:cstheme="majorBidi"/>
                <w:color w:val="000000"/>
                <w:kern w:val="22"/>
                <w:sz w:val="20"/>
                <w:szCs w:val="20"/>
              </w:rPr>
              <w:t xml:space="preserve"> Goal A</w:t>
            </w:r>
          </w:p>
          <w:p w14:paraId="4E66515E" w14:textId="77777777" w:rsidR="00005A3C" w:rsidRPr="008874D9"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35404146"/>
                <w14:checkbox>
                  <w14:checked w14:val="0"/>
                  <w14:checkedState w14:val="2612" w14:font="MS Gothic"/>
                  <w14:uncheckedState w14:val="2610" w14:font="MS Gothic"/>
                </w14:checkbox>
              </w:sdtPr>
              <w:sdtContent>
                <w:r w:rsidR="00005A3C" w:rsidRPr="008874D9">
                  <w:rPr>
                    <w:rFonts w:ascii="Segoe UI Symbol" w:eastAsia="MS Gothic" w:hAnsi="Segoe UI Symbol" w:cs="Segoe UI Symbol"/>
                    <w:color w:val="000000"/>
                    <w:kern w:val="22"/>
                    <w:sz w:val="20"/>
                    <w:szCs w:val="20"/>
                  </w:rPr>
                  <w:t>☐</w:t>
                </w:r>
              </w:sdtContent>
            </w:sdt>
            <w:r w:rsidR="00005A3C" w:rsidRPr="008874D9">
              <w:rPr>
                <w:rFonts w:asciiTheme="majorBidi" w:eastAsia="MS Gothic" w:hAnsiTheme="majorBidi" w:cstheme="majorBidi"/>
                <w:color w:val="000000"/>
                <w:kern w:val="22"/>
                <w:sz w:val="20"/>
                <w:szCs w:val="20"/>
              </w:rPr>
              <w:t xml:space="preserve"> Goal B</w:t>
            </w:r>
          </w:p>
          <w:p w14:paraId="464C5E7C" w14:textId="77777777" w:rsidR="00005A3C" w:rsidRPr="008874D9"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200395694"/>
                <w14:checkbox>
                  <w14:checked w14:val="0"/>
                  <w14:checkedState w14:val="2612" w14:font="MS Gothic"/>
                  <w14:uncheckedState w14:val="2610" w14:font="MS Gothic"/>
                </w14:checkbox>
              </w:sdtPr>
              <w:sdtContent>
                <w:r w:rsidR="00005A3C" w:rsidRPr="008874D9">
                  <w:rPr>
                    <w:rFonts w:ascii="Segoe UI Symbol" w:eastAsia="MS Gothic" w:hAnsi="Segoe UI Symbol" w:cs="Segoe UI Symbol"/>
                    <w:color w:val="000000"/>
                    <w:kern w:val="22"/>
                    <w:sz w:val="20"/>
                    <w:szCs w:val="20"/>
                  </w:rPr>
                  <w:t>☐</w:t>
                </w:r>
              </w:sdtContent>
            </w:sdt>
            <w:r w:rsidR="00005A3C" w:rsidRPr="008874D9">
              <w:rPr>
                <w:rFonts w:asciiTheme="majorBidi" w:eastAsia="MS Gothic" w:hAnsiTheme="majorBidi" w:cstheme="majorBidi"/>
                <w:color w:val="000000"/>
                <w:kern w:val="22"/>
                <w:sz w:val="20"/>
                <w:szCs w:val="20"/>
              </w:rPr>
              <w:t xml:space="preserve"> Goal C</w:t>
            </w:r>
          </w:p>
          <w:p w14:paraId="7AD1A4FE" w14:textId="77777777" w:rsidR="00005A3C" w:rsidRPr="008874D9"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1412127054"/>
                <w14:checkbox>
                  <w14:checked w14:val="0"/>
                  <w14:checkedState w14:val="2612" w14:font="MS Gothic"/>
                  <w14:uncheckedState w14:val="2610" w14:font="MS Gothic"/>
                </w14:checkbox>
              </w:sdtPr>
              <w:sdtContent>
                <w:r w:rsidR="00005A3C" w:rsidRPr="008874D9">
                  <w:rPr>
                    <w:rFonts w:ascii="Segoe UI Symbol" w:eastAsia="MS Gothic" w:hAnsi="Segoe UI Symbol" w:cs="Segoe UI Symbol"/>
                    <w:color w:val="000000"/>
                    <w:kern w:val="22"/>
                    <w:sz w:val="20"/>
                    <w:szCs w:val="20"/>
                  </w:rPr>
                  <w:t>☐</w:t>
                </w:r>
              </w:sdtContent>
            </w:sdt>
            <w:r w:rsidR="00005A3C" w:rsidRPr="008874D9">
              <w:rPr>
                <w:rFonts w:asciiTheme="majorBidi" w:eastAsia="MS Gothic" w:hAnsiTheme="majorBidi" w:cstheme="majorBidi"/>
                <w:color w:val="000000"/>
                <w:kern w:val="22"/>
                <w:sz w:val="20"/>
                <w:szCs w:val="20"/>
              </w:rPr>
              <w:t xml:space="preserve"> Goal D </w:t>
            </w:r>
          </w:p>
          <w:p w14:paraId="57B39E55" w14:textId="77777777" w:rsidR="00005A3C" w:rsidRPr="008874D9" w:rsidRDefault="00005A3C"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p>
          <w:p w14:paraId="20CDF8AD" w14:textId="77777777" w:rsidR="00005A3C" w:rsidRPr="008874D9"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1333957790"/>
                <w14:checkbox>
                  <w14:checked w14:val="0"/>
                  <w14:checkedState w14:val="2612" w14:font="MS Gothic"/>
                  <w14:uncheckedState w14:val="2610" w14:font="MS Gothic"/>
                </w14:checkbox>
              </w:sdtPr>
              <w:sdtContent>
                <w:r w:rsidR="00005A3C" w:rsidRPr="008874D9">
                  <w:rPr>
                    <w:rFonts w:ascii="Segoe UI Symbol" w:eastAsia="MS Gothic" w:hAnsi="Segoe UI Symbol" w:cs="Segoe UI Symbol"/>
                    <w:color w:val="000000"/>
                    <w:kern w:val="22"/>
                    <w:sz w:val="20"/>
                    <w:szCs w:val="20"/>
                  </w:rPr>
                  <w:t>☐</w:t>
                </w:r>
              </w:sdtContent>
            </w:sdt>
            <w:r w:rsidR="00005A3C" w:rsidRPr="008874D9">
              <w:rPr>
                <w:rFonts w:asciiTheme="majorBidi" w:eastAsia="MS Gothic" w:hAnsiTheme="majorBidi" w:cstheme="majorBidi"/>
                <w:color w:val="000000"/>
                <w:kern w:val="22"/>
                <w:sz w:val="20"/>
                <w:szCs w:val="20"/>
              </w:rPr>
              <w:t xml:space="preserve"> Global target 1</w:t>
            </w:r>
          </w:p>
          <w:p w14:paraId="18C9B780" w14:textId="77777777" w:rsidR="00005A3C" w:rsidRPr="008874D9"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51304957"/>
                <w14:checkbox>
                  <w14:checked w14:val="0"/>
                  <w14:checkedState w14:val="2612" w14:font="MS Gothic"/>
                  <w14:uncheckedState w14:val="2610" w14:font="MS Gothic"/>
                </w14:checkbox>
              </w:sdtPr>
              <w:sdtContent>
                <w:r w:rsidR="00005A3C" w:rsidRPr="008874D9">
                  <w:rPr>
                    <w:rFonts w:ascii="Segoe UI Symbol" w:eastAsia="MS Gothic" w:hAnsi="Segoe UI Symbol" w:cs="Segoe UI Symbol"/>
                    <w:color w:val="000000"/>
                    <w:kern w:val="22"/>
                    <w:sz w:val="20"/>
                    <w:szCs w:val="20"/>
                  </w:rPr>
                  <w:t>☐</w:t>
                </w:r>
              </w:sdtContent>
            </w:sdt>
            <w:r w:rsidR="00005A3C" w:rsidRPr="008874D9">
              <w:rPr>
                <w:rFonts w:asciiTheme="majorBidi" w:eastAsia="MS Gothic" w:hAnsiTheme="majorBidi" w:cstheme="majorBidi"/>
                <w:color w:val="000000"/>
                <w:kern w:val="22"/>
                <w:sz w:val="20"/>
                <w:szCs w:val="20"/>
              </w:rPr>
              <w:t xml:space="preserve"> Global target 2</w:t>
            </w:r>
          </w:p>
          <w:p w14:paraId="0D917B40" w14:textId="77777777" w:rsidR="00005A3C" w:rsidRPr="008874D9" w:rsidRDefault="00005A3C"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r w:rsidRPr="008874D9">
              <w:rPr>
                <w:rFonts w:asciiTheme="majorBidi" w:eastAsia="MS Gothic" w:hAnsiTheme="majorBidi" w:cstheme="majorBidi"/>
                <w:color w:val="000000"/>
                <w:kern w:val="22"/>
                <w:sz w:val="20"/>
                <w:szCs w:val="20"/>
              </w:rPr>
              <w:t xml:space="preserve"> …</w:t>
            </w:r>
          </w:p>
          <w:p w14:paraId="2132003F" w14:textId="77777777" w:rsidR="00005A3C" w:rsidRPr="008874D9" w:rsidRDefault="00000000" w:rsidP="00F36208">
            <w:pPr>
              <w:suppressLineNumbers/>
              <w:shd w:val="clear" w:color="auto" w:fill="FFFFFF" w:themeFill="background1"/>
              <w:tabs>
                <w:tab w:val="left" w:pos="1710"/>
              </w:tabs>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2105528607"/>
                <w14:checkbox>
                  <w14:checked w14:val="0"/>
                  <w14:checkedState w14:val="2612" w14:font="MS Gothic"/>
                  <w14:uncheckedState w14:val="2610" w14:font="MS Gothic"/>
                </w14:checkbox>
              </w:sdtPr>
              <w:sdtContent>
                <w:r w:rsidR="00005A3C" w:rsidRPr="008874D9">
                  <w:rPr>
                    <w:rFonts w:ascii="Segoe UI Symbol" w:eastAsia="MS Gothic" w:hAnsi="Segoe UI Symbol" w:cs="Segoe UI Symbol"/>
                    <w:color w:val="000000"/>
                    <w:kern w:val="22"/>
                    <w:sz w:val="20"/>
                    <w:szCs w:val="20"/>
                  </w:rPr>
                  <w:t>☐</w:t>
                </w:r>
              </w:sdtContent>
            </w:sdt>
            <w:r w:rsidR="00005A3C" w:rsidRPr="008874D9">
              <w:rPr>
                <w:rFonts w:asciiTheme="majorBidi" w:eastAsia="MS Gothic" w:hAnsiTheme="majorBidi" w:cstheme="majorBidi"/>
                <w:color w:val="000000"/>
                <w:kern w:val="22"/>
                <w:sz w:val="20"/>
                <w:szCs w:val="20"/>
              </w:rPr>
              <w:t xml:space="preserve"> …</w:t>
            </w:r>
          </w:p>
          <w:p w14:paraId="16403AFE" w14:textId="77777777" w:rsidR="00005A3C" w:rsidRPr="008874D9" w:rsidRDefault="00000000" w:rsidP="00F36208">
            <w:pPr>
              <w:suppressLineNumbers/>
              <w:shd w:val="clear" w:color="auto" w:fill="FFFFFF" w:themeFill="background1"/>
              <w:suppressAutoHyphens/>
              <w:kinsoku w:val="0"/>
              <w:overflowPunct w:val="0"/>
              <w:autoSpaceDE w:val="0"/>
              <w:autoSpaceDN w:val="0"/>
              <w:adjustRightInd w:val="0"/>
              <w:snapToGrid w:val="0"/>
              <w:jc w:val="left"/>
              <w:rPr>
                <w:rFonts w:asciiTheme="majorBidi" w:hAnsiTheme="majorBidi" w:cstheme="majorBidi"/>
                <w:color w:val="000000"/>
                <w:kern w:val="22"/>
                <w:sz w:val="20"/>
                <w:szCs w:val="20"/>
              </w:rPr>
            </w:pPr>
            <w:sdt>
              <w:sdtPr>
                <w:rPr>
                  <w:rFonts w:asciiTheme="majorBidi" w:eastAsia="MS Gothic" w:hAnsiTheme="majorBidi" w:cstheme="majorBidi"/>
                  <w:color w:val="000000"/>
                  <w:kern w:val="22"/>
                  <w:sz w:val="20"/>
                  <w:szCs w:val="20"/>
                </w:rPr>
                <w:id w:val="878211699"/>
                <w14:checkbox>
                  <w14:checked w14:val="0"/>
                  <w14:checkedState w14:val="2612" w14:font="MS Gothic"/>
                  <w14:uncheckedState w14:val="2610" w14:font="MS Gothic"/>
                </w14:checkbox>
              </w:sdtPr>
              <w:sdtContent>
                <w:r w:rsidR="00005A3C" w:rsidRPr="008874D9">
                  <w:rPr>
                    <w:rFonts w:ascii="Segoe UI Symbol" w:eastAsia="MS Gothic" w:hAnsi="Segoe UI Symbol" w:cs="Segoe UI Symbol"/>
                    <w:color w:val="000000"/>
                    <w:kern w:val="22"/>
                    <w:sz w:val="20"/>
                    <w:szCs w:val="20"/>
                  </w:rPr>
                  <w:t>☐</w:t>
                </w:r>
              </w:sdtContent>
            </w:sdt>
            <w:r w:rsidR="00005A3C" w:rsidRPr="008874D9">
              <w:rPr>
                <w:rFonts w:asciiTheme="majorBidi" w:eastAsia="MS Gothic" w:hAnsiTheme="majorBidi" w:cstheme="majorBidi"/>
                <w:color w:val="000000"/>
                <w:kern w:val="22"/>
                <w:sz w:val="20"/>
                <w:szCs w:val="20"/>
              </w:rPr>
              <w:t xml:space="preserve"> </w:t>
            </w:r>
            <w:r w:rsidR="00005A3C" w:rsidRPr="008874D9">
              <w:rPr>
                <w:rFonts w:asciiTheme="majorBidi" w:hAnsiTheme="majorBidi" w:cstheme="majorBidi"/>
                <w:color w:val="000000"/>
                <w:kern w:val="22"/>
                <w:sz w:val="20"/>
                <w:szCs w:val="20"/>
              </w:rPr>
              <w:t xml:space="preserve">Enabling conditions and/or other non-target elements of the </w:t>
            </w:r>
            <w:r w:rsidR="00005A3C" w:rsidRPr="008874D9">
              <w:rPr>
                <w:rFonts w:asciiTheme="majorBidi" w:hAnsiTheme="majorBidi" w:cstheme="majorBidi"/>
                <w:bCs/>
                <w:snapToGrid w:val="0"/>
                <w:kern w:val="22"/>
                <w:sz w:val="20"/>
                <w:szCs w:val="20"/>
                <w:lang w:val="en-US"/>
              </w:rPr>
              <w:t xml:space="preserve">Kunming-Montreal </w:t>
            </w:r>
            <w:r w:rsidR="00005A3C" w:rsidRPr="008874D9">
              <w:rPr>
                <w:rFonts w:asciiTheme="majorBidi" w:hAnsiTheme="majorBidi" w:cstheme="majorBidi"/>
                <w:color w:val="000000"/>
                <w:kern w:val="22"/>
                <w:sz w:val="20"/>
                <w:szCs w:val="20"/>
              </w:rPr>
              <w:t xml:space="preserve">Global Biodiversity Framework </w:t>
            </w:r>
            <w:r w:rsidR="00005A3C" w:rsidRPr="008874D9">
              <w:rPr>
                <w:rFonts w:asciiTheme="majorBidi" w:hAnsiTheme="majorBidi" w:cstheme="majorBidi"/>
                <w:i/>
                <w:iCs/>
                <w:color w:val="000000"/>
                <w:kern w:val="22"/>
                <w:sz w:val="20"/>
                <w:szCs w:val="20"/>
              </w:rPr>
              <w:t xml:space="preserve">(Please specify) </w:t>
            </w:r>
          </w:p>
          <w:p w14:paraId="3923EE67" w14:textId="77777777" w:rsidR="00005A3C" w:rsidRPr="008874D9" w:rsidRDefault="00005A3C" w:rsidP="00F36208">
            <w:pPr>
              <w:suppressLineNumbers/>
              <w:shd w:val="clear" w:color="auto" w:fill="FFFFFF" w:themeFill="background1"/>
              <w:suppressAutoHyphens/>
              <w:adjustRightInd w:val="0"/>
              <w:snapToGrid w:val="0"/>
              <w:rPr>
                <w:rFonts w:asciiTheme="majorBidi" w:hAnsiTheme="majorBidi" w:cstheme="majorBidi"/>
                <w:color w:val="000000"/>
                <w:kern w:val="22"/>
                <w:sz w:val="20"/>
                <w:szCs w:val="20"/>
              </w:rPr>
            </w:pPr>
          </w:p>
          <w:p w14:paraId="327DADE0" w14:textId="77777777" w:rsidR="00005A3C" w:rsidRPr="008874D9" w:rsidRDefault="00005A3C" w:rsidP="00F36208">
            <w:pPr>
              <w:suppressLineNumbers/>
              <w:pBdr>
                <w:top w:val="single" w:sz="6" w:space="1" w:color="auto"/>
                <w:bottom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rPr>
            </w:pPr>
          </w:p>
          <w:p w14:paraId="1A8436A8" w14:textId="77777777" w:rsidR="00005A3C" w:rsidRPr="008874D9" w:rsidRDefault="00005A3C" w:rsidP="00F36208">
            <w:pPr>
              <w:suppressLineNumbers/>
              <w:pBdr>
                <w:bottom w:val="single" w:sz="6" w:space="1" w:color="auto"/>
                <w:between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rPr>
            </w:pPr>
          </w:p>
          <w:p w14:paraId="5D317B0F" w14:textId="77777777" w:rsidR="00005A3C" w:rsidRPr="008874D9" w:rsidRDefault="00005A3C" w:rsidP="00F36208">
            <w:pPr>
              <w:suppressLineNumbers/>
              <w:shd w:val="clear" w:color="auto" w:fill="FFFFFF" w:themeFill="background1"/>
              <w:suppressAutoHyphens/>
              <w:kinsoku w:val="0"/>
              <w:overflowPunct w:val="0"/>
              <w:autoSpaceDE w:val="0"/>
              <w:autoSpaceDN w:val="0"/>
              <w:adjustRightInd w:val="0"/>
              <w:snapToGrid w:val="0"/>
              <w:spacing w:after="120"/>
              <w:rPr>
                <w:rFonts w:asciiTheme="majorBidi" w:eastAsia="MS Gothic" w:hAnsiTheme="majorBidi" w:cstheme="majorBidi"/>
                <w:color w:val="000000"/>
                <w:kern w:val="22"/>
                <w:sz w:val="20"/>
                <w:szCs w:val="20"/>
              </w:rPr>
            </w:pPr>
          </w:p>
        </w:tc>
        <w:tc>
          <w:tcPr>
            <w:tcW w:w="1559" w:type="dxa"/>
            <w:shd w:val="clear" w:color="auto" w:fill="FFFFFF" w:themeFill="background1"/>
          </w:tcPr>
          <w:p w14:paraId="4E4AD8D9"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rFonts w:asciiTheme="majorBidi" w:eastAsia="MS Gothic" w:hAnsiTheme="majorBidi" w:cstheme="majorBidi"/>
                <w:b/>
                <w:bCs/>
                <w:color w:val="000000"/>
                <w:kern w:val="22"/>
                <w:sz w:val="20"/>
                <w:szCs w:val="20"/>
              </w:rPr>
            </w:pPr>
            <w:r w:rsidRPr="004F65AE">
              <w:rPr>
                <w:rFonts w:asciiTheme="majorBidi" w:eastAsia="MS Gothic" w:hAnsiTheme="majorBidi" w:cstheme="majorBidi"/>
                <w:b/>
                <w:bCs/>
                <w:color w:val="000000"/>
                <w:kern w:val="22"/>
                <w:sz w:val="20"/>
                <w:szCs w:val="20"/>
              </w:rPr>
              <w:lastRenderedPageBreak/>
              <w:t>Degree of alignment</w:t>
            </w:r>
          </w:p>
          <w:p w14:paraId="286DD3FA" w14:textId="77777777" w:rsidR="00005A3C" w:rsidRPr="004F65AE" w:rsidRDefault="00000000" w:rsidP="00CA676A">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964700946"/>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High  </w:t>
            </w:r>
            <w:sdt>
              <w:sdtPr>
                <w:rPr>
                  <w:rFonts w:asciiTheme="majorBidi" w:eastAsia="MS Gothic" w:hAnsiTheme="majorBidi" w:cstheme="majorBidi"/>
                  <w:color w:val="000000"/>
                  <w:kern w:val="22"/>
                  <w:sz w:val="20"/>
                  <w:szCs w:val="20"/>
                </w:rPr>
                <w:id w:val="-1365136368"/>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Medium  </w:t>
            </w:r>
            <w:sdt>
              <w:sdtPr>
                <w:rPr>
                  <w:rFonts w:asciiTheme="majorBidi" w:eastAsia="MS Gothic" w:hAnsiTheme="majorBidi" w:cstheme="majorBidi"/>
                  <w:color w:val="000000"/>
                  <w:kern w:val="22"/>
                  <w:sz w:val="20"/>
                  <w:szCs w:val="20"/>
                </w:rPr>
                <w:id w:val="980732411"/>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Low</w:t>
            </w:r>
          </w:p>
          <w:p w14:paraId="1869DAD1" w14:textId="77777777" w:rsidR="00005A3C" w:rsidRPr="004F65AE" w:rsidRDefault="00000000" w:rsidP="00CA676A">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168528038"/>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High  </w:t>
            </w:r>
            <w:sdt>
              <w:sdtPr>
                <w:rPr>
                  <w:rFonts w:asciiTheme="majorBidi" w:eastAsia="MS Gothic" w:hAnsiTheme="majorBidi" w:cstheme="majorBidi"/>
                  <w:color w:val="000000"/>
                  <w:kern w:val="22"/>
                  <w:sz w:val="20"/>
                  <w:szCs w:val="20"/>
                </w:rPr>
                <w:id w:val="-1355256976"/>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Medium  </w:t>
            </w:r>
            <w:sdt>
              <w:sdtPr>
                <w:rPr>
                  <w:rFonts w:asciiTheme="majorBidi" w:eastAsia="MS Gothic" w:hAnsiTheme="majorBidi" w:cstheme="majorBidi"/>
                  <w:color w:val="000000"/>
                  <w:kern w:val="22"/>
                  <w:sz w:val="20"/>
                  <w:szCs w:val="20"/>
                </w:rPr>
                <w:id w:val="165599867"/>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Low</w:t>
            </w:r>
          </w:p>
          <w:p w14:paraId="2FFC31DC"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1892873718"/>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w:t>
            </w:r>
          </w:p>
          <w:p w14:paraId="791185A8" w14:textId="77777777" w:rsidR="00005A3C" w:rsidRDefault="00005A3C" w:rsidP="00F36208">
            <w:pPr>
              <w:suppressLineNumbers/>
              <w:shd w:val="clear" w:color="auto" w:fill="FFFFFF" w:themeFill="background1"/>
              <w:suppressAutoHyphens/>
              <w:kinsoku w:val="0"/>
              <w:overflowPunct w:val="0"/>
              <w:autoSpaceDE w:val="0"/>
              <w:autoSpaceDN w:val="0"/>
              <w:adjustRightInd w:val="0"/>
              <w:snapToGrid w:val="0"/>
              <w:spacing w:after="120"/>
              <w:rPr>
                <w:rFonts w:asciiTheme="majorBidi" w:eastAsia="MS Gothic" w:hAnsiTheme="majorBidi" w:cstheme="majorBidi"/>
                <w:color w:val="000000"/>
                <w:kern w:val="22"/>
                <w:sz w:val="20"/>
                <w:szCs w:val="20"/>
              </w:rPr>
            </w:pPr>
          </w:p>
          <w:p w14:paraId="30417BD6"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after="120"/>
              <w:rPr>
                <w:rFonts w:asciiTheme="majorBidi" w:eastAsia="MS Gothic" w:hAnsiTheme="majorBidi" w:cstheme="majorBidi"/>
                <w:color w:val="000000"/>
                <w:kern w:val="22"/>
                <w:sz w:val="20"/>
                <w:szCs w:val="20"/>
              </w:rPr>
            </w:pPr>
          </w:p>
          <w:p w14:paraId="5B3899AE" w14:textId="77777777" w:rsidR="00005A3C" w:rsidRPr="004F65AE" w:rsidRDefault="00005A3C" w:rsidP="00F36208">
            <w:pPr>
              <w:shd w:val="clear" w:color="auto" w:fill="FFFFFF" w:themeFill="background1"/>
              <w:jc w:val="left"/>
              <w:rPr>
                <w:rFonts w:asciiTheme="majorBidi" w:eastAsia="DengXian" w:hAnsiTheme="majorBidi" w:cstheme="majorBidi"/>
                <w:b/>
                <w:snapToGrid w:val="0"/>
                <w:kern w:val="22"/>
                <w:sz w:val="20"/>
                <w:szCs w:val="20"/>
                <w:lang w:val="en-US"/>
              </w:rPr>
            </w:pPr>
            <w:r w:rsidRPr="004F65AE">
              <w:rPr>
                <w:rFonts w:asciiTheme="majorBidi" w:eastAsia="MS Gothic" w:hAnsiTheme="majorBidi" w:cstheme="majorBidi"/>
                <w:color w:val="000000"/>
                <w:kern w:val="22"/>
                <w:sz w:val="20"/>
                <w:szCs w:val="20"/>
              </w:rPr>
              <w:t xml:space="preserve">Explanation, including which aspects of the goal or target are covered </w:t>
            </w:r>
            <w:r w:rsidRPr="004F65AE">
              <w:rPr>
                <w:rFonts w:asciiTheme="majorBidi" w:eastAsia="MS Gothic" w:hAnsiTheme="majorBidi" w:cstheme="majorBidi"/>
                <w:i/>
                <w:iCs/>
                <w:color w:val="000000"/>
                <w:kern w:val="22"/>
                <w:sz w:val="20"/>
                <w:szCs w:val="20"/>
              </w:rPr>
              <w:t>(optional)</w:t>
            </w:r>
            <w:r w:rsidRPr="004F65AE">
              <w:rPr>
                <w:rFonts w:asciiTheme="majorBidi" w:eastAsia="MS Gothic" w:hAnsiTheme="majorBidi" w:cstheme="majorBidi"/>
                <w:color w:val="000000"/>
                <w:kern w:val="22"/>
                <w:sz w:val="20"/>
                <w:szCs w:val="20"/>
              </w:rPr>
              <w:t xml:space="preserve"> ________________________________________________</w:t>
            </w:r>
            <w:r>
              <w:rPr>
                <w:rFonts w:asciiTheme="majorBidi" w:eastAsia="MS Gothic" w:hAnsiTheme="majorBidi" w:cstheme="majorBidi"/>
                <w:color w:val="000000"/>
                <w:kern w:val="22"/>
                <w:sz w:val="20"/>
                <w:szCs w:val="20"/>
              </w:rPr>
              <w:t>____</w:t>
            </w:r>
          </w:p>
        </w:tc>
        <w:tc>
          <w:tcPr>
            <w:tcW w:w="1228" w:type="dxa"/>
            <w:shd w:val="clear" w:color="auto" w:fill="FFFFFF" w:themeFill="background1"/>
          </w:tcPr>
          <w:p w14:paraId="256C995B"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rFonts w:asciiTheme="majorBidi" w:eastAsia="MS Gothic" w:hAnsiTheme="majorBidi" w:cstheme="majorBidi"/>
                <w:b/>
                <w:bCs/>
                <w:color w:val="000000"/>
                <w:kern w:val="22"/>
                <w:sz w:val="20"/>
                <w:szCs w:val="20"/>
              </w:rPr>
            </w:pPr>
            <w:r w:rsidRPr="004F65AE">
              <w:rPr>
                <w:rFonts w:asciiTheme="majorBidi" w:eastAsia="MS Gothic" w:hAnsiTheme="majorBidi" w:cstheme="majorBidi"/>
                <w:b/>
                <w:bCs/>
                <w:color w:val="000000"/>
                <w:kern w:val="22"/>
                <w:sz w:val="20"/>
                <w:szCs w:val="20"/>
              </w:rPr>
              <w:t>Notes</w:t>
            </w:r>
          </w:p>
          <w:p w14:paraId="5243F62C"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after="240"/>
              <w:jc w:val="left"/>
              <w:rPr>
                <w:rFonts w:asciiTheme="majorBidi" w:hAnsiTheme="majorBidi" w:cstheme="majorBidi"/>
                <w:i/>
                <w:color w:val="000000"/>
                <w:kern w:val="22"/>
                <w:sz w:val="20"/>
                <w:szCs w:val="20"/>
              </w:rPr>
            </w:pPr>
            <w:r w:rsidRPr="004F65AE">
              <w:rPr>
                <w:rFonts w:asciiTheme="majorBidi" w:hAnsiTheme="majorBidi" w:cstheme="majorBidi"/>
                <w:i/>
                <w:color w:val="000000"/>
                <w:kern w:val="22"/>
                <w:sz w:val="20"/>
                <w:szCs w:val="20"/>
              </w:rPr>
              <w:t xml:space="preserve">This table is to be repeated for each of the national targets. </w:t>
            </w:r>
          </w:p>
          <w:p w14:paraId="1447E615"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after="240"/>
              <w:jc w:val="left"/>
              <w:rPr>
                <w:rFonts w:asciiTheme="majorBidi" w:hAnsiTheme="majorBidi" w:cstheme="majorBidi"/>
                <w:i/>
                <w:color w:val="000000"/>
                <w:kern w:val="22"/>
                <w:sz w:val="20"/>
                <w:szCs w:val="20"/>
              </w:rPr>
            </w:pPr>
            <w:r w:rsidRPr="004F65AE">
              <w:rPr>
                <w:rFonts w:asciiTheme="majorBidi" w:hAnsiTheme="majorBidi" w:cstheme="majorBidi"/>
                <w:i/>
                <w:color w:val="000000"/>
                <w:kern w:val="22"/>
                <w:sz w:val="20"/>
                <w:szCs w:val="20"/>
              </w:rPr>
              <w:t>Please check all relevant national targets and indicate their degree of alignment with the global targets.</w:t>
            </w:r>
          </w:p>
          <w:p w14:paraId="25525CEB"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after="120"/>
              <w:jc w:val="left"/>
              <w:rPr>
                <w:rFonts w:asciiTheme="majorBidi" w:hAnsiTheme="majorBidi" w:cstheme="majorBidi"/>
                <w:color w:val="000000"/>
                <w:sz w:val="20"/>
                <w:szCs w:val="20"/>
                <w:lang w:val="en-US"/>
              </w:rPr>
            </w:pPr>
            <w:r w:rsidRPr="004F65AE">
              <w:rPr>
                <w:rFonts w:asciiTheme="majorBidi" w:hAnsiTheme="majorBidi" w:cstheme="majorBidi"/>
                <w:color w:val="000000"/>
                <w:sz w:val="20"/>
                <w:szCs w:val="20"/>
                <w:lang w:val="en-US"/>
              </w:rPr>
              <w:t xml:space="preserve">High = covers all elements of the global target; </w:t>
            </w:r>
          </w:p>
          <w:p w14:paraId="63C35A11"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after="120"/>
              <w:jc w:val="left"/>
              <w:rPr>
                <w:rFonts w:asciiTheme="majorBidi" w:hAnsiTheme="majorBidi" w:cstheme="majorBidi"/>
                <w:color w:val="000000"/>
                <w:sz w:val="20"/>
                <w:szCs w:val="20"/>
                <w:lang w:val="en-US"/>
              </w:rPr>
            </w:pPr>
            <w:r w:rsidRPr="004F65AE">
              <w:rPr>
                <w:rFonts w:asciiTheme="majorBidi" w:hAnsiTheme="majorBidi" w:cstheme="majorBidi"/>
                <w:color w:val="000000"/>
                <w:sz w:val="20"/>
                <w:szCs w:val="20"/>
                <w:lang w:val="en-US"/>
              </w:rPr>
              <w:lastRenderedPageBreak/>
              <w:t xml:space="preserve">Medium = covers most elements of the global target; </w:t>
            </w:r>
          </w:p>
          <w:p w14:paraId="58632EF1"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after="120"/>
              <w:jc w:val="left"/>
              <w:rPr>
                <w:rFonts w:asciiTheme="majorBidi" w:eastAsia="DengXian" w:hAnsiTheme="majorBidi" w:cstheme="majorBidi"/>
                <w:b/>
                <w:kern w:val="22"/>
                <w:sz w:val="20"/>
                <w:szCs w:val="20"/>
              </w:rPr>
            </w:pPr>
            <w:r w:rsidRPr="004F65AE">
              <w:rPr>
                <w:rFonts w:asciiTheme="majorBidi" w:hAnsiTheme="majorBidi" w:cstheme="majorBidi"/>
                <w:color w:val="000000"/>
                <w:sz w:val="20"/>
                <w:szCs w:val="20"/>
                <w:lang w:val="en-US"/>
              </w:rPr>
              <w:t>Low = covers at least one element of the global target</w:t>
            </w:r>
          </w:p>
        </w:tc>
      </w:tr>
      <w:tr w:rsidR="00005A3C" w:rsidRPr="004F65AE" w14:paraId="4BBB99DF" w14:textId="77777777" w:rsidTr="00CA676A">
        <w:tc>
          <w:tcPr>
            <w:tcW w:w="4957" w:type="dxa"/>
            <w:shd w:val="clear" w:color="auto" w:fill="FFFFFF" w:themeFill="background1"/>
          </w:tcPr>
          <w:p w14:paraId="3383EE8F" w14:textId="77777777" w:rsidR="00005A3C" w:rsidRPr="004F65AE" w:rsidRDefault="00005A3C" w:rsidP="00F36208">
            <w:pPr>
              <w:suppressLineNumbers/>
              <w:shd w:val="clear" w:color="auto" w:fill="FFFFFF" w:themeFill="background1"/>
              <w:suppressAutoHyphens/>
              <w:adjustRightInd w:val="0"/>
              <w:snapToGrid w:val="0"/>
              <w:rPr>
                <w:rFonts w:asciiTheme="majorBidi" w:hAnsiTheme="majorBidi" w:cstheme="majorBidi"/>
                <w:color w:val="000000"/>
                <w:kern w:val="22"/>
                <w:sz w:val="20"/>
                <w:szCs w:val="20"/>
              </w:rPr>
            </w:pPr>
          </w:p>
        </w:tc>
        <w:tc>
          <w:tcPr>
            <w:tcW w:w="3260" w:type="dxa"/>
            <w:gridSpan w:val="2"/>
            <w:shd w:val="clear" w:color="auto" w:fill="FFFFFF" w:themeFill="background1"/>
          </w:tcPr>
          <w:p w14:paraId="6763B1CC" w14:textId="77777777" w:rsidR="00005A3C" w:rsidRPr="004F65AE" w:rsidRDefault="00005A3C" w:rsidP="00CA676A">
            <w:pPr>
              <w:suppressLineNumbers/>
              <w:shd w:val="clear" w:color="auto" w:fill="FFFFFF" w:themeFill="background1"/>
              <w:suppressAutoHyphens/>
              <w:kinsoku w:val="0"/>
              <w:overflowPunct w:val="0"/>
              <w:autoSpaceDE w:val="0"/>
              <w:autoSpaceDN w:val="0"/>
              <w:adjustRightInd w:val="0"/>
              <w:snapToGrid w:val="0"/>
              <w:spacing w:line="259" w:lineRule="auto"/>
              <w:jc w:val="left"/>
              <w:rPr>
                <w:rFonts w:asciiTheme="majorBidi" w:eastAsia="MS Gothic" w:hAnsiTheme="majorBidi" w:cstheme="majorBidi"/>
                <w:color w:val="000000"/>
                <w:kern w:val="22"/>
                <w:sz w:val="20"/>
                <w:szCs w:val="20"/>
              </w:rPr>
            </w:pPr>
            <w:r w:rsidRPr="004F65AE">
              <w:rPr>
                <w:rFonts w:asciiTheme="majorBidi" w:eastAsia="MS Gothic" w:hAnsiTheme="majorBidi" w:cstheme="majorBidi"/>
                <w:color w:val="000000"/>
                <w:sz w:val="20"/>
                <w:szCs w:val="20"/>
              </w:rPr>
              <w:t xml:space="preserve">Please </w:t>
            </w:r>
            <w:r w:rsidRPr="004F65AE">
              <w:rPr>
                <w:rFonts w:asciiTheme="majorBidi" w:eastAsia="MS Gothic" w:hAnsiTheme="majorBidi" w:cstheme="majorBidi"/>
                <w:iCs/>
                <w:color w:val="000000"/>
                <w:sz w:val="20"/>
                <w:szCs w:val="20"/>
                <w:lang w:eastAsia="zh-CN"/>
              </w:rPr>
              <w:t>outline</w:t>
            </w:r>
            <w:r w:rsidRPr="004F65AE">
              <w:rPr>
                <w:rFonts w:asciiTheme="majorBidi" w:eastAsia="MS Gothic" w:hAnsiTheme="majorBidi" w:cstheme="majorBidi"/>
                <w:color w:val="000000"/>
                <w:sz w:val="20"/>
                <w:szCs w:val="20"/>
              </w:rPr>
              <w:t xml:space="preserve"> </w:t>
            </w:r>
            <w:r w:rsidRPr="004F65AE">
              <w:rPr>
                <w:rFonts w:asciiTheme="majorBidi" w:eastAsia="MS Gothic" w:hAnsiTheme="majorBidi" w:cstheme="majorBidi"/>
                <w:color w:val="000000"/>
                <w:sz w:val="20"/>
                <w:szCs w:val="20"/>
                <w:lang w:val="en-US"/>
              </w:rPr>
              <w:t>the main</w:t>
            </w:r>
            <w:r w:rsidRPr="004F65AE">
              <w:rPr>
                <w:rFonts w:asciiTheme="majorBidi" w:eastAsia="DengXian" w:hAnsiTheme="majorBidi" w:cstheme="majorBidi"/>
                <w:color w:val="000000"/>
                <w:spacing w:val="1"/>
                <w:sz w:val="20"/>
                <w:szCs w:val="20"/>
                <w:lang w:val="en-US"/>
              </w:rPr>
              <w:t xml:space="preserve"> </w:t>
            </w:r>
            <w:r w:rsidRPr="004F65AE">
              <w:rPr>
                <w:rFonts w:asciiTheme="majorBidi" w:eastAsia="DengXian" w:hAnsiTheme="majorBidi" w:cstheme="majorBidi"/>
                <w:color w:val="000000"/>
                <w:sz w:val="20"/>
                <w:szCs w:val="20"/>
                <w:lang w:val="en-US"/>
              </w:rPr>
              <w:t>policy</w:t>
            </w:r>
            <w:r w:rsidRPr="004F65AE">
              <w:rPr>
                <w:rFonts w:asciiTheme="majorBidi" w:eastAsia="DengXian" w:hAnsiTheme="majorBidi" w:cstheme="majorBidi"/>
                <w:color w:val="000000"/>
                <w:spacing w:val="-2"/>
                <w:sz w:val="20"/>
                <w:szCs w:val="20"/>
                <w:lang w:val="en-US"/>
              </w:rPr>
              <w:t xml:space="preserve"> </w:t>
            </w:r>
            <w:r w:rsidRPr="004F65AE">
              <w:rPr>
                <w:rFonts w:asciiTheme="majorBidi" w:eastAsia="DengXian" w:hAnsiTheme="majorBidi" w:cstheme="majorBidi"/>
                <w:color w:val="000000"/>
                <w:sz w:val="20"/>
                <w:szCs w:val="20"/>
                <w:lang w:val="en-US"/>
              </w:rPr>
              <w:t>measures</w:t>
            </w:r>
            <w:r w:rsidRPr="004F65AE">
              <w:rPr>
                <w:rFonts w:asciiTheme="majorBidi" w:eastAsia="DengXian" w:hAnsiTheme="majorBidi" w:cstheme="majorBidi"/>
                <w:color w:val="000000"/>
                <w:spacing w:val="-1"/>
                <w:sz w:val="20"/>
                <w:szCs w:val="20"/>
                <w:lang w:val="en-US"/>
              </w:rPr>
              <w:t xml:space="preserve"> </w:t>
            </w:r>
            <w:r w:rsidRPr="004F65AE">
              <w:rPr>
                <w:rFonts w:asciiTheme="majorBidi" w:eastAsia="DengXian" w:hAnsiTheme="majorBidi" w:cstheme="majorBidi"/>
                <w:color w:val="000000"/>
                <w:sz w:val="20"/>
                <w:szCs w:val="20"/>
                <w:lang w:val="en-US"/>
              </w:rPr>
              <w:t>or</w:t>
            </w:r>
            <w:r w:rsidRPr="004F65AE">
              <w:rPr>
                <w:rFonts w:asciiTheme="majorBidi" w:eastAsia="DengXian" w:hAnsiTheme="majorBidi" w:cstheme="majorBidi"/>
                <w:color w:val="000000"/>
                <w:spacing w:val="-2"/>
                <w:sz w:val="20"/>
                <w:szCs w:val="20"/>
                <w:lang w:val="en-US"/>
              </w:rPr>
              <w:t xml:space="preserve"> </w:t>
            </w:r>
            <w:r w:rsidRPr="004F65AE">
              <w:rPr>
                <w:rFonts w:asciiTheme="majorBidi" w:eastAsia="DengXian" w:hAnsiTheme="majorBidi" w:cstheme="majorBidi"/>
                <w:color w:val="000000"/>
                <w:sz w:val="20"/>
                <w:szCs w:val="20"/>
                <w:lang w:val="en-US"/>
              </w:rPr>
              <w:t>actions</w:t>
            </w:r>
            <w:r w:rsidRPr="004F65AE">
              <w:rPr>
                <w:rFonts w:asciiTheme="majorBidi" w:eastAsia="DengXian" w:hAnsiTheme="majorBidi" w:cstheme="majorBidi"/>
                <w:color w:val="000000"/>
                <w:spacing w:val="-3"/>
                <w:sz w:val="20"/>
                <w:szCs w:val="20"/>
                <w:lang w:val="en-US"/>
              </w:rPr>
              <w:t xml:space="preserve"> </w:t>
            </w:r>
            <w:r w:rsidRPr="004F65AE">
              <w:rPr>
                <w:rFonts w:asciiTheme="majorBidi" w:eastAsia="DengXian" w:hAnsiTheme="majorBidi" w:cstheme="majorBidi"/>
                <w:color w:val="000000"/>
                <w:sz w:val="20"/>
                <w:szCs w:val="20"/>
                <w:lang w:val="en-US"/>
              </w:rPr>
              <w:t>that</w:t>
            </w:r>
            <w:r w:rsidRPr="004F65AE">
              <w:rPr>
                <w:rFonts w:asciiTheme="majorBidi" w:eastAsia="DengXian" w:hAnsiTheme="majorBidi" w:cstheme="majorBidi"/>
                <w:color w:val="000000"/>
                <w:spacing w:val="-1"/>
                <w:sz w:val="20"/>
                <w:szCs w:val="20"/>
                <w:lang w:val="en-US"/>
              </w:rPr>
              <w:t xml:space="preserve"> </w:t>
            </w:r>
            <w:r w:rsidRPr="004F65AE">
              <w:rPr>
                <w:rFonts w:asciiTheme="majorBidi" w:eastAsia="DengXian" w:hAnsiTheme="majorBidi" w:cstheme="majorBidi"/>
                <w:color w:val="000000"/>
                <w:sz w:val="20"/>
                <w:szCs w:val="20"/>
                <w:lang w:val="en-US"/>
              </w:rPr>
              <w:t>will</w:t>
            </w:r>
            <w:r w:rsidRPr="004F65AE">
              <w:rPr>
                <w:rFonts w:asciiTheme="majorBidi" w:eastAsia="DengXian" w:hAnsiTheme="majorBidi" w:cstheme="majorBidi"/>
                <w:color w:val="000000"/>
                <w:spacing w:val="-1"/>
                <w:sz w:val="20"/>
                <w:szCs w:val="20"/>
                <w:lang w:val="en-US"/>
              </w:rPr>
              <w:t xml:space="preserve"> </w:t>
            </w:r>
            <w:r w:rsidRPr="004F65AE">
              <w:rPr>
                <w:rFonts w:asciiTheme="majorBidi" w:eastAsia="DengXian" w:hAnsiTheme="majorBidi" w:cstheme="majorBidi"/>
                <w:color w:val="000000"/>
                <w:sz w:val="20"/>
                <w:szCs w:val="20"/>
                <w:lang w:val="en-US"/>
              </w:rPr>
              <w:t>be</w:t>
            </w:r>
            <w:r w:rsidRPr="004F65AE">
              <w:rPr>
                <w:rFonts w:asciiTheme="majorBidi" w:eastAsia="DengXian" w:hAnsiTheme="majorBidi" w:cstheme="majorBidi"/>
                <w:color w:val="000000"/>
                <w:spacing w:val="-3"/>
                <w:sz w:val="20"/>
                <w:szCs w:val="20"/>
                <w:lang w:val="en-US"/>
              </w:rPr>
              <w:t xml:space="preserve"> </w:t>
            </w:r>
            <w:r w:rsidRPr="004F65AE">
              <w:rPr>
                <w:rFonts w:asciiTheme="majorBidi" w:eastAsia="DengXian" w:hAnsiTheme="majorBidi" w:cstheme="majorBidi"/>
                <w:color w:val="000000"/>
                <w:sz w:val="20"/>
                <w:szCs w:val="20"/>
                <w:lang w:val="en-US"/>
              </w:rPr>
              <w:t>taken</w:t>
            </w:r>
            <w:r w:rsidRPr="004F65AE">
              <w:rPr>
                <w:rFonts w:asciiTheme="majorBidi" w:eastAsia="DengXian" w:hAnsiTheme="majorBidi" w:cstheme="majorBidi"/>
                <w:color w:val="000000"/>
                <w:spacing w:val="-4"/>
                <w:sz w:val="20"/>
                <w:szCs w:val="20"/>
                <w:lang w:val="en-US"/>
              </w:rPr>
              <w:t xml:space="preserve"> </w:t>
            </w:r>
            <w:r w:rsidRPr="004F65AE">
              <w:rPr>
                <w:rFonts w:asciiTheme="majorBidi" w:eastAsia="DengXian" w:hAnsiTheme="majorBidi" w:cstheme="majorBidi"/>
                <w:color w:val="000000"/>
                <w:sz w:val="20"/>
                <w:szCs w:val="20"/>
                <w:lang w:val="en-US"/>
              </w:rPr>
              <w:t>to</w:t>
            </w:r>
            <w:r w:rsidRPr="004F65AE">
              <w:rPr>
                <w:rFonts w:asciiTheme="majorBidi" w:eastAsia="DengXian" w:hAnsiTheme="majorBidi" w:cstheme="majorBidi"/>
                <w:color w:val="000000"/>
                <w:spacing w:val="-2"/>
                <w:sz w:val="20"/>
                <w:szCs w:val="20"/>
                <w:lang w:val="en-US"/>
              </w:rPr>
              <w:t xml:space="preserve"> </w:t>
            </w:r>
            <w:r w:rsidRPr="004F65AE">
              <w:rPr>
                <w:rFonts w:asciiTheme="majorBidi" w:eastAsia="DengXian" w:hAnsiTheme="majorBidi" w:cstheme="majorBidi"/>
                <w:color w:val="000000"/>
                <w:sz w:val="20"/>
                <w:szCs w:val="20"/>
                <w:lang w:val="en-US"/>
              </w:rPr>
              <w:t>achieve</w:t>
            </w:r>
            <w:r w:rsidRPr="004F65AE">
              <w:rPr>
                <w:rFonts w:asciiTheme="majorBidi" w:eastAsia="DengXian" w:hAnsiTheme="majorBidi" w:cstheme="majorBidi"/>
                <w:color w:val="000000"/>
                <w:spacing w:val="-3"/>
                <w:sz w:val="20"/>
                <w:szCs w:val="20"/>
                <w:lang w:val="en-US"/>
              </w:rPr>
              <w:t xml:space="preserve"> </w:t>
            </w:r>
            <w:r w:rsidRPr="004F65AE">
              <w:rPr>
                <w:rFonts w:asciiTheme="majorBidi" w:eastAsia="DengXian" w:hAnsiTheme="majorBidi" w:cstheme="majorBidi"/>
                <w:color w:val="000000"/>
                <w:sz w:val="20"/>
                <w:szCs w:val="20"/>
                <w:lang w:val="en-US"/>
              </w:rPr>
              <w:t>this</w:t>
            </w:r>
            <w:r w:rsidRPr="004F65AE">
              <w:rPr>
                <w:rFonts w:asciiTheme="majorBidi" w:eastAsia="DengXian" w:hAnsiTheme="majorBidi" w:cstheme="majorBidi"/>
                <w:color w:val="000000"/>
                <w:spacing w:val="-2"/>
                <w:sz w:val="20"/>
                <w:szCs w:val="20"/>
                <w:lang w:val="en-US"/>
              </w:rPr>
              <w:t xml:space="preserve"> </w:t>
            </w:r>
            <w:r w:rsidRPr="004F65AE">
              <w:rPr>
                <w:rFonts w:asciiTheme="majorBidi" w:eastAsia="DengXian" w:hAnsiTheme="majorBidi" w:cstheme="majorBidi"/>
                <w:iCs/>
                <w:color w:val="000000"/>
                <w:spacing w:val="-2"/>
                <w:sz w:val="20"/>
                <w:szCs w:val="20"/>
                <w:lang w:val="en-US" w:eastAsia="zh-CN"/>
              </w:rPr>
              <w:t xml:space="preserve">national target. </w:t>
            </w:r>
            <w:r w:rsidRPr="004F65AE">
              <w:rPr>
                <w:rFonts w:asciiTheme="majorBidi" w:hAnsiTheme="majorBidi" w:cstheme="majorBidi"/>
                <w:i/>
                <w:kern w:val="22"/>
                <w:sz w:val="20"/>
                <w:szCs w:val="20"/>
              </w:rPr>
              <w:t>(optional)</w:t>
            </w:r>
          </w:p>
          <w:p w14:paraId="76A8D4BE" w14:textId="77777777" w:rsidR="00005A3C" w:rsidRPr="004F65AE" w:rsidRDefault="00005A3C" w:rsidP="00F36208">
            <w:pPr>
              <w:suppressLineNumbers/>
              <w:shd w:val="clear" w:color="auto" w:fill="FFFFFF" w:themeFill="background1"/>
              <w:suppressAutoHyphens/>
              <w:adjustRightInd w:val="0"/>
              <w:snapToGrid w:val="0"/>
              <w:rPr>
                <w:rFonts w:asciiTheme="majorBidi" w:hAnsiTheme="majorBidi" w:cstheme="majorBidi"/>
                <w:color w:val="000000"/>
                <w:kern w:val="22"/>
                <w:sz w:val="20"/>
                <w:szCs w:val="20"/>
              </w:rPr>
            </w:pPr>
          </w:p>
          <w:p w14:paraId="45F683F8" w14:textId="77777777" w:rsidR="00005A3C" w:rsidRPr="004F65AE" w:rsidRDefault="00005A3C" w:rsidP="00F36208">
            <w:pPr>
              <w:suppressLineNumbers/>
              <w:pBdr>
                <w:top w:val="single" w:sz="6" w:space="1" w:color="auto"/>
                <w:bottom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rPr>
            </w:pPr>
          </w:p>
          <w:p w14:paraId="1D31A02E" w14:textId="77777777" w:rsidR="00005A3C" w:rsidRPr="004F65AE" w:rsidRDefault="00005A3C" w:rsidP="00F36208">
            <w:pPr>
              <w:suppressLineNumbers/>
              <w:shd w:val="clear" w:color="auto" w:fill="FFFFFF" w:themeFill="background1"/>
              <w:suppressAutoHyphens/>
              <w:adjustRightInd w:val="0"/>
              <w:snapToGrid w:val="0"/>
              <w:spacing w:after="120"/>
              <w:rPr>
                <w:rFonts w:asciiTheme="majorBidi" w:hAnsiTheme="majorBidi" w:cstheme="majorBidi"/>
                <w:color w:val="000000"/>
                <w:kern w:val="22"/>
                <w:sz w:val="20"/>
                <w:szCs w:val="20"/>
              </w:rPr>
            </w:pPr>
          </w:p>
        </w:tc>
        <w:tc>
          <w:tcPr>
            <w:tcW w:w="1228" w:type="dxa"/>
            <w:shd w:val="clear" w:color="auto" w:fill="FFFFFF" w:themeFill="background1"/>
          </w:tcPr>
          <w:p w14:paraId="13DACB72" w14:textId="77777777" w:rsidR="00005A3C" w:rsidRPr="004F65AE" w:rsidRDefault="00005A3C" w:rsidP="00F36208">
            <w:pPr>
              <w:shd w:val="clear" w:color="auto" w:fill="FFFFFF" w:themeFill="background1"/>
              <w:jc w:val="left"/>
              <w:rPr>
                <w:rFonts w:asciiTheme="majorBidi" w:eastAsia="DengXian" w:hAnsiTheme="majorBidi" w:cstheme="majorBidi"/>
                <w:b/>
                <w:kern w:val="22"/>
                <w:sz w:val="20"/>
                <w:szCs w:val="20"/>
                <w:lang w:val="en-US"/>
              </w:rPr>
            </w:pPr>
          </w:p>
        </w:tc>
      </w:tr>
      <w:tr w:rsidR="00005A3C" w:rsidRPr="004F65AE" w14:paraId="65DA1AD6" w14:textId="77777777" w:rsidTr="00CA676A">
        <w:tc>
          <w:tcPr>
            <w:tcW w:w="4957" w:type="dxa"/>
            <w:shd w:val="clear" w:color="auto" w:fill="FFFFFF" w:themeFill="background1"/>
          </w:tcPr>
          <w:p w14:paraId="770AE875" w14:textId="77777777" w:rsidR="00005A3C" w:rsidRPr="004F65AE" w:rsidRDefault="00005A3C" w:rsidP="00F36208">
            <w:pPr>
              <w:suppressLineNumbers/>
              <w:shd w:val="clear" w:color="auto" w:fill="FFFFFF" w:themeFill="background1"/>
              <w:suppressAutoHyphens/>
              <w:adjustRightInd w:val="0"/>
              <w:snapToGrid w:val="0"/>
              <w:rPr>
                <w:rFonts w:asciiTheme="majorBidi" w:hAnsiTheme="majorBidi" w:cstheme="majorBidi"/>
                <w:color w:val="000000"/>
                <w:kern w:val="22"/>
                <w:sz w:val="20"/>
                <w:szCs w:val="20"/>
              </w:rPr>
            </w:pPr>
          </w:p>
        </w:tc>
        <w:tc>
          <w:tcPr>
            <w:tcW w:w="3260" w:type="dxa"/>
            <w:gridSpan w:val="2"/>
            <w:shd w:val="clear" w:color="auto" w:fill="FFFFFF" w:themeFill="background1"/>
          </w:tcPr>
          <w:p w14:paraId="7884D8A5" w14:textId="77777777" w:rsidR="00005A3C" w:rsidRPr="004F65AE" w:rsidRDefault="00005A3C" w:rsidP="00F36208">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b/>
                <w:bCs/>
                <w:color w:val="000000"/>
                <w:kern w:val="22"/>
                <w:sz w:val="20"/>
                <w:szCs w:val="20"/>
              </w:rPr>
            </w:pPr>
            <w:r w:rsidRPr="004F65AE">
              <w:rPr>
                <w:rFonts w:asciiTheme="majorBidi" w:eastAsia="MS Gothic" w:hAnsiTheme="majorBidi" w:cstheme="majorBidi"/>
                <w:b/>
                <w:bCs/>
                <w:color w:val="000000"/>
                <w:kern w:val="22"/>
                <w:sz w:val="20"/>
                <w:szCs w:val="20"/>
              </w:rPr>
              <w:t xml:space="preserve">Indicators to be used to monitor this </w:t>
            </w:r>
            <w:r w:rsidRPr="004F65AE">
              <w:rPr>
                <w:rFonts w:asciiTheme="majorBidi" w:eastAsia="MS Gothic" w:hAnsiTheme="majorBidi" w:cstheme="majorBidi"/>
                <w:b/>
                <w:color w:val="000000"/>
                <w:kern w:val="22"/>
                <w:sz w:val="20"/>
                <w:szCs w:val="20"/>
              </w:rPr>
              <w:t>national target</w:t>
            </w:r>
          </w:p>
          <w:p w14:paraId="1B7833CB" w14:textId="77777777" w:rsidR="00005A3C" w:rsidRPr="004F65AE" w:rsidRDefault="00005A3C" w:rsidP="00F36208">
            <w:pPr>
              <w:keepNext/>
              <w:suppressLineNumbers/>
              <w:shd w:val="clear" w:color="auto" w:fill="FFFFFF" w:themeFill="background1"/>
              <w:suppressAutoHyphens/>
              <w:kinsoku w:val="0"/>
              <w:overflowPunct w:val="0"/>
              <w:autoSpaceDE w:val="0"/>
              <w:autoSpaceDN w:val="0"/>
              <w:adjustRightInd w:val="0"/>
              <w:snapToGrid w:val="0"/>
              <w:spacing w:before="120"/>
              <w:rPr>
                <w:rFonts w:asciiTheme="majorBidi" w:eastAsia="MS Gothic" w:hAnsiTheme="majorBidi" w:cstheme="majorBidi"/>
                <w:color w:val="000000"/>
                <w:kern w:val="22"/>
                <w:sz w:val="20"/>
                <w:szCs w:val="20"/>
                <w:u w:val="single"/>
              </w:rPr>
            </w:pPr>
            <w:r w:rsidRPr="004F65AE">
              <w:rPr>
                <w:rFonts w:asciiTheme="majorBidi" w:eastAsia="MS Gothic" w:hAnsiTheme="majorBidi" w:cstheme="majorBidi"/>
                <w:color w:val="000000"/>
                <w:kern w:val="22"/>
                <w:sz w:val="20"/>
                <w:szCs w:val="20"/>
                <w:u w:val="single"/>
              </w:rPr>
              <w:t xml:space="preserve">Headline indicators </w:t>
            </w:r>
          </w:p>
          <w:p w14:paraId="6D67C457" w14:textId="77777777" w:rsidR="00005A3C" w:rsidRPr="004F65AE" w:rsidRDefault="00005A3C" w:rsidP="00CA676A">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i/>
                <w:color w:val="000000"/>
                <w:kern w:val="22"/>
                <w:sz w:val="20"/>
                <w:szCs w:val="20"/>
              </w:rPr>
            </w:pPr>
            <w:r w:rsidRPr="004F65AE">
              <w:rPr>
                <w:rFonts w:asciiTheme="majorBidi" w:eastAsia="MS Gothic" w:hAnsiTheme="majorBidi" w:cstheme="majorBidi"/>
                <w:i/>
                <w:iCs/>
                <w:color w:val="000000"/>
                <w:kern w:val="22"/>
                <w:sz w:val="20"/>
                <w:szCs w:val="20"/>
              </w:rPr>
              <w:t>(drop-down menu</w:t>
            </w:r>
            <w:r w:rsidRPr="004F65AE">
              <w:rPr>
                <w:rFonts w:asciiTheme="majorBidi" w:eastAsia="MS Gothic" w:hAnsiTheme="majorBidi" w:cstheme="majorBidi"/>
                <w:i/>
                <w:color w:val="000000"/>
                <w:kern w:val="22"/>
                <w:sz w:val="20"/>
                <w:szCs w:val="20"/>
              </w:rPr>
              <w:t xml:space="preserve"> of </w:t>
            </w:r>
            <w:r w:rsidRPr="004F65AE">
              <w:rPr>
                <w:rFonts w:asciiTheme="majorBidi" w:eastAsia="MS Gothic" w:hAnsiTheme="majorBidi" w:cstheme="majorBidi"/>
                <w:i/>
                <w:iCs/>
                <w:color w:val="000000"/>
                <w:kern w:val="22"/>
                <w:sz w:val="20"/>
                <w:szCs w:val="20"/>
              </w:rPr>
              <w:t xml:space="preserve">headline indicators for the </w:t>
            </w:r>
            <w:r w:rsidRPr="004F65AE">
              <w:rPr>
                <w:rFonts w:asciiTheme="majorBidi" w:eastAsia="MS Gothic" w:hAnsiTheme="majorBidi" w:cstheme="majorBidi"/>
                <w:i/>
                <w:color w:val="000000"/>
                <w:kern w:val="22"/>
                <w:sz w:val="20"/>
                <w:szCs w:val="20"/>
              </w:rPr>
              <w:t xml:space="preserve">global </w:t>
            </w:r>
            <w:r w:rsidRPr="004F65AE">
              <w:rPr>
                <w:rFonts w:asciiTheme="majorBidi" w:eastAsia="MS Gothic" w:hAnsiTheme="majorBidi" w:cstheme="majorBidi"/>
                <w:i/>
                <w:iCs/>
                <w:color w:val="000000"/>
                <w:kern w:val="22"/>
                <w:sz w:val="20"/>
                <w:szCs w:val="20"/>
              </w:rPr>
              <w:t>targets indicated above)</w:t>
            </w:r>
          </w:p>
          <w:p w14:paraId="40E43664"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193355028"/>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w:t>
            </w:r>
          </w:p>
          <w:p w14:paraId="0E076CAD"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761906876"/>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w:t>
            </w:r>
          </w:p>
          <w:p w14:paraId="4DE0F43A"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627210808"/>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p>
          <w:p w14:paraId="4A062492" w14:textId="77777777" w:rsidR="00005A3C" w:rsidRPr="004F65AE" w:rsidRDefault="00005A3C" w:rsidP="00F36208">
            <w:pPr>
              <w:keepNext/>
              <w:suppressLineNumbers/>
              <w:shd w:val="clear" w:color="auto" w:fill="FFFFFF" w:themeFill="background1"/>
              <w:suppressAutoHyphens/>
              <w:kinsoku w:val="0"/>
              <w:overflowPunct w:val="0"/>
              <w:autoSpaceDE w:val="0"/>
              <w:autoSpaceDN w:val="0"/>
              <w:adjustRightInd w:val="0"/>
              <w:snapToGrid w:val="0"/>
              <w:spacing w:before="120"/>
              <w:rPr>
                <w:rFonts w:asciiTheme="majorBidi" w:eastAsia="MS Gothic" w:hAnsiTheme="majorBidi" w:cstheme="majorBidi"/>
                <w:color w:val="000000"/>
                <w:kern w:val="22"/>
                <w:sz w:val="20"/>
                <w:szCs w:val="20"/>
                <w:u w:val="single"/>
              </w:rPr>
            </w:pPr>
            <w:r w:rsidRPr="004F65AE">
              <w:rPr>
                <w:rFonts w:asciiTheme="majorBidi" w:eastAsia="MS Gothic" w:hAnsiTheme="majorBidi" w:cstheme="majorBidi"/>
                <w:color w:val="000000"/>
                <w:kern w:val="22"/>
                <w:sz w:val="20"/>
                <w:szCs w:val="20"/>
                <w:u w:val="single"/>
              </w:rPr>
              <w:t>Component indicators</w:t>
            </w:r>
          </w:p>
          <w:p w14:paraId="68B5C429" w14:textId="77777777" w:rsidR="00005A3C" w:rsidRPr="004F65AE" w:rsidRDefault="00005A3C" w:rsidP="00CA676A">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i/>
                <w:color w:val="000000"/>
                <w:kern w:val="22"/>
                <w:sz w:val="20"/>
                <w:szCs w:val="20"/>
              </w:rPr>
            </w:pPr>
            <w:r w:rsidRPr="004F65AE">
              <w:rPr>
                <w:rFonts w:asciiTheme="majorBidi" w:eastAsia="MS Gothic" w:hAnsiTheme="majorBidi" w:cstheme="majorBidi"/>
                <w:i/>
                <w:iCs/>
                <w:color w:val="000000"/>
                <w:kern w:val="22"/>
                <w:sz w:val="20"/>
                <w:szCs w:val="20"/>
              </w:rPr>
              <w:t>(drop-down menu of component indicators</w:t>
            </w:r>
            <w:r w:rsidRPr="004F65AE">
              <w:rPr>
                <w:rFonts w:asciiTheme="majorBidi" w:eastAsia="MS Gothic" w:hAnsiTheme="majorBidi" w:cstheme="majorBidi"/>
                <w:i/>
                <w:color w:val="000000"/>
                <w:kern w:val="22"/>
                <w:sz w:val="20"/>
                <w:szCs w:val="20"/>
              </w:rPr>
              <w:t xml:space="preserve"> for </w:t>
            </w:r>
            <w:r w:rsidRPr="004F65AE">
              <w:rPr>
                <w:rFonts w:asciiTheme="majorBidi" w:eastAsia="MS Gothic" w:hAnsiTheme="majorBidi" w:cstheme="majorBidi"/>
                <w:i/>
                <w:iCs/>
                <w:color w:val="000000"/>
                <w:kern w:val="22"/>
                <w:sz w:val="20"/>
                <w:szCs w:val="20"/>
              </w:rPr>
              <w:t>the</w:t>
            </w:r>
            <w:r w:rsidRPr="004F65AE">
              <w:rPr>
                <w:rFonts w:asciiTheme="majorBidi" w:eastAsia="MS Gothic" w:hAnsiTheme="majorBidi" w:cstheme="majorBidi"/>
                <w:i/>
                <w:color w:val="000000"/>
                <w:kern w:val="22"/>
                <w:sz w:val="20"/>
                <w:szCs w:val="20"/>
              </w:rPr>
              <w:t xml:space="preserve"> global </w:t>
            </w:r>
            <w:r w:rsidRPr="004F65AE">
              <w:rPr>
                <w:rFonts w:asciiTheme="majorBidi" w:eastAsia="MS Gothic" w:hAnsiTheme="majorBidi" w:cstheme="majorBidi"/>
                <w:i/>
                <w:iCs/>
                <w:color w:val="000000"/>
                <w:kern w:val="22"/>
                <w:sz w:val="20"/>
                <w:szCs w:val="20"/>
              </w:rPr>
              <w:t>targets indicated above)</w:t>
            </w:r>
          </w:p>
          <w:p w14:paraId="203351E8"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655531601"/>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w:t>
            </w:r>
          </w:p>
          <w:p w14:paraId="6BD9F22B"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1120446487"/>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w:t>
            </w:r>
          </w:p>
          <w:p w14:paraId="232C4100"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685131462"/>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p>
          <w:p w14:paraId="73C66DB2" w14:textId="77777777" w:rsidR="00005A3C" w:rsidRPr="004F65AE" w:rsidRDefault="00005A3C" w:rsidP="00F36208">
            <w:pPr>
              <w:keepNext/>
              <w:suppressLineNumbers/>
              <w:shd w:val="clear" w:color="auto" w:fill="FFFFFF" w:themeFill="background1"/>
              <w:suppressAutoHyphens/>
              <w:kinsoku w:val="0"/>
              <w:overflowPunct w:val="0"/>
              <w:autoSpaceDE w:val="0"/>
              <w:autoSpaceDN w:val="0"/>
              <w:adjustRightInd w:val="0"/>
              <w:snapToGrid w:val="0"/>
              <w:spacing w:before="120"/>
              <w:rPr>
                <w:rFonts w:asciiTheme="majorBidi" w:eastAsia="MS Gothic" w:hAnsiTheme="majorBidi" w:cstheme="majorBidi"/>
                <w:color w:val="000000"/>
                <w:kern w:val="22"/>
                <w:sz w:val="20"/>
                <w:szCs w:val="20"/>
                <w:u w:val="single"/>
              </w:rPr>
            </w:pPr>
            <w:r w:rsidRPr="004F65AE">
              <w:rPr>
                <w:rFonts w:asciiTheme="majorBidi" w:eastAsia="MS Gothic" w:hAnsiTheme="majorBidi" w:cstheme="majorBidi"/>
                <w:color w:val="000000"/>
                <w:kern w:val="22"/>
                <w:sz w:val="20"/>
                <w:szCs w:val="20"/>
                <w:u w:val="single"/>
              </w:rPr>
              <w:t>Complementary indicators</w:t>
            </w:r>
          </w:p>
          <w:p w14:paraId="1E6B378F" w14:textId="77777777" w:rsidR="00005A3C" w:rsidRPr="004F65AE" w:rsidRDefault="00005A3C" w:rsidP="00CA676A">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i/>
                <w:iCs/>
                <w:color w:val="000000"/>
                <w:kern w:val="22"/>
                <w:sz w:val="20"/>
                <w:szCs w:val="20"/>
              </w:rPr>
            </w:pPr>
            <w:r w:rsidRPr="004F65AE">
              <w:rPr>
                <w:rFonts w:asciiTheme="majorBidi" w:eastAsia="MS Gothic" w:hAnsiTheme="majorBidi" w:cstheme="majorBidi"/>
                <w:i/>
                <w:iCs/>
                <w:color w:val="000000"/>
                <w:kern w:val="22"/>
                <w:sz w:val="20"/>
                <w:szCs w:val="20"/>
              </w:rPr>
              <w:t>(drop-down menu of complementary indicators for the global targets indicated above)</w:t>
            </w:r>
          </w:p>
          <w:p w14:paraId="123F2006"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122622689"/>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w:t>
            </w:r>
          </w:p>
          <w:p w14:paraId="1ABC4D11"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571931534"/>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w:t>
            </w:r>
          </w:p>
          <w:p w14:paraId="44E53235"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731306228"/>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p>
          <w:p w14:paraId="27C3FB77"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p>
          <w:p w14:paraId="2492C066" w14:textId="77777777" w:rsidR="00005A3C" w:rsidRPr="004F65AE" w:rsidRDefault="00005A3C" w:rsidP="00F36208">
            <w:pPr>
              <w:keepNext/>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u w:val="single"/>
              </w:rPr>
            </w:pPr>
            <w:r w:rsidRPr="004F65AE">
              <w:rPr>
                <w:rFonts w:asciiTheme="majorBidi" w:eastAsia="MS Gothic" w:hAnsiTheme="majorBidi" w:cstheme="majorBidi"/>
                <w:color w:val="000000"/>
                <w:kern w:val="22"/>
                <w:sz w:val="20"/>
                <w:szCs w:val="20"/>
                <w:u w:val="single"/>
              </w:rPr>
              <w:t>Other national indicators</w:t>
            </w:r>
          </w:p>
          <w:p w14:paraId="2CEBDD6D"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2074338912"/>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__________________________</w:t>
            </w:r>
          </w:p>
          <w:p w14:paraId="6F9A664D"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1558817664"/>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__________________________</w:t>
            </w:r>
          </w:p>
          <w:p w14:paraId="115391A9"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1197456181"/>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__________________________</w:t>
            </w:r>
          </w:p>
          <w:p w14:paraId="4E07B345" w14:textId="77777777" w:rsidR="00005A3C" w:rsidRPr="004F65AE" w:rsidRDefault="00005A3C" w:rsidP="00CA676A">
            <w:pPr>
              <w:suppressLineNumbers/>
              <w:shd w:val="clear" w:color="auto" w:fill="FFFFFF" w:themeFill="background1"/>
              <w:suppressAutoHyphens/>
              <w:adjustRightInd w:val="0"/>
              <w:snapToGrid w:val="0"/>
              <w:jc w:val="left"/>
              <w:rPr>
                <w:rFonts w:asciiTheme="majorBidi" w:eastAsia="MS Gothic" w:hAnsiTheme="majorBidi" w:cstheme="majorBidi"/>
                <w:color w:val="000000"/>
                <w:kern w:val="22"/>
                <w:sz w:val="20"/>
                <w:szCs w:val="20"/>
              </w:rPr>
            </w:pPr>
            <w:r w:rsidRPr="004F65AE">
              <w:rPr>
                <w:rFonts w:asciiTheme="majorBidi" w:eastAsia="MS Gothic" w:hAnsiTheme="majorBidi" w:cstheme="majorBidi"/>
                <w:color w:val="000000"/>
                <w:kern w:val="22"/>
                <w:sz w:val="20"/>
                <w:szCs w:val="20"/>
              </w:rPr>
              <w:t>…</w:t>
            </w:r>
          </w:p>
        </w:tc>
        <w:tc>
          <w:tcPr>
            <w:tcW w:w="1228" w:type="dxa"/>
            <w:shd w:val="clear" w:color="auto" w:fill="FFFFFF" w:themeFill="background1"/>
          </w:tcPr>
          <w:p w14:paraId="187544B9" w14:textId="77777777" w:rsidR="00005A3C" w:rsidRPr="004F65AE" w:rsidRDefault="00005A3C" w:rsidP="00F36208">
            <w:pPr>
              <w:shd w:val="clear" w:color="auto" w:fill="FFFFFF" w:themeFill="background1"/>
              <w:jc w:val="left"/>
              <w:rPr>
                <w:rFonts w:asciiTheme="majorBidi" w:eastAsia="DengXian" w:hAnsiTheme="majorBidi" w:cstheme="majorBidi"/>
                <w:b/>
                <w:kern w:val="22"/>
                <w:sz w:val="20"/>
                <w:szCs w:val="20"/>
                <w:lang w:val="en-US"/>
              </w:rPr>
            </w:pPr>
          </w:p>
        </w:tc>
      </w:tr>
      <w:tr w:rsidR="00005A3C" w:rsidRPr="004F65AE" w14:paraId="7559C9CC" w14:textId="77777777" w:rsidTr="00CA676A">
        <w:tc>
          <w:tcPr>
            <w:tcW w:w="4957" w:type="dxa"/>
            <w:shd w:val="clear" w:color="auto" w:fill="FFFFFF" w:themeFill="background1"/>
          </w:tcPr>
          <w:p w14:paraId="7B447555" w14:textId="77777777" w:rsidR="00005A3C" w:rsidRPr="004F65AE" w:rsidRDefault="00005A3C" w:rsidP="00F36208">
            <w:pPr>
              <w:suppressLineNumbers/>
              <w:shd w:val="clear" w:color="auto" w:fill="FFFFFF" w:themeFill="background1"/>
              <w:suppressAutoHyphens/>
              <w:adjustRightInd w:val="0"/>
              <w:snapToGrid w:val="0"/>
              <w:rPr>
                <w:rFonts w:asciiTheme="majorBidi" w:hAnsiTheme="majorBidi" w:cstheme="majorBidi"/>
                <w:color w:val="000000"/>
                <w:kern w:val="22"/>
                <w:sz w:val="20"/>
                <w:szCs w:val="20"/>
              </w:rPr>
            </w:pPr>
          </w:p>
        </w:tc>
        <w:tc>
          <w:tcPr>
            <w:tcW w:w="3260" w:type="dxa"/>
            <w:gridSpan w:val="2"/>
            <w:shd w:val="clear" w:color="auto" w:fill="FFFFFF" w:themeFill="background1"/>
          </w:tcPr>
          <w:p w14:paraId="0C5625CF" w14:textId="77777777" w:rsidR="00005A3C" w:rsidRPr="004F65AE" w:rsidRDefault="00005A3C" w:rsidP="00F36208">
            <w:pPr>
              <w:keepNext/>
              <w:suppressLineNumbers/>
              <w:shd w:val="clear" w:color="auto" w:fill="FFFFFF" w:themeFill="background1"/>
              <w:suppressAutoHyphens/>
              <w:adjustRightInd w:val="0"/>
              <w:snapToGrid w:val="0"/>
              <w:spacing w:before="120" w:after="120"/>
              <w:jc w:val="left"/>
              <w:rPr>
                <w:rFonts w:asciiTheme="majorBidi" w:hAnsiTheme="majorBidi" w:cstheme="majorBidi"/>
                <w:color w:val="000000"/>
                <w:kern w:val="22"/>
                <w:sz w:val="20"/>
                <w:szCs w:val="20"/>
              </w:rPr>
            </w:pPr>
            <w:r w:rsidRPr="004F65AE">
              <w:rPr>
                <w:rFonts w:asciiTheme="majorBidi" w:hAnsiTheme="majorBidi" w:cstheme="majorBidi"/>
                <w:b/>
                <w:bCs/>
                <w:color w:val="000000"/>
                <w:kern w:val="22"/>
                <w:sz w:val="20"/>
                <w:szCs w:val="20"/>
              </w:rPr>
              <w:t xml:space="preserve">Non-State actor commitments </w:t>
            </w:r>
            <w:r w:rsidRPr="004F65AE">
              <w:rPr>
                <w:rFonts w:asciiTheme="majorBidi" w:hAnsiTheme="majorBidi" w:cstheme="majorBidi"/>
                <w:b/>
                <w:bCs/>
                <w:i/>
                <w:iCs/>
                <w:color w:val="000000"/>
                <w:kern w:val="22"/>
                <w:sz w:val="20"/>
                <w:szCs w:val="20"/>
              </w:rPr>
              <w:t>(optional)</w:t>
            </w:r>
            <w:r w:rsidRPr="004F65AE">
              <w:rPr>
                <w:rFonts w:asciiTheme="majorBidi" w:hAnsiTheme="majorBidi" w:cstheme="majorBidi"/>
                <w:color w:val="000000"/>
                <w:kern w:val="22"/>
                <w:sz w:val="20"/>
                <w:szCs w:val="20"/>
              </w:rPr>
              <w:t xml:space="preserve">List the non-state </w:t>
            </w:r>
            <w:r w:rsidRPr="004F65AE">
              <w:rPr>
                <w:rFonts w:asciiTheme="majorBidi" w:hAnsiTheme="majorBidi" w:cstheme="majorBidi"/>
                <w:color w:val="000000"/>
                <w:kern w:val="22"/>
                <w:sz w:val="20"/>
                <w:szCs w:val="20"/>
              </w:rPr>
              <w:lastRenderedPageBreak/>
              <w:t>commitments toward</w:t>
            </w:r>
            <w:r>
              <w:rPr>
                <w:rFonts w:asciiTheme="majorBidi" w:hAnsiTheme="majorBidi" w:cstheme="majorBidi"/>
                <w:color w:val="000000"/>
                <w:kern w:val="22"/>
                <w:sz w:val="20"/>
                <w:szCs w:val="20"/>
              </w:rPr>
              <w:t>s</w:t>
            </w:r>
            <w:r w:rsidRPr="004F65AE">
              <w:rPr>
                <w:rFonts w:asciiTheme="majorBidi" w:hAnsiTheme="majorBidi" w:cstheme="majorBidi"/>
                <w:color w:val="000000"/>
                <w:kern w:val="22"/>
                <w:sz w:val="20"/>
                <w:szCs w:val="20"/>
              </w:rPr>
              <w:t xml:space="preserve"> this national Target:</w:t>
            </w:r>
          </w:p>
          <w:p w14:paraId="5FF52747" w14:textId="77777777" w:rsidR="00005A3C" w:rsidRPr="004F65AE" w:rsidRDefault="00005A3C" w:rsidP="00F36208">
            <w:pPr>
              <w:suppressLineNumbers/>
              <w:shd w:val="clear" w:color="auto" w:fill="FFFFFF" w:themeFill="background1"/>
              <w:suppressAutoHyphens/>
              <w:adjustRightInd w:val="0"/>
              <w:snapToGrid w:val="0"/>
              <w:jc w:val="left"/>
              <w:rPr>
                <w:rFonts w:asciiTheme="majorBidi" w:hAnsiTheme="majorBidi" w:cstheme="majorBidi"/>
                <w:color w:val="000000"/>
                <w:kern w:val="22"/>
                <w:sz w:val="20"/>
                <w:szCs w:val="20"/>
              </w:rPr>
            </w:pPr>
          </w:p>
          <w:p w14:paraId="5AF0A7A8" w14:textId="77777777" w:rsidR="00005A3C" w:rsidRPr="004F65AE" w:rsidRDefault="00005A3C" w:rsidP="00F36208">
            <w:pPr>
              <w:suppressLineNumbers/>
              <w:pBdr>
                <w:top w:val="single" w:sz="6" w:space="1" w:color="auto"/>
                <w:bottom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rPr>
            </w:pPr>
          </w:p>
          <w:p w14:paraId="5D5CC234" w14:textId="77777777" w:rsidR="00005A3C" w:rsidRPr="004F65AE" w:rsidRDefault="00005A3C" w:rsidP="00F36208">
            <w:pPr>
              <w:suppressLineNumbers/>
              <w:pBdr>
                <w:bottom w:val="single" w:sz="6" w:space="1" w:color="auto"/>
                <w:between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rPr>
            </w:pPr>
          </w:p>
          <w:p w14:paraId="4A932D7D" w14:textId="77777777" w:rsidR="00005A3C" w:rsidRPr="004F65AE" w:rsidRDefault="00005A3C" w:rsidP="00F36208">
            <w:pPr>
              <w:suppressLineNumbers/>
              <w:shd w:val="clear" w:color="auto" w:fill="FFFFFF" w:themeFill="background1"/>
              <w:suppressAutoHyphens/>
              <w:adjustRightInd w:val="0"/>
              <w:snapToGrid w:val="0"/>
              <w:spacing w:before="120" w:after="120"/>
              <w:jc w:val="left"/>
              <w:rPr>
                <w:rFonts w:asciiTheme="majorBidi" w:hAnsiTheme="majorBidi" w:cstheme="majorBidi"/>
                <w:color w:val="000000"/>
                <w:kern w:val="22"/>
                <w:sz w:val="20"/>
                <w:szCs w:val="20"/>
              </w:rPr>
            </w:pPr>
            <w:r w:rsidRPr="004F65AE">
              <w:rPr>
                <w:rFonts w:asciiTheme="majorBidi" w:hAnsiTheme="majorBidi" w:cstheme="majorBidi"/>
                <w:color w:val="000000"/>
                <w:kern w:val="22"/>
                <w:sz w:val="20"/>
                <w:szCs w:val="20"/>
              </w:rPr>
              <w:t>Are there any overlaps or links between this national target and targets or commitments submitted as non-</w:t>
            </w:r>
            <w:r>
              <w:rPr>
                <w:rFonts w:asciiTheme="majorBidi" w:hAnsiTheme="majorBidi" w:cstheme="majorBidi"/>
                <w:color w:val="000000"/>
                <w:kern w:val="22"/>
                <w:sz w:val="20"/>
                <w:szCs w:val="20"/>
              </w:rPr>
              <w:t>S</w:t>
            </w:r>
            <w:r w:rsidRPr="004F65AE">
              <w:rPr>
                <w:rFonts w:asciiTheme="majorBidi" w:hAnsiTheme="majorBidi" w:cstheme="majorBidi"/>
                <w:color w:val="000000"/>
                <w:kern w:val="22"/>
                <w:sz w:val="20"/>
                <w:szCs w:val="20"/>
              </w:rPr>
              <w:t xml:space="preserve">tate actor commitments to the </w:t>
            </w:r>
            <w:r w:rsidRPr="00E43B5C">
              <w:rPr>
                <w:rFonts w:asciiTheme="majorBidi" w:hAnsiTheme="majorBidi" w:cstheme="majorBidi"/>
                <w:bCs/>
                <w:snapToGrid w:val="0"/>
                <w:kern w:val="22"/>
                <w:sz w:val="20"/>
                <w:szCs w:val="20"/>
                <w:lang w:val="en-US"/>
              </w:rPr>
              <w:t xml:space="preserve">Kunming-Montreal </w:t>
            </w:r>
            <w:r w:rsidRPr="004F65AE">
              <w:rPr>
                <w:rFonts w:asciiTheme="majorBidi" w:hAnsiTheme="majorBidi" w:cstheme="majorBidi"/>
                <w:color w:val="000000"/>
                <w:kern w:val="22"/>
                <w:sz w:val="20"/>
                <w:szCs w:val="20"/>
              </w:rPr>
              <w:t>Global Biodiversity Framework?</w:t>
            </w:r>
          </w:p>
          <w:p w14:paraId="0B450422" w14:textId="77777777" w:rsidR="00005A3C" w:rsidRPr="004F65AE" w:rsidRDefault="00005A3C" w:rsidP="00F36208">
            <w:pPr>
              <w:suppressLineNumbers/>
              <w:shd w:val="clear" w:color="auto" w:fill="FFFFFF" w:themeFill="background1"/>
              <w:suppressAutoHyphens/>
              <w:adjustRightInd w:val="0"/>
              <w:snapToGrid w:val="0"/>
              <w:spacing w:before="120" w:after="120"/>
              <w:jc w:val="left"/>
              <w:rPr>
                <w:rFonts w:asciiTheme="majorBidi" w:hAnsiTheme="majorBidi" w:cstheme="majorBidi"/>
                <w:color w:val="000000"/>
                <w:kern w:val="22"/>
                <w:sz w:val="20"/>
                <w:szCs w:val="20"/>
              </w:rPr>
            </w:pPr>
            <w:r w:rsidRPr="004F65AE">
              <w:rPr>
                <w:rFonts w:asciiTheme="majorBidi" w:hAnsiTheme="majorBidi" w:cstheme="majorBidi"/>
                <w:color w:val="000000"/>
                <w:kern w:val="22"/>
                <w:sz w:val="20"/>
                <w:szCs w:val="20"/>
              </w:rPr>
              <w:t>If “Yes”, please indicate which commitment(s) and which actor(s).</w:t>
            </w:r>
          </w:p>
          <w:p w14:paraId="71BC3928" w14:textId="77777777" w:rsidR="00005A3C" w:rsidRPr="004F65AE" w:rsidRDefault="00005A3C" w:rsidP="00F36208">
            <w:pPr>
              <w:suppressLineNumbers/>
              <w:shd w:val="clear" w:color="auto" w:fill="FFFFFF" w:themeFill="background1"/>
              <w:suppressAutoHyphens/>
              <w:adjustRightInd w:val="0"/>
              <w:snapToGrid w:val="0"/>
              <w:jc w:val="left"/>
              <w:rPr>
                <w:rFonts w:asciiTheme="majorBidi" w:hAnsiTheme="majorBidi" w:cstheme="majorBidi"/>
                <w:color w:val="000000"/>
                <w:kern w:val="22"/>
                <w:sz w:val="20"/>
                <w:szCs w:val="20"/>
              </w:rPr>
            </w:pPr>
          </w:p>
          <w:p w14:paraId="5CE9A532" w14:textId="77777777" w:rsidR="00005A3C" w:rsidRPr="004F65AE" w:rsidRDefault="00005A3C" w:rsidP="00F36208">
            <w:pPr>
              <w:suppressLineNumbers/>
              <w:pBdr>
                <w:top w:val="single" w:sz="6" w:space="1" w:color="auto"/>
                <w:bottom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rPr>
            </w:pPr>
          </w:p>
          <w:p w14:paraId="0A735E23" w14:textId="77777777" w:rsidR="00005A3C" w:rsidRPr="004F65AE" w:rsidRDefault="00005A3C" w:rsidP="00F36208">
            <w:pPr>
              <w:suppressLineNumbers/>
              <w:pBdr>
                <w:bottom w:val="single" w:sz="6" w:space="1" w:color="auto"/>
                <w:between w:val="single" w:sz="6" w:space="1" w:color="auto"/>
              </w:pBdr>
              <w:shd w:val="clear" w:color="auto" w:fill="FFFFFF" w:themeFill="background1"/>
              <w:suppressAutoHyphens/>
              <w:adjustRightInd w:val="0"/>
              <w:snapToGrid w:val="0"/>
              <w:rPr>
                <w:rFonts w:asciiTheme="majorBidi" w:hAnsiTheme="majorBidi" w:cstheme="majorBidi"/>
                <w:color w:val="000000"/>
                <w:kern w:val="22"/>
                <w:sz w:val="20"/>
                <w:szCs w:val="20"/>
              </w:rPr>
            </w:pPr>
          </w:p>
          <w:p w14:paraId="06EF1892"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after="120"/>
              <w:rPr>
                <w:rFonts w:asciiTheme="majorBidi" w:eastAsia="MS Gothic" w:hAnsiTheme="majorBidi" w:cstheme="majorBidi"/>
                <w:color w:val="000000"/>
                <w:kern w:val="22"/>
                <w:sz w:val="20"/>
                <w:szCs w:val="20"/>
              </w:rPr>
            </w:pPr>
          </w:p>
        </w:tc>
        <w:tc>
          <w:tcPr>
            <w:tcW w:w="1228" w:type="dxa"/>
            <w:shd w:val="clear" w:color="auto" w:fill="FFFFFF" w:themeFill="background1"/>
          </w:tcPr>
          <w:p w14:paraId="1D8E40D4" w14:textId="77777777" w:rsidR="00005A3C" w:rsidRPr="004F65AE" w:rsidRDefault="00005A3C" w:rsidP="00F36208">
            <w:pPr>
              <w:shd w:val="clear" w:color="auto" w:fill="FFFFFF" w:themeFill="background1"/>
              <w:jc w:val="left"/>
              <w:rPr>
                <w:rFonts w:asciiTheme="majorBidi" w:eastAsia="DengXian" w:hAnsiTheme="majorBidi" w:cstheme="majorBidi"/>
                <w:b/>
                <w:kern w:val="22"/>
                <w:sz w:val="20"/>
                <w:szCs w:val="20"/>
                <w:lang w:val="en-US"/>
              </w:rPr>
            </w:pPr>
            <w:r w:rsidRPr="004F65AE">
              <w:rPr>
                <w:rFonts w:asciiTheme="majorBidi" w:eastAsia="DengXian" w:hAnsiTheme="majorBidi" w:cstheme="majorBidi"/>
                <w:i/>
                <w:color w:val="000000"/>
                <w:kern w:val="22"/>
                <w:sz w:val="20"/>
                <w:szCs w:val="20"/>
                <w:lang w:val="en-US"/>
              </w:rPr>
              <w:lastRenderedPageBreak/>
              <w:t xml:space="preserve">It is important to describe in this entry </w:t>
            </w:r>
            <w:r w:rsidRPr="004F65AE">
              <w:rPr>
                <w:rFonts w:asciiTheme="majorBidi" w:eastAsia="DengXian" w:hAnsiTheme="majorBidi" w:cstheme="majorBidi"/>
                <w:i/>
                <w:color w:val="000000"/>
                <w:kern w:val="22"/>
                <w:sz w:val="20"/>
                <w:szCs w:val="20"/>
                <w:lang w:val="en-US"/>
              </w:rPr>
              <w:lastRenderedPageBreak/>
              <w:t xml:space="preserve">how the initiative involves the national Government </w:t>
            </w:r>
            <w:r w:rsidRPr="004F65AE">
              <w:rPr>
                <w:rFonts w:asciiTheme="majorBidi" w:eastAsia="DengXian" w:hAnsiTheme="majorBidi" w:cstheme="majorBidi"/>
                <w:i/>
                <w:color w:val="000000"/>
                <w:kern w:val="22"/>
                <w:sz w:val="20"/>
                <w:szCs w:val="20"/>
                <w:u w:val="single"/>
                <w:lang w:val="en-US"/>
              </w:rPr>
              <w:t>and</w:t>
            </w:r>
            <w:r w:rsidRPr="004F65AE">
              <w:rPr>
                <w:rFonts w:asciiTheme="majorBidi" w:eastAsia="DengXian" w:hAnsiTheme="majorBidi" w:cstheme="majorBidi"/>
                <w:i/>
                <w:color w:val="000000"/>
                <w:kern w:val="22"/>
                <w:sz w:val="20"/>
                <w:szCs w:val="20"/>
                <w:lang w:val="en-US"/>
              </w:rPr>
              <w:t xml:space="preserve"> </w:t>
            </w:r>
            <w:r w:rsidRPr="004F65AE">
              <w:rPr>
                <w:rFonts w:asciiTheme="majorBidi" w:eastAsia="DengXian" w:hAnsiTheme="majorBidi" w:cstheme="majorBidi"/>
                <w:i/>
                <w:color w:val="000000"/>
                <w:kern w:val="22"/>
                <w:sz w:val="20"/>
                <w:szCs w:val="20"/>
              </w:rPr>
              <w:t>others. This box would be used to reduce double counting.</w:t>
            </w:r>
          </w:p>
        </w:tc>
      </w:tr>
      <w:tr w:rsidR="00005A3C" w:rsidRPr="004F65AE" w14:paraId="6E01E453" w14:textId="77777777" w:rsidTr="00CA676A">
        <w:tc>
          <w:tcPr>
            <w:tcW w:w="4957" w:type="dxa"/>
            <w:shd w:val="clear" w:color="auto" w:fill="FFFFFF" w:themeFill="background1"/>
          </w:tcPr>
          <w:p w14:paraId="109F8D93" w14:textId="77777777" w:rsidR="00005A3C" w:rsidRPr="004F65AE" w:rsidRDefault="00005A3C" w:rsidP="00F36208">
            <w:pPr>
              <w:suppressLineNumbers/>
              <w:shd w:val="clear" w:color="auto" w:fill="FFFFFF" w:themeFill="background1"/>
              <w:suppressAutoHyphens/>
              <w:adjustRightInd w:val="0"/>
              <w:snapToGrid w:val="0"/>
              <w:rPr>
                <w:rFonts w:asciiTheme="majorBidi" w:hAnsiTheme="majorBidi" w:cstheme="majorBidi"/>
                <w:color w:val="000000"/>
                <w:kern w:val="22"/>
                <w:sz w:val="20"/>
                <w:szCs w:val="20"/>
              </w:rPr>
            </w:pPr>
          </w:p>
        </w:tc>
        <w:tc>
          <w:tcPr>
            <w:tcW w:w="3260" w:type="dxa"/>
            <w:gridSpan w:val="2"/>
            <w:shd w:val="clear" w:color="auto" w:fill="FFFFFF" w:themeFill="background1"/>
          </w:tcPr>
          <w:p w14:paraId="5406FA9F" w14:textId="77777777" w:rsidR="00005A3C" w:rsidRPr="004F65AE" w:rsidRDefault="00005A3C" w:rsidP="00F36208">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b/>
                <w:bCs/>
                <w:color w:val="000000"/>
                <w:kern w:val="22"/>
                <w:sz w:val="20"/>
                <w:szCs w:val="20"/>
              </w:rPr>
            </w:pPr>
            <w:r w:rsidRPr="004F65AE">
              <w:rPr>
                <w:rFonts w:asciiTheme="majorBidi" w:eastAsia="MS Gothic" w:hAnsiTheme="majorBidi" w:cstheme="majorBidi"/>
                <w:b/>
                <w:bCs/>
                <w:color w:val="000000"/>
                <w:kern w:val="22"/>
                <w:sz w:val="20"/>
                <w:szCs w:val="20"/>
              </w:rPr>
              <w:t>Means of implementation</w:t>
            </w:r>
            <w:r>
              <w:rPr>
                <w:rFonts w:asciiTheme="majorBidi" w:eastAsia="MS Gothic" w:hAnsiTheme="majorBidi" w:cstheme="majorBidi"/>
                <w:b/>
                <w:bCs/>
                <w:color w:val="000000"/>
                <w:kern w:val="22"/>
                <w:sz w:val="20"/>
                <w:szCs w:val="20"/>
              </w:rPr>
              <w:t xml:space="preserve"> and barriers to implementation (optional)</w:t>
            </w:r>
          </w:p>
          <w:p w14:paraId="2AC984C6" w14:textId="77777777" w:rsidR="00005A3C" w:rsidRPr="004F65AE" w:rsidRDefault="00005A3C" w:rsidP="00F36208">
            <w:pPr>
              <w:suppressLineNumbers/>
              <w:shd w:val="clear" w:color="auto" w:fill="FFFFFF" w:themeFill="background1"/>
              <w:suppressAutoHyphens/>
              <w:adjustRightInd w:val="0"/>
              <w:snapToGrid w:val="0"/>
              <w:spacing w:after="120"/>
              <w:jc w:val="left"/>
              <w:rPr>
                <w:rFonts w:asciiTheme="majorBidi" w:eastAsia="MS Gothic" w:hAnsiTheme="majorBidi" w:cstheme="majorBidi"/>
                <w:color w:val="000000"/>
                <w:kern w:val="22"/>
                <w:sz w:val="20"/>
                <w:szCs w:val="20"/>
              </w:rPr>
            </w:pPr>
            <w:r w:rsidRPr="004F65AE">
              <w:rPr>
                <w:rFonts w:asciiTheme="majorBidi" w:eastAsia="MS Gothic" w:hAnsiTheme="majorBidi" w:cstheme="majorBidi"/>
                <w:color w:val="000000"/>
                <w:kern w:val="22"/>
                <w:sz w:val="20"/>
                <w:szCs w:val="20"/>
              </w:rPr>
              <w:t xml:space="preserve">Please indicate if </w:t>
            </w:r>
            <w:r>
              <w:rPr>
                <w:rFonts w:asciiTheme="majorBidi" w:eastAsia="MS Gothic" w:hAnsiTheme="majorBidi" w:cstheme="majorBidi"/>
                <w:color w:val="000000"/>
                <w:kern w:val="22"/>
                <w:sz w:val="20"/>
                <w:szCs w:val="20"/>
              </w:rPr>
              <w:t>additional means of implementation are needed for the attainment of this national target</w:t>
            </w:r>
            <w:r w:rsidRPr="004F65AE">
              <w:rPr>
                <w:rFonts w:asciiTheme="majorBidi" w:eastAsia="MS Gothic" w:hAnsiTheme="majorBidi" w:cstheme="majorBidi"/>
                <w:color w:val="000000"/>
                <w:kern w:val="22"/>
                <w:sz w:val="20"/>
                <w:szCs w:val="20"/>
              </w:rPr>
              <w:t>.</w:t>
            </w:r>
          </w:p>
          <w:p w14:paraId="0FF75FB2" w14:textId="77777777" w:rsidR="00005A3C" w:rsidRDefault="00000000" w:rsidP="00CA676A">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1453013551"/>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w:t>
            </w:r>
            <w:r w:rsidR="00005A3C">
              <w:rPr>
                <w:rFonts w:asciiTheme="majorBidi" w:eastAsia="MS Gothic" w:hAnsiTheme="majorBidi" w:cstheme="majorBidi"/>
                <w:color w:val="000000"/>
                <w:kern w:val="22"/>
                <w:sz w:val="20"/>
                <w:szCs w:val="20"/>
              </w:rPr>
              <w:t>A</w:t>
            </w:r>
            <w:r w:rsidR="00005A3C" w:rsidRPr="004F65AE">
              <w:rPr>
                <w:rFonts w:asciiTheme="majorBidi" w:eastAsia="MS Gothic" w:hAnsiTheme="majorBidi" w:cstheme="majorBidi"/>
                <w:color w:val="000000"/>
                <w:kern w:val="22"/>
                <w:sz w:val="20"/>
                <w:szCs w:val="20"/>
              </w:rPr>
              <w:t>dditional means of implementation</w:t>
            </w:r>
            <w:r w:rsidR="00005A3C">
              <w:rPr>
                <w:rFonts w:asciiTheme="majorBidi" w:eastAsia="MS Gothic" w:hAnsiTheme="majorBidi" w:cstheme="majorBidi"/>
                <w:color w:val="000000"/>
                <w:kern w:val="22"/>
                <w:sz w:val="20"/>
                <w:szCs w:val="20"/>
              </w:rPr>
              <w:t xml:space="preserve"> are needed</w:t>
            </w:r>
          </w:p>
          <w:p w14:paraId="201EF93F" w14:textId="77777777" w:rsidR="00005A3C" w:rsidRDefault="00005A3C" w:rsidP="00A142CA">
            <w:pPr>
              <w:suppressLineNumbers/>
              <w:shd w:val="clear" w:color="auto" w:fill="FFFFFF" w:themeFill="background1"/>
              <w:suppressAutoHyphens/>
              <w:kinsoku w:val="0"/>
              <w:overflowPunct w:val="0"/>
              <w:autoSpaceDE w:val="0"/>
              <w:autoSpaceDN w:val="0"/>
              <w:adjustRightInd w:val="0"/>
              <w:snapToGrid w:val="0"/>
              <w:jc w:val="left"/>
              <w:rPr>
                <w:rFonts w:asciiTheme="majorBidi" w:eastAsia="MS Gothic" w:hAnsiTheme="majorBidi" w:cstheme="majorBidi"/>
                <w:color w:val="000000"/>
                <w:kern w:val="22"/>
                <w:sz w:val="20"/>
                <w:szCs w:val="20"/>
              </w:rPr>
            </w:pPr>
            <w:r>
              <w:rPr>
                <w:rFonts w:asciiTheme="majorBidi" w:eastAsia="MS Gothic" w:hAnsiTheme="majorBidi" w:cstheme="majorBidi"/>
                <w:color w:val="000000"/>
                <w:kern w:val="22"/>
                <w:sz w:val="20"/>
                <w:szCs w:val="20"/>
              </w:rPr>
              <w:t>Explain: ______________________________________________________________________________________________________________________________________________________</w:t>
            </w:r>
          </w:p>
          <w:p w14:paraId="5F4CA799"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rPr>
                <w:rFonts w:asciiTheme="majorBidi" w:eastAsia="MS Gothic" w:hAnsiTheme="majorBidi" w:cstheme="majorBidi"/>
                <w:color w:val="000000"/>
                <w:kern w:val="22"/>
                <w:sz w:val="20"/>
                <w:szCs w:val="20"/>
              </w:rPr>
            </w:pPr>
            <w:r>
              <w:rPr>
                <w:rFonts w:asciiTheme="majorBidi" w:eastAsia="MS Gothic" w:hAnsiTheme="majorBidi" w:cstheme="majorBidi"/>
                <w:color w:val="000000"/>
                <w:kern w:val="22"/>
                <w:sz w:val="20"/>
                <w:szCs w:val="20"/>
              </w:rPr>
              <w:t>____________________________________________________________</w:t>
            </w:r>
          </w:p>
          <w:p w14:paraId="1AC67DE3" w14:textId="77777777" w:rsidR="00005A3C" w:rsidRDefault="00000000" w:rsidP="00F36208">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937568223"/>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Means of implementation available</w:t>
            </w:r>
          </w:p>
          <w:p w14:paraId="4BD8371E" w14:textId="77777777" w:rsidR="00005A3C" w:rsidRDefault="00000000" w:rsidP="00F36208">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color w:val="000000"/>
                <w:kern w:val="22"/>
                <w:sz w:val="20"/>
                <w:szCs w:val="20"/>
              </w:rPr>
            </w:pPr>
            <w:sdt>
              <w:sdtPr>
                <w:rPr>
                  <w:rFonts w:asciiTheme="majorBidi" w:eastAsia="MS Gothic" w:hAnsiTheme="majorBidi" w:cstheme="majorBidi"/>
                  <w:color w:val="000000"/>
                  <w:kern w:val="22"/>
                  <w:sz w:val="20"/>
                  <w:szCs w:val="20"/>
                </w:rPr>
                <w:id w:val="741302429"/>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asciiTheme="majorBidi" w:eastAsia="MS Gothic" w:hAnsiTheme="majorBidi" w:cstheme="majorBidi"/>
                <w:color w:val="000000"/>
                <w:kern w:val="22"/>
                <w:sz w:val="20"/>
                <w:szCs w:val="20"/>
              </w:rPr>
              <w:t xml:space="preserve"> </w:t>
            </w:r>
            <w:r w:rsidR="00005A3C">
              <w:rPr>
                <w:rFonts w:asciiTheme="majorBidi" w:eastAsia="MS Gothic" w:hAnsiTheme="majorBidi" w:cstheme="majorBidi"/>
                <w:color w:val="000000"/>
                <w:kern w:val="22"/>
                <w:sz w:val="20"/>
                <w:szCs w:val="20"/>
              </w:rPr>
              <w:t>Other ____________________________________________________________</w:t>
            </w:r>
          </w:p>
          <w:p w14:paraId="40C768F1" w14:textId="77777777" w:rsidR="00005A3C" w:rsidRPr="004F65AE" w:rsidRDefault="00005A3C" w:rsidP="00363926">
            <w:pPr>
              <w:keepNext/>
              <w:suppressLineNumbers/>
              <w:shd w:val="clear" w:color="auto" w:fill="FFFFFF" w:themeFill="background1"/>
              <w:suppressAutoHyphens/>
              <w:adjustRightInd w:val="0"/>
              <w:snapToGrid w:val="0"/>
              <w:spacing w:before="120" w:after="120"/>
              <w:jc w:val="left"/>
              <w:rPr>
                <w:rFonts w:asciiTheme="majorBidi" w:hAnsiTheme="majorBidi" w:cstheme="majorBidi"/>
                <w:b/>
                <w:bCs/>
                <w:color w:val="000000"/>
                <w:kern w:val="22"/>
                <w:sz w:val="20"/>
                <w:szCs w:val="20"/>
              </w:rPr>
            </w:pPr>
            <w:r>
              <w:rPr>
                <w:rFonts w:asciiTheme="majorBidi" w:eastAsia="MS Gothic" w:hAnsiTheme="majorBidi" w:cstheme="majorBidi"/>
                <w:color w:val="000000"/>
                <w:kern w:val="22"/>
                <w:sz w:val="20"/>
                <w:szCs w:val="20"/>
              </w:rPr>
              <w:t>Additional explanation: (optional)________________________________________________________________________________________________________________</w:t>
            </w:r>
          </w:p>
        </w:tc>
        <w:tc>
          <w:tcPr>
            <w:tcW w:w="1228" w:type="dxa"/>
            <w:shd w:val="clear" w:color="auto" w:fill="FFFFFF" w:themeFill="background1"/>
          </w:tcPr>
          <w:p w14:paraId="3D11C6BC" w14:textId="77777777" w:rsidR="00005A3C" w:rsidRPr="004F65AE" w:rsidRDefault="00005A3C" w:rsidP="00F36208">
            <w:pPr>
              <w:shd w:val="clear" w:color="auto" w:fill="FFFFFF" w:themeFill="background1"/>
              <w:jc w:val="left"/>
              <w:rPr>
                <w:rFonts w:asciiTheme="majorBidi" w:eastAsia="DengXian" w:hAnsiTheme="majorBidi" w:cstheme="majorBidi"/>
                <w:i/>
                <w:color w:val="000000"/>
                <w:kern w:val="22"/>
                <w:sz w:val="20"/>
                <w:szCs w:val="20"/>
                <w:lang w:val="en-US"/>
              </w:rPr>
            </w:pPr>
          </w:p>
        </w:tc>
      </w:tr>
    </w:tbl>
    <w:p w14:paraId="59A12FAC" w14:textId="77777777" w:rsidR="00005A3C" w:rsidRPr="004F65AE" w:rsidRDefault="00005A3C" w:rsidP="00CA676A">
      <w:pPr>
        <w:shd w:val="clear" w:color="auto" w:fill="FFFFFF" w:themeFill="background1"/>
        <w:spacing w:before="120"/>
        <w:jc w:val="left"/>
        <w:rPr>
          <w:rFonts w:eastAsia="DengXian"/>
          <w:b/>
          <w:snapToGrid w:val="0"/>
          <w:kern w:val="22"/>
          <w:sz w:val="20"/>
          <w:szCs w:val="20"/>
          <w:lang w:val="en-US" w:eastAsia="zh-CN"/>
        </w:rPr>
      </w:pPr>
    </w:p>
    <w:tbl>
      <w:tblPr>
        <w:tblStyle w:val="TableGrid1"/>
        <w:tblW w:w="4998" w:type="pct"/>
        <w:tblInd w:w="-5" w:type="dxa"/>
        <w:shd w:val="clear" w:color="auto" w:fill="FFFFFF" w:themeFill="background1"/>
        <w:tblLook w:val="04A0" w:firstRow="1" w:lastRow="0" w:firstColumn="1" w:lastColumn="0" w:noHBand="0" w:noVBand="1"/>
      </w:tblPr>
      <w:tblGrid>
        <w:gridCol w:w="2021"/>
        <w:gridCol w:w="2581"/>
        <w:gridCol w:w="2738"/>
        <w:gridCol w:w="2006"/>
      </w:tblGrid>
      <w:tr w:rsidR="00005A3C" w:rsidRPr="004F65AE" w14:paraId="27E81D5F" w14:textId="77777777" w:rsidTr="00CA676A">
        <w:trPr>
          <w:trHeight w:val="719"/>
          <w:tblHeader/>
        </w:trPr>
        <w:tc>
          <w:tcPr>
            <w:tcW w:w="5000" w:type="pct"/>
            <w:gridSpan w:val="4"/>
            <w:shd w:val="clear" w:color="auto" w:fill="FFFFFF" w:themeFill="background1"/>
            <w:vAlign w:val="center"/>
          </w:tcPr>
          <w:p w14:paraId="17AECC81" w14:textId="77777777" w:rsidR="00005A3C" w:rsidRPr="004F65AE" w:rsidRDefault="00005A3C" w:rsidP="00CA676A">
            <w:pPr>
              <w:keepNext/>
              <w:suppressLineNumbers/>
              <w:shd w:val="clear" w:color="auto" w:fill="FFFFFF" w:themeFill="background1"/>
              <w:suppressAutoHyphens/>
              <w:kinsoku w:val="0"/>
              <w:overflowPunct w:val="0"/>
              <w:autoSpaceDE w:val="0"/>
              <w:autoSpaceDN w:val="0"/>
              <w:adjustRightInd w:val="0"/>
              <w:snapToGrid w:val="0"/>
              <w:jc w:val="center"/>
              <w:rPr>
                <w:rFonts w:ascii="Times New Roman Bold" w:hAnsi="Times New Roman Bold"/>
                <w:b/>
                <w:caps/>
                <w:snapToGrid w:val="0"/>
                <w:kern w:val="22"/>
                <w:sz w:val="20"/>
                <w:szCs w:val="20"/>
                <w:lang w:val="en-US"/>
              </w:rPr>
            </w:pPr>
            <w:r w:rsidRPr="004F65AE">
              <w:rPr>
                <w:rFonts w:ascii="Times New Roman Bold" w:hAnsi="Times New Roman Bold"/>
                <w:b/>
                <w:caps/>
                <w:snapToGrid w:val="0"/>
                <w:kern w:val="22"/>
                <w:sz w:val="20"/>
                <w:szCs w:val="20"/>
                <w:lang w:val="en-US"/>
              </w:rPr>
              <w:lastRenderedPageBreak/>
              <w:t>Global goals/targets</w:t>
            </w:r>
          </w:p>
        </w:tc>
      </w:tr>
      <w:tr w:rsidR="00005A3C" w:rsidRPr="004F65AE" w14:paraId="46F12F40" w14:textId="77777777" w:rsidTr="00CA676A">
        <w:trPr>
          <w:trHeight w:val="805"/>
        </w:trPr>
        <w:tc>
          <w:tcPr>
            <w:tcW w:w="1081" w:type="pct"/>
            <w:shd w:val="clear" w:color="auto" w:fill="FFFFFF" w:themeFill="background1"/>
          </w:tcPr>
          <w:p w14:paraId="0EBB9B4F" w14:textId="77777777" w:rsidR="00005A3C" w:rsidRPr="004F65AE" w:rsidRDefault="00005A3C" w:rsidP="00F36208">
            <w:pPr>
              <w:keepNext/>
              <w:shd w:val="clear" w:color="auto" w:fill="FFFFFF" w:themeFill="background1"/>
              <w:jc w:val="center"/>
              <w:rPr>
                <w:rFonts w:asciiTheme="majorBidi" w:eastAsia="DengXian" w:hAnsiTheme="majorBidi" w:cstheme="majorBidi"/>
                <w:b/>
                <w:snapToGrid w:val="0"/>
                <w:kern w:val="22"/>
                <w:sz w:val="20"/>
                <w:szCs w:val="20"/>
                <w:lang w:val="fr-CA"/>
              </w:rPr>
            </w:pPr>
            <w:r w:rsidRPr="004F65AE">
              <w:rPr>
                <w:rFonts w:asciiTheme="majorBidi" w:eastAsia="DengXian" w:hAnsiTheme="majorBidi" w:cstheme="majorBidi"/>
                <w:b/>
                <w:snapToGrid w:val="0"/>
                <w:kern w:val="22"/>
                <w:sz w:val="20"/>
                <w:szCs w:val="20"/>
                <w:lang w:val="fr-CA"/>
              </w:rPr>
              <w:t>Global goals and targets</w:t>
            </w:r>
          </w:p>
        </w:tc>
        <w:tc>
          <w:tcPr>
            <w:tcW w:w="1381" w:type="pct"/>
            <w:shd w:val="clear" w:color="auto" w:fill="FFFFFF" w:themeFill="background1"/>
          </w:tcPr>
          <w:p w14:paraId="4E41D85A" w14:textId="77777777" w:rsidR="00005A3C" w:rsidRPr="004F65AE" w:rsidRDefault="00005A3C" w:rsidP="00F36208">
            <w:pPr>
              <w:keepNext/>
              <w:shd w:val="clear" w:color="auto" w:fill="FFFFFF" w:themeFill="background1"/>
              <w:jc w:val="center"/>
              <w:rPr>
                <w:rFonts w:asciiTheme="majorBidi" w:eastAsia="DengXian" w:hAnsiTheme="majorBidi" w:cstheme="majorBidi"/>
                <w:b/>
                <w:snapToGrid w:val="0"/>
                <w:kern w:val="22"/>
                <w:sz w:val="20"/>
                <w:szCs w:val="20"/>
                <w:lang w:val="en-US"/>
              </w:rPr>
            </w:pPr>
            <w:r w:rsidRPr="004F65AE">
              <w:rPr>
                <w:rFonts w:asciiTheme="majorBidi" w:eastAsia="DengXian" w:hAnsiTheme="majorBidi" w:cstheme="majorBidi"/>
                <w:b/>
                <w:snapToGrid w:val="0"/>
                <w:kern w:val="22"/>
                <w:sz w:val="20"/>
                <w:szCs w:val="20"/>
                <w:lang w:val="en-US"/>
              </w:rPr>
              <w:t>National target(s) contributing to this global target</w:t>
            </w:r>
          </w:p>
        </w:tc>
        <w:tc>
          <w:tcPr>
            <w:tcW w:w="1465" w:type="pct"/>
            <w:shd w:val="clear" w:color="auto" w:fill="FFFFFF" w:themeFill="background1"/>
          </w:tcPr>
          <w:p w14:paraId="4F15C671" w14:textId="77777777" w:rsidR="00005A3C" w:rsidRPr="004F65AE" w:rsidRDefault="00005A3C" w:rsidP="00DA7B6A">
            <w:pPr>
              <w:keepNext/>
              <w:shd w:val="clear" w:color="auto" w:fill="FFFFFF" w:themeFill="background1"/>
              <w:jc w:val="center"/>
              <w:rPr>
                <w:rFonts w:asciiTheme="majorBidi" w:eastAsia="DengXian" w:hAnsiTheme="majorBidi" w:cstheme="majorBidi"/>
                <w:b/>
                <w:snapToGrid w:val="0"/>
                <w:kern w:val="22"/>
                <w:sz w:val="20"/>
                <w:szCs w:val="20"/>
                <w:lang w:val="en-US"/>
              </w:rPr>
            </w:pPr>
            <w:r w:rsidRPr="004F65AE">
              <w:rPr>
                <w:rFonts w:asciiTheme="majorBidi" w:eastAsia="DengXian" w:hAnsiTheme="majorBidi" w:cstheme="majorBidi"/>
                <w:b/>
                <w:snapToGrid w:val="0"/>
                <w:kern w:val="22"/>
                <w:sz w:val="20"/>
                <w:szCs w:val="20"/>
                <w:lang w:val="en-US"/>
              </w:rPr>
              <w:t>Elements of the global targets addressed by national targets</w:t>
            </w:r>
          </w:p>
        </w:tc>
        <w:tc>
          <w:tcPr>
            <w:tcW w:w="1074" w:type="pct"/>
            <w:shd w:val="clear" w:color="auto" w:fill="FFFFFF" w:themeFill="background1"/>
          </w:tcPr>
          <w:p w14:paraId="116ABD69" w14:textId="77777777" w:rsidR="00005A3C" w:rsidRPr="004F65AE" w:rsidRDefault="00005A3C" w:rsidP="00F36208">
            <w:pPr>
              <w:keepNext/>
              <w:suppressLineNumbers/>
              <w:shd w:val="clear" w:color="auto" w:fill="FFFFFF" w:themeFill="background1"/>
              <w:suppressAutoHyphens/>
              <w:kinsoku w:val="0"/>
              <w:overflowPunct w:val="0"/>
              <w:autoSpaceDE w:val="0"/>
              <w:autoSpaceDN w:val="0"/>
              <w:adjustRightInd w:val="0"/>
              <w:snapToGrid w:val="0"/>
              <w:spacing w:after="120"/>
              <w:jc w:val="center"/>
              <w:rPr>
                <w:rFonts w:asciiTheme="majorBidi" w:hAnsiTheme="majorBidi" w:cstheme="majorBidi"/>
                <w:b/>
                <w:snapToGrid w:val="0"/>
                <w:kern w:val="22"/>
                <w:sz w:val="20"/>
                <w:szCs w:val="20"/>
                <w:lang w:val="en-US"/>
              </w:rPr>
            </w:pPr>
            <w:r w:rsidRPr="004F65AE">
              <w:rPr>
                <w:rFonts w:asciiTheme="majorBidi" w:hAnsiTheme="majorBidi" w:cstheme="majorBidi"/>
                <w:b/>
                <w:snapToGrid w:val="0"/>
                <w:kern w:val="22"/>
                <w:sz w:val="20"/>
                <w:szCs w:val="20"/>
                <w:lang w:val="en-US"/>
              </w:rPr>
              <w:t>Notes</w:t>
            </w:r>
          </w:p>
        </w:tc>
      </w:tr>
      <w:tr w:rsidR="00005A3C" w:rsidRPr="004F65AE" w14:paraId="064F7F5E" w14:textId="77777777" w:rsidTr="00CA676A">
        <w:tc>
          <w:tcPr>
            <w:tcW w:w="1081" w:type="pct"/>
            <w:shd w:val="clear" w:color="auto" w:fill="FFFFFF" w:themeFill="background1"/>
          </w:tcPr>
          <w:p w14:paraId="2DAE7661" w14:textId="77777777" w:rsidR="00005A3C" w:rsidRPr="004F65AE" w:rsidRDefault="00005A3C" w:rsidP="00F36208">
            <w:pPr>
              <w:shd w:val="clear" w:color="auto" w:fill="FFFFFF" w:themeFill="background1"/>
              <w:spacing w:before="120" w:after="120"/>
              <w:jc w:val="left"/>
              <w:rPr>
                <w:rFonts w:eastAsia="DengXian"/>
                <w:b/>
                <w:snapToGrid w:val="0"/>
                <w:kern w:val="22"/>
                <w:sz w:val="20"/>
                <w:szCs w:val="20"/>
                <w:lang w:val="en-US"/>
              </w:rPr>
            </w:pPr>
            <w:r w:rsidRPr="004F65AE">
              <w:rPr>
                <w:rFonts w:eastAsia="DengXian"/>
                <w:b/>
                <w:snapToGrid w:val="0"/>
                <w:kern w:val="22"/>
                <w:sz w:val="20"/>
                <w:szCs w:val="20"/>
                <w:lang w:val="en-US"/>
              </w:rPr>
              <w:t>Global goal or target (full name/title)</w:t>
            </w:r>
          </w:p>
          <w:p w14:paraId="19002FB2" w14:textId="77777777" w:rsidR="00005A3C" w:rsidRPr="004F65AE" w:rsidRDefault="00005A3C" w:rsidP="00F36208">
            <w:pPr>
              <w:shd w:val="clear" w:color="auto" w:fill="FFFFFF" w:themeFill="background1"/>
              <w:spacing w:before="120" w:after="120"/>
              <w:jc w:val="left"/>
              <w:rPr>
                <w:rFonts w:ascii="Calibri" w:eastAsia="DengXian" w:hAnsi="Calibri" w:cs="Arial"/>
                <w:b/>
                <w:snapToGrid w:val="0"/>
                <w:kern w:val="22"/>
                <w:sz w:val="20"/>
                <w:szCs w:val="20"/>
                <w:lang w:val="en-US"/>
              </w:rPr>
            </w:pPr>
          </w:p>
        </w:tc>
        <w:tc>
          <w:tcPr>
            <w:tcW w:w="1381" w:type="pct"/>
            <w:shd w:val="clear" w:color="auto" w:fill="FFFFFF" w:themeFill="background1"/>
          </w:tcPr>
          <w:p w14:paraId="37328BF1" w14:textId="77777777" w:rsidR="00005A3C" w:rsidRPr="004F65AE" w:rsidRDefault="00005A3C" w:rsidP="00F36208">
            <w:pPr>
              <w:shd w:val="clear" w:color="auto" w:fill="FFFFFF" w:themeFill="background1"/>
              <w:spacing w:before="120" w:after="120"/>
              <w:jc w:val="left"/>
              <w:rPr>
                <w:rFonts w:eastAsia="DengXian"/>
                <w:bCs/>
                <w:i/>
                <w:iCs/>
                <w:snapToGrid w:val="0"/>
                <w:kern w:val="22"/>
                <w:sz w:val="20"/>
                <w:szCs w:val="20"/>
                <w:lang w:val="en-US"/>
              </w:rPr>
            </w:pPr>
            <w:r w:rsidRPr="004F65AE">
              <w:rPr>
                <w:rFonts w:eastAsia="DengXian"/>
                <w:bCs/>
                <w:i/>
                <w:iCs/>
                <w:snapToGrid w:val="0"/>
                <w:kern w:val="22"/>
                <w:sz w:val="20"/>
                <w:szCs w:val="20"/>
                <w:lang w:val="en-US"/>
              </w:rPr>
              <w:t>(Automatically generated list from Party’s input in the national targets table)</w:t>
            </w:r>
          </w:p>
        </w:tc>
        <w:tc>
          <w:tcPr>
            <w:tcW w:w="1465" w:type="pct"/>
            <w:shd w:val="clear" w:color="auto" w:fill="FFFFFF" w:themeFill="background1"/>
          </w:tcPr>
          <w:p w14:paraId="292F72F2"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rFonts w:eastAsia="MS Gothic"/>
                <w:i/>
                <w:iCs/>
                <w:color w:val="000000"/>
                <w:kern w:val="22"/>
                <w:sz w:val="20"/>
                <w:szCs w:val="20"/>
              </w:rPr>
            </w:pPr>
            <w:r w:rsidRPr="004F65AE">
              <w:rPr>
                <w:rFonts w:eastAsia="MS Gothic"/>
                <w:i/>
                <w:iCs/>
                <w:color w:val="000000"/>
                <w:kern w:val="22"/>
                <w:sz w:val="20"/>
                <w:szCs w:val="20"/>
              </w:rPr>
              <w:t>(</w:t>
            </w:r>
            <w:r>
              <w:rPr>
                <w:rFonts w:eastAsia="MS Gothic"/>
                <w:i/>
                <w:iCs/>
                <w:color w:val="000000"/>
                <w:kern w:val="22"/>
                <w:sz w:val="20"/>
                <w:szCs w:val="20"/>
              </w:rPr>
              <w:t>Free text</w:t>
            </w:r>
            <w:r w:rsidRPr="004F65AE">
              <w:rPr>
                <w:rFonts w:eastAsia="MS Gothic"/>
                <w:i/>
                <w:iCs/>
                <w:color w:val="000000"/>
                <w:kern w:val="22"/>
                <w:sz w:val="20"/>
                <w:szCs w:val="20"/>
              </w:rPr>
              <w:t>)</w:t>
            </w:r>
          </w:p>
          <w:p w14:paraId="1C5971F4" w14:textId="77777777" w:rsidR="00005A3C" w:rsidRPr="004F65AE" w:rsidRDefault="00005A3C" w:rsidP="00F36208">
            <w:pPr>
              <w:shd w:val="clear" w:color="auto" w:fill="FFFFFF" w:themeFill="background1"/>
              <w:jc w:val="left"/>
              <w:rPr>
                <w:rFonts w:ascii="Calibri" w:eastAsia="DengXian" w:hAnsi="Calibri" w:cs="Arial"/>
                <w:b/>
                <w:snapToGrid w:val="0"/>
                <w:kern w:val="22"/>
                <w:sz w:val="20"/>
                <w:szCs w:val="20"/>
                <w:lang w:val="en-US"/>
              </w:rPr>
            </w:pPr>
          </w:p>
        </w:tc>
        <w:tc>
          <w:tcPr>
            <w:tcW w:w="1074" w:type="pct"/>
            <w:shd w:val="clear" w:color="auto" w:fill="FFFFFF" w:themeFill="background1"/>
          </w:tcPr>
          <w:p w14:paraId="2E754E6C"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i/>
                <w:color w:val="000000"/>
                <w:kern w:val="22"/>
                <w:sz w:val="20"/>
                <w:szCs w:val="20"/>
              </w:rPr>
            </w:pPr>
            <w:r w:rsidRPr="004F65AE">
              <w:rPr>
                <w:i/>
                <w:color w:val="000000"/>
                <w:kern w:val="22"/>
                <w:sz w:val="20"/>
                <w:szCs w:val="20"/>
              </w:rPr>
              <w:t>This table is to be repeated for each global goal and target</w:t>
            </w:r>
          </w:p>
          <w:p w14:paraId="654E4239"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rFonts w:ascii="Calibri" w:eastAsia="DengXian" w:hAnsi="Calibri" w:cs="Arial"/>
                <w:b/>
                <w:snapToGrid w:val="0"/>
                <w:kern w:val="22"/>
                <w:sz w:val="20"/>
                <w:szCs w:val="20"/>
                <w:lang w:val="en-US"/>
              </w:rPr>
            </w:pPr>
            <w:r w:rsidRPr="004F65AE">
              <w:rPr>
                <w:i/>
                <w:color w:val="000000"/>
                <w:kern w:val="22"/>
                <w:sz w:val="20"/>
                <w:szCs w:val="20"/>
              </w:rPr>
              <w:t>Response is required for each of the global targets</w:t>
            </w:r>
          </w:p>
        </w:tc>
      </w:tr>
      <w:tr w:rsidR="00005A3C" w:rsidRPr="004F65AE" w14:paraId="7B71FF35" w14:textId="77777777" w:rsidTr="00CA676A">
        <w:trPr>
          <w:trHeight w:val="2285"/>
        </w:trPr>
        <w:tc>
          <w:tcPr>
            <w:tcW w:w="1081" w:type="pct"/>
            <w:shd w:val="clear" w:color="auto" w:fill="FFFFFF" w:themeFill="background1"/>
          </w:tcPr>
          <w:p w14:paraId="32D5F9E3" w14:textId="77777777" w:rsidR="00005A3C" w:rsidRPr="004F65AE" w:rsidRDefault="00005A3C" w:rsidP="00F36208">
            <w:pPr>
              <w:shd w:val="clear" w:color="auto" w:fill="FFFFFF" w:themeFill="background1"/>
              <w:jc w:val="left"/>
              <w:rPr>
                <w:rFonts w:ascii="Calibri" w:eastAsia="DengXian" w:hAnsi="Calibri" w:cs="Arial"/>
                <w:b/>
                <w:snapToGrid w:val="0"/>
                <w:kern w:val="22"/>
                <w:sz w:val="20"/>
                <w:szCs w:val="20"/>
                <w:lang w:val="en-US"/>
              </w:rPr>
            </w:pPr>
          </w:p>
        </w:tc>
        <w:tc>
          <w:tcPr>
            <w:tcW w:w="2845" w:type="pct"/>
            <w:gridSpan w:val="2"/>
            <w:shd w:val="clear" w:color="auto" w:fill="FFFFFF" w:themeFill="background1"/>
          </w:tcPr>
          <w:p w14:paraId="55E050E8" w14:textId="77777777" w:rsidR="00005A3C" w:rsidRPr="004F65AE" w:rsidRDefault="00005A3C" w:rsidP="00F36208">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b/>
                <w:bCs/>
                <w:color w:val="000000"/>
                <w:kern w:val="22"/>
                <w:sz w:val="20"/>
                <w:szCs w:val="20"/>
                <w:lang w:val="en-US"/>
              </w:rPr>
            </w:pPr>
            <w:r w:rsidRPr="004F65AE">
              <w:rPr>
                <w:rFonts w:asciiTheme="majorBidi" w:eastAsia="MS Gothic" w:hAnsiTheme="majorBidi" w:cstheme="majorBidi"/>
                <w:b/>
                <w:bCs/>
                <w:color w:val="000000"/>
                <w:kern w:val="22"/>
                <w:sz w:val="20"/>
                <w:szCs w:val="20"/>
                <w:lang w:val="en-US"/>
              </w:rPr>
              <w:t xml:space="preserve">Indicators used to assess the global goal or target </w:t>
            </w:r>
          </w:p>
          <w:p w14:paraId="198CAD26" w14:textId="77777777" w:rsidR="00005A3C" w:rsidRPr="004F65AE" w:rsidRDefault="00005A3C" w:rsidP="00CA676A">
            <w:pPr>
              <w:suppressLineNumbers/>
              <w:shd w:val="clear" w:color="auto" w:fill="FFFFFF" w:themeFill="background1"/>
              <w:suppressAutoHyphens/>
              <w:kinsoku w:val="0"/>
              <w:overflowPunct w:val="0"/>
              <w:autoSpaceDE w:val="0"/>
              <w:autoSpaceDN w:val="0"/>
              <w:adjustRightInd w:val="0"/>
              <w:snapToGrid w:val="0"/>
              <w:spacing w:before="120" w:after="120"/>
              <w:jc w:val="left"/>
              <w:rPr>
                <w:rFonts w:asciiTheme="majorBidi" w:eastAsia="MS Gothic" w:hAnsiTheme="majorBidi" w:cstheme="majorBidi"/>
                <w:b/>
                <w:bCs/>
                <w:color w:val="000000"/>
                <w:kern w:val="22"/>
                <w:sz w:val="20"/>
                <w:szCs w:val="20"/>
                <w:lang w:val="en-US"/>
              </w:rPr>
            </w:pPr>
            <w:r w:rsidRPr="004F65AE">
              <w:rPr>
                <w:rFonts w:eastAsia="MS Gothic"/>
                <w:i/>
                <w:iCs/>
                <w:color w:val="000000"/>
                <w:kern w:val="22"/>
                <w:sz w:val="20"/>
                <w:szCs w:val="20"/>
              </w:rPr>
              <w:t>(Pre-populated from the indicators listed in the Party’s input in the national targets table)</w:t>
            </w:r>
          </w:p>
          <w:p w14:paraId="44DB4E9D" w14:textId="77777777" w:rsidR="00005A3C" w:rsidRPr="004F65AE" w:rsidRDefault="00005A3C" w:rsidP="00F36208">
            <w:pPr>
              <w:keepNext/>
              <w:suppressLineNumbers/>
              <w:shd w:val="clear" w:color="auto" w:fill="FFFFFF" w:themeFill="background1"/>
              <w:suppressAutoHyphens/>
              <w:adjustRightInd w:val="0"/>
              <w:snapToGrid w:val="0"/>
              <w:spacing w:before="120" w:after="120"/>
              <w:jc w:val="left"/>
              <w:rPr>
                <w:rFonts w:asciiTheme="majorBidi" w:eastAsia="MS Gothic" w:hAnsiTheme="majorBidi" w:cstheme="majorBidi"/>
                <w:b/>
                <w:bCs/>
                <w:color w:val="000000"/>
                <w:kern w:val="22"/>
                <w:sz w:val="20"/>
                <w:szCs w:val="20"/>
                <w:lang w:val="en-US"/>
              </w:rPr>
            </w:pPr>
            <w:r w:rsidRPr="004F65AE">
              <w:rPr>
                <w:rFonts w:asciiTheme="majorBidi" w:eastAsia="MS Gothic" w:hAnsiTheme="majorBidi" w:cstheme="majorBidi"/>
                <w:b/>
                <w:bCs/>
                <w:color w:val="000000"/>
                <w:kern w:val="22"/>
                <w:sz w:val="20"/>
                <w:szCs w:val="20"/>
                <w:lang w:val="en-US"/>
              </w:rPr>
              <w:t xml:space="preserve">Is there a reference period and national target which relates to the headline indicator? If yes, </w:t>
            </w:r>
          </w:p>
          <w:p w14:paraId="2C63C5A3" w14:textId="77777777" w:rsidR="00005A3C" w:rsidRPr="004F65AE" w:rsidRDefault="00005A3C" w:rsidP="00F36208">
            <w:pPr>
              <w:keepNext/>
              <w:suppressLineNumbers/>
              <w:shd w:val="clear" w:color="auto" w:fill="FFFFFF" w:themeFill="background1"/>
              <w:suppressAutoHyphens/>
              <w:adjustRightInd w:val="0"/>
              <w:snapToGrid w:val="0"/>
              <w:spacing w:before="120" w:after="120"/>
              <w:jc w:val="left"/>
              <w:rPr>
                <w:rFonts w:asciiTheme="majorBidi" w:eastAsia="DengXian" w:hAnsiTheme="majorBidi" w:cstheme="majorBidi"/>
                <w:b/>
                <w:i/>
                <w:iCs/>
                <w:snapToGrid w:val="0"/>
                <w:kern w:val="22"/>
                <w:sz w:val="20"/>
                <w:szCs w:val="20"/>
                <w:lang w:val="en-US"/>
              </w:rPr>
            </w:pPr>
            <w:r w:rsidRPr="004F65AE">
              <w:rPr>
                <w:rFonts w:asciiTheme="majorBidi" w:eastAsia="DengXian" w:hAnsiTheme="majorBidi" w:cstheme="majorBidi"/>
                <w:b/>
                <w:snapToGrid w:val="0"/>
                <w:kern w:val="22"/>
                <w:sz w:val="20"/>
                <w:szCs w:val="20"/>
                <w:lang w:val="en-US"/>
              </w:rPr>
              <w:t xml:space="preserve">Explanation </w:t>
            </w:r>
            <w:r w:rsidRPr="004F65AE">
              <w:rPr>
                <w:rFonts w:asciiTheme="majorBidi" w:eastAsia="DengXian" w:hAnsiTheme="majorBidi" w:cstheme="majorBidi"/>
                <w:b/>
                <w:i/>
                <w:iCs/>
                <w:snapToGrid w:val="0"/>
                <w:kern w:val="22"/>
                <w:sz w:val="20"/>
                <w:szCs w:val="20"/>
                <w:lang w:val="en-US"/>
              </w:rPr>
              <w:t xml:space="preserve">(optional) </w:t>
            </w:r>
            <w:r w:rsidRPr="00CA676A">
              <w:rPr>
                <w:rFonts w:asciiTheme="majorBidi" w:eastAsia="DengXian" w:hAnsiTheme="majorBidi" w:cstheme="majorBidi"/>
                <w:bCs/>
                <w:snapToGrid w:val="0"/>
                <w:kern w:val="22"/>
                <w:sz w:val="20"/>
                <w:szCs w:val="20"/>
                <w:lang w:val="en-US"/>
              </w:rPr>
              <w:t>________________________________</w:t>
            </w:r>
          </w:p>
        </w:tc>
        <w:tc>
          <w:tcPr>
            <w:tcW w:w="1074" w:type="pct"/>
            <w:shd w:val="clear" w:color="auto" w:fill="FFFFFF" w:themeFill="background1"/>
          </w:tcPr>
          <w:p w14:paraId="0AA1C793" w14:textId="77777777" w:rsidR="00005A3C" w:rsidRPr="004F65AE" w:rsidRDefault="00005A3C" w:rsidP="00F36208">
            <w:pPr>
              <w:shd w:val="clear" w:color="auto" w:fill="FFFFFF" w:themeFill="background1"/>
              <w:jc w:val="left"/>
              <w:rPr>
                <w:rFonts w:ascii="Calibri" w:eastAsia="DengXian" w:hAnsi="Calibri" w:cs="Arial"/>
                <w:b/>
                <w:snapToGrid w:val="0"/>
                <w:kern w:val="22"/>
                <w:sz w:val="20"/>
                <w:szCs w:val="20"/>
                <w:lang w:val="en-US"/>
              </w:rPr>
            </w:pPr>
            <w:r w:rsidRPr="004F65AE">
              <w:rPr>
                <w:i/>
                <w:color w:val="000000"/>
                <w:kern w:val="22"/>
                <w:sz w:val="20"/>
                <w:szCs w:val="20"/>
              </w:rPr>
              <w:t xml:space="preserve">Note that the headline indicator for each </w:t>
            </w:r>
            <w:r>
              <w:rPr>
                <w:i/>
                <w:color w:val="000000"/>
                <w:kern w:val="22"/>
                <w:sz w:val="20"/>
                <w:szCs w:val="20"/>
              </w:rPr>
              <w:t>g</w:t>
            </w:r>
            <w:r w:rsidRPr="004F65AE">
              <w:rPr>
                <w:i/>
                <w:color w:val="000000"/>
                <w:kern w:val="22"/>
                <w:sz w:val="20"/>
                <w:szCs w:val="20"/>
              </w:rPr>
              <w:t xml:space="preserve">oal or </w:t>
            </w:r>
            <w:r>
              <w:rPr>
                <w:i/>
                <w:color w:val="000000"/>
                <w:kern w:val="22"/>
                <w:sz w:val="20"/>
                <w:szCs w:val="20"/>
              </w:rPr>
              <w:t>t</w:t>
            </w:r>
            <w:r w:rsidRPr="004F65AE">
              <w:rPr>
                <w:i/>
                <w:color w:val="000000"/>
                <w:kern w:val="22"/>
                <w:sz w:val="20"/>
                <w:szCs w:val="20"/>
              </w:rPr>
              <w:t>arget should be included in the list of indicators and associated with a relevant national target.</w:t>
            </w:r>
          </w:p>
        </w:tc>
      </w:tr>
    </w:tbl>
    <w:p w14:paraId="05B674BE" w14:textId="77777777" w:rsidR="0050251E" w:rsidRDefault="0050251E">
      <w:pPr>
        <w:jc w:val="left"/>
        <w:rPr>
          <w:i/>
          <w:iCs/>
          <w:sz w:val="20"/>
          <w:szCs w:val="20"/>
        </w:rPr>
      </w:pPr>
      <w:bookmarkStart w:id="49" w:name="_Toc118355019"/>
    </w:p>
    <w:p w14:paraId="62167757" w14:textId="77777777" w:rsidR="00005A3C" w:rsidRPr="00CA676A" w:rsidRDefault="00005A3C" w:rsidP="0050251E">
      <w:pPr>
        <w:shd w:val="clear" w:color="auto" w:fill="FFFFFF" w:themeFill="background1"/>
        <w:spacing w:before="120" w:after="120"/>
        <w:jc w:val="center"/>
        <w:rPr>
          <w:b/>
          <w:bCs/>
          <w:kern w:val="22"/>
          <w:szCs w:val="22"/>
        </w:rPr>
      </w:pPr>
      <w:r w:rsidRPr="00CA676A">
        <w:rPr>
          <w:i/>
          <w:iCs/>
          <w:szCs w:val="22"/>
        </w:rPr>
        <w:t xml:space="preserve">Annex II </w:t>
      </w:r>
      <w:bookmarkEnd w:id="49"/>
    </w:p>
    <w:p w14:paraId="12ED1ED2" w14:textId="77777777" w:rsidR="00005A3C" w:rsidRPr="00CA676A" w:rsidRDefault="00005A3C" w:rsidP="0050251E">
      <w:pPr>
        <w:shd w:val="clear" w:color="auto" w:fill="FFFFFF" w:themeFill="background1"/>
        <w:spacing w:before="120" w:after="120"/>
        <w:jc w:val="center"/>
        <w:rPr>
          <w:b/>
          <w:caps/>
          <w:szCs w:val="22"/>
        </w:rPr>
      </w:pPr>
      <w:bookmarkStart w:id="50" w:name="_Toc118355020"/>
      <w:r w:rsidRPr="00CA676A">
        <w:rPr>
          <w:b/>
          <w:caps/>
          <w:szCs w:val="22"/>
        </w:rPr>
        <w:t>guidance and DRAFT template for the seventh and eighth national report</w:t>
      </w:r>
      <w:bookmarkEnd w:id="50"/>
      <w:r w:rsidRPr="00610646">
        <w:rPr>
          <w:rStyle w:val="FootnoteReference"/>
        </w:rPr>
        <w:footnoteReference w:id="46"/>
      </w:r>
    </w:p>
    <w:p w14:paraId="2DC42C71" w14:textId="77777777" w:rsidR="00005A3C" w:rsidRPr="00CA676A" w:rsidRDefault="00005A3C" w:rsidP="009D6BD6">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rPr>
      </w:pPr>
      <w:r w:rsidRPr="00CA676A">
        <w:rPr>
          <w:snapToGrid w:val="0"/>
          <w:kern w:val="22"/>
          <w:szCs w:val="22"/>
        </w:rPr>
        <w:t>1.</w:t>
      </w:r>
      <w:r w:rsidRPr="00CA676A">
        <w:rPr>
          <w:snapToGrid w:val="0"/>
          <w:kern w:val="22"/>
          <w:szCs w:val="22"/>
        </w:rPr>
        <w:tab/>
        <w:t xml:space="preserve">Parties are required by Article 26 of the Convention to submit national reports to the Conference of the Parties on measures taken for the implementation of the Convention and their effectiveness in meeting the objectives of the Convention. The seventh and eighth national reports are due by 28 February 2026 and 30 June 2029, respectively. Given the time required to prepare, approve and submit a national report, Parties are encouraged to start preparing their national reports well before the deadline. </w:t>
      </w:r>
    </w:p>
    <w:p w14:paraId="59E9AFD5" w14:textId="77777777" w:rsidR="00005A3C" w:rsidRPr="00CA676A" w:rsidRDefault="00005A3C" w:rsidP="009D6BD6">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rPr>
      </w:pPr>
      <w:r w:rsidRPr="00CA676A">
        <w:rPr>
          <w:snapToGrid w:val="0"/>
          <w:kern w:val="22"/>
          <w:szCs w:val="22"/>
        </w:rPr>
        <w:t>2.</w:t>
      </w:r>
      <w:r w:rsidRPr="00CA676A">
        <w:rPr>
          <w:snapToGrid w:val="0"/>
          <w:kern w:val="22"/>
          <w:szCs w:val="22"/>
        </w:rPr>
        <w:tab/>
        <w:t xml:space="preserve">The seventh and eighth national reports should provide an assessment of progress in the implementation of the </w:t>
      </w:r>
      <w:r w:rsidRPr="00CA676A">
        <w:rPr>
          <w:rFonts w:asciiTheme="majorBidi" w:hAnsiTheme="majorBidi" w:cstheme="majorBidi"/>
          <w:bCs/>
          <w:snapToGrid w:val="0"/>
          <w:kern w:val="22"/>
          <w:szCs w:val="22"/>
          <w:lang w:val="en-US"/>
        </w:rPr>
        <w:t xml:space="preserve">Kunming-Montreal </w:t>
      </w:r>
      <w:r w:rsidRPr="00632B80">
        <w:rPr>
          <w:snapToGrid w:val="0"/>
          <w:kern w:val="22"/>
          <w:szCs w:val="22"/>
        </w:rPr>
        <w:t>Global Biodiversity Framework</w:t>
      </w:r>
      <w:r w:rsidRPr="00CA676A">
        <w:rPr>
          <w:snapToGrid w:val="0"/>
          <w:kern w:val="22"/>
          <w:szCs w:val="22"/>
        </w:rPr>
        <w:t xml:space="preserve">, including progress towards national targets in the </w:t>
      </w:r>
      <w:r>
        <w:rPr>
          <w:rFonts w:asciiTheme="majorBidi" w:hAnsiTheme="majorBidi" w:cstheme="majorBidi"/>
          <w:szCs w:val="22"/>
        </w:rPr>
        <w:t>n</w:t>
      </w:r>
      <w:r w:rsidRPr="00995F42">
        <w:rPr>
          <w:rFonts w:asciiTheme="majorBidi" w:hAnsiTheme="majorBidi" w:cstheme="majorBidi"/>
          <w:szCs w:val="22"/>
        </w:rPr>
        <w:t>ational biodiversity strateg</w:t>
      </w:r>
      <w:r>
        <w:rPr>
          <w:rFonts w:asciiTheme="majorBidi" w:hAnsiTheme="majorBidi" w:cstheme="majorBidi"/>
          <w:szCs w:val="22"/>
        </w:rPr>
        <w:t>y</w:t>
      </w:r>
      <w:r w:rsidRPr="00995F42">
        <w:rPr>
          <w:rFonts w:asciiTheme="majorBidi" w:hAnsiTheme="majorBidi" w:cstheme="majorBidi"/>
          <w:szCs w:val="22"/>
        </w:rPr>
        <w:t xml:space="preserve"> and action plan</w:t>
      </w:r>
      <w:r w:rsidRPr="00CA676A">
        <w:rPr>
          <w:snapToGrid w:val="0"/>
          <w:kern w:val="22"/>
          <w:szCs w:val="22"/>
        </w:rPr>
        <w:t xml:space="preserve"> </w:t>
      </w:r>
      <w:r>
        <w:rPr>
          <w:snapToGrid w:val="0"/>
          <w:kern w:val="22"/>
          <w:szCs w:val="22"/>
        </w:rPr>
        <w:t xml:space="preserve">(NBSAP) </w:t>
      </w:r>
      <w:r w:rsidRPr="00CA676A">
        <w:rPr>
          <w:snapToGrid w:val="0"/>
          <w:kern w:val="22"/>
          <w:szCs w:val="22"/>
        </w:rPr>
        <w:t xml:space="preserve">as revised or updated in the light of the Framework, and Parties’ progress in the implementation of the </w:t>
      </w:r>
      <w:r w:rsidRPr="00CA676A">
        <w:rPr>
          <w:snapToGrid w:val="0"/>
          <w:kern w:val="22"/>
          <w:szCs w:val="22"/>
          <w:shd w:val="clear" w:color="auto" w:fill="FFFFFF" w:themeFill="background1"/>
        </w:rPr>
        <w:t xml:space="preserve">Framework, </w:t>
      </w:r>
      <w:r w:rsidRPr="00CA676A">
        <w:rPr>
          <w:rStyle w:val="normaltextrun"/>
          <w:rFonts w:eastAsiaTheme="majorEastAsia"/>
          <w:szCs w:val="22"/>
          <w:shd w:val="clear" w:color="auto" w:fill="FFFFFF" w:themeFill="background1"/>
        </w:rPr>
        <w:t>using the most up</w:t>
      </w:r>
      <w:r>
        <w:rPr>
          <w:rStyle w:val="normaltextrun"/>
          <w:rFonts w:eastAsiaTheme="majorEastAsia"/>
          <w:szCs w:val="22"/>
          <w:shd w:val="clear" w:color="auto" w:fill="FFFFFF" w:themeFill="background1"/>
        </w:rPr>
        <w:noBreakHyphen/>
      </w:r>
      <w:r w:rsidRPr="00CA676A">
        <w:rPr>
          <w:rStyle w:val="normaltextrun"/>
          <w:rFonts w:eastAsiaTheme="majorEastAsia"/>
          <w:szCs w:val="22"/>
          <w:shd w:val="clear" w:color="auto" w:fill="FFFFFF" w:themeFill="background1"/>
        </w:rPr>
        <w:t>to</w:t>
      </w:r>
      <w:r>
        <w:rPr>
          <w:rStyle w:val="normaltextrun"/>
          <w:rFonts w:eastAsiaTheme="majorEastAsia"/>
          <w:szCs w:val="22"/>
          <w:shd w:val="clear" w:color="auto" w:fill="FFFFFF" w:themeFill="background1"/>
        </w:rPr>
        <w:noBreakHyphen/>
      </w:r>
      <w:r w:rsidRPr="00CA676A">
        <w:rPr>
          <w:rStyle w:val="normaltextrun"/>
          <w:rFonts w:eastAsiaTheme="majorEastAsia"/>
          <w:szCs w:val="22"/>
          <w:shd w:val="clear" w:color="auto" w:fill="FFFFFF" w:themeFill="background1"/>
        </w:rPr>
        <w:t>date data and information from appropriate sources, including headline indicators as well as component and complementary indicators, and other national indicators, where relevant. Other sources may include any recent reviews of national implementation or other national assessments, in particular any review of the implementation of NBSAPs, that provide a basis for developing national ambition or targets and/or revising or updating NBSAPs to implement the Framework. Parties could use information from earlier national reports as appropriate.</w:t>
      </w:r>
      <w:r w:rsidRPr="00E3500C">
        <w:rPr>
          <w:snapToGrid w:val="0"/>
          <w:kern w:val="22"/>
          <w:szCs w:val="22"/>
        </w:rPr>
        <w:t xml:space="preserve"> </w:t>
      </w:r>
      <w:r w:rsidRPr="00CA676A">
        <w:rPr>
          <w:snapToGrid w:val="0"/>
          <w:kern w:val="22"/>
          <w:szCs w:val="22"/>
        </w:rPr>
        <w:t xml:space="preserve">National reports, reviews or communications submitted under relevant conventions and in connection with the Sustainable Development Goals could also be used as important information for assessing progress in the implementation of the </w:t>
      </w:r>
      <w:r>
        <w:rPr>
          <w:snapToGrid w:val="0"/>
          <w:kern w:val="22"/>
          <w:szCs w:val="22"/>
        </w:rPr>
        <w:t>F</w:t>
      </w:r>
      <w:r w:rsidRPr="00CA676A">
        <w:rPr>
          <w:snapToGrid w:val="0"/>
          <w:kern w:val="22"/>
          <w:szCs w:val="22"/>
        </w:rPr>
        <w:t>ramework.</w:t>
      </w:r>
    </w:p>
    <w:p w14:paraId="750B74D6" w14:textId="77777777" w:rsidR="00005A3C" w:rsidRPr="00CA676A" w:rsidRDefault="00005A3C" w:rsidP="009D6BD6">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rPr>
      </w:pPr>
      <w:r w:rsidRPr="00CA676A">
        <w:rPr>
          <w:snapToGrid w:val="0"/>
          <w:kern w:val="22"/>
          <w:szCs w:val="22"/>
        </w:rPr>
        <w:t>3.</w:t>
      </w:r>
      <w:r w:rsidRPr="00CA676A">
        <w:rPr>
          <w:snapToGrid w:val="0"/>
          <w:kern w:val="22"/>
          <w:szCs w:val="22"/>
        </w:rPr>
        <w:tab/>
        <w:t xml:space="preserve">Further to decision 14/27, in which the Conference of the Parties decided that the submission of the next reports under the Convention and its Protocols would be synchronized, Parties should involve the respective national focal points for the Cartagena and Nagoya Protocols (if different from the primary </w:t>
      </w:r>
      <w:r w:rsidRPr="00CA676A">
        <w:rPr>
          <w:snapToGrid w:val="0"/>
          <w:kern w:val="22"/>
          <w:szCs w:val="22"/>
        </w:rPr>
        <w:lastRenderedPageBreak/>
        <w:t xml:space="preserve">national focal point for the Convention) in the preparation of the national report. National focal points of the biodiversity-related conventions and Rio conventions, as well as the national focal points for the Sustainable Development Goals and other relevant international and regional conventions should also be involved in the preparation of the national report. </w:t>
      </w:r>
    </w:p>
    <w:p w14:paraId="538E3C9D" w14:textId="77777777" w:rsidR="00005A3C" w:rsidRPr="00CA676A" w:rsidRDefault="00005A3C" w:rsidP="009D6BD6">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rPr>
      </w:pPr>
      <w:r w:rsidRPr="00CA676A">
        <w:rPr>
          <w:snapToGrid w:val="0"/>
          <w:kern w:val="22"/>
          <w:szCs w:val="22"/>
        </w:rPr>
        <w:t>4.</w:t>
      </w:r>
      <w:r w:rsidRPr="00CA676A">
        <w:rPr>
          <w:snapToGrid w:val="0"/>
          <w:kern w:val="22"/>
          <w:szCs w:val="22"/>
        </w:rPr>
        <w:tab/>
        <w:t xml:space="preserve">Relevant stakeholders should be involved in the preparation of the national report and may include </w:t>
      </w:r>
      <w:r>
        <w:rPr>
          <w:snapToGrid w:val="0"/>
          <w:kern w:val="22"/>
          <w:szCs w:val="22"/>
        </w:rPr>
        <w:t xml:space="preserve">in it </w:t>
      </w:r>
      <w:r w:rsidRPr="00CA676A">
        <w:rPr>
          <w:snapToGrid w:val="0"/>
          <w:kern w:val="22"/>
          <w:szCs w:val="22"/>
        </w:rPr>
        <w:t>their contributions to the implementation</w:t>
      </w:r>
      <w:r w:rsidRPr="00CA676A" w:rsidDel="00762116">
        <w:rPr>
          <w:snapToGrid w:val="0"/>
          <w:kern w:val="22"/>
          <w:szCs w:val="22"/>
        </w:rPr>
        <w:t xml:space="preserve"> </w:t>
      </w:r>
      <w:r w:rsidRPr="00CA676A">
        <w:rPr>
          <w:snapToGrid w:val="0"/>
          <w:kern w:val="22"/>
          <w:szCs w:val="22"/>
        </w:rPr>
        <w:t xml:space="preserve">of national targets, NBSAPs and the </w:t>
      </w:r>
      <w:r w:rsidRPr="00CA676A">
        <w:rPr>
          <w:rFonts w:asciiTheme="majorBidi" w:hAnsiTheme="majorBidi" w:cstheme="majorBidi"/>
          <w:bCs/>
          <w:snapToGrid w:val="0"/>
          <w:kern w:val="22"/>
          <w:szCs w:val="22"/>
          <w:lang w:val="en-US"/>
        </w:rPr>
        <w:t xml:space="preserve">Kunming-Montreal </w:t>
      </w:r>
      <w:r w:rsidRPr="00CA676A">
        <w:rPr>
          <w:snapToGrid w:val="0"/>
          <w:kern w:val="22"/>
          <w:szCs w:val="22"/>
        </w:rPr>
        <w:t>Global Biodiversity Framework. Contributions from non-</w:t>
      </w:r>
      <w:r>
        <w:rPr>
          <w:snapToGrid w:val="0"/>
          <w:kern w:val="22"/>
          <w:szCs w:val="22"/>
        </w:rPr>
        <w:t>S</w:t>
      </w:r>
      <w:r w:rsidRPr="00CA676A">
        <w:rPr>
          <w:snapToGrid w:val="0"/>
          <w:kern w:val="22"/>
          <w:szCs w:val="22"/>
        </w:rPr>
        <w:t xml:space="preserve">tate actors should, where possible, be clearly identified. </w:t>
      </w:r>
    </w:p>
    <w:p w14:paraId="12B82B14" w14:textId="77777777" w:rsidR="00005A3C" w:rsidRPr="00CA676A" w:rsidRDefault="00005A3C" w:rsidP="009D6BD6">
      <w:pPr>
        <w:keepNext/>
        <w:suppressLineNumbers/>
        <w:shd w:val="clear" w:color="auto" w:fill="FFFFFF" w:themeFill="background1"/>
        <w:suppressAutoHyphens/>
        <w:kinsoku w:val="0"/>
        <w:overflowPunct w:val="0"/>
        <w:autoSpaceDE w:val="0"/>
        <w:autoSpaceDN w:val="0"/>
        <w:adjustRightInd w:val="0"/>
        <w:snapToGrid w:val="0"/>
        <w:spacing w:before="120" w:after="120"/>
        <w:rPr>
          <w:i/>
          <w:snapToGrid w:val="0"/>
          <w:kern w:val="22"/>
          <w:szCs w:val="22"/>
        </w:rPr>
      </w:pPr>
      <w:r w:rsidRPr="00CA676A">
        <w:rPr>
          <w:i/>
          <w:snapToGrid w:val="0"/>
          <w:kern w:val="22"/>
          <w:szCs w:val="22"/>
        </w:rPr>
        <w:t>Structure and format of the seventh and eighth national report and use of the reports</w:t>
      </w:r>
    </w:p>
    <w:p w14:paraId="3E596227" w14:textId="77777777" w:rsidR="00005A3C" w:rsidRPr="00CA676A" w:rsidRDefault="00005A3C" w:rsidP="009D6BD6">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rPr>
      </w:pPr>
      <w:r w:rsidRPr="00CA676A">
        <w:rPr>
          <w:snapToGrid w:val="0"/>
          <w:kern w:val="22"/>
          <w:szCs w:val="22"/>
        </w:rPr>
        <w:t>5.</w:t>
      </w:r>
      <w:r w:rsidRPr="00CA676A">
        <w:rPr>
          <w:snapToGrid w:val="0"/>
          <w:kern w:val="22"/>
          <w:szCs w:val="22"/>
        </w:rPr>
        <w:tab/>
        <w:t>To facilitate the preparation of the seventh and eighth national report</w:t>
      </w:r>
      <w:r>
        <w:rPr>
          <w:snapToGrid w:val="0"/>
          <w:kern w:val="22"/>
          <w:szCs w:val="22"/>
        </w:rPr>
        <w:t>s</w:t>
      </w:r>
      <w:r w:rsidRPr="00CA676A">
        <w:rPr>
          <w:snapToGrid w:val="0"/>
          <w:kern w:val="22"/>
          <w:szCs w:val="22"/>
        </w:rPr>
        <w:t>, each section of the report uses a standardized template that contains specific questions with a choice of possible answers or specific requests for substantive information. There is also space to provide narrative information to further substantiate the answers given in a focused and succinct manner. Links to relevant websites and publications where additional information, including metadata for indicators, may be found, should be provided, reducing the need to include this information directly in the national report.</w:t>
      </w:r>
    </w:p>
    <w:p w14:paraId="06173B60" w14:textId="77777777" w:rsidR="00005A3C" w:rsidRPr="00CA676A" w:rsidRDefault="00005A3C" w:rsidP="009D6BD6">
      <w:pPr>
        <w:suppressLineNumbers/>
        <w:shd w:val="clear" w:color="auto" w:fill="FFFFFF" w:themeFill="background1"/>
        <w:suppressAutoHyphens/>
        <w:kinsoku w:val="0"/>
        <w:overflowPunct w:val="0"/>
        <w:autoSpaceDE w:val="0"/>
        <w:autoSpaceDN w:val="0"/>
        <w:adjustRightInd w:val="0"/>
        <w:snapToGrid w:val="0"/>
        <w:spacing w:before="120" w:after="120"/>
        <w:ind w:hanging="5"/>
        <w:rPr>
          <w:snapToGrid w:val="0"/>
          <w:kern w:val="22"/>
          <w:szCs w:val="22"/>
        </w:rPr>
      </w:pPr>
      <w:r w:rsidRPr="00CA676A">
        <w:rPr>
          <w:snapToGrid w:val="0"/>
          <w:kern w:val="22"/>
          <w:szCs w:val="22"/>
        </w:rPr>
        <w:t>6.</w:t>
      </w:r>
      <w:r w:rsidRPr="00CA676A">
        <w:rPr>
          <w:snapToGrid w:val="0"/>
          <w:kern w:val="22"/>
          <w:szCs w:val="22"/>
        </w:rPr>
        <w:tab/>
        <w:t>The seventh and eighth national report format contains five sections:</w:t>
      </w:r>
    </w:p>
    <w:p w14:paraId="444D971C" w14:textId="77777777" w:rsidR="00005A3C" w:rsidRPr="00CA676A" w:rsidRDefault="00005A3C" w:rsidP="009D6BD6">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rPr>
      </w:pPr>
      <w:r w:rsidRPr="00CA676A">
        <w:rPr>
          <w:snapToGrid w:val="0"/>
          <w:kern w:val="22"/>
          <w:szCs w:val="22"/>
        </w:rPr>
        <w:tab/>
        <w:t>Section I</w:t>
      </w:r>
      <w:r w:rsidRPr="00CA676A">
        <w:rPr>
          <w:snapToGrid w:val="0"/>
          <w:kern w:val="22"/>
          <w:szCs w:val="22"/>
        </w:rPr>
        <w:tab/>
        <w:t>Brief overview of the process of preparation of the report;</w:t>
      </w:r>
    </w:p>
    <w:p w14:paraId="6FAAE0B7" w14:textId="77777777" w:rsidR="00005A3C" w:rsidRPr="00CA676A" w:rsidRDefault="00005A3C" w:rsidP="009D6BD6">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rPr>
      </w:pPr>
      <w:r w:rsidRPr="00CA676A">
        <w:rPr>
          <w:snapToGrid w:val="0"/>
          <w:kern w:val="22"/>
          <w:szCs w:val="22"/>
        </w:rPr>
        <w:tab/>
        <w:t>Section II</w:t>
      </w:r>
      <w:r w:rsidRPr="00CA676A">
        <w:rPr>
          <w:snapToGrid w:val="0"/>
          <w:kern w:val="22"/>
          <w:szCs w:val="22"/>
        </w:rPr>
        <w:tab/>
        <w:t xml:space="preserve">Status of the revised or updated </w:t>
      </w:r>
      <w:bookmarkStart w:id="51" w:name="_Hlk117160494"/>
      <w:r w:rsidRPr="00CA676A">
        <w:rPr>
          <w:snapToGrid w:val="0"/>
          <w:kern w:val="22"/>
          <w:szCs w:val="22"/>
        </w:rPr>
        <w:t>national biodiversity strategy and action plan (</w:t>
      </w:r>
      <w:bookmarkEnd w:id="51"/>
      <w:r w:rsidRPr="00CA676A">
        <w:rPr>
          <w:snapToGrid w:val="0"/>
          <w:kern w:val="22"/>
          <w:szCs w:val="22"/>
        </w:rPr>
        <w:t xml:space="preserve">NBSAP) in the light of the </w:t>
      </w:r>
      <w:r w:rsidRPr="00CA676A">
        <w:rPr>
          <w:rFonts w:asciiTheme="majorBidi" w:hAnsiTheme="majorBidi" w:cstheme="majorBidi"/>
          <w:bCs/>
          <w:snapToGrid w:val="0"/>
          <w:kern w:val="22"/>
          <w:szCs w:val="22"/>
          <w:lang w:val="en-US"/>
        </w:rPr>
        <w:t xml:space="preserve">Kunming-Montreal </w:t>
      </w:r>
      <w:r w:rsidRPr="00CA676A">
        <w:rPr>
          <w:snapToGrid w:val="0"/>
          <w:kern w:val="22"/>
          <w:szCs w:val="22"/>
        </w:rPr>
        <w:t>Global Biodiversity Framework;</w:t>
      </w:r>
    </w:p>
    <w:p w14:paraId="097BBAA1" w14:textId="77777777" w:rsidR="00005A3C" w:rsidRPr="00CA676A" w:rsidRDefault="00005A3C" w:rsidP="009D6BD6">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rPr>
      </w:pPr>
      <w:r w:rsidRPr="00CA676A">
        <w:rPr>
          <w:snapToGrid w:val="0"/>
          <w:kern w:val="22"/>
          <w:szCs w:val="22"/>
        </w:rPr>
        <w:tab/>
        <w:t>Section III</w:t>
      </w:r>
      <w:r w:rsidRPr="00CA676A">
        <w:rPr>
          <w:snapToGrid w:val="0"/>
          <w:kern w:val="22"/>
          <w:szCs w:val="22"/>
        </w:rPr>
        <w:tab/>
        <w:t xml:space="preserve"> Assessment of progress towards national targets</w:t>
      </w:r>
      <w:r>
        <w:rPr>
          <w:snapToGrid w:val="0"/>
          <w:kern w:val="22"/>
          <w:szCs w:val="22"/>
        </w:rPr>
        <w:t>;</w:t>
      </w:r>
      <w:r w:rsidRPr="00610646">
        <w:rPr>
          <w:rStyle w:val="FootnoteReference"/>
        </w:rPr>
        <w:footnoteReference w:id="47"/>
      </w:r>
    </w:p>
    <w:p w14:paraId="6AB36690" w14:textId="77777777" w:rsidR="00005A3C" w:rsidRPr="00CA676A" w:rsidRDefault="00005A3C" w:rsidP="009D6BD6">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rPr>
      </w:pPr>
      <w:r w:rsidRPr="00CA676A">
        <w:rPr>
          <w:snapToGrid w:val="0"/>
          <w:kern w:val="22"/>
          <w:szCs w:val="22"/>
        </w:rPr>
        <w:tab/>
        <w:t>Section IV</w:t>
      </w:r>
      <w:r w:rsidRPr="00CA676A">
        <w:rPr>
          <w:snapToGrid w:val="0"/>
          <w:kern w:val="22"/>
          <w:szCs w:val="22"/>
        </w:rPr>
        <w:tab/>
        <w:t xml:space="preserve">Assessment of progress related to the goals </w:t>
      </w:r>
      <w:r>
        <w:rPr>
          <w:snapToGrid w:val="0"/>
          <w:kern w:val="22"/>
          <w:szCs w:val="22"/>
        </w:rPr>
        <w:t xml:space="preserve">and targets </w:t>
      </w:r>
      <w:r w:rsidRPr="00CA676A">
        <w:rPr>
          <w:snapToGrid w:val="0"/>
          <w:kern w:val="22"/>
          <w:szCs w:val="22"/>
        </w:rPr>
        <w:t xml:space="preserve">of the </w:t>
      </w:r>
      <w:r w:rsidRPr="00CA676A">
        <w:rPr>
          <w:rFonts w:asciiTheme="majorBidi" w:hAnsiTheme="majorBidi" w:cstheme="majorBidi"/>
          <w:bCs/>
          <w:snapToGrid w:val="0"/>
          <w:kern w:val="22"/>
          <w:szCs w:val="22"/>
          <w:lang w:val="en-US"/>
        </w:rPr>
        <w:t xml:space="preserve">Kunming-Montreal </w:t>
      </w:r>
      <w:r w:rsidRPr="00CA676A">
        <w:rPr>
          <w:snapToGrid w:val="0"/>
          <w:kern w:val="22"/>
          <w:szCs w:val="22"/>
        </w:rPr>
        <w:t>Global Biodiversity Framework;</w:t>
      </w:r>
    </w:p>
    <w:p w14:paraId="7F72855D" w14:textId="77777777" w:rsidR="00005A3C" w:rsidRPr="00CA676A" w:rsidRDefault="00005A3C" w:rsidP="009D6BD6">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rPr>
      </w:pPr>
      <w:r w:rsidRPr="00CA676A">
        <w:rPr>
          <w:snapToGrid w:val="0"/>
          <w:kern w:val="22"/>
          <w:szCs w:val="22"/>
        </w:rPr>
        <w:tab/>
        <w:t>Section V</w:t>
      </w:r>
      <w:r w:rsidRPr="00CA676A">
        <w:rPr>
          <w:snapToGrid w:val="0"/>
          <w:kern w:val="22"/>
          <w:szCs w:val="22"/>
        </w:rPr>
        <w:tab/>
        <w:t xml:space="preserve">Conclusions on the implementation of the Convention and the </w:t>
      </w:r>
      <w:r w:rsidRPr="00CA676A">
        <w:rPr>
          <w:rFonts w:asciiTheme="majorBidi" w:hAnsiTheme="majorBidi" w:cstheme="majorBidi"/>
          <w:bCs/>
          <w:snapToGrid w:val="0"/>
          <w:kern w:val="22"/>
          <w:szCs w:val="22"/>
          <w:lang w:val="en-US"/>
        </w:rPr>
        <w:t xml:space="preserve">Kunming-Montreal </w:t>
      </w:r>
      <w:r w:rsidRPr="00CA676A">
        <w:rPr>
          <w:snapToGrid w:val="0"/>
          <w:kern w:val="22"/>
          <w:szCs w:val="22"/>
        </w:rPr>
        <w:t>Global Biodiversity Framework;</w:t>
      </w:r>
    </w:p>
    <w:p w14:paraId="677345EE" w14:textId="77777777" w:rsidR="00005A3C" w:rsidRPr="00CA676A" w:rsidRDefault="00005A3C" w:rsidP="009D6BD6">
      <w:pPr>
        <w:suppressLineNumbers/>
        <w:shd w:val="clear" w:color="auto" w:fill="FFFFFF" w:themeFill="background1"/>
        <w:tabs>
          <w:tab w:val="left" w:pos="709"/>
        </w:tabs>
        <w:suppressAutoHyphens/>
        <w:kinsoku w:val="0"/>
        <w:overflowPunct w:val="0"/>
        <w:autoSpaceDE w:val="0"/>
        <w:autoSpaceDN w:val="0"/>
        <w:adjustRightInd w:val="0"/>
        <w:snapToGrid w:val="0"/>
        <w:spacing w:after="120"/>
        <w:ind w:left="1800" w:hanging="1800"/>
        <w:rPr>
          <w:snapToGrid w:val="0"/>
          <w:kern w:val="22"/>
          <w:szCs w:val="22"/>
        </w:rPr>
      </w:pPr>
      <w:r w:rsidRPr="00CA676A">
        <w:rPr>
          <w:snapToGrid w:val="0"/>
          <w:kern w:val="22"/>
          <w:szCs w:val="22"/>
        </w:rPr>
        <w:tab/>
        <w:t>Annex</w:t>
      </w:r>
      <w:r w:rsidRPr="00CA676A">
        <w:rPr>
          <w:snapToGrid w:val="0"/>
          <w:kern w:val="22"/>
          <w:szCs w:val="22"/>
        </w:rPr>
        <w:tab/>
        <w:t>Information as requested in related decisions adopted by the Conference of the Parties at its fifteenth meeting.</w:t>
      </w:r>
    </w:p>
    <w:p w14:paraId="4C4EB31F" w14:textId="77777777" w:rsidR="00005A3C" w:rsidRPr="00CA676A" w:rsidRDefault="00005A3C" w:rsidP="009D6BD6">
      <w:pPr>
        <w:suppressLineNumbers/>
        <w:shd w:val="clear" w:color="auto" w:fill="FFFFFF" w:themeFill="background1"/>
        <w:suppressAutoHyphens/>
        <w:kinsoku w:val="0"/>
        <w:overflowPunct w:val="0"/>
        <w:autoSpaceDE w:val="0"/>
        <w:autoSpaceDN w:val="0"/>
        <w:adjustRightInd w:val="0"/>
        <w:snapToGrid w:val="0"/>
        <w:spacing w:before="120" w:after="120"/>
        <w:rPr>
          <w:snapToGrid w:val="0"/>
          <w:kern w:val="22"/>
          <w:szCs w:val="22"/>
        </w:rPr>
      </w:pPr>
      <w:r w:rsidRPr="00CA676A">
        <w:rPr>
          <w:snapToGrid w:val="0"/>
          <w:kern w:val="22"/>
          <w:szCs w:val="22"/>
        </w:rPr>
        <w:t>7.</w:t>
      </w:r>
      <w:r w:rsidRPr="00CA676A">
        <w:rPr>
          <w:snapToGrid w:val="0"/>
          <w:kern w:val="22"/>
          <w:szCs w:val="22"/>
        </w:rPr>
        <w:tab/>
        <w:t>A resource manual will be available before the sixteenth meeting of the Conference of the Parties to provide further guidance and explanations on the use of the template and links to potential sources of information for the preparation of the seventh and eighth national reports. Other supporting materials and tools will be developed or enhanced as needed before the sixteenth meeting of the Conference of the Parties to support the preparation of the report.</w:t>
      </w:r>
    </w:p>
    <w:p w14:paraId="023A892D" w14:textId="77777777" w:rsidR="00005A3C" w:rsidRPr="00CA676A" w:rsidRDefault="00005A3C" w:rsidP="009D6BD6">
      <w:pPr>
        <w:keepNext/>
        <w:suppressLineNumbers/>
        <w:shd w:val="clear" w:color="auto" w:fill="FFFFFF" w:themeFill="background1"/>
        <w:suppressAutoHyphens/>
        <w:kinsoku w:val="0"/>
        <w:overflowPunct w:val="0"/>
        <w:autoSpaceDE w:val="0"/>
        <w:autoSpaceDN w:val="0"/>
        <w:adjustRightInd w:val="0"/>
        <w:snapToGrid w:val="0"/>
        <w:spacing w:before="120" w:after="120"/>
        <w:rPr>
          <w:i/>
          <w:snapToGrid w:val="0"/>
          <w:kern w:val="22"/>
          <w:szCs w:val="22"/>
        </w:rPr>
      </w:pPr>
      <w:r w:rsidRPr="00CA676A">
        <w:rPr>
          <w:i/>
          <w:snapToGrid w:val="0"/>
          <w:kern w:val="22"/>
          <w:szCs w:val="22"/>
        </w:rPr>
        <w:t>Use of indicators for monitoring and reporting</w:t>
      </w:r>
    </w:p>
    <w:p w14:paraId="1AAD3FD1" w14:textId="77777777" w:rsidR="00005A3C" w:rsidRPr="00CA676A" w:rsidRDefault="00005A3C" w:rsidP="009D6BD6">
      <w:pPr>
        <w:suppressLineNumbers/>
        <w:shd w:val="clear" w:color="auto" w:fill="FFFFFF" w:themeFill="background1"/>
        <w:suppressAutoHyphens/>
        <w:kinsoku w:val="0"/>
        <w:overflowPunct w:val="0"/>
        <w:autoSpaceDE w:val="0"/>
        <w:autoSpaceDN w:val="0"/>
        <w:adjustRightInd w:val="0"/>
        <w:snapToGrid w:val="0"/>
        <w:spacing w:before="120" w:after="120"/>
        <w:rPr>
          <w:color w:val="000000" w:themeColor="text1"/>
          <w:kern w:val="22"/>
          <w:szCs w:val="22"/>
        </w:rPr>
      </w:pPr>
      <w:r w:rsidRPr="00CA676A">
        <w:rPr>
          <w:color w:val="000000" w:themeColor="text1"/>
          <w:kern w:val="22"/>
          <w:szCs w:val="22"/>
        </w:rPr>
        <w:t>8.</w:t>
      </w:r>
      <w:r w:rsidRPr="00CA676A">
        <w:rPr>
          <w:color w:val="000000" w:themeColor="text1"/>
          <w:kern w:val="22"/>
          <w:szCs w:val="22"/>
        </w:rPr>
        <w:tab/>
      </w:r>
      <w:r w:rsidRPr="00CA676A">
        <w:rPr>
          <w:color w:val="000000" w:themeColor="text1"/>
          <w:szCs w:val="22"/>
        </w:rPr>
        <w:t xml:space="preserve">The template allows for information to be provided on all headline indicators and questions related to the binary indicators as set out in the monitoring framework of the </w:t>
      </w:r>
      <w:r w:rsidRPr="00CA676A">
        <w:rPr>
          <w:rFonts w:asciiTheme="majorBidi" w:hAnsiTheme="majorBidi" w:cstheme="majorBidi"/>
          <w:bCs/>
          <w:snapToGrid w:val="0"/>
          <w:kern w:val="22"/>
          <w:szCs w:val="22"/>
          <w:lang w:val="en-US"/>
        </w:rPr>
        <w:t xml:space="preserve">Kunming-Montreal </w:t>
      </w:r>
      <w:r w:rsidRPr="00CA676A">
        <w:rPr>
          <w:color w:val="000000" w:themeColor="text1"/>
          <w:szCs w:val="22"/>
        </w:rPr>
        <w:t>Global Biodiversity Framework.</w:t>
      </w:r>
      <w:r w:rsidRPr="00610646">
        <w:rPr>
          <w:rStyle w:val="FootnoteReference"/>
        </w:rPr>
        <w:footnoteReference w:id="48"/>
      </w:r>
      <w:r w:rsidRPr="00CA676A">
        <w:rPr>
          <w:color w:val="000000" w:themeColor="text1"/>
          <w:szCs w:val="22"/>
        </w:rPr>
        <w:t xml:space="preserve"> It also includes the option to include information on component and complementary indicators</w:t>
      </w:r>
      <w:r>
        <w:rPr>
          <w:color w:val="000000" w:themeColor="text1"/>
          <w:szCs w:val="22"/>
        </w:rPr>
        <w:t>,</w:t>
      </w:r>
      <w:r w:rsidRPr="00CA676A">
        <w:rPr>
          <w:color w:val="000000" w:themeColor="text1"/>
          <w:szCs w:val="22"/>
        </w:rPr>
        <w:t xml:space="preserve"> as well as national indicators as referenced in the monitoring framework of the </w:t>
      </w:r>
      <w:r w:rsidRPr="00CA676A">
        <w:rPr>
          <w:rFonts w:asciiTheme="majorBidi" w:hAnsiTheme="majorBidi" w:cstheme="majorBidi"/>
          <w:bCs/>
          <w:snapToGrid w:val="0"/>
          <w:kern w:val="22"/>
          <w:szCs w:val="22"/>
          <w:lang w:val="en-US"/>
        </w:rPr>
        <w:t>Kunming</w:t>
      </w:r>
      <w:r>
        <w:rPr>
          <w:rFonts w:asciiTheme="majorBidi" w:hAnsiTheme="majorBidi" w:cstheme="majorBidi"/>
          <w:bCs/>
          <w:snapToGrid w:val="0"/>
          <w:kern w:val="22"/>
          <w:szCs w:val="22"/>
          <w:lang w:val="en-US"/>
        </w:rPr>
        <w:noBreakHyphen/>
      </w:r>
      <w:r w:rsidRPr="00CA676A">
        <w:rPr>
          <w:rFonts w:asciiTheme="majorBidi" w:hAnsiTheme="majorBidi" w:cstheme="majorBidi"/>
          <w:bCs/>
          <w:snapToGrid w:val="0"/>
          <w:kern w:val="22"/>
          <w:szCs w:val="22"/>
          <w:lang w:val="en-US"/>
        </w:rPr>
        <w:t xml:space="preserve">Montreal </w:t>
      </w:r>
      <w:r w:rsidRPr="00CA676A">
        <w:rPr>
          <w:color w:val="000000" w:themeColor="text1"/>
          <w:szCs w:val="22"/>
        </w:rPr>
        <w:t xml:space="preserve">Global Biodiversity Framework. </w:t>
      </w:r>
    </w:p>
    <w:p w14:paraId="0375FED0" w14:textId="77777777" w:rsidR="00005A3C" w:rsidRPr="00CA676A" w:rsidRDefault="00005A3C" w:rsidP="009D6BD6">
      <w:pPr>
        <w:pStyle w:val="Para1"/>
        <w:keepNext/>
        <w:numPr>
          <w:ilvl w:val="0"/>
          <w:numId w:val="0"/>
        </w:numPr>
        <w:suppressLineNumbers/>
        <w:shd w:val="clear" w:color="auto" w:fill="FFFFFF" w:themeFill="background1"/>
        <w:suppressAutoHyphens/>
        <w:kinsoku w:val="0"/>
        <w:adjustRightInd w:val="0"/>
        <w:jc w:val="left"/>
        <w:rPr>
          <w:i/>
          <w:color w:val="000000" w:themeColor="text1"/>
        </w:rPr>
      </w:pPr>
      <w:r w:rsidRPr="00CA676A">
        <w:rPr>
          <w:i/>
          <w:color w:val="000000" w:themeColor="text1"/>
        </w:rPr>
        <w:lastRenderedPageBreak/>
        <w:t>Enhancing synergies in reporting under the biodiversity-related conventions and the Rio conventions and in relation to the Sustainable Development Goals</w:t>
      </w:r>
    </w:p>
    <w:p w14:paraId="60BD196C" w14:textId="77777777" w:rsidR="00005A3C" w:rsidRPr="00CA676A" w:rsidRDefault="00005A3C" w:rsidP="009D6BD6">
      <w:pPr>
        <w:suppressLineNumbers/>
        <w:shd w:val="clear" w:color="auto" w:fill="FFFFFF" w:themeFill="background1"/>
        <w:suppressAutoHyphens/>
        <w:kinsoku w:val="0"/>
        <w:overflowPunct w:val="0"/>
        <w:autoSpaceDE w:val="0"/>
        <w:autoSpaceDN w:val="0"/>
        <w:adjustRightInd w:val="0"/>
        <w:snapToGrid w:val="0"/>
        <w:spacing w:before="120" w:after="120"/>
        <w:rPr>
          <w:color w:val="000000" w:themeColor="text1"/>
          <w:kern w:val="22"/>
          <w:szCs w:val="22"/>
        </w:rPr>
      </w:pPr>
      <w:r w:rsidRPr="00CA676A">
        <w:rPr>
          <w:color w:val="000000" w:themeColor="text1"/>
          <w:kern w:val="22"/>
          <w:szCs w:val="22"/>
        </w:rPr>
        <w:t>9.</w:t>
      </w:r>
      <w:r w:rsidRPr="00CA676A">
        <w:rPr>
          <w:color w:val="000000" w:themeColor="text1"/>
          <w:kern w:val="22"/>
          <w:szCs w:val="22"/>
        </w:rPr>
        <w:tab/>
        <w:t xml:space="preserve">Parties are also encouraged to use the clearing-house mechanism/Bioland tool. The voluntary Data Reporting Tool for Multilateral Environmental Agreements (DaRT) developed by the United Nations Environment Programme is also available to Parties. </w:t>
      </w:r>
    </w:p>
    <w:p w14:paraId="51853659" w14:textId="77777777" w:rsidR="00005A3C" w:rsidRPr="00CA676A" w:rsidRDefault="00005A3C" w:rsidP="009D6BD6">
      <w:pPr>
        <w:pStyle w:val="Para1"/>
        <w:keepNext/>
        <w:numPr>
          <w:ilvl w:val="0"/>
          <w:numId w:val="0"/>
        </w:numPr>
        <w:suppressLineNumbers/>
        <w:shd w:val="clear" w:color="auto" w:fill="FFFFFF" w:themeFill="background1"/>
        <w:suppressAutoHyphens/>
        <w:kinsoku w:val="0"/>
        <w:adjustRightInd w:val="0"/>
        <w:rPr>
          <w:i/>
          <w:color w:val="000000" w:themeColor="text1"/>
        </w:rPr>
      </w:pPr>
      <w:r w:rsidRPr="00CA676A">
        <w:rPr>
          <w:i/>
          <w:color w:val="000000" w:themeColor="text1"/>
        </w:rPr>
        <w:t>Submission of the report</w:t>
      </w:r>
    </w:p>
    <w:p w14:paraId="7E82E6AB" w14:textId="3587174E" w:rsidR="00005A3C" w:rsidRPr="00CA676A" w:rsidRDefault="00005A3C" w:rsidP="009D6BD6">
      <w:pPr>
        <w:pStyle w:val="Para1"/>
        <w:numPr>
          <w:ilvl w:val="0"/>
          <w:numId w:val="0"/>
        </w:numPr>
        <w:shd w:val="clear" w:color="auto" w:fill="FFFFFF" w:themeFill="background1"/>
        <w:rPr>
          <w:color w:val="000000" w:themeColor="text1"/>
        </w:rPr>
      </w:pPr>
      <w:r w:rsidRPr="00CA676A">
        <w:rPr>
          <w:color w:val="000000" w:themeColor="text1"/>
        </w:rPr>
        <w:t>10.</w:t>
      </w:r>
      <w:r w:rsidRPr="00CA676A">
        <w:rPr>
          <w:color w:val="000000" w:themeColor="text1"/>
        </w:rPr>
        <w:tab/>
        <w:t>To facilitate the preparation and submission of the seventh and eighth national report</w:t>
      </w:r>
      <w:r>
        <w:rPr>
          <w:color w:val="000000" w:themeColor="text1"/>
        </w:rPr>
        <w:t>,</w:t>
      </w:r>
      <w:r w:rsidRPr="00CA676A">
        <w:rPr>
          <w:color w:val="000000" w:themeColor="text1"/>
        </w:rPr>
        <w:t xml:space="preserve"> an online reporting tool is available.</w:t>
      </w:r>
      <w:r w:rsidRPr="00610646">
        <w:rPr>
          <w:rStyle w:val="FootnoteReference"/>
        </w:rPr>
        <w:footnoteReference w:id="49"/>
      </w:r>
      <w:r w:rsidRPr="00CA676A">
        <w:rPr>
          <w:color w:val="000000" w:themeColor="text1"/>
        </w:rPr>
        <w:t xml:space="preserve"> The online tool will allow multiple national authorized users to draft elements of the national report and submit them for review and internal approval before formal submission by a national publishing authority. The tool will allow Parties to submit parts of the national report as they are finalized or </w:t>
      </w:r>
      <w:r>
        <w:rPr>
          <w:color w:val="000000" w:themeColor="text1"/>
        </w:rPr>
        <w:t xml:space="preserve">to </w:t>
      </w:r>
      <w:r w:rsidRPr="00CA676A">
        <w:rPr>
          <w:color w:val="000000" w:themeColor="text1"/>
        </w:rPr>
        <w:t xml:space="preserve">submit the entire report once all the sections are completed. The tool will also allow Parties to accept and verify data on relevant headline indicators from relevant regional/global data sets. For those Parties with limited Internet access or </w:t>
      </w:r>
      <w:r>
        <w:rPr>
          <w:color w:val="000000" w:themeColor="text1"/>
        </w:rPr>
        <w:t xml:space="preserve">those </w:t>
      </w:r>
      <w:r w:rsidRPr="00CA676A">
        <w:rPr>
          <w:color w:val="000000" w:themeColor="text1"/>
        </w:rPr>
        <w:t>wh</w:t>
      </w:r>
      <w:r>
        <w:rPr>
          <w:color w:val="000000" w:themeColor="text1"/>
        </w:rPr>
        <w:t>o</w:t>
      </w:r>
      <w:r w:rsidRPr="00CA676A">
        <w:rPr>
          <w:color w:val="000000" w:themeColor="text1"/>
        </w:rPr>
        <w:t xml:space="preserve"> prefer to submit their national reports in document form, an offline version of the reporting templates will be made available. If the national report is submitted in document form, it should be accompanied by an official letter or an email message from the national focal point for the Convention or a senior Government official responsible for the implementation of the Convention. Parties not using the online reporting tool may send their seventh and eighth national report to the main email address of the Secretariat (</w:t>
      </w:r>
      <w:hyperlink r:id="rId21" w:history="1">
        <w:r w:rsidRPr="00CA676A">
          <w:rPr>
            <w:rStyle w:val="Hyperlink"/>
            <w:kern w:val="18"/>
            <w:sz w:val="22"/>
          </w:rPr>
          <w:t>secretariat@cbd.int</w:t>
        </w:r>
      </w:hyperlink>
      <w:r w:rsidRPr="00CA676A">
        <w:rPr>
          <w:color w:val="000000" w:themeColor="text1"/>
        </w:rPr>
        <w:t>).</w:t>
      </w:r>
    </w:p>
    <w:p w14:paraId="7ED8355D" w14:textId="77777777" w:rsidR="00005A3C" w:rsidRPr="004F65AE" w:rsidRDefault="00005A3C" w:rsidP="0050251E">
      <w:pPr>
        <w:keepNext/>
        <w:shd w:val="clear" w:color="auto" w:fill="FFFFFF" w:themeFill="background1"/>
        <w:spacing w:before="360" w:after="120"/>
        <w:jc w:val="center"/>
        <w:rPr>
          <w:snapToGrid w:val="0"/>
          <w:kern w:val="22"/>
          <w:sz w:val="20"/>
          <w:szCs w:val="20"/>
        </w:rPr>
      </w:pPr>
      <w:r w:rsidRPr="004F65AE">
        <w:rPr>
          <w:rFonts w:ascii="Times New Roman Bold" w:hAnsi="Times New Roman Bold"/>
          <w:b/>
          <w:bCs/>
          <w:caps/>
          <w:sz w:val="20"/>
          <w:szCs w:val="20"/>
        </w:rPr>
        <w:t>Draft template for the seventh national report</w:t>
      </w:r>
    </w:p>
    <w:p w14:paraId="47842BBE" w14:textId="77777777" w:rsidR="00005A3C" w:rsidRPr="004F65AE" w:rsidRDefault="00005A3C" w:rsidP="009D6BD6">
      <w:pPr>
        <w:keepNext/>
        <w:shd w:val="clear" w:color="auto" w:fill="FFFFFF" w:themeFill="background1"/>
        <w:spacing w:before="240" w:after="120"/>
        <w:rPr>
          <w:b/>
          <w:bCs/>
          <w:snapToGrid w:val="0"/>
          <w:kern w:val="22"/>
          <w:sz w:val="20"/>
          <w:szCs w:val="20"/>
        </w:rPr>
      </w:pPr>
      <w:r w:rsidRPr="004F65AE">
        <w:rPr>
          <w:b/>
          <w:bCs/>
          <w:snapToGrid w:val="0"/>
          <w:kern w:val="22"/>
          <w:sz w:val="20"/>
          <w:szCs w:val="20"/>
        </w:rPr>
        <w:t>Section I. Brief overview of the process of preparation of the report</w:t>
      </w:r>
    </w:p>
    <w:tbl>
      <w:tblPr>
        <w:tblStyle w:val="TableGrid"/>
        <w:tblW w:w="0" w:type="auto"/>
        <w:jc w:val="center"/>
        <w:tblLook w:val="04A0" w:firstRow="1" w:lastRow="0" w:firstColumn="1" w:lastColumn="0" w:noHBand="0" w:noVBand="1"/>
      </w:tblPr>
      <w:tblGrid>
        <w:gridCol w:w="9350"/>
      </w:tblGrid>
      <w:tr w:rsidR="00005A3C" w:rsidRPr="004F65AE" w14:paraId="3C6784B2" w14:textId="77777777" w:rsidTr="00F36208">
        <w:trPr>
          <w:jc w:val="center"/>
        </w:trPr>
        <w:tc>
          <w:tcPr>
            <w:tcW w:w="9445" w:type="dxa"/>
            <w:shd w:val="clear" w:color="auto" w:fill="auto"/>
          </w:tcPr>
          <w:p w14:paraId="348EF4B6" w14:textId="77777777" w:rsidR="00005A3C" w:rsidRPr="004F65AE" w:rsidRDefault="00005A3C" w:rsidP="00F36208">
            <w:pPr>
              <w:keepNext/>
              <w:shd w:val="clear" w:color="auto" w:fill="FFFFFF" w:themeFill="background1"/>
              <w:spacing w:before="240" w:after="120"/>
              <w:jc w:val="left"/>
              <w:rPr>
                <w:b/>
                <w:snapToGrid w:val="0"/>
                <w:kern w:val="22"/>
                <w:sz w:val="20"/>
                <w:szCs w:val="20"/>
              </w:rPr>
            </w:pPr>
            <w:r w:rsidRPr="004F65AE">
              <w:rPr>
                <w:b/>
                <w:snapToGrid w:val="0"/>
                <w:kern w:val="22"/>
                <w:sz w:val="20"/>
                <w:szCs w:val="20"/>
              </w:rPr>
              <w:t>Please briefly describe the process undertaken for the preparation of this report (responses may include the following):</w:t>
            </w:r>
          </w:p>
          <w:p w14:paraId="6B4EB80A"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60" w:after="60"/>
              <w:ind w:left="720" w:hanging="360"/>
              <w:rPr>
                <w:snapToGrid w:val="0"/>
                <w:kern w:val="22"/>
                <w:sz w:val="20"/>
                <w:szCs w:val="20"/>
              </w:rPr>
            </w:pPr>
            <w:r w:rsidRPr="004F65AE">
              <w:rPr>
                <w:rFonts w:ascii="Courier New" w:hAnsi="Courier New"/>
                <w:snapToGrid w:val="0"/>
                <w:kern w:val="22"/>
                <w:sz w:val="20"/>
                <w:szCs w:val="20"/>
              </w:rPr>
              <w:t>o</w:t>
            </w:r>
            <w:r w:rsidRPr="004F65AE">
              <w:rPr>
                <w:rFonts w:ascii="Courier New" w:hAnsi="Courier New"/>
                <w:snapToGrid w:val="0"/>
                <w:kern w:val="22"/>
                <w:sz w:val="20"/>
                <w:szCs w:val="20"/>
              </w:rPr>
              <w:tab/>
            </w:r>
            <w:r w:rsidRPr="004F65AE">
              <w:rPr>
                <w:snapToGrid w:val="0"/>
                <w:kern w:val="22"/>
                <w:sz w:val="20"/>
                <w:szCs w:val="20"/>
              </w:rPr>
              <w:t>Coordination mechanisms and methodology for data collection and validation employed (if applicable) as well as key challenges encountered;</w:t>
            </w:r>
          </w:p>
          <w:p w14:paraId="45F7543D"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60" w:after="60"/>
              <w:ind w:left="720" w:hanging="360"/>
              <w:rPr>
                <w:snapToGrid w:val="0"/>
                <w:kern w:val="22"/>
                <w:sz w:val="20"/>
                <w:szCs w:val="20"/>
              </w:rPr>
            </w:pPr>
            <w:r w:rsidRPr="004F65AE">
              <w:rPr>
                <w:rFonts w:ascii="Courier New" w:hAnsi="Courier New"/>
                <w:snapToGrid w:val="0"/>
                <w:kern w:val="22"/>
                <w:sz w:val="20"/>
                <w:szCs w:val="20"/>
              </w:rPr>
              <w:t>o</w:t>
            </w:r>
            <w:r w:rsidRPr="004F65AE">
              <w:rPr>
                <w:rFonts w:ascii="Courier New" w:hAnsi="Courier New"/>
                <w:snapToGrid w:val="0"/>
                <w:kern w:val="22"/>
                <w:sz w:val="20"/>
                <w:szCs w:val="20"/>
              </w:rPr>
              <w:tab/>
            </w:r>
            <w:r w:rsidRPr="004F65AE">
              <w:rPr>
                <w:snapToGrid w:val="0"/>
                <w:kern w:val="22"/>
                <w:sz w:val="20"/>
                <w:szCs w:val="20"/>
              </w:rPr>
              <w:t>Consultations undertaken at various levels for preparing this report, involving and engaging various stakeholders</w:t>
            </w:r>
            <w:r>
              <w:rPr>
                <w:snapToGrid w:val="0"/>
                <w:kern w:val="22"/>
                <w:sz w:val="20"/>
                <w:szCs w:val="20"/>
              </w:rPr>
              <w:t>,</w:t>
            </w:r>
            <w:r w:rsidRPr="004F65AE">
              <w:rPr>
                <w:snapToGrid w:val="0"/>
                <w:kern w:val="22"/>
                <w:sz w:val="20"/>
                <w:szCs w:val="20"/>
              </w:rPr>
              <w:t xml:space="preserve"> taking into account national circumstances.</w:t>
            </w:r>
          </w:p>
        </w:tc>
      </w:tr>
      <w:tr w:rsidR="00005A3C" w:rsidRPr="004F65AE" w14:paraId="7E7E0CE5" w14:textId="77777777" w:rsidTr="00F36208">
        <w:trPr>
          <w:jc w:val="center"/>
        </w:trPr>
        <w:tc>
          <w:tcPr>
            <w:tcW w:w="9445" w:type="dxa"/>
            <w:shd w:val="clear" w:color="auto" w:fill="FFFFFF" w:themeFill="background1"/>
          </w:tcPr>
          <w:p w14:paraId="6A5A8704" w14:textId="77777777" w:rsidR="00005A3C" w:rsidRPr="004F65AE" w:rsidRDefault="00005A3C" w:rsidP="00F36208">
            <w:pPr>
              <w:keepNext/>
              <w:shd w:val="clear" w:color="auto" w:fill="FFFFFF" w:themeFill="background1"/>
              <w:spacing w:before="240" w:after="120"/>
              <w:jc w:val="left"/>
              <w:rPr>
                <w:b/>
                <w:bCs/>
                <w:snapToGrid w:val="0"/>
                <w:kern w:val="22"/>
                <w:sz w:val="20"/>
                <w:szCs w:val="20"/>
              </w:rPr>
            </w:pPr>
          </w:p>
          <w:p w14:paraId="2DFA82F0" w14:textId="77777777" w:rsidR="00005A3C" w:rsidRPr="004F65AE" w:rsidRDefault="00005A3C" w:rsidP="00F36208">
            <w:pPr>
              <w:keepNext/>
              <w:shd w:val="clear" w:color="auto" w:fill="FFFFFF" w:themeFill="background1"/>
              <w:spacing w:before="240" w:after="120"/>
              <w:jc w:val="left"/>
              <w:rPr>
                <w:b/>
                <w:bCs/>
                <w:snapToGrid w:val="0"/>
                <w:kern w:val="22"/>
                <w:sz w:val="20"/>
                <w:szCs w:val="20"/>
              </w:rPr>
            </w:pPr>
          </w:p>
        </w:tc>
      </w:tr>
    </w:tbl>
    <w:p w14:paraId="44C1B9FB" w14:textId="77777777" w:rsidR="00005A3C" w:rsidRPr="004F65AE" w:rsidRDefault="00005A3C" w:rsidP="009D6BD6">
      <w:pPr>
        <w:keepNext/>
        <w:shd w:val="clear" w:color="auto" w:fill="FFFFFF" w:themeFill="background1"/>
        <w:spacing w:before="240" w:after="120"/>
        <w:jc w:val="left"/>
        <w:rPr>
          <w:b/>
          <w:bCs/>
          <w:snapToGrid w:val="0"/>
          <w:kern w:val="22"/>
          <w:sz w:val="20"/>
          <w:szCs w:val="20"/>
        </w:rPr>
      </w:pPr>
      <w:r w:rsidRPr="004F65AE">
        <w:rPr>
          <w:b/>
          <w:bCs/>
          <w:snapToGrid w:val="0"/>
          <w:kern w:val="22"/>
          <w:sz w:val="20"/>
          <w:szCs w:val="20"/>
        </w:rPr>
        <w:t xml:space="preserve">Section II. Status of the revised or updated national biodiversity strategies and action plans (NBSAPs) in the light of the </w:t>
      </w:r>
      <w:r w:rsidRPr="00E43B5C">
        <w:rPr>
          <w:rFonts w:asciiTheme="majorBidi" w:hAnsiTheme="majorBidi" w:cstheme="majorBidi"/>
          <w:b/>
          <w:snapToGrid w:val="0"/>
          <w:kern w:val="22"/>
          <w:sz w:val="20"/>
          <w:szCs w:val="20"/>
          <w:lang w:val="en-US"/>
        </w:rPr>
        <w:t xml:space="preserve">Kunming-Montreal </w:t>
      </w:r>
      <w:r>
        <w:rPr>
          <w:b/>
          <w:snapToGrid w:val="0"/>
          <w:kern w:val="22"/>
          <w:sz w:val="20"/>
          <w:szCs w:val="20"/>
        </w:rPr>
        <w:t>G</w:t>
      </w:r>
      <w:r w:rsidRPr="00E43B5C">
        <w:rPr>
          <w:b/>
          <w:snapToGrid w:val="0"/>
          <w:kern w:val="22"/>
          <w:sz w:val="20"/>
          <w:szCs w:val="20"/>
        </w:rPr>
        <w:t>lobal</w:t>
      </w:r>
      <w:r w:rsidRPr="004F65AE">
        <w:rPr>
          <w:b/>
          <w:bCs/>
          <w:snapToGrid w:val="0"/>
          <w:kern w:val="22"/>
          <w:sz w:val="20"/>
          <w:szCs w:val="20"/>
        </w:rPr>
        <w:t xml:space="preserve"> </w:t>
      </w:r>
      <w:r>
        <w:rPr>
          <w:b/>
          <w:bCs/>
          <w:snapToGrid w:val="0"/>
          <w:kern w:val="22"/>
          <w:sz w:val="20"/>
          <w:szCs w:val="20"/>
        </w:rPr>
        <w:t>B</w:t>
      </w:r>
      <w:r w:rsidRPr="004F65AE">
        <w:rPr>
          <w:b/>
          <w:bCs/>
          <w:snapToGrid w:val="0"/>
          <w:kern w:val="22"/>
          <w:sz w:val="20"/>
          <w:szCs w:val="20"/>
        </w:rPr>
        <w:t xml:space="preserve">iodiversity </w:t>
      </w:r>
      <w:r>
        <w:rPr>
          <w:b/>
          <w:bCs/>
          <w:snapToGrid w:val="0"/>
          <w:kern w:val="22"/>
          <w:sz w:val="20"/>
          <w:szCs w:val="20"/>
        </w:rPr>
        <w:t>F</w:t>
      </w:r>
      <w:r w:rsidRPr="004F65AE">
        <w:rPr>
          <w:b/>
          <w:bCs/>
          <w:snapToGrid w:val="0"/>
          <w:kern w:val="22"/>
          <w:sz w:val="20"/>
          <w:szCs w:val="20"/>
        </w:rPr>
        <w:t xml:space="preserve">ramework </w:t>
      </w:r>
    </w:p>
    <w:tbl>
      <w:tblPr>
        <w:tblStyle w:val="TableGrid"/>
        <w:tblW w:w="0" w:type="auto"/>
        <w:shd w:val="clear" w:color="auto" w:fill="FFFFFF" w:themeFill="background1"/>
        <w:tblLook w:val="04A0" w:firstRow="1" w:lastRow="0" w:firstColumn="1" w:lastColumn="0" w:noHBand="0" w:noVBand="1"/>
      </w:tblPr>
      <w:tblGrid>
        <w:gridCol w:w="4252"/>
        <w:gridCol w:w="5098"/>
      </w:tblGrid>
      <w:tr w:rsidR="00005A3C" w:rsidRPr="004F65AE" w14:paraId="5F1C63F6" w14:textId="77777777" w:rsidTr="00F36208">
        <w:tc>
          <w:tcPr>
            <w:tcW w:w="4283" w:type="dxa"/>
            <w:shd w:val="clear" w:color="auto" w:fill="FFFFFF" w:themeFill="background1"/>
          </w:tcPr>
          <w:p w14:paraId="5708B7B6"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4F65AE">
              <w:rPr>
                <w:b/>
                <w:bCs/>
                <w:snapToGrid w:val="0"/>
                <w:kern w:val="22"/>
                <w:sz w:val="20"/>
                <w:szCs w:val="20"/>
              </w:rPr>
              <w:t>Has your country revised or updated NBSAP</w:t>
            </w:r>
            <w:r>
              <w:rPr>
                <w:b/>
                <w:bCs/>
                <w:snapToGrid w:val="0"/>
                <w:kern w:val="22"/>
                <w:sz w:val="20"/>
                <w:szCs w:val="20"/>
              </w:rPr>
              <w:t>s</w:t>
            </w:r>
            <w:r w:rsidRPr="004F65AE">
              <w:rPr>
                <w:b/>
                <w:bCs/>
                <w:snapToGrid w:val="0"/>
                <w:kern w:val="22"/>
                <w:sz w:val="20"/>
                <w:szCs w:val="20"/>
              </w:rPr>
              <w:t xml:space="preserve"> in </w:t>
            </w:r>
            <w:r>
              <w:rPr>
                <w:b/>
                <w:bCs/>
                <w:snapToGrid w:val="0"/>
                <w:kern w:val="22"/>
                <w:sz w:val="20"/>
                <w:szCs w:val="20"/>
              </w:rPr>
              <w:t xml:space="preserve">the </w:t>
            </w:r>
            <w:r w:rsidRPr="004F65AE">
              <w:rPr>
                <w:b/>
                <w:bCs/>
                <w:snapToGrid w:val="0"/>
                <w:kern w:val="22"/>
                <w:sz w:val="20"/>
                <w:szCs w:val="20"/>
              </w:rPr>
              <w:t xml:space="preserve">light of the </w:t>
            </w:r>
            <w:r w:rsidRPr="00E43B5C">
              <w:rPr>
                <w:rFonts w:asciiTheme="majorBidi" w:hAnsiTheme="majorBidi" w:cstheme="majorBidi"/>
                <w:b/>
                <w:snapToGrid w:val="0"/>
                <w:kern w:val="22"/>
                <w:sz w:val="20"/>
                <w:szCs w:val="20"/>
                <w:lang w:val="en-US"/>
              </w:rPr>
              <w:t>Kunming-Montreal</w:t>
            </w:r>
            <w:r w:rsidRPr="00E43B5C">
              <w:rPr>
                <w:rFonts w:asciiTheme="majorBidi" w:hAnsiTheme="majorBidi" w:cstheme="majorBidi"/>
                <w:bCs/>
                <w:snapToGrid w:val="0"/>
                <w:kern w:val="22"/>
                <w:sz w:val="20"/>
                <w:szCs w:val="20"/>
                <w:lang w:val="en-US"/>
              </w:rPr>
              <w:t xml:space="preserve"> </w:t>
            </w:r>
            <w:r>
              <w:rPr>
                <w:b/>
                <w:bCs/>
                <w:snapToGrid w:val="0"/>
                <w:kern w:val="22"/>
                <w:sz w:val="20"/>
                <w:szCs w:val="20"/>
              </w:rPr>
              <w:t>G</w:t>
            </w:r>
            <w:r w:rsidRPr="004F65AE">
              <w:rPr>
                <w:b/>
                <w:bCs/>
                <w:snapToGrid w:val="0"/>
                <w:kern w:val="22"/>
                <w:sz w:val="20"/>
                <w:szCs w:val="20"/>
              </w:rPr>
              <w:t xml:space="preserve">lobal </w:t>
            </w:r>
            <w:r>
              <w:rPr>
                <w:b/>
                <w:bCs/>
                <w:snapToGrid w:val="0"/>
                <w:kern w:val="22"/>
                <w:sz w:val="20"/>
                <w:szCs w:val="20"/>
              </w:rPr>
              <w:t>B</w:t>
            </w:r>
            <w:r w:rsidRPr="004F65AE">
              <w:rPr>
                <w:b/>
                <w:bCs/>
                <w:snapToGrid w:val="0"/>
                <w:kern w:val="22"/>
                <w:sz w:val="20"/>
                <w:szCs w:val="20"/>
              </w:rPr>
              <w:t xml:space="preserve">iodiversity </w:t>
            </w:r>
            <w:r>
              <w:rPr>
                <w:b/>
                <w:bCs/>
                <w:snapToGrid w:val="0"/>
                <w:kern w:val="22"/>
                <w:sz w:val="20"/>
                <w:szCs w:val="20"/>
              </w:rPr>
              <w:t>F</w:t>
            </w:r>
            <w:r w:rsidRPr="004F65AE">
              <w:rPr>
                <w:b/>
                <w:bCs/>
                <w:snapToGrid w:val="0"/>
                <w:kern w:val="22"/>
                <w:sz w:val="20"/>
                <w:szCs w:val="20"/>
              </w:rPr>
              <w:t>ramework?</w:t>
            </w:r>
          </w:p>
        </w:tc>
        <w:tc>
          <w:tcPr>
            <w:tcW w:w="5169" w:type="dxa"/>
            <w:tcBorders>
              <w:bottom w:val="nil"/>
            </w:tcBorders>
            <w:shd w:val="clear" w:color="auto" w:fill="FFFFFF" w:themeFill="background1"/>
          </w:tcPr>
          <w:p w14:paraId="047C9FAE"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87552205"/>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eastAsia="MS Gothic"/>
                <w:color w:val="000000"/>
                <w:kern w:val="22"/>
                <w:sz w:val="20"/>
                <w:szCs w:val="20"/>
              </w:rPr>
              <w:t xml:space="preserve"> Yes</w:t>
            </w:r>
          </w:p>
          <w:p w14:paraId="3C069287"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857920841"/>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eastAsia="MS Gothic"/>
                <w:color w:val="000000"/>
                <w:kern w:val="22"/>
                <w:sz w:val="20"/>
                <w:szCs w:val="20"/>
              </w:rPr>
              <w:t xml:space="preserve"> No</w:t>
            </w:r>
          </w:p>
          <w:p w14:paraId="63302759"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579412618"/>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eastAsia="MS Gothic"/>
                <w:color w:val="000000"/>
                <w:kern w:val="22"/>
                <w:sz w:val="20"/>
                <w:szCs w:val="20"/>
              </w:rPr>
              <w:t xml:space="preserve"> In process</w:t>
            </w:r>
          </w:p>
          <w:p w14:paraId="49626729" w14:textId="77777777" w:rsidR="00005A3C" w:rsidRPr="004F65AE" w:rsidRDefault="00005A3C" w:rsidP="00CA676A">
            <w:pPr>
              <w:suppressLineNumbers/>
              <w:shd w:val="clear" w:color="auto" w:fill="FFFFFF" w:themeFill="background1"/>
              <w:suppressAutoHyphens/>
              <w:kinsoku w:val="0"/>
              <w:overflowPunct w:val="0"/>
              <w:autoSpaceDE w:val="0"/>
              <w:autoSpaceDN w:val="0"/>
              <w:adjustRightInd w:val="0"/>
              <w:snapToGrid w:val="0"/>
              <w:spacing w:after="120"/>
              <w:rPr>
                <w:rFonts w:eastAsia="MS Gothic"/>
                <w:color w:val="000000"/>
                <w:kern w:val="22"/>
                <w:sz w:val="20"/>
                <w:szCs w:val="20"/>
              </w:rPr>
            </w:pPr>
            <w:r w:rsidRPr="004F65AE">
              <w:rPr>
                <w:rFonts w:eastAsia="MS Gothic"/>
                <w:color w:val="000000"/>
                <w:kern w:val="22"/>
                <w:sz w:val="20"/>
                <w:szCs w:val="20"/>
              </w:rPr>
              <w:t>If you answer “no” or “in process” please indicate the anticipated</w:t>
            </w:r>
            <w:r>
              <w:rPr>
                <w:rFonts w:eastAsia="MS Gothic"/>
                <w:color w:val="000000"/>
                <w:kern w:val="22"/>
                <w:sz w:val="20"/>
                <w:szCs w:val="20"/>
              </w:rPr>
              <w:t xml:space="preserve"> </w:t>
            </w:r>
            <w:r w:rsidRPr="004F65AE">
              <w:rPr>
                <w:rFonts w:eastAsia="MS Gothic"/>
                <w:color w:val="000000"/>
                <w:kern w:val="22"/>
                <w:sz w:val="20"/>
                <w:szCs w:val="20"/>
              </w:rPr>
              <w:t xml:space="preserve">date </w:t>
            </w:r>
            <w:r>
              <w:rPr>
                <w:rFonts w:eastAsia="MS Gothic"/>
                <w:color w:val="000000"/>
                <w:kern w:val="22"/>
                <w:sz w:val="20"/>
                <w:szCs w:val="20"/>
              </w:rPr>
              <w:t xml:space="preserve">of </w:t>
            </w:r>
            <w:r w:rsidRPr="00A451B4">
              <w:rPr>
                <w:rFonts w:eastAsia="MS Gothic"/>
                <w:color w:val="000000"/>
                <w:kern w:val="22"/>
                <w:sz w:val="20"/>
                <w:szCs w:val="20"/>
              </w:rPr>
              <w:t>completion of the</w:t>
            </w:r>
            <w:r w:rsidRPr="004F65AE">
              <w:rPr>
                <w:rFonts w:eastAsia="MS Gothic"/>
                <w:color w:val="000000"/>
                <w:kern w:val="22"/>
                <w:sz w:val="20"/>
                <w:szCs w:val="20"/>
              </w:rPr>
              <w:t xml:space="preserve"> revision or updating of </w:t>
            </w:r>
            <w:r>
              <w:rPr>
                <w:rFonts w:eastAsia="MS Gothic"/>
                <w:color w:val="000000"/>
                <w:kern w:val="22"/>
                <w:sz w:val="20"/>
                <w:szCs w:val="20"/>
              </w:rPr>
              <w:t xml:space="preserve">the </w:t>
            </w:r>
            <w:r w:rsidRPr="004F65AE">
              <w:rPr>
                <w:rFonts w:eastAsia="MS Gothic"/>
                <w:color w:val="000000"/>
                <w:kern w:val="22"/>
                <w:sz w:val="20"/>
                <w:szCs w:val="20"/>
              </w:rPr>
              <w:t>NBSAP:___________________</w:t>
            </w:r>
            <w:r>
              <w:rPr>
                <w:rFonts w:eastAsia="MS Gothic"/>
                <w:color w:val="000000"/>
                <w:kern w:val="22"/>
                <w:sz w:val="20"/>
                <w:szCs w:val="20"/>
              </w:rPr>
              <w:t>___________________</w:t>
            </w:r>
          </w:p>
        </w:tc>
      </w:tr>
      <w:tr w:rsidR="00005A3C" w:rsidRPr="004F65AE" w14:paraId="5231BA9E" w14:textId="77777777" w:rsidTr="00F36208">
        <w:tc>
          <w:tcPr>
            <w:tcW w:w="4283" w:type="dxa"/>
            <w:shd w:val="clear" w:color="auto" w:fill="FFFFFF" w:themeFill="background1"/>
          </w:tcPr>
          <w:p w14:paraId="5F33CCED" w14:textId="77777777" w:rsidR="00005A3C" w:rsidRDefault="00005A3C" w:rsidP="00847409">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kern w:val="22"/>
                <w:sz w:val="20"/>
                <w:szCs w:val="20"/>
              </w:rPr>
              <w:t xml:space="preserve">Did your country involve and engage stakeholders in revising or updating NBSAPs? </w:t>
            </w:r>
          </w:p>
          <w:p w14:paraId="614983E7"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5169" w:type="dxa"/>
            <w:tcBorders>
              <w:bottom w:val="nil"/>
            </w:tcBorders>
            <w:shd w:val="clear" w:color="auto" w:fill="FFFFFF" w:themeFill="background1"/>
          </w:tcPr>
          <w:p w14:paraId="5C560CA8" w14:textId="77777777" w:rsidR="00005A3C" w:rsidRPr="004F65AE" w:rsidRDefault="00000000" w:rsidP="0084740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141109045"/>
                <w14:checkbox>
                  <w14:checked w14:val="0"/>
                  <w14:checkedState w14:val="2612" w14:font="MS Gothic"/>
                  <w14:uncheckedState w14:val="2610" w14:font="MS Gothic"/>
                </w14:checkbox>
              </w:sdtPr>
              <w:sdtContent>
                <w:r w:rsidR="00005A3C">
                  <w:rPr>
                    <w:rFonts w:ascii="MS Gothic" w:eastAsia="MS Gothic" w:hAnsi="MS Gothic" w:hint="eastAsia"/>
                    <w:color w:val="000000"/>
                    <w:kern w:val="22"/>
                    <w:sz w:val="20"/>
                    <w:szCs w:val="20"/>
                  </w:rPr>
                  <w:t>☐</w:t>
                </w:r>
              </w:sdtContent>
            </w:sdt>
            <w:r w:rsidR="00005A3C" w:rsidRPr="004F65AE">
              <w:rPr>
                <w:rFonts w:eastAsia="MS Gothic"/>
                <w:color w:val="000000"/>
                <w:kern w:val="22"/>
                <w:sz w:val="20"/>
                <w:szCs w:val="20"/>
              </w:rPr>
              <w:t xml:space="preserve"> Yes</w:t>
            </w:r>
          </w:p>
          <w:p w14:paraId="6C307DC4" w14:textId="77777777" w:rsidR="00005A3C" w:rsidRDefault="00000000" w:rsidP="00847409">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929346241"/>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eastAsia="MS Gothic"/>
                <w:color w:val="000000"/>
                <w:kern w:val="22"/>
                <w:sz w:val="20"/>
                <w:szCs w:val="20"/>
              </w:rPr>
              <w:t xml:space="preserve"> No</w:t>
            </w:r>
          </w:p>
          <w:p w14:paraId="44F04FC9" w14:textId="3739A6D8" w:rsidR="00005A3C" w:rsidRDefault="00000000" w:rsidP="006B202E">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1077583578"/>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Pr>
                <w:rFonts w:eastAsia="MS Gothic"/>
                <w:color w:val="000000"/>
                <w:kern w:val="22"/>
                <w:sz w:val="20"/>
                <w:szCs w:val="20"/>
              </w:rPr>
              <w:t xml:space="preserve">If yes, please indicate: (drop down menu) </w:t>
            </w:r>
            <w:r w:rsidR="00005A3C">
              <w:rPr>
                <w:b/>
                <w:bCs/>
                <w:snapToGrid w:val="0"/>
                <w:kern w:val="22"/>
                <w:sz w:val="20"/>
                <w:szCs w:val="20"/>
              </w:rPr>
              <w:t>Women IPLC, Youth, Other</w:t>
            </w:r>
          </w:p>
        </w:tc>
      </w:tr>
      <w:tr w:rsidR="00005A3C" w:rsidRPr="004F65AE" w14:paraId="2D5CDA70" w14:textId="77777777" w:rsidTr="00F36208">
        <w:tc>
          <w:tcPr>
            <w:tcW w:w="4283" w:type="dxa"/>
            <w:shd w:val="clear" w:color="auto" w:fill="FFFFFF" w:themeFill="background1"/>
          </w:tcPr>
          <w:p w14:paraId="58D12F1E" w14:textId="77777777" w:rsidR="00005A3C"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4F65AE">
              <w:rPr>
                <w:b/>
                <w:bCs/>
                <w:snapToGrid w:val="0"/>
                <w:kern w:val="22"/>
                <w:sz w:val="20"/>
                <w:szCs w:val="20"/>
              </w:rPr>
              <w:lastRenderedPageBreak/>
              <w:t>Has your country’s revised or updated NBSAP</w:t>
            </w:r>
            <w:r>
              <w:rPr>
                <w:b/>
                <w:bCs/>
                <w:snapToGrid w:val="0"/>
                <w:kern w:val="22"/>
                <w:sz w:val="20"/>
                <w:szCs w:val="20"/>
              </w:rPr>
              <w:t>s</w:t>
            </w:r>
            <w:r w:rsidRPr="004F65AE">
              <w:rPr>
                <w:b/>
                <w:bCs/>
                <w:snapToGrid w:val="0"/>
                <w:kern w:val="22"/>
                <w:sz w:val="20"/>
                <w:szCs w:val="20"/>
              </w:rPr>
              <w:t xml:space="preserve"> been adopted as policy or legal instruments?</w:t>
            </w:r>
          </w:p>
          <w:p w14:paraId="6C096511" w14:textId="77777777" w:rsidR="00005A3C"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p w14:paraId="3F772ED8"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Pr>
                <w:b/>
                <w:bCs/>
                <w:snapToGrid w:val="0"/>
                <w:kern w:val="22"/>
                <w:sz w:val="20"/>
                <w:szCs w:val="20"/>
              </w:rPr>
              <w:t>________________________________________</w:t>
            </w:r>
          </w:p>
        </w:tc>
        <w:tc>
          <w:tcPr>
            <w:tcW w:w="5169" w:type="dxa"/>
            <w:tcBorders>
              <w:bottom w:val="nil"/>
            </w:tcBorders>
            <w:shd w:val="clear" w:color="auto" w:fill="FFFFFF" w:themeFill="background1"/>
          </w:tcPr>
          <w:p w14:paraId="5A4CDD13"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eastAsia="MS Gothic"/>
                <w:color w:val="000000"/>
                <w:kern w:val="22"/>
                <w:sz w:val="20"/>
                <w:szCs w:val="20"/>
              </w:rPr>
            </w:pPr>
            <w:sdt>
              <w:sdtPr>
                <w:rPr>
                  <w:rFonts w:eastAsia="MS Gothic"/>
                  <w:color w:val="000000"/>
                  <w:kern w:val="22"/>
                  <w:sz w:val="20"/>
                  <w:szCs w:val="20"/>
                </w:rPr>
                <w:id w:val="46504321"/>
                <w14:checkbox>
                  <w14:checked w14:val="1"/>
                  <w14:checkedState w14:val="2612" w14:font="MS Gothic"/>
                  <w14:uncheckedState w14:val="2610" w14:font="MS Gothic"/>
                </w14:checkbox>
              </w:sdtPr>
              <w:sdtContent>
                <w:r w:rsidR="00005A3C">
                  <w:rPr>
                    <w:rFonts w:ascii="MS Gothic" w:eastAsia="MS Gothic" w:hAnsi="MS Gothic" w:cs="Segoe UI Symbol" w:hint="eastAsia"/>
                    <w:color w:val="000000"/>
                    <w:kern w:val="22"/>
                    <w:sz w:val="20"/>
                    <w:szCs w:val="20"/>
                  </w:rPr>
                  <w:t>☒</w:t>
                </w:r>
              </w:sdtContent>
            </w:sdt>
            <w:r w:rsidR="00005A3C" w:rsidRPr="004F65AE">
              <w:rPr>
                <w:rFonts w:eastAsia="MS Gothic"/>
                <w:color w:val="000000"/>
                <w:kern w:val="22"/>
                <w:sz w:val="20"/>
                <w:szCs w:val="20"/>
              </w:rPr>
              <w:t xml:space="preserve"> Yes</w:t>
            </w:r>
          </w:p>
          <w:p w14:paraId="51C9FC1E"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480684116"/>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eastAsia="MS Gothic"/>
                <w:color w:val="000000"/>
                <w:kern w:val="22"/>
                <w:sz w:val="20"/>
                <w:szCs w:val="20"/>
              </w:rPr>
              <w:t xml:space="preserve"> No</w:t>
            </w:r>
          </w:p>
          <w:p w14:paraId="4CD9D90C"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529639373"/>
                <w14:checkbox>
                  <w14:checked w14:val="0"/>
                  <w14:checkedState w14:val="2612" w14:font="MS Gothic"/>
                  <w14:uncheckedState w14:val="2610" w14:font="MS Gothic"/>
                </w14:checkbox>
              </w:sdtPr>
              <w:sdtContent>
                <w:r w:rsidR="00005A3C" w:rsidRPr="004F65AE">
                  <w:rPr>
                    <w:rFonts w:ascii="Segoe UI Symbol" w:eastAsia="MS Gothic" w:hAnsi="Segoe UI Symbol" w:cs="Segoe UI Symbol"/>
                    <w:color w:val="000000"/>
                    <w:kern w:val="22"/>
                    <w:sz w:val="20"/>
                    <w:szCs w:val="20"/>
                  </w:rPr>
                  <w:t>☐</w:t>
                </w:r>
              </w:sdtContent>
            </w:sdt>
            <w:r w:rsidR="00005A3C" w:rsidRPr="004F65AE">
              <w:rPr>
                <w:rFonts w:eastAsia="MS Gothic"/>
                <w:color w:val="000000"/>
                <w:kern w:val="22"/>
                <w:sz w:val="20"/>
                <w:szCs w:val="20"/>
              </w:rPr>
              <w:t xml:space="preserve"> In process</w:t>
            </w:r>
          </w:p>
          <w:p w14:paraId="5C688C81"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rPr>
                <w:rFonts w:ascii="MS Gothic" w:eastAsia="MS Gothic" w:hAnsi="MS Gothic"/>
                <w:color w:val="000000"/>
                <w:kern w:val="22"/>
                <w:sz w:val="20"/>
                <w:szCs w:val="20"/>
              </w:rPr>
            </w:pPr>
            <w:sdt>
              <w:sdtPr>
                <w:rPr>
                  <w:rFonts w:eastAsia="MS Gothic"/>
                  <w:color w:val="000000"/>
                  <w:kern w:val="22"/>
                  <w:sz w:val="20"/>
                  <w:szCs w:val="20"/>
                </w:rPr>
                <w:id w:val="1686019327"/>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Other</w:t>
            </w:r>
          </w:p>
          <w:p w14:paraId="31E32753"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4F65AE">
              <w:rPr>
                <w:snapToGrid w:val="0"/>
                <w:kern w:val="22"/>
                <w:sz w:val="20"/>
                <w:szCs w:val="20"/>
              </w:rPr>
              <w:t xml:space="preserve">If you answered “No”, </w:t>
            </w:r>
            <w:r w:rsidRPr="004F65AE">
              <w:rPr>
                <w:kern w:val="22"/>
                <w:sz w:val="20"/>
                <w:szCs w:val="20"/>
              </w:rPr>
              <w:t xml:space="preserve">please indicate the anticipated date of </w:t>
            </w:r>
            <w:r w:rsidRPr="004F65AE">
              <w:rPr>
                <w:snapToGrid w:val="0"/>
                <w:kern w:val="22"/>
                <w:sz w:val="20"/>
                <w:szCs w:val="20"/>
              </w:rPr>
              <w:t>adoption:</w:t>
            </w:r>
          </w:p>
          <w:p w14:paraId="72687BA8"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kern w:val="22"/>
                <w:sz w:val="20"/>
                <w:szCs w:val="20"/>
              </w:rPr>
            </w:pPr>
            <w:r w:rsidRPr="004F65AE">
              <w:rPr>
                <w:snapToGrid w:val="0"/>
                <w:kern w:val="22"/>
                <w:sz w:val="20"/>
                <w:szCs w:val="20"/>
              </w:rPr>
              <w:t>________________</w:t>
            </w:r>
            <w:r>
              <w:rPr>
                <w:snapToGrid w:val="0"/>
                <w:kern w:val="22"/>
                <w:sz w:val="20"/>
                <w:szCs w:val="20"/>
              </w:rPr>
              <w:t>________________________________</w:t>
            </w:r>
          </w:p>
        </w:tc>
      </w:tr>
      <w:tr w:rsidR="00005A3C" w:rsidRPr="004F65AE" w14:paraId="267A07F0" w14:textId="77777777" w:rsidTr="00F36208">
        <w:tc>
          <w:tcPr>
            <w:tcW w:w="4283" w:type="dxa"/>
            <w:shd w:val="clear" w:color="auto" w:fill="FFFFFF" w:themeFill="background1"/>
          </w:tcPr>
          <w:p w14:paraId="5E34BEA5"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4F65AE">
              <w:rPr>
                <w:b/>
                <w:bCs/>
                <w:snapToGrid w:val="0"/>
                <w:kern w:val="22"/>
                <w:sz w:val="20"/>
                <w:szCs w:val="20"/>
              </w:rPr>
              <w:t>If you answered “Yes” above, please indicate the type of policy instrument your country’s revised or updated NBSAP</w:t>
            </w:r>
            <w:r>
              <w:rPr>
                <w:b/>
                <w:bCs/>
                <w:snapToGrid w:val="0"/>
                <w:kern w:val="22"/>
                <w:sz w:val="20"/>
                <w:szCs w:val="20"/>
              </w:rPr>
              <w:t>s</w:t>
            </w:r>
            <w:r w:rsidRPr="004F65AE">
              <w:rPr>
                <w:b/>
                <w:bCs/>
                <w:snapToGrid w:val="0"/>
                <w:kern w:val="22"/>
                <w:sz w:val="20"/>
                <w:szCs w:val="20"/>
              </w:rPr>
              <w:t xml:space="preserve"> has been adopted as</w:t>
            </w:r>
          </w:p>
        </w:tc>
        <w:tc>
          <w:tcPr>
            <w:tcW w:w="5169" w:type="dxa"/>
            <w:tcBorders>
              <w:top w:val="nil"/>
            </w:tcBorders>
            <w:shd w:val="clear" w:color="auto" w:fill="FFFFFF" w:themeFill="background1"/>
          </w:tcPr>
          <w:p w14:paraId="2882B67B"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338882279"/>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kern w:val="22"/>
                <w:sz w:val="20"/>
                <w:szCs w:val="20"/>
              </w:rPr>
              <w:t>Adopted through legislation or otherwise by parliament</w:t>
            </w:r>
          </w:p>
          <w:p w14:paraId="399F4DCC"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546104209"/>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kern w:val="22"/>
                <w:sz w:val="20"/>
                <w:szCs w:val="20"/>
              </w:rPr>
              <w:t>Adopted by Council of Ministers, Office of the President/Prime Minister or equivalent whole-of-government body</w:t>
            </w:r>
          </w:p>
          <w:p w14:paraId="2F785F08"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870454939"/>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kern w:val="22"/>
                <w:sz w:val="20"/>
                <w:szCs w:val="20"/>
              </w:rPr>
              <w:t xml:space="preserve">Adopted by Ministry of Environment </w:t>
            </w:r>
            <w:r w:rsidR="00005A3C" w:rsidRPr="005433D0">
              <w:rPr>
                <w:kern w:val="22"/>
                <w:sz w:val="20"/>
                <w:szCs w:val="20"/>
              </w:rPr>
              <w:t>or other sectoral</w:t>
            </w:r>
            <w:r w:rsidR="00005A3C" w:rsidRPr="004F65AE">
              <w:rPr>
                <w:kern w:val="22"/>
                <w:sz w:val="20"/>
                <w:szCs w:val="20"/>
              </w:rPr>
              <w:t xml:space="preserve"> ministry</w:t>
            </w:r>
          </w:p>
          <w:p w14:paraId="37E27A2B"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246152409"/>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kern w:val="22"/>
                <w:sz w:val="20"/>
                <w:szCs w:val="20"/>
              </w:rPr>
              <w:t>Integrated into the poverty reduction strategy, sustainable development strategy, national development plan, and other related strategies or plans</w:t>
            </w:r>
          </w:p>
          <w:p w14:paraId="0675894F"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912580400"/>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kern w:val="22"/>
                <w:sz w:val="20"/>
                <w:szCs w:val="20"/>
              </w:rPr>
              <w:t>Other (please specify)</w:t>
            </w:r>
          </w:p>
          <w:p w14:paraId="66214C53"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kern w:val="22"/>
                <w:sz w:val="20"/>
                <w:szCs w:val="20"/>
              </w:rPr>
            </w:pPr>
            <w:r w:rsidRPr="004F65AE">
              <w:rPr>
                <w:snapToGrid w:val="0"/>
                <w:kern w:val="22"/>
                <w:sz w:val="20"/>
                <w:szCs w:val="20"/>
              </w:rPr>
              <w:t>________________________</w:t>
            </w:r>
            <w:r>
              <w:rPr>
                <w:snapToGrid w:val="0"/>
                <w:kern w:val="22"/>
                <w:sz w:val="20"/>
                <w:szCs w:val="20"/>
              </w:rPr>
              <w:t>_______________________</w:t>
            </w:r>
          </w:p>
        </w:tc>
      </w:tr>
    </w:tbl>
    <w:p w14:paraId="328F385D" w14:textId="77777777" w:rsidR="00005A3C" w:rsidRPr="004F65AE" w:rsidRDefault="00005A3C" w:rsidP="009D6BD6">
      <w:pPr>
        <w:keepNext/>
        <w:shd w:val="clear" w:color="auto" w:fill="FFFFFF" w:themeFill="background1"/>
        <w:spacing w:before="240" w:after="120"/>
        <w:jc w:val="left"/>
        <w:rPr>
          <w:b/>
          <w:bCs/>
          <w:snapToGrid w:val="0"/>
          <w:kern w:val="22"/>
          <w:sz w:val="20"/>
          <w:szCs w:val="20"/>
        </w:rPr>
      </w:pPr>
      <w:r w:rsidRPr="004F65AE">
        <w:rPr>
          <w:b/>
          <w:bCs/>
          <w:snapToGrid w:val="0"/>
          <w:kern w:val="22"/>
          <w:sz w:val="20"/>
          <w:szCs w:val="20"/>
        </w:rPr>
        <w:t xml:space="preserve">Section III. Assessment of progress towards national targets </w:t>
      </w:r>
    </w:p>
    <w:p w14:paraId="3B7207C6" w14:textId="77777777" w:rsidR="00005A3C" w:rsidRPr="004F65AE" w:rsidRDefault="00005A3C" w:rsidP="009D6BD6">
      <w:pPr>
        <w:suppressLineNumbers/>
        <w:shd w:val="clear" w:color="auto" w:fill="FFFFFF" w:themeFill="background1"/>
        <w:suppressAutoHyphens/>
        <w:kinsoku w:val="0"/>
        <w:overflowPunct w:val="0"/>
        <w:autoSpaceDE w:val="0"/>
        <w:autoSpaceDN w:val="0"/>
        <w:adjustRightInd w:val="0"/>
        <w:snapToGrid w:val="0"/>
        <w:spacing w:before="120" w:after="240"/>
        <w:rPr>
          <w:snapToGrid w:val="0"/>
          <w:kern w:val="22"/>
          <w:sz w:val="20"/>
          <w:szCs w:val="20"/>
        </w:rPr>
      </w:pPr>
      <w:r w:rsidRPr="004F65AE">
        <w:rPr>
          <w:snapToGrid w:val="0"/>
          <w:kern w:val="22"/>
          <w:sz w:val="20"/>
          <w:szCs w:val="20"/>
        </w:rPr>
        <w:t xml:space="preserve">Please use the following templates to report on progress in the implementation of your national targets and revised or updated NBSAPs in the light of the </w:t>
      </w:r>
      <w:r w:rsidRPr="00E43B5C">
        <w:rPr>
          <w:rFonts w:asciiTheme="majorBidi" w:hAnsiTheme="majorBidi" w:cstheme="majorBidi"/>
          <w:bCs/>
          <w:snapToGrid w:val="0"/>
          <w:kern w:val="22"/>
          <w:sz w:val="20"/>
          <w:szCs w:val="20"/>
          <w:lang w:val="en-US"/>
        </w:rPr>
        <w:t xml:space="preserve">Kunming-Montreal </w:t>
      </w:r>
      <w:r>
        <w:rPr>
          <w:snapToGrid w:val="0"/>
          <w:kern w:val="22"/>
          <w:sz w:val="20"/>
          <w:szCs w:val="20"/>
        </w:rPr>
        <w:t>G</w:t>
      </w:r>
      <w:r w:rsidRPr="004F65AE">
        <w:rPr>
          <w:snapToGrid w:val="0"/>
          <w:kern w:val="22"/>
          <w:sz w:val="20"/>
          <w:szCs w:val="20"/>
        </w:rPr>
        <w:t xml:space="preserve">lobal </w:t>
      </w:r>
      <w:r>
        <w:rPr>
          <w:snapToGrid w:val="0"/>
          <w:kern w:val="22"/>
          <w:sz w:val="20"/>
          <w:szCs w:val="20"/>
        </w:rPr>
        <w:t>B</w:t>
      </w:r>
      <w:r w:rsidRPr="004F65AE">
        <w:rPr>
          <w:snapToGrid w:val="0"/>
          <w:kern w:val="22"/>
          <w:sz w:val="20"/>
          <w:szCs w:val="20"/>
        </w:rPr>
        <w:t xml:space="preserve">iodiversity </w:t>
      </w:r>
      <w:r>
        <w:rPr>
          <w:snapToGrid w:val="0"/>
          <w:kern w:val="22"/>
          <w:sz w:val="20"/>
          <w:szCs w:val="20"/>
        </w:rPr>
        <w:t>F</w:t>
      </w:r>
      <w:r w:rsidRPr="004F65AE">
        <w:rPr>
          <w:snapToGrid w:val="0"/>
          <w:kern w:val="22"/>
          <w:sz w:val="20"/>
          <w:szCs w:val="20"/>
        </w:rPr>
        <w:t>ramework</w:t>
      </w:r>
    </w:p>
    <w:tbl>
      <w:tblPr>
        <w:tblStyle w:val="TableGrid"/>
        <w:tblW w:w="0" w:type="auto"/>
        <w:shd w:val="clear" w:color="auto" w:fill="FFFFFF" w:themeFill="background1"/>
        <w:tblLook w:val="04A0" w:firstRow="1" w:lastRow="0" w:firstColumn="1" w:lastColumn="0" w:noHBand="0" w:noVBand="1"/>
      </w:tblPr>
      <w:tblGrid>
        <w:gridCol w:w="4287"/>
        <w:gridCol w:w="5063"/>
      </w:tblGrid>
      <w:tr w:rsidR="00005A3C" w:rsidRPr="004F65AE" w14:paraId="5EBF5F38" w14:textId="77777777" w:rsidTr="00F36208">
        <w:trPr>
          <w:trHeight w:val="287"/>
        </w:trPr>
        <w:tc>
          <w:tcPr>
            <w:tcW w:w="9355" w:type="dxa"/>
            <w:gridSpan w:val="2"/>
            <w:shd w:val="clear" w:color="auto" w:fill="FFFFFF" w:themeFill="background1"/>
          </w:tcPr>
          <w:p w14:paraId="20A1156B" w14:textId="77777777" w:rsidR="00005A3C" w:rsidRPr="004F65AE" w:rsidDel="006853CD"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4F65AE">
              <w:rPr>
                <w:b/>
                <w:bCs/>
                <w:snapToGrid w:val="0"/>
                <w:kern w:val="22"/>
                <w:sz w:val="20"/>
                <w:szCs w:val="20"/>
              </w:rPr>
              <w:t xml:space="preserve">National target </w:t>
            </w:r>
            <w:r w:rsidRPr="004F65AE">
              <w:rPr>
                <w:i/>
                <w:iCs/>
                <w:snapToGrid w:val="0"/>
                <w:kern w:val="22"/>
                <w:sz w:val="20"/>
                <w:szCs w:val="20"/>
              </w:rPr>
              <w:t>(pre-populated from the submission of national targets)</w:t>
            </w:r>
          </w:p>
        </w:tc>
      </w:tr>
      <w:tr w:rsidR="00005A3C" w:rsidRPr="004F65AE" w14:paraId="1FA66B8F" w14:textId="77777777" w:rsidTr="00F36208">
        <w:trPr>
          <w:trHeight w:val="286"/>
        </w:trPr>
        <w:tc>
          <w:tcPr>
            <w:tcW w:w="4289" w:type="dxa"/>
            <w:shd w:val="clear" w:color="auto" w:fill="FFFFFF" w:themeFill="background1"/>
          </w:tcPr>
          <w:p w14:paraId="6EB4CDC5"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4F65AE">
              <w:rPr>
                <w:b/>
                <w:bCs/>
                <w:snapToGrid w:val="0"/>
                <w:kern w:val="22"/>
                <w:sz w:val="20"/>
                <w:szCs w:val="20"/>
              </w:rPr>
              <w:t>Please briefly describe the main actions taken to implement this national target</w:t>
            </w:r>
          </w:p>
        </w:tc>
        <w:tc>
          <w:tcPr>
            <w:tcW w:w="5066" w:type="dxa"/>
            <w:shd w:val="clear" w:color="auto" w:fill="FFFFFF" w:themeFill="background1"/>
          </w:tcPr>
          <w:p w14:paraId="2946E405"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r>
      <w:tr w:rsidR="00005A3C" w:rsidRPr="004F65AE" w14:paraId="54BCDA15" w14:textId="77777777" w:rsidTr="00F36208">
        <w:tc>
          <w:tcPr>
            <w:tcW w:w="4289" w:type="dxa"/>
            <w:shd w:val="clear" w:color="auto" w:fill="FFFFFF" w:themeFill="background1"/>
          </w:tcPr>
          <w:p w14:paraId="4E791B53"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4F65AE">
              <w:rPr>
                <w:b/>
                <w:iCs/>
                <w:sz w:val="20"/>
                <w:szCs w:val="20"/>
              </w:rPr>
              <w:t>Please indicate the current level of progress towards this national target</w:t>
            </w:r>
          </w:p>
        </w:tc>
        <w:tc>
          <w:tcPr>
            <w:tcW w:w="5066" w:type="dxa"/>
            <w:shd w:val="clear" w:color="auto" w:fill="FFFFFF" w:themeFill="background1"/>
          </w:tcPr>
          <w:p w14:paraId="171A18D8"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361478464"/>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On track to achieve target</w:t>
            </w:r>
          </w:p>
          <w:p w14:paraId="5F37DA34"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681251170"/>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Progress towards target but at an insufficient rate</w:t>
            </w:r>
          </w:p>
          <w:p w14:paraId="7CBADE85"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429704146"/>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No significant progress </w:t>
            </w:r>
          </w:p>
          <w:p w14:paraId="27F78828"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sdt>
              <w:sdtPr>
                <w:rPr>
                  <w:rFonts w:eastAsia="MS Gothic"/>
                  <w:color w:val="000000"/>
                  <w:kern w:val="22"/>
                  <w:sz w:val="20"/>
                  <w:szCs w:val="20"/>
                </w:rPr>
                <w:id w:val="-1520238764"/>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Moving away from target</w:t>
            </w:r>
          </w:p>
          <w:p w14:paraId="5E2F397A"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sdt>
              <w:sdtPr>
                <w:rPr>
                  <w:rFonts w:eastAsia="MS Gothic"/>
                  <w:color w:val="000000"/>
                  <w:kern w:val="22"/>
                  <w:sz w:val="20"/>
                  <w:szCs w:val="20"/>
                </w:rPr>
                <w:id w:val="-1620294632"/>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Unknown</w:t>
            </w:r>
          </w:p>
        </w:tc>
      </w:tr>
      <w:tr w:rsidR="00005A3C" w:rsidRPr="004F65AE" w14:paraId="4960AF4F" w14:textId="77777777" w:rsidTr="00F36208">
        <w:tc>
          <w:tcPr>
            <w:tcW w:w="4289" w:type="dxa"/>
            <w:shd w:val="clear" w:color="auto" w:fill="FFFFFF" w:themeFill="background1"/>
          </w:tcPr>
          <w:p w14:paraId="6C072C85"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4F65AE">
              <w:rPr>
                <w:b/>
                <w:bCs/>
                <w:snapToGrid w:val="0"/>
                <w:kern w:val="22"/>
                <w:sz w:val="20"/>
                <w:szCs w:val="20"/>
              </w:rPr>
              <w:t>Please provide a summary of progress towards this national target, including the main outcomes achieved, key challenges encountered, and different approaches that may be taken for further implementation</w:t>
            </w:r>
          </w:p>
        </w:tc>
        <w:tc>
          <w:tcPr>
            <w:tcW w:w="5066" w:type="dxa"/>
            <w:shd w:val="clear" w:color="auto" w:fill="FFFFFF" w:themeFill="background1"/>
          </w:tcPr>
          <w:p w14:paraId="6A43E2CD"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after="120"/>
              <w:contextualSpacing/>
              <w:jc w:val="left"/>
              <w:rPr>
                <w:rFonts w:eastAsia="MS Gothic"/>
                <w:color w:val="000000"/>
                <w:kern w:val="22"/>
                <w:sz w:val="20"/>
                <w:szCs w:val="20"/>
              </w:rPr>
            </w:pPr>
          </w:p>
        </w:tc>
      </w:tr>
      <w:tr w:rsidR="00005A3C" w:rsidRPr="004F65AE" w14:paraId="0B8E8AA7" w14:textId="77777777" w:rsidTr="00F36208">
        <w:tc>
          <w:tcPr>
            <w:tcW w:w="4289" w:type="dxa"/>
            <w:shd w:val="clear" w:color="auto" w:fill="FFFFFF" w:themeFill="background1"/>
          </w:tcPr>
          <w:p w14:paraId="1D324590"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4F65AE">
              <w:rPr>
                <w:b/>
                <w:iCs/>
                <w:sz w:val="20"/>
                <w:szCs w:val="20"/>
              </w:rPr>
              <w:t xml:space="preserve">Please provide data on indicators (headline, component, complementary or other national indicator) used for assessing progress towards this national target </w:t>
            </w:r>
            <w:r w:rsidRPr="004F65AE">
              <w:rPr>
                <w:bCs/>
                <w:i/>
                <w:sz w:val="20"/>
                <w:szCs w:val="20"/>
              </w:rPr>
              <w:t>(pre-populated from the submission of national targets)</w:t>
            </w:r>
          </w:p>
        </w:tc>
        <w:tc>
          <w:tcPr>
            <w:tcW w:w="5066" w:type="dxa"/>
            <w:shd w:val="clear" w:color="auto" w:fill="FFFFFF" w:themeFill="background1"/>
          </w:tcPr>
          <w:p w14:paraId="2CA37350" w14:textId="77777777" w:rsidR="00005A3C" w:rsidRPr="004F65AE" w:rsidRDefault="00005A3C" w:rsidP="00F36208">
            <w:pPr>
              <w:keepNext/>
              <w:suppressLineNumbers/>
              <w:shd w:val="clear" w:color="auto" w:fill="FFFFFF" w:themeFill="background1"/>
              <w:suppressAutoHyphens/>
              <w:kinsoku w:val="0"/>
              <w:overflowPunct w:val="0"/>
              <w:autoSpaceDE w:val="0"/>
              <w:autoSpaceDN w:val="0"/>
              <w:adjustRightInd w:val="0"/>
              <w:snapToGrid w:val="0"/>
              <w:spacing w:before="120" w:after="120"/>
              <w:outlineLvl w:val="7"/>
              <w:rPr>
                <w:i/>
                <w:iCs/>
                <w:snapToGrid w:val="0"/>
                <w:kern w:val="22"/>
                <w:sz w:val="20"/>
                <w:szCs w:val="20"/>
              </w:rPr>
            </w:pPr>
            <w:r w:rsidRPr="004F65AE">
              <w:rPr>
                <w:i/>
                <w:iCs/>
                <w:snapToGrid w:val="0"/>
                <w:kern w:val="22"/>
                <w:sz w:val="20"/>
                <w:szCs w:val="20"/>
              </w:rPr>
              <w:t>Provide tabular or graphic data or a hyperlink</w:t>
            </w:r>
          </w:p>
          <w:p w14:paraId="158BA147"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after="120"/>
              <w:jc w:val="left"/>
              <w:rPr>
                <w:bCs/>
                <w:snapToGrid w:val="0"/>
                <w:kern w:val="22"/>
                <w:sz w:val="20"/>
                <w:szCs w:val="20"/>
              </w:rPr>
            </w:pPr>
            <w:r w:rsidRPr="004F65AE">
              <w:rPr>
                <w:bCs/>
                <w:snapToGrid w:val="0"/>
                <w:kern w:val="22"/>
                <w:sz w:val="20"/>
                <w:szCs w:val="20"/>
              </w:rPr>
              <w:t>(For the headline indicators and other indicators available to the CBD, the following options will be presented to facilitate the reporting. As per the national target template, each headline indicator would be associated with at least one national target)</w:t>
            </w:r>
          </w:p>
          <w:p w14:paraId="28B6D2C6"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11530445"/>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snapToGrid w:val="0"/>
                <w:kern w:val="22"/>
                <w:sz w:val="20"/>
                <w:szCs w:val="20"/>
              </w:rPr>
              <w:t xml:space="preserve">Use national data set </w:t>
            </w:r>
          </w:p>
          <w:p w14:paraId="08C0AF54"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923453272"/>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kern w:val="22"/>
                <w:sz w:val="20"/>
                <w:szCs w:val="20"/>
              </w:rPr>
              <w:t>Use the available data (pre-populated data)</w:t>
            </w:r>
          </w:p>
          <w:p w14:paraId="6312E23C"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208376902"/>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kern w:val="22"/>
                <w:sz w:val="20"/>
                <w:szCs w:val="20"/>
              </w:rPr>
              <w:t>No data available</w:t>
            </w:r>
          </w:p>
          <w:p w14:paraId="667E04E4" w14:textId="77777777" w:rsidR="00005A3C" w:rsidRPr="004F65AE" w:rsidRDefault="00000000" w:rsidP="00CA676A">
            <w:pPr>
              <w:keepNext/>
              <w:suppressLineNumbers/>
              <w:shd w:val="clear" w:color="auto" w:fill="FFFFFF" w:themeFill="background1"/>
              <w:suppressAutoHyphens/>
              <w:kinsoku w:val="0"/>
              <w:overflowPunct w:val="0"/>
              <w:autoSpaceDE w:val="0"/>
              <w:autoSpaceDN w:val="0"/>
              <w:adjustRightInd w:val="0"/>
              <w:snapToGrid w:val="0"/>
              <w:spacing w:after="120"/>
              <w:outlineLvl w:val="7"/>
              <w:rPr>
                <w:i/>
                <w:iCs/>
                <w:snapToGrid w:val="0"/>
                <w:kern w:val="22"/>
                <w:sz w:val="20"/>
                <w:szCs w:val="20"/>
              </w:rPr>
            </w:pPr>
            <w:sdt>
              <w:sdtPr>
                <w:rPr>
                  <w:rFonts w:eastAsia="MS Gothic"/>
                  <w:color w:val="000000"/>
                  <w:kern w:val="22"/>
                  <w:sz w:val="20"/>
                  <w:szCs w:val="20"/>
                </w:rPr>
                <w:id w:val="-347012734"/>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kern w:val="22"/>
                <w:sz w:val="20"/>
                <w:szCs w:val="20"/>
              </w:rPr>
              <w:t>Not relevant</w:t>
            </w:r>
          </w:p>
        </w:tc>
      </w:tr>
      <w:tr w:rsidR="00005A3C" w:rsidRPr="004F65AE" w14:paraId="6EB75FAD" w14:textId="77777777" w:rsidTr="00F36208">
        <w:tc>
          <w:tcPr>
            <w:tcW w:w="4289" w:type="dxa"/>
            <w:shd w:val="clear" w:color="auto" w:fill="FFFFFF" w:themeFill="background1"/>
          </w:tcPr>
          <w:p w14:paraId="7669EAC0"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iCs/>
                <w:sz w:val="20"/>
                <w:szCs w:val="20"/>
              </w:rPr>
            </w:pPr>
            <w:r w:rsidRPr="004F65AE">
              <w:rPr>
                <w:b/>
                <w:iCs/>
                <w:sz w:val="20"/>
                <w:szCs w:val="20"/>
              </w:rPr>
              <w:lastRenderedPageBreak/>
              <w:t>Please provide examples or cases to illustrate the effectiveness of the actions taken to implement this national target. If needed, provide relevant web links or attach related materials or publications</w:t>
            </w:r>
          </w:p>
        </w:tc>
        <w:tc>
          <w:tcPr>
            <w:tcW w:w="5066" w:type="dxa"/>
            <w:shd w:val="clear" w:color="auto" w:fill="FFFFFF" w:themeFill="background1"/>
          </w:tcPr>
          <w:p w14:paraId="585FCFE5"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r w:rsidR="00005A3C" w:rsidRPr="004F65AE" w14:paraId="6A5F3637" w14:textId="77777777" w:rsidTr="00F36208">
        <w:tc>
          <w:tcPr>
            <w:tcW w:w="4289" w:type="dxa"/>
            <w:shd w:val="clear" w:color="auto" w:fill="FFFFFF" w:themeFill="background1"/>
          </w:tcPr>
          <w:p w14:paraId="0BDE67BD"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4F65AE">
              <w:rPr>
                <w:b/>
                <w:bCs/>
                <w:snapToGrid w:val="0"/>
                <w:kern w:val="22"/>
                <w:sz w:val="20"/>
                <w:szCs w:val="20"/>
              </w:rPr>
              <w:t xml:space="preserve">Please briefly describe how the implementation of this national target relates to progress in achieving related Sustainable Development Goals and associated targets and implementation of other related agreements </w:t>
            </w:r>
            <w:r w:rsidRPr="004F65AE">
              <w:rPr>
                <w:i/>
                <w:iCs/>
                <w:snapToGrid w:val="0"/>
                <w:kern w:val="22"/>
                <w:sz w:val="20"/>
                <w:szCs w:val="20"/>
              </w:rPr>
              <w:t>(optional)</w:t>
            </w:r>
          </w:p>
        </w:tc>
        <w:tc>
          <w:tcPr>
            <w:tcW w:w="5066" w:type="dxa"/>
            <w:shd w:val="clear" w:color="auto" w:fill="FFFFFF" w:themeFill="background1"/>
          </w:tcPr>
          <w:p w14:paraId="6E3E62BF"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ind w:left="360"/>
              <w:rPr>
                <w:snapToGrid w:val="0"/>
                <w:kern w:val="22"/>
                <w:sz w:val="20"/>
                <w:szCs w:val="20"/>
              </w:rPr>
            </w:pPr>
          </w:p>
        </w:tc>
      </w:tr>
    </w:tbl>
    <w:p w14:paraId="306B6218" w14:textId="77777777" w:rsidR="00005A3C" w:rsidRPr="004F65AE" w:rsidRDefault="00005A3C" w:rsidP="009D6BD6">
      <w:pPr>
        <w:keepNext/>
        <w:shd w:val="clear" w:color="auto" w:fill="FFFFFF" w:themeFill="background1"/>
        <w:spacing w:before="240" w:after="120"/>
        <w:rPr>
          <w:b/>
          <w:bCs/>
          <w:snapToGrid w:val="0"/>
          <w:kern w:val="22"/>
          <w:sz w:val="20"/>
          <w:szCs w:val="20"/>
        </w:rPr>
      </w:pPr>
      <w:r w:rsidRPr="004F65AE">
        <w:rPr>
          <w:b/>
          <w:bCs/>
          <w:snapToGrid w:val="0"/>
          <w:kern w:val="22"/>
          <w:sz w:val="20"/>
          <w:szCs w:val="20"/>
        </w:rPr>
        <w:t>Section IV. Assessment of national progress towards the goals</w:t>
      </w:r>
      <w:r>
        <w:rPr>
          <w:b/>
          <w:bCs/>
          <w:snapToGrid w:val="0"/>
          <w:kern w:val="22"/>
          <w:sz w:val="20"/>
          <w:szCs w:val="20"/>
        </w:rPr>
        <w:t xml:space="preserve"> and targets</w:t>
      </w:r>
      <w:r w:rsidRPr="004F65AE">
        <w:rPr>
          <w:b/>
          <w:bCs/>
          <w:snapToGrid w:val="0"/>
          <w:kern w:val="22"/>
          <w:sz w:val="20"/>
          <w:szCs w:val="20"/>
        </w:rPr>
        <w:t xml:space="preserve"> of </w:t>
      </w:r>
      <w:r w:rsidRPr="00E43B5C">
        <w:rPr>
          <w:b/>
          <w:bCs/>
          <w:snapToGrid w:val="0"/>
          <w:kern w:val="22"/>
          <w:sz w:val="20"/>
          <w:szCs w:val="20"/>
        </w:rPr>
        <w:t xml:space="preserve">the </w:t>
      </w:r>
      <w:r w:rsidRPr="00E43B5C">
        <w:rPr>
          <w:rFonts w:asciiTheme="majorBidi" w:hAnsiTheme="majorBidi" w:cstheme="majorBidi"/>
          <w:b/>
          <w:bCs/>
          <w:snapToGrid w:val="0"/>
          <w:kern w:val="22"/>
          <w:sz w:val="20"/>
          <w:szCs w:val="20"/>
          <w:lang w:val="en-US"/>
        </w:rPr>
        <w:t xml:space="preserve">Kunming-Montreal </w:t>
      </w:r>
      <w:r w:rsidRPr="00E43B5C">
        <w:rPr>
          <w:b/>
          <w:bCs/>
          <w:snapToGrid w:val="0"/>
          <w:kern w:val="22"/>
          <w:sz w:val="20"/>
          <w:szCs w:val="20"/>
        </w:rPr>
        <w:t>Global</w:t>
      </w:r>
      <w:r w:rsidRPr="004F65AE">
        <w:rPr>
          <w:b/>
          <w:bCs/>
          <w:snapToGrid w:val="0"/>
          <w:kern w:val="22"/>
          <w:sz w:val="20"/>
          <w:szCs w:val="20"/>
        </w:rPr>
        <w:t xml:space="preserve"> Biodiversity Framework</w:t>
      </w:r>
    </w:p>
    <w:p w14:paraId="229F0E35" w14:textId="77777777" w:rsidR="00005A3C" w:rsidRPr="004F65AE" w:rsidRDefault="00005A3C" w:rsidP="009D6BD6">
      <w:pPr>
        <w:keepNext/>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r w:rsidRPr="004F65AE">
        <w:rPr>
          <w:bCs/>
          <w:snapToGrid w:val="0"/>
          <w:kern w:val="22"/>
          <w:sz w:val="20"/>
          <w:szCs w:val="20"/>
        </w:rPr>
        <w:t xml:space="preserve">Please provide an assessment or progress and trends related to the goals of the </w:t>
      </w:r>
      <w:r w:rsidRPr="00E43B5C">
        <w:rPr>
          <w:rFonts w:asciiTheme="majorBidi" w:hAnsiTheme="majorBidi" w:cstheme="majorBidi"/>
          <w:bCs/>
          <w:snapToGrid w:val="0"/>
          <w:kern w:val="22"/>
          <w:sz w:val="20"/>
          <w:szCs w:val="20"/>
          <w:lang w:val="en-US"/>
        </w:rPr>
        <w:t xml:space="preserve">Kunming-Montreal </w:t>
      </w:r>
      <w:r w:rsidRPr="004F65AE">
        <w:rPr>
          <w:bCs/>
          <w:snapToGrid w:val="0"/>
          <w:kern w:val="22"/>
          <w:sz w:val="20"/>
          <w:szCs w:val="20"/>
        </w:rPr>
        <w:t xml:space="preserve">Global Biodiversity Framework. </w:t>
      </w:r>
      <w:r>
        <w:rPr>
          <w:bCs/>
          <w:snapToGrid w:val="0"/>
          <w:kern w:val="22"/>
          <w:sz w:val="20"/>
          <w:szCs w:val="20"/>
        </w:rPr>
        <w:t>The target information will be prepopulated from section III, based on the mapping of national and global targets.</w:t>
      </w:r>
      <w:r w:rsidRPr="00610646">
        <w:rPr>
          <w:rStyle w:val="FootnoteReference"/>
        </w:rPr>
        <w:footnoteReference w:id="50"/>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005A3C" w:rsidRPr="004F65AE" w14:paraId="6684F0F5" w14:textId="77777777" w:rsidTr="00F36208">
        <w:tc>
          <w:tcPr>
            <w:tcW w:w="1695" w:type="dxa"/>
            <w:shd w:val="clear" w:color="auto" w:fill="FFFFFF" w:themeFill="background1"/>
          </w:tcPr>
          <w:p w14:paraId="4AF0D8C7"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4F65AE">
              <w:rPr>
                <w:b/>
                <w:bCs/>
                <w:snapToGrid w:val="0"/>
                <w:kern w:val="22"/>
                <w:sz w:val="20"/>
                <w:szCs w:val="20"/>
              </w:rPr>
              <w:t xml:space="preserve">2050 goals </w:t>
            </w:r>
          </w:p>
        </w:tc>
        <w:tc>
          <w:tcPr>
            <w:tcW w:w="1532" w:type="dxa"/>
            <w:shd w:val="clear" w:color="auto" w:fill="FFFFFF" w:themeFill="background1"/>
          </w:tcPr>
          <w:p w14:paraId="14B915C0"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4F65AE">
              <w:rPr>
                <w:b/>
                <w:bCs/>
                <w:snapToGrid w:val="0"/>
                <w:kern w:val="22"/>
                <w:sz w:val="20"/>
                <w:szCs w:val="20"/>
              </w:rPr>
              <w:t xml:space="preserve">Summary of national progress contributing to the global goals </w:t>
            </w:r>
          </w:p>
        </w:tc>
        <w:tc>
          <w:tcPr>
            <w:tcW w:w="2268" w:type="dxa"/>
            <w:shd w:val="clear" w:color="auto" w:fill="FFFFFF" w:themeFill="background1"/>
          </w:tcPr>
          <w:p w14:paraId="1B8416DB"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r w:rsidRPr="004F65AE">
              <w:rPr>
                <w:b/>
                <w:bCs/>
                <w:snapToGrid w:val="0"/>
                <w:kern w:val="22"/>
                <w:sz w:val="20"/>
                <w:szCs w:val="20"/>
              </w:rPr>
              <w:t xml:space="preserve">Headline indicators </w:t>
            </w:r>
          </w:p>
          <w:p w14:paraId="356D9A90"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bCs/>
                <w:snapToGrid w:val="0"/>
                <w:kern w:val="22"/>
                <w:sz w:val="20"/>
                <w:szCs w:val="20"/>
              </w:rPr>
            </w:pPr>
          </w:p>
        </w:tc>
        <w:tc>
          <w:tcPr>
            <w:tcW w:w="1984" w:type="dxa"/>
            <w:shd w:val="clear" w:color="auto" w:fill="FFFFFF" w:themeFill="background1"/>
          </w:tcPr>
          <w:p w14:paraId="48CF5955"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color w:val="000000"/>
                <w:kern w:val="22"/>
                <w:sz w:val="20"/>
                <w:szCs w:val="20"/>
              </w:rPr>
            </w:pPr>
            <w:r w:rsidRPr="004F65AE">
              <w:rPr>
                <w:b/>
                <w:snapToGrid w:val="0"/>
                <w:color w:val="000000"/>
                <w:kern w:val="22"/>
                <w:sz w:val="20"/>
                <w:szCs w:val="20"/>
              </w:rPr>
              <w:t>Component, complementary or other relevant indicators, including national indicators</w:t>
            </w:r>
          </w:p>
          <w:p w14:paraId="55A2F59C"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snapToGrid w:val="0"/>
                <w:color w:val="000000"/>
                <w:kern w:val="22"/>
                <w:sz w:val="20"/>
                <w:szCs w:val="20"/>
              </w:rPr>
            </w:pPr>
            <w:r w:rsidRPr="004F65AE">
              <w:rPr>
                <w:snapToGrid w:val="0"/>
                <w:kern w:val="22"/>
                <w:sz w:val="20"/>
                <w:szCs w:val="20"/>
              </w:rPr>
              <w:t>(pre-populated from the submission of national targets)</w:t>
            </w:r>
          </w:p>
        </w:tc>
        <w:tc>
          <w:tcPr>
            <w:tcW w:w="1843" w:type="dxa"/>
            <w:shd w:val="clear" w:color="auto" w:fill="FFFFFF" w:themeFill="background1"/>
          </w:tcPr>
          <w:p w14:paraId="67B53271"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rPr>
            </w:pPr>
            <w:r w:rsidRPr="004F65AE">
              <w:rPr>
                <w:b/>
                <w:snapToGrid w:val="0"/>
                <w:color w:val="000000"/>
                <w:kern w:val="22"/>
                <w:sz w:val="20"/>
                <w:szCs w:val="20"/>
              </w:rPr>
              <w:t>Source of data for indicator(s)</w:t>
            </w:r>
            <w:r>
              <w:rPr>
                <w:b/>
                <w:snapToGrid w:val="0"/>
                <w:color w:val="000000"/>
                <w:kern w:val="22"/>
                <w:sz w:val="20"/>
                <w:szCs w:val="20"/>
              </w:rPr>
              <w:t>,</w:t>
            </w:r>
            <w:r w:rsidRPr="004F65AE">
              <w:rPr>
                <w:b/>
                <w:snapToGrid w:val="0"/>
                <w:color w:val="000000"/>
                <w:kern w:val="22"/>
                <w:sz w:val="20"/>
                <w:szCs w:val="20"/>
              </w:rPr>
              <w:t xml:space="preserve"> where needed</w:t>
            </w:r>
          </w:p>
          <w:p w14:paraId="2D5D11E9"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r>
      <w:tr w:rsidR="00005A3C" w:rsidRPr="004F65AE" w14:paraId="0D9B9BA8" w14:textId="77777777" w:rsidTr="00F36208">
        <w:tc>
          <w:tcPr>
            <w:tcW w:w="1695" w:type="dxa"/>
            <w:shd w:val="clear" w:color="auto" w:fill="FFFFFF" w:themeFill="background1"/>
          </w:tcPr>
          <w:p w14:paraId="151CD4A0"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r w:rsidRPr="004F65AE">
              <w:rPr>
                <w:b/>
                <w:bCs/>
                <w:snapToGrid w:val="0"/>
                <w:kern w:val="22"/>
                <w:sz w:val="20"/>
                <w:szCs w:val="20"/>
              </w:rPr>
              <w:t xml:space="preserve">Goal </w:t>
            </w:r>
          </w:p>
        </w:tc>
        <w:tc>
          <w:tcPr>
            <w:tcW w:w="1532" w:type="dxa"/>
            <w:shd w:val="clear" w:color="auto" w:fill="FFFFFF" w:themeFill="background1"/>
          </w:tcPr>
          <w:p w14:paraId="0E15CE00"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2268" w:type="dxa"/>
            <w:shd w:val="clear" w:color="auto" w:fill="FFFFFF" w:themeFill="background1"/>
          </w:tcPr>
          <w:p w14:paraId="758CA19A"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after="120"/>
              <w:jc w:val="left"/>
              <w:rPr>
                <w:bCs/>
                <w:snapToGrid w:val="0"/>
                <w:kern w:val="22"/>
                <w:sz w:val="20"/>
                <w:szCs w:val="20"/>
              </w:rPr>
            </w:pPr>
            <w:r w:rsidRPr="004F65AE">
              <w:rPr>
                <w:bCs/>
                <w:snapToGrid w:val="0"/>
                <w:kern w:val="22"/>
                <w:sz w:val="20"/>
                <w:szCs w:val="20"/>
              </w:rPr>
              <w:t>(Each headline indicator will be listed once agreed)</w:t>
            </w:r>
          </w:p>
          <w:p w14:paraId="2F20755A"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1180348613"/>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snapToGrid w:val="0"/>
                <w:kern w:val="22"/>
                <w:sz w:val="20"/>
                <w:szCs w:val="20"/>
              </w:rPr>
              <w:t xml:space="preserve">Use national data set </w:t>
            </w:r>
          </w:p>
          <w:p w14:paraId="0B42C076"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573971939"/>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kern w:val="22"/>
                <w:sz w:val="20"/>
                <w:szCs w:val="20"/>
              </w:rPr>
              <w:t>Use the available global data (clicking will retrieve and display pre-populated data)</w:t>
            </w:r>
          </w:p>
          <w:p w14:paraId="1ADE1C47"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kern w:val="22"/>
                <w:sz w:val="20"/>
                <w:szCs w:val="20"/>
              </w:rPr>
            </w:pPr>
            <w:sdt>
              <w:sdtPr>
                <w:rPr>
                  <w:rFonts w:eastAsia="MS Gothic"/>
                  <w:color w:val="000000"/>
                  <w:kern w:val="22"/>
                  <w:sz w:val="20"/>
                  <w:szCs w:val="20"/>
                </w:rPr>
                <w:id w:val="-395052455"/>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Not able to report on this headline indicator </w:t>
            </w:r>
            <w:r w:rsidR="00005A3C" w:rsidRPr="004F65AE">
              <w:rPr>
                <w:kern w:val="22"/>
                <w:sz w:val="20"/>
                <w:szCs w:val="20"/>
              </w:rPr>
              <w:t xml:space="preserve">(no national data set and either do not wish to use global data or global data not available)   </w:t>
            </w:r>
          </w:p>
          <w:p w14:paraId="55EF861D" w14:textId="77777777" w:rsidR="00005A3C" w:rsidRPr="004F65AE" w:rsidRDefault="00000000" w:rsidP="00F36208">
            <w:pPr>
              <w:suppressLineNumbers/>
              <w:shd w:val="clear" w:color="auto" w:fill="FFFFFF" w:themeFill="background1"/>
              <w:suppressAutoHyphens/>
              <w:kinsoku w:val="0"/>
              <w:overflowPunct w:val="0"/>
              <w:autoSpaceDE w:val="0"/>
              <w:autoSpaceDN w:val="0"/>
              <w:adjustRightInd w:val="0"/>
              <w:snapToGrid w:val="0"/>
              <w:jc w:val="left"/>
              <w:rPr>
                <w:bCs/>
                <w:snapToGrid w:val="0"/>
                <w:kern w:val="22"/>
                <w:sz w:val="20"/>
                <w:szCs w:val="20"/>
              </w:rPr>
            </w:pPr>
            <w:sdt>
              <w:sdtPr>
                <w:rPr>
                  <w:rFonts w:eastAsia="MS Gothic"/>
                  <w:color w:val="000000"/>
                  <w:kern w:val="22"/>
                  <w:sz w:val="20"/>
                  <w:szCs w:val="20"/>
                </w:rPr>
                <w:id w:val="-1766997430"/>
                <w14:checkbox>
                  <w14:checked w14:val="0"/>
                  <w14:checkedState w14:val="2612" w14:font="MS Gothic"/>
                  <w14:uncheckedState w14:val="2610" w14:font="MS Gothic"/>
                </w14:checkbox>
              </w:sdtPr>
              <w:sdtContent>
                <w:r w:rsidR="00005A3C" w:rsidRPr="004F65AE">
                  <w:rPr>
                    <w:rFonts w:eastAsia="MS Gothic" w:hint="eastAsia"/>
                    <w:color w:val="000000"/>
                    <w:kern w:val="22"/>
                    <w:sz w:val="20"/>
                    <w:szCs w:val="20"/>
                  </w:rPr>
                  <w:t>☐</w:t>
                </w:r>
              </w:sdtContent>
            </w:sdt>
            <w:r w:rsidR="00005A3C" w:rsidRPr="004F65AE">
              <w:rPr>
                <w:rFonts w:eastAsia="MS Gothic"/>
                <w:color w:val="000000"/>
                <w:kern w:val="22"/>
                <w:sz w:val="20"/>
                <w:szCs w:val="20"/>
              </w:rPr>
              <w:t xml:space="preserve"> </w:t>
            </w:r>
            <w:r w:rsidR="00005A3C" w:rsidRPr="004F65AE">
              <w:rPr>
                <w:kern w:val="22"/>
                <w:sz w:val="20"/>
                <w:szCs w:val="20"/>
              </w:rPr>
              <w:t>Not relevant</w:t>
            </w:r>
          </w:p>
        </w:tc>
        <w:tc>
          <w:tcPr>
            <w:tcW w:w="1984" w:type="dxa"/>
            <w:shd w:val="clear" w:color="auto" w:fill="FFFFFF" w:themeFill="background1"/>
          </w:tcPr>
          <w:p w14:paraId="60F8FAD2"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1843" w:type="dxa"/>
            <w:shd w:val="clear" w:color="auto" w:fill="FFFFFF" w:themeFill="background1"/>
          </w:tcPr>
          <w:p w14:paraId="4ABB46E5"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r w:rsidR="00005A3C" w:rsidRPr="004F65AE" w14:paraId="4F64F2AA" w14:textId="77777777" w:rsidTr="00F36208">
        <w:tc>
          <w:tcPr>
            <w:tcW w:w="1695" w:type="dxa"/>
            <w:tcBorders>
              <w:bottom w:val="nil"/>
            </w:tcBorders>
            <w:shd w:val="clear" w:color="auto" w:fill="FFFFFF" w:themeFill="background1"/>
          </w:tcPr>
          <w:p w14:paraId="25AF350E"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c>
          <w:tcPr>
            <w:tcW w:w="1532" w:type="dxa"/>
            <w:tcBorders>
              <w:bottom w:val="nil"/>
            </w:tcBorders>
            <w:shd w:val="clear" w:color="auto" w:fill="FFFFFF" w:themeFill="background1"/>
          </w:tcPr>
          <w:p w14:paraId="4D931654"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rPr>
            </w:pPr>
          </w:p>
        </w:tc>
        <w:tc>
          <w:tcPr>
            <w:tcW w:w="6095" w:type="dxa"/>
            <w:gridSpan w:val="3"/>
            <w:tcBorders>
              <w:bottom w:val="nil"/>
            </w:tcBorders>
            <w:shd w:val="clear" w:color="auto" w:fill="FFFFFF" w:themeFill="background1"/>
          </w:tcPr>
          <w:p w14:paraId="1ECC6FDB"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
                <w:snapToGrid w:val="0"/>
                <w:kern w:val="22"/>
                <w:sz w:val="20"/>
                <w:szCs w:val="20"/>
              </w:rPr>
            </w:pPr>
            <w:r w:rsidRPr="004F65AE">
              <w:rPr>
                <w:b/>
                <w:snapToGrid w:val="0"/>
                <w:kern w:val="22"/>
                <w:sz w:val="20"/>
                <w:szCs w:val="20"/>
              </w:rPr>
              <w:t xml:space="preserve">Example: Headline indicator A.1: Indicator name (unit of measure)  </w:t>
            </w:r>
          </w:p>
          <w:p w14:paraId="23EBE825"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jc w:val="left"/>
              <w:rPr>
                <w:bCs/>
                <w:snapToGrid w:val="0"/>
                <w:kern w:val="22"/>
                <w:sz w:val="20"/>
                <w:szCs w:val="20"/>
              </w:rPr>
            </w:pPr>
            <w:r w:rsidRPr="004F65AE">
              <w:rPr>
                <w:bCs/>
                <w:snapToGrid w:val="0"/>
                <w:kern w:val="22"/>
                <w:sz w:val="20"/>
                <w:szCs w:val="20"/>
              </w:rPr>
              <w:t xml:space="preserve">Provide data or an application programming interface (API). The data table will be available in Excel. </w:t>
            </w:r>
            <w:r>
              <w:rPr>
                <w:bCs/>
                <w:snapToGrid w:val="0"/>
                <w:kern w:val="22"/>
                <w:sz w:val="20"/>
                <w:szCs w:val="20"/>
              </w:rPr>
              <w:t>If box 2 has been ticked, then t</w:t>
            </w:r>
            <w:r w:rsidRPr="004F65AE">
              <w:rPr>
                <w:bCs/>
                <w:snapToGrid w:val="0"/>
                <w:kern w:val="22"/>
                <w:sz w:val="20"/>
                <w:szCs w:val="20"/>
              </w:rPr>
              <w:t xml:space="preserve">his table will be prepopulated with existing </w:t>
            </w:r>
            <w:r>
              <w:rPr>
                <w:bCs/>
                <w:snapToGrid w:val="0"/>
                <w:kern w:val="22"/>
                <w:sz w:val="20"/>
                <w:szCs w:val="20"/>
              </w:rPr>
              <w:t xml:space="preserve">global </w:t>
            </w:r>
            <w:r w:rsidRPr="004F65AE">
              <w:rPr>
                <w:bCs/>
                <w:snapToGrid w:val="0"/>
                <w:kern w:val="22"/>
                <w:sz w:val="20"/>
                <w:szCs w:val="20"/>
              </w:rPr>
              <w:t xml:space="preserve">data. This section will be </w:t>
            </w:r>
            <w:r w:rsidRPr="004F65AE">
              <w:rPr>
                <w:bCs/>
                <w:snapToGrid w:val="0"/>
                <w:kern w:val="22"/>
                <w:sz w:val="20"/>
                <w:szCs w:val="20"/>
              </w:rPr>
              <w:lastRenderedPageBreak/>
              <w:t>replicated for all indicators throughout the document</w:t>
            </w:r>
            <w:r>
              <w:rPr>
                <w:bCs/>
                <w:snapToGrid w:val="0"/>
                <w:kern w:val="22"/>
                <w:sz w:val="20"/>
                <w:szCs w:val="20"/>
              </w:rPr>
              <w:t>.</w:t>
            </w:r>
            <w:r w:rsidRPr="00610646">
              <w:rPr>
                <w:rStyle w:val="FootnoteReference"/>
              </w:rPr>
              <w:footnoteReference w:id="51"/>
            </w:r>
            <w:r w:rsidRPr="004F65AE">
              <w:rPr>
                <w:bCs/>
                <w:snapToGrid w:val="0"/>
                <w:kern w:val="22"/>
                <w:sz w:val="20"/>
                <w:szCs w:val="20"/>
              </w:rPr>
              <w:t xml:space="preserve"> (Note that this section is dependent on the indicators and may include binary questions or quantitative indicators.)</w:t>
            </w:r>
          </w:p>
          <w:p w14:paraId="2C35A723"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rPr>
            </w:pPr>
          </w:p>
          <w:tbl>
            <w:tblPr>
              <w:tblStyle w:val="TableGrid"/>
              <w:tblpPr w:leftFromText="180" w:rightFromText="180" w:vertAnchor="text" w:horzAnchor="margin" w:tblpY="-243"/>
              <w:tblOverlap w:val="never"/>
              <w:tblW w:w="0" w:type="auto"/>
              <w:tblLayout w:type="fixed"/>
              <w:tblLook w:val="04A0" w:firstRow="1" w:lastRow="0" w:firstColumn="1" w:lastColumn="0" w:noHBand="0" w:noVBand="1"/>
            </w:tblPr>
            <w:tblGrid>
              <w:gridCol w:w="746"/>
              <w:gridCol w:w="656"/>
              <w:gridCol w:w="656"/>
              <w:gridCol w:w="436"/>
              <w:gridCol w:w="546"/>
              <w:gridCol w:w="656"/>
            </w:tblGrid>
            <w:tr w:rsidR="00005A3C" w:rsidRPr="004F65AE" w14:paraId="2BCB389F" w14:textId="77777777" w:rsidTr="00F36208">
              <w:trPr>
                <w:trHeight w:val="245"/>
              </w:trPr>
              <w:tc>
                <w:tcPr>
                  <w:tcW w:w="746" w:type="dxa"/>
                </w:tcPr>
                <w:p w14:paraId="2159BF6F"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14:paraId="0B11D760"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r w:rsidRPr="004F65AE">
                    <w:rPr>
                      <w:bCs/>
                      <w:snapToGrid w:val="0"/>
                      <w:kern w:val="22"/>
                      <w:sz w:val="20"/>
                      <w:szCs w:val="20"/>
                    </w:rPr>
                    <w:t xml:space="preserve">Year </w:t>
                  </w:r>
                </w:p>
              </w:tc>
              <w:tc>
                <w:tcPr>
                  <w:tcW w:w="656" w:type="dxa"/>
                </w:tcPr>
                <w:p w14:paraId="46802D61"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r w:rsidRPr="004F65AE">
                    <w:rPr>
                      <w:bCs/>
                      <w:snapToGrid w:val="0"/>
                      <w:kern w:val="22"/>
                      <w:sz w:val="20"/>
                      <w:szCs w:val="20"/>
                    </w:rPr>
                    <w:t>…</w:t>
                  </w:r>
                </w:p>
              </w:tc>
              <w:tc>
                <w:tcPr>
                  <w:tcW w:w="436" w:type="dxa"/>
                </w:tcPr>
                <w:p w14:paraId="3E59C239"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r w:rsidRPr="004F65AE">
                    <w:rPr>
                      <w:bCs/>
                      <w:snapToGrid w:val="0"/>
                      <w:kern w:val="22"/>
                      <w:sz w:val="20"/>
                      <w:szCs w:val="20"/>
                    </w:rPr>
                    <w:t>…</w:t>
                  </w:r>
                </w:p>
              </w:tc>
              <w:tc>
                <w:tcPr>
                  <w:tcW w:w="546" w:type="dxa"/>
                </w:tcPr>
                <w:p w14:paraId="147CD256"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14:paraId="139DE79D"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r w:rsidRPr="004F65AE">
                    <w:rPr>
                      <w:bCs/>
                      <w:snapToGrid w:val="0"/>
                      <w:kern w:val="22"/>
                      <w:sz w:val="20"/>
                      <w:szCs w:val="20"/>
                    </w:rPr>
                    <w:t>2022</w:t>
                  </w:r>
                </w:p>
              </w:tc>
            </w:tr>
            <w:tr w:rsidR="00005A3C" w:rsidRPr="004F65AE" w14:paraId="234DCD7E" w14:textId="77777777" w:rsidTr="00F36208">
              <w:trPr>
                <w:trHeight w:val="245"/>
              </w:trPr>
              <w:tc>
                <w:tcPr>
                  <w:tcW w:w="746" w:type="dxa"/>
                </w:tcPr>
                <w:p w14:paraId="2E47E349"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rPr>
                  </w:pPr>
                  <w:r w:rsidRPr="004F65AE">
                    <w:rPr>
                      <w:b/>
                      <w:snapToGrid w:val="0"/>
                      <w:kern w:val="22"/>
                      <w:sz w:val="20"/>
                      <w:szCs w:val="20"/>
                    </w:rPr>
                    <w:t>Value</w:t>
                  </w:r>
                </w:p>
              </w:tc>
              <w:tc>
                <w:tcPr>
                  <w:tcW w:w="656" w:type="dxa"/>
                </w:tcPr>
                <w:p w14:paraId="16E731DA"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14:paraId="3E7032DD"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436" w:type="dxa"/>
                </w:tcPr>
                <w:p w14:paraId="715C2ABD"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546" w:type="dxa"/>
                </w:tcPr>
                <w:p w14:paraId="77E0886C"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656" w:type="dxa"/>
                </w:tcPr>
                <w:p w14:paraId="7BDE897F"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r>
          </w:tbl>
          <w:p w14:paraId="7AD11417"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rPr>
            </w:pPr>
          </w:p>
          <w:p w14:paraId="41FCB4D6"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snapToGrid w:val="0"/>
                <w:kern w:val="22"/>
                <w:sz w:val="20"/>
                <w:szCs w:val="20"/>
              </w:rPr>
            </w:pPr>
          </w:p>
          <w:p w14:paraId="16B24099"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r w:rsidRPr="004F65AE">
              <w:rPr>
                <w:bCs/>
                <w:snapToGrid w:val="0"/>
                <w:kern w:val="22"/>
                <w:sz w:val="20"/>
                <w:szCs w:val="20"/>
              </w:rPr>
              <w:t>Footnotes:</w:t>
            </w:r>
          </w:p>
        </w:tc>
      </w:tr>
      <w:tr w:rsidR="00005A3C" w:rsidRPr="004F65AE" w14:paraId="2F42C8A9" w14:textId="77777777" w:rsidTr="00F36208">
        <w:tc>
          <w:tcPr>
            <w:tcW w:w="1695" w:type="dxa"/>
            <w:tcBorders>
              <w:top w:val="nil"/>
              <w:left w:val="single" w:sz="4" w:space="0" w:color="auto"/>
              <w:bottom w:val="single" w:sz="4" w:space="0" w:color="auto"/>
              <w:right w:val="single" w:sz="4" w:space="0" w:color="auto"/>
            </w:tcBorders>
            <w:shd w:val="clear" w:color="auto" w:fill="FFFFFF" w:themeFill="background1"/>
          </w:tcPr>
          <w:p w14:paraId="6EBE4FBA"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
                <w:bCs/>
                <w:snapToGrid w:val="0"/>
                <w:kern w:val="22"/>
                <w:sz w:val="20"/>
                <w:szCs w:val="20"/>
              </w:rPr>
            </w:pPr>
          </w:p>
        </w:tc>
        <w:tc>
          <w:tcPr>
            <w:tcW w:w="1532" w:type="dxa"/>
            <w:tcBorders>
              <w:top w:val="nil"/>
              <w:left w:val="single" w:sz="4" w:space="0" w:color="auto"/>
              <w:bottom w:val="single" w:sz="4" w:space="0" w:color="auto"/>
              <w:right w:val="single" w:sz="4" w:space="0" w:color="auto"/>
            </w:tcBorders>
            <w:shd w:val="clear" w:color="auto" w:fill="FFFFFF" w:themeFill="background1"/>
          </w:tcPr>
          <w:p w14:paraId="160588F6"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bCs/>
                <w:snapToGrid w:val="0"/>
                <w:kern w:val="22"/>
                <w:sz w:val="20"/>
                <w:szCs w:val="20"/>
              </w:rPr>
            </w:pPr>
          </w:p>
        </w:tc>
        <w:tc>
          <w:tcPr>
            <w:tcW w:w="6095" w:type="dxa"/>
            <w:gridSpan w:val="3"/>
            <w:tcBorders>
              <w:top w:val="nil"/>
              <w:left w:val="single" w:sz="4" w:space="0" w:color="auto"/>
              <w:bottom w:val="single" w:sz="4" w:space="0" w:color="auto"/>
              <w:right w:val="single" w:sz="4" w:space="0" w:color="auto"/>
            </w:tcBorders>
            <w:shd w:val="clear" w:color="auto" w:fill="FFFFFF" w:themeFill="background1"/>
          </w:tcPr>
          <w:p w14:paraId="6D63F88A" w14:textId="77777777" w:rsidR="00005A3C" w:rsidRPr="004F65AE" w:rsidRDefault="00005A3C" w:rsidP="00F36208">
            <w:pPr>
              <w:suppressLineNumbers/>
              <w:shd w:val="clear" w:color="auto" w:fill="FFFFFF" w:themeFill="background1"/>
              <w:suppressAutoHyphens/>
              <w:kinsoku w:val="0"/>
              <w:overflowPunct w:val="0"/>
              <w:autoSpaceDE w:val="0"/>
              <w:autoSpaceDN w:val="0"/>
              <w:adjustRightInd w:val="0"/>
              <w:snapToGrid w:val="0"/>
              <w:spacing w:before="120" w:after="120"/>
              <w:rPr>
                <w:i/>
                <w:kern w:val="22"/>
                <w:sz w:val="20"/>
                <w:szCs w:val="20"/>
              </w:rPr>
            </w:pPr>
            <w:r w:rsidRPr="004F65AE">
              <w:rPr>
                <w:i/>
                <w:kern w:val="22"/>
                <w:sz w:val="20"/>
                <w:szCs w:val="20"/>
              </w:rPr>
              <w:t>This is just an example of how data might look.</w:t>
            </w:r>
          </w:p>
        </w:tc>
      </w:tr>
    </w:tbl>
    <w:p w14:paraId="3018BF0E" w14:textId="77777777" w:rsidR="00005A3C" w:rsidRPr="004F65AE" w:rsidRDefault="00005A3C" w:rsidP="00D01723">
      <w:pPr>
        <w:keepNext/>
        <w:shd w:val="clear" w:color="auto" w:fill="FFFFFF" w:themeFill="background1"/>
        <w:spacing w:before="120" w:after="120"/>
        <w:rPr>
          <w:b/>
          <w:snapToGrid w:val="0"/>
          <w:kern w:val="22"/>
          <w:sz w:val="20"/>
          <w:szCs w:val="20"/>
        </w:rPr>
      </w:pPr>
      <w:r w:rsidRPr="004F65AE">
        <w:rPr>
          <w:b/>
          <w:snapToGrid w:val="0"/>
          <w:kern w:val="22"/>
          <w:sz w:val="20"/>
          <w:szCs w:val="20"/>
        </w:rPr>
        <w:t xml:space="preserve">Section V. Conclusions on the national implementation of the Convention and the </w:t>
      </w:r>
      <w:r w:rsidRPr="00E43B5C">
        <w:rPr>
          <w:rFonts w:asciiTheme="majorBidi" w:hAnsiTheme="majorBidi" w:cstheme="majorBidi"/>
          <w:b/>
          <w:snapToGrid w:val="0"/>
          <w:kern w:val="22"/>
          <w:sz w:val="20"/>
          <w:szCs w:val="20"/>
          <w:lang w:val="en-US"/>
        </w:rPr>
        <w:t>Kunming-Montreal</w:t>
      </w:r>
      <w:r w:rsidRPr="00E43B5C">
        <w:rPr>
          <w:rFonts w:asciiTheme="majorBidi" w:hAnsiTheme="majorBidi" w:cstheme="majorBidi"/>
          <w:bCs/>
          <w:snapToGrid w:val="0"/>
          <w:kern w:val="22"/>
          <w:sz w:val="20"/>
          <w:szCs w:val="20"/>
          <w:lang w:val="en-US"/>
        </w:rPr>
        <w:t xml:space="preserve"> </w:t>
      </w:r>
      <w:r w:rsidRPr="004F65AE">
        <w:rPr>
          <w:b/>
          <w:snapToGrid w:val="0"/>
          <w:kern w:val="22"/>
          <w:sz w:val="20"/>
          <w:szCs w:val="20"/>
        </w:rPr>
        <w:t>Global Biodiversity Framework</w:t>
      </w:r>
    </w:p>
    <w:p w14:paraId="406656C0" w14:textId="77777777" w:rsidR="00005A3C" w:rsidRPr="004F65AE" w:rsidRDefault="00005A3C" w:rsidP="009D6BD6">
      <w:pPr>
        <w:shd w:val="clear" w:color="auto" w:fill="FFFFFF" w:themeFill="background1"/>
        <w:spacing w:before="120" w:after="120"/>
        <w:rPr>
          <w:snapToGrid w:val="0"/>
          <w:kern w:val="22"/>
          <w:sz w:val="20"/>
          <w:szCs w:val="20"/>
        </w:rPr>
      </w:pPr>
      <w:r w:rsidRPr="004F65AE">
        <w:rPr>
          <w:snapToGrid w:val="0"/>
          <w:kern w:val="22"/>
          <w:sz w:val="20"/>
          <w:szCs w:val="20"/>
        </w:rPr>
        <w:t xml:space="preserve">In this section, countries are encouraged to provide a summary of the national implementation of the Convention and the </w:t>
      </w:r>
      <w:r w:rsidRPr="00E43B5C">
        <w:rPr>
          <w:rFonts w:asciiTheme="majorBidi" w:hAnsiTheme="majorBidi" w:cstheme="majorBidi"/>
          <w:bCs/>
          <w:snapToGrid w:val="0"/>
          <w:kern w:val="22"/>
          <w:sz w:val="20"/>
          <w:szCs w:val="20"/>
          <w:lang w:val="en-US"/>
        </w:rPr>
        <w:t xml:space="preserve">Kunming-Montreal </w:t>
      </w:r>
      <w:r w:rsidRPr="004F65AE">
        <w:rPr>
          <w:snapToGrid w:val="0"/>
          <w:kern w:val="22"/>
          <w:sz w:val="20"/>
          <w:szCs w:val="20"/>
        </w:rPr>
        <w:t xml:space="preserve">Global Biodiversity Framework, including the main outcomes achieved and major challenges encountered, particularly those related to capacity, technical, technological, institutional and financial gaps and constraints and support provided for implementation. Countries could refer to cross-cutting challenges affecting the implementation of the Convention and the </w:t>
      </w:r>
      <w:r w:rsidRPr="00E43B5C">
        <w:rPr>
          <w:rFonts w:asciiTheme="majorBidi" w:hAnsiTheme="majorBidi" w:cstheme="majorBidi"/>
          <w:bCs/>
          <w:snapToGrid w:val="0"/>
          <w:kern w:val="22"/>
          <w:sz w:val="20"/>
          <w:szCs w:val="20"/>
          <w:lang w:val="en-US"/>
        </w:rPr>
        <w:t xml:space="preserve">Kunming-Montreal </w:t>
      </w:r>
      <w:r w:rsidRPr="004F65AE">
        <w:rPr>
          <w:snapToGrid w:val="0"/>
          <w:kern w:val="22"/>
          <w:sz w:val="20"/>
          <w:szCs w:val="20"/>
        </w:rPr>
        <w:t xml:space="preserve">Global Biodiversity Framework, or specific obstacles that have hindered progress. These challenges may include lack of adequate financial, human and technical resources, difficulties regarding interministerial/inter-agency cooperation and coordination, lack of timely and reliable access to knowledge, information and data, lack of scientific expertise to support project development and management, and lack of access to relevant technologies for implementation. Countries should try to avoid duplication if relevant information is covered in the above sections.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005A3C" w:rsidRPr="004F65AE" w14:paraId="6D7789C0" w14:textId="77777777" w:rsidTr="00F36208">
        <w:trPr>
          <w:trHeight w:val="1165"/>
          <w:jc w:val="center"/>
        </w:trPr>
        <w:tc>
          <w:tcPr>
            <w:tcW w:w="9678" w:type="dxa"/>
            <w:shd w:val="clear" w:color="auto" w:fill="FFFFFF" w:themeFill="background1"/>
            <w:vAlign w:val="center"/>
          </w:tcPr>
          <w:p w14:paraId="311AD559" w14:textId="77777777" w:rsidR="00005A3C" w:rsidRPr="004F65AE" w:rsidRDefault="00005A3C" w:rsidP="002C1327">
            <w:pPr>
              <w:shd w:val="clear" w:color="auto" w:fill="FFFFFF" w:themeFill="background1"/>
              <w:jc w:val="left"/>
              <w:rPr>
                <w:b/>
                <w:snapToGrid w:val="0"/>
                <w:kern w:val="22"/>
                <w:sz w:val="20"/>
                <w:szCs w:val="20"/>
              </w:rPr>
            </w:pPr>
            <w:r w:rsidRPr="004F65AE">
              <w:rPr>
                <w:b/>
                <w:snapToGrid w:val="0"/>
                <w:kern w:val="22"/>
                <w:sz w:val="20"/>
                <w:szCs w:val="20"/>
              </w:rPr>
              <w:t xml:space="preserve">In this section, please provide a summary assessment of the implementation of the Convention and the </w:t>
            </w:r>
            <w:r w:rsidRPr="00E43B5C">
              <w:rPr>
                <w:rFonts w:asciiTheme="majorBidi" w:hAnsiTheme="majorBidi" w:cstheme="majorBidi"/>
                <w:b/>
                <w:snapToGrid w:val="0"/>
                <w:kern w:val="22"/>
                <w:sz w:val="20"/>
                <w:szCs w:val="20"/>
                <w:lang w:val="en-US"/>
              </w:rPr>
              <w:t>Kunming-Montreal</w:t>
            </w:r>
            <w:r w:rsidRPr="004F65AE">
              <w:rPr>
                <w:b/>
                <w:snapToGrid w:val="0"/>
                <w:kern w:val="22"/>
                <w:sz w:val="20"/>
                <w:szCs w:val="20"/>
              </w:rPr>
              <w:t xml:space="preserve"> Global Biodiversity Framework</w:t>
            </w:r>
            <w:r>
              <w:rPr>
                <w:b/>
                <w:snapToGrid w:val="0"/>
                <w:kern w:val="22"/>
                <w:sz w:val="20"/>
                <w:szCs w:val="20"/>
              </w:rPr>
              <w:t>,</w:t>
            </w:r>
            <w:r w:rsidRPr="004F65AE">
              <w:rPr>
                <w:b/>
                <w:snapToGrid w:val="0"/>
                <w:kern w:val="22"/>
                <w:sz w:val="20"/>
                <w:szCs w:val="20"/>
              </w:rPr>
              <w:t xml:space="preserve"> including </w:t>
            </w:r>
            <w:r>
              <w:rPr>
                <w:b/>
                <w:snapToGrid w:val="0"/>
                <w:kern w:val="22"/>
                <w:sz w:val="20"/>
                <w:szCs w:val="20"/>
              </w:rPr>
              <w:t xml:space="preserve">all the sections, and the </w:t>
            </w:r>
            <w:r w:rsidRPr="004F65AE">
              <w:rPr>
                <w:b/>
                <w:snapToGrid w:val="0"/>
                <w:kern w:val="22"/>
                <w:sz w:val="20"/>
                <w:szCs w:val="20"/>
              </w:rPr>
              <w:t xml:space="preserve">main outcomes achieved and major challenges encountered, particularly those related to capacity, technical, technological, institutional, and financial gaps and constraints and support provided for implementation. </w:t>
            </w:r>
          </w:p>
        </w:tc>
      </w:tr>
      <w:tr w:rsidR="00005A3C" w:rsidRPr="004F65AE" w14:paraId="157C1153" w14:textId="77777777" w:rsidTr="00F36208">
        <w:trPr>
          <w:trHeight w:val="1771"/>
          <w:jc w:val="center"/>
        </w:trPr>
        <w:tc>
          <w:tcPr>
            <w:tcW w:w="9678" w:type="dxa"/>
            <w:shd w:val="clear" w:color="auto" w:fill="FFFFFF" w:themeFill="background1"/>
          </w:tcPr>
          <w:p w14:paraId="1DEC8376" w14:textId="77777777" w:rsidR="00005A3C" w:rsidRPr="004F65AE" w:rsidRDefault="00005A3C" w:rsidP="00F36208">
            <w:pPr>
              <w:shd w:val="clear" w:color="auto" w:fill="FFFFFF" w:themeFill="background1"/>
              <w:jc w:val="left"/>
              <w:rPr>
                <w:b/>
                <w:snapToGrid w:val="0"/>
                <w:kern w:val="22"/>
                <w:sz w:val="20"/>
                <w:szCs w:val="20"/>
              </w:rPr>
            </w:pPr>
          </w:p>
        </w:tc>
      </w:tr>
    </w:tbl>
    <w:p w14:paraId="53EDA7FB" w14:textId="77777777" w:rsidR="00005A3C" w:rsidRPr="00CA676A" w:rsidRDefault="00005A3C" w:rsidP="00D011F6">
      <w:pPr>
        <w:keepNext/>
        <w:suppressLineNumbers/>
        <w:shd w:val="clear" w:color="auto" w:fill="FFFFFF" w:themeFill="background1"/>
        <w:suppressAutoHyphens/>
        <w:kinsoku w:val="0"/>
        <w:overflowPunct w:val="0"/>
        <w:autoSpaceDE w:val="0"/>
        <w:autoSpaceDN w:val="0"/>
        <w:spacing w:before="240" w:after="120"/>
        <w:jc w:val="center"/>
        <w:rPr>
          <w:bCs/>
          <w:i/>
          <w:iCs/>
          <w:snapToGrid w:val="0"/>
          <w:kern w:val="22"/>
          <w:szCs w:val="22"/>
        </w:rPr>
      </w:pPr>
      <w:r w:rsidRPr="00CA676A">
        <w:rPr>
          <w:bCs/>
          <w:i/>
          <w:iCs/>
          <w:snapToGrid w:val="0"/>
          <w:kern w:val="22"/>
          <w:szCs w:val="22"/>
        </w:rPr>
        <w:t>Annex</w:t>
      </w:r>
    </w:p>
    <w:p w14:paraId="5F521B34" w14:textId="77777777" w:rsidR="00005A3C" w:rsidRPr="00CA676A" w:rsidRDefault="00005A3C" w:rsidP="001B01F0">
      <w:pPr>
        <w:keepNext/>
        <w:suppressLineNumbers/>
        <w:shd w:val="clear" w:color="auto" w:fill="FFFFFF" w:themeFill="background1"/>
        <w:suppressAutoHyphens/>
        <w:kinsoku w:val="0"/>
        <w:overflowPunct w:val="0"/>
        <w:autoSpaceDE w:val="0"/>
        <w:autoSpaceDN w:val="0"/>
        <w:spacing w:before="120" w:after="120"/>
        <w:jc w:val="left"/>
        <w:rPr>
          <w:b/>
          <w:snapToGrid w:val="0"/>
          <w:kern w:val="22"/>
          <w:szCs w:val="22"/>
        </w:rPr>
      </w:pPr>
      <w:r w:rsidRPr="00CA676A">
        <w:rPr>
          <w:b/>
          <w:snapToGrid w:val="0"/>
          <w:kern w:val="22"/>
          <w:szCs w:val="22"/>
        </w:rPr>
        <w:t>Information as requested in related decisions adopted by the Conference of the Parties at its fifteenth meeting</w:t>
      </w:r>
    </w:p>
    <w:p w14:paraId="6BEA7D9E" w14:textId="77777777" w:rsidR="00005A3C" w:rsidRPr="00CA676A" w:rsidRDefault="00005A3C" w:rsidP="00CA676A">
      <w:pPr>
        <w:suppressLineNumbers/>
        <w:shd w:val="clear" w:color="auto" w:fill="FFFFFF" w:themeFill="background1"/>
        <w:suppressAutoHyphens/>
        <w:kinsoku w:val="0"/>
        <w:overflowPunct w:val="0"/>
        <w:autoSpaceDE w:val="0"/>
        <w:autoSpaceDN w:val="0"/>
        <w:spacing w:before="120" w:after="120"/>
        <w:rPr>
          <w:snapToGrid w:val="0"/>
          <w:kern w:val="22"/>
          <w:szCs w:val="22"/>
        </w:rPr>
      </w:pPr>
      <w:r w:rsidRPr="00CA676A">
        <w:rPr>
          <w:snapToGrid w:val="0"/>
          <w:kern w:val="22"/>
          <w:szCs w:val="22"/>
        </w:rPr>
        <w:t>It is suggested that Parties annex information on the implementation of the following decisions adopted by the Conference of the Parties at its fifteenth meeting:</w:t>
      </w:r>
      <w:r w:rsidRPr="00610646">
        <w:rPr>
          <w:rStyle w:val="FootnoteReference"/>
        </w:rPr>
        <w:footnoteReference w:id="52"/>
      </w:r>
    </w:p>
    <w:p w14:paraId="1DE20D89" w14:textId="77777777" w:rsidR="00005A3C" w:rsidRPr="00CA676A" w:rsidRDefault="00005A3C" w:rsidP="001B01F0">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CA676A">
        <w:rPr>
          <w:snapToGrid w:val="0"/>
          <w:kern w:val="22"/>
          <w:szCs w:val="22"/>
        </w:rPr>
        <w:t>(a)</w:t>
      </w:r>
      <w:r w:rsidRPr="00CA676A">
        <w:rPr>
          <w:snapToGrid w:val="0"/>
          <w:kern w:val="22"/>
          <w:szCs w:val="22"/>
        </w:rPr>
        <w:tab/>
        <w:t>Long-term strategic framework for capacity-building and development (decision 15/8, annex I);</w:t>
      </w:r>
    </w:p>
    <w:p w14:paraId="042E136B" w14:textId="77777777" w:rsidR="00005A3C" w:rsidRPr="00CA676A" w:rsidRDefault="00005A3C" w:rsidP="001B01F0">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CA676A">
        <w:rPr>
          <w:snapToGrid w:val="0"/>
          <w:kern w:val="22"/>
          <w:szCs w:val="22"/>
        </w:rPr>
        <w:t>(b)</w:t>
      </w:r>
      <w:r w:rsidRPr="00CA676A">
        <w:rPr>
          <w:snapToGrid w:val="0"/>
          <w:kern w:val="22"/>
          <w:szCs w:val="22"/>
        </w:rPr>
        <w:tab/>
        <w:t>Strategy for resource mobilization (decision 15/7, annex I);</w:t>
      </w:r>
    </w:p>
    <w:p w14:paraId="76ABB0C2" w14:textId="77777777" w:rsidR="00005A3C" w:rsidRPr="00CA676A" w:rsidRDefault="00005A3C" w:rsidP="001B01F0">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CA676A">
        <w:rPr>
          <w:snapToGrid w:val="0"/>
          <w:kern w:val="22"/>
          <w:szCs w:val="22"/>
        </w:rPr>
        <w:t>(c)</w:t>
      </w:r>
      <w:r w:rsidRPr="00CA676A">
        <w:rPr>
          <w:snapToGrid w:val="0"/>
          <w:kern w:val="22"/>
          <w:szCs w:val="22"/>
        </w:rPr>
        <w:tab/>
        <w:t>Gender Plan of Action (2023</w:t>
      </w:r>
      <w:r w:rsidRPr="00EA40AB">
        <w:rPr>
          <w:rFonts w:asciiTheme="majorBidi" w:hAnsiTheme="majorBidi" w:cstheme="majorBidi"/>
          <w:bCs/>
          <w:iCs/>
          <w:snapToGrid w:val="0"/>
          <w:kern w:val="22"/>
          <w:szCs w:val="22"/>
        </w:rPr>
        <w:t>–</w:t>
      </w:r>
      <w:r w:rsidRPr="00CA676A">
        <w:rPr>
          <w:snapToGrid w:val="0"/>
          <w:kern w:val="22"/>
          <w:szCs w:val="22"/>
        </w:rPr>
        <w:t xml:space="preserve">2030) (decision 15/11, annex); </w:t>
      </w:r>
    </w:p>
    <w:p w14:paraId="33A8E7DB" w14:textId="77777777" w:rsidR="00005A3C" w:rsidRPr="00CA676A" w:rsidRDefault="00005A3C" w:rsidP="00A9736B">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rPr>
      </w:pPr>
      <w:r w:rsidRPr="00CA676A">
        <w:rPr>
          <w:snapToGrid w:val="0"/>
          <w:kern w:val="22"/>
          <w:szCs w:val="22"/>
        </w:rPr>
        <w:lastRenderedPageBreak/>
        <w:t>(d)</w:t>
      </w:r>
      <w:r w:rsidRPr="00CA676A">
        <w:rPr>
          <w:snapToGrid w:val="0"/>
          <w:kern w:val="22"/>
          <w:szCs w:val="22"/>
        </w:rPr>
        <w:tab/>
        <w:t>Long-term strategic approach to mainstreaming biodiversity;</w:t>
      </w:r>
      <w:r w:rsidRPr="00CA676A">
        <w:rPr>
          <w:snapToGrid w:val="0"/>
          <w:kern w:val="22"/>
          <w:szCs w:val="22"/>
        </w:rPr>
        <w:footnoteReference w:customMarkFollows="1" w:id="53"/>
        <w:t>*</w:t>
      </w:r>
      <w:r w:rsidRPr="00CA676A" w:rsidDel="00A35221">
        <w:rPr>
          <w:snapToGrid w:val="0"/>
          <w:kern w:val="22"/>
          <w:szCs w:val="22"/>
        </w:rPr>
        <w:t xml:space="preserve"> </w:t>
      </w:r>
    </w:p>
    <w:p w14:paraId="71D38D41" w14:textId="77777777" w:rsidR="00005A3C" w:rsidRDefault="00005A3C" w:rsidP="00D236EB">
      <w:pPr>
        <w:suppressLineNumbers/>
        <w:shd w:val="clear" w:color="auto" w:fill="FFFFFF" w:themeFill="background1"/>
        <w:suppressAutoHyphens/>
        <w:kinsoku w:val="0"/>
        <w:overflowPunct w:val="0"/>
        <w:autoSpaceDE w:val="0"/>
        <w:autoSpaceDN w:val="0"/>
        <w:spacing w:before="120" w:after="120"/>
        <w:ind w:firstLine="720"/>
        <w:jc w:val="left"/>
        <w:rPr>
          <w:snapToGrid w:val="0"/>
          <w:kern w:val="22"/>
          <w:szCs w:val="22"/>
          <w:vertAlign w:val="superscript"/>
        </w:rPr>
      </w:pPr>
      <w:r w:rsidRPr="00CA676A">
        <w:rPr>
          <w:snapToGrid w:val="0"/>
          <w:kern w:val="22"/>
          <w:szCs w:val="22"/>
        </w:rPr>
        <w:t>(e)</w:t>
      </w:r>
      <w:r w:rsidRPr="00CA676A">
        <w:rPr>
          <w:snapToGrid w:val="0"/>
          <w:kern w:val="22"/>
          <w:szCs w:val="22"/>
        </w:rPr>
        <w:tab/>
        <w:t>Global plant conservation strategy.</w:t>
      </w:r>
      <w:r w:rsidRPr="00CA676A">
        <w:rPr>
          <w:snapToGrid w:val="0"/>
          <w:kern w:val="22"/>
          <w:szCs w:val="22"/>
          <w:vertAlign w:val="superscript"/>
        </w:rPr>
        <w:t>*</w:t>
      </w:r>
    </w:p>
    <w:p w14:paraId="21384B25" w14:textId="77777777" w:rsidR="0018728E" w:rsidRDefault="0018728E" w:rsidP="00CA676A">
      <w:pPr>
        <w:suppressLineNumbers/>
        <w:shd w:val="clear" w:color="auto" w:fill="FFFFFF" w:themeFill="background1"/>
        <w:suppressAutoHyphens/>
        <w:kinsoku w:val="0"/>
        <w:overflowPunct w:val="0"/>
        <w:autoSpaceDE w:val="0"/>
        <w:autoSpaceDN w:val="0"/>
        <w:spacing w:before="120" w:after="120"/>
        <w:ind w:firstLine="720"/>
        <w:jc w:val="center"/>
        <w:rPr>
          <w:szCs w:val="22"/>
        </w:rPr>
        <w:sectPr w:rsidR="0018728E" w:rsidSect="00441700">
          <w:footnotePr>
            <w:numRestart w:val="eachSect"/>
          </w:footnotePr>
          <w:pgSz w:w="12240" w:h="15840"/>
          <w:pgMar w:top="567" w:right="1440" w:bottom="1134" w:left="1440" w:header="709" w:footer="709" w:gutter="0"/>
          <w:cols w:space="708"/>
          <w:docGrid w:linePitch="360"/>
        </w:sectPr>
      </w:pPr>
    </w:p>
    <w:p w14:paraId="693D03B2" w14:textId="77777777" w:rsidR="0018728E" w:rsidRDefault="0018728E" w:rsidP="0050251E">
      <w:pPr>
        <w:pStyle w:val="decision"/>
      </w:pPr>
      <w:bookmarkStart w:id="52" w:name="_Toc150438805"/>
      <w:bookmarkStart w:id="53" w:name="_Toc150670505"/>
      <w:bookmarkStart w:id="54" w:name="_Toc150670615"/>
      <w:bookmarkStart w:id="55" w:name="_Toc150761117"/>
      <w:r w:rsidRPr="0086057A">
        <w:rPr>
          <w:snapToGrid w:val="0"/>
        </w:rPr>
        <w:lastRenderedPageBreak/>
        <w:t>15/7.</w:t>
      </w:r>
      <w:r w:rsidRPr="0086057A">
        <w:rPr>
          <w:snapToGrid w:val="0"/>
        </w:rPr>
        <w:tab/>
        <w:t>Resource mobilization</w:t>
      </w:r>
      <w:bookmarkEnd w:id="52"/>
      <w:bookmarkEnd w:id="53"/>
      <w:bookmarkEnd w:id="54"/>
      <w:bookmarkEnd w:id="55"/>
    </w:p>
    <w:p w14:paraId="64C3AD50" w14:textId="77777777" w:rsidR="0018728E" w:rsidRDefault="0018728E" w:rsidP="00A3490B">
      <w:pPr>
        <w:keepNext/>
        <w:suppressLineNumbers/>
        <w:suppressAutoHyphens/>
        <w:kinsoku w:val="0"/>
        <w:overflowPunct w:val="0"/>
        <w:autoSpaceDE w:val="0"/>
        <w:autoSpaceDN w:val="0"/>
        <w:adjustRightInd w:val="0"/>
        <w:snapToGrid w:val="0"/>
        <w:spacing w:before="120" w:after="120"/>
        <w:ind w:firstLine="720"/>
        <w:jc w:val="left"/>
        <w:rPr>
          <w:bCs/>
          <w:i/>
          <w:iCs/>
          <w:snapToGrid w:val="0"/>
          <w:szCs w:val="22"/>
          <w:lang w:val="en-US"/>
        </w:rPr>
      </w:pPr>
      <w:r w:rsidRPr="00A54C34">
        <w:rPr>
          <w:bCs/>
          <w:i/>
          <w:iCs/>
          <w:snapToGrid w:val="0"/>
          <w:szCs w:val="22"/>
          <w:lang w:val="en-US"/>
        </w:rPr>
        <w:t xml:space="preserve">The Conference of the Parties, </w:t>
      </w:r>
    </w:p>
    <w:p w14:paraId="41DCB43F" w14:textId="77777777" w:rsidR="0018728E" w:rsidRPr="00190DCB" w:rsidRDefault="0018728E" w:rsidP="00563AC1">
      <w:pPr>
        <w:keepNext/>
        <w:suppressLineNumbers/>
        <w:suppressAutoHyphens/>
        <w:kinsoku w:val="0"/>
        <w:overflowPunct w:val="0"/>
        <w:autoSpaceDE w:val="0"/>
        <w:autoSpaceDN w:val="0"/>
        <w:adjustRightInd w:val="0"/>
        <w:snapToGrid w:val="0"/>
        <w:spacing w:before="120" w:after="120"/>
        <w:ind w:firstLine="720"/>
        <w:rPr>
          <w:szCs w:val="22"/>
          <w:lang w:val="en-US" w:eastAsia="zh-CN"/>
        </w:rPr>
      </w:pPr>
      <w:r w:rsidRPr="00EB49DC">
        <w:rPr>
          <w:i/>
          <w:snapToGrid w:val="0"/>
          <w:kern w:val="22"/>
          <w:szCs w:val="22"/>
          <w:lang w:eastAsia="zh-CN"/>
        </w:rPr>
        <w:t xml:space="preserve">Recalling </w:t>
      </w:r>
      <w:r w:rsidRPr="00EB49DC">
        <w:rPr>
          <w:snapToGrid w:val="0"/>
          <w:kern w:val="22"/>
          <w:szCs w:val="22"/>
          <w:lang w:eastAsia="zh-CN"/>
        </w:rPr>
        <w:t>Article 20 of the Convention as the basis for providing and mobilizing resources from all sources and the relevance of Article</w:t>
      </w:r>
      <w:r>
        <w:rPr>
          <w:snapToGrid w:val="0"/>
          <w:kern w:val="22"/>
          <w:szCs w:val="22"/>
          <w:lang w:eastAsia="zh-CN"/>
        </w:rPr>
        <w:t>s</w:t>
      </w:r>
      <w:r w:rsidRPr="00EB49DC">
        <w:rPr>
          <w:snapToGrid w:val="0"/>
          <w:kern w:val="22"/>
          <w:szCs w:val="22"/>
          <w:lang w:eastAsia="zh-CN"/>
        </w:rPr>
        <w:t xml:space="preserve"> 11</w:t>
      </w:r>
      <w:r>
        <w:rPr>
          <w:snapToGrid w:val="0"/>
          <w:kern w:val="22"/>
          <w:szCs w:val="22"/>
          <w:lang w:eastAsia="zh-CN"/>
        </w:rPr>
        <w:t xml:space="preserve"> and 21 </w:t>
      </w:r>
      <w:r w:rsidRPr="00EB49DC">
        <w:rPr>
          <w:snapToGrid w:val="0"/>
          <w:kern w:val="22"/>
          <w:szCs w:val="22"/>
          <w:lang w:eastAsia="zh-CN"/>
        </w:rPr>
        <w:t>in this regard,</w:t>
      </w:r>
    </w:p>
    <w:p w14:paraId="4AFBBB17" w14:textId="77777777" w:rsidR="0018728E" w:rsidRDefault="0018728E" w:rsidP="00A3490B">
      <w:pPr>
        <w:suppressLineNumbers/>
        <w:suppressAutoHyphens/>
        <w:spacing w:before="120" w:after="120"/>
        <w:ind w:firstLine="720"/>
        <w:rPr>
          <w:bCs/>
          <w:i/>
          <w:iCs/>
          <w:snapToGrid w:val="0"/>
          <w:szCs w:val="22"/>
          <w:lang w:val="en-US"/>
        </w:rPr>
      </w:pPr>
      <w:r>
        <w:rPr>
          <w:bCs/>
          <w:i/>
          <w:iCs/>
          <w:snapToGrid w:val="0"/>
          <w:szCs w:val="22"/>
          <w:lang w:val="en-US"/>
        </w:rPr>
        <w:t xml:space="preserve">Recalling also </w:t>
      </w:r>
      <w:r w:rsidRPr="00E6297B">
        <w:rPr>
          <w:bCs/>
          <w:snapToGrid w:val="0"/>
          <w:szCs w:val="22"/>
          <w:lang w:val="en-US"/>
        </w:rPr>
        <w:t xml:space="preserve">Goal D and Target 19 of the </w:t>
      </w:r>
      <w:r>
        <w:rPr>
          <w:snapToGrid w:val="0"/>
          <w:kern w:val="22"/>
          <w:szCs w:val="22"/>
          <w:lang w:val="en-CA"/>
        </w:rPr>
        <w:t>Kunming-Montreal</w:t>
      </w:r>
      <w:r w:rsidRPr="004357C7">
        <w:rPr>
          <w:snapToGrid w:val="0"/>
          <w:kern w:val="22"/>
          <w:szCs w:val="22"/>
          <w:lang w:val="en-CA"/>
        </w:rPr>
        <w:t xml:space="preserve"> </w:t>
      </w:r>
      <w:r>
        <w:rPr>
          <w:bCs/>
          <w:snapToGrid w:val="0"/>
          <w:szCs w:val="22"/>
          <w:lang w:val="en-US"/>
        </w:rPr>
        <w:t>Global Biodiversity Framework</w:t>
      </w:r>
      <w:r>
        <w:rPr>
          <w:bCs/>
          <w:i/>
          <w:iCs/>
          <w:snapToGrid w:val="0"/>
          <w:szCs w:val="22"/>
          <w:lang w:val="en-US"/>
        </w:rPr>
        <w:t xml:space="preserve">, </w:t>
      </w:r>
    </w:p>
    <w:p w14:paraId="364531E8" w14:textId="77777777" w:rsidR="0018728E" w:rsidRDefault="0018728E" w:rsidP="00563AC1">
      <w:pPr>
        <w:suppressLineNumbers/>
        <w:suppressAutoHyphens/>
        <w:spacing w:before="120" w:after="120"/>
        <w:ind w:firstLine="720"/>
        <w:rPr>
          <w:bCs/>
          <w:snapToGrid w:val="0"/>
          <w:szCs w:val="22"/>
          <w:lang w:val="en-US"/>
        </w:rPr>
      </w:pPr>
      <w:r w:rsidRPr="00BB3204">
        <w:rPr>
          <w:bCs/>
          <w:i/>
          <w:iCs/>
          <w:snapToGrid w:val="0"/>
          <w:szCs w:val="22"/>
          <w:lang w:val="en-US"/>
        </w:rPr>
        <w:t>Emphasizing</w:t>
      </w:r>
      <w:r w:rsidRPr="00BB3204">
        <w:rPr>
          <w:bCs/>
          <w:snapToGrid w:val="0"/>
          <w:szCs w:val="22"/>
          <w:lang w:val="en-US"/>
        </w:rPr>
        <w:t xml:space="preserve"> the importance of </w:t>
      </w:r>
      <w:r>
        <w:rPr>
          <w:bCs/>
          <w:snapToGrid w:val="0"/>
          <w:szCs w:val="22"/>
          <w:lang w:val="en-US"/>
        </w:rPr>
        <w:t xml:space="preserve">urgently </w:t>
      </w:r>
      <w:r w:rsidRPr="00BB3204">
        <w:rPr>
          <w:bCs/>
          <w:snapToGrid w:val="0"/>
          <w:szCs w:val="22"/>
          <w:lang w:val="en-US"/>
        </w:rPr>
        <w:t>increasing the mobilization of financial resources from all sources</w:t>
      </w:r>
      <w:r>
        <w:rPr>
          <w:bCs/>
          <w:snapToGrid w:val="0"/>
          <w:szCs w:val="22"/>
          <w:lang w:val="en-US"/>
        </w:rPr>
        <w:t xml:space="preserve">, domestic and international, public and private, with a view to closing the biodiversity financing gap </w:t>
      </w:r>
      <w:r w:rsidRPr="00BB3204">
        <w:rPr>
          <w:bCs/>
          <w:snapToGrid w:val="0"/>
          <w:szCs w:val="22"/>
          <w:lang w:val="en-US"/>
        </w:rPr>
        <w:t>and making</w:t>
      </w:r>
      <w:r>
        <w:rPr>
          <w:bCs/>
          <w:snapToGrid w:val="0"/>
          <w:szCs w:val="22"/>
          <w:lang w:val="en-US"/>
        </w:rPr>
        <w:t xml:space="preserve"> adequate</w:t>
      </w:r>
      <w:r w:rsidRPr="00BB3204">
        <w:rPr>
          <w:bCs/>
          <w:snapToGrid w:val="0"/>
          <w:szCs w:val="22"/>
          <w:lang w:val="en-US"/>
        </w:rPr>
        <w:t xml:space="preserve"> </w:t>
      </w:r>
      <w:r>
        <w:rPr>
          <w:bCs/>
          <w:snapToGrid w:val="0"/>
          <w:szCs w:val="22"/>
          <w:lang w:val="en-US"/>
        </w:rPr>
        <w:t>and predictable</w:t>
      </w:r>
      <w:r w:rsidRPr="00BB3204">
        <w:rPr>
          <w:bCs/>
          <w:snapToGrid w:val="0"/>
          <w:szCs w:val="22"/>
          <w:lang w:val="en-US"/>
        </w:rPr>
        <w:t xml:space="preserve"> resources available in a timely manner for the effective implementation of the </w:t>
      </w:r>
      <w:r>
        <w:rPr>
          <w:bCs/>
          <w:snapToGrid w:val="0"/>
          <w:szCs w:val="22"/>
          <w:lang w:val="en-US"/>
        </w:rPr>
        <w:t>Kunming-Montreal Global Biodiversity Framework,</w:t>
      </w:r>
    </w:p>
    <w:p w14:paraId="17984EE0" w14:textId="77777777" w:rsidR="0018728E" w:rsidRPr="00BB3204" w:rsidRDefault="0018728E" w:rsidP="00563AC1">
      <w:pPr>
        <w:keepNext/>
        <w:suppressLineNumbers/>
        <w:suppressAutoHyphens/>
        <w:kinsoku w:val="0"/>
        <w:overflowPunct w:val="0"/>
        <w:autoSpaceDE w:val="0"/>
        <w:autoSpaceDN w:val="0"/>
        <w:adjustRightInd w:val="0"/>
        <w:snapToGrid w:val="0"/>
        <w:spacing w:before="120" w:after="120"/>
        <w:ind w:firstLine="720"/>
        <w:rPr>
          <w:rFonts w:ascii="Calibri" w:eastAsia="DengXian" w:hAnsi="Calibri" w:cs="Arial"/>
          <w:szCs w:val="22"/>
          <w:lang w:eastAsia="zh-CN"/>
        </w:rPr>
      </w:pPr>
      <w:r>
        <w:rPr>
          <w:bCs/>
          <w:i/>
          <w:iCs/>
          <w:snapToGrid w:val="0"/>
          <w:kern w:val="22"/>
          <w:szCs w:val="22"/>
          <w:lang w:eastAsia="zh-CN"/>
        </w:rPr>
        <w:t>Noting</w:t>
      </w:r>
      <w:r w:rsidRPr="00F213E0">
        <w:rPr>
          <w:bCs/>
          <w:snapToGrid w:val="0"/>
          <w:szCs w:val="22"/>
          <w:lang w:val="en-US"/>
        </w:rPr>
        <w:t xml:space="preserve"> </w:t>
      </w:r>
      <w:r>
        <w:rPr>
          <w:bCs/>
          <w:snapToGrid w:val="0"/>
          <w:szCs w:val="22"/>
          <w:lang w:val="en-US"/>
        </w:rPr>
        <w:t xml:space="preserve">Targets 14, 15, 16, and 18 </w:t>
      </w:r>
      <w:r w:rsidRPr="00E6297B">
        <w:rPr>
          <w:bCs/>
          <w:snapToGrid w:val="0"/>
          <w:szCs w:val="22"/>
          <w:lang w:val="en-US"/>
        </w:rPr>
        <w:t xml:space="preserve">of the </w:t>
      </w:r>
      <w:r>
        <w:rPr>
          <w:snapToGrid w:val="0"/>
          <w:kern w:val="22"/>
          <w:szCs w:val="22"/>
          <w:lang w:val="en-CA"/>
        </w:rPr>
        <w:t>Kunming-Montreal</w:t>
      </w:r>
      <w:r w:rsidRPr="004357C7">
        <w:rPr>
          <w:snapToGrid w:val="0"/>
          <w:kern w:val="22"/>
          <w:szCs w:val="22"/>
          <w:lang w:val="en-CA"/>
        </w:rPr>
        <w:t xml:space="preserve"> </w:t>
      </w:r>
      <w:r>
        <w:rPr>
          <w:bCs/>
          <w:snapToGrid w:val="0"/>
          <w:szCs w:val="22"/>
          <w:lang w:val="en-US"/>
        </w:rPr>
        <w:t>Global Biodiversity Framework</w:t>
      </w:r>
      <w:r>
        <w:rPr>
          <w:bCs/>
          <w:i/>
          <w:iCs/>
          <w:snapToGrid w:val="0"/>
          <w:szCs w:val="22"/>
          <w:lang w:val="en-US"/>
        </w:rPr>
        <w:t xml:space="preserve">, </w:t>
      </w:r>
      <w:r>
        <w:rPr>
          <w:bCs/>
          <w:snapToGrid w:val="0"/>
          <w:szCs w:val="22"/>
          <w:lang w:val="en-US"/>
        </w:rPr>
        <w:t xml:space="preserve">and emphasizing </w:t>
      </w:r>
      <w:r w:rsidRPr="00BB3204">
        <w:rPr>
          <w:snapToGrid w:val="0"/>
          <w:kern w:val="22"/>
          <w:szCs w:val="22"/>
          <w:lang w:eastAsia="zh-CN"/>
        </w:rPr>
        <w:t>the importance of biodiversity mainstreaming for strengthening resource mobilization and the effective and efficient use of resources, in order to support the conservation and sustainable use of biodiversity</w:t>
      </w:r>
      <w:r>
        <w:rPr>
          <w:snapToGrid w:val="0"/>
          <w:kern w:val="22"/>
          <w:szCs w:val="22"/>
          <w:lang w:eastAsia="zh-CN"/>
        </w:rPr>
        <w:t>,</w:t>
      </w:r>
    </w:p>
    <w:p w14:paraId="4916A6B0" w14:textId="77777777" w:rsidR="0018728E" w:rsidRPr="00E953D6" w:rsidRDefault="0018728E" w:rsidP="00A3490B">
      <w:pPr>
        <w:keepNext/>
        <w:suppressLineNumbers/>
        <w:suppressAutoHyphens/>
        <w:kinsoku w:val="0"/>
        <w:overflowPunct w:val="0"/>
        <w:autoSpaceDE w:val="0"/>
        <w:autoSpaceDN w:val="0"/>
        <w:adjustRightInd w:val="0"/>
        <w:snapToGrid w:val="0"/>
        <w:spacing w:before="120" w:after="120"/>
        <w:ind w:firstLine="720"/>
        <w:rPr>
          <w:bCs/>
          <w:snapToGrid w:val="0"/>
          <w:szCs w:val="22"/>
          <w:lang w:val="en-US"/>
        </w:rPr>
      </w:pPr>
      <w:r w:rsidRPr="00A54C34">
        <w:rPr>
          <w:bCs/>
          <w:i/>
          <w:iCs/>
          <w:snapToGrid w:val="0"/>
          <w:szCs w:val="22"/>
          <w:lang w:val="en-US"/>
        </w:rPr>
        <w:t>Affirming</w:t>
      </w:r>
      <w:r w:rsidRPr="000C6543">
        <w:rPr>
          <w:bCs/>
          <w:snapToGrid w:val="0"/>
          <w:szCs w:val="22"/>
          <w:lang w:val="en-US"/>
        </w:rPr>
        <w:t xml:space="preserve"> the need to quick-start immediate mobilization of resources from all sources while taking appropriate</w:t>
      </w:r>
      <w:r>
        <w:rPr>
          <w:bCs/>
          <w:snapToGrid w:val="0"/>
          <w:szCs w:val="22"/>
          <w:lang w:val="en-US"/>
        </w:rPr>
        <w:t xml:space="preserve"> </w:t>
      </w:r>
      <w:r w:rsidRPr="000C6543">
        <w:rPr>
          <w:bCs/>
          <w:snapToGrid w:val="0"/>
          <w:szCs w:val="22"/>
          <w:lang w:val="en-US"/>
        </w:rPr>
        <w:t xml:space="preserve">action to </w:t>
      </w:r>
      <w:r w:rsidRPr="000C6543">
        <w:rPr>
          <w:bCs/>
          <w:szCs w:val="22"/>
        </w:rPr>
        <w:t xml:space="preserve">ensure sustained resource mobilization to achieve </w:t>
      </w:r>
      <w:r w:rsidRPr="00D525FA">
        <w:rPr>
          <w:bCs/>
          <w:szCs w:val="22"/>
        </w:rPr>
        <w:t>the 2030 targets</w:t>
      </w:r>
      <w:r>
        <w:rPr>
          <w:bCs/>
          <w:szCs w:val="22"/>
        </w:rPr>
        <w:t xml:space="preserve"> of the </w:t>
      </w:r>
      <w:r>
        <w:rPr>
          <w:snapToGrid w:val="0"/>
          <w:kern w:val="22"/>
          <w:szCs w:val="22"/>
          <w:lang w:val="en-CA"/>
        </w:rPr>
        <w:t>Kunming-Montreal</w:t>
      </w:r>
      <w:r w:rsidRPr="004357C7">
        <w:rPr>
          <w:snapToGrid w:val="0"/>
          <w:kern w:val="22"/>
          <w:szCs w:val="22"/>
          <w:lang w:val="en-CA"/>
        </w:rPr>
        <w:t xml:space="preserve"> </w:t>
      </w:r>
      <w:r>
        <w:rPr>
          <w:bCs/>
          <w:snapToGrid w:val="0"/>
          <w:szCs w:val="22"/>
          <w:lang w:val="en-US"/>
        </w:rPr>
        <w:t xml:space="preserve">Global Biodiversity Framework </w:t>
      </w:r>
      <w:r>
        <w:rPr>
          <w:bCs/>
          <w:szCs w:val="22"/>
        </w:rPr>
        <w:t>and the</w:t>
      </w:r>
      <w:r w:rsidRPr="000C6543">
        <w:rPr>
          <w:bCs/>
          <w:szCs w:val="22"/>
        </w:rPr>
        <w:t xml:space="preserve"> 2050 vision</w:t>
      </w:r>
      <w:r>
        <w:rPr>
          <w:bCs/>
          <w:szCs w:val="22"/>
        </w:rPr>
        <w:t>,</w:t>
      </w:r>
      <w:r w:rsidRPr="000C6543">
        <w:rPr>
          <w:bCs/>
          <w:snapToGrid w:val="0"/>
          <w:szCs w:val="22"/>
          <w:lang w:val="en-US"/>
        </w:rPr>
        <w:t xml:space="preserve"> and </w:t>
      </w:r>
      <w:r>
        <w:rPr>
          <w:bCs/>
          <w:snapToGrid w:val="0"/>
          <w:szCs w:val="22"/>
          <w:lang w:val="en-US"/>
        </w:rPr>
        <w:t xml:space="preserve">to </w:t>
      </w:r>
      <w:r w:rsidRPr="000C6543">
        <w:rPr>
          <w:bCs/>
          <w:snapToGrid w:val="0"/>
          <w:szCs w:val="22"/>
          <w:lang w:val="en-US"/>
        </w:rPr>
        <w:t xml:space="preserve">mobilize resources in a manner commensurate with the ambition of the </w:t>
      </w:r>
      <w:r>
        <w:rPr>
          <w:snapToGrid w:val="0"/>
          <w:kern w:val="22"/>
          <w:szCs w:val="22"/>
          <w:lang w:val="en-US"/>
        </w:rPr>
        <w:t>Framework</w:t>
      </w:r>
      <w:r>
        <w:rPr>
          <w:bCs/>
          <w:snapToGrid w:val="0"/>
          <w:szCs w:val="22"/>
          <w:lang w:val="en-US"/>
        </w:rPr>
        <w:t xml:space="preserve">, </w:t>
      </w:r>
    </w:p>
    <w:p w14:paraId="05059A70" w14:textId="77777777" w:rsidR="0018728E" w:rsidRPr="00F14647"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14647">
        <w:rPr>
          <w:i/>
          <w:iCs/>
          <w:snapToGrid w:val="0"/>
          <w:kern w:val="22"/>
          <w:szCs w:val="22"/>
        </w:rPr>
        <w:t xml:space="preserve">Acknowledging </w:t>
      </w:r>
      <w:r w:rsidRPr="00F14647">
        <w:rPr>
          <w:snapToGrid w:val="0"/>
          <w:kern w:val="22"/>
          <w:szCs w:val="22"/>
        </w:rPr>
        <w:t xml:space="preserve">that Aichi </w:t>
      </w:r>
      <w:r>
        <w:rPr>
          <w:snapToGrid w:val="0"/>
          <w:kern w:val="22"/>
          <w:szCs w:val="22"/>
        </w:rPr>
        <w:t xml:space="preserve">Biodiversity </w:t>
      </w:r>
      <w:r w:rsidRPr="00F14647">
        <w:rPr>
          <w:snapToGrid w:val="0"/>
          <w:kern w:val="22"/>
          <w:szCs w:val="22"/>
        </w:rPr>
        <w:t>Target 20 calling for a substantial increase in resources for implementing the Strategic Plan for Biodiversity 2011-2020 was</w:t>
      </w:r>
      <w:r>
        <w:rPr>
          <w:snapToGrid w:val="0"/>
          <w:kern w:val="22"/>
          <w:szCs w:val="22"/>
        </w:rPr>
        <w:t xml:space="preserve"> partially</w:t>
      </w:r>
      <w:r w:rsidRPr="00F14647">
        <w:rPr>
          <w:snapToGrid w:val="0"/>
          <w:kern w:val="22"/>
          <w:szCs w:val="22"/>
        </w:rPr>
        <w:t xml:space="preserve"> met</w:t>
      </w:r>
      <w:r w:rsidRPr="00610646">
        <w:rPr>
          <w:rStyle w:val="FootnoteReference"/>
        </w:rPr>
        <w:footnoteReference w:id="54"/>
      </w:r>
      <w:r w:rsidRPr="00F14647">
        <w:rPr>
          <w:snapToGrid w:val="0"/>
          <w:kern w:val="22"/>
          <w:szCs w:val="22"/>
        </w:rPr>
        <w:t xml:space="preserve"> and welcom</w:t>
      </w:r>
      <w:r>
        <w:rPr>
          <w:snapToGrid w:val="0"/>
          <w:kern w:val="22"/>
          <w:szCs w:val="22"/>
        </w:rPr>
        <w:t>ing</w:t>
      </w:r>
      <w:r w:rsidRPr="00F14647">
        <w:rPr>
          <w:snapToGrid w:val="0"/>
          <w:kern w:val="22"/>
          <w:szCs w:val="22"/>
        </w:rPr>
        <w:t xml:space="preserve"> the efforts made in this regard, whil</w:t>
      </w:r>
      <w:r>
        <w:rPr>
          <w:snapToGrid w:val="0"/>
          <w:kern w:val="22"/>
          <w:szCs w:val="22"/>
        </w:rPr>
        <w:t>e</w:t>
      </w:r>
      <w:r w:rsidRPr="00F14647">
        <w:rPr>
          <w:snapToGrid w:val="0"/>
          <w:kern w:val="22"/>
          <w:szCs w:val="22"/>
        </w:rPr>
        <w:t xml:space="preserve"> recognizing that </w:t>
      </w:r>
      <w:r>
        <w:rPr>
          <w:snapToGrid w:val="0"/>
          <w:kern w:val="22"/>
          <w:szCs w:val="22"/>
        </w:rPr>
        <w:t xml:space="preserve">resources were not </w:t>
      </w:r>
      <w:r w:rsidRPr="00F14647">
        <w:rPr>
          <w:snapToGrid w:val="0"/>
          <w:kern w:val="22"/>
          <w:szCs w:val="22"/>
        </w:rPr>
        <w:t>sufficient to enable full and effective implementation of the Aichi Biodiversity Targets</w:t>
      </w:r>
      <w:r>
        <w:rPr>
          <w:snapToGrid w:val="0"/>
          <w:kern w:val="22"/>
          <w:szCs w:val="22"/>
        </w:rPr>
        <w:t>,</w:t>
      </w:r>
    </w:p>
    <w:p w14:paraId="43026EC3" w14:textId="77777777" w:rsidR="0018728E"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14647">
        <w:rPr>
          <w:i/>
          <w:iCs/>
          <w:snapToGrid w:val="0"/>
          <w:kern w:val="22"/>
          <w:szCs w:val="22"/>
        </w:rPr>
        <w:t xml:space="preserve">Welcoming </w:t>
      </w:r>
      <w:r w:rsidRPr="00F14647">
        <w:rPr>
          <w:snapToGrid w:val="0"/>
          <w:kern w:val="22"/>
          <w:szCs w:val="22"/>
        </w:rPr>
        <w:t xml:space="preserve">the pledges made by donor countries as part of the </w:t>
      </w:r>
      <w:r w:rsidRPr="00D71BEC">
        <w:rPr>
          <w:snapToGrid w:val="0"/>
          <w:kern w:val="22"/>
          <w:szCs w:val="22"/>
        </w:rPr>
        <w:t>eighth</w:t>
      </w:r>
      <w:r w:rsidRPr="00F14647">
        <w:rPr>
          <w:snapToGrid w:val="0"/>
          <w:kern w:val="22"/>
          <w:szCs w:val="22"/>
        </w:rPr>
        <w:t xml:space="preserve"> replenishment of the </w:t>
      </w:r>
      <w:r>
        <w:rPr>
          <w:snapToGrid w:val="0"/>
          <w:kern w:val="22"/>
          <w:szCs w:val="22"/>
        </w:rPr>
        <w:t>Global Environment Facility,</w:t>
      </w:r>
    </w:p>
    <w:p w14:paraId="4F6011E5" w14:textId="77777777" w:rsidR="0018728E" w:rsidRPr="007A1F68" w:rsidRDefault="0018728E" w:rsidP="00A3490B">
      <w:pPr>
        <w:suppressLineNumbers/>
        <w:suppressAutoHyphens/>
        <w:spacing w:before="120" w:after="120"/>
        <w:ind w:firstLine="709"/>
        <w:rPr>
          <w:snapToGrid w:val="0"/>
          <w:kern w:val="22"/>
          <w:szCs w:val="22"/>
          <w:lang w:eastAsia="zh-CN"/>
        </w:rPr>
      </w:pPr>
      <w:r w:rsidRPr="007A1F68">
        <w:rPr>
          <w:i/>
          <w:snapToGrid w:val="0"/>
          <w:kern w:val="22"/>
          <w:szCs w:val="22"/>
          <w:lang w:eastAsia="zh-CN"/>
        </w:rPr>
        <w:t xml:space="preserve">Reiterating </w:t>
      </w:r>
      <w:r w:rsidRPr="007A1F68">
        <w:rPr>
          <w:snapToGrid w:val="0"/>
          <w:kern w:val="22"/>
          <w:szCs w:val="22"/>
          <w:lang w:eastAsia="zh-CN"/>
        </w:rPr>
        <w:t xml:space="preserve">the important role of national biodiversity strategies and action plans as a basis for identifying national funding needs and priorities, and for the effective and efficient mobilization of resources from all sources in accordance with national circumstances and priorities, including, as applicable, for the implementation of the </w:t>
      </w:r>
      <w:r>
        <w:rPr>
          <w:snapToGrid w:val="0"/>
          <w:kern w:val="22"/>
          <w:szCs w:val="22"/>
          <w:lang w:eastAsia="zh-CN"/>
        </w:rPr>
        <w:t>P</w:t>
      </w:r>
      <w:r w:rsidRPr="007A1F68">
        <w:rPr>
          <w:snapToGrid w:val="0"/>
          <w:kern w:val="22"/>
          <w:szCs w:val="22"/>
          <w:lang w:eastAsia="zh-CN"/>
        </w:rPr>
        <w:t>rotocols under the Convention, and for the synergistic implementation of other biodiversity-related conventions</w:t>
      </w:r>
      <w:r>
        <w:rPr>
          <w:snapToGrid w:val="0"/>
          <w:kern w:val="22"/>
          <w:szCs w:val="22"/>
          <w:lang w:eastAsia="zh-CN"/>
        </w:rPr>
        <w:t>,</w:t>
      </w:r>
    </w:p>
    <w:p w14:paraId="339B5CFA" w14:textId="77777777" w:rsidR="0018728E" w:rsidRPr="007A1F68" w:rsidRDefault="0018728E" w:rsidP="00A3490B">
      <w:pPr>
        <w:suppressLineNumbers/>
        <w:suppressAutoHyphens/>
        <w:spacing w:before="120" w:after="120"/>
        <w:ind w:firstLine="709"/>
        <w:rPr>
          <w:iCs/>
          <w:snapToGrid w:val="0"/>
          <w:kern w:val="22"/>
          <w:szCs w:val="22"/>
          <w:lang w:eastAsia="zh-CN"/>
        </w:rPr>
      </w:pPr>
      <w:r w:rsidRPr="007A1F68">
        <w:rPr>
          <w:i/>
          <w:snapToGrid w:val="0"/>
          <w:kern w:val="22"/>
          <w:szCs w:val="22"/>
          <w:lang w:eastAsia="zh-CN"/>
        </w:rPr>
        <w:t xml:space="preserve">Recalling </w:t>
      </w:r>
      <w:r w:rsidRPr="007A1F68">
        <w:rPr>
          <w:iCs/>
          <w:snapToGrid w:val="0"/>
          <w:kern w:val="22"/>
          <w:szCs w:val="22"/>
          <w:lang w:eastAsia="zh-CN"/>
        </w:rPr>
        <w:t xml:space="preserve">that Parties are invited to prepare national finance plans or other similar planning instruments, in the context of national biodiversity strategies and action plans, in line with sub-goal 2.2 of the strategy for resource mobilization adopted </w:t>
      </w:r>
      <w:r>
        <w:rPr>
          <w:iCs/>
          <w:snapToGrid w:val="0"/>
          <w:kern w:val="22"/>
          <w:szCs w:val="22"/>
          <w:lang w:eastAsia="zh-CN"/>
        </w:rPr>
        <w:t>in</w:t>
      </w:r>
      <w:r w:rsidRPr="007A1F68">
        <w:rPr>
          <w:iCs/>
          <w:snapToGrid w:val="0"/>
          <w:kern w:val="22"/>
          <w:szCs w:val="22"/>
          <w:lang w:eastAsia="zh-CN"/>
        </w:rPr>
        <w:t xml:space="preserve"> decision IX/11</w:t>
      </w:r>
      <w:r>
        <w:rPr>
          <w:iCs/>
          <w:snapToGrid w:val="0"/>
          <w:kern w:val="22"/>
          <w:szCs w:val="22"/>
          <w:lang w:eastAsia="zh-CN"/>
        </w:rPr>
        <w:t>,</w:t>
      </w:r>
    </w:p>
    <w:p w14:paraId="6A4AB40A" w14:textId="77777777" w:rsidR="0018728E" w:rsidRPr="007A1F68"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1F68">
        <w:rPr>
          <w:i/>
          <w:snapToGrid w:val="0"/>
          <w:kern w:val="22"/>
          <w:szCs w:val="22"/>
        </w:rPr>
        <w:t>Recognizing</w:t>
      </w:r>
      <w:r w:rsidRPr="007A1F68">
        <w:rPr>
          <w:snapToGrid w:val="0"/>
          <w:kern w:val="22"/>
          <w:szCs w:val="22"/>
        </w:rPr>
        <w:t xml:space="preserve"> the need for effective partnerships and collaboration among all relevant actors, and for strengthening partnerships with businesses and the financial sector for mobilizing resources and to align financial flows with the mission of the </w:t>
      </w:r>
      <w:r>
        <w:rPr>
          <w:snapToGrid w:val="0"/>
          <w:kern w:val="22"/>
          <w:szCs w:val="22"/>
        </w:rPr>
        <w:t>Kunming-Montreal Global Biodiversity Framework,</w:t>
      </w:r>
    </w:p>
    <w:p w14:paraId="4EE9DFF0" w14:textId="77777777" w:rsidR="0018728E"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A1F68">
        <w:rPr>
          <w:i/>
          <w:snapToGrid w:val="0"/>
          <w:kern w:val="22"/>
          <w:szCs w:val="22"/>
        </w:rPr>
        <w:t xml:space="preserve">Cognizant </w:t>
      </w:r>
      <w:r w:rsidRPr="007A1F68">
        <w:rPr>
          <w:snapToGrid w:val="0"/>
          <w:kern w:val="22"/>
          <w:szCs w:val="22"/>
        </w:rPr>
        <w:t>of the opportunities for harnessing synergies among the Rio conventions, including synergies related to the mobilization and use of resources for biodiversity conservation and sustainable use</w:t>
      </w:r>
      <w:r>
        <w:rPr>
          <w:snapToGrid w:val="0"/>
          <w:kern w:val="22"/>
          <w:szCs w:val="22"/>
        </w:rPr>
        <w:t>,</w:t>
      </w:r>
    </w:p>
    <w:p w14:paraId="7D40E123" w14:textId="77777777" w:rsidR="0018728E" w:rsidRPr="001C3F2D"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C3F2D">
        <w:rPr>
          <w:snapToGrid w:val="0"/>
          <w:kern w:val="22"/>
          <w:szCs w:val="22"/>
        </w:rPr>
        <w:t>1.</w:t>
      </w:r>
      <w:r w:rsidRPr="001C3F2D">
        <w:rPr>
          <w:snapToGrid w:val="0"/>
          <w:kern w:val="22"/>
          <w:szCs w:val="22"/>
        </w:rPr>
        <w:tab/>
      </w:r>
      <w:r w:rsidRPr="0025326D">
        <w:rPr>
          <w:i/>
          <w:iCs/>
          <w:snapToGrid w:val="0"/>
          <w:kern w:val="22"/>
          <w:szCs w:val="22"/>
        </w:rPr>
        <w:t>Expresses its appreciation</w:t>
      </w:r>
      <w:r w:rsidRPr="001C3F2D">
        <w:rPr>
          <w:snapToGrid w:val="0"/>
          <w:kern w:val="22"/>
          <w:szCs w:val="22"/>
        </w:rPr>
        <w:t xml:space="preserve"> to the Government of Germany for providing financial support to the work of the Panel of Experts on resource mobilization, and for hosting the Thematic Workshop on Resource Mobilization for the Post-2020 Global Biodiversity Framework, which was held in Berlin</w:t>
      </w:r>
      <w:r>
        <w:rPr>
          <w:snapToGrid w:val="0"/>
          <w:kern w:val="22"/>
          <w:szCs w:val="22"/>
        </w:rPr>
        <w:t>,</w:t>
      </w:r>
      <w:r w:rsidRPr="001C3F2D">
        <w:rPr>
          <w:snapToGrid w:val="0"/>
          <w:kern w:val="22"/>
          <w:szCs w:val="22"/>
        </w:rPr>
        <w:t xml:space="preserve"> from 14 to 16 January 2020;</w:t>
      </w:r>
      <w:r>
        <w:rPr>
          <w:snapToGrid w:val="0"/>
          <w:kern w:val="22"/>
          <w:szCs w:val="22"/>
        </w:rPr>
        <w:t xml:space="preserve"> </w:t>
      </w:r>
    </w:p>
    <w:p w14:paraId="3D09EB95" w14:textId="77777777" w:rsidR="0018728E" w:rsidRPr="001C3F2D"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C3F2D">
        <w:rPr>
          <w:snapToGrid w:val="0"/>
          <w:kern w:val="22"/>
          <w:szCs w:val="22"/>
        </w:rPr>
        <w:t>2.</w:t>
      </w:r>
      <w:r w:rsidRPr="001C3F2D">
        <w:rPr>
          <w:snapToGrid w:val="0"/>
          <w:kern w:val="22"/>
          <w:szCs w:val="22"/>
        </w:rPr>
        <w:tab/>
      </w:r>
      <w:r>
        <w:rPr>
          <w:i/>
          <w:iCs/>
          <w:snapToGrid w:val="0"/>
          <w:kern w:val="22"/>
          <w:szCs w:val="22"/>
        </w:rPr>
        <w:t>Welcomes</w:t>
      </w:r>
      <w:r w:rsidRPr="00B457A6">
        <w:rPr>
          <w:snapToGrid w:val="0"/>
          <w:kern w:val="22"/>
          <w:szCs w:val="22"/>
        </w:rPr>
        <w:t xml:space="preserve"> </w:t>
      </w:r>
      <w:r w:rsidRPr="00065CF8">
        <w:rPr>
          <w:snapToGrid w:val="0"/>
          <w:kern w:val="22"/>
          <w:szCs w:val="22"/>
        </w:rPr>
        <w:t>the final report of the Panel of Experts, which</w:t>
      </w:r>
      <w:r w:rsidRPr="00B457A6">
        <w:rPr>
          <w:snapToGrid w:val="0"/>
          <w:kern w:val="22"/>
          <w:szCs w:val="22"/>
        </w:rPr>
        <w:t xml:space="preserve"> provides an assessment of the resources from all sources needed for the implementation of the post-2020 global biodiversity framework,</w:t>
      </w:r>
      <w:r>
        <w:rPr>
          <w:snapToGrid w:val="0"/>
          <w:kern w:val="22"/>
          <w:szCs w:val="22"/>
        </w:rPr>
        <w:t xml:space="preserve"> </w:t>
      </w:r>
      <w:r>
        <w:rPr>
          <w:snapToGrid w:val="0"/>
          <w:kern w:val="22"/>
          <w:szCs w:val="22"/>
        </w:rPr>
        <w:lastRenderedPageBreak/>
        <w:t>and takes note of</w:t>
      </w:r>
      <w:r w:rsidRPr="00B457A6">
        <w:rPr>
          <w:snapToGrid w:val="0"/>
          <w:kern w:val="22"/>
          <w:szCs w:val="22"/>
        </w:rPr>
        <w:t xml:space="preserve"> the other reports of the Panel of Experts, considered by the Subsidiary Body on Implementation at its third meeting;</w:t>
      </w:r>
      <w:r w:rsidRPr="00610646">
        <w:rPr>
          <w:rStyle w:val="FootnoteReference"/>
        </w:rPr>
        <w:footnoteReference w:id="55"/>
      </w:r>
      <w:r>
        <w:rPr>
          <w:snapToGrid w:val="0"/>
          <w:kern w:val="22"/>
          <w:szCs w:val="22"/>
        </w:rPr>
        <w:t xml:space="preserve"> </w:t>
      </w:r>
    </w:p>
    <w:p w14:paraId="409F9450" w14:textId="77777777" w:rsidR="0018728E" w:rsidRPr="001C3F2D"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C3F2D">
        <w:rPr>
          <w:snapToGrid w:val="0"/>
          <w:kern w:val="22"/>
          <w:szCs w:val="22"/>
        </w:rPr>
        <w:t>3.</w:t>
      </w:r>
      <w:r w:rsidRPr="001C3F2D">
        <w:rPr>
          <w:snapToGrid w:val="0"/>
          <w:kern w:val="22"/>
          <w:szCs w:val="22"/>
        </w:rPr>
        <w:tab/>
      </w:r>
      <w:r>
        <w:rPr>
          <w:i/>
          <w:iCs/>
          <w:snapToGrid w:val="0"/>
          <w:kern w:val="22"/>
          <w:szCs w:val="22"/>
        </w:rPr>
        <w:t>N</w:t>
      </w:r>
      <w:r w:rsidRPr="00F14647">
        <w:rPr>
          <w:i/>
          <w:iCs/>
          <w:snapToGrid w:val="0"/>
          <w:kern w:val="22"/>
          <w:szCs w:val="22"/>
        </w:rPr>
        <w:t>ote</w:t>
      </w:r>
      <w:r w:rsidRPr="00F14647">
        <w:rPr>
          <w:snapToGrid w:val="0"/>
          <w:kern w:val="22"/>
          <w:szCs w:val="22"/>
        </w:rPr>
        <w:t>s</w:t>
      </w:r>
      <w:r>
        <w:rPr>
          <w:snapToGrid w:val="0"/>
          <w:kern w:val="22"/>
          <w:szCs w:val="22"/>
        </w:rPr>
        <w:t xml:space="preserve"> </w:t>
      </w:r>
      <w:r w:rsidRPr="001C3F2D">
        <w:rPr>
          <w:snapToGrid w:val="0"/>
          <w:kern w:val="22"/>
          <w:szCs w:val="22"/>
        </w:rPr>
        <w:t xml:space="preserve">the final analysis of financial reporting frameworks received by Parties, prepared by the Executive Secretary; </w:t>
      </w:r>
    </w:p>
    <w:p w14:paraId="45098B17" w14:textId="77777777" w:rsidR="0018728E"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C3F2D">
        <w:rPr>
          <w:snapToGrid w:val="0"/>
          <w:kern w:val="22"/>
          <w:szCs w:val="22"/>
        </w:rPr>
        <w:t>4.</w:t>
      </w:r>
      <w:r w:rsidRPr="001C3F2D">
        <w:rPr>
          <w:snapToGrid w:val="0"/>
          <w:kern w:val="22"/>
          <w:szCs w:val="22"/>
        </w:rPr>
        <w:tab/>
      </w:r>
      <w:r>
        <w:rPr>
          <w:i/>
          <w:iCs/>
          <w:snapToGrid w:val="0"/>
          <w:kern w:val="22"/>
          <w:szCs w:val="22"/>
        </w:rPr>
        <w:t>Also n</w:t>
      </w:r>
      <w:r w:rsidRPr="001820FF">
        <w:rPr>
          <w:i/>
          <w:iCs/>
          <w:snapToGrid w:val="0"/>
          <w:kern w:val="22"/>
          <w:szCs w:val="22"/>
        </w:rPr>
        <w:t xml:space="preserve">otes </w:t>
      </w:r>
      <w:r w:rsidRPr="00F14647">
        <w:rPr>
          <w:snapToGrid w:val="0"/>
          <w:kern w:val="22"/>
          <w:szCs w:val="22"/>
        </w:rPr>
        <w:t>the progress made</w:t>
      </w:r>
      <w:r>
        <w:rPr>
          <w:snapToGrid w:val="0"/>
          <w:kern w:val="22"/>
          <w:szCs w:val="22"/>
        </w:rPr>
        <w:t xml:space="preserve"> by Parties, </w:t>
      </w:r>
      <w:r w:rsidRPr="001C3F2D">
        <w:rPr>
          <w:snapToGrid w:val="0"/>
          <w:kern w:val="22"/>
          <w:szCs w:val="22"/>
        </w:rPr>
        <w:t>in implementing the strategy for resource mobilization and the targets for resource mobilization adopted under Aichi Biodiversity Target 20;</w:t>
      </w:r>
      <w:r>
        <w:rPr>
          <w:snapToGrid w:val="0"/>
          <w:kern w:val="22"/>
          <w:szCs w:val="22"/>
        </w:rPr>
        <w:t xml:space="preserve"> </w:t>
      </w:r>
    </w:p>
    <w:p w14:paraId="1A29DCE1" w14:textId="77777777" w:rsidR="0018728E"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5.</w:t>
      </w:r>
      <w:r>
        <w:rPr>
          <w:snapToGrid w:val="0"/>
          <w:kern w:val="22"/>
          <w:szCs w:val="22"/>
        </w:rPr>
        <w:tab/>
      </w:r>
      <w:r w:rsidRPr="00451F41">
        <w:rPr>
          <w:i/>
          <w:iCs/>
          <w:snapToGrid w:val="0"/>
          <w:kern w:val="22"/>
          <w:szCs w:val="22"/>
        </w:rPr>
        <w:t>Welcomes</w:t>
      </w:r>
      <w:r>
        <w:rPr>
          <w:snapToGrid w:val="0"/>
          <w:kern w:val="22"/>
          <w:szCs w:val="22"/>
        </w:rPr>
        <w:t xml:space="preserve"> the fact that the commitment of doubling total biodiversity-related international financial resource flows to developing countries by 2015 was achieved;</w:t>
      </w:r>
      <w:r w:rsidRPr="00610646">
        <w:rPr>
          <w:rStyle w:val="FootnoteReference"/>
        </w:rPr>
        <w:footnoteReference w:id="56"/>
      </w:r>
    </w:p>
    <w:p w14:paraId="530B7050" w14:textId="77777777" w:rsidR="0018728E"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6</w:t>
      </w:r>
      <w:r w:rsidRPr="00D35CC6">
        <w:rPr>
          <w:snapToGrid w:val="0"/>
          <w:kern w:val="22"/>
          <w:szCs w:val="22"/>
        </w:rPr>
        <w:t>.</w:t>
      </w:r>
      <w:r>
        <w:rPr>
          <w:i/>
          <w:iCs/>
          <w:snapToGrid w:val="0"/>
          <w:kern w:val="22"/>
          <w:szCs w:val="22"/>
        </w:rPr>
        <w:tab/>
      </w:r>
      <w:r w:rsidRPr="00D9362A">
        <w:rPr>
          <w:i/>
          <w:iCs/>
          <w:snapToGrid w:val="0"/>
          <w:kern w:val="22"/>
          <w:szCs w:val="22"/>
        </w:rPr>
        <w:t>Acknowledge</w:t>
      </w:r>
      <w:r>
        <w:rPr>
          <w:i/>
          <w:iCs/>
          <w:snapToGrid w:val="0"/>
          <w:kern w:val="22"/>
          <w:szCs w:val="22"/>
        </w:rPr>
        <w:t>s</w:t>
      </w:r>
      <w:r w:rsidRPr="00D9362A">
        <w:rPr>
          <w:i/>
          <w:iCs/>
          <w:snapToGrid w:val="0"/>
          <w:kern w:val="22"/>
          <w:szCs w:val="22"/>
        </w:rPr>
        <w:t xml:space="preserve"> </w:t>
      </w:r>
      <w:r w:rsidRPr="00E23C93">
        <w:rPr>
          <w:snapToGrid w:val="0"/>
          <w:kern w:val="22"/>
          <w:szCs w:val="22"/>
        </w:rPr>
        <w:t xml:space="preserve">the </w:t>
      </w:r>
      <w:r w:rsidRPr="00136B5A">
        <w:rPr>
          <w:snapToGrid w:val="0"/>
          <w:kern w:val="22"/>
          <w:szCs w:val="22"/>
        </w:rPr>
        <w:t xml:space="preserve">pledges made to finance the implementation of </w:t>
      </w:r>
      <w:r w:rsidRPr="00D517E2">
        <w:rPr>
          <w:snapToGrid w:val="0"/>
          <w:kern w:val="22"/>
          <w:szCs w:val="22"/>
        </w:rPr>
        <w:t>the Kunming-Montreal Global Biodiversity Framework, recognizes that further efforts are needed, and encourages developed</w:t>
      </w:r>
      <w:r>
        <w:rPr>
          <w:snapToGrid w:val="0"/>
          <w:kern w:val="22"/>
          <w:szCs w:val="22"/>
        </w:rPr>
        <w:t xml:space="preserve"> country Parties, other donors, and financial institutions to facilitate efficient access to these resources through multilateral and bilateral channels;</w:t>
      </w:r>
    </w:p>
    <w:p w14:paraId="78E09F53" w14:textId="77777777" w:rsidR="0018728E" w:rsidRPr="00451F41"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7.</w:t>
      </w:r>
      <w:r>
        <w:rPr>
          <w:snapToGrid w:val="0"/>
          <w:kern w:val="22"/>
          <w:szCs w:val="22"/>
        </w:rPr>
        <w:tab/>
      </w:r>
      <w:r w:rsidRPr="00451F41">
        <w:rPr>
          <w:i/>
          <w:iCs/>
          <w:snapToGrid w:val="0"/>
          <w:kern w:val="22"/>
          <w:szCs w:val="22"/>
        </w:rPr>
        <w:t>Welcomes</w:t>
      </w:r>
      <w:r w:rsidRPr="00136B5A">
        <w:rPr>
          <w:snapToGrid w:val="0"/>
          <w:kern w:val="22"/>
          <w:szCs w:val="22"/>
        </w:rPr>
        <w:t xml:space="preserve"> new initiatives including, but not limited to, the NBSAP Accelerator Partnership, the High-Ambition Coalition for Nature and People 2.0, the Legacy Landscapes Fund,</w:t>
      </w:r>
      <w:r>
        <w:rPr>
          <w:snapToGrid w:val="0"/>
          <w:kern w:val="22"/>
          <w:szCs w:val="22"/>
        </w:rPr>
        <w:t xml:space="preserve"> the Kunming Biodiversity Fund, the Japan Biodiversity Fund,</w:t>
      </w:r>
      <w:r w:rsidRPr="00136B5A">
        <w:rPr>
          <w:snapToGrid w:val="0"/>
          <w:kern w:val="22"/>
          <w:szCs w:val="22"/>
        </w:rPr>
        <w:t xml:space="preserve"> and other instruments, and encourages public and private donors </w:t>
      </w:r>
      <w:r w:rsidRPr="00C833A2">
        <w:rPr>
          <w:snapToGrid w:val="0"/>
          <w:kern w:val="22"/>
          <w:szCs w:val="22"/>
        </w:rPr>
        <w:t>to contribute to them and all Parties to make use of these instruments;</w:t>
      </w:r>
      <w:r w:rsidRPr="00C833A2">
        <w:rPr>
          <w:i/>
          <w:iCs/>
          <w:snapToGrid w:val="0"/>
          <w:kern w:val="22"/>
          <w:szCs w:val="22"/>
        </w:rPr>
        <w:t xml:space="preserve"> </w:t>
      </w:r>
    </w:p>
    <w:p w14:paraId="5C4D336E" w14:textId="77777777" w:rsidR="0018728E" w:rsidRPr="00136B5A"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8.</w:t>
      </w:r>
      <w:r>
        <w:rPr>
          <w:snapToGrid w:val="0"/>
          <w:kern w:val="22"/>
          <w:szCs w:val="22"/>
        </w:rPr>
        <w:tab/>
      </w:r>
      <w:r w:rsidRPr="00451F41">
        <w:rPr>
          <w:i/>
          <w:iCs/>
          <w:snapToGrid w:val="0"/>
          <w:kern w:val="22"/>
          <w:szCs w:val="22"/>
        </w:rPr>
        <w:t>Invites</w:t>
      </w:r>
      <w:r>
        <w:rPr>
          <w:snapToGrid w:val="0"/>
          <w:kern w:val="22"/>
          <w:szCs w:val="22"/>
        </w:rPr>
        <w:t xml:space="preserve"> the Secretary General of the United Nations, building on the reforms of the United Nations </w:t>
      </w:r>
      <w:r w:rsidRPr="00E24C31">
        <w:rPr>
          <w:snapToGrid w:val="0"/>
          <w:kern w:val="22"/>
          <w:szCs w:val="22"/>
        </w:rPr>
        <w:t>S</w:t>
      </w:r>
      <w:r>
        <w:rPr>
          <w:snapToGrid w:val="0"/>
          <w:kern w:val="22"/>
          <w:szCs w:val="22"/>
        </w:rPr>
        <w:t xml:space="preserve">ystem, to further strengthen the United Nations development system, and the funds and programmes, to further strengthen the United Nations </w:t>
      </w:r>
      <w:r w:rsidRPr="00E24C31">
        <w:rPr>
          <w:snapToGrid w:val="0"/>
          <w:kern w:val="22"/>
          <w:szCs w:val="22"/>
        </w:rPr>
        <w:t>country team to support</w:t>
      </w:r>
      <w:r>
        <w:rPr>
          <w:snapToGrid w:val="0"/>
          <w:kern w:val="22"/>
          <w:szCs w:val="22"/>
        </w:rPr>
        <w:t xml:space="preserve"> countries in integrating priorities identified in national biodiversity strategies and action plans and other national biodiversity planning instruments into United Nations sustainable development cooperation frameworks; </w:t>
      </w:r>
    </w:p>
    <w:p w14:paraId="18BADB9B" w14:textId="77777777" w:rsidR="0018728E" w:rsidRPr="00E606B5"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9</w:t>
      </w:r>
      <w:r w:rsidRPr="00A55D13">
        <w:rPr>
          <w:snapToGrid w:val="0"/>
          <w:kern w:val="22"/>
          <w:szCs w:val="22"/>
        </w:rPr>
        <w:t>.</w:t>
      </w:r>
      <w:r>
        <w:rPr>
          <w:i/>
          <w:iCs/>
          <w:snapToGrid w:val="0"/>
          <w:kern w:val="22"/>
          <w:szCs w:val="22"/>
        </w:rPr>
        <w:tab/>
        <w:t>Recognizes</w:t>
      </w:r>
      <w:r w:rsidRPr="00E606B5">
        <w:rPr>
          <w:snapToGrid w:val="0"/>
          <w:kern w:val="22"/>
          <w:szCs w:val="22"/>
        </w:rPr>
        <w:t xml:space="preserve"> efforts by other relevant instruments</w:t>
      </w:r>
      <w:r>
        <w:rPr>
          <w:snapToGrid w:val="0"/>
          <w:kern w:val="22"/>
          <w:szCs w:val="22"/>
        </w:rPr>
        <w:t xml:space="preserve"> and institutions</w:t>
      </w:r>
      <w:r w:rsidRPr="00E606B5">
        <w:rPr>
          <w:snapToGrid w:val="0"/>
          <w:kern w:val="22"/>
          <w:szCs w:val="22"/>
        </w:rPr>
        <w:t xml:space="preserve"> to integrate biodiversity in their financing and programming decisions and further encourages them to align their financing with the goals and targets of the </w:t>
      </w:r>
      <w:r>
        <w:rPr>
          <w:snapToGrid w:val="0"/>
          <w:kern w:val="22"/>
          <w:szCs w:val="22"/>
        </w:rPr>
        <w:t xml:space="preserve">Kunming-Montreal </w:t>
      </w:r>
      <w:r>
        <w:rPr>
          <w:snapToGrid w:val="0"/>
          <w:kern w:val="22"/>
          <w:szCs w:val="22"/>
          <w:lang w:val="en-US"/>
        </w:rPr>
        <w:t>Global Biodiversity Framework</w:t>
      </w:r>
      <w:r>
        <w:rPr>
          <w:snapToGrid w:val="0"/>
          <w:kern w:val="22"/>
          <w:szCs w:val="22"/>
        </w:rPr>
        <w:t>;</w:t>
      </w:r>
    </w:p>
    <w:p w14:paraId="53877836" w14:textId="77777777" w:rsidR="0018728E"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10</w:t>
      </w:r>
      <w:r w:rsidRPr="001C3F2D">
        <w:rPr>
          <w:snapToGrid w:val="0"/>
          <w:kern w:val="22"/>
          <w:szCs w:val="22"/>
        </w:rPr>
        <w:t>.</w:t>
      </w:r>
      <w:r w:rsidRPr="001C3F2D">
        <w:rPr>
          <w:snapToGrid w:val="0"/>
          <w:kern w:val="22"/>
          <w:szCs w:val="22"/>
        </w:rPr>
        <w:tab/>
      </w:r>
      <w:r w:rsidRPr="00C64542">
        <w:rPr>
          <w:i/>
          <w:iCs/>
          <w:snapToGrid w:val="0"/>
          <w:kern w:val="22"/>
          <w:szCs w:val="22"/>
        </w:rPr>
        <w:t>Also recognizes</w:t>
      </w:r>
      <w:r w:rsidRPr="001C3F2D">
        <w:rPr>
          <w:snapToGrid w:val="0"/>
          <w:kern w:val="22"/>
          <w:szCs w:val="22"/>
        </w:rPr>
        <w:t xml:space="preserve"> the ongoing need of developing countries for other means of implementation, including technical and financial support and capacity-building, </w:t>
      </w:r>
      <w:r w:rsidRPr="00F613B2">
        <w:rPr>
          <w:snapToGrid w:val="0"/>
          <w:kern w:val="22"/>
          <w:szCs w:val="22"/>
        </w:rPr>
        <w:t xml:space="preserve">including </w:t>
      </w:r>
      <w:r w:rsidRPr="008F6FFF">
        <w:rPr>
          <w:snapToGrid w:val="0"/>
          <w:kern w:val="22"/>
          <w:szCs w:val="22"/>
        </w:rPr>
        <w:t xml:space="preserve">the need </w:t>
      </w:r>
      <w:r w:rsidRPr="00F613B2">
        <w:rPr>
          <w:snapToGrid w:val="0"/>
          <w:kern w:val="22"/>
          <w:szCs w:val="22"/>
        </w:rPr>
        <w:t>to undertake</w:t>
      </w:r>
      <w:r w:rsidRPr="001C3F2D">
        <w:rPr>
          <w:snapToGrid w:val="0"/>
          <w:kern w:val="22"/>
          <w:szCs w:val="22"/>
        </w:rPr>
        <w:t xml:space="preserve"> domestic action to mobilize resources and monitor and report thereon;</w:t>
      </w:r>
      <w:r>
        <w:rPr>
          <w:snapToGrid w:val="0"/>
          <w:kern w:val="22"/>
          <w:szCs w:val="22"/>
        </w:rPr>
        <w:t xml:space="preserve"> </w:t>
      </w:r>
    </w:p>
    <w:p w14:paraId="0F1BA495" w14:textId="77777777" w:rsidR="0018728E" w:rsidRPr="00E20157" w:rsidRDefault="0018728E" w:rsidP="008F6FFF">
      <w:pPr>
        <w:keepNext/>
        <w:suppressLineNumbers/>
        <w:suppressAutoHyphens/>
        <w:kinsoku w:val="0"/>
        <w:overflowPunct w:val="0"/>
        <w:autoSpaceDE w:val="0"/>
        <w:autoSpaceDN w:val="0"/>
        <w:adjustRightInd w:val="0"/>
        <w:snapToGrid w:val="0"/>
        <w:spacing w:before="120" w:after="120"/>
        <w:rPr>
          <w:b/>
          <w:bCs/>
          <w:snapToGrid w:val="0"/>
          <w:kern w:val="22"/>
          <w:szCs w:val="22"/>
        </w:rPr>
      </w:pPr>
      <w:r w:rsidRPr="004B1B7F">
        <w:rPr>
          <w:b/>
          <w:bCs/>
          <w:snapToGrid w:val="0"/>
          <w:kern w:val="22"/>
          <w:szCs w:val="22"/>
        </w:rPr>
        <w:t xml:space="preserve">Strategy for </w:t>
      </w:r>
      <w:r w:rsidRPr="00E20157">
        <w:rPr>
          <w:b/>
          <w:bCs/>
          <w:snapToGrid w:val="0"/>
          <w:kern w:val="22"/>
          <w:szCs w:val="22"/>
        </w:rPr>
        <w:t xml:space="preserve">resource mobilization </w:t>
      </w:r>
    </w:p>
    <w:p w14:paraId="3285B05C" w14:textId="77777777" w:rsidR="0018728E" w:rsidRDefault="0018728E" w:rsidP="00A3490B">
      <w:pPr>
        <w:suppressLineNumbers/>
        <w:suppressAutoHyphens/>
        <w:kinsoku w:val="0"/>
        <w:overflowPunct w:val="0"/>
        <w:autoSpaceDE w:val="0"/>
        <w:autoSpaceDN w:val="0"/>
        <w:adjustRightInd w:val="0"/>
        <w:snapToGrid w:val="0"/>
        <w:spacing w:before="120" w:after="120"/>
        <w:ind w:firstLine="720"/>
        <w:rPr>
          <w:rFonts w:eastAsia="DengXian"/>
          <w:snapToGrid w:val="0"/>
          <w:kern w:val="22"/>
          <w:szCs w:val="22"/>
          <w:lang w:eastAsia="zh-CN"/>
        </w:rPr>
      </w:pPr>
      <w:r w:rsidRPr="00E20157">
        <w:rPr>
          <w:snapToGrid w:val="0"/>
          <w:kern w:val="22"/>
          <w:szCs w:val="22"/>
        </w:rPr>
        <w:t>11.</w:t>
      </w:r>
      <w:r w:rsidRPr="00E20157">
        <w:rPr>
          <w:i/>
          <w:snapToGrid w:val="0"/>
          <w:kern w:val="22"/>
          <w:szCs w:val="22"/>
        </w:rPr>
        <w:tab/>
        <w:t>Adopts</w:t>
      </w:r>
      <w:bookmarkStart w:id="56" w:name="_Hlk37148547"/>
      <w:r w:rsidRPr="00E20157">
        <w:rPr>
          <w:i/>
          <w:snapToGrid w:val="0"/>
          <w:kern w:val="22"/>
          <w:szCs w:val="22"/>
        </w:rPr>
        <w:t xml:space="preserve"> </w:t>
      </w:r>
      <w:r w:rsidRPr="00E20157">
        <w:rPr>
          <w:snapToGrid w:val="0"/>
          <w:kern w:val="22"/>
          <w:szCs w:val="22"/>
        </w:rPr>
        <w:t xml:space="preserve">the </w:t>
      </w:r>
      <w:bookmarkStart w:id="57" w:name="_Hlk37148875"/>
      <w:r w:rsidRPr="00E20157">
        <w:rPr>
          <w:snapToGrid w:val="0"/>
          <w:kern w:val="22"/>
          <w:szCs w:val="22"/>
        </w:rPr>
        <w:t>strategy for resource mobilization</w:t>
      </w:r>
      <w:bookmarkEnd w:id="56"/>
      <w:bookmarkEnd w:id="57"/>
      <w:r w:rsidRPr="00E20157">
        <w:rPr>
          <w:snapToGrid w:val="0"/>
          <w:kern w:val="22"/>
          <w:szCs w:val="22"/>
        </w:rPr>
        <w:t xml:space="preserve"> for the Kunming-Montreal Global Biodiversity Framework contained in annex I to the present decision, as guidance to facilitate the immediate mobilization of resources, taking</w:t>
      </w:r>
      <w:r w:rsidRPr="00F14647">
        <w:rPr>
          <w:snapToGrid w:val="0"/>
          <w:kern w:val="22"/>
          <w:szCs w:val="22"/>
        </w:rPr>
        <w:t xml:space="preserve"> int</w:t>
      </w:r>
      <w:r w:rsidRPr="00A55D13">
        <w:rPr>
          <w:snapToGrid w:val="0"/>
          <w:kern w:val="22"/>
          <w:szCs w:val="22"/>
        </w:rPr>
        <w:t>o account national circumstances</w:t>
      </w:r>
      <w:r w:rsidRPr="00A55D13">
        <w:rPr>
          <w:rFonts w:eastAsia="DengXian"/>
          <w:snapToGrid w:val="0"/>
          <w:kern w:val="22"/>
          <w:szCs w:val="22"/>
          <w:lang w:eastAsia="zh-CN"/>
        </w:rPr>
        <w:t xml:space="preserve">; </w:t>
      </w:r>
    </w:p>
    <w:p w14:paraId="4DCB9728" w14:textId="77777777" w:rsidR="0018728E" w:rsidRPr="00A55D13" w:rsidRDefault="0018728E" w:rsidP="00A3490B">
      <w:pPr>
        <w:suppressLineNumbers/>
        <w:suppressAutoHyphens/>
        <w:kinsoku w:val="0"/>
        <w:overflowPunct w:val="0"/>
        <w:autoSpaceDE w:val="0"/>
        <w:autoSpaceDN w:val="0"/>
        <w:adjustRightInd w:val="0"/>
        <w:snapToGrid w:val="0"/>
        <w:spacing w:before="120" w:after="120"/>
        <w:ind w:firstLine="720"/>
        <w:rPr>
          <w:rFonts w:eastAsia="DengXian"/>
          <w:snapToGrid w:val="0"/>
          <w:kern w:val="22"/>
          <w:szCs w:val="22"/>
          <w:lang w:eastAsia="zh-CN"/>
        </w:rPr>
      </w:pPr>
      <w:r>
        <w:rPr>
          <w:rFonts w:eastAsia="DengXian"/>
          <w:snapToGrid w:val="0"/>
          <w:kern w:val="22"/>
          <w:szCs w:val="22"/>
          <w:lang w:eastAsia="zh-CN"/>
        </w:rPr>
        <w:t>12.</w:t>
      </w:r>
      <w:r>
        <w:rPr>
          <w:rFonts w:eastAsia="DengXian"/>
          <w:snapToGrid w:val="0"/>
          <w:kern w:val="22"/>
          <w:szCs w:val="22"/>
          <w:lang w:eastAsia="zh-CN"/>
        </w:rPr>
        <w:tab/>
      </w:r>
      <w:r w:rsidRPr="00451F41">
        <w:rPr>
          <w:rFonts w:eastAsia="DengXian"/>
          <w:i/>
          <w:iCs/>
          <w:snapToGrid w:val="0"/>
          <w:kern w:val="22"/>
          <w:szCs w:val="22"/>
          <w:lang w:eastAsia="zh-CN"/>
        </w:rPr>
        <w:t>Recognizes</w:t>
      </w:r>
      <w:r>
        <w:rPr>
          <w:rFonts w:eastAsia="DengXian"/>
          <w:snapToGrid w:val="0"/>
          <w:kern w:val="22"/>
          <w:szCs w:val="22"/>
          <w:lang w:eastAsia="zh-CN"/>
        </w:rPr>
        <w:t xml:space="preserve"> that the overall strategy for resource mobilization contains an intermediate phase (2023–2024), and a medium-term phase (2025–2030);</w:t>
      </w:r>
    </w:p>
    <w:p w14:paraId="1672BC4A" w14:textId="77777777" w:rsidR="0018728E" w:rsidRPr="00A55D13"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13</w:t>
      </w:r>
      <w:r w:rsidRPr="00A55D13">
        <w:rPr>
          <w:snapToGrid w:val="0"/>
          <w:kern w:val="22"/>
          <w:szCs w:val="22"/>
        </w:rPr>
        <w:t>.</w:t>
      </w:r>
      <w:r w:rsidRPr="00A55D13">
        <w:rPr>
          <w:i/>
          <w:snapToGrid w:val="0"/>
          <w:kern w:val="22"/>
          <w:szCs w:val="22"/>
        </w:rPr>
        <w:tab/>
        <w:t>Encourages</w:t>
      </w:r>
      <w:r w:rsidRPr="00A55D13">
        <w:rPr>
          <w:snapToGrid w:val="0"/>
          <w:kern w:val="22"/>
          <w:szCs w:val="22"/>
        </w:rPr>
        <w:t xml:space="preserve"> Parties and invites other Governments, organizations, the private sector and other major stakeholder groups to take the </w:t>
      </w:r>
      <w:bookmarkStart w:id="58" w:name="_Hlk121213301"/>
      <w:r w:rsidRPr="00A55D13">
        <w:rPr>
          <w:snapToGrid w:val="0"/>
          <w:kern w:val="22"/>
          <w:szCs w:val="22"/>
        </w:rPr>
        <w:t>strategy for resource mobilization</w:t>
      </w:r>
      <w:r>
        <w:rPr>
          <w:snapToGrid w:val="0"/>
          <w:kern w:val="22"/>
          <w:szCs w:val="22"/>
        </w:rPr>
        <w:t xml:space="preserve"> </w:t>
      </w:r>
      <w:bookmarkEnd w:id="58"/>
      <w:r w:rsidRPr="00A55D13">
        <w:rPr>
          <w:snapToGrid w:val="0"/>
          <w:kern w:val="22"/>
          <w:szCs w:val="22"/>
        </w:rPr>
        <w:t xml:space="preserve">into consideration as a flexible framework guiding implementation of the targets of the </w:t>
      </w:r>
      <w:r>
        <w:rPr>
          <w:snapToGrid w:val="0"/>
          <w:kern w:val="22"/>
          <w:szCs w:val="22"/>
          <w:lang w:val="en-CA"/>
        </w:rPr>
        <w:t>Kunming-Montreal</w:t>
      </w:r>
      <w:r w:rsidRPr="004357C7">
        <w:rPr>
          <w:snapToGrid w:val="0"/>
          <w:kern w:val="22"/>
          <w:szCs w:val="22"/>
          <w:lang w:val="en-CA"/>
        </w:rPr>
        <w:t xml:space="preserve"> </w:t>
      </w:r>
      <w:r>
        <w:rPr>
          <w:bCs/>
          <w:snapToGrid w:val="0"/>
          <w:szCs w:val="22"/>
          <w:lang w:val="en-US"/>
        </w:rPr>
        <w:t>Global Biodiversity Framework related to resource mobilization</w:t>
      </w:r>
      <w:r w:rsidRPr="00A55D13">
        <w:rPr>
          <w:rFonts w:eastAsia="DengXian"/>
          <w:snapToGrid w:val="0"/>
          <w:kern w:val="22"/>
          <w:szCs w:val="22"/>
          <w:lang w:eastAsia="zh-CN"/>
        </w:rPr>
        <w:t>, in accordance with national circumstances</w:t>
      </w:r>
      <w:r w:rsidRPr="00A55D13">
        <w:rPr>
          <w:snapToGrid w:val="0"/>
          <w:kern w:val="22"/>
          <w:szCs w:val="22"/>
        </w:rPr>
        <w:t>;</w:t>
      </w:r>
      <w:r>
        <w:rPr>
          <w:snapToGrid w:val="0"/>
          <w:kern w:val="22"/>
          <w:szCs w:val="22"/>
        </w:rPr>
        <w:t xml:space="preserve"> </w:t>
      </w:r>
    </w:p>
    <w:p w14:paraId="4AAE25CB" w14:textId="77777777" w:rsidR="0018728E"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A55D13">
        <w:rPr>
          <w:snapToGrid w:val="0"/>
          <w:kern w:val="22"/>
          <w:szCs w:val="22"/>
        </w:rPr>
        <w:t>1</w:t>
      </w:r>
      <w:r>
        <w:rPr>
          <w:snapToGrid w:val="0"/>
          <w:kern w:val="22"/>
          <w:szCs w:val="22"/>
        </w:rPr>
        <w:t>4</w:t>
      </w:r>
      <w:r w:rsidRPr="00A55D13">
        <w:rPr>
          <w:snapToGrid w:val="0"/>
          <w:kern w:val="22"/>
          <w:szCs w:val="22"/>
        </w:rPr>
        <w:t>.</w:t>
      </w:r>
      <w:r w:rsidRPr="00A55D13">
        <w:rPr>
          <w:snapToGrid w:val="0"/>
          <w:kern w:val="22"/>
          <w:szCs w:val="22"/>
        </w:rPr>
        <w:tab/>
      </w:r>
      <w:bookmarkStart w:id="59" w:name="_Hlk37148960"/>
      <w:r w:rsidRPr="00A55D13">
        <w:rPr>
          <w:i/>
          <w:snapToGrid w:val="0"/>
          <w:kern w:val="22"/>
          <w:szCs w:val="22"/>
        </w:rPr>
        <w:t xml:space="preserve">Invites </w:t>
      </w:r>
      <w:r w:rsidRPr="00A55D13">
        <w:rPr>
          <w:snapToGrid w:val="0"/>
          <w:kern w:val="22"/>
          <w:szCs w:val="22"/>
        </w:rPr>
        <w:t xml:space="preserve">relevant international organizations and initiatives as well as multi-stakeholder partnerships to support </w:t>
      </w:r>
      <w:bookmarkEnd w:id="59"/>
      <w:r w:rsidRPr="00A55D13">
        <w:rPr>
          <w:snapToGrid w:val="0"/>
          <w:kern w:val="22"/>
          <w:szCs w:val="22"/>
        </w:rPr>
        <w:t>the implementation of the strategy for resource mobilization;</w:t>
      </w:r>
    </w:p>
    <w:p w14:paraId="15ECBE75" w14:textId="77777777" w:rsidR="0018728E" w:rsidRDefault="0018728E" w:rsidP="00A3490B">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Pr>
          <w:iCs/>
          <w:snapToGrid w:val="0"/>
          <w:kern w:val="22"/>
          <w:szCs w:val="22"/>
        </w:rPr>
        <w:t>15</w:t>
      </w:r>
      <w:r w:rsidRPr="0094372C">
        <w:rPr>
          <w:iCs/>
          <w:snapToGrid w:val="0"/>
          <w:kern w:val="22"/>
          <w:szCs w:val="22"/>
        </w:rPr>
        <w:t xml:space="preserve">. </w:t>
      </w:r>
      <w:r w:rsidRPr="0094372C">
        <w:rPr>
          <w:iCs/>
          <w:snapToGrid w:val="0"/>
          <w:kern w:val="22"/>
          <w:szCs w:val="22"/>
        </w:rPr>
        <w:tab/>
      </w:r>
      <w:r w:rsidRPr="000B4470">
        <w:rPr>
          <w:i/>
          <w:snapToGrid w:val="0"/>
          <w:kern w:val="22"/>
          <w:szCs w:val="22"/>
        </w:rPr>
        <w:t>Calls upon</w:t>
      </w:r>
      <w:r w:rsidRPr="0094372C">
        <w:rPr>
          <w:iCs/>
          <w:snapToGrid w:val="0"/>
          <w:kern w:val="22"/>
          <w:szCs w:val="22"/>
        </w:rPr>
        <w:t xml:space="preserve"> the Global Environment Facility to further reform its operations to ensure adequacy, predictability, and the timely flow of funds by establishing easy and effective access modalities, including by scaling fast-track systems and by facilitating new contributors</w:t>
      </w:r>
      <w:r>
        <w:rPr>
          <w:iCs/>
          <w:snapToGrid w:val="0"/>
          <w:kern w:val="22"/>
          <w:szCs w:val="22"/>
        </w:rPr>
        <w:t>;</w:t>
      </w:r>
    </w:p>
    <w:p w14:paraId="36533C96" w14:textId="77777777" w:rsidR="0018728E" w:rsidRPr="00CE61DA"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Pr>
          <w:iCs/>
          <w:snapToGrid w:val="0"/>
          <w:kern w:val="22"/>
          <w:szCs w:val="22"/>
        </w:rPr>
        <w:lastRenderedPageBreak/>
        <w:t>16</w:t>
      </w:r>
      <w:r w:rsidRPr="00CE61DA">
        <w:rPr>
          <w:iCs/>
          <w:snapToGrid w:val="0"/>
          <w:kern w:val="22"/>
          <w:szCs w:val="22"/>
        </w:rPr>
        <w:t>.</w:t>
      </w:r>
      <w:r w:rsidRPr="00CE61DA">
        <w:rPr>
          <w:iCs/>
          <w:snapToGrid w:val="0"/>
          <w:kern w:val="22"/>
          <w:szCs w:val="22"/>
        </w:rPr>
        <w:tab/>
      </w:r>
      <w:r w:rsidRPr="000B4470">
        <w:rPr>
          <w:i/>
          <w:snapToGrid w:val="0"/>
          <w:kern w:val="22"/>
          <w:szCs w:val="22"/>
        </w:rPr>
        <w:t>Calls for</w:t>
      </w:r>
      <w:r w:rsidRPr="00CE61DA">
        <w:rPr>
          <w:iCs/>
          <w:snapToGrid w:val="0"/>
          <w:kern w:val="22"/>
          <w:szCs w:val="22"/>
        </w:rPr>
        <w:t xml:space="preserve"> fundamental transformation of the global financial architecture and the reform of multilateral development banks and international finance institutions, including investment banks, to make them fit for purpose in supporting implementation of the </w:t>
      </w:r>
      <w:r>
        <w:rPr>
          <w:iCs/>
          <w:snapToGrid w:val="0"/>
          <w:kern w:val="22"/>
          <w:szCs w:val="22"/>
        </w:rPr>
        <w:t>Kunming-Montreal Global Biodiversity Framework</w:t>
      </w:r>
      <w:r w:rsidRPr="00CE61DA">
        <w:rPr>
          <w:iCs/>
          <w:snapToGrid w:val="0"/>
          <w:kern w:val="22"/>
          <w:szCs w:val="22"/>
        </w:rPr>
        <w:t>, sustainable development and just transition efforts in developing countries;</w:t>
      </w:r>
    </w:p>
    <w:p w14:paraId="3248152B" w14:textId="77777777" w:rsidR="0018728E" w:rsidRPr="00CE61DA"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Pr>
          <w:iCs/>
          <w:snapToGrid w:val="0"/>
          <w:kern w:val="22"/>
          <w:szCs w:val="22"/>
        </w:rPr>
        <w:t>17</w:t>
      </w:r>
      <w:r w:rsidRPr="00CE61DA">
        <w:rPr>
          <w:iCs/>
          <w:snapToGrid w:val="0"/>
          <w:kern w:val="22"/>
          <w:szCs w:val="22"/>
        </w:rPr>
        <w:t>.</w:t>
      </w:r>
      <w:r w:rsidRPr="00CE61DA">
        <w:rPr>
          <w:iCs/>
          <w:snapToGrid w:val="0"/>
          <w:kern w:val="22"/>
          <w:szCs w:val="22"/>
        </w:rPr>
        <w:tab/>
      </w:r>
      <w:r w:rsidRPr="000B4470">
        <w:rPr>
          <w:i/>
          <w:snapToGrid w:val="0"/>
          <w:kern w:val="22"/>
          <w:szCs w:val="22"/>
        </w:rPr>
        <w:t>Invites</w:t>
      </w:r>
      <w:r w:rsidRPr="00CE61DA">
        <w:rPr>
          <w:iCs/>
          <w:snapToGrid w:val="0"/>
          <w:kern w:val="22"/>
          <w:szCs w:val="22"/>
        </w:rPr>
        <w:t xml:space="preserve"> multilateral development banks as well as international financial institutions and philanthropy, to support the </w:t>
      </w:r>
      <w:r>
        <w:rPr>
          <w:iCs/>
          <w:snapToGrid w:val="0"/>
          <w:kern w:val="22"/>
          <w:szCs w:val="22"/>
        </w:rPr>
        <w:t>s</w:t>
      </w:r>
      <w:r w:rsidRPr="00CE61DA">
        <w:rPr>
          <w:iCs/>
          <w:snapToGrid w:val="0"/>
          <w:kern w:val="22"/>
          <w:szCs w:val="22"/>
        </w:rPr>
        <w:t xml:space="preserve">trategy for </w:t>
      </w:r>
      <w:r>
        <w:rPr>
          <w:iCs/>
          <w:snapToGrid w:val="0"/>
          <w:kern w:val="22"/>
          <w:szCs w:val="22"/>
        </w:rPr>
        <w:t>r</w:t>
      </w:r>
      <w:r w:rsidRPr="00CE61DA">
        <w:rPr>
          <w:iCs/>
          <w:snapToGrid w:val="0"/>
          <w:kern w:val="22"/>
          <w:szCs w:val="22"/>
        </w:rPr>
        <w:t xml:space="preserve">esource </w:t>
      </w:r>
      <w:r>
        <w:rPr>
          <w:iCs/>
          <w:snapToGrid w:val="0"/>
          <w:kern w:val="22"/>
          <w:szCs w:val="22"/>
        </w:rPr>
        <w:t>m</w:t>
      </w:r>
      <w:r w:rsidRPr="00CE61DA">
        <w:rPr>
          <w:iCs/>
          <w:snapToGrid w:val="0"/>
          <w:kern w:val="22"/>
          <w:szCs w:val="22"/>
        </w:rPr>
        <w:t xml:space="preserve">obilization, and in particular to:  </w:t>
      </w:r>
    </w:p>
    <w:p w14:paraId="1260E1D3" w14:textId="77777777" w:rsidR="0018728E" w:rsidRPr="00CE61DA"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sidRPr="00CE61DA">
        <w:rPr>
          <w:iCs/>
          <w:snapToGrid w:val="0"/>
          <w:kern w:val="22"/>
          <w:szCs w:val="22"/>
        </w:rPr>
        <w:t>(a)</w:t>
      </w:r>
      <w:r w:rsidRPr="00CE61DA">
        <w:rPr>
          <w:iCs/>
          <w:snapToGrid w:val="0"/>
          <w:kern w:val="22"/>
          <w:szCs w:val="22"/>
        </w:rPr>
        <w:tab/>
      </w:r>
      <w:r>
        <w:rPr>
          <w:iCs/>
          <w:snapToGrid w:val="0"/>
          <w:kern w:val="22"/>
          <w:szCs w:val="22"/>
        </w:rPr>
        <w:t>I</w:t>
      </w:r>
      <w:r w:rsidRPr="00CE61DA">
        <w:rPr>
          <w:iCs/>
          <w:snapToGrid w:val="0"/>
          <w:kern w:val="22"/>
          <w:szCs w:val="22"/>
        </w:rPr>
        <w:t xml:space="preserve">dentify and report investments in their portfolio that contribute to achieving the objectives of the Convention and the goals and targets of the </w:t>
      </w:r>
      <w:r>
        <w:rPr>
          <w:iCs/>
          <w:snapToGrid w:val="0"/>
          <w:kern w:val="22"/>
          <w:szCs w:val="22"/>
        </w:rPr>
        <w:t>Kunming-Montreal Global Biodiversity Framework</w:t>
      </w:r>
      <w:r w:rsidRPr="00CE61DA">
        <w:rPr>
          <w:iCs/>
          <w:snapToGrid w:val="0"/>
          <w:kern w:val="22"/>
          <w:szCs w:val="22"/>
        </w:rPr>
        <w:t>, taking into account relevant international guidance and good international practice;</w:t>
      </w:r>
    </w:p>
    <w:p w14:paraId="29C40EE8" w14:textId="77777777" w:rsidR="0018728E" w:rsidRPr="00CE61DA"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sidRPr="00CE61DA">
        <w:rPr>
          <w:iCs/>
          <w:snapToGrid w:val="0"/>
          <w:kern w:val="22"/>
          <w:szCs w:val="22"/>
        </w:rPr>
        <w:t xml:space="preserve">(b) </w:t>
      </w:r>
      <w:r w:rsidRPr="00CE61DA">
        <w:rPr>
          <w:iCs/>
          <w:snapToGrid w:val="0"/>
          <w:kern w:val="22"/>
          <w:szCs w:val="22"/>
        </w:rPr>
        <w:tab/>
      </w:r>
      <w:r>
        <w:rPr>
          <w:iCs/>
          <w:snapToGrid w:val="0"/>
          <w:kern w:val="22"/>
          <w:szCs w:val="22"/>
        </w:rPr>
        <w:t>A</w:t>
      </w:r>
      <w:r w:rsidRPr="00CE61DA">
        <w:rPr>
          <w:iCs/>
          <w:snapToGrid w:val="0"/>
          <w:kern w:val="22"/>
          <w:szCs w:val="22"/>
        </w:rPr>
        <w:t xml:space="preserve">lign their portfolios and financial flows with the objectives of the Convention, and the goals and targets of </w:t>
      </w:r>
      <w:r>
        <w:rPr>
          <w:iCs/>
          <w:snapToGrid w:val="0"/>
          <w:kern w:val="22"/>
          <w:szCs w:val="22"/>
        </w:rPr>
        <w:t>Framework</w:t>
      </w:r>
      <w:r w:rsidRPr="00CE61DA">
        <w:rPr>
          <w:iCs/>
          <w:snapToGrid w:val="0"/>
          <w:kern w:val="22"/>
          <w:szCs w:val="22"/>
        </w:rPr>
        <w:t xml:space="preserve"> by 2030;  </w:t>
      </w:r>
    </w:p>
    <w:p w14:paraId="617C970C" w14:textId="77777777" w:rsidR="0018728E" w:rsidRPr="00CE61DA"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sidRPr="00CE61DA">
        <w:rPr>
          <w:iCs/>
          <w:snapToGrid w:val="0"/>
          <w:kern w:val="22"/>
          <w:szCs w:val="22"/>
        </w:rPr>
        <w:t xml:space="preserve">(c) </w:t>
      </w:r>
      <w:r w:rsidRPr="00CE61DA">
        <w:rPr>
          <w:iCs/>
          <w:snapToGrid w:val="0"/>
          <w:kern w:val="22"/>
          <w:szCs w:val="22"/>
        </w:rPr>
        <w:tab/>
      </w:r>
      <w:r>
        <w:rPr>
          <w:iCs/>
          <w:snapToGrid w:val="0"/>
          <w:kern w:val="22"/>
          <w:szCs w:val="22"/>
        </w:rPr>
        <w:t>S</w:t>
      </w:r>
      <w:r w:rsidRPr="00CE61DA">
        <w:rPr>
          <w:iCs/>
          <w:snapToGrid w:val="0"/>
          <w:kern w:val="22"/>
          <w:szCs w:val="22"/>
        </w:rPr>
        <w:t>implify access to financial resources for biodiversity</w:t>
      </w:r>
      <w:r>
        <w:rPr>
          <w:iCs/>
          <w:snapToGrid w:val="0"/>
          <w:kern w:val="22"/>
          <w:szCs w:val="22"/>
        </w:rPr>
        <w:t>;</w:t>
      </w:r>
    </w:p>
    <w:p w14:paraId="03BB8D1E" w14:textId="77777777" w:rsidR="0018728E" w:rsidRPr="00CE61DA"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sidRPr="00CE61DA">
        <w:rPr>
          <w:iCs/>
          <w:snapToGrid w:val="0"/>
          <w:kern w:val="22"/>
          <w:szCs w:val="22"/>
        </w:rPr>
        <w:t xml:space="preserve">(d) </w:t>
      </w:r>
      <w:r w:rsidRPr="00CE61DA">
        <w:rPr>
          <w:iCs/>
          <w:snapToGrid w:val="0"/>
          <w:kern w:val="22"/>
          <w:szCs w:val="22"/>
        </w:rPr>
        <w:tab/>
      </w:r>
      <w:r>
        <w:rPr>
          <w:iCs/>
          <w:snapToGrid w:val="0"/>
          <w:kern w:val="22"/>
          <w:szCs w:val="22"/>
        </w:rPr>
        <w:t>I</w:t>
      </w:r>
      <w:r w:rsidRPr="00CE61DA">
        <w:rPr>
          <w:iCs/>
          <w:snapToGrid w:val="0"/>
          <w:kern w:val="22"/>
          <w:szCs w:val="22"/>
        </w:rPr>
        <w:t>ncrease biodiversity funding, through leveraging financial resources from all sources and deploying a full suite of instruments, including new and innovative approaches such as private capital mobilization and blended finance;</w:t>
      </w:r>
    </w:p>
    <w:p w14:paraId="4D215EA3" w14:textId="77777777" w:rsidR="0018728E" w:rsidRPr="00CE61DA"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sidRPr="00CE61DA">
        <w:rPr>
          <w:iCs/>
          <w:snapToGrid w:val="0"/>
          <w:kern w:val="22"/>
          <w:szCs w:val="22"/>
        </w:rPr>
        <w:t xml:space="preserve">(e) </w:t>
      </w:r>
      <w:r w:rsidRPr="00CE61DA">
        <w:rPr>
          <w:iCs/>
          <w:snapToGrid w:val="0"/>
          <w:kern w:val="22"/>
          <w:szCs w:val="22"/>
        </w:rPr>
        <w:tab/>
      </w:r>
      <w:r>
        <w:rPr>
          <w:iCs/>
          <w:snapToGrid w:val="0"/>
          <w:kern w:val="22"/>
          <w:szCs w:val="22"/>
        </w:rPr>
        <w:t>R</w:t>
      </w:r>
      <w:r w:rsidRPr="00CE61DA">
        <w:rPr>
          <w:iCs/>
          <w:snapToGrid w:val="0"/>
          <w:kern w:val="22"/>
          <w:szCs w:val="22"/>
        </w:rPr>
        <w:t xml:space="preserve">eport on their progress to future meetings of the Conference of the Parties. </w:t>
      </w:r>
    </w:p>
    <w:p w14:paraId="14386989" w14:textId="77777777" w:rsidR="0018728E" w:rsidRPr="00CE61DA"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Pr>
          <w:iCs/>
          <w:snapToGrid w:val="0"/>
          <w:kern w:val="22"/>
          <w:szCs w:val="22"/>
        </w:rPr>
        <w:t>18</w:t>
      </w:r>
      <w:r w:rsidRPr="00CE61DA">
        <w:rPr>
          <w:iCs/>
          <w:snapToGrid w:val="0"/>
          <w:kern w:val="22"/>
          <w:szCs w:val="22"/>
        </w:rPr>
        <w:t>.</w:t>
      </w:r>
      <w:r w:rsidRPr="00CE61DA">
        <w:rPr>
          <w:iCs/>
          <w:snapToGrid w:val="0"/>
          <w:kern w:val="22"/>
          <w:szCs w:val="22"/>
        </w:rPr>
        <w:tab/>
      </w:r>
      <w:r>
        <w:rPr>
          <w:i/>
          <w:snapToGrid w:val="0"/>
          <w:kern w:val="22"/>
          <w:szCs w:val="22"/>
        </w:rPr>
        <w:t>I</w:t>
      </w:r>
      <w:r w:rsidRPr="00563AC1">
        <w:rPr>
          <w:i/>
          <w:snapToGrid w:val="0"/>
          <w:kern w:val="22"/>
          <w:szCs w:val="22"/>
        </w:rPr>
        <w:t>nvites</w:t>
      </w:r>
      <w:r w:rsidRPr="00CE61DA">
        <w:rPr>
          <w:iCs/>
          <w:snapToGrid w:val="0"/>
          <w:kern w:val="22"/>
          <w:szCs w:val="22"/>
        </w:rPr>
        <w:t xml:space="preserve"> international financial institutions and multilateral development banks, in particular the World Bank Group and the </w:t>
      </w:r>
      <w:r>
        <w:rPr>
          <w:iCs/>
          <w:snapToGrid w:val="0"/>
          <w:kern w:val="22"/>
          <w:szCs w:val="22"/>
        </w:rPr>
        <w:t>International Monetary Fund</w:t>
      </w:r>
      <w:r w:rsidRPr="00CE61DA">
        <w:rPr>
          <w:iCs/>
          <w:snapToGrid w:val="0"/>
          <w:kern w:val="22"/>
          <w:szCs w:val="22"/>
        </w:rPr>
        <w:t xml:space="preserve">, to immediately consider supporting implementation of the </w:t>
      </w:r>
      <w:r>
        <w:rPr>
          <w:snapToGrid w:val="0"/>
          <w:kern w:val="22"/>
          <w:szCs w:val="22"/>
          <w:lang w:val="en-CA"/>
        </w:rPr>
        <w:t>Kunming-Montreal</w:t>
      </w:r>
      <w:r w:rsidRPr="004357C7">
        <w:rPr>
          <w:snapToGrid w:val="0"/>
          <w:kern w:val="22"/>
          <w:szCs w:val="22"/>
          <w:lang w:val="en-CA"/>
        </w:rPr>
        <w:t xml:space="preserve"> </w:t>
      </w:r>
      <w:r>
        <w:rPr>
          <w:bCs/>
          <w:snapToGrid w:val="0"/>
          <w:szCs w:val="22"/>
          <w:lang w:val="en-US"/>
        </w:rPr>
        <w:t>Global Biodiversity Framework</w:t>
      </w:r>
      <w:r w:rsidRPr="00CE61DA">
        <w:rPr>
          <w:iCs/>
          <w:snapToGrid w:val="0"/>
          <w:kern w:val="22"/>
          <w:szCs w:val="22"/>
        </w:rPr>
        <w:t xml:space="preserve">, including by partnering with the </w:t>
      </w:r>
      <w:r>
        <w:rPr>
          <w:bCs/>
          <w:snapToGrid w:val="0"/>
          <w:szCs w:val="22"/>
          <w:lang w:val="en-US"/>
        </w:rPr>
        <w:t>Global Biodiversity Framework</w:t>
      </w:r>
      <w:r w:rsidDel="00546B46">
        <w:rPr>
          <w:iCs/>
          <w:snapToGrid w:val="0"/>
          <w:kern w:val="22"/>
          <w:szCs w:val="22"/>
        </w:rPr>
        <w:t xml:space="preserve"> </w:t>
      </w:r>
      <w:r>
        <w:rPr>
          <w:iCs/>
          <w:snapToGrid w:val="0"/>
          <w:kern w:val="22"/>
          <w:szCs w:val="22"/>
        </w:rPr>
        <w:t>Fund</w:t>
      </w:r>
      <w:r w:rsidRPr="000B4470">
        <w:rPr>
          <w:rFonts w:asciiTheme="majorBidi" w:eastAsia="SimSun" w:hAnsiTheme="majorBidi" w:cstheme="majorBidi"/>
          <w:iCs/>
          <w:snapToGrid w:val="0"/>
          <w:kern w:val="22"/>
          <w:szCs w:val="22"/>
          <w:lang w:eastAsia="zh-CN"/>
        </w:rPr>
        <w:t xml:space="preserve">, established as </w:t>
      </w:r>
      <w:r w:rsidRPr="005A60B4">
        <w:rPr>
          <w:rFonts w:asciiTheme="majorBidi" w:eastAsia="SimSun" w:hAnsiTheme="majorBidi" w:cstheme="majorBidi"/>
          <w:iCs/>
          <w:snapToGrid w:val="0"/>
          <w:kern w:val="22"/>
          <w:szCs w:val="22"/>
          <w:lang w:eastAsia="zh-CN"/>
        </w:rPr>
        <w:t xml:space="preserve">per paragraph </w:t>
      </w:r>
      <w:r w:rsidRPr="008F6FFF">
        <w:rPr>
          <w:rFonts w:asciiTheme="majorBidi" w:eastAsia="SimSun" w:hAnsiTheme="majorBidi" w:cstheme="majorBidi"/>
          <w:iCs/>
          <w:snapToGrid w:val="0"/>
          <w:kern w:val="22"/>
          <w:szCs w:val="22"/>
          <w:lang w:eastAsia="zh-CN"/>
        </w:rPr>
        <w:t>30 of the present decision</w:t>
      </w:r>
      <w:r w:rsidRPr="005A60B4">
        <w:rPr>
          <w:rFonts w:asciiTheme="majorBidi" w:hAnsiTheme="majorBidi" w:cstheme="majorBidi"/>
          <w:iCs/>
          <w:snapToGrid w:val="0"/>
          <w:kern w:val="22"/>
          <w:szCs w:val="22"/>
        </w:rPr>
        <w:t>;</w:t>
      </w:r>
    </w:p>
    <w:p w14:paraId="533569D6" w14:textId="77777777" w:rsidR="0018728E" w:rsidRPr="00CE61DA"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Pr>
          <w:iCs/>
          <w:snapToGrid w:val="0"/>
          <w:kern w:val="22"/>
          <w:szCs w:val="22"/>
        </w:rPr>
        <w:t>19</w:t>
      </w:r>
      <w:r w:rsidRPr="00CE61DA">
        <w:rPr>
          <w:iCs/>
          <w:snapToGrid w:val="0"/>
          <w:kern w:val="22"/>
          <w:szCs w:val="22"/>
        </w:rPr>
        <w:t>.</w:t>
      </w:r>
      <w:r w:rsidRPr="00CE61DA">
        <w:rPr>
          <w:iCs/>
          <w:snapToGrid w:val="0"/>
          <w:kern w:val="22"/>
          <w:szCs w:val="22"/>
        </w:rPr>
        <w:tab/>
      </w:r>
      <w:r w:rsidRPr="00563AC1">
        <w:rPr>
          <w:i/>
          <w:snapToGrid w:val="0"/>
          <w:kern w:val="22"/>
          <w:szCs w:val="22"/>
        </w:rPr>
        <w:t>Invites</w:t>
      </w:r>
      <w:r w:rsidRPr="00CE61DA">
        <w:rPr>
          <w:iCs/>
          <w:snapToGrid w:val="0"/>
          <w:kern w:val="22"/>
          <w:szCs w:val="22"/>
        </w:rPr>
        <w:t xml:space="preserve"> developed country Parties and other Parties in a </w:t>
      </w:r>
      <w:r>
        <w:rPr>
          <w:iCs/>
          <w:snapToGrid w:val="0"/>
          <w:kern w:val="22"/>
          <w:szCs w:val="22"/>
        </w:rPr>
        <w:t>position</w:t>
      </w:r>
      <w:r w:rsidRPr="00CE61DA">
        <w:rPr>
          <w:iCs/>
          <w:snapToGrid w:val="0"/>
          <w:kern w:val="22"/>
          <w:szCs w:val="22"/>
        </w:rPr>
        <w:t xml:space="preserve"> to do so to support the strategy for resource mobilization, in particular through mainstreaming of biodiversity and increasing direct funding to biodiversity in their portfolios, as well as through instruments for the mobilization of private investment for biodiversity; </w:t>
      </w:r>
    </w:p>
    <w:p w14:paraId="432A1201" w14:textId="77777777" w:rsidR="0018728E" w:rsidRPr="00CE61DA"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Pr>
          <w:iCs/>
          <w:snapToGrid w:val="0"/>
          <w:kern w:val="22"/>
          <w:szCs w:val="22"/>
        </w:rPr>
        <w:t>20</w:t>
      </w:r>
      <w:r w:rsidRPr="00CE61DA">
        <w:rPr>
          <w:iCs/>
          <w:snapToGrid w:val="0"/>
          <w:kern w:val="22"/>
          <w:szCs w:val="22"/>
        </w:rPr>
        <w:t>.</w:t>
      </w:r>
      <w:r w:rsidRPr="00CE61DA">
        <w:rPr>
          <w:iCs/>
          <w:snapToGrid w:val="0"/>
          <w:kern w:val="22"/>
          <w:szCs w:val="22"/>
        </w:rPr>
        <w:tab/>
      </w:r>
      <w:r w:rsidRPr="00563AC1">
        <w:rPr>
          <w:i/>
          <w:snapToGrid w:val="0"/>
          <w:kern w:val="22"/>
          <w:szCs w:val="22"/>
        </w:rPr>
        <w:t>Takes note with appreciation</w:t>
      </w:r>
      <w:r w:rsidRPr="00CE61DA">
        <w:rPr>
          <w:iCs/>
          <w:snapToGrid w:val="0"/>
          <w:kern w:val="22"/>
          <w:szCs w:val="22"/>
        </w:rPr>
        <w:t xml:space="preserve"> of the recent programmatic initiatives of funds such as the Land Degradation Neutrality Fund under the United Nations Convention to Combat Desertification, the Green Climate Fund and the Global Environment Facility</w:t>
      </w:r>
      <w:r>
        <w:rPr>
          <w:iCs/>
          <w:snapToGrid w:val="0"/>
          <w:kern w:val="22"/>
          <w:szCs w:val="22"/>
        </w:rPr>
        <w:t>,</w:t>
      </w:r>
      <w:r w:rsidRPr="00CE61DA">
        <w:rPr>
          <w:iCs/>
          <w:snapToGrid w:val="0"/>
          <w:kern w:val="22"/>
          <w:szCs w:val="22"/>
        </w:rPr>
        <w:t xml:space="preserve"> as well as other bilateral and multilateral funding mechanisms, such as the funding arrangements for responding to loss-and-damage, including a fund, to harness synergies in project development and financing for the purpose of the objectives of the Rio conventions and global biodiversity-related Conventions and agreements; </w:t>
      </w:r>
    </w:p>
    <w:p w14:paraId="40019358" w14:textId="77777777" w:rsidR="0018728E" w:rsidRPr="005F5D21" w:rsidRDefault="0018728E" w:rsidP="00CE61DA">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Pr>
          <w:iCs/>
          <w:snapToGrid w:val="0"/>
          <w:kern w:val="22"/>
          <w:szCs w:val="22"/>
        </w:rPr>
        <w:t>21</w:t>
      </w:r>
      <w:r w:rsidRPr="00CE61DA">
        <w:rPr>
          <w:iCs/>
          <w:snapToGrid w:val="0"/>
          <w:kern w:val="22"/>
          <w:szCs w:val="22"/>
        </w:rPr>
        <w:t xml:space="preserve">. </w:t>
      </w:r>
      <w:r w:rsidRPr="00CE61DA">
        <w:rPr>
          <w:iCs/>
          <w:snapToGrid w:val="0"/>
          <w:kern w:val="22"/>
          <w:szCs w:val="22"/>
        </w:rPr>
        <w:tab/>
      </w:r>
      <w:r w:rsidRPr="00563AC1">
        <w:rPr>
          <w:i/>
          <w:snapToGrid w:val="0"/>
          <w:kern w:val="22"/>
          <w:szCs w:val="22"/>
        </w:rPr>
        <w:t>Encourages</w:t>
      </w:r>
      <w:r w:rsidRPr="00CE61DA">
        <w:rPr>
          <w:iCs/>
          <w:snapToGrid w:val="0"/>
          <w:kern w:val="22"/>
          <w:szCs w:val="22"/>
        </w:rPr>
        <w:t xml:space="preserve"> the funds and funding mechanisms mentioned in paragraph </w:t>
      </w:r>
      <w:r>
        <w:rPr>
          <w:iCs/>
          <w:snapToGrid w:val="0"/>
          <w:kern w:val="22"/>
          <w:szCs w:val="22"/>
        </w:rPr>
        <w:t xml:space="preserve">20 above </w:t>
      </w:r>
      <w:r w:rsidRPr="00CE61DA">
        <w:rPr>
          <w:iCs/>
          <w:snapToGrid w:val="0"/>
          <w:kern w:val="22"/>
          <w:szCs w:val="22"/>
        </w:rPr>
        <w:t>to continue and intensify their work with a view to generating and increasing biodiversity co-benefits through complementary, coherent and collaborative interventions that generate greater impact</w:t>
      </w:r>
      <w:r>
        <w:rPr>
          <w:iCs/>
          <w:snapToGrid w:val="0"/>
          <w:kern w:val="22"/>
          <w:szCs w:val="22"/>
        </w:rPr>
        <w:t>,</w:t>
      </w:r>
      <w:r w:rsidRPr="00CE61DA">
        <w:rPr>
          <w:iCs/>
          <w:snapToGrid w:val="0"/>
          <w:kern w:val="22"/>
          <w:szCs w:val="22"/>
        </w:rPr>
        <w:t xml:space="preserve"> as well as to enhance efforts to simultaneously tackle biodiversity loss, climate change and land degradation;</w:t>
      </w:r>
    </w:p>
    <w:p w14:paraId="177E6ECA" w14:textId="77777777" w:rsidR="0018728E" w:rsidRPr="00451F41" w:rsidRDefault="0018728E" w:rsidP="001513B5">
      <w:pPr>
        <w:suppressLineNumbers/>
        <w:suppressAutoHyphens/>
        <w:kinsoku w:val="0"/>
        <w:overflowPunct w:val="0"/>
        <w:autoSpaceDE w:val="0"/>
        <w:autoSpaceDN w:val="0"/>
        <w:adjustRightInd w:val="0"/>
        <w:snapToGrid w:val="0"/>
        <w:spacing w:before="120" w:after="120"/>
        <w:rPr>
          <w:b/>
          <w:bCs/>
          <w:snapToGrid w:val="0"/>
          <w:kern w:val="22"/>
          <w:szCs w:val="22"/>
          <w:lang w:val="en-US"/>
        </w:rPr>
      </w:pPr>
      <w:bookmarkStart w:id="60" w:name="_Hlk122181771"/>
      <w:r w:rsidRPr="00451F41">
        <w:rPr>
          <w:b/>
          <w:bCs/>
          <w:snapToGrid w:val="0"/>
          <w:kern w:val="22"/>
          <w:szCs w:val="22"/>
          <w:lang w:val="en-US"/>
        </w:rPr>
        <w:t xml:space="preserve">National </w:t>
      </w:r>
      <w:r>
        <w:rPr>
          <w:b/>
          <w:bCs/>
          <w:snapToGrid w:val="0"/>
          <w:kern w:val="22"/>
          <w:szCs w:val="22"/>
          <w:lang w:val="en-US"/>
        </w:rPr>
        <w:t>f</w:t>
      </w:r>
      <w:r w:rsidRPr="00451F41">
        <w:rPr>
          <w:b/>
          <w:bCs/>
          <w:snapToGrid w:val="0"/>
          <w:kern w:val="22"/>
          <w:szCs w:val="22"/>
          <w:lang w:val="en-US"/>
        </w:rPr>
        <w:t xml:space="preserve">inance </w:t>
      </w:r>
      <w:r>
        <w:rPr>
          <w:b/>
          <w:bCs/>
          <w:snapToGrid w:val="0"/>
          <w:kern w:val="22"/>
          <w:szCs w:val="22"/>
          <w:lang w:val="en-US"/>
        </w:rPr>
        <w:t>p</w:t>
      </w:r>
      <w:r w:rsidRPr="00451F41">
        <w:rPr>
          <w:b/>
          <w:bCs/>
          <w:snapToGrid w:val="0"/>
          <w:kern w:val="22"/>
          <w:szCs w:val="22"/>
          <w:lang w:val="en-US"/>
        </w:rPr>
        <w:t>lans</w:t>
      </w:r>
    </w:p>
    <w:p w14:paraId="686CEA5C" w14:textId="77777777" w:rsidR="0018728E" w:rsidRDefault="0018728E" w:rsidP="001513B5">
      <w:pPr>
        <w:suppressLineNumbers/>
        <w:suppressAutoHyphens/>
        <w:kinsoku w:val="0"/>
        <w:overflowPunct w:val="0"/>
        <w:autoSpaceDE w:val="0"/>
        <w:autoSpaceDN w:val="0"/>
        <w:adjustRightInd w:val="0"/>
        <w:snapToGrid w:val="0"/>
        <w:spacing w:before="120" w:after="120"/>
        <w:ind w:firstLine="720"/>
        <w:rPr>
          <w:snapToGrid w:val="0"/>
          <w:kern w:val="22"/>
          <w:szCs w:val="22"/>
          <w:lang w:val="en-CA"/>
        </w:rPr>
      </w:pPr>
      <w:r>
        <w:rPr>
          <w:snapToGrid w:val="0"/>
          <w:kern w:val="22"/>
          <w:szCs w:val="22"/>
          <w:lang w:val="en-CA"/>
        </w:rPr>
        <w:t>22</w:t>
      </w:r>
      <w:r w:rsidRPr="004357C7">
        <w:rPr>
          <w:snapToGrid w:val="0"/>
          <w:kern w:val="22"/>
          <w:szCs w:val="22"/>
          <w:lang w:val="en-CA"/>
        </w:rPr>
        <w:t>.</w:t>
      </w:r>
      <w:r w:rsidRPr="004357C7">
        <w:rPr>
          <w:snapToGrid w:val="0"/>
          <w:kern w:val="22"/>
          <w:szCs w:val="22"/>
          <w:lang w:val="en-CA"/>
        </w:rPr>
        <w:tab/>
      </w:r>
      <w:r w:rsidRPr="00112ED8">
        <w:rPr>
          <w:i/>
          <w:iCs/>
          <w:snapToGrid w:val="0"/>
          <w:kern w:val="22"/>
          <w:szCs w:val="22"/>
          <w:lang w:val="en-CA"/>
        </w:rPr>
        <w:t>Encourages</w:t>
      </w:r>
      <w:r>
        <w:rPr>
          <w:i/>
          <w:iCs/>
          <w:snapToGrid w:val="0"/>
          <w:kern w:val="22"/>
          <w:szCs w:val="22"/>
          <w:lang w:val="en-CA"/>
        </w:rPr>
        <w:t xml:space="preserve"> </w:t>
      </w:r>
      <w:r w:rsidRPr="004357C7">
        <w:rPr>
          <w:snapToGrid w:val="0"/>
          <w:kern w:val="22"/>
          <w:szCs w:val="22"/>
          <w:lang w:val="en-CA"/>
        </w:rPr>
        <w:t>Parties to develop, update</w:t>
      </w:r>
      <w:r>
        <w:rPr>
          <w:snapToGrid w:val="0"/>
          <w:kern w:val="22"/>
          <w:szCs w:val="22"/>
          <w:lang w:val="en-CA"/>
        </w:rPr>
        <w:t xml:space="preserve">, </w:t>
      </w:r>
      <w:r w:rsidRPr="004357C7">
        <w:rPr>
          <w:snapToGrid w:val="0"/>
          <w:kern w:val="22"/>
          <w:szCs w:val="22"/>
          <w:lang w:val="en-CA"/>
        </w:rPr>
        <w:t>and implement</w:t>
      </w:r>
      <w:r>
        <w:rPr>
          <w:snapToGrid w:val="0"/>
          <w:kern w:val="22"/>
          <w:szCs w:val="22"/>
          <w:lang w:val="en-CA"/>
        </w:rPr>
        <w:t xml:space="preserve"> </w:t>
      </w:r>
      <w:r w:rsidRPr="004357C7">
        <w:rPr>
          <w:snapToGrid w:val="0"/>
          <w:kern w:val="22"/>
          <w:szCs w:val="22"/>
          <w:lang w:val="en-CA"/>
        </w:rPr>
        <w:t>national biodiversity finance plans or similar instruments, based on</w:t>
      </w:r>
      <w:r>
        <w:rPr>
          <w:snapToGrid w:val="0"/>
          <w:kern w:val="22"/>
          <w:szCs w:val="22"/>
          <w:lang w:val="en-CA"/>
        </w:rPr>
        <w:t xml:space="preserve"> an assessment of biodiversity expenditures and finance needs, and based on</w:t>
      </w:r>
      <w:r w:rsidRPr="004357C7">
        <w:rPr>
          <w:snapToGrid w:val="0"/>
          <w:kern w:val="22"/>
          <w:szCs w:val="22"/>
          <w:lang w:val="en-CA"/>
        </w:rPr>
        <w:t xml:space="preserve"> national biodiversity strategies and action plans, to </w:t>
      </w:r>
      <w:r>
        <w:rPr>
          <w:snapToGrid w:val="0"/>
          <w:kern w:val="22"/>
          <w:szCs w:val="22"/>
          <w:lang w:val="en-CA"/>
        </w:rPr>
        <w:t>support</w:t>
      </w:r>
      <w:r w:rsidRPr="004357C7">
        <w:rPr>
          <w:snapToGrid w:val="0"/>
          <w:kern w:val="22"/>
          <w:szCs w:val="22"/>
          <w:lang w:val="en-CA"/>
        </w:rPr>
        <w:t xml:space="preserve"> adequate and timely </w:t>
      </w:r>
      <w:r>
        <w:rPr>
          <w:snapToGrid w:val="0"/>
          <w:kern w:val="22"/>
          <w:szCs w:val="22"/>
          <w:lang w:val="en-CA"/>
        </w:rPr>
        <w:t xml:space="preserve">mobilization of </w:t>
      </w:r>
      <w:r w:rsidRPr="004357C7">
        <w:rPr>
          <w:snapToGrid w:val="0"/>
          <w:kern w:val="22"/>
          <w:szCs w:val="22"/>
          <w:lang w:val="en-CA"/>
        </w:rPr>
        <w:t xml:space="preserve">international and </w:t>
      </w:r>
      <w:r>
        <w:rPr>
          <w:snapToGrid w:val="0"/>
          <w:kern w:val="22"/>
          <w:szCs w:val="22"/>
          <w:lang w:val="en-CA"/>
        </w:rPr>
        <w:t>domestic, public and private</w:t>
      </w:r>
      <w:r w:rsidRPr="004357C7">
        <w:rPr>
          <w:snapToGrid w:val="0"/>
          <w:kern w:val="22"/>
          <w:szCs w:val="22"/>
          <w:lang w:val="en-CA"/>
        </w:rPr>
        <w:t xml:space="preserve"> financial resources for the effective implementation of </w:t>
      </w:r>
      <w:r>
        <w:rPr>
          <w:snapToGrid w:val="0"/>
          <w:kern w:val="22"/>
          <w:szCs w:val="22"/>
          <w:lang w:val="en-CA"/>
        </w:rPr>
        <w:t>the Kunming-Montreal</w:t>
      </w:r>
      <w:r w:rsidRPr="004357C7">
        <w:rPr>
          <w:snapToGrid w:val="0"/>
          <w:kern w:val="22"/>
          <w:szCs w:val="22"/>
          <w:lang w:val="en-CA"/>
        </w:rPr>
        <w:t xml:space="preserve"> </w:t>
      </w:r>
      <w:r>
        <w:rPr>
          <w:snapToGrid w:val="0"/>
          <w:kern w:val="22"/>
          <w:szCs w:val="22"/>
          <w:lang w:val="en-CA"/>
        </w:rPr>
        <w:t>G</w:t>
      </w:r>
      <w:r w:rsidRPr="004357C7">
        <w:rPr>
          <w:snapToGrid w:val="0"/>
          <w:kern w:val="22"/>
          <w:szCs w:val="22"/>
          <w:lang w:val="en-CA"/>
        </w:rPr>
        <w:t xml:space="preserve">lobal </w:t>
      </w:r>
      <w:r>
        <w:rPr>
          <w:snapToGrid w:val="0"/>
          <w:kern w:val="22"/>
          <w:szCs w:val="22"/>
          <w:lang w:val="en-CA"/>
        </w:rPr>
        <w:t>B</w:t>
      </w:r>
      <w:r w:rsidRPr="004357C7">
        <w:rPr>
          <w:snapToGrid w:val="0"/>
          <w:kern w:val="22"/>
          <w:szCs w:val="22"/>
          <w:lang w:val="en-CA"/>
        </w:rPr>
        <w:t xml:space="preserve">iodiversity </w:t>
      </w:r>
      <w:r>
        <w:rPr>
          <w:snapToGrid w:val="0"/>
          <w:kern w:val="22"/>
          <w:szCs w:val="22"/>
          <w:lang w:val="en-CA"/>
        </w:rPr>
        <w:t>F</w:t>
      </w:r>
      <w:r w:rsidRPr="004357C7">
        <w:rPr>
          <w:snapToGrid w:val="0"/>
          <w:kern w:val="22"/>
          <w:szCs w:val="22"/>
          <w:lang w:val="en-CA"/>
        </w:rPr>
        <w:t>ramework;</w:t>
      </w:r>
      <w:r>
        <w:rPr>
          <w:snapToGrid w:val="0"/>
          <w:kern w:val="22"/>
          <w:szCs w:val="22"/>
          <w:lang w:val="en-CA"/>
        </w:rPr>
        <w:t xml:space="preserve"> </w:t>
      </w:r>
    </w:p>
    <w:p w14:paraId="3567C75B" w14:textId="77777777" w:rsidR="0018728E" w:rsidRDefault="0018728E" w:rsidP="001513B5">
      <w:pPr>
        <w:suppressLineNumbers/>
        <w:suppressAutoHyphens/>
        <w:kinsoku w:val="0"/>
        <w:overflowPunct w:val="0"/>
        <w:autoSpaceDE w:val="0"/>
        <w:autoSpaceDN w:val="0"/>
        <w:adjustRightInd w:val="0"/>
        <w:snapToGrid w:val="0"/>
        <w:spacing w:before="120" w:after="120"/>
        <w:ind w:firstLine="720"/>
        <w:rPr>
          <w:bCs/>
          <w:snapToGrid w:val="0"/>
          <w:kern w:val="22"/>
          <w:szCs w:val="22"/>
        </w:rPr>
      </w:pPr>
      <w:r>
        <w:rPr>
          <w:bCs/>
          <w:snapToGrid w:val="0"/>
          <w:kern w:val="22"/>
          <w:szCs w:val="22"/>
        </w:rPr>
        <w:t>23.</w:t>
      </w:r>
      <w:r>
        <w:rPr>
          <w:bCs/>
          <w:snapToGrid w:val="0"/>
          <w:kern w:val="22"/>
          <w:szCs w:val="22"/>
        </w:rPr>
        <w:tab/>
      </w:r>
      <w:r>
        <w:rPr>
          <w:bCs/>
          <w:i/>
          <w:iCs/>
          <w:snapToGrid w:val="0"/>
          <w:kern w:val="22"/>
          <w:szCs w:val="22"/>
        </w:rPr>
        <w:t xml:space="preserve">Encourages </w:t>
      </w:r>
      <w:r>
        <w:rPr>
          <w:bCs/>
          <w:snapToGrid w:val="0"/>
          <w:kern w:val="22"/>
          <w:szCs w:val="22"/>
        </w:rPr>
        <w:t>developed country Parties to reflect in their national finance plans or similar instruments, their financial contribution to the implementation of the Convention, in developing country Parties;</w:t>
      </w:r>
    </w:p>
    <w:p w14:paraId="6957B22B" w14:textId="77777777" w:rsidR="0018728E" w:rsidRDefault="0018728E" w:rsidP="001513B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24.</w:t>
      </w:r>
      <w:r>
        <w:rPr>
          <w:snapToGrid w:val="0"/>
          <w:kern w:val="22"/>
          <w:szCs w:val="22"/>
        </w:rPr>
        <w:tab/>
      </w:r>
      <w:r w:rsidRPr="00A3490B">
        <w:rPr>
          <w:i/>
          <w:iCs/>
          <w:snapToGrid w:val="0"/>
          <w:kern w:val="22"/>
          <w:szCs w:val="22"/>
        </w:rPr>
        <w:t>Encourages</w:t>
      </w:r>
      <w:r>
        <w:rPr>
          <w:snapToGrid w:val="0"/>
          <w:kern w:val="22"/>
          <w:szCs w:val="22"/>
        </w:rPr>
        <w:t xml:space="preserve"> developing country Parties, as appropriate, to provide information in their national biodiversity finance plans, on financial, technology development and transfer, and capacity-</w:t>
      </w:r>
      <w:r>
        <w:rPr>
          <w:snapToGrid w:val="0"/>
          <w:kern w:val="22"/>
          <w:szCs w:val="22"/>
        </w:rPr>
        <w:lastRenderedPageBreak/>
        <w:t>building support needed, received, and used, to implement their national biodiversity strategies and action plans;</w:t>
      </w:r>
    </w:p>
    <w:p w14:paraId="645AF9BB" w14:textId="77777777" w:rsidR="0018728E" w:rsidRPr="00FB6072" w:rsidRDefault="0018728E" w:rsidP="001513B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25</w:t>
      </w:r>
      <w:r w:rsidRPr="00FB6072">
        <w:rPr>
          <w:snapToGrid w:val="0"/>
          <w:kern w:val="22"/>
          <w:szCs w:val="22"/>
        </w:rPr>
        <w:t>.</w:t>
      </w:r>
      <w:r w:rsidRPr="00FB6072">
        <w:rPr>
          <w:snapToGrid w:val="0"/>
          <w:kern w:val="22"/>
          <w:szCs w:val="22"/>
        </w:rPr>
        <w:tab/>
      </w:r>
      <w:r w:rsidRPr="00960F68">
        <w:rPr>
          <w:i/>
          <w:iCs/>
          <w:snapToGrid w:val="0"/>
          <w:kern w:val="22"/>
          <w:szCs w:val="22"/>
        </w:rPr>
        <w:t>Takes note with appreciation</w:t>
      </w:r>
      <w:r w:rsidRPr="00FB6072">
        <w:rPr>
          <w:snapToGrid w:val="0"/>
          <w:kern w:val="22"/>
          <w:szCs w:val="22"/>
        </w:rPr>
        <w:t xml:space="preserve"> of the work of relevant and interested international organizations and initiatives, including the Biodiversity Finance Initiative of the United Nations Development Programme</w:t>
      </w:r>
      <w:r>
        <w:rPr>
          <w:snapToGrid w:val="0"/>
          <w:kern w:val="22"/>
          <w:szCs w:val="22"/>
        </w:rPr>
        <w:t xml:space="preserve"> (BIOFIN)</w:t>
      </w:r>
      <w:r w:rsidRPr="00FB6072">
        <w:rPr>
          <w:snapToGrid w:val="0"/>
          <w:kern w:val="22"/>
          <w:szCs w:val="22"/>
        </w:rPr>
        <w:t>, to provide financial and technical support and capacity-building for interested countries in the development, updating and implementation of national finance plans for biodiversity, and for the refinement of the Biodiversity Finance Initiative methodology</w:t>
      </w:r>
      <w:r>
        <w:rPr>
          <w:snapToGrid w:val="0"/>
          <w:kern w:val="22"/>
          <w:szCs w:val="22"/>
        </w:rPr>
        <w:t>, and encourages BIOFIN</w:t>
      </w:r>
      <w:r w:rsidRPr="00FB6072">
        <w:rPr>
          <w:snapToGrid w:val="0"/>
          <w:kern w:val="22"/>
          <w:szCs w:val="22"/>
        </w:rPr>
        <w:t xml:space="preserve"> and other relevant and interested </w:t>
      </w:r>
      <w:r>
        <w:rPr>
          <w:snapToGrid w:val="0"/>
          <w:kern w:val="22"/>
          <w:szCs w:val="22"/>
        </w:rPr>
        <w:t>organizations and initiatives to continue and expand their work</w:t>
      </w:r>
      <w:r w:rsidRPr="00FB6072">
        <w:rPr>
          <w:snapToGrid w:val="0"/>
          <w:kern w:val="22"/>
          <w:szCs w:val="22"/>
        </w:rPr>
        <w:t>;</w:t>
      </w:r>
      <w:r>
        <w:rPr>
          <w:snapToGrid w:val="0"/>
          <w:kern w:val="22"/>
          <w:szCs w:val="22"/>
        </w:rPr>
        <w:t xml:space="preserve"> </w:t>
      </w:r>
      <w:r w:rsidRPr="00FB6072">
        <w:rPr>
          <w:snapToGrid w:val="0"/>
          <w:kern w:val="22"/>
          <w:szCs w:val="22"/>
        </w:rPr>
        <w:t xml:space="preserve"> </w:t>
      </w:r>
      <w:r>
        <w:rPr>
          <w:snapToGrid w:val="0"/>
          <w:kern w:val="22"/>
          <w:szCs w:val="22"/>
        </w:rPr>
        <w:t xml:space="preserve"> </w:t>
      </w:r>
    </w:p>
    <w:p w14:paraId="112B5A2C" w14:textId="77777777" w:rsidR="0018728E" w:rsidRDefault="0018728E" w:rsidP="001513B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26</w:t>
      </w:r>
      <w:r w:rsidRPr="00FB6072">
        <w:rPr>
          <w:snapToGrid w:val="0"/>
          <w:kern w:val="22"/>
          <w:szCs w:val="22"/>
        </w:rPr>
        <w:t>.</w:t>
      </w:r>
      <w:r w:rsidRPr="00FB6072">
        <w:rPr>
          <w:snapToGrid w:val="0"/>
          <w:kern w:val="22"/>
          <w:szCs w:val="22"/>
        </w:rPr>
        <w:tab/>
      </w:r>
      <w:r w:rsidRPr="00960F68">
        <w:rPr>
          <w:i/>
          <w:iCs/>
          <w:snapToGrid w:val="0"/>
          <w:kern w:val="22"/>
          <w:szCs w:val="22"/>
        </w:rPr>
        <w:t>Invites</w:t>
      </w:r>
      <w:r w:rsidRPr="00FB6072">
        <w:rPr>
          <w:snapToGrid w:val="0"/>
          <w:kern w:val="22"/>
          <w:szCs w:val="22"/>
        </w:rPr>
        <w:t xml:space="preserve"> the Global Environment Facility to support the development and implementation of national biodiversity finance plans or similar planning instruments to support efforts by recipient countries to mobilize </w:t>
      </w:r>
      <w:r>
        <w:rPr>
          <w:snapToGrid w:val="0"/>
          <w:kern w:val="22"/>
          <w:szCs w:val="22"/>
        </w:rPr>
        <w:t xml:space="preserve">domestic and international </w:t>
      </w:r>
      <w:r w:rsidRPr="00FB6072">
        <w:rPr>
          <w:snapToGrid w:val="0"/>
          <w:kern w:val="22"/>
          <w:szCs w:val="22"/>
        </w:rPr>
        <w:t xml:space="preserve">resources </w:t>
      </w:r>
      <w:r>
        <w:rPr>
          <w:snapToGrid w:val="0"/>
          <w:kern w:val="22"/>
          <w:szCs w:val="22"/>
        </w:rPr>
        <w:t>to reach their national goals, as defined in</w:t>
      </w:r>
      <w:r w:rsidRPr="00FB6072">
        <w:rPr>
          <w:snapToGrid w:val="0"/>
          <w:kern w:val="22"/>
          <w:szCs w:val="22"/>
        </w:rPr>
        <w:t xml:space="preserve"> their national biodiversity strategies and action plans</w:t>
      </w:r>
      <w:r>
        <w:rPr>
          <w:snapToGrid w:val="0"/>
          <w:kern w:val="22"/>
          <w:szCs w:val="22"/>
        </w:rPr>
        <w:t>,</w:t>
      </w:r>
      <w:r w:rsidRPr="00FB6072">
        <w:rPr>
          <w:snapToGrid w:val="0"/>
          <w:kern w:val="22"/>
          <w:szCs w:val="22"/>
        </w:rPr>
        <w:t xml:space="preserve"> and </w:t>
      </w:r>
      <w:r>
        <w:rPr>
          <w:snapToGrid w:val="0"/>
          <w:kern w:val="22"/>
          <w:szCs w:val="22"/>
        </w:rPr>
        <w:t xml:space="preserve">to contribute to </w:t>
      </w:r>
      <w:r w:rsidRPr="00FB6072">
        <w:rPr>
          <w:snapToGrid w:val="0"/>
          <w:kern w:val="22"/>
          <w:szCs w:val="22"/>
        </w:rPr>
        <w:t xml:space="preserve">the </w:t>
      </w:r>
      <w:r>
        <w:rPr>
          <w:snapToGrid w:val="0"/>
          <w:kern w:val="22"/>
          <w:szCs w:val="22"/>
        </w:rPr>
        <w:t>Kunming-Montreal G</w:t>
      </w:r>
      <w:r w:rsidRPr="00FB6072">
        <w:rPr>
          <w:snapToGrid w:val="0"/>
          <w:kern w:val="22"/>
          <w:szCs w:val="22"/>
        </w:rPr>
        <w:t xml:space="preserve">lobal </w:t>
      </w:r>
      <w:r>
        <w:rPr>
          <w:snapToGrid w:val="0"/>
          <w:kern w:val="22"/>
          <w:szCs w:val="22"/>
        </w:rPr>
        <w:t>B</w:t>
      </w:r>
      <w:r w:rsidRPr="00FB6072">
        <w:rPr>
          <w:snapToGrid w:val="0"/>
          <w:kern w:val="22"/>
          <w:szCs w:val="22"/>
        </w:rPr>
        <w:t xml:space="preserve">iodiversity </w:t>
      </w:r>
      <w:r>
        <w:rPr>
          <w:snapToGrid w:val="0"/>
          <w:kern w:val="22"/>
          <w:szCs w:val="22"/>
        </w:rPr>
        <w:t>F</w:t>
      </w:r>
      <w:r w:rsidRPr="00FB6072">
        <w:rPr>
          <w:snapToGrid w:val="0"/>
          <w:kern w:val="22"/>
          <w:szCs w:val="22"/>
        </w:rPr>
        <w:t>ramework;</w:t>
      </w:r>
      <w:r>
        <w:rPr>
          <w:snapToGrid w:val="0"/>
          <w:kern w:val="22"/>
          <w:szCs w:val="22"/>
        </w:rPr>
        <w:t xml:space="preserve"> </w:t>
      </w:r>
    </w:p>
    <w:p w14:paraId="472EF84A" w14:textId="77777777" w:rsidR="0018728E" w:rsidRPr="003C3728" w:rsidRDefault="0018728E" w:rsidP="001513B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27</w:t>
      </w:r>
      <w:r w:rsidRPr="003C3728">
        <w:rPr>
          <w:snapToGrid w:val="0"/>
          <w:kern w:val="22"/>
          <w:szCs w:val="22"/>
        </w:rPr>
        <w:t>.</w:t>
      </w:r>
      <w:r w:rsidRPr="003C3728">
        <w:rPr>
          <w:snapToGrid w:val="0"/>
          <w:kern w:val="22"/>
          <w:szCs w:val="22"/>
        </w:rPr>
        <w:tab/>
      </w:r>
      <w:r w:rsidRPr="003C3728">
        <w:rPr>
          <w:i/>
          <w:iCs/>
          <w:snapToGrid w:val="0"/>
          <w:kern w:val="22"/>
          <w:szCs w:val="22"/>
        </w:rPr>
        <w:t>Encourages</w:t>
      </w:r>
      <w:r w:rsidRPr="003C3728">
        <w:rPr>
          <w:snapToGrid w:val="0"/>
          <w:kern w:val="22"/>
          <w:szCs w:val="22"/>
        </w:rPr>
        <w:t xml:space="preserve"> developed country Parties and Parties in a position to do so to continue and further increase their financial support to BIOFIN and other related initiatives in order to support the speedy</w:t>
      </w:r>
      <w:r w:rsidRPr="009F6A8A">
        <w:rPr>
          <w:snapToGrid w:val="0"/>
          <w:kern w:val="22"/>
          <w:szCs w:val="22"/>
          <w:highlight w:val="green"/>
        </w:rPr>
        <w:t xml:space="preserve"> </w:t>
      </w:r>
      <w:r w:rsidRPr="00112ED8">
        <w:rPr>
          <w:snapToGrid w:val="0"/>
          <w:kern w:val="22"/>
          <w:szCs w:val="22"/>
        </w:rPr>
        <w:t>implementation of national</w:t>
      </w:r>
      <w:r w:rsidRPr="003C3728">
        <w:rPr>
          <w:snapToGrid w:val="0"/>
          <w:kern w:val="22"/>
          <w:szCs w:val="22"/>
        </w:rPr>
        <w:t xml:space="preserve"> finance plans or similar instruments by developing country Parties or Parties with economies in transition;</w:t>
      </w:r>
    </w:p>
    <w:p w14:paraId="6FF81276" w14:textId="77777777" w:rsidR="0018728E" w:rsidRDefault="0018728E" w:rsidP="001513B5">
      <w:pPr>
        <w:keepNext/>
        <w:suppressLineNumbers/>
        <w:suppressAutoHyphens/>
        <w:kinsoku w:val="0"/>
        <w:overflowPunct w:val="0"/>
        <w:autoSpaceDE w:val="0"/>
        <w:autoSpaceDN w:val="0"/>
        <w:adjustRightInd w:val="0"/>
        <w:snapToGrid w:val="0"/>
        <w:spacing w:before="120" w:after="120"/>
        <w:jc w:val="left"/>
        <w:rPr>
          <w:b/>
          <w:snapToGrid w:val="0"/>
          <w:kern w:val="22"/>
          <w:szCs w:val="22"/>
        </w:rPr>
      </w:pPr>
      <w:r>
        <w:rPr>
          <w:b/>
          <w:snapToGrid w:val="0"/>
          <w:kern w:val="22"/>
          <w:szCs w:val="22"/>
        </w:rPr>
        <w:t>Supportive action on scaling and aligning incentive measures as per Article 11 of the Convention</w:t>
      </w:r>
    </w:p>
    <w:p w14:paraId="1AE92212" w14:textId="77777777" w:rsidR="0018728E" w:rsidRDefault="0018728E" w:rsidP="001513B5">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28.</w:t>
      </w:r>
      <w:r>
        <w:rPr>
          <w:snapToGrid w:val="0"/>
          <w:kern w:val="22"/>
          <w:szCs w:val="22"/>
        </w:rPr>
        <w:tab/>
      </w:r>
      <w:r>
        <w:rPr>
          <w:i/>
          <w:snapToGrid w:val="0"/>
          <w:kern w:val="22"/>
          <w:szCs w:val="22"/>
        </w:rPr>
        <w:t xml:space="preserve">Takes note with appreciation </w:t>
      </w:r>
      <w:r>
        <w:rPr>
          <w:snapToGrid w:val="0"/>
          <w:kern w:val="22"/>
          <w:szCs w:val="22"/>
        </w:rPr>
        <w:t>of the work of the Environmental Policy Committee of the Organisation for Economic Co-operation and Development to support countries in scaling up and aligning incentives, in particular on guidance to identify and assess incentives harmful to biodiversity, on tracking economic instruments and finance for biodiversity, and on aligning national budgets with climate, biodiversity and other environmental objective</w:t>
      </w:r>
      <w:r w:rsidRPr="001070F0">
        <w:rPr>
          <w:snapToGrid w:val="0"/>
          <w:kern w:val="22"/>
          <w:szCs w:val="22"/>
        </w:rPr>
        <w:t xml:space="preserve">s, and the relevant work of BIOFIN, and </w:t>
      </w:r>
      <w:r w:rsidRPr="001070F0">
        <w:rPr>
          <w:iCs/>
          <w:snapToGrid w:val="0"/>
          <w:kern w:val="22"/>
          <w:szCs w:val="22"/>
        </w:rPr>
        <w:t>encourages</w:t>
      </w:r>
      <w:r w:rsidRPr="001070F0">
        <w:rPr>
          <w:snapToGrid w:val="0"/>
          <w:kern w:val="22"/>
          <w:szCs w:val="22"/>
        </w:rPr>
        <w:t xml:space="preserve"> the organizations to continue and further intensify this wo</w:t>
      </w:r>
      <w:r>
        <w:rPr>
          <w:snapToGrid w:val="0"/>
          <w:kern w:val="22"/>
          <w:szCs w:val="22"/>
        </w:rPr>
        <w:t xml:space="preserve">rk; </w:t>
      </w:r>
    </w:p>
    <w:p w14:paraId="7CCCC0E9" w14:textId="77777777" w:rsidR="0018728E" w:rsidRPr="00FB6CE8" w:rsidRDefault="0018728E" w:rsidP="00563AC1">
      <w:pPr>
        <w:pStyle w:val="BodyText"/>
        <w:ind w:right="117" w:firstLine="0"/>
        <w:rPr>
          <w:b/>
          <w:bCs/>
          <w:iCs w:val="0"/>
        </w:rPr>
      </w:pPr>
      <w:r w:rsidRPr="00FB6CE8">
        <w:rPr>
          <w:b/>
          <w:bCs/>
          <w:iCs w:val="0"/>
        </w:rPr>
        <w:t xml:space="preserve">Global Biodiversity Framework Fund </w:t>
      </w:r>
    </w:p>
    <w:p w14:paraId="5611A992" w14:textId="77777777" w:rsidR="0018728E" w:rsidRPr="00FB6CE8" w:rsidRDefault="0018728E" w:rsidP="00692163">
      <w:pPr>
        <w:pStyle w:val="BodyText"/>
        <w:ind w:right="4" w:firstLine="630"/>
        <w:rPr>
          <w:iCs w:val="0"/>
        </w:rPr>
      </w:pPr>
      <w:r w:rsidRPr="00FB6CE8">
        <w:rPr>
          <w:iCs w:val="0"/>
        </w:rPr>
        <w:t>29.</w:t>
      </w:r>
      <w:r w:rsidRPr="00FB6CE8">
        <w:rPr>
          <w:iCs w:val="0"/>
        </w:rPr>
        <w:tab/>
      </w:r>
      <w:r w:rsidRPr="00FB6CE8">
        <w:rPr>
          <w:i/>
        </w:rPr>
        <w:t>Recognizes</w:t>
      </w:r>
      <w:r w:rsidRPr="00FB6CE8">
        <w:rPr>
          <w:iCs w:val="0"/>
        </w:rPr>
        <w:t xml:space="preserve"> the urgency to increase international biodiversity finance and to establish a dedicated and accessible fund in 2023 for the Kunming</w:t>
      </w:r>
      <w:r w:rsidRPr="00FB6CE8">
        <w:rPr>
          <w:iCs w:val="0"/>
        </w:rPr>
        <w:noBreakHyphen/>
        <w:t xml:space="preserve">Montreal Global Biodiversity Framework that can quickly mobilize and disburse new and additional resources from all sources, commensurate with the ambition of the </w:t>
      </w:r>
      <w:r w:rsidRPr="00FB6CE8">
        <w:rPr>
          <w:bCs/>
          <w:snapToGrid w:val="0"/>
          <w:szCs w:val="22"/>
          <w:lang w:val="en-US"/>
        </w:rPr>
        <w:t>Framework</w:t>
      </w:r>
      <w:r w:rsidRPr="00FB6CE8">
        <w:rPr>
          <w:iCs w:val="0"/>
        </w:rPr>
        <w:t>;</w:t>
      </w:r>
    </w:p>
    <w:p w14:paraId="7EA33AD9" w14:textId="77777777" w:rsidR="0018728E" w:rsidRPr="00FB6CE8" w:rsidRDefault="0018728E" w:rsidP="00692163">
      <w:pPr>
        <w:pStyle w:val="BodyText"/>
        <w:ind w:right="4" w:firstLine="630"/>
        <w:rPr>
          <w:iCs w:val="0"/>
        </w:rPr>
      </w:pPr>
      <w:r w:rsidRPr="00FB6CE8">
        <w:rPr>
          <w:iCs w:val="0"/>
        </w:rPr>
        <w:t>30.</w:t>
      </w:r>
      <w:r w:rsidRPr="00FB6CE8">
        <w:rPr>
          <w:iCs w:val="0"/>
        </w:rPr>
        <w:tab/>
      </w:r>
      <w:r w:rsidRPr="00FB6CE8">
        <w:rPr>
          <w:i/>
        </w:rPr>
        <w:t>Requests</w:t>
      </w:r>
      <w:r w:rsidRPr="00FB6CE8">
        <w:rPr>
          <w:iCs w:val="0"/>
        </w:rPr>
        <w:t xml:space="preserve"> the Global Environment Facility to establish, in 2023, and until 2030 unless the Conference of the Parties decides otherwise, a special trust fund to support </w:t>
      </w:r>
      <w:r w:rsidRPr="00FB6CE8">
        <w:rPr>
          <w:snapToGrid w:val="0"/>
          <w:kern w:val="20"/>
        </w:rPr>
        <w:t xml:space="preserve">the implementation of the </w:t>
      </w:r>
      <w:r w:rsidRPr="00FB6CE8">
        <w:rPr>
          <w:snapToGrid w:val="0"/>
          <w:kern w:val="22"/>
          <w:szCs w:val="22"/>
          <w:lang w:val="en-CA"/>
        </w:rPr>
        <w:t xml:space="preserve">Kunming-Montreal </w:t>
      </w:r>
      <w:r w:rsidRPr="00FB6CE8">
        <w:rPr>
          <w:snapToGrid w:val="0"/>
          <w:kern w:val="20"/>
        </w:rPr>
        <w:t>Global Biodiversity Framework</w:t>
      </w:r>
      <w:r w:rsidRPr="00FB6CE8">
        <w:rPr>
          <w:iCs w:val="0"/>
        </w:rPr>
        <w:t>, to complement existing support and scale up financing to ensure its timely implementation, taking into account the need for adequacy, predictability, and timely flow of funds;</w:t>
      </w:r>
    </w:p>
    <w:p w14:paraId="57159DDA" w14:textId="77777777" w:rsidR="0018728E" w:rsidRPr="00FB6CE8" w:rsidRDefault="0018728E" w:rsidP="00692163">
      <w:pPr>
        <w:pStyle w:val="BodyText"/>
        <w:ind w:right="4" w:firstLine="630"/>
        <w:rPr>
          <w:iCs w:val="0"/>
        </w:rPr>
      </w:pPr>
      <w:r w:rsidRPr="00FB6CE8">
        <w:rPr>
          <w:iCs w:val="0"/>
        </w:rPr>
        <w:t>31.</w:t>
      </w:r>
      <w:r w:rsidRPr="00FB6CE8">
        <w:rPr>
          <w:iCs w:val="0"/>
        </w:rPr>
        <w:tab/>
      </w:r>
      <w:r w:rsidRPr="00FB6CE8">
        <w:rPr>
          <w:i/>
        </w:rPr>
        <w:t>Also requests</w:t>
      </w:r>
      <w:r w:rsidRPr="00FB6CE8">
        <w:rPr>
          <w:iCs w:val="0"/>
        </w:rPr>
        <w:t xml:space="preserve"> the Global Environmental Facility to prepare a decision to be considered by the Council, on the approval of </w:t>
      </w:r>
      <w:r w:rsidRPr="000035B4">
        <w:rPr>
          <w:iCs w:val="0"/>
        </w:rPr>
        <w:t>the</w:t>
      </w:r>
      <w:r w:rsidRPr="00FB6CE8">
        <w:rPr>
          <w:iCs w:val="0"/>
        </w:rPr>
        <w:t xml:space="preserve"> Global Biodiversity Framework Fund, with its own equitable governing body, to be dedicated exclusively to supporting the implementation of the goals and targets of the Kunming-Montreal Global Biodiversity Framework; </w:t>
      </w:r>
    </w:p>
    <w:p w14:paraId="73559A52" w14:textId="77777777" w:rsidR="0018728E" w:rsidRPr="00FB6CE8" w:rsidRDefault="0018728E" w:rsidP="00692163">
      <w:pPr>
        <w:pStyle w:val="BodyText"/>
        <w:ind w:right="4" w:firstLine="630"/>
        <w:rPr>
          <w:iCs w:val="0"/>
        </w:rPr>
      </w:pPr>
      <w:r w:rsidRPr="00FB6CE8">
        <w:rPr>
          <w:iCs w:val="0"/>
        </w:rPr>
        <w:t>32.</w:t>
      </w:r>
      <w:r w:rsidRPr="00FB6CE8">
        <w:rPr>
          <w:iCs w:val="0"/>
        </w:rPr>
        <w:tab/>
      </w:r>
      <w:r w:rsidRPr="00FB6CE8">
        <w:rPr>
          <w:i/>
        </w:rPr>
        <w:t>Further requests</w:t>
      </w:r>
      <w:r w:rsidRPr="00FB6CE8">
        <w:rPr>
          <w:iCs w:val="0"/>
        </w:rPr>
        <w:t xml:space="preserve"> the Global Environment Facility to advance the necessary institutional and governance arrangements to allow for the Global Biodiversity Framework Fund to receive </w:t>
      </w:r>
      <w:r w:rsidRPr="00246F91">
        <w:rPr>
          <w:iCs w:val="0"/>
        </w:rPr>
        <w:t>financing</w:t>
      </w:r>
      <w:r w:rsidRPr="00FB6CE8">
        <w:rPr>
          <w:iCs w:val="0"/>
        </w:rPr>
        <w:t xml:space="preserve"> from all </w:t>
      </w:r>
      <w:r w:rsidRPr="00112A62">
        <w:rPr>
          <w:iCs w:val="0"/>
        </w:rPr>
        <w:t>sources,</w:t>
      </w:r>
      <w:r w:rsidRPr="008F6FFF">
        <w:rPr>
          <w:iCs w:val="0"/>
        </w:rPr>
        <w:t xml:space="preserve"> in addition to official development assistance</w:t>
      </w:r>
      <w:r w:rsidRPr="00112A62">
        <w:rPr>
          <w:iCs w:val="0"/>
        </w:rPr>
        <w:t>;</w:t>
      </w:r>
      <w:r w:rsidRPr="00FB6CE8">
        <w:rPr>
          <w:iCs w:val="0"/>
        </w:rPr>
        <w:t xml:space="preserve">  </w:t>
      </w:r>
    </w:p>
    <w:p w14:paraId="360E2BBC" w14:textId="77777777" w:rsidR="0018728E" w:rsidRPr="00FB6CE8" w:rsidRDefault="0018728E" w:rsidP="00692163">
      <w:pPr>
        <w:pStyle w:val="BodyText"/>
        <w:ind w:right="4" w:firstLine="630"/>
        <w:rPr>
          <w:iCs w:val="0"/>
        </w:rPr>
      </w:pPr>
      <w:r w:rsidRPr="00FB6CE8">
        <w:rPr>
          <w:iCs w:val="0"/>
        </w:rPr>
        <w:t>33.</w:t>
      </w:r>
      <w:r w:rsidRPr="00FB6CE8">
        <w:rPr>
          <w:iCs w:val="0"/>
        </w:rPr>
        <w:tab/>
      </w:r>
      <w:r w:rsidRPr="00FB6CE8">
        <w:rPr>
          <w:i/>
        </w:rPr>
        <w:t>Requests</w:t>
      </w:r>
      <w:r w:rsidRPr="00FB6CE8">
        <w:rPr>
          <w:iCs w:val="0"/>
        </w:rPr>
        <w:t xml:space="preserve"> the Global Environment Facility to design and implement a project cycle with a simple and effective application and approval process, providing easy and efficient access to resources of the Global Biodiversity Framework Fund;</w:t>
      </w:r>
    </w:p>
    <w:p w14:paraId="58B08D28" w14:textId="77777777" w:rsidR="0018728E" w:rsidRPr="00FB6CE8" w:rsidRDefault="0018728E" w:rsidP="00692163">
      <w:pPr>
        <w:pStyle w:val="BodyText"/>
        <w:ind w:right="4" w:firstLine="630"/>
        <w:rPr>
          <w:iCs w:val="0"/>
        </w:rPr>
      </w:pPr>
      <w:r w:rsidRPr="00FB6CE8">
        <w:rPr>
          <w:iCs w:val="0"/>
        </w:rPr>
        <w:t>34.</w:t>
      </w:r>
      <w:r w:rsidRPr="00FB6CE8">
        <w:rPr>
          <w:iCs w:val="0"/>
        </w:rPr>
        <w:tab/>
      </w:r>
      <w:r w:rsidRPr="00FB6CE8">
        <w:rPr>
          <w:i/>
        </w:rPr>
        <w:t>Calls upon</w:t>
      </w:r>
      <w:r w:rsidRPr="00FB6CE8">
        <w:rPr>
          <w:iCs w:val="0"/>
        </w:rPr>
        <w:t xml:space="preserve"> the Global Environment Facility to approve these decisions at the next possible session of the Council and its ratification at the next possible sessio</w:t>
      </w:r>
      <w:r w:rsidRPr="00C55FE0">
        <w:rPr>
          <w:iCs w:val="0"/>
        </w:rPr>
        <w:t>n of the Assembly in 2023;</w:t>
      </w:r>
    </w:p>
    <w:p w14:paraId="08242AC6" w14:textId="77777777" w:rsidR="0018728E" w:rsidRPr="00FB6CE8" w:rsidRDefault="0018728E" w:rsidP="00692163">
      <w:pPr>
        <w:pStyle w:val="BodyText"/>
        <w:ind w:right="4" w:firstLine="630"/>
        <w:rPr>
          <w:iCs w:val="0"/>
        </w:rPr>
      </w:pPr>
      <w:r w:rsidRPr="00FB6CE8">
        <w:rPr>
          <w:iCs w:val="0"/>
        </w:rPr>
        <w:lastRenderedPageBreak/>
        <w:t>35.</w:t>
      </w:r>
      <w:r w:rsidRPr="00FB6CE8">
        <w:rPr>
          <w:iCs w:val="0"/>
        </w:rPr>
        <w:tab/>
      </w:r>
      <w:r w:rsidRPr="00FB6CE8">
        <w:rPr>
          <w:i/>
        </w:rPr>
        <w:t>Calls for</w:t>
      </w:r>
      <w:r w:rsidRPr="00FB6CE8">
        <w:rPr>
          <w:iCs w:val="0"/>
        </w:rPr>
        <w:t xml:space="preserve"> immediate substantive contributions from all sources, in line with Target </w:t>
      </w:r>
      <w:r w:rsidRPr="008F6FFF">
        <w:rPr>
          <w:iCs w:val="0"/>
        </w:rPr>
        <w:t>19</w:t>
      </w:r>
      <w:r w:rsidRPr="00FB6CE8">
        <w:rPr>
          <w:iCs w:val="0"/>
        </w:rPr>
        <w:t xml:space="preserve"> of the Kunming-Montreal Global Biodiversity Framework;</w:t>
      </w:r>
    </w:p>
    <w:p w14:paraId="6E89AF57" w14:textId="77777777" w:rsidR="0018728E" w:rsidRPr="00FB6CE8" w:rsidRDefault="0018728E" w:rsidP="00BA7C92">
      <w:pPr>
        <w:pStyle w:val="BodyText"/>
        <w:ind w:right="4" w:firstLine="630"/>
        <w:rPr>
          <w:iCs w:val="0"/>
        </w:rPr>
      </w:pPr>
      <w:r w:rsidRPr="00BA7C92">
        <w:rPr>
          <w:iCs w:val="0"/>
        </w:rPr>
        <w:t>36.</w:t>
      </w:r>
      <w:r w:rsidRPr="00BA7C92">
        <w:rPr>
          <w:iCs w:val="0"/>
        </w:rPr>
        <w:tab/>
      </w:r>
      <w:r w:rsidRPr="00BA7C92">
        <w:rPr>
          <w:i/>
        </w:rPr>
        <w:t>Requests</w:t>
      </w:r>
      <w:r w:rsidRPr="00BA7C92">
        <w:rPr>
          <w:iCs w:val="0"/>
        </w:rPr>
        <w:t xml:space="preserve"> the Global Environmental Facility to engage all </w:t>
      </w:r>
      <w:r w:rsidRPr="008F6FFF">
        <w:rPr>
          <w:iCs w:val="0"/>
        </w:rPr>
        <w:t>m</w:t>
      </w:r>
      <w:r w:rsidRPr="00BA7C92">
        <w:rPr>
          <w:iCs w:val="0"/>
        </w:rPr>
        <w:t xml:space="preserve">ultilateral </w:t>
      </w:r>
      <w:r w:rsidRPr="008F6FFF">
        <w:rPr>
          <w:iCs w:val="0"/>
        </w:rPr>
        <w:t>d</w:t>
      </w:r>
      <w:r w:rsidRPr="00BA7C92">
        <w:rPr>
          <w:iCs w:val="0"/>
        </w:rPr>
        <w:t xml:space="preserve">evelopment </w:t>
      </w:r>
      <w:r w:rsidRPr="008F6FFF">
        <w:rPr>
          <w:iCs w:val="0"/>
        </w:rPr>
        <w:t>b</w:t>
      </w:r>
      <w:r w:rsidRPr="00BA7C92">
        <w:rPr>
          <w:iCs w:val="0"/>
        </w:rPr>
        <w:t xml:space="preserve">anks and other </w:t>
      </w:r>
      <w:r w:rsidRPr="008F6FFF">
        <w:rPr>
          <w:iCs w:val="0"/>
        </w:rPr>
        <w:t>i</w:t>
      </w:r>
      <w:r w:rsidRPr="00BA7C92">
        <w:rPr>
          <w:iCs w:val="0"/>
        </w:rPr>
        <w:t>nternational</w:t>
      </w:r>
      <w:r w:rsidRPr="00FB6CE8">
        <w:rPr>
          <w:iCs w:val="0"/>
        </w:rPr>
        <w:t xml:space="preserve"> </w:t>
      </w:r>
      <w:r w:rsidRPr="008F6FFF">
        <w:rPr>
          <w:iCs w:val="0"/>
        </w:rPr>
        <w:t>f</w:t>
      </w:r>
      <w:r w:rsidRPr="00FB6CE8">
        <w:rPr>
          <w:iCs w:val="0"/>
        </w:rPr>
        <w:t xml:space="preserve">inancial </w:t>
      </w:r>
      <w:r w:rsidRPr="008F6FFF">
        <w:rPr>
          <w:iCs w:val="0"/>
        </w:rPr>
        <w:t>i</w:t>
      </w:r>
      <w:r w:rsidRPr="00FB6CE8">
        <w:rPr>
          <w:iCs w:val="0"/>
        </w:rPr>
        <w:t>nstitutions in the design and operationalization of the Global Biodiversity Framework</w:t>
      </w:r>
      <w:r w:rsidRPr="008F6FFF" w:rsidDel="00307A63">
        <w:rPr>
          <w:iCs w:val="0"/>
        </w:rPr>
        <w:t xml:space="preserve"> </w:t>
      </w:r>
      <w:r w:rsidRPr="00FB6CE8">
        <w:rPr>
          <w:iCs w:val="0"/>
        </w:rPr>
        <w:t xml:space="preserve">Fund, with the view of leveraging additional resources from and for the Fund and channel them through new and existing biodiversity portfolios, which need to be aligned with the goals and targets of the </w:t>
      </w:r>
      <w:r w:rsidRPr="008F6FFF">
        <w:rPr>
          <w:iCs w:val="0"/>
        </w:rPr>
        <w:t>Kunming-Montreal G</w:t>
      </w:r>
      <w:r w:rsidRPr="00FB6CE8">
        <w:rPr>
          <w:iCs w:val="0"/>
        </w:rPr>
        <w:t xml:space="preserve">lobal </w:t>
      </w:r>
      <w:r w:rsidRPr="008F6FFF">
        <w:rPr>
          <w:iCs w:val="0"/>
        </w:rPr>
        <w:t>B</w:t>
      </w:r>
      <w:r w:rsidRPr="00FB6CE8">
        <w:rPr>
          <w:iCs w:val="0"/>
        </w:rPr>
        <w:t xml:space="preserve">iodiversity </w:t>
      </w:r>
      <w:r w:rsidRPr="008F6FFF">
        <w:rPr>
          <w:iCs w:val="0"/>
        </w:rPr>
        <w:t>F</w:t>
      </w:r>
      <w:r w:rsidRPr="00FB6CE8">
        <w:rPr>
          <w:iCs w:val="0"/>
        </w:rPr>
        <w:t>ramework;</w:t>
      </w:r>
    </w:p>
    <w:p w14:paraId="33188C66" w14:textId="77777777" w:rsidR="0018728E" w:rsidRPr="00D530DA" w:rsidRDefault="0018728E" w:rsidP="00BA7C92">
      <w:pPr>
        <w:pStyle w:val="BodyText"/>
        <w:ind w:right="4" w:firstLine="630"/>
        <w:rPr>
          <w:iCs w:val="0"/>
        </w:rPr>
      </w:pPr>
      <w:r w:rsidRPr="00D530DA">
        <w:rPr>
          <w:iCs w:val="0"/>
        </w:rPr>
        <w:t>37.</w:t>
      </w:r>
      <w:r w:rsidRPr="00D530DA">
        <w:rPr>
          <w:iCs w:val="0"/>
        </w:rPr>
        <w:tab/>
      </w:r>
      <w:r w:rsidRPr="008F6FFF">
        <w:rPr>
          <w:i/>
        </w:rPr>
        <w:t>Also r</w:t>
      </w:r>
      <w:r w:rsidRPr="00D530DA">
        <w:rPr>
          <w:i/>
        </w:rPr>
        <w:t>equests</w:t>
      </w:r>
      <w:r w:rsidRPr="00D530DA">
        <w:rPr>
          <w:iCs w:val="0"/>
        </w:rPr>
        <w:t xml:space="preserve"> the Global Environment Facility to </w:t>
      </w:r>
      <w:r w:rsidRPr="004118C8">
        <w:rPr>
          <w:iCs w:val="0"/>
        </w:rPr>
        <w:t>report on the progress in establishing</w:t>
      </w:r>
      <w:r>
        <w:rPr>
          <w:iCs w:val="0"/>
        </w:rPr>
        <w:t>,</w:t>
      </w:r>
      <w:r w:rsidRPr="004118C8">
        <w:rPr>
          <w:iCs w:val="0"/>
        </w:rPr>
        <w:t xml:space="preserve"> and </w:t>
      </w:r>
      <w:r w:rsidRPr="008F6FFF">
        <w:rPr>
          <w:iCs w:val="0"/>
        </w:rPr>
        <w:t xml:space="preserve">on </w:t>
      </w:r>
      <w:r w:rsidRPr="004118C8">
        <w:rPr>
          <w:iCs w:val="0"/>
        </w:rPr>
        <w:t>the operations and performance of</w:t>
      </w:r>
      <w:r>
        <w:rPr>
          <w:iCs w:val="0"/>
        </w:rPr>
        <w:t>,</w:t>
      </w:r>
      <w:r w:rsidRPr="004118C8">
        <w:rPr>
          <w:iCs w:val="0"/>
        </w:rPr>
        <w:t xml:space="preserve"> the Global Biodiversity Framework</w:t>
      </w:r>
      <w:r w:rsidRPr="008F6FFF" w:rsidDel="000A32B2">
        <w:rPr>
          <w:iCs w:val="0"/>
        </w:rPr>
        <w:t xml:space="preserve"> </w:t>
      </w:r>
      <w:r w:rsidRPr="004118C8">
        <w:rPr>
          <w:iCs w:val="0"/>
        </w:rPr>
        <w:t>Fund</w:t>
      </w:r>
      <w:r w:rsidRPr="008F6FFF">
        <w:rPr>
          <w:iCs w:val="0"/>
        </w:rPr>
        <w:t xml:space="preserve"> to future meetings of the Conference of the Parties</w:t>
      </w:r>
      <w:r w:rsidRPr="004118C8">
        <w:rPr>
          <w:iCs w:val="0"/>
        </w:rPr>
        <w:t>;</w:t>
      </w:r>
    </w:p>
    <w:p w14:paraId="4FCEFF31" w14:textId="77777777" w:rsidR="0018728E" w:rsidRPr="00D530DA" w:rsidRDefault="0018728E" w:rsidP="00BA7C92">
      <w:pPr>
        <w:pStyle w:val="BodyText"/>
        <w:ind w:right="4" w:firstLine="630"/>
        <w:rPr>
          <w:iCs w:val="0"/>
        </w:rPr>
      </w:pPr>
      <w:r w:rsidRPr="00D530DA">
        <w:rPr>
          <w:iCs w:val="0"/>
        </w:rPr>
        <w:t>38.</w:t>
      </w:r>
      <w:r w:rsidRPr="00D530DA">
        <w:rPr>
          <w:iCs w:val="0"/>
        </w:rPr>
        <w:tab/>
      </w:r>
      <w:r w:rsidRPr="00D530DA">
        <w:rPr>
          <w:i/>
        </w:rPr>
        <w:t>Decides</w:t>
      </w:r>
      <w:r w:rsidRPr="00D530DA">
        <w:rPr>
          <w:iCs w:val="0"/>
        </w:rPr>
        <w:t xml:space="preserve"> to assess the progress made in establishing, and </w:t>
      </w:r>
      <w:r>
        <w:rPr>
          <w:iCs w:val="0"/>
        </w:rPr>
        <w:t xml:space="preserve">on </w:t>
      </w:r>
      <w:r w:rsidRPr="00D530DA">
        <w:rPr>
          <w:iCs w:val="0"/>
        </w:rPr>
        <w:t>the operations and performance of, the Global Biodiversity Framework</w:t>
      </w:r>
      <w:r w:rsidRPr="008F6FFF" w:rsidDel="00AB4ECA">
        <w:rPr>
          <w:iCs w:val="0"/>
        </w:rPr>
        <w:t xml:space="preserve"> </w:t>
      </w:r>
      <w:r w:rsidRPr="00D530DA">
        <w:rPr>
          <w:iCs w:val="0"/>
        </w:rPr>
        <w:t>Fund, and to consider and adopt further guidance to the Global Environment Facility and to the governing body referred to paragraph 31 above, on the modalities and operation of the Fund, at its future meetings;</w:t>
      </w:r>
    </w:p>
    <w:p w14:paraId="5320E858" w14:textId="77777777" w:rsidR="0018728E" w:rsidRDefault="0018728E" w:rsidP="00BA7C92">
      <w:pPr>
        <w:pStyle w:val="BodyText"/>
        <w:ind w:right="4" w:firstLine="630"/>
        <w:rPr>
          <w:iCs w:val="0"/>
        </w:rPr>
      </w:pPr>
      <w:r w:rsidRPr="00C3450A">
        <w:rPr>
          <w:iCs w:val="0"/>
        </w:rPr>
        <w:t>39.</w:t>
      </w:r>
      <w:r w:rsidRPr="00C3450A">
        <w:rPr>
          <w:iCs w:val="0"/>
        </w:rPr>
        <w:tab/>
      </w:r>
      <w:r w:rsidRPr="008F6FFF">
        <w:rPr>
          <w:i/>
        </w:rPr>
        <w:t>Also d</w:t>
      </w:r>
      <w:r w:rsidRPr="00C3450A">
        <w:rPr>
          <w:i/>
        </w:rPr>
        <w:t>ecides</w:t>
      </w:r>
      <w:r w:rsidRPr="00C3450A">
        <w:rPr>
          <w:iCs w:val="0"/>
        </w:rPr>
        <w:t xml:space="preserve"> to undertake and act upon, at its eighteenth</w:t>
      </w:r>
      <w:r w:rsidRPr="008F6FFF">
        <w:rPr>
          <w:iCs w:val="0"/>
        </w:rPr>
        <w:t xml:space="preserve"> meeting</w:t>
      </w:r>
      <w:r w:rsidRPr="00C3450A">
        <w:rPr>
          <w:iCs w:val="0"/>
        </w:rPr>
        <w:t>, a stocktake</w:t>
      </w:r>
      <w:r w:rsidRPr="009F60F8">
        <w:rPr>
          <w:iCs w:val="0"/>
        </w:rPr>
        <w:t xml:space="preserve"> review on the operatio</w:t>
      </w:r>
      <w:r w:rsidRPr="002245AA">
        <w:rPr>
          <w:iCs w:val="0"/>
        </w:rPr>
        <w:t>ns and performance of the Global Biodiversity Framework</w:t>
      </w:r>
      <w:r w:rsidRPr="008F6FFF" w:rsidDel="00192EEF">
        <w:rPr>
          <w:iCs w:val="0"/>
        </w:rPr>
        <w:t xml:space="preserve"> </w:t>
      </w:r>
      <w:r w:rsidRPr="002245AA">
        <w:rPr>
          <w:iCs w:val="0"/>
        </w:rPr>
        <w:t>Fund regarding its scale, speed, accessibility, and future arrangements.</w:t>
      </w:r>
    </w:p>
    <w:bookmarkEnd w:id="60"/>
    <w:p w14:paraId="307E673D" w14:textId="77777777" w:rsidR="0018728E" w:rsidRPr="00A54C34" w:rsidRDefault="0018728E" w:rsidP="00BA7C92">
      <w:pPr>
        <w:suppressLineNumbers/>
        <w:suppressAutoHyphens/>
        <w:kinsoku w:val="0"/>
        <w:overflowPunct w:val="0"/>
        <w:autoSpaceDE w:val="0"/>
        <w:autoSpaceDN w:val="0"/>
        <w:adjustRightInd w:val="0"/>
        <w:snapToGrid w:val="0"/>
        <w:spacing w:before="120" w:after="120"/>
        <w:ind w:right="4"/>
        <w:rPr>
          <w:b/>
          <w:bCs/>
          <w:szCs w:val="22"/>
        </w:rPr>
      </w:pPr>
      <w:r>
        <w:rPr>
          <w:b/>
          <w:bCs/>
          <w:szCs w:val="22"/>
        </w:rPr>
        <w:t>Review of the strategy for resource mobilization</w:t>
      </w:r>
    </w:p>
    <w:p w14:paraId="7C4B5EE1" w14:textId="77777777" w:rsidR="0018728E" w:rsidRPr="00451F41" w:rsidRDefault="0018728E" w:rsidP="00BA7C92">
      <w:pPr>
        <w:suppressLineNumbers/>
        <w:suppressAutoHyphens/>
        <w:kinsoku w:val="0"/>
        <w:overflowPunct w:val="0"/>
        <w:autoSpaceDE w:val="0"/>
        <w:autoSpaceDN w:val="0"/>
        <w:adjustRightInd w:val="0"/>
        <w:snapToGrid w:val="0"/>
        <w:spacing w:before="120" w:after="120"/>
        <w:ind w:right="4" w:firstLine="720"/>
        <w:rPr>
          <w:rFonts w:eastAsia="DengXian"/>
          <w:snapToGrid w:val="0"/>
          <w:kern w:val="22"/>
          <w:szCs w:val="22"/>
          <w:lang w:eastAsia="zh-CN"/>
        </w:rPr>
      </w:pPr>
      <w:r>
        <w:rPr>
          <w:rFonts w:eastAsia="DengXian"/>
          <w:snapToGrid w:val="0"/>
          <w:kern w:val="22"/>
          <w:szCs w:val="22"/>
          <w:lang w:eastAsia="zh-CN"/>
        </w:rPr>
        <w:t>40.</w:t>
      </w:r>
      <w:r>
        <w:rPr>
          <w:rFonts w:eastAsia="DengXian"/>
          <w:snapToGrid w:val="0"/>
          <w:kern w:val="22"/>
          <w:szCs w:val="22"/>
          <w:lang w:eastAsia="zh-CN"/>
        </w:rPr>
        <w:tab/>
      </w:r>
      <w:r w:rsidRPr="003C6970">
        <w:rPr>
          <w:rFonts w:eastAsia="DengXian"/>
          <w:i/>
          <w:iCs/>
          <w:snapToGrid w:val="0"/>
          <w:kern w:val="22"/>
          <w:szCs w:val="22"/>
          <w:lang w:eastAsia="zh-CN"/>
        </w:rPr>
        <w:t>Decides</w:t>
      </w:r>
      <w:r w:rsidRPr="003C6970">
        <w:rPr>
          <w:rFonts w:eastAsia="DengXian"/>
          <w:snapToGrid w:val="0"/>
          <w:kern w:val="22"/>
          <w:szCs w:val="22"/>
          <w:lang w:eastAsia="zh-CN"/>
        </w:rPr>
        <w:t xml:space="preserve"> to review the </w:t>
      </w:r>
      <w:r>
        <w:rPr>
          <w:rFonts w:eastAsia="DengXian"/>
          <w:snapToGrid w:val="0"/>
          <w:kern w:val="22"/>
          <w:szCs w:val="22"/>
          <w:lang w:eastAsia="zh-CN"/>
        </w:rPr>
        <w:t>s</w:t>
      </w:r>
      <w:r w:rsidRPr="003C6970">
        <w:rPr>
          <w:rFonts w:eastAsia="DengXian"/>
          <w:snapToGrid w:val="0"/>
          <w:kern w:val="22"/>
          <w:szCs w:val="22"/>
          <w:lang w:eastAsia="zh-CN"/>
        </w:rPr>
        <w:t xml:space="preserve">trategy for </w:t>
      </w:r>
      <w:r>
        <w:rPr>
          <w:rFonts w:eastAsia="DengXian"/>
          <w:snapToGrid w:val="0"/>
          <w:kern w:val="22"/>
          <w:szCs w:val="22"/>
          <w:lang w:eastAsia="zh-CN"/>
        </w:rPr>
        <w:t>r</w:t>
      </w:r>
      <w:r w:rsidRPr="003C6970">
        <w:rPr>
          <w:rFonts w:eastAsia="DengXian"/>
          <w:snapToGrid w:val="0"/>
          <w:kern w:val="22"/>
          <w:szCs w:val="22"/>
          <w:lang w:eastAsia="zh-CN"/>
        </w:rPr>
        <w:t xml:space="preserve">esource </w:t>
      </w:r>
      <w:r>
        <w:rPr>
          <w:rFonts w:eastAsia="DengXian"/>
          <w:snapToGrid w:val="0"/>
          <w:kern w:val="22"/>
          <w:szCs w:val="22"/>
          <w:lang w:eastAsia="zh-CN"/>
        </w:rPr>
        <w:t>m</w:t>
      </w:r>
      <w:r w:rsidRPr="003C6970">
        <w:rPr>
          <w:rFonts w:eastAsia="DengXian"/>
          <w:snapToGrid w:val="0"/>
          <w:kern w:val="22"/>
          <w:szCs w:val="22"/>
          <w:lang w:eastAsia="zh-CN"/>
        </w:rPr>
        <w:t xml:space="preserve">obilization at its sixteenth meeting </w:t>
      </w:r>
      <w:r w:rsidRPr="003C6970">
        <w:rPr>
          <w:szCs w:val="22"/>
        </w:rPr>
        <w:t>to fully align the</w:t>
      </w:r>
      <w:r w:rsidRPr="003C6970">
        <w:rPr>
          <w:snapToGrid w:val="0"/>
          <w:kern w:val="22"/>
          <w:szCs w:val="22"/>
        </w:rPr>
        <w:t xml:space="preserve"> </w:t>
      </w:r>
      <w:r>
        <w:rPr>
          <w:snapToGrid w:val="0"/>
          <w:kern w:val="22"/>
          <w:szCs w:val="22"/>
        </w:rPr>
        <w:t>it</w:t>
      </w:r>
      <w:r w:rsidRPr="003C6970">
        <w:rPr>
          <w:snapToGrid w:val="0"/>
          <w:kern w:val="22"/>
          <w:szCs w:val="22"/>
        </w:rPr>
        <w:t xml:space="preserve"> with the </w:t>
      </w:r>
      <w:r>
        <w:rPr>
          <w:snapToGrid w:val="0"/>
          <w:kern w:val="22"/>
          <w:szCs w:val="22"/>
        </w:rPr>
        <w:t>Kunming-Montreal Global Biodiversity Framework</w:t>
      </w:r>
      <w:r w:rsidRPr="003C6970">
        <w:rPr>
          <w:snapToGrid w:val="0"/>
          <w:kern w:val="22"/>
          <w:szCs w:val="22"/>
        </w:rPr>
        <w:t xml:space="preserve"> and ensure </w:t>
      </w:r>
      <w:r>
        <w:rPr>
          <w:snapToGrid w:val="0"/>
          <w:kern w:val="22"/>
          <w:szCs w:val="22"/>
        </w:rPr>
        <w:t xml:space="preserve">that </w:t>
      </w:r>
      <w:r w:rsidRPr="003C6970">
        <w:rPr>
          <w:snapToGrid w:val="0"/>
          <w:kern w:val="22"/>
          <w:szCs w:val="22"/>
        </w:rPr>
        <w:t xml:space="preserve">it will provide a solid basis to guide Parties and other </w:t>
      </w:r>
      <w:r w:rsidRPr="00112ED8">
        <w:rPr>
          <w:snapToGrid w:val="0"/>
          <w:kern w:val="22"/>
          <w:szCs w:val="22"/>
        </w:rPr>
        <w:t>actors towards the mobilization of adequate resources</w:t>
      </w:r>
      <w:r>
        <w:rPr>
          <w:snapToGrid w:val="0"/>
          <w:kern w:val="22"/>
          <w:szCs w:val="22"/>
        </w:rPr>
        <w:t>,</w:t>
      </w:r>
      <w:r w:rsidRPr="00112ED8">
        <w:rPr>
          <w:snapToGrid w:val="0"/>
          <w:kern w:val="22"/>
          <w:szCs w:val="22"/>
        </w:rPr>
        <w:t xml:space="preserve"> commensurate with the ambition of the </w:t>
      </w:r>
      <w:r>
        <w:rPr>
          <w:snapToGrid w:val="0"/>
          <w:kern w:val="22"/>
          <w:szCs w:val="22"/>
        </w:rPr>
        <w:t>Framework</w:t>
      </w:r>
      <w:r w:rsidRPr="00112ED8">
        <w:rPr>
          <w:snapToGrid w:val="0"/>
          <w:kern w:val="22"/>
          <w:szCs w:val="22"/>
        </w:rPr>
        <w:t xml:space="preserve">; </w:t>
      </w:r>
    </w:p>
    <w:p w14:paraId="7283E821" w14:textId="77777777" w:rsidR="0018728E" w:rsidRPr="00112ED8" w:rsidRDefault="0018728E" w:rsidP="00BA7C92">
      <w:pPr>
        <w:suppressLineNumbers/>
        <w:suppressAutoHyphens/>
        <w:kinsoku w:val="0"/>
        <w:overflowPunct w:val="0"/>
        <w:autoSpaceDE w:val="0"/>
        <w:autoSpaceDN w:val="0"/>
        <w:adjustRightInd w:val="0"/>
        <w:snapToGrid w:val="0"/>
        <w:spacing w:before="120" w:after="120"/>
        <w:ind w:right="4" w:firstLine="720"/>
        <w:rPr>
          <w:snapToGrid w:val="0"/>
          <w:kern w:val="22"/>
          <w:szCs w:val="22"/>
        </w:rPr>
      </w:pPr>
      <w:r>
        <w:rPr>
          <w:snapToGrid w:val="0"/>
          <w:kern w:val="22"/>
          <w:szCs w:val="22"/>
        </w:rPr>
        <w:t>41</w:t>
      </w:r>
      <w:r w:rsidRPr="00112ED8">
        <w:rPr>
          <w:snapToGrid w:val="0"/>
          <w:kern w:val="22"/>
          <w:szCs w:val="22"/>
        </w:rPr>
        <w:t xml:space="preserve">. </w:t>
      </w:r>
      <w:r w:rsidRPr="00112ED8">
        <w:rPr>
          <w:snapToGrid w:val="0"/>
          <w:kern w:val="22"/>
          <w:szCs w:val="22"/>
        </w:rPr>
        <w:tab/>
      </w:r>
      <w:r>
        <w:rPr>
          <w:i/>
          <w:iCs/>
          <w:snapToGrid w:val="0"/>
          <w:kern w:val="22"/>
          <w:szCs w:val="22"/>
        </w:rPr>
        <w:t>Also d</w:t>
      </w:r>
      <w:r w:rsidRPr="00112ED8">
        <w:rPr>
          <w:i/>
          <w:iCs/>
          <w:snapToGrid w:val="0"/>
          <w:kern w:val="22"/>
          <w:szCs w:val="22"/>
        </w:rPr>
        <w:t>ecides</w:t>
      </w:r>
      <w:r w:rsidRPr="00112ED8">
        <w:rPr>
          <w:snapToGrid w:val="0"/>
          <w:kern w:val="22"/>
          <w:szCs w:val="22"/>
        </w:rPr>
        <w:t xml:space="preserve"> to explore the current finance landscape with a view to assessing gaps and overlaps, and to identifying opportunities to strengthen, simplify and reform existing instruments to strengthen the current finance landscape for biodiversity; </w:t>
      </w:r>
    </w:p>
    <w:p w14:paraId="496D26B6" w14:textId="77777777" w:rsidR="0018728E" w:rsidRDefault="0018728E" w:rsidP="00A3490B">
      <w:pPr>
        <w:suppressLineNumbers/>
        <w:suppressAutoHyphens/>
        <w:kinsoku w:val="0"/>
        <w:overflowPunct w:val="0"/>
        <w:autoSpaceDE w:val="0"/>
        <w:autoSpaceDN w:val="0"/>
        <w:adjustRightInd w:val="0"/>
        <w:snapToGrid w:val="0"/>
        <w:spacing w:before="120" w:after="120"/>
        <w:ind w:firstLine="709"/>
        <w:rPr>
          <w:snapToGrid w:val="0"/>
          <w:kern w:val="22"/>
          <w:szCs w:val="22"/>
        </w:rPr>
      </w:pPr>
      <w:r>
        <w:rPr>
          <w:snapToGrid w:val="0"/>
          <w:kern w:val="22"/>
          <w:szCs w:val="22"/>
        </w:rPr>
        <w:t>42</w:t>
      </w:r>
      <w:r w:rsidRPr="00112ED8">
        <w:rPr>
          <w:snapToGrid w:val="0"/>
          <w:kern w:val="22"/>
          <w:szCs w:val="22"/>
        </w:rPr>
        <w:t xml:space="preserve">. </w:t>
      </w:r>
      <w:r w:rsidRPr="00112ED8">
        <w:rPr>
          <w:snapToGrid w:val="0"/>
          <w:kern w:val="22"/>
          <w:szCs w:val="22"/>
        </w:rPr>
        <w:tab/>
      </w:r>
      <w:r w:rsidRPr="00112ED8">
        <w:rPr>
          <w:i/>
          <w:iCs/>
          <w:snapToGrid w:val="0"/>
          <w:kern w:val="22"/>
          <w:szCs w:val="22"/>
        </w:rPr>
        <w:t>Further decides</w:t>
      </w:r>
      <w:r w:rsidRPr="00112ED8">
        <w:rPr>
          <w:snapToGrid w:val="0"/>
          <w:kern w:val="22"/>
          <w:szCs w:val="22"/>
        </w:rPr>
        <w:t xml:space="preserve"> to explore proposals </w:t>
      </w:r>
      <w:r w:rsidRPr="00F573B8">
        <w:rPr>
          <w:snapToGrid w:val="0"/>
          <w:kern w:val="22"/>
          <w:szCs w:val="22"/>
        </w:rPr>
        <w:t>for a global instrument on biodiversity finance</w:t>
      </w:r>
      <w:r>
        <w:rPr>
          <w:snapToGrid w:val="0"/>
          <w:kern w:val="22"/>
          <w:szCs w:val="22"/>
        </w:rPr>
        <w:t xml:space="preserve"> </w:t>
      </w:r>
      <w:r w:rsidRPr="00112ED8">
        <w:rPr>
          <w:snapToGrid w:val="0"/>
          <w:kern w:val="22"/>
          <w:szCs w:val="22"/>
        </w:rPr>
        <w:t>to mobilize resources from all sources</w:t>
      </w:r>
      <w:r>
        <w:rPr>
          <w:snapToGrid w:val="0"/>
          <w:kern w:val="22"/>
          <w:szCs w:val="22"/>
        </w:rPr>
        <w:t>,</w:t>
      </w:r>
      <w:r w:rsidRPr="00112ED8">
        <w:rPr>
          <w:snapToGrid w:val="0"/>
          <w:kern w:val="22"/>
          <w:szCs w:val="22"/>
        </w:rPr>
        <w:t xml:space="preserve"> commensurate to the ambition of the </w:t>
      </w:r>
      <w:r>
        <w:rPr>
          <w:snapToGrid w:val="0"/>
          <w:kern w:val="22"/>
          <w:szCs w:val="22"/>
        </w:rPr>
        <w:t>Kunming-Montreal Global Biodiversity Framework,</w:t>
      </w:r>
      <w:r w:rsidRPr="00112ED8">
        <w:rPr>
          <w:snapToGrid w:val="0"/>
          <w:kern w:val="22"/>
          <w:szCs w:val="22"/>
        </w:rPr>
        <w:t xml:space="preserve"> based on the assessment made and the gaps identified </w:t>
      </w:r>
      <w:r>
        <w:rPr>
          <w:snapToGrid w:val="0"/>
          <w:kern w:val="22"/>
          <w:szCs w:val="22"/>
        </w:rPr>
        <w:t>pursuant to</w:t>
      </w:r>
      <w:r w:rsidRPr="00112ED8">
        <w:rPr>
          <w:snapToGrid w:val="0"/>
          <w:kern w:val="22"/>
          <w:szCs w:val="22"/>
        </w:rPr>
        <w:t xml:space="preserve"> </w:t>
      </w:r>
      <w:r w:rsidRPr="00DC6A36">
        <w:rPr>
          <w:snapToGrid w:val="0"/>
          <w:kern w:val="22"/>
          <w:szCs w:val="22"/>
        </w:rPr>
        <w:t>paragraph</w:t>
      </w:r>
      <w:r>
        <w:rPr>
          <w:snapToGrid w:val="0"/>
          <w:kern w:val="22"/>
          <w:szCs w:val="22"/>
        </w:rPr>
        <w:t xml:space="preserve"> 41 above</w:t>
      </w:r>
      <w:r w:rsidRPr="00112ED8">
        <w:rPr>
          <w:snapToGrid w:val="0"/>
          <w:kern w:val="22"/>
          <w:szCs w:val="22"/>
        </w:rPr>
        <w:t>;</w:t>
      </w:r>
    </w:p>
    <w:p w14:paraId="7B72DD2B" w14:textId="77777777" w:rsidR="0018728E" w:rsidRPr="003C6970" w:rsidRDefault="0018728E" w:rsidP="00A3490B">
      <w:pPr>
        <w:suppressLineNumbers/>
        <w:suppressAutoHyphens/>
        <w:kinsoku w:val="0"/>
        <w:overflowPunct w:val="0"/>
        <w:autoSpaceDE w:val="0"/>
        <w:autoSpaceDN w:val="0"/>
        <w:adjustRightInd w:val="0"/>
        <w:snapToGrid w:val="0"/>
        <w:spacing w:before="120" w:after="120"/>
        <w:ind w:firstLine="720"/>
        <w:rPr>
          <w:szCs w:val="22"/>
        </w:rPr>
      </w:pPr>
      <w:r>
        <w:rPr>
          <w:snapToGrid w:val="0"/>
          <w:kern w:val="22"/>
          <w:szCs w:val="22"/>
        </w:rPr>
        <w:t>43</w:t>
      </w:r>
      <w:r w:rsidRPr="00112ED8">
        <w:rPr>
          <w:snapToGrid w:val="0"/>
          <w:kern w:val="22"/>
          <w:szCs w:val="22"/>
        </w:rPr>
        <w:t xml:space="preserve">. </w:t>
      </w:r>
      <w:r w:rsidRPr="00112ED8">
        <w:rPr>
          <w:snapToGrid w:val="0"/>
          <w:kern w:val="22"/>
          <w:szCs w:val="22"/>
        </w:rPr>
        <w:tab/>
      </w:r>
      <w:r w:rsidRPr="00112ED8">
        <w:rPr>
          <w:i/>
          <w:iCs/>
          <w:szCs w:val="22"/>
        </w:rPr>
        <w:t xml:space="preserve">Establishes </w:t>
      </w:r>
      <w:r w:rsidRPr="00112ED8">
        <w:rPr>
          <w:szCs w:val="22"/>
        </w:rPr>
        <w:t xml:space="preserve">an </w:t>
      </w:r>
      <w:bookmarkStart w:id="61" w:name="_Hlk121518166"/>
      <w:r>
        <w:rPr>
          <w:szCs w:val="22"/>
        </w:rPr>
        <w:t>a</w:t>
      </w:r>
      <w:r w:rsidRPr="00112ED8">
        <w:rPr>
          <w:szCs w:val="22"/>
        </w:rPr>
        <w:t xml:space="preserve">dvisory </w:t>
      </w:r>
      <w:r>
        <w:rPr>
          <w:szCs w:val="22"/>
        </w:rPr>
        <w:t>c</w:t>
      </w:r>
      <w:r w:rsidRPr="00112ED8">
        <w:rPr>
          <w:szCs w:val="22"/>
        </w:rPr>
        <w:t xml:space="preserve">ommittee on </w:t>
      </w:r>
      <w:r>
        <w:rPr>
          <w:szCs w:val="22"/>
        </w:rPr>
        <w:t>r</w:t>
      </w:r>
      <w:r w:rsidRPr="00112ED8">
        <w:rPr>
          <w:szCs w:val="22"/>
        </w:rPr>
        <w:t xml:space="preserve">esource </w:t>
      </w:r>
      <w:r>
        <w:rPr>
          <w:szCs w:val="22"/>
        </w:rPr>
        <w:t>m</w:t>
      </w:r>
      <w:r w:rsidRPr="00112ED8">
        <w:rPr>
          <w:szCs w:val="22"/>
        </w:rPr>
        <w:t>obilization</w:t>
      </w:r>
      <w:bookmarkEnd w:id="61"/>
      <w:r w:rsidRPr="00112ED8">
        <w:rPr>
          <w:szCs w:val="22"/>
        </w:rPr>
        <w:t xml:space="preserve"> </w:t>
      </w:r>
      <w:r w:rsidRPr="009F60F8">
        <w:rPr>
          <w:szCs w:val="22"/>
        </w:rPr>
        <w:t xml:space="preserve">to support </w:t>
      </w:r>
      <w:r w:rsidRPr="008F6FFF">
        <w:rPr>
          <w:szCs w:val="22"/>
        </w:rPr>
        <w:t xml:space="preserve">the </w:t>
      </w:r>
      <w:r w:rsidRPr="009F60F8">
        <w:rPr>
          <w:szCs w:val="22"/>
        </w:rPr>
        <w:t xml:space="preserve">strengthening of the </w:t>
      </w:r>
      <w:r w:rsidRPr="009F60F8">
        <w:rPr>
          <w:snapToGrid w:val="0"/>
          <w:kern w:val="22"/>
          <w:szCs w:val="22"/>
        </w:rPr>
        <w:t>strategy for resource mobilization and to operationalize the decisions taken in the</w:t>
      </w:r>
      <w:r>
        <w:rPr>
          <w:snapToGrid w:val="0"/>
          <w:kern w:val="22"/>
          <w:szCs w:val="22"/>
        </w:rPr>
        <w:t xml:space="preserve"> previous </w:t>
      </w:r>
      <w:r w:rsidRPr="00112ED8">
        <w:rPr>
          <w:snapToGrid w:val="0"/>
          <w:kern w:val="22"/>
          <w:szCs w:val="22"/>
        </w:rPr>
        <w:t>paragraphs</w:t>
      </w:r>
      <w:r>
        <w:rPr>
          <w:snapToGrid w:val="0"/>
          <w:kern w:val="22"/>
          <w:szCs w:val="22"/>
        </w:rPr>
        <w:t>,</w:t>
      </w:r>
      <w:r w:rsidRPr="00112ED8">
        <w:rPr>
          <w:snapToGrid w:val="0"/>
          <w:kern w:val="22"/>
          <w:szCs w:val="22"/>
        </w:rPr>
        <w:t xml:space="preserve"> </w:t>
      </w:r>
      <w:r w:rsidRPr="00112ED8">
        <w:rPr>
          <w:szCs w:val="22"/>
        </w:rPr>
        <w:t xml:space="preserve">based on the </w:t>
      </w:r>
      <w:r>
        <w:rPr>
          <w:szCs w:val="22"/>
        </w:rPr>
        <w:t>t</w:t>
      </w:r>
      <w:r w:rsidRPr="00112ED8">
        <w:rPr>
          <w:szCs w:val="22"/>
        </w:rPr>
        <w:t xml:space="preserve">erms of </w:t>
      </w:r>
      <w:r>
        <w:rPr>
          <w:szCs w:val="22"/>
        </w:rPr>
        <w:t>r</w:t>
      </w:r>
      <w:r w:rsidRPr="00112ED8">
        <w:rPr>
          <w:szCs w:val="22"/>
        </w:rPr>
        <w:t xml:space="preserve">eference provided in </w:t>
      </w:r>
      <w:r>
        <w:rPr>
          <w:szCs w:val="22"/>
        </w:rPr>
        <w:t>a</w:t>
      </w:r>
      <w:r w:rsidRPr="00112ED8">
        <w:rPr>
          <w:szCs w:val="22"/>
        </w:rPr>
        <w:t xml:space="preserve">nnex II </w:t>
      </w:r>
      <w:r>
        <w:rPr>
          <w:szCs w:val="22"/>
        </w:rPr>
        <w:t>to</w:t>
      </w:r>
      <w:r w:rsidRPr="00112ED8">
        <w:rPr>
          <w:szCs w:val="22"/>
        </w:rPr>
        <w:t xml:space="preserve"> the present decision, and report thereon </w:t>
      </w:r>
      <w:r>
        <w:rPr>
          <w:szCs w:val="22"/>
        </w:rPr>
        <w:t xml:space="preserve">to </w:t>
      </w:r>
      <w:r w:rsidRPr="00112ED8">
        <w:rPr>
          <w:szCs w:val="22"/>
        </w:rPr>
        <w:t xml:space="preserve">the Subsidiary Body </w:t>
      </w:r>
      <w:r>
        <w:rPr>
          <w:szCs w:val="22"/>
        </w:rPr>
        <w:t>on</w:t>
      </w:r>
      <w:r w:rsidRPr="00112ED8">
        <w:rPr>
          <w:szCs w:val="22"/>
        </w:rPr>
        <w:t xml:space="preserve"> Implementation </w:t>
      </w:r>
      <w:r>
        <w:rPr>
          <w:szCs w:val="22"/>
        </w:rPr>
        <w:t xml:space="preserve">and </w:t>
      </w:r>
      <w:r w:rsidRPr="00A24649">
        <w:rPr>
          <w:szCs w:val="22"/>
        </w:rPr>
        <w:t>subsequently to the Conference of the Parties at its sixteenth meeting;</w:t>
      </w:r>
      <w:r w:rsidRPr="003C6970">
        <w:rPr>
          <w:szCs w:val="22"/>
        </w:rPr>
        <w:t xml:space="preserve"> </w:t>
      </w:r>
    </w:p>
    <w:p w14:paraId="009BBEA6" w14:textId="77777777" w:rsidR="0018728E" w:rsidRPr="003C6970"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44</w:t>
      </w:r>
      <w:r w:rsidRPr="003C6970">
        <w:rPr>
          <w:snapToGrid w:val="0"/>
          <w:kern w:val="22"/>
          <w:szCs w:val="22"/>
        </w:rPr>
        <w:t>.</w:t>
      </w:r>
      <w:r w:rsidRPr="003C6970">
        <w:rPr>
          <w:snapToGrid w:val="0"/>
          <w:kern w:val="22"/>
          <w:szCs w:val="22"/>
        </w:rPr>
        <w:tab/>
      </w:r>
      <w:r w:rsidRPr="003C6970">
        <w:rPr>
          <w:i/>
          <w:snapToGrid w:val="0"/>
          <w:kern w:val="22"/>
          <w:szCs w:val="22"/>
        </w:rPr>
        <w:t>Invites</w:t>
      </w:r>
      <w:r w:rsidRPr="003C6970">
        <w:rPr>
          <w:snapToGrid w:val="0"/>
          <w:kern w:val="22"/>
          <w:szCs w:val="22"/>
        </w:rPr>
        <w:t xml:space="preserve"> Parties, other Governments, as well as relevant international organizations and initiatives to make submissions to the Executive Secretary on their experience,</w:t>
      </w:r>
      <w:r w:rsidRPr="003C6970">
        <w:rPr>
          <w:szCs w:val="22"/>
        </w:rPr>
        <w:t xml:space="preserve"> good practices and lessons learned </w:t>
      </w:r>
      <w:r w:rsidRPr="003C6970">
        <w:rPr>
          <w:snapToGrid w:val="0"/>
          <w:kern w:val="22"/>
          <w:szCs w:val="22"/>
        </w:rPr>
        <w:t xml:space="preserve">with the </w:t>
      </w:r>
      <w:r>
        <w:rPr>
          <w:snapToGrid w:val="0"/>
          <w:kern w:val="22"/>
          <w:szCs w:val="22"/>
        </w:rPr>
        <w:t>s</w:t>
      </w:r>
      <w:r w:rsidRPr="003C6970">
        <w:rPr>
          <w:snapToGrid w:val="0"/>
          <w:kern w:val="22"/>
          <w:szCs w:val="22"/>
        </w:rPr>
        <w:t xml:space="preserve">trategy for </w:t>
      </w:r>
      <w:r>
        <w:rPr>
          <w:snapToGrid w:val="0"/>
          <w:kern w:val="22"/>
          <w:szCs w:val="22"/>
        </w:rPr>
        <w:t>r</w:t>
      </w:r>
      <w:r w:rsidRPr="003C6970">
        <w:rPr>
          <w:snapToGrid w:val="0"/>
          <w:kern w:val="22"/>
          <w:szCs w:val="22"/>
        </w:rPr>
        <w:t xml:space="preserve">esource </w:t>
      </w:r>
      <w:r>
        <w:rPr>
          <w:snapToGrid w:val="0"/>
          <w:kern w:val="22"/>
          <w:szCs w:val="22"/>
        </w:rPr>
        <w:t>m</w:t>
      </w:r>
      <w:r w:rsidRPr="003C6970">
        <w:rPr>
          <w:snapToGrid w:val="0"/>
          <w:kern w:val="22"/>
          <w:szCs w:val="22"/>
        </w:rPr>
        <w:t xml:space="preserve">obilization </w:t>
      </w:r>
      <w:r w:rsidRPr="00152D85">
        <w:rPr>
          <w:snapToGrid w:val="0"/>
          <w:kern w:val="22"/>
          <w:szCs w:val="22"/>
        </w:rPr>
        <w:t>regarding</w:t>
      </w:r>
      <w:r w:rsidRPr="003C6970">
        <w:rPr>
          <w:snapToGrid w:val="0"/>
          <w:kern w:val="22"/>
          <w:szCs w:val="22"/>
        </w:rPr>
        <w:t xml:space="preserve"> its contribution towards facilitating the immediate mobili</w:t>
      </w:r>
      <w:r>
        <w:rPr>
          <w:snapToGrid w:val="0"/>
          <w:kern w:val="22"/>
          <w:szCs w:val="22"/>
        </w:rPr>
        <w:t>z</w:t>
      </w:r>
      <w:r w:rsidRPr="003C6970">
        <w:rPr>
          <w:snapToGrid w:val="0"/>
          <w:kern w:val="22"/>
          <w:szCs w:val="22"/>
        </w:rPr>
        <w:t xml:space="preserve">ation of resources in support of the implementation of the </w:t>
      </w:r>
      <w:r>
        <w:rPr>
          <w:snapToGrid w:val="0"/>
          <w:kern w:val="22"/>
          <w:szCs w:val="22"/>
        </w:rPr>
        <w:t>Kunming-Montreal Global Biodiversity Framework</w:t>
      </w:r>
      <w:r w:rsidRPr="003C6970">
        <w:rPr>
          <w:i/>
          <w:iCs/>
          <w:snapToGrid w:val="0"/>
          <w:kern w:val="22"/>
          <w:szCs w:val="22"/>
        </w:rPr>
        <w:t xml:space="preserve"> </w:t>
      </w:r>
      <w:r w:rsidRPr="008F6FFF">
        <w:rPr>
          <w:snapToGrid w:val="0"/>
          <w:kern w:val="22"/>
          <w:szCs w:val="22"/>
        </w:rPr>
        <w:t>and requests</w:t>
      </w:r>
      <w:r w:rsidRPr="003C6970">
        <w:rPr>
          <w:snapToGrid w:val="0"/>
          <w:kern w:val="22"/>
          <w:szCs w:val="22"/>
        </w:rPr>
        <w:t xml:space="preserve"> the Executive Secretary to compile these submissions for consideration by the </w:t>
      </w:r>
      <w:r>
        <w:rPr>
          <w:snapToGrid w:val="0"/>
          <w:kern w:val="22"/>
          <w:szCs w:val="22"/>
        </w:rPr>
        <w:t>Advisory</w:t>
      </w:r>
      <w:r w:rsidRPr="003C6970">
        <w:rPr>
          <w:snapToGrid w:val="0"/>
          <w:kern w:val="22"/>
          <w:szCs w:val="22"/>
        </w:rPr>
        <w:t xml:space="preserve"> Committee on Resource Mobilization</w:t>
      </w:r>
      <w:r>
        <w:rPr>
          <w:snapToGrid w:val="0"/>
          <w:kern w:val="22"/>
          <w:szCs w:val="22"/>
        </w:rPr>
        <w:t xml:space="preserve"> established pursuant to paragraph 43 above</w:t>
      </w:r>
      <w:r w:rsidRPr="003C6970">
        <w:rPr>
          <w:snapToGrid w:val="0"/>
          <w:kern w:val="22"/>
          <w:szCs w:val="22"/>
        </w:rPr>
        <w:t xml:space="preserve">; </w:t>
      </w:r>
    </w:p>
    <w:p w14:paraId="71ED9BE0" w14:textId="77777777" w:rsidR="0018728E" w:rsidRPr="003C6970"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45</w:t>
      </w:r>
      <w:r w:rsidRPr="003C6970">
        <w:rPr>
          <w:snapToGrid w:val="0"/>
          <w:kern w:val="22"/>
          <w:szCs w:val="22"/>
        </w:rPr>
        <w:t>.</w:t>
      </w:r>
      <w:r w:rsidRPr="003C6970">
        <w:rPr>
          <w:snapToGrid w:val="0"/>
          <w:kern w:val="22"/>
          <w:szCs w:val="22"/>
        </w:rPr>
        <w:tab/>
      </w:r>
      <w:r w:rsidRPr="003C6970">
        <w:rPr>
          <w:i/>
          <w:snapToGrid w:val="0"/>
          <w:kern w:val="22"/>
          <w:szCs w:val="22"/>
        </w:rPr>
        <w:t>Requests</w:t>
      </w:r>
      <w:r w:rsidRPr="003C6970">
        <w:rPr>
          <w:snapToGrid w:val="0"/>
          <w:kern w:val="22"/>
          <w:szCs w:val="22"/>
        </w:rPr>
        <w:t xml:space="preserve"> </w:t>
      </w:r>
      <w:r w:rsidRPr="00112ED8">
        <w:rPr>
          <w:snapToGrid w:val="0"/>
          <w:kern w:val="22"/>
          <w:szCs w:val="22"/>
        </w:rPr>
        <w:t xml:space="preserve">the Subsidiary Body on Implementation to </w:t>
      </w:r>
      <w:r w:rsidRPr="00112ED8">
        <w:rPr>
          <w:szCs w:val="22"/>
        </w:rPr>
        <w:t>consider and further develop</w:t>
      </w:r>
      <w:r>
        <w:rPr>
          <w:szCs w:val="22"/>
        </w:rPr>
        <w:t>,</w:t>
      </w:r>
      <w:r w:rsidRPr="00112ED8">
        <w:rPr>
          <w:szCs w:val="22"/>
        </w:rPr>
        <w:t xml:space="preserve"> as appropriate</w:t>
      </w:r>
      <w:r>
        <w:rPr>
          <w:szCs w:val="22"/>
        </w:rPr>
        <w:t>,</w:t>
      </w:r>
      <w:r w:rsidRPr="00112ED8">
        <w:rPr>
          <w:szCs w:val="22"/>
        </w:rPr>
        <w:t xml:space="preserve"> the recommendations</w:t>
      </w:r>
      <w:r>
        <w:rPr>
          <w:szCs w:val="22"/>
        </w:rPr>
        <w:t xml:space="preserve"> </w:t>
      </w:r>
      <w:r w:rsidRPr="00112ED8">
        <w:rPr>
          <w:snapToGrid w:val="0"/>
          <w:kern w:val="22"/>
          <w:szCs w:val="22"/>
        </w:rPr>
        <w:t>from the Advisory Committee</w:t>
      </w:r>
      <w:r>
        <w:rPr>
          <w:snapToGrid w:val="0"/>
          <w:kern w:val="22"/>
          <w:szCs w:val="22"/>
        </w:rPr>
        <w:t xml:space="preserve"> </w:t>
      </w:r>
      <w:r w:rsidRPr="003C6970">
        <w:rPr>
          <w:snapToGrid w:val="0"/>
          <w:kern w:val="22"/>
          <w:szCs w:val="22"/>
        </w:rPr>
        <w:t xml:space="preserve">on Resource </w:t>
      </w:r>
      <w:r>
        <w:rPr>
          <w:snapToGrid w:val="0"/>
          <w:kern w:val="22"/>
          <w:szCs w:val="22"/>
        </w:rPr>
        <w:t xml:space="preserve">Mobilization, </w:t>
      </w:r>
      <w:r w:rsidRPr="00CC5185">
        <w:rPr>
          <w:snapToGrid w:val="0"/>
          <w:kern w:val="22"/>
          <w:szCs w:val="22"/>
        </w:rPr>
        <w:t xml:space="preserve">for </w:t>
      </w:r>
      <w:r>
        <w:rPr>
          <w:snapToGrid w:val="0"/>
          <w:kern w:val="22"/>
          <w:szCs w:val="22"/>
        </w:rPr>
        <w:t xml:space="preserve">further </w:t>
      </w:r>
      <w:r w:rsidRPr="00CC5185">
        <w:rPr>
          <w:snapToGrid w:val="0"/>
          <w:kern w:val="22"/>
          <w:szCs w:val="22"/>
        </w:rPr>
        <w:t>consideration and adoption</w:t>
      </w:r>
      <w:r w:rsidRPr="00112ED8">
        <w:rPr>
          <w:snapToGrid w:val="0"/>
          <w:kern w:val="22"/>
          <w:szCs w:val="22"/>
        </w:rPr>
        <w:t xml:space="preserve"> by the Conference</w:t>
      </w:r>
      <w:r w:rsidRPr="003C6970">
        <w:rPr>
          <w:snapToGrid w:val="0"/>
          <w:kern w:val="22"/>
          <w:szCs w:val="22"/>
        </w:rPr>
        <w:t xml:space="preserve"> of the Parties at its sixteenth meeting;</w:t>
      </w:r>
    </w:p>
    <w:p w14:paraId="4381DBB5" w14:textId="77777777" w:rsidR="0018728E" w:rsidRPr="008B54C5" w:rsidRDefault="0018728E" w:rsidP="00A3490B">
      <w:pPr>
        <w:suppressLineNumbers/>
        <w:suppressAutoHyphens/>
        <w:kinsoku w:val="0"/>
        <w:overflowPunct w:val="0"/>
        <w:autoSpaceDE w:val="0"/>
        <w:autoSpaceDN w:val="0"/>
        <w:adjustRightInd w:val="0"/>
        <w:snapToGrid w:val="0"/>
        <w:spacing w:before="120" w:after="120"/>
        <w:ind w:firstLine="720"/>
        <w:rPr>
          <w:b/>
          <w:bCs/>
          <w:snapToGrid w:val="0"/>
          <w:kern w:val="22"/>
          <w:szCs w:val="22"/>
        </w:rPr>
      </w:pPr>
      <w:r>
        <w:rPr>
          <w:snapToGrid w:val="0"/>
          <w:kern w:val="22"/>
          <w:szCs w:val="22"/>
        </w:rPr>
        <w:t>46</w:t>
      </w:r>
      <w:r w:rsidRPr="003C6970">
        <w:rPr>
          <w:snapToGrid w:val="0"/>
          <w:kern w:val="22"/>
          <w:szCs w:val="22"/>
        </w:rPr>
        <w:t>.</w:t>
      </w:r>
      <w:r w:rsidRPr="003C6970">
        <w:rPr>
          <w:snapToGrid w:val="0"/>
          <w:kern w:val="22"/>
          <w:szCs w:val="22"/>
        </w:rPr>
        <w:tab/>
      </w:r>
      <w:r w:rsidRPr="003C6970">
        <w:rPr>
          <w:i/>
          <w:iCs/>
          <w:snapToGrid w:val="0"/>
          <w:kern w:val="22"/>
          <w:szCs w:val="22"/>
        </w:rPr>
        <w:t xml:space="preserve">Decides </w:t>
      </w:r>
      <w:r w:rsidRPr="003C6970">
        <w:rPr>
          <w:snapToGrid w:val="0"/>
          <w:kern w:val="22"/>
          <w:szCs w:val="22"/>
        </w:rPr>
        <w:t xml:space="preserve">to keep the implementation of the </w:t>
      </w:r>
      <w:r>
        <w:rPr>
          <w:snapToGrid w:val="0"/>
          <w:kern w:val="22"/>
          <w:szCs w:val="22"/>
        </w:rPr>
        <w:t>s</w:t>
      </w:r>
      <w:r w:rsidRPr="003C6970">
        <w:rPr>
          <w:snapToGrid w:val="0"/>
          <w:kern w:val="22"/>
          <w:szCs w:val="22"/>
        </w:rPr>
        <w:t xml:space="preserve">trategy for </w:t>
      </w:r>
      <w:r>
        <w:rPr>
          <w:snapToGrid w:val="0"/>
          <w:kern w:val="22"/>
          <w:szCs w:val="22"/>
        </w:rPr>
        <w:t>r</w:t>
      </w:r>
      <w:r w:rsidRPr="003C6970">
        <w:rPr>
          <w:snapToGrid w:val="0"/>
          <w:kern w:val="22"/>
          <w:szCs w:val="22"/>
        </w:rPr>
        <w:t xml:space="preserve">esource </w:t>
      </w:r>
      <w:r>
        <w:rPr>
          <w:snapToGrid w:val="0"/>
          <w:kern w:val="22"/>
          <w:szCs w:val="22"/>
        </w:rPr>
        <w:t>m</w:t>
      </w:r>
      <w:r w:rsidRPr="003C6970">
        <w:rPr>
          <w:snapToGrid w:val="0"/>
          <w:kern w:val="22"/>
          <w:szCs w:val="22"/>
        </w:rPr>
        <w:t xml:space="preserve">obilization under review at each </w:t>
      </w:r>
      <w:r>
        <w:rPr>
          <w:snapToGrid w:val="0"/>
          <w:kern w:val="22"/>
          <w:szCs w:val="22"/>
        </w:rPr>
        <w:t>meeting of the Conference of the Parties</w:t>
      </w:r>
      <w:r w:rsidRPr="003C6970">
        <w:rPr>
          <w:snapToGrid w:val="0"/>
          <w:kern w:val="22"/>
          <w:szCs w:val="22"/>
        </w:rPr>
        <w:t xml:space="preserve">, starting at </w:t>
      </w:r>
      <w:r w:rsidRPr="00790717">
        <w:rPr>
          <w:snapToGrid w:val="0"/>
          <w:kern w:val="22"/>
          <w:szCs w:val="22"/>
        </w:rPr>
        <w:t>the seventeenth</w:t>
      </w:r>
      <w:r>
        <w:rPr>
          <w:snapToGrid w:val="0"/>
          <w:kern w:val="22"/>
          <w:szCs w:val="22"/>
        </w:rPr>
        <w:t xml:space="preserve"> meeting</w:t>
      </w:r>
      <w:r w:rsidRPr="003C6970">
        <w:rPr>
          <w:snapToGrid w:val="0"/>
          <w:kern w:val="22"/>
          <w:szCs w:val="22"/>
        </w:rPr>
        <w:t xml:space="preserve">, through the global </w:t>
      </w:r>
      <w:r w:rsidRPr="003C6970">
        <w:rPr>
          <w:snapToGrid w:val="0"/>
          <w:kern w:val="22"/>
          <w:szCs w:val="22"/>
        </w:rPr>
        <w:lastRenderedPageBreak/>
        <w:t xml:space="preserve">stocktake, establishing an iterative process to facilitate any further adaptation of the strategy </w:t>
      </w:r>
      <w:r>
        <w:rPr>
          <w:snapToGrid w:val="0"/>
          <w:kern w:val="22"/>
          <w:szCs w:val="22"/>
        </w:rPr>
        <w:t xml:space="preserve">and associated institutional arrangements </w:t>
      </w:r>
      <w:r w:rsidRPr="003C6970">
        <w:rPr>
          <w:snapToGrid w:val="0"/>
          <w:kern w:val="22"/>
          <w:szCs w:val="22"/>
        </w:rPr>
        <w:t xml:space="preserve">to allow for the timely mobilization of resources in support of the implementation of the </w:t>
      </w:r>
      <w:r>
        <w:rPr>
          <w:snapToGrid w:val="0"/>
          <w:kern w:val="22"/>
          <w:szCs w:val="22"/>
        </w:rPr>
        <w:t>Kunming-Montreal Global Biodiversity Framework</w:t>
      </w:r>
      <w:r w:rsidRPr="003C6970">
        <w:rPr>
          <w:snapToGrid w:val="0"/>
          <w:kern w:val="22"/>
          <w:szCs w:val="22"/>
        </w:rPr>
        <w:t xml:space="preserve"> by 2030;</w:t>
      </w:r>
    </w:p>
    <w:p w14:paraId="67D69361" w14:textId="77777777" w:rsidR="0018728E" w:rsidRDefault="0018728E" w:rsidP="00A3490B">
      <w:pPr>
        <w:keepNext/>
        <w:suppressLineNumbers/>
        <w:suppressAutoHyphens/>
        <w:kinsoku w:val="0"/>
        <w:overflowPunct w:val="0"/>
        <w:autoSpaceDE w:val="0"/>
        <w:autoSpaceDN w:val="0"/>
        <w:adjustRightInd w:val="0"/>
        <w:snapToGrid w:val="0"/>
        <w:spacing w:before="120" w:after="120"/>
        <w:ind w:hanging="11"/>
        <w:jc w:val="left"/>
        <w:rPr>
          <w:b/>
          <w:snapToGrid w:val="0"/>
          <w:kern w:val="22"/>
          <w:szCs w:val="22"/>
        </w:rPr>
      </w:pPr>
      <w:r>
        <w:rPr>
          <w:b/>
          <w:snapToGrid w:val="0"/>
          <w:kern w:val="22"/>
          <w:szCs w:val="22"/>
        </w:rPr>
        <w:t>Supportive activities of the Executive Secretary</w:t>
      </w:r>
    </w:p>
    <w:p w14:paraId="2DE0EE45" w14:textId="77777777" w:rsidR="0018728E"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47.</w:t>
      </w:r>
      <w:r>
        <w:rPr>
          <w:snapToGrid w:val="0"/>
          <w:kern w:val="22"/>
          <w:szCs w:val="22"/>
        </w:rPr>
        <w:tab/>
      </w:r>
      <w:r w:rsidRPr="00773D29">
        <w:rPr>
          <w:i/>
          <w:snapToGrid w:val="0"/>
          <w:kern w:val="22"/>
          <w:szCs w:val="22"/>
        </w:rPr>
        <w:t>Requests</w:t>
      </w:r>
      <w:r w:rsidRPr="00773D29">
        <w:rPr>
          <w:snapToGrid w:val="0"/>
          <w:kern w:val="22"/>
          <w:szCs w:val="22"/>
        </w:rPr>
        <w:t xml:space="preserve"> the Executive Secretary, subject to the availability of financial resources:</w:t>
      </w:r>
    </w:p>
    <w:p w14:paraId="2921947A" w14:textId="77777777" w:rsidR="0018728E" w:rsidRPr="00773D29"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773D29">
        <w:rPr>
          <w:rFonts w:eastAsia="DengXian"/>
          <w:snapToGrid w:val="0"/>
          <w:kern w:val="22"/>
          <w:szCs w:val="22"/>
          <w:lang w:eastAsia="zh-CN"/>
        </w:rPr>
        <w:t>(a)</w:t>
      </w:r>
      <w:r w:rsidRPr="00773D29">
        <w:rPr>
          <w:rFonts w:eastAsia="DengXian"/>
          <w:snapToGrid w:val="0"/>
          <w:kern w:val="22"/>
          <w:szCs w:val="22"/>
          <w:lang w:eastAsia="zh-CN"/>
        </w:rPr>
        <w:tab/>
      </w:r>
      <w:r>
        <w:rPr>
          <w:rFonts w:eastAsia="DengXian"/>
          <w:snapToGrid w:val="0"/>
          <w:kern w:val="22"/>
          <w:szCs w:val="22"/>
          <w:lang w:eastAsia="zh-CN"/>
        </w:rPr>
        <w:t>T</w:t>
      </w:r>
      <w:r w:rsidRPr="00773D29">
        <w:rPr>
          <w:rFonts w:eastAsia="DengXian"/>
          <w:snapToGrid w:val="0"/>
          <w:kern w:val="22"/>
          <w:szCs w:val="22"/>
          <w:lang w:eastAsia="zh-CN"/>
        </w:rPr>
        <w:t xml:space="preserve">o establish a </w:t>
      </w:r>
      <w:r w:rsidRPr="00F104B1">
        <w:rPr>
          <w:rFonts w:eastAsia="DengXian"/>
          <w:snapToGrid w:val="0"/>
          <w:kern w:val="22"/>
          <w:szCs w:val="22"/>
          <w:lang w:eastAsia="zh-CN"/>
        </w:rPr>
        <w:t>technical expert group with</w:t>
      </w:r>
      <w:r w:rsidRPr="00773D29">
        <w:rPr>
          <w:rFonts w:eastAsia="DengXian"/>
          <w:snapToGrid w:val="0"/>
          <w:kern w:val="22"/>
          <w:szCs w:val="22"/>
          <w:lang w:eastAsia="zh-CN"/>
        </w:rPr>
        <w:t xml:space="preserve"> terms of reference provided in </w:t>
      </w:r>
      <w:r>
        <w:rPr>
          <w:rFonts w:eastAsia="DengXian"/>
          <w:snapToGrid w:val="0"/>
          <w:kern w:val="22"/>
          <w:szCs w:val="22"/>
          <w:lang w:eastAsia="zh-CN"/>
        </w:rPr>
        <w:t>a</w:t>
      </w:r>
      <w:r w:rsidRPr="00773D29">
        <w:rPr>
          <w:rFonts w:eastAsia="DengXian"/>
          <w:snapToGrid w:val="0"/>
          <w:kern w:val="22"/>
          <w:szCs w:val="22"/>
          <w:lang w:eastAsia="zh-CN"/>
        </w:rPr>
        <w:t>nnex I</w:t>
      </w:r>
      <w:r>
        <w:rPr>
          <w:rFonts w:eastAsia="DengXian"/>
          <w:snapToGrid w:val="0"/>
          <w:kern w:val="22"/>
          <w:szCs w:val="22"/>
          <w:lang w:eastAsia="zh-CN"/>
        </w:rPr>
        <w:t>I</w:t>
      </w:r>
      <w:r w:rsidRPr="00773D29">
        <w:rPr>
          <w:rFonts w:eastAsia="DengXian"/>
          <w:snapToGrid w:val="0"/>
          <w:kern w:val="22"/>
          <w:szCs w:val="22"/>
          <w:lang w:eastAsia="zh-CN"/>
        </w:rPr>
        <w:t xml:space="preserve">I </w:t>
      </w:r>
      <w:r>
        <w:rPr>
          <w:rFonts w:eastAsia="DengXian"/>
          <w:snapToGrid w:val="0"/>
          <w:kern w:val="22"/>
          <w:szCs w:val="22"/>
          <w:lang w:eastAsia="zh-CN"/>
        </w:rPr>
        <w:t>to</w:t>
      </w:r>
      <w:r w:rsidRPr="00773D29">
        <w:rPr>
          <w:rFonts w:eastAsia="DengXian"/>
          <w:snapToGrid w:val="0"/>
          <w:kern w:val="22"/>
          <w:szCs w:val="22"/>
          <w:lang w:eastAsia="zh-CN"/>
        </w:rPr>
        <w:t xml:space="preserve"> the present decision, on the financial reporting elements in the monitoring framework of the </w:t>
      </w:r>
      <w:r>
        <w:rPr>
          <w:rFonts w:eastAsia="DengXian"/>
          <w:snapToGrid w:val="0"/>
          <w:kern w:val="22"/>
          <w:szCs w:val="22"/>
          <w:lang w:eastAsia="zh-CN"/>
        </w:rPr>
        <w:t>Kunming-Montreal Global Biodiversity Framework</w:t>
      </w:r>
      <w:r w:rsidRPr="00773D29">
        <w:rPr>
          <w:rFonts w:eastAsia="DengXian"/>
          <w:snapToGrid w:val="0"/>
          <w:kern w:val="22"/>
          <w:szCs w:val="22"/>
          <w:lang w:eastAsia="zh-CN"/>
        </w:rPr>
        <w:t>;</w:t>
      </w:r>
    </w:p>
    <w:p w14:paraId="0849C3C5" w14:textId="77777777" w:rsidR="0018728E" w:rsidRPr="00773D29" w:rsidRDefault="0018728E" w:rsidP="00A3490B">
      <w:pPr>
        <w:suppressLineNumbers/>
        <w:suppressAutoHyphens/>
        <w:spacing w:before="120" w:after="120"/>
        <w:ind w:firstLine="720"/>
        <w:rPr>
          <w:szCs w:val="22"/>
          <w:lang w:eastAsia="zh-CN"/>
        </w:rPr>
      </w:pPr>
      <w:r w:rsidRPr="00773D29">
        <w:rPr>
          <w:szCs w:val="22"/>
          <w:lang w:eastAsia="zh-CN"/>
        </w:rPr>
        <w:t>(b)</w:t>
      </w:r>
      <w:r w:rsidRPr="00773D29">
        <w:rPr>
          <w:szCs w:val="22"/>
          <w:lang w:eastAsia="zh-CN"/>
        </w:rPr>
        <w:tab/>
      </w:r>
      <w:r>
        <w:rPr>
          <w:szCs w:val="22"/>
          <w:lang w:eastAsia="zh-CN"/>
        </w:rPr>
        <w:t>T</w:t>
      </w:r>
      <w:r w:rsidRPr="00773D29">
        <w:rPr>
          <w:szCs w:val="22"/>
          <w:lang w:eastAsia="zh-CN"/>
        </w:rPr>
        <w:t xml:space="preserve">o </w:t>
      </w:r>
      <w:r>
        <w:rPr>
          <w:szCs w:val="22"/>
          <w:lang w:eastAsia="zh-CN"/>
        </w:rPr>
        <w:t>issue</w:t>
      </w:r>
      <w:r w:rsidRPr="00773D29">
        <w:rPr>
          <w:szCs w:val="22"/>
          <w:lang w:eastAsia="zh-CN"/>
        </w:rPr>
        <w:t xml:space="preserve"> a notification inviting developing country Parties and Parties with economies in transition to consider, taking into account national circumstances, whether they are in a position to voluntarily assume the obligations of the developed country Parties in accordance </w:t>
      </w:r>
      <w:r w:rsidRPr="005B139B">
        <w:rPr>
          <w:szCs w:val="22"/>
          <w:lang w:eastAsia="zh-CN"/>
        </w:rPr>
        <w:t>with Article</w:t>
      </w:r>
      <w:r w:rsidRPr="0075258A">
        <w:rPr>
          <w:szCs w:val="22"/>
          <w:lang w:eastAsia="zh-CN"/>
        </w:rPr>
        <w:t xml:space="preserve"> 20</w:t>
      </w:r>
      <w:r w:rsidRPr="000B4470">
        <w:rPr>
          <w:szCs w:val="22"/>
          <w:lang w:eastAsia="zh-CN"/>
        </w:rPr>
        <w:t xml:space="preserve"> of the Convention, and, if</w:t>
      </w:r>
      <w:r w:rsidRPr="00773D29">
        <w:rPr>
          <w:szCs w:val="22"/>
          <w:lang w:eastAsia="zh-CN"/>
        </w:rPr>
        <w:t xml:space="preserve"> so, to indicate this to the Executive Secretary;</w:t>
      </w:r>
    </w:p>
    <w:p w14:paraId="10E81FEE" w14:textId="77777777" w:rsidR="0018728E" w:rsidRDefault="0018728E" w:rsidP="00A3490B">
      <w:pPr>
        <w:suppressLineNumbers/>
        <w:suppressAutoHyphens/>
        <w:spacing w:before="120" w:after="120"/>
        <w:ind w:firstLine="720"/>
        <w:rPr>
          <w:szCs w:val="22"/>
          <w:lang w:eastAsia="zh-CN"/>
        </w:rPr>
      </w:pPr>
      <w:r w:rsidRPr="00773D29">
        <w:rPr>
          <w:szCs w:val="22"/>
          <w:lang w:eastAsia="zh-CN"/>
        </w:rPr>
        <w:t>(c)</w:t>
      </w:r>
      <w:r w:rsidRPr="00773D29">
        <w:rPr>
          <w:szCs w:val="22"/>
          <w:lang w:eastAsia="zh-CN"/>
        </w:rPr>
        <w:tab/>
      </w:r>
      <w:r>
        <w:rPr>
          <w:szCs w:val="22"/>
          <w:lang w:eastAsia="zh-CN"/>
        </w:rPr>
        <w:t>T</w:t>
      </w:r>
      <w:r w:rsidRPr="00773D29">
        <w:rPr>
          <w:szCs w:val="22"/>
          <w:lang w:eastAsia="zh-CN"/>
        </w:rPr>
        <w:t xml:space="preserve">o compile indications received pursuant to sub-paragraph </w:t>
      </w:r>
      <w:r>
        <w:rPr>
          <w:szCs w:val="22"/>
          <w:lang w:eastAsia="zh-CN"/>
        </w:rPr>
        <w:t xml:space="preserve">(b) above </w:t>
      </w:r>
      <w:r w:rsidRPr="00773D29">
        <w:rPr>
          <w:szCs w:val="22"/>
          <w:lang w:eastAsia="zh-CN"/>
        </w:rPr>
        <w:t xml:space="preserve">for consideration by the Conference of the Parties at its </w:t>
      </w:r>
      <w:r w:rsidRPr="00146FEE">
        <w:rPr>
          <w:szCs w:val="22"/>
          <w:lang w:eastAsia="zh-CN"/>
        </w:rPr>
        <w:t>sixteenth meeting</w:t>
      </w:r>
      <w:r w:rsidRPr="00773D29">
        <w:rPr>
          <w:szCs w:val="22"/>
          <w:lang w:eastAsia="zh-CN"/>
        </w:rPr>
        <w:t xml:space="preserve">; </w:t>
      </w:r>
    </w:p>
    <w:p w14:paraId="341DAC40" w14:textId="77777777" w:rsidR="0018728E" w:rsidRPr="00773D29" w:rsidRDefault="0018728E" w:rsidP="00A3490B">
      <w:pPr>
        <w:suppressLineNumbers/>
        <w:suppressAutoHyphens/>
        <w:spacing w:before="120" w:after="120"/>
        <w:ind w:firstLine="720"/>
        <w:rPr>
          <w:szCs w:val="22"/>
          <w:lang w:eastAsia="zh-CN"/>
        </w:rPr>
      </w:pPr>
      <w:r>
        <w:rPr>
          <w:szCs w:val="22"/>
          <w:lang w:eastAsia="zh-CN"/>
        </w:rPr>
        <w:t>(d)</w:t>
      </w:r>
      <w:r>
        <w:rPr>
          <w:szCs w:val="22"/>
          <w:lang w:eastAsia="zh-CN"/>
        </w:rPr>
        <w:tab/>
        <w:t>To support the work of the Advisory Committee on Resource Mobilization;</w:t>
      </w:r>
    </w:p>
    <w:p w14:paraId="7165F554" w14:textId="77777777" w:rsidR="0018728E" w:rsidRPr="00773D29" w:rsidRDefault="0018728E" w:rsidP="00A3490B">
      <w:pPr>
        <w:suppressLineNumbers/>
        <w:suppressAutoHyphens/>
        <w:spacing w:before="120" w:after="120"/>
        <w:ind w:firstLine="720"/>
        <w:rPr>
          <w:szCs w:val="22"/>
          <w:lang w:eastAsia="zh-CN"/>
        </w:rPr>
      </w:pPr>
      <w:r w:rsidRPr="00773D29">
        <w:rPr>
          <w:szCs w:val="22"/>
          <w:lang w:eastAsia="zh-CN"/>
        </w:rPr>
        <w:t>(</w:t>
      </w:r>
      <w:r>
        <w:rPr>
          <w:szCs w:val="22"/>
          <w:lang w:eastAsia="zh-CN"/>
        </w:rPr>
        <w:t>e</w:t>
      </w:r>
      <w:r w:rsidRPr="00773D29">
        <w:rPr>
          <w:szCs w:val="22"/>
          <w:lang w:eastAsia="zh-CN"/>
        </w:rPr>
        <w:t>)</w:t>
      </w:r>
      <w:r w:rsidRPr="00773D29">
        <w:rPr>
          <w:szCs w:val="22"/>
          <w:lang w:eastAsia="zh-CN"/>
        </w:rPr>
        <w:tab/>
      </w:r>
      <w:r>
        <w:rPr>
          <w:snapToGrid w:val="0"/>
          <w:kern w:val="22"/>
          <w:szCs w:val="22"/>
          <w:lang w:eastAsia="zh-CN"/>
        </w:rPr>
        <w:t>T</w:t>
      </w:r>
      <w:r w:rsidRPr="00773D29">
        <w:rPr>
          <w:snapToGrid w:val="0"/>
          <w:kern w:val="22"/>
          <w:szCs w:val="22"/>
          <w:lang w:eastAsia="zh-CN"/>
        </w:rPr>
        <w:t>o</w:t>
      </w:r>
      <w:r w:rsidRPr="00773D29">
        <w:rPr>
          <w:szCs w:val="22"/>
          <w:lang w:eastAsia="zh-CN"/>
        </w:rPr>
        <w:t xml:space="preserve"> further collaborate with the Biodiversity Finance Initiative of the United Nations Development Programme and </w:t>
      </w:r>
      <w:r>
        <w:rPr>
          <w:szCs w:val="22"/>
          <w:lang w:eastAsia="zh-CN"/>
        </w:rPr>
        <w:t xml:space="preserve">with </w:t>
      </w:r>
      <w:r w:rsidRPr="00773D29">
        <w:rPr>
          <w:szCs w:val="22"/>
          <w:lang w:eastAsia="zh-CN"/>
        </w:rPr>
        <w:t>other relevant and interested organizations and initiatives to facilitate and support their work;</w:t>
      </w:r>
    </w:p>
    <w:p w14:paraId="6F818ECD" w14:textId="77777777" w:rsidR="0018728E" w:rsidRDefault="0018728E" w:rsidP="00A3490B">
      <w:pPr>
        <w:suppressLineNumbers/>
        <w:suppressAutoHyphens/>
        <w:spacing w:before="120" w:after="120"/>
        <w:ind w:firstLine="720"/>
        <w:rPr>
          <w:szCs w:val="22"/>
          <w:lang w:eastAsia="zh-CN"/>
        </w:rPr>
      </w:pPr>
      <w:r w:rsidRPr="00773D29">
        <w:rPr>
          <w:szCs w:val="22"/>
          <w:lang w:eastAsia="zh-CN"/>
        </w:rPr>
        <w:t>(</w:t>
      </w:r>
      <w:r>
        <w:rPr>
          <w:szCs w:val="22"/>
          <w:lang w:eastAsia="zh-CN"/>
        </w:rPr>
        <w:t>f</w:t>
      </w:r>
      <w:r w:rsidRPr="00773D29">
        <w:rPr>
          <w:szCs w:val="22"/>
          <w:lang w:eastAsia="zh-CN"/>
        </w:rPr>
        <w:t>)</w:t>
      </w:r>
      <w:r w:rsidRPr="00773D29">
        <w:rPr>
          <w:szCs w:val="22"/>
          <w:lang w:eastAsia="zh-CN"/>
        </w:rPr>
        <w:tab/>
      </w:r>
      <w:r>
        <w:rPr>
          <w:snapToGrid w:val="0"/>
          <w:kern w:val="22"/>
          <w:szCs w:val="22"/>
          <w:lang w:eastAsia="zh-CN"/>
        </w:rPr>
        <w:t>T</w:t>
      </w:r>
      <w:r w:rsidRPr="00773D29">
        <w:rPr>
          <w:snapToGrid w:val="0"/>
          <w:kern w:val="22"/>
          <w:szCs w:val="22"/>
          <w:lang w:eastAsia="zh-CN"/>
        </w:rPr>
        <w:t>o</w:t>
      </w:r>
      <w:r w:rsidRPr="00773D29">
        <w:rPr>
          <w:szCs w:val="22"/>
          <w:lang w:eastAsia="zh-CN"/>
        </w:rPr>
        <w:t xml:space="preserve"> continue and intensify collaboration</w:t>
      </w:r>
      <w:r>
        <w:rPr>
          <w:szCs w:val="22"/>
          <w:lang w:eastAsia="zh-CN"/>
        </w:rPr>
        <w:t xml:space="preserve"> with relevant organizations and initiatives with a view to further promoting supportive action on scaling and aligning incentive measures in accordance with Article 11 of the Convention;</w:t>
      </w:r>
    </w:p>
    <w:p w14:paraId="5FAD0C78" w14:textId="77777777" w:rsidR="00B53863" w:rsidRDefault="0018728E" w:rsidP="00BA7C92">
      <w:pPr>
        <w:suppressLineNumbers/>
        <w:suppressAutoHyphens/>
        <w:spacing w:before="120" w:after="120"/>
        <w:ind w:firstLine="720"/>
        <w:rPr>
          <w:szCs w:val="22"/>
          <w:lang w:eastAsia="zh-CN"/>
        </w:rPr>
      </w:pPr>
      <w:r>
        <w:rPr>
          <w:szCs w:val="22"/>
          <w:lang w:eastAsia="zh-CN"/>
        </w:rPr>
        <w:t>(g)</w:t>
      </w:r>
      <w:r>
        <w:rPr>
          <w:szCs w:val="22"/>
          <w:lang w:eastAsia="zh-CN"/>
        </w:rPr>
        <w:tab/>
      </w:r>
      <w:r>
        <w:rPr>
          <w:snapToGrid w:val="0"/>
          <w:kern w:val="22"/>
          <w:szCs w:val="22"/>
          <w:lang w:eastAsia="zh-CN"/>
        </w:rPr>
        <w:t>To</w:t>
      </w:r>
      <w:r>
        <w:rPr>
          <w:szCs w:val="22"/>
          <w:lang w:eastAsia="zh-CN"/>
        </w:rPr>
        <w:t xml:space="preserve"> continue and intensify collaboration with relevant bilateral and multilateral funding mechanisms with a view to further catalysing synergies in project development and financing for the purpose of the objectives of the Rio conventions</w:t>
      </w:r>
      <w:r>
        <w:rPr>
          <w:rFonts w:eastAsia="DengXian"/>
          <w:szCs w:val="22"/>
          <w:lang w:eastAsia="zh-CN"/>
        </w:rPr>
        <w:t xml:space="preserve"> and the Sustainable Development Goals</w:t>
      </w:r>
      <w:r>
        <w:rPr>
          <w:szCs w:val="22"/>
          <w:lang w:eastAsia="zh-CN"/>
        </w:rPr>
        <w:t>;</w:t>
      </w:r>
    </w:p>
    <w:p w14:paraId="17244B6E" w14:textId="77777777" w:rsidR="0018728E" w:rsidRPr="00A3490B" w:rsidRDefault="0018728E" w:rsidP="00F455B2">
      <w:pPr>
        <w:keepNext/>
        <w:suppressLineNumbers/>
        <w:tabs>
          <w:tab w:val="left" w:pos="720"/>
        </w:tabs>
        <w:suppressAutoHyphens/>
        <w:spacing w:before="120" w:after="120"/>
        <w:ind w:right="567"/>
        <w:jc w:val="center"/>
        <w:rPr>
          <w:bCs/>
          <w:i/>
          <w:iCs/>
          <w:snapToGrid w:val="0"/>
          <w:color w:val="000000"/>
          <w:szCs w:val="22"/>
        </w:rPr>
      </w:pPr>
      <w:r w:rsidRPr="00A3490B">
        <w:rPr>
          <w:bCs/>
          <w:i/>
          <w:iCs/>
          <w:caps/>
          <w:snapToGrid w:val="0"/>
          <w:color w:val="000000"/>
          <w:szCs w:val="22"/>
        </w:rPr>
        <w:t>A</w:t>
      </w:r>
      <w:r w:rsidRPr="00A3490B">
        <w:rPr>
          <w:bCs/>
          <w:i/>
          <w:iCs/>
          <w:snapToGrid w:val="0"/>
          <w:color w:val="000000"/>
          <w:szCs w:val="22"/>
        </w:rPr>
        <w:t>nnex I</w:t>
      </w:r>
    </w:p>
    <w:p w14:paraId="666E89EF" w14:textId="77777777" w:rsidR="0018728E" w:rsidRPr="00FC3310" w:rsidRDefault="0018728E" w:rsidP="00F455B2">
      <w:pPr>
        <w:keepNext/>
        <w:suppressLineNumbers/>
        <w:tabs>
          <w:tab w:val="left" w:pos="720"/>
        </w:tabs>
        <w:suppressAutoHyphens/>
        <w:spacing w:before="120" w:after="120"/>
        <w:ind w:right="567"/>
        <w:jc w:val="center"/>
        <w:rPr>
          <w:b/>
          <w:caps/>
          <w:snapToGrid w:val="0"/>
          <w:color w:val="000000"/>
          <w:szCs w:val="22"/>
        </w:rPr>
      </w:pPr>
      <w:r w:rsidRPr="00FC3310">
        <w:rPr>
          <w:b/>
          <w:caps/>
          <w:snapToGrid w:val="0"/>
          <w:color w:val="000000"/>
          <w:szCs w:val="22"/>
        </w:rPr>
        <w:t xml:space="preserve">strategy for resource mobilization </w:t>
      </w:r>
    </w:p>
    <w:p w14:paraId="39AE80E6" w14:textId="77777777" w:rsidR="0018728E" w:rsidRPr="00FC3310" w:rsidRDefault="0018728E" w:rsidP="00222183">
      <w:pPr>
        <w:keepNext/>
        <w:suppressLineNumbers/>
        <w:tabs>
          <w:tab w:val="left" w:pos="720"/>
        </w:tabs>
        <w:suppressAutoHyphens/>
        <w:spacing w:before="120" w:after="120"/>
        <w:ind w:right="567"/>
        <w:jc w:val="center"/>
        <w:rPr>
          <w:b/>
          <w:caps/>
          <w:snapToGrid w:val="0"/>
          <w:color w:val="000000"/>
          <w:szCs w:val="22"/>
        </w:rPr>
      </w:pPr>
      <w:r>
        <w:rPr>
          <w:b/>
          <w:caps/>
          <w:snapToGrid w:val="0"/>
          <w:color w:val="000000"/>
          <w:szCs w:val="22"/>
        </w:rPr>
        <w:t xml:space="preserve">building blocks and </w:t>
      </w:r>
      <w:r w:rsidRPr="00FC3310">
        <w:rPr>
          <w:b/>
          <w:caps/>
          <w:snapToGrid w:val="0"/>
          <w:color w:val="000000"/>
          <w:szCs w:val="22"/>
        </w:rPr>
        <w:t>structure for Phase I</w:t>
      </w:r>
    </w:p>
    <w:p w14:paraId="7693C0AF" w14:textId="77777777" w:rsidR="0018728E" w:rsidRPr="00FC3310" w:rsidRDefault="0018728E" w:rsidP="00222183">
      <w:pPr>
        <w:keepNext/>
        <w:suppressLineNumbers/>
        <w:tabs>
          <w:tab w:val="left" w:pos="720"/>
        </w:tabs>
        <w:suppressAutoHyphens/>
        <w:spacing w:before="120" w:after="120"/>
        <w:ind w:right="567"/>
        <w:jc w:val="center"/>
        <w:rPr>
          <w:b/>
          <w:caps/>
          <w:snapToGrid w:val="0"/>
          <w:color w:val="000000"/>
          <w:szCs w:val="22"/>
        </w:rPr>
      </w:pPr>
      <w:r w:rsidRPr="00FC3310">
        <w:rPr>
          <w:b/>
          <w:caps/>
          <w:snapToGrid w:val="0"/>
          <w:color w:val="000000"/>
          <w:szCs w:val="22"/>
        </w:rPr>
        <w:t>(</w:t>
      </w:r>
      <w:r>
        <w:rPr>
          <w:b/>
          <w:caps/>
          <w:snapToGrid w:val="0"/>
          <w:color w:val="000000"/>
          <w:szCs w:val="22"/>
        </w:rPr>
        <w:t>2023-2024</w:t>
      </w:r>
      <w:r w:rsidRPr="00FC3310">
        <w:rPr>
          <w:b/>
          <w:caps/>
          <w:snapToGrid w:val="0"/>
          <w:color w:val="000000"/>
          <w:szCs w:val="22"/>
        </w:rPr>
        <w:t xml:space="preserve">) </w:t>
      </w:r>
    </w:p>
    <w:p w14:paraId="1D53DE35" w14:textId="77777777" w:rsidR="0018728E" w:rsidRPr="00B73C3D" w:rsidRDefault="0018728E" w:rsidP="008F6FFF">
      <w:pPr>
        <w:suppressLineNumbers/>
        <w:tabs>
          <w:tab w:val="left" w:pos="567"/>
        </w:tabs>
        <w:suppressAutoHyphens/>
        <w:spacing w:before="120"/>
        <w:jc w:val="left"/>
        <w:rPr>
          <w:b/>
          <w:color w:val="000000"/>
          <w:szCs w:val="22"/>
          <w:lang w:eastAsia="zh-CN"/>
        </w:rPr>
      </w:pPr>
      <w:r w:rsidRPr="00824D50">
        <w:rPr>
          <w:b/>
          <w:color w:val="000000"/>
          <w:szCs w:val="22"/>
          <w:lang w:eastAsia="zh-CN"/>
        </w:rPr>
        <w:t xml:space="preserve">A. </w:t>
      </w:r>
      <w:r>
        <w:rPr>
          <w:b/>
          <w:color w:val="000000"/>
          <w:szCs w:val="22"/>
          <w:lang w:eastAsia="zh-CN"/>
        </w:rPr>
        <w:tab/>
      </w:r>
      <w:r w:rsidRPr="00824D50">
        <w:rPr>
          <w:b/>
          <w:color w:val="000000"/>
          <w:szCs w:val="22"/>
          <w:lang w:eastAsia="zh-CN"/>
        </w:rPr>
        <w:t>Aim</w:t>
      </w:r>
    </w:p>
    <w:p w14:paraId="358048A2" w14:textId="77777777" w:rsidR="0018728E" w:rsidRPr="00B73C3D" w:rsidRDefault="0018728E" w:rsidP="00950BE4">
      <w:pPr>
        <w:pStyle w:val="Para1"/>
        <w:numPr>
          <w:ilvl w:val="0"/>
          <w:numId w:val="8"/>
        </w:numPr>
        <w:tabs>
          <w:tab w:val="clear" w:pos="360"/>
        </w:tabs>
        <w:overflowPunct/>
        <w:autoSpaceDE/>
        <w:autoSpaceDN/>
        <w:snapToGrid/>
        <w:spacing w:before="120"/>
        <w:rPr>
          <w:lang w:eastAsia="zh-CN"/>
        </w:rPr>
      </w:pPr>
      <w:r w:rsidRPr="00B73C3D">
        <w:rPr>
          <w:lang w:eastAsia="zh-CN"/>
        </w:rPr>
        <w:t xml:space="preserve">The aim of this strategy is to enable quick-start resource mobilization and scale up and align resources for the implementation of the </w:t>
      </w:r>
      <w:r>
        <w:t>Kunming-Montreal Global Biodiversity Framework</w:t>
      </w:r>
      <w:r w:rsidRPr="00B73C3D" w:rsidDel="002A3943">
        <w:rPr>
          <w:lang w:eastAsia="zh-CN"/>
        </w:rPr>
        <w:t xml:space="preserve"> </w:t>
      </w:r>
      <w:r w:rsidRPr="00B73C3D">
        <w:rPr>
          <w:lang w:eastAsia="zh-CN"/>
        </w:rPr>
        <w:t xml:space="preserve">and provide the basis to further </w:t>
      </w:r>
      <w:r w:rsidRPr="004C5203">
        <w:rPr>
          <w:lang w:eastAsia="zh-CN"/>
        </w:rPr>
        <w:t>build upon towards</w:t>
      </w:r>
      <w:r w:rsidRPr="00B73C3D">
        <w:rPr>
          <w:lang w:eastAsia="zh-CN"/>
        </w:rPr>
        <w:t xml:space="preserve"> 2030, based on the work of the Advisory Committee on Resource Mobilization, in line with the </w:t>
      </w:r>
      <w:r>
        <w:rPr>
          <w:lang w:eastAsia="zh-CN"/>
        </w:rPr>
        <w:t>Framework</w:t>
      </w:r>
      <w:r w:rsidRPr="00B73C3D">
        <w:rPr>
          <w:lang w:eastAsia="zh-CN"/>
        </w:rPr>
        <w:t>.</w:t>
      </w:r>
    </w:p>
    <w:p w14:paraId="156F3D3B" w14:textId="77777777" w:rsidR="0018728E" w:rsidRPr="00B73C3D" w:rsidRDefault="0018728E" w:rsidP="00950BE4">
      <w:pPr>
        <w:pStyle w:val="Para1"/>
        <w:numPr>
          <w:ilvl w:val="0"/>
          <w:numId w:val="8"/>
        </w:numPr>
        <w:tabs>
          <w:tab w:val="clear" w:pos="360"/>
        </w:tabs>
        <w:overflowPunct/>
        <w:autoSpaceDE/>
        <w:autoSpaceDN/>
        <w:snapToGrid/>
        <w:spacing w:before="120"/>
        <w:rPr>
          <w:b/>
          <w:lang w:eastAsia="zh-CN"/>
        </w:rPr>
      </w:pPr>
      <w:r w:rsidRPr="00B73C3D">
        <w:rPr>
          <w:bCs/>
          <w:lang w:eastAsia="zh-CN"/>
        </w:rPr>
        <w:t xml:space="preserve">The Strategy </w:t>
      </w:r>
      <w:r w:rsidRPr="008F6FFF">
        <w:rPr>
          <w:lang w:eastAsia="zh-CN"/>
        </w:rPr>
        <w:t>will</w:t>
      </w:r>
      <w:r w:rsidRPr="00B73C3D">
        <w:rPr>
          <w:bCs/>
          <w:lang w:eastAsia="zh-CN"/>
        </w:rPr>
        <w:t xml:space="preserve"> be updated by the Subsidiary Body on Implementation to take account of the recommendations of the Advisory Committee on Resource Mobili</w:t>
      </w:r>
      <w:r>
        <w:rPr>
          <w:bCs/>
          <w:lang w:eastAsia="zh-CN"/>
        </w:rPr>
        <w:t>z</w:t>
      </w:r>
      <w:r w:rsidRPr="00B73C3D">
        <w:rPr>
          <w:bCs/>
          <w:lang w:eastAsia="zh-CN"/>
        </w:rPr>
        <w:t xml:space="preserve">ation. The updated </w:t>
      </w:r>
      <w:r>
        <w:rPr>
          <w:bCs/>
          <w:lang w:eastAsia="zh-CN"/>
        </w:rPr>
        <w:t>s</w:t>
      </w:r>
      <w:r w:rsidRPr="00B73C3D">
        <w:rPr>
          <w:bCs/>
          <w:lang w:eastAsia="zh-CN"/>
        </w:rPr>
        <w:t xml:space="preserve">trategy will be presented to </w:t>
      </w:r>
      <w:r>
        <w:rPr>
          <w:bCs/>
          <w:lang w:eastAsia="zh-CN"/>
        </w:rPr>
        <w:t xml:space="preserve">the Conference of the Parties </w:t>
      </w:r>
      <w:r w:rsidRPr="00B73C3D">
        <w:rPr>
          <w:bCs/>
          <w:lang w:eastAsia="zh-CN"/>
        </w:rPr>
        <w:t>for consideration and adoption</w:t>
      </w:r>
      <w:r>
        <w:rPr>
          <w:bCs/>
          <w:lang w:eastAsia="zh-CN"/>
        </w:rPr>
        <w:t xml:space="preserve"> at its sixteenth meeting</w:t>
      </w:r>
      <w:r w:rsidRPr="00B73C3D">
        <w:rPr>
          <w:bCs/>
          <w:lang w:eastAsia="zh-CN"/>
        </w:rPr>
        <w:t>.</w:t>
      </w:r>
    </w:p>
    <w:p w14:paraId="678CB3C2" w14:textId="77777777" w:rsidR="0018728E" w:rsidRPr="00B73C3D" w:rsidRDefault="0018728E" w:rsidP="00950BE4">
      <w:pPr>
        <w:pStyle w:val="Para1"/>
        <w:numPr>
          <w:ilvl w:val="0"/>
          <w:numId w:val="8"/>
        </w:numPr>
        <w:tabs>
          <w:tab w:val="clear" w:pos="360"/>
        </w:tabs>
        <w:overflowPunct/>
        <w:autoSpaceDE/>
        <w:autoSpaceDN/>
        <w:snapToGrid/>
        <w:spacing w:before="120"/>
        <w:rPr>
          <w:lang w:val="en-US"/>
        </w:rPr>
      </w:pPr>
      <w:r w:rsidRPr="00B73C3D">
        <w:t xml:space="preserve">It will mobilize </w:t>
      </w:r>
      <w:r w:rsidRPr="008F6FFF">
        <w:rPr>
          <w:lang w:eastAsia="zh-CN"/>
        </w:rPr>
        <w:t>resources</w:t>
      </w:r>
      <w:r w:rsidRPr="00B73C3D">
        <w:t xml:space="preserve"> for the implementation of the Convention, addressing its three objectives in a balanced manner and commensurate with </w:t>
      </w:r>
      <w:r w:rsidRPr="00A9191C">
        <w:t>the ambitions of</w:t>
      </w:r>
      <w:r>
        <w:t xml:space="preserve"> the</w:t>
      </w:r>
      <w:r w:rsidRPr="00B73C3D">
        <w:t xml:space="preserve"> </w:t>
      </w:r>
      <w:r>
        <w:t>Kunming-Montreal Global Biodiversity Framework.</w:t>
      </w:r>
    </w:p>
    <w:p w14:paraId="1BD90394" w14:textId="77777777" w:rsidR="0018728E" w:rsidRPr="00B73C3D" w:rsidRDefault="0018728E" w:rsidP="00950BE4">
      <w:pPr>
        <w:pStyle w:val="Para1"/>
        <w:numPr>
          <w:ilvl w:val="0"/>
          <w:numId w:val="8"/>
        </w:numPr>
        <w:tabs>
          <w:tab w:val="clear" w:pos="360"/>
        </w:tabs>
        <w:overflowPunct/>
        <w:autoSpaceDE/>
        <w:autoSpaceDN/>
        <w:snapToGrid/>
        <w:spacing w:before="120"/>
      </w:pPr>
      <w:r w:rsidRPr="00B73C3D">
        <w:rPr>
          <w:lang w:eastAsia="zh-CN"/>
        </w:rPr>
        <w:t xml:space="preserve">The strategy will be </w:t>
      </w:r>
      <w:r w:rsidRPr="008F6FFF">
        <w:rPr>
          <w:lang w:eastAsia="zh-CN"/>
        </w:rPr>
        <w:t>guided</w:t>
      </w:r>
      <w:r w:rsidRPr="00B73C3D">
        <w:rPr>
          <w:lang w:eastAsia="zh-CN"/>
        </w:rPr>
        <w:t xml:space="preserve"> by:</w:t>
      </w:r>
    </w:p>
    <w:p w14:paraId="6F6B0008" w14:textId="77777777" w:rsidR="0018728E" w:rsidRPr="00B73C3D" w:rsidRDefault="0018728E" w:rsidP="008F6FFF">
      <w:pPr>
        <w:tabs>
          <w:tab w:val="left" w:pos="1134"/>
        </w:tabs>
        <w:spacing w:before="120" w:after="120"/>
        <w:ind w:firstLine="567"/>
      </w:pPr>
      <w:r>
        <w:t>(a)</w:t>
      </w:r>
      <w:r>
        <w:tab/>
      </w:r>
      <w:r w:rsidRPr="005330AD">
        <w:t>Section</w:t>
      </w:r>
      <w:r w:rsidRPr="00B73C3D">
        <w:t xml:space="preserve"> </w:t>
      </w:r>
      <w:r w:rsidRPr="00CE7C0A">
        <w:t>C of</w:t>
      </w:r>
      <w:r w:rsidRPr="00B73C3D">
        <w:t xml:space="preserve"> the </w:t>
      </w:r>
      <w:r>
        <w:t>Kunming-Montreal G</w:t>
      </w:r>
      <w:r w:rsidRPr="00B73C3D">
        <w:t xml:space="preserve">lobal </w:t>
      </w:r>
      <w:r>
        <w:t>B</w:t>
      </w:r>
      <w:r w:rsidRPr="00B73C3D">
        <w:t xml:space="preserve">iodiversity </w:t>
      </w:r>
      <w:r>
        <w:t>F</w:t>
      </w:r>
      <w:r w:rsidRPr="00B73C3D">
        <w:t>ramework</w:t>
      </w:r>
      <w:r>
        <w:t>;</w:t>
      </w:r>
    </w:p>
    <w:p w14:paraId="76ED26BE" w14:textId="77777777" w:rsidR="0018728E" w:rsidRPr="00B73C3D" w:rsidRDefault="0018728E" w:rsidP="008F6FFF">
      <w:pPr>
        <w:tabs>
          <w:tab w:val="left" w:pos="1134"/>
        </w:tabs>
        <w:spacing w:before="120" w:after="120"/>
        <w:ind w:firstLine="567"/>
        <w:rPr>
          <w:szCs w:val="22"/>
        </w:rPr>
      </w:pPr>
      <w:r>
        <w:rPr>
          <w:szCs w:val="22"/>
        </w:rPr>
        <w:t>(b)</w:t>
      </w:r>
      <w:r>
        <w:rPr>
          <w:szCs w:val="22"/>
        </w:rPr>
        <w:tab/>
      </w:r>
      <w:r w:rsidRPr="00B73C3D">
        <w:rPr>
          <w:szCs w:val="22"/>
        </w:rPr>
        <w:t>Article</w:t>
      </w:r>
      <w:r>
        <w:rPr>
          <w:szCs w:val="22"/>
        </w:rPr>
        <w:t>s</w:t>
      </w:r>
      <w:r w:rsidRPr="00B73C3D">
        <w:rPr>
          <w:szCs w:val="22"/>
        </w:rPr>
        <w:t xml:space="preserve"> 20, 21 </w:t>
      </w:r>
      <w:r w:rsidRPr="008F6FFF">
        <w:t>and</w:t>
      </w:r>
      <w:r w:rsidRPr="00B73C3D">
        <w:rPr>
          <w:szCs w:val="22"/>
        </w:rPr>
        <w:t xml:space="preserve"> 11</w:t>
      </w:r>
      <w:r>
        <w:rPr>
          <w:szCs w:val="22"/>
        </w:rPr>
        <w:t xml:space="preserve"> of the Convention;</w:t>
      </w:r>
    </w:p>
    <w:p w14:paraId="02F44056" w14:textId="77777777" w:rsidR="0018728E" w:rsidRPr="00B73C3D" w:rsidRDefault="0018728E" w:rsidP="008F6FFF">
      <w:pPr>
        <w:tabs>
          <w:tab w:val="left" w:pos="1134"/>
        </w:tabs>
        <w:spacing w:before="120" w:after="120"/>
        <w:ind w:firstLine="567"/>
        <w:rPr>
          <w:szCs w:val="22"/>
        </w:rPr>
      </w:pPr>
      <w:r>
        <w:rPr>
          <w:lang w:val="en-US"/>
        </w:rPr>
        <w:lastRenderedPageBreak/>
        <w:t>(c)</w:t>
      </w:r>
      <w:r>
        <w:rPr>
          <w:lang w:val="en-US"/>
        </w:rPr>
        <w:tab/>
      </w:r>
      <w:r w:rsidRPr="00B73C3D">
        <w:rPr>
          <w:lang w:val="en-US"/>
        </w:rPr>
        <w:t>Funding from all sources, from a broad scope of financial instruments and mechanisms</w:t>
      </w:r>
      <w:r>
        <w:rPr>
          <w:lang w:val="en-US"/>
        </w:rPr>
        <w:t>;</w:t>
      </w:r>
      <w:r w:rsidRPr="00B73C3D">
        <w:rPr>
          <w:lang w:val="en-US"/>
        </w:rPr>
        <w:t xml:space="preserve"> </w:t>
      </w:r>
    </w:p>
    <w:p w14:paraId="6F54D9B6" w14:textId="77777777" w:rsidR="0018728E" w:rsidRPr="00B73C3D" w:rsidRDefault="0018728E" w:rsidP="008F6FFF">
      <w:pPr>
        <w:tabs>
          <w:tab w:val="left" w:pos="1134"/>
        </w:tabs>
        <w:spacing w:before="120" w:after="120"/>
        <w:ind w:firstLine="567"/>
        <w:rPr>
          <w:szCs w:val="22"/>
        </w:rPr>
      </w:pPr>
      <w:r>
        <w:rPr>
          <w:szCs w:val="22"/>
        </w:rPr>
        <w:t>(d)</w:t>
      </w:r>
      <w:r>
        <w:rPr>
          <w:szCs w:val="22"/>
        </w:rPr>
        <w:tab/>
      </w:r>
      <w:r w:rsidRPr="00B73C3D">
        <w:rPr>
          <w:szCs w:val="22"/>
        </w:rPr>
        <w:t>Immediate mobilization</w:t>
      </w:r>
      <w:r w:rsidRPr="00B73C3D">
        <w:rPr>
          <w:lang w:val="en-US"/>
        </w:rPr>
        <w:t xml:space="preserve"> of resources, safeguarding a long-term vision of financial resources needs</w:t>
      </w:r>
      <w:r>
        <w:rPr>
          <w:lang w:val="en-US"/>
        </w:rPr>
        <w:t>;</w:t>
      </w:r>
    </w:p>
    <w:p w14:paraId="25311D59" w14:textId="77777777" w:rsidR="0018728E" w:rsidRPr="00B73C3D" w:rsidRDefault="0018728E" w:rsidP="008F6FFF">
      <w:pPr>
        <w:tabs>
          <w:tab w:val="left" w:pos="1134"/>
        </w:tabs>
        <w:spacing w:before="120" w:after="120"/>
        <w:ind w:firstLine="567"/>
        <w:rPr>
          <w:b/>
          <w:snapToGrid w:val="0"/>
          <w:color w:val="000000"/>
          <w:kern w:val="22"/>
          <w:szCs w:val="22"/>
          <w:lang w:eastAsia="zh-CN"/>
        </w:rPr>
      </w:pPr>
      <w:r>
        <w:rPr>
          <w:lang w:val="en-US"/>
        </w:rPr>
        <w:t>(e)</w:t>
      </w:r>
      <w:r>
        <w:rPr>
          <w:lang w:val="en-US"/>
        </w:rPr>
        <w:tab/>
      </w:r>
      <w:r w:rsidRPr="00B73C3D">
        <w:rPr>
          <w:lang w:val="en-US"/>
        </w:rPr>
        <w:t xml:space="preserve">Comprehensive, fair and equitable access to all financing sources for all </w:t>
      </w:r>
      <w:r>
        <w:rPr>
          <w:lang w:val="en-US"/>
        </w:rPr>
        <w:t>P</w:t>
      </w:r>
      <w:r w:rsidRPr="00B73C3D">
        <w:rPr>
          <w:lang w:val="en-US"/>
        </w:rPr>
        <w:t>arties</w:t>
      </w:r>
      <w:r>
        <w:rPr>
          <w:szCs w:val="22"/>
        </w:rPr>
        <w:t>.</w:t>
      </w:r>
    </w:p>
    <w:p w14:paraId="683F9E0B" w14:textId="77777777" w:rsidR="0018728E" w:rsidRPr="00B73C3D" w:rsidRDefault="0018728E" w:rsidP="008F6FFF">
      <w:pPr>
        <w:suppressLineNumbers/>
        <w:tabs>
          <w:tab w:val="left" w:pos="567"/>
        </w:tabs>
        <w:suppressAutoHyphens/>
        <w:spacing w:before="240" w:after="120"/>
        <w:rPr>
          <w:b/>
          <w:snapToGrid w:val="0"/>
          <w:color w:val="000000"/>
          <w:kern w:val="22"/>
          <w:szCs w:val="22"/>
          <w:lang w:eastAsia="zh-CN"/>
        </w:rPr>
      </w:pPr>
      <w:r>
        <w:rPr>
          <w:b/>
          <w:snapToGrid w:val="0"/>
          <w:color w:val="000000"/>
          <w:kern w:val="22"/>
          <w:szCs w:val="22"/>
          <w:lang w:eastAsia="zh-CN"/>
        </w:rPr>
        <w:t>B</w:t>
      </w:r>
      <w:r w:rsidRPr="00B73C3D">
        <w:rPr>
          <w:b/>
          <w:snapToGrid w:val="0"/>
          <w:color w:val="000000"/>
          <w:kern w:val="22"/>
          <w:szCs w:val="22"/>
          <w:lang w:eastAsia="zh-CN"/>
        </w:rPr>
        <w:t>.</w:t>
      </w:r>
      <w:r w:rsidRPr="00B73C3D">
        <w:rPr>
          <w:b/>
          <w:snapToGrid w:val="0"/>
          <w:color w:val="000000"/>
          <w:kern w:val="22"/>
          <w:szCs w:val="22"/>
          <w:lang w:eastAsia="zh-CN"/>
        </w:rPr>
        <w:tab/>
        <w:t>Enabling actions</w:t>
      </w:r>
    </w:p>
    <w:p w14:paraId="6B9F0D78" w14:textId="77777777" w:rsidR="0018728E" w:rsidRPr="00B73C3D" w:rsidRDefault="0018728E" w:rsidP="00950BE4">
      <w:pPr>
        <w:numPr>
          <w:ilvl w:val="0"/>
          <w:numId w:val="38"/>
        </w:numPr>
        <w:tabs>
          <w:tab w:val="left" w:pos="1134"/>
        </w:tabs>
        <w:spacing w:before="120"/>
        <w:ind w:left="0" w:firstLine="567"/>
        <w:rPr>
          <w:szCs w:val="22"/>
          <w:lang w:val="en-CA"/>
        </w:rPr>
      </w:pPr>
      <w:r w:rsidRPr="00B73C3D">
        <w:rPr>
          <w:szCs w:val="22"/>
          <w:lang w:val="en-CA"/>
        </w:rPr>
        <w:t xml:space="preserve">To promote the updating and implementation of </w:t>
      </w:r>
      <w:r>
        <w:rPr>
          <w:szCs w:val="22"/>
          <w:lang w:val="en-CA"/>
        </w:rPr>
        <w:t>national biodiversity strategies and action plans (</w:t>
      </w:r>
      <w:r w:rsidRPr="00B73C3D">
        <w:rPr>
          <w:szCs w:val="22"/>
          <w:lang w:val="en-CA"/>
        </w:rPr>
        <w:t>NBSAPs</w:t>
      </w:r>
      <w:r>
        <w:rPr>
          <w:szCs w:val="22"/>
          <w:lang w:val="en-CA"/>
        </w:rPr>
        <w:t>)</w:t>
      </w:r>
      <w:r w:rsidRPr="00B73C3D">
        <w:rPr>
          <w:szCs w:val="22"/>
          <w:lang w:val="en-CA"/>
        </w:rPr>
        <w:t xml:space="preserve">, including through the NBSAP </w:t>
      </w:r>
      <w:r>
        <w:rPr>
          <w:szCs w:val="22"/>
          <w:lang w:val="en-CA"/>
        </w:rPr>
        <w:t>A</w:t>
      </w:r>
      <w:r w:rsidRPr="00B73C3D">
        <w:rPr>
          <w:szCs w:val="22"/>
          <w:lang w:val="en-CA"/>
        </w:rPr>
        <w:t xml:space="preserve">ccelerator </w:t>
      </w:r>
      <w:r w:rsidRPr="006E540B">
        <w:rPr>
          <w:szCs w:val="22"/>
          <w:lang w:val="en-CA"/>
        </w:rPr>
        <w:t>Partnership and</w:t>
      </w:r>
      <w:r w:rsidRPr="00B73C3D">
        <w:rPr>
          <w:szCs w:val="22"/>
          <w:lang w:val="en-CA"/>
        </w:rPr>
        <w:t xml:space="preserve"> similar initiatives</w:t>
      </w:r>
      <w:r>
        <w:rPr>
          <w:szCs w:val="22"/>
          <w:lang w:val="en-CA"/>
        </w:rPr>
        <w:t>;</w:t>
      </w:r>
    </w:p>
    <w:p w14:paraId="4FD4B000" w14:textId="77777777" w:rsidR="0018728E" w:rsidRPr="00B73C3D" w:rsidRDefault="0018728E" w:rsidP="00950BE4">
      <w:pPr>
        <w:numPr>
          <w:ilvl w:val="0"/>
          <w:numId w:val="38"/>
        </w:numPr>
        <w:tabs>
          <w:tab w:val="left" w:pos="1134"/>
        </w:tabs>
        <w:spacing w:before="120"/>
        <w:ind w:left="0" w:firstLine="567"/>
        <w:rPr>
          <w:szCs w:val="22"/>
          <w:lang w:val="en-CA"/>
        </w:rPr>
      </w:pPr>
      <w:r w:rsidRPr="00B73C3D">
        <w:rPr>
          <w:szCs w:val="22"/>
          <w:lang w:val="en-CA"/>
        </w:rPr>
        <w:t>Develop, update and implement national biodiversity finance plans or similar instruments</w:t>
      </w:r>
      <w:r>
        <w:rPr>
          <w:szCs w:val="22"/>
          <w:lang w:val="en-CA"/>
        </w:rPr>
        <w:t>;</w:t>
      </w:r>
    </w:p>
    <w:p w14:paraId="2D70D022" w14:textId="77777777" w:rsidR="0018728E" w:rsidRPr="00B73C3D" w:rsidRDefault="0018728E" w:rsidP="00950BE4">
      <w:pPr>
        <w:numPr>
          <w:ilvl w:val="0"/>
          <w:numId w:val="38"/>
        </w:numPr>
        <w:tabs>
          <w:tab w:val="left" w:pos="1134"/>
        </w:tabs>
        <w:spacing w:before="120"/>
        <w:ind w:left="0" w:firstLine="567"/>
        <w:rPr>
          <w:szCs w:val="22"/>
          <w:lang w:val="en-CA"/>
        </w:rPr>
      </w:pPr>
      <w:r w:rsidRPr="00B73C3D">
        <w:rPr>
          <w:szCs w:val="22"/>
          <w:lang w:val="en-CA"/>
        </w:rPr>
        <w:t>Increase financial support to BIOFIN and other related initiatives in order to support the implementation of national biodiversity finance plans</w:t>
      </w:r>
      <w:r>
        <w:rPr>
          <w:szCs w:val="22"/>
          <w:lang w:val="en-CA"/>
        </w:rPr>
        <w:t>;</w:t>
      </w:r>
    </w:p>
    <w:p w14:paraId="5BED83EA" w14:textId="77777777" w:rsidR="0018728E" w:rsidRPr="00B73C3D" w:rsidRDefault="0018728E" w:rsidP="00950BE4">
      <w:pPr>
        <w:numPr>
          <w:ilvl w:val="0"/>
          <w:numId w:val="38"/>
        </w:numPr>
        <w:tabs>
          <w:tab w:val="left" w:pos="1134"/>
        </w:tabs>
        <w:spacing w:before="120"/>
        <w:ind w:left="0" w:firstLine="567"/>
        <w:rPr>
          <w:szCs w:val="22"/>
          <w:lang w:val="en-CA"/>
        </w:rPr>
      </w:pPr>
      <w:r w:rsidRPr="00B73C3D">
        <w:rPr>
          <w:szCs w:val="22"/>
        </w:rPr>
        <w:t>Optimize multi-stakeholder partnerships</w:t>
      </w:r>
      <w:r>
        <w:rPr>
          <w:szCs w:val="22"/>
        </w:rPr>
        <w:t>;</w:t>
      </w:r>
    </w:p>
    <w:p w14:paraId="41EA8080" w14:textId="77777777" w:rsidR="0018728E" w:rsidRPr="008F6FFF" w:rsidRDefault="0018728E" w:rsidP="00950BE4">
      <w:pPr>
        <w:numPr>
          <w:ilvl w:val="0"/>
          <w:numId w:val="38"/>
        </w:numPr>
        <w:tabs>
          <w:tab w:val="left" w:pos="1134"/>
        </w:tabs>
        <w:spacing w:before="120"/>
        <w:ind w:left="0" w:firstLine="567"/>
        <w:rPr>
          <w:szCs w:val="22"/>
          <w:lang w:val="en-CA"/>
        </w:rPr>
      </w:pPr>
      <w:r w:rsidRPr="00B73C3D">
        <w:rPr>
          <w:szCs w:val="22"/>
          <w:lang w:val="en-CA"/>
        </w:rPr>
        <w:t>Capacity</w:t>
      </w:r>
      <w:r>
        <w:rPr>
          <w:szCs w:val="22"/>
          <w:lang w:val="en-CA"/>
        </w:rPr>
        <w:t>-</w:t>
      </w:r>
      <w:r w:rsidRPr="00B73C3D">
        <w:rPr>
          <w:szCs w:val="22"/>
          <w:lang w:val="en-CA"/>
        </w:rPr>
        <w:t>building and development, scientific and technological cooperation, and technology transfer.</w:t>
      </w:r>
    </w:p>
    <w:p w14:paraId="5C5075D5" w14:textId="77777777" w:rsidR="0018728E" w:rsidRDefault="0018728E" w:rsidP="008F6FFF">
      <w:pPr>
        <w:suppressLineNumbers/>
        <w:tabs>
          <w:tab w:val="left" w:pos="567"/>
        </w:tabs>
        <w:suppressAutoHyphens/>
        <w:spacing w:before="240" w:after="120"/>
        <w:jc w:val="left"/>
        <w:rPr>
          <w:b/>
          <w:bCs/>
          <w:szCs w:val="22"/>
          <w:lang w:val="en-CA"/>
        </w:rPr>
      </w:pPr>
      <w:r>
        <w:rPr>
          <w:b/>
          <w:bCs/>
          <w:szCs w:val="22"/>
          <w:lang w:val="en-CA"/>
        </w:rPr>
        <w:t xml:space="preserve">C. </w:t>
      </w:r>
      <w:r>
        <w:rPr>
          <w:b/>
          <w:bCs/>
          <w:szCs w:val="22"/>
          <w:lang w:val="en-CA"/>
        </w:rPr>
        <w:tab/>
        <w:t>Objectives</w:t>
      </w:r>
    </w:p>
    <w:p w14:paraId="15C54339" w14:textId="77777777" w:rsidR="0018728E" w:rsidRPr="00873F36" w:rsidRDefault="0018728E" w:rsidP="008F6FFF">
      <w:pPr>
        <w:suppressLineNumbers/>
        <w:tabs>
          <w:tab w:val="left" w:pos="567"/>
        </w:tabs>
        <w:suppressAutoHyphens/>
        <w:spacing w:before="240" w:after="120"/>
        <w:rPr>
          <w:b/>
          <w:bCs/>
          <w:szCs w:val="22"/>
          <w:lang w:val="en-CA"/>
        </w:rPr>
      </w:pPr>
      <w:r w:rsidRPr="00873F36">
        <w:rPr>
          <w:b/>
          <w:bCs/>
          <w:szCs w:val="22"/>
          <w:lang w:val="en-CA"/>
        </w:rPr>
        <w:t>1.</w:t>
      </w:r>
      <w:r>
        <w:rPr>
          <w:b/>
          <w:bCs/>
          <w:szCs w:val="22"/>
          <w:lang w:val="en-CA"/>
        </w:rPr>
        <w:t> </w:t>
      </w:r>
      <w:r w:rsidRPr="00873F36">
        <w:rPr>
          <w:b/>
          <w:bCs/>
          <w:szCs w:val="22"/>
          <w:lang w:val="en-CA"/>
        </w:rPr>
        <w:t xml:space="preserve">Increase </w:t>
      </w:r>
      <w:r w:rsidRPr="008F6FFF">
        <w:rPr>
          <w:b/>
          <w:bCs/>
          <w:snapToGrid w:val="0"/>
          <w:color w:val="000000"/>
          <w:kern w:val="22"/>
          <w:szCs w:val="22"/>
          <w:lang w:eastAsia="zh-CN"/>
        </w:rPr>
        <w:t>international</w:t>
      </w:r>
      <w:r w:rsidRPr="00873F36">
        <w:rPr>
          <w:b/>
          <w:bCs/>
          <w:szCs w:val="22"/>
          <w:lang w:val="en-CA"/>
        </w:rPr>
        <w:t xml:space="preserve"> biodiversity-related financial flows and financial resources from all sources</w:t>
      </w:r>
    </w:p>
    <w:p w14:paraId="4BB0A930" w14:textId="77777777" w:rsidR="0018728E" w:rsidRPr="008F6FFF" w:rsidRDefault="0018728E" w:rsidP="008F6FFF">
      <w:pPr>
        <w:snapToGrid w:val="0"/>
        <w:spacing w:before="120" w:after="120"/>
        <w:rPr>
          <w:i/>
          <w:iCs/>
          <w:szCs w:val="22"/>
          <w:lang w:val="en-CA"/>
        </w:rPr>
      </w:pPr>
      <w:r w:rsidRPr="008F6FFF">
        <w:rPr>
          <w:i/>
          <w:iCs/>
          <w:szCs w:val="22"/>
          <w:lang w:val="en-CA"/>
        </w:rPr>
        <w:t>New and additional resources</w:t>
      </w:r>
    </w:p>
    <w:p w14:paraId="53577B37" w14:textId="77777777" w:rsidR="0018728E" w:rsidRPr="00B73C3D" w:rsidRDefault="0018728E" w:rsidP="00950BE4">
      <w:pPr>
        <w:numPr>
          <w:ilvl w:val="0"/>
          <w:numId w:val="39"/>
        </w:numPr>
        <w:tabs>
          <w:tab w:val="left" w:pos="1134"/>
        </w:tabs>
        <w:spacing w:before="120" w:after="120"/>
        <w:ind w:left="0" w:firstLine="567"/>
        <w:rPr>
          <w:szCs w:val="22"/>
          <w:lang w:val="en-CA"/>
        </w:rPr>
      </w:pPr>
      <w:r w:rsidRPr="00B73C3D">
        <w:rPr>
          <w:szCs w:val="22"/>
          <w:lang w:val="en-CA"/>
        </w:rPr>
        <w:t xml:space="preserve">Increase biodiversity-related international financial resource flows to </w:t>
      </w:r>
      <w:r w:rsidRPr="00FA599D">
        <w:rPr>
          <w:snapToGrid w:val="0"/>
          <w:kern w:val="20"/>
        </w:rPr>
        <w:t>developing countries, in particular least developed countries and small island developing States, as well as countries with economies in transition</w:t>
      </w:r>
      <w:r w:rsidRPr="00B73C3D">
        <w:rPr>
          <w:szCs w:val="22"/>
          <w:lang w:val="en-CA"/>
        </w:rPr>
        <w:t>:</w:t>
      </w:r>
    </w:p>
    <w:p w14:paraId="5E1ED295" w14:textId="77777777" w:rsidR="0018728E" w:rsidRPr="00B73C3D" w:rsidRDefault="0018728E" w:rsidP="00950BE4">
      <w:pPr>
        <w:numPr>
          <w:ilvl w:val="1"/>
          <w:numId w:val="40"/>
        </w:numPr>
        <w:spacing w:before="120"/>
        <w:ind w:left="1701"/>
        <w:jc w:val="left"/>
        <w:rPr>
          <w:szCs w:val="22"/>
        </w:rPr>
      </w:pPr>
      <w:r>
        <w:rPr>
          <w:szCs w:val="22"/>
        </w:rPr>
        <w:t>F</w:t>
      </w:r>
      <w:r w:rsidRPr="00B73C3D">
        <w:rPr>
          <w:szCs w:val="22"/>
        </w:rPr>
        <w:t>ulfilment of developed country Parties’ obligations to provide adequate, new and additional financial resources</w:t>
      </w:r>
      <w:r>
        <w:rPr>
          <w:szCs w:val="22"/>
        </w:rPr>
        <w:t>;</w:t>
      </w:r>
      <w:r w:rsidRPr="00B73C3D">
        <w:rPr>
          <w:szCs w:val="22"/>
        </w:rPr>
        <w:t xml:space="preserve"> </w:t>
      </w:r>
    </w:p>
    <w:p w14:paraId="5F8183A8" w14:textId="77777777" w:rsidR="0018728E" w:rsidRPr="00B73C3D" w:rsidRDefault="0018728E" w:rsidP="00950BE4">
      <w:pPr>
        <w:numPr>
          <w:ilvl w:val="1"/>
          <w:numId w:val="40"/>
        </w:numPr>
        <w:spacing w:before="120"/>
        <w:ind w:left="1701"/>
        <w:rPr>
          <w:szCs w:val="22"/>
        </w:rPr>
      </w:pPr>
      <w:r w:rsidRPr="00B73C3D">
        <w:rPr>
          <w:szCs w:val="22"/>
          <w:lang w:val="en-CA"/>
        </w:rPr>
        <w:t>Other Parties to consider whether they may voluntarily assume the obligations of the developed country Parties</w:t>
      </w:r>
      <w:r>
        <w:rPr>
          <w:szCs w:val="22"/>
          <w:lang w:val="en-CA"/>
        </w:rPr>
        <w:t>;</w:t>
      </w:r>
      <w:r w:rsidRPr="00B73C3D">
        <w:rPr>
          <w:szCs w:val="22"/>
          <w:lang w:val="en-CA"/>
        </w:rPr>
        <w:t xml:space="preserve"> </w:t>
      </w:r>
    </w:p>
    <w:p w14:paraId="06A4A298" w14:textId="77777777" w:rsidR="0018728E" w:rsidRPr="00B73C3D" w:rsidRDefault="0018728E" w:rsidP="00950BE4">
      <w:pPr>
        <w:numPr>
          <w:ilvl w:val="1"/>
          <w:numId w:val="40"/>
        </w:numPr>
        <w:spacing w:before="120"/>
        <w:ind w:left="1701"/>
        <w:rPr>
          <w:szCs w:val="22"/>
        </w:rPr>
      </w:pPr>
      <w:r w:rsidRPr="00B73C3D">
        <w:rPr>
          <w:szCs w:val="22"/>
          <w:lang w:val="en-CA"/>
        </w:rPr>
        <w:t xml:space="preserve">Increase international biodiversity funding by </w:t>
      </w:r>
      <w:r>
        <w:rPr>
          <w:szCs w:val="22"/>
          <w:lang w:val="en-CA"/>
        </w:rPr>
        <w:t>multilateral development banks</w:t>
      </w:r>
      <w:r w:rsidRPr="00B73C3D">
        <w:rPr>
          <w:szCs w:val="22"/>
          <w:lang w:val="en-CA"/>
        </w:rPr>
        <w:t xml:space="preserve">, international financial institutions and philanthropy, in partnership with the </w:t>
      </w:r>
      <w:r>
        <w:rPr>
          <w:szCs w:val="22"/>
          <w:lang w:val="en-CA"/>
        </w:rPr>
        <w:t>Global Environment Facility,</w:t>
      </w:r>
      <w:r w:rsidRPr="00B73C3D">
        <w:rPr>
          <w:szCs w:val="22"/>
          <w:lang w:val="en-CA"/>
        </w:rPr>
        <w:t xml:space="preserve"> as appropriate</w:t>
      </w:r>
      <w:r>
        <w:rPr>
          <w:szCs w:val="22"/>
          <w:lang w:val="en-CA"/>
        </w:rPr>
        <w:t>;</w:t>
      </w:r>
    </w:p>
    <w:p w14:paraId="74FE5D88" w14:textId="77777777" w:rsidR="0018728E" w:rsidRPr="00B73C3D" w:rsidRDefault="0018728E" w:rsidP="00950BE4">
      <w:pPr>
        <w:numPr>
          <w:ilvl w:val="0"/>
          <w:numId w:val="39"/>
        </w:numPr>
        <w:tabs>
          <w:tab w:val="left" w:pos="1134"/>
        </w:tabs>
        <w:spacing w:before="120" w:after="120"/>
        <w:ind w:left="0" w:firstLine="567"/>
        <w:rPr>
          <w:szCs w:val="22"/>
          <w:lang w:val="en-CA"/>
        </w:rPr>
      </w:pPr>
      <w:r w:rsidRPr="00B73C3D">
        <w:rPr>
          <w:szCs w:val="22"/>
          <w:lang w:val="en-CA"/>
        </w:rPr>
        <w:t xml:space="preserve">Establish a </w:t>
      </w:r>
      <w:r>
        <w:rPr>
          <w:szCs w:val="22"/>
        </w:rPr>
        <w:t>Global Biodiversity Framework</w:t>
      </w:r>
      <w:r w:rsidDel="002A3943">
        <w:rPr>
          <w:szCs w:val="22"/>
          <w:lang w:val="en-CA"/>
        </w:rPr>
        <w:t xml:space="preserve"> </w:t>
      </w:r>
      <w:r>
        <w:rPr>
          <w:szCs w:val="22"/>
          <w:lang w:val="en-CA"/>
        </w:rPr>
        <w:t xml:space="preserve">fund </w:t>
      </w:r>
      <w:r w:rsidRPr="00B73C3D">
        <w:rPr>
          <w:szCs w:val="22"/>
          <w:lang w:val="en-CA"/>
        </w:rPr>
        <w:t xml:space="preserve">to be </w:t>
      </w:r>
      <w:r w:rsidRPr="008E2CE6">
        <w:rPr>
          <w:szCs w:val="22"/>
          <w:lang w:val="en-CA"/>
        </w:rPr>
        <w:t xml:space="preserve">open to contribution </w:t>
      </w:r>
      <w:r w:rsidRPr="008F6FFF">
        <w:rPr>
          <w:szCs w:val="22"/>
          <w:lang w:val="en-CA"/>
        </w:rPr>
        <w:t>from</w:t>
      </w:r>
      <w:r w:rsidRPr="008E2CE6">
        <w:rPr>
          <w:szCs w:val="22"/>
          <w:lang w:val="en-CA"/>
        </w:rPr>
        <w:t xml:space="preserve"> all sources;</w:t>
      </w:r>
    </w:p>
    <w:p w14:paraId="5D573313" w14:textId="77777777" w:rsidR="0018728E" w:rsidRPr="00B73C3D" w:rsidRDefault="0018728E" w:rsidP="00950BE4">
      <w:pPr>
        <w:numPr>
          <w:ilvl w:val="0"/>
          <w:numId w:val="39"/>
        </w:numPr>
        <w:tabs>
          <w:tab w:val="left" w:pos="1134"/>
        </w:tabs>
        <w:spacing w:before="120"/>
        <w:ind w:left="0" w:firstLine="567"/>
        <w:rPr>
          <w:szCs w:val="22"/>
          <w:lang w:val="en-CA"/>
        </w:rPr>
      </w:pPr>
      <w:r w:rsidRPr="00B73C3D">
        <w:rPr>
          <w:szCs w:val="22"/>
          <w:lang w:val="en-CA"/>
        </w:rPr>
        <w:t xml:space="preserve">Mobilize </w:t>
      </w:r>
      <w:r w:rsidRPr="008F6FFF">
        <w:rPr>
          <w:snapToGrid w:val="0"/>
          <w:kern w:val="20"/>
        </w:rPr>
        <w:t>additional</w:t>
      </w:r>
      <w:r w:rsidRPr="00B73C3D">
        <w:rPr>
          <w:szCs w:val="22"/>
          <w:lang w:val="en-CA"/>
        </w:rPr>
        <w:t xml:space="preserve"> international resources, including</w:t>
      </w:r>
    </w:p>
    <w:p w14:paraId="754F45BA" w14:textId="77777777" w:rsidR="0018728E" w:rsidRPr="008F6FFF" w:rsidRDefault="0018728E" w:rsidP="00950BE4">
      <w:pPr>
        <w:numPr>
          <w:ilvl w:val="0"/>
          <w:numId w:val="41"/>
        </w:numPr>
        <w:spacing w:before="120"/>
        <w:ind w:left="1701" w:hanging="425"/>
        <w:rPr>
          <w:szCs w:val="22"/>
          <w:lang w:val="en-CA"/>
        </w:rPr>
      </w:pPr>
      <w:r w:rsidRPr="008F6FFF">
        <w:rPr>
          <w:szCs w:val="22"/>
          <w:lang w:val="en-CA"/>
        </w:rPr>
        <w:t>By increasing innovative finance solutions, such as green bonds and payments for ecosystem services, and developing guidelines and sharing good practices;</w:t>
      </w:r>
    </w:p>
    <w:p w14:paraId="7D32EB00" w14:textId="77777777" w:rsidR="0018728E" w:rsidRPr="008F6FFF" w:rsidRDefault="0018728E" w:rsidP="00950BE4">
      <w:pPr>
        <w:numPr>
          <w:ilvl w:val="0"/>
          <w:numId w:val="41"/>
        </w:numPr>
        <w:spacing w:before="120"/>
        <w:ind w:left="1701" w:hanging="425"/>
        <w:rPr>
          <w:szCs w:val="22"/>
          <w:lang w:val="en-CA"/>
        </w:rPr>
      </w:pPr>
      <w:r w:rsidRPr="008F6FFF">
        <w:rPr>
          <w:szCs w:val="22"/>
          <w:lang w:val="en-CA"/>
        </w:rPr>
        <w:t>Through philanthropy and businesses, and leveraging private finance;</w:t>
      </w:r>
    </w:p>
    <w:p w14:paraId="256E57B6" w14:textId="77777777" w:rsidR="0018728E" w:rsidRPr="008F6FFF" w:rsidRDefault="0018728E" w:rsidP="00950BE4">
      <w:pPr>
        <w:numPr>
          <w:ilvl w:val="0"/>
          <w:numId w:val="41"/>
        </w:numPr>
        <w:spacing w:before="120"/>
        <w:ind w:left="1701" w:hanging="425"/>
        <w:rPr>
          <w:szCs w:val="22"/>
          <w:lang w:val="en-CA"/>
        </w:rPr>
      </w:pPr>
      <w:r w:rsidRPr="008F6FFF">
        <w:rPr>
          <w:szCs w:val="22"/>
          <w:lang w:val="en-CA"/>
        </w:rPr>
        <w:t>Through the multilateral mechanism for benefit</w:t>
      </w:r>
      <w:r>
        <w:rPr>
          <w:szCs w:val="22"/>
          <w:lang w:val="en-CA"/>
        </w:rPr>
        <w:noBreakHyphen/>
      </w:r>
      <w:r w:rsidRPr="008F6FFF">
        <w:rPr>
          <w:szCs w:val="22"/>
          <w:lang w:val="en-CA"/>
        </w:rPr>
        <w:t xml:space="preserve">sharing from the use of </w:t>
      </w:r>
      <w:r>
        <w:rPr>
          <w:szCs w:val="22"/>
          <w:lang w:val="en-CA"/>
        </w:rPr>
        <w:t>digital sequence information on genetic resources</w:t>
      </w:r>
      <w:r w:rsidRPr="008F6FFF">
        <w:rPr>
          <w:szCs w:val="22"/>
          <w:lang w:val="en-CA"/>
        </w:rPr>
        <w:t>;</w:t>
      </w:r>
      <w:r w:rsidRPr="00610646">
        <w:rPr>
          <w:rStyle w:val="FootnoteReference"/>
        </w:rPr>
        <w:footnoteReference w:id="57"/>
      </w:r>
    </w:p>
    <w:p w14:paraId="1527AC93" w14:textId="77777777" w:rsidR="0018728E" w:rsidRPr="00B73C3D" w:rsidRDefault="0018728E" w:rsidP="00950BE4">
      <w:pPr>
        <w:numPr>
          <w:ilvl w:val="0"/>
          <w:numId w:val="39"/>
        </w:numPr>
        <w:tabs>
          <w:tab w:val="left" w:pos="1134"/>
        </w:tabs>
        <w:spacing w:before="120"/>
        <w:ind w:left="0" w:firstLine="567"/>
        <w:rPr>
          <w:szCs w:val="22"/>
          <w:lang w:val="en-CA"/>
        </w:rPr>
      </w:pPr>
      <w:r w:rsidRPr="00B73C3D">
        <w:rPr>
          <w:szCs w:val="22"/>
          <w:lang w:val="en-CA"/>
        </w:rPr>
        <w:t xml:space="preserve">Enhance the </w:t>
      </w:r>
      <w:r w:rsidRPr="008F6FFF">
        <w:rPr>
          <w:snapToGrid w:val="0"/>
          <w:kern w:val="20"/>
        </w:rPr>
        <w:t>terms</w:t>
      </w:r>
      <w:r w:rsidRPr="00B73C3D">
        <w:rPr>
          <w:szCs w:val="22"/>
          <w:lang w:val="en-CA"/>
        </w:rPr>
        <w:t xml:space="preserve"> and implementation of agreements related to access to genetic resources, and the fair and equitable sharing of the benefits arising out of their utilization, including through multilateral approaches</w:t>
      </w:r>
      <w:r>
        <w:rPr>
          <w:szCs w:val="22"/>
          <w:lang w:val="en-CA"/>
        </w:rPr>
        <w:t>;</w:t>
      </w:r>
    </w:p>
    <w:p w14:paraId="2E143382" w14:textId="77777777" w:rsidR="0018728E" w:rsidRPr="00B73C3D" w:rsidRDefault="0018728E" w:rsidP="00950BE4">
      <w:pPr>
        <w:numPr>
          <w:ilvl w:val="0"/>
          <w:numId w:val="39"/>
        </w:numPr>
        <w:tabs>
          <w:tab w:val="left" w:pos="1134"/>
        </w:tabs>
        <w:spacing w:before="120"/>
        <w:ind w:left="0" w:firstLine="567"/>
        <w:rPr>
          <w:szCs w:val="22"/>
          <w:lang w:val="en-CA"/>
        </w:rPr>
      </w:pPr>
      <w:r>
        <w:rPr>
          <w:szCs w:val="22"/>
          <w:lang w:val="en-CA"/>
        </w:rPr>
        <w:t>I</w:t>
      </w:r>
      <w:r w:rsidRPr="00B73C3D">
        <w:rPr>
          <w:szCs w:val="22"/>
          <w:lang w:val="en-CA"/>
        </w:rPr>
        <w:t>mprov</w:t>
      </w:r>
      <w:r>
        <w:rPr>
          <w:szCs w:val="22"/>
          <w:lang w:val="en-CA"/>
        </w:rPr>
        <w:t>ing</w:t>
      </w:r>
      <w:r w:rsidRPr="00B73C3D">
        <w:rPr>
          <w:szCs w:val="22"/>
          <w:lang w:val="en-CA"/>
        </w:rPr>
        <w:t xml:space="preserve"> </w:t>
      </w:r>
      <w:r w:rsidRPr="008F6FFF">
        <w:rPr>
          <w:snapToGrid w:val="0"/>
          <w:kern w:val="20"/>
        </w:rPr>
        <w:t>market</w:t>
      </w:r>
      <w:r w:rsidRPr="00B73C3D">
        <w:rPr>
          <w:szCs w:val="22"/>
          <w:lang w:val="en-CA"/>
        </w:rPr>
        <w:t xml:space="preserve"> access for biodiversity-based products and services.</w:t>
      </w:r>
    </w:p>
    <w:p w14:paraId="5808CD3B" w14:textId="77777777" w:rsidR="0018728E" w:rsidRPr="008F6FFF" w:rsidRDefault="0018728E" w:rsidP="008F6FFF">
      <w:pPr>
        <w:keepNext/>
        <w:keepLines/>
        <w:snapToGrid w:val="0"/>
        <w:spacing w:before="240" w:after="120"/>
        <w:jc w:val="left"/>
        <w:rPr>
          <w:b/>
          <w:bCs/>
          <w:szCs w:val="22"/>
          <w:lang w:val="en-CA"/>
        </w:rPr>
      </w:pPr>
      <w:r w:rsidRPr="008F6FFF">
        <w:rPr>
          <w:b/>
          <w:bCs/>
          <w:szCs w:val="22"/>
          <w:lang w:val="en-CA"/>
        </w:rPr>
        <w:lastRenderedPageBreak/>
        <w:t>2.</w:t>
      </w:r>
      <w:r>
        <w:rPr>
          <w:b/>
          <w:bCs/>
          <w:szCs w:val="22"/>
          <w:lang w:val="en-CA"/>
        </w:rPr>
        <w:t xml:space="preserve"> </w:t>
      </w:r>
      <w:r w:rsidRPr="008F6FFF">
        <w:rPr>
          <w:b/>
          <w:bCs/>
          <w:szCs w:val="22"/>
          <w:lang w:val="en-CA"/>
        </w:rPr>
        <w:t>Identify and eliminate, phase out, or reform financial resource flows causing harm</w:t>
      </w:r>
    </w:p>
    <w:p w14:paraId="64B62374" w14:textId="77777777" w:rsidR="0018728E" w:rsidRPr="00B73C3D" w:rsidRDefault="0018728E" w:rsidP="00950BE4">
      <w:pPr>
        <w:numPr>
          <w:ilvl w:val="0"/>
          <w:numId w:val="30"/>
        </w:numPr>
        <w:tabs>
          <w:tab w:val="left" w:pos="1134"/>
        </w:tabs>
        <w:spacing w:before="120"/>
        <w:ind w:left="0" w:firstLine="567"/>
        <w:rPr>
          <w:szCs w:val="22"/>
          <w:lang w:val="en-CA"/>
        </w:rPr>
      </w:pPr>
      <w:r w:rsidRPr="00B73C3D">
        <w:rPr>
          <w:szCs w:val="22"/>
          <w:lang w:val="en-CA"/>
        </w:rPr>
        <w:t xml:space="preserve">Mainstream biodiversity in development cooperation: </w:t>
      </w:r>
    </w:p>
    <w:p w14:paraId="3A7AFCDF" w14:textId="77777777" w:rsidR="0018728E" w:rsidRPr="00B73C3D" w:rsidRDefault="0018728E" w:rsidP="00950BE4">
      <w:pPr>
        <w:numPr>
          <w:ilvl w:val="2"/>
          <w:numId w:val="42"/>
        </w:numPr>
        <w:spacing w:before="120"/>
        <w:ind w:left="1701"/>
        <w:rPr>
          <w:szCs w:val="22"/>
          <w:lang w:val="en-CA"/>
        </w:rPr>
      </w:pPr>
      <w:r>
        <w:rPr>
          <w:szCs w:val="22"/>
          <w:lang w:val="en-CA"/>
        </w:rPr>
        <w:t>R</w:t>
      </w:r>
      <w:r w:rsidRPr="00B73C3D">
        <w:rPr>
          <w:szCs w:val="22"/>
          <w:lang w:val="en-CA"/>
        </w:rPr>
        <w:t xml:space="preserve">e-prioritize portfolios and practices of development cooperation agencies and banks, </w:t>
      </w:r>
      <w:r>
        <w:rPr>
          <w:szCs w:val="22"/>
          <w:lang w:val="en-CA"/>
        </w:rPr>
        <w:t>multilateral development banks</w:t>
      </w:r>
      <w:r w:rsidRPr="00B73C3D">
        <w:rPr>
          <w:szCs w:val="22"/>
          <w:lang w:val="en-CA"/>
        </w:rPr>
        <w:t>, international financial institutions and charities, with a view to aligning financial flows with the objectives of the Convention</w:t>
      </w:r>
      <w:r>
        <w:rPr>
          <w:szCs w:val="22"/>
          <w:lang w:val="en-CA"/>
        </w:rPr>
        <w:t>;</w:t>
      </w:r>
      <w:r w:rsidRPr="00B73C3D">
        <w:rPr>
          <w:szCs w:val="22"/>
          <w:lang w:val="en-CA"/>
        </w:rPr>
        <w:t xml:space="preserve"> </w:t>
      </w:r>
    </w:p>
    <w:p w14:paraId="1B43C7C9" w14:textId="77777777" w:rsidR="0018728E" w:rsidRPr="00B73C3D" w:rsidRDefault="0018728E" w:rsidP="00950BE4">
      <w:pPr>
        <w:numPr>
          <w:ilvl w:val="2"/>
          <w:numId w:val="42"/>
        </w:numPr>
        <w:spacing w:before="120"/>
        <w:ind w:left="1701"/>
        <w:rPr>
          <w:szCs w:val="22"/>
          <w:lang w:val="en-CA"/>
        </w:rPr>
      </w:pPr>
      <w:r>
        <w:rPr>
          <w:szCs w:val="22"/>
          <w:lang w:val="en-CA"/>
        </w:rPr>
        <w:t>H</w:t>
      </w:r>
      <w:r w:rsidRPr="00B73C3D">
        <w:rPr>
          <w:szCs w:val="22"/>
          <w:lang w:val="en-CA"/>
        </w:rPr>
        <w:t>arness and scale synergies in project development and financing with a view to generating and increasing biodiversity co-benefits.</w:t>
      </w:r>
    </w:p>
    <w:p w14:paraId="12543C85" w14:textId="77777777" w:rsidR="0018728E" w:rsidRPr="00B73C3D" w:rsidRDefault="0018728E" w:rsidP="00950BE4">
      <w:pPr>
        <w:numPr>
          <w:ilvl w:val="0"/>
          <w:numId w:val="30"/>
        </w:numPr>
        <w:tabs>
          <w:tab w:val="left" w:pos="1134"/>
        </w:tabs>
        <w:spacing w:before="120"/>
        <w:ind w:left="0" w:firstLine="567"/>
        <w:rPr>
          <w:szCs w:val="22"/>
          <w:lang w:val="en-CA"/>
        </w:rPr>
      </w:pPr>
      <w:r w:rsidRPr="00B73C3D">
        <w:rPr>
          <w:szCs w:val="22"/>
          <w:lang w:val="en-CA"/>
        </w:rPr>
        <w:t>Strengthen risk assessment and transparent reporting requirement of international private finance and business actors.</w:t>
      </w:r>
    </w:p>
    <w:p w14:paraId="44A26D45" w14:textId="77777777" w:rsidR="0018728E" w:rsidRPr="00B73C3D" w:rsidRDefault="0018728E" w:rsidP="00950BE4">
      <w:pPr>
        <w:numPr>
          <w:ilvl w:val="0"/>
          <w:numId w:val="30"/>
        </w:numPr>
        <w:tabs>
          <w:tab w:val="left" w:pos="1134"/>
        </w:tabs>
        <w:spacing w:before="120"/>
        <w:ind w:left="0" w:firstLine="567"/>
        <w:rPr>
          <w:szCs w:val="22"/>
          <w:lang w:val="en-CA"/>
        </w:rPr>
      </w:pPr>
      <w:r w:rsidRPr="00B73C3D">
        <w:rPr>
          <w:szCs w:val="22"/>
          <w:lang w:val="en-CA"/>
        </w:rPr>
        <w:t>Report on actions taken and efforts made to identify and eliminate, phase out, or reform</w:t>
      </w:r>
      <w:r>
        <w:rPr>
          <w:szCs w:val="22"/>
          <w:lang w:val="en-CA"/>
        </w:rPr>
        <w:t xml:space="preserve"> </w:t>
      </w:r>
      <w:r w:rsidRPr="00B73C3D">
        <w:rPr>
          <w:szCs w:val="22"/>
          <w:lang w:val="en-CA"/>
        </w:rPr>
        <w:t>harmful incentives.</w:t>
      </w:r>
      <w:r w:rsidRPr="00B73C3D">
        <w:rPr>
          <w:sz w:val="16"/>
        </w:rPr>
        <w:t xml:space="preserve"> </w:t>
      </w:r>
    </w:p>
    <w:p w14:paraId="2646B753" w14:textId="77777777" w:rsidR="0018728E" w:rsidRPr="008F6FFF" w:rsidRDefault="0018728E" w:rsidP="008F6FFF">
      <w:pPr>
        <w:keepNext/>
        <w:spacing w:before="240" w:after="120"/>
        <w:jc w:val="left"/>
        <w:rPr>
          <w:b/>
          <w:bCs/>
          <w:szCs w:val="22"/>
          <w:lang w:val="en-CA"/>
        </w:rPr>
      </w:pPr>
      <w:r>
        <w:rPr>
          <w:b/>
          <w:bCs/>
          <w:szCs w:val="22"/>
          <w:lang w:val="en-CA"/>
        </w:rPr>
        <w:t xml:space="preserve">3. </w:t>
      </w:r>
      <w:r w:rsidRPr="008F6FFF">
        <w:rPr>
          <w:b/>
          <w:bCs/>
          <w:szCs w:val="22"/>
          <w:lang w:val="en-CA"/>
        </w:rPr>
        <w:t>Enhance the effectiveness of resource use</w:t>
      </w:r>
    </w:p>
    <w:p w14:paraId="01F3BB08" w14:textId="77777777" w:rsidR="0018728E" w:rsidRPr="00B73C3D" w:rsidRDefault="0018728E" w:rsidP="00950BE4">
      <w:pPr>
        <w:numPr>
          <w:ilvl w:val="0"/>
          <w:numId w:val="43"/>
        </w:numPr>
        <w:tabs>
          <w:tab w:val="left" w:pos="1134"/>
        </w:tabs>
        <w:spacing w:before="120"/>
        <w:ind w:left="0" w:firstLine="567"/>
        <w:rPr>
          <w:szCs w:val="22"/>
          <w:lang w:val="en-CA"/>
        </w:rPr>
      </w:pPr>
      <w:r>
        <w:rPr>
          <w:szCs w:val="22"/>
          <w:lang w:val="en-CA"/>
        </w:rPr>
        <w:t>I</w:t>
      </w:r>
      <w:r w:rsidRPr="00B73C3D">
        <w:rPr>
          <w:szCs w:val="22"/>
          <w:lang w:val="en-CA"/>
        </w:rPr>
        <w:t xml:space="preserve">mprove GEF operations and access modalities, including by developing fast-track systems; by allowing the </w:t>
      </w:r>
      <w:r w:rsidRPr="00A92E4D">
        <w:rPr>
          <w:szCs w:val="22"/>
          <w:lang w:val="en-CA"/>
        </w:rPr>
        <w:t>GEF Trust Fund</w:t>
      </w:r>
      <w:r w:rsidRPr="00B73C3D">
        <w:rPr>
          <w:szCs w:val="22"/>
          <w:lang w:val="en-CA"/>
        </w:rPr>
        <w:t xml:space="preserve"> to be open to contributions from all sources, including from the private sector and from philanthropy; and by putting in place institutional arrangements for the trust fund in partnership with </w:t>
      </w:r>
      <w:r>
        <w:rPr>
          <w:szCs w:val="22"/>
          <w:lang w:val="en-CA"/>
        </w:rPr>
        <w:t>multilateral development banks</w:t>
      </w:r>
      <w:r w:rsidRPr="00B73C3D">
        <w:rPr>
          <w:szCs w:val="22"/>
          <w:lang w:val="en-CA"/>
        </w:rPr>
        <w:t xml:space="preserve"> and international financial institutions</w:t>
      </w:r>
      <w:r>
        <w:rPr>
          <w:szCs w:val="22"/>
          <w:lang w:val="en-CA"/>
        </w:rPr>
        <w:t>;</w:t>
      </w:r>
    </w:p>
    <w:p w14:paraId="7E5AC724" w14:textId="77777777" w:rsidR="0018728E" w:rsidRPr="00B73C3D" w:rsidRDefault="0018728E" w:rsidP="00950BE4">
      <w:pPr>
        <w:numPr>
          <w:ilvl w:val="0"/>
          <w:numId w:val="43"/>
        </w:numPr>
        <w:tabs>
          <w:tab w:val="left" w:pos="1134"/>
        </w:tabs>
        <w:spacing w:before="120"/>
        <w:ind w:left="0" w:firstLine="567"/>
        <w:rPr>
          <w:szCs w:val="22"/>
          <w:lang w:val="en-CA"/>
        </w:rPr>
      </w:pPr>
      <w:r>
        <w:rPr>
          <w:szCs w:val="22"/>
          <w:lang w:val="en-CA"/>
        </w:rPr>
        <w:t>S</w:t>
      </w:r>
      <w:r w:rsidRPr="00B73C3D">
        <w:rPr>
          <w:szCs w:val="22"/>
          <w:lang w:val="en-CA"/>
        </w:rPr>
        <w:t xml:space="preserve">implify access modalities for biodiversity funding of </w:t>
      </w:r>
      <w:r>
        <w:rPr>
          <w:szCs w:val="22"/>
          <w:lang w:val="en-CA"/>
        </w:rPr>
        <w:t>multilateral development banks</w:t>
      </w:r>
      <w:r w:rsidRPr="00B73C3D">
        <w:rPr>
          <w:szCs w:val="22"/>
          <w:lang w:val="en-CA"/>
        </w:rPr>
        <w:t>, international financial institutions and charities</w:t>
      </w:r>
      <w:r>
        <w:rPr>
          <w:szCs w:val="22"/>
          <w:lang w:val="en-CA"/>
        </w:rPr>
        <w:t>;</w:t>
      </w:r>
    </w:p>
    <w:p w14:paraId="7B96BAD8" w14:textId="77777777" w:rsidR="0018728E" w:rsidRPr="00B73C3D" w:rsidRDefault="0018728E" w:rsidP="00950BE4">
      <w:pPr>
        <w:numPr>
          <w:ilvl w:val="0"/>
          <w:numId w:val="43"/>
        </w:numPr>
        <w:tabs>
          <w:tab w:val="left" w:pos="1134"/>
        </w:tabs>
        <w:spacing w:before="120"/>
        <w:ind w:left="0" w:firstLine="567"/>
        <w:rPr>
          <w:szCs w:val="22"/>
          <w:lang w:val="en-CA"/>
        </w:rPr>
      </w:pPr>
      <w:r>
        <w:rPr>
          <w:szCs w:val="22"/>
          <w:lang w:val="en-CA"/>
        </w:rPr>
        <w:t>I</w:t>
      </w:r>
      <w:r w:rsidRPr="00B73C3D">
        <w:rPr>
          <w:szCs w:val="22"/>
          <w:lang w:val="en-CA"/>
        </w:rPr>
        <w:t>ncrease transparency and accountability, monitoring and reporting, of biodiversity-related public and private financing at all levels</w:t>
      </w:r>
      <w:r>
        <w:rPr>
          <w:szCs w:val="22"/>
          <w:lang w:val="en-CA"/>
        </w:rPr>
        <w:t>;</w:t>
      </w:r>
    </w:p>
    <w:p w14:paraId="608AF0AB" w14:textId="77777777" w:rsidR="0018728E" w:rsidRPr="00B73C3D" w:rsidRDefault="0018728E" w:rsidP="00950BE4">
      <w:pPr>
        <w:numPr>
          <w:ilvl w:val="0"/>
          <w:numId w:val="43"/>
        </w:numPr>
        <w:tabs>
          <w:tab w:val="left" w:pos="1134"/>
        </w:tabs>
        <w:spacing w:before="120"/>
        <w:ind w:left="0" w:firstLine="567"/>
        <w:rPr>
          <w:szCs w:val="22"/>
          <w:lang w:val="en-CA"/>
        </w:rPr>
      </w:pPr>
      <w:r>
        <w:rPr>
          <w:szCs w:val="22"/>
          <w:lang w:val="en-CA"/>
        </w:rPr>
        <w:t>D</w:t>
      </w:r>
      <w:r w:rsidRPr="00B73C3D">
        <w:rPr>
          <w:szCs w:val="22"/>
          <w:lang w:val="en-CA"/>
        </w:rPr>
        <w:t>irect more resources to key implementation partners at the regional, national and local levels and facilitate partnerships to ensure community engagement and results on</w:t>
      </w:r>
      <w:r>
        <w:rPr>
          <w:szCs w:val="22"/>
          <w:lang w:val="en-CA"/>
        </w:rPr>
        <w:t xml:space="preserve"> </w:t>
      </w:r>
      <w:r w:rsidRPr="00B73C3D">
        <w:rPr>
          <w:szCs w:val="22"/>
          <w:lang w:val="en-CA"/>
        </w:rPr>
        <w:t>the</w:t>
      </w:r>
      <w:r>
        <w:rPr>
          <w:szCs w:val="22"/>
          <w:lang w:val="en-CA"/>
        </w:rPr>
        <w:t xml:space="preserve"> </w:t>
      </w:r>
      <w:r w:rsidRPr="00B73C3D">
        <w:rPr>
          <w:szCs w:val="22"/>
          <w:lang w:val="en-CA"/>
        </w:rPr>
        <w:t>ground</w:t>
      </w:r>
      <w:r>
        <w:rPr>
          <w:szCs w:val="22"/>
          <w:lang w:val="en-CA"/>
        </w:rPr>
        <w:t>;</w:t>
      </w:r>
      <w:r w:rsidRPr="00B73C3D">
        <w:rPr>
          <w:szCs w:val="22"/>
          <w:lang w:val="en-CA"/>
        </w:rPr>
        <w:t xml:space="preserve"> </w:t>
      </w:r>
    </w:p>
    <w:p w14:paraId="4D3FC83B" w14:textId="77777777" w:rsidR="0018728E" w:rsidRPr="00B73C3D" w:rsidRDefault="0018728E" w:rsidP="00950BE4">
      <w:pPr>
        <w:numPr>
          <w:ilvl w:val="0"/>
          <w:numId w:val="43"/>
        </w:numPr>
        <w:tabs>
          <w:tab w:val="left" w:pos="1134"/>
        </w:tabs>
        <w:spacing w:before="120"/>
        <w:ind w:left="0" w:firstLine="567"/>
        <w:rPr>
          <w:szCs w:val="22"/>
          <w:lang w:val="en-CA"/>
        </w:rPr>
      </w:pPr>
      <w:r>
        <w:rPr>
          <w:szCs w:val="22"/>
          <w:lang w:val="en-CA"/>
        </w:rPr>
        <w:t>S</w:t>
      </w:r>
      <w:r w:rsidRPr="00B73C3D">
        <w:rPr>
          <w:szCs w:val="22"/>
          <w:lang w:val="en-CA"/>
        </w:rPr>
        <w:t>trengthen ownership and capacity to access funding</w:t>
      </w:r>
      <w:r>
        <w:rPr>
          <w:szCs w:val="22"/>
          <w:lang w:val="en-CA"/>
        </w:rPr>
        <w:t>;</w:t>
      </w:r>
    </w:p>
    <w:p w14:paraId="22F15FCB" w14:textId="77777777" w:rsidR="0018728E" w:rsidRPr="008F6FFF" w:rsidRDefault="0018728E" w:rsidP="00950BE4">
      <w:pPr>
        <w:numPr>
          <w:ilvl w:val="0"/>
          <w:numId w:val="43"/>
        </w:numPr>
        <w:tabs>
          <w:tab w:val="left" w:pos="1134"/>
        </w:tabs>
        <w:spacing w:before="120"/>
        <w:ind w:left="0" w:firstLine="567"/>
        <w:rPr>
          <w:szCs w:val="22"/>
          <w:lang w:val="en-CA"/>
        </w:rPr>
      </w:pPr>
      <w:r w:rsidRPr="00B73C3D">
        <w:rPr>
          <w:szCs w:val="22"/>
          <w:lang w:val="en-US"/>
        </w:rPr>
        <w:t>Build synergies and harness biodiversity co-benefits.</w:t>
      </w:r>
    </w:p>
    <w:p w14:paraId="20F4B8DA" w14:textId="77777777" w:rsidR="0018728E" w:rsidRPr="00B73C3D" w:rsidRDefault="0018728E" w:rsidP="008F6FFF">
      <w:pPr>
        <w:keepNext/>
        <w:keepLines/>
        <w:spacing w:before="240" w:after="120"/>
        <w:rPr>
          <w:b/>
          <w:bCs/>
          <w:szCs w:val="22"/>
          <w:lang w:val="en-CA"/>
        </w:rPr>
      </w:pPr>
      <w:r>
        <w:rPr>
          <w:b/>
          <w:bCs/>
          <w:szCs w:val="22"/>
          <w:lang w:val="en-CA"/>
        </w:rPr>
        <w:t>4. Significantly i</w:t>
      </w:r>
      <w:r w:rsidRPr="00B73C3D">
        <w:rPr>
          <w:b/>
          <w:bCs/>
          <w:szCs w:val="22"/>
          <w:lang w:val="en-CA"/>
        </w:rPr>
        <w:t>ncrease domestic resource mobilization from all sources</w:t>
      </w:r>
    </w:p>
    <w:p w14:paraId="67644F52" w14:textId="77777777" w:rsidR="0018728E" w:rsidRPr="008F6FFF" w:rsidRDefault="0018728E" w:rsidP="008F6FFF">
      <w:pPr>
        <w:keepNext/>
        <w:keepLines/>
        <w:spacing w:before="120"/>
        <w:jc w:val="left"/>
        <w:rPr>
          <w:i/>
          <w:iCs/>
          <w:szCs w:val="22"/>
          <w:lang w:val="en-CA"/>
        </w:rPr>
      </w:pPr>
      <w:r w:rsidRPr="008F6FFF">
        <w:rPr>
          <w:i/>
          <w:iCs/>
          <w:szCs w:val="22"/>
          <w:lang w:val="en-CA"/>
        </w:rPr>
        <w:t>New and additional resources</w:t>
      </w:r>
    </w:p>
    <w:p w14:paraId="0E43EB9D" w14:textId="77777777" w:rsidR="0018728E" w:rsidRPr="00B73C3D" w:rsidRDefault="0018728E" w:rsidP="00950BE4">
      <w:pPr>
        <w:numPr>
          <w:ilvl w:val="0"/>
          <w:numId w:val="44"/>
        </w:numPr>
        <w:tabs>
          <w:tab w:val="left" w:pos="1134"/>
        </w:tabs>
        <w:spacing w:before="120"/>
        <w:ind w:left="0" w:firstLine="556"/>
        <w:rPr>
          <w:szCs w:val="22"/>
          <w:lang w:val="en-CA"/>
        </w:rPr>
      </w:pPr>
      <w:r w:rsidRPr="00B73C3D">
        <w:rPr>
          <w:szCs w:val="22"/>
          <w:lang w:val="en-CA"/>
        </w:rPr>
        <w:t>Significantly increase domestic public biodiversity-related expenditures</w:t>
      </w:r>
      <w:r>
        <w:rPr>
          <w:szCs w:val="22"/>
          <w:lang w:val="en-CA"/>
        </w:rPr>
        <w:t>;</w:t>
      </w:r>
    </w:p>
    <w:p w14:paraId="5EB28BF3" w14:textId="77777777" w:rsidR="0018728E" w:rsidRPr="00B73C3D" w:rsidRDefault="0018728E" w:rsidP="00950BE4">
      <w:pPr>
        <w:numPr>
          <w:ilvl w:val="0"/>
          <w:numId w:val="44"/>
        </w:numPr>
        <w:tabs>
          <w:tab w:val="left" w:pos="1134"/>
        </w:tabs>
        <w:spacing w:before="120"/>
        <w:ind w:left="0" w:firstLine="556"/>
        <w:rPr>
          <w:szCs w:val="22"/>
          <w:lang w:val="en-CA"/>
        </w:rPr>
      </w:pPr>
      <w:r w:rsidRPr="00B73C3D">
        <w:rPr>
          <w:szCs w:val="22"/>
          <w:lang w:val="en-CA"/>
        </w:rPr>
        <w:t>Use as appropriate international finance in order to leverage public and private domestic biodiversity finance</w:t>
      </w:r>
      <w:r>
        <w:rPr>
          <w:szCs w:val="22"/>
          <w:lang w:val="en-CA"/>
        </w:rPr>
        <w:t>;</w:t>
      </w:r>
    </w:p>
    <w:p w14:paraId="02AFBFAC" w14:textId="77777777" w:rsidR="0018728E" w:rsidRPr="00B73C3D" w:rsidRDefault="0018728E" w:rsidP="00950BE4">
      <w:pPr>
        <w:numPr>
          <w:ilvl w:val="0"/>
          <w:numId w:val="44"/>
        </w:numPr>
        <w:tabs>
          <w:tab w:val="left" w:pos="1134"/>
        </w:tabs>
        <w:spacing w:before="120"/>
        <w:ind w:left="0" w:firstLine="556"/>
        <w:rPr>
          <w:szCs w:val="22"/>
          <w:lang w:val="en-CA"/>
        </w:rPr>
      </w:pPr>
      <w:r w:rsidRPr="00B73C3D">
        <w:rPr>
          <w:szCs w:val="22"/>
          <w:lang w:val="en-CA"/>
        </w:rPr>
        <w:t>design and implement or scale positive incentive measures, in line with other relevant international obligations</w:t>
      </w:r>
      <w:r>
        <w:rPr>
          <w:szCs w:val="22"/>
          <w:lang w:val="en-CA"/>
        </w:rPr>
        <w:t>;</w:t>
      </w:r>
    </w:p>
    <w:p w14:paraId="2B58ED85" w14:textId="77777777" w:rsidR="0018728E" w:rsidRPr="00B73C3D" w:rsidRDefault="0018728E" w:rsidP="00950BE4">
      <w:pPr>
        <w:numPr>
          <w:ilvl w:val="0"/>
          <w:numId w:val="44"/>
        </w:numPr>
        <w:tabs>
          <w:tab w:val="left" w:pos="1134"/>
        </w:tabs>
        <w:spacing w:before="120"/>
        <w:ind w:left="0" w:firstLine="556"/>
        <w:rPr>
          <w:szCs w:val="22"/>
          <w:lang w:val="en-CA"/>
        </w:rPr>
      </w:pPr>
      <w:r w:rsidRPr="00B73C3D">
        <w:rPr>
          <w:szCs w:val="22"/>
          <w:lang w:val="en-CA"/>
        </w:rPr>
        <w:t>Significantly increase domestic private biodiversity-related expenditures, both direct and indirect</w:t>
      </w:r>
      <w:r>
        <w:rPr>
          <w:szCs w:val="22"/>
          <w:lang w:val="en-CA"/>
        </w:rPr>
        <w:t>;</w:t>
      </w:r>
    </w:p>
    <w:p w14:paraId="0D9CDE77" w14:textId="77777777" w:rsidR="0018728E" w:rsidRPr="00B73C3D" w:rsidRDefault="0018728E" w:rsidP="00950BE4">
      <w:pPr>
        <w:numPr>
          <w:ilvl w:val="0"/>
          <w:numId w:val="44"/>
        </w:numPr>
        <w:tabs>
          <w:tab w:val="left" w:pos="1134"/>
        </w:tabs>
        <w:spacing w:before="120"/>
        <w:ind w:left="0" w:firstLine="556"/>
        <w:rPr>
          <w:szCs w:val="22"/>
          <w:lang w:val="en-CA"/>
        </w:rPr>
      </w:pPr>
      <w:r>
        <w:rPr>
          <w:szCs w:val="22"/>
        </w:rPr>
        <w:t>D</w:t>
      </w:r>
      <w:r w:rsidRPr="00B73C3D">
        <w:rPr>
          <w:szCs w:val="22"/>
        </w:rPr>
        <w:t xml:space="preserve">evelop and apply biodiversity finance solutions or similar instruments for biodiversity financing, including by applying and/or scaling the use of innovative financial tools such as </w:t>
      </w:r>
      <w:r w:rsidRPr="00B73C3D">
        <w:rPr>
          <w:szCs w:val="22"/>
          <w:lang w:val="en-CA"/>
        </w:rPr>
        <w:t>blended finance or green/blue bonds</w:t>
      </w:r>
      <w:r>
        <w:rPr>
          <w:szCs w:val="22"/>
          <w:lang w:val="en-CA"/>
        </w:rPr>
        <w:t>;</w:t>
      </w:r>
    </w:p>
    <w:p w14:paraId="560F28DC" w14:textId="77777777" w:rsidR="0018728E" w:rsidRPr="006F1DC9" w:rsidRDefault="0018728E" w:rsidP="00950BE4">
      <w:pPr>
        <w:numPr>
          <w:ilvl w:val="0"/>
          <w:numId w:val="44"/>
        </w:numPr>
        <w:tabs>
          <w:tab w:val="left" w:pos="1134"/>
        </w:tabs>
        <w:spacing w:before="120"/>
        <w:ind w:left="0" w:firstLine="556"/>
        <w:rPr>
          <w:szCs w:val="22"/>
        </w:rPr>
      </w:pPr>
      <w:r w:rsidRPr="00D63BD4">
        <w:rPr>
          <w:szCs w:val="22"/>
        </w:rPr>
        <w:t>Enhanc</w:t>
      </w:r>
      <w:r>
        <w:rPr>
          <w:szCs w:val="22"/>
        </w:rPr>
        <w:t>e</w:t>
      </w:r>
      <w:r w:rsidRPr="00D63BD4">
        <w:rPr>
          <w:szCs w:val="22"/>
        </w:rPr>
        <w:t xml:space="preserve"> the role of collective actions, including by indigenous peoples and local communities, Mother Earth centric actions and non-market-based approaches</w:t>
      </w:r>
      <w:r w:rsidRPr="00B73C3D">
        <w:rPr>
          <w:szCs w:val="22"/>
        </w:rPr>
        <w:t>.</w:t>
      </w:r>
    </w:p>
    <w:p w14:paraId="1E9F7184" w14:textId="77777777" w:rsidR="0018728E" w:rsidRPr="008F6FFF" w:rsidRDefault="0018728E" w:rsidP="00316132">
      <w:pPr>
        <w:keepNext/>
        <w:spacing w:before="240"/>
        <w:jc w:val="left"/>
        <w:rPr>
          <w:b/>
          <w:bCs/>
          <w:szCs w:val="22"/>
        </w:rPr>
      </w:pPr>
      <w:r>
        <w:rPr>
          <w:b/>
          <w:bCs/>
          <w:szCs w:val="22"/>
        </w:rPr>
        <w:lastRenderedPageBreak/>
        <w:t xml:space="preserve">5. </w:t>
      </w:r>
      <w:r w:rsidRPr="008F6FFF">
        <w:rPr>
          <w:b/>
          <w:bCs/>
          <w:szCs w:val="22"/>
        </w:rPr>
        <w:t>Identify and eliminate, phase out, or reform financial resource flows causing harm</w:t>
      </w:r>
    </w:p>
    <w:p w14:paraId="65D29683" w14:textId="77777777" w:rsidR="0018728E" w:rsidRPr="00B73C3D" w:rsidRDefault="0018728E" w:rsidP="00950BE4">
      <w:pPr>
        <w:numPr>
          <w:ilvl w:val="0"/>
          <w:numId w:val="45"/>
        </w:numPr>
        <w:tabs>
          <w:tab w:val="left" w:pos="1134"/>
        </w:tabs>
        <w:spacing w:before="120"/>
        <w:ind w:left="0" w:firstLine="556"/>
        <w:jc w:val="left"/>
        <w:rPr>
          <w:szCs w:val="22"/>
          <w:lang w:val="en-CA"/>
        </w:rPr>
      </w:pPr>
      <w:r w:rsidRPr="00B73C3D">
        <w:rPr>
          <w:szCs w:val="22"/>
          <w:lang w:val="en-CA"/>
        </w:rPr>
        <w:t xml:space="preserve">Mainstream biodiversity in public budgets: </w:t>
      </w:r>
      <w:r>
        <w:rPr>
          <w:szCs w:val="22"/>
          <w:lang w:val="en-CA"/>
        </w:rPr>
        <w:t xml:space="preserve">progressively </w:t>
      </w:r>
      <w:r w:rsidRPr="00B73C3D">
        <w:rPr>
          <w:szCs w:val="22"/>
          <w:lang w:val="en-CA"/>
        </w:rPr>
        <w:t>align</w:t>
      </w:r>
      <w:r>
        <w:rPr>
          <w:szCs w:val="22"/>
          <w:lang w:val="en-CA"/>
        </w:rPr>
        <w:t>ing</w:t>
      </w:r>
      <w:r w:rsidRPr="00B73C3D">
        <w:rPr>
          <w:szCs w:val="22"/>
          <w:lang w:val="en-CA"/>
        </w:rPr>
        <w:t xml:space="preserve"> all public </w:t>
      </w:r>
      <w:r>
        <w:rPr>
          <w:szCs w:val="22"/>
          <w:lang w:val="en-CA"/>
        </w:rPr>
        <w:t xml:space="preserve">fiscal and </w:t>
      </w:r>
      <w:r w:rsidRPr="00B73C3D">
        <w:rPr>
          <w:szCs w:val="22"/>
          <w:lang w:val="en-CA"/>
        </w:rPr>
        <w:t xml:space="preserve">financial flows with the </w:t>
      </w:r>
      <w:r>
        <w:rPr>
          <w:szCs w:val="22"/>
          <w:lang w:val="en-CA"/>
        </w:rPr>
        <w:t>goals and targets of the Kunming-Montreal Global Biodiversity Framework</w:t>
      </w:r>
      <w:r w:rsidRPr="00B73C3D">
        <w:rPr>
          <w:szCs w:val="22"/>
          <w:lang w:val="en-CA"/>
        </w:rPr>
        <w:t>, as far as possible and as appropriate</w:t>
      </w:r>
      <w:r>
        <w:rPr>
          <w:szCs w:val="22"/>
          <w:lang w:val="en-CA"/>
        </w:rPr>
        <w:t>;</w:t>
      </w:r>
    </w:p>
    <w:p w14:paraId="5AE51D51" w14:textId="77777777" w:rsidR="0018728E" w:rsidRPr="00B73C3D" w:rsidRDefault="0018728E" w:rsidP="00950BE4">
      <w:pPr>
        <w:numPr>
          <w:ilvl w:val="0"/>
          <w:numId w:val="45"/>
        </w:numPr>
        <w:tabs>
          <w:tab w:val="left" w:pos="1134"/>
        </w:tabs>
        <w:spacing w:before="120"/>
        <w:ind w:left="0" w:firstLine="556"/>
        <w:jc w:val="left"/>
        <w:rPr>
          <w:szCs w:val="22"/>
          <w:lang w:val="en-CA"/>
        </w:rPr>
      </w:pPr>
      <w:r w:rsidRPr="00B73C3D">
        <w:rPr>
          <w:szCs w:val="22"/>
          <w:lang w:val="en-CA"/>
        </w:rPr>
        <w:t>Private sector mainstreaming: ensure or encourage, as appropriate, alignment of relevant fiscal, private and financial flows with the objectives of the Convention</w:t>
      </w:r>
      <w:r>
        <w:rPr>
          <w:szCs w:val="22"/>
          <w:lang w:val="en-CA"/>
        </w:rPr>
        <w:t>;</w:t>
      </w:r>
    </w:p>
    <w:p w14:paraId="22A2A4B0" w14:textId="77777777" w:rsidR="0018728E" w:rsidRPr="00B73C3D" w:rsidRDefault="0018728E" w:rsidP="00950BE4">
      <w:pPr>
        <w:numPr>
          <w:ilvl w:val="0"/>
          <w:numId w:val="45"/>
        </w:numPr>
        <w:tabs>
          <w:tab w:val="left" w:pos="1134"/>
        </w:tabs>
        <w:spacing w:before="120"/>
        <w:ind w:left="0" w:firstLine="556"/>
        <w:jc w:val="left"/>
        <w:rPr>
          <w:szCs w:val="22"/>
          <w:lang w:val="en-CA"/>
        </w:rPr>
      </w:pPr>
      <w:r w:rsidRPr="00B73C3D">
        <w:rPr>
          <w:szCs w:val="22"/>
          <w:lang w:val="en-CA"/>
        </w:rPr>
        <w:t>Mainstreaming biodiversity in the financial sector</w:t>
      </w:r>
      <w:r>
        <w:rPr>
          <w:szCs w:val="22"/>
          <w:lang w:val="en-CA"/>
        </w:rPr>
        <w:t>;</w:t>
      </w:r>
    </w:p>
    <w:p w14:paraId="5494BBDE" w14:textId="77777777" w:rsidR="0018728E" w:rsidRPr="00B73C3D" w:rsidRDefault="0018728E" w:rsidP="00950BE4">
      <w:pPr>
        <w:numPr>
          <w:ilvl w:val="0"/>
          <w:numId w:val="45"/>
        </w:numPr>
        <w:tabs>
          <w:tab w:val="left" w:pos="1134"/>
        </w:tabs>
        <w:spacing w:before="120"/>
        <w:ind w:left="0" w:firstLine="556"/>
        <w:jc w:val="left"/>
        <w:rPr>
          <w:szCs w:val="22"/>
          <w:lang w:val="en-CA"/>
        </w:rPr>
      </w:pPr>
      <w:r w:rsidRPr="00B73C3D">
        <w:rPr>
          <w:szCs w:val="22"/>
          <w:lang w:val="en-CA"/>
        </w:rPr>
        <w:t>Identify and eliminate, phase out or reform incentives, including subsidies, that are harmful for biodiversity, in line with other relevant international obligations</w:t>
      </w:r>
      <w:r>
        <w:rPr>
          <w:szCs w:val="22"/>
          <w:lang w:val="en-CA"/>
        </w:rPr>
        <w:t>;</w:t>
      </w:r>
    </w:p>
    <w:p w14:paraId="68F81BDF" w14:textId="77777777" w:rsidR="0018728E" w:rsidRPr="00B73C3D" w:rsidRDefault="0018728E" w:rsidP="00950BE4">
      <w:pPr>
        <w:numPr>
          <w:ilvl w:val="0"/>
          <w:numId w:val="45"/>
        </w:numPr>
        <w:tabs>
          <w:tab w:val="left" w:pos="1134"/>
        </w:tabs>
        <w:spacing w:before="120"/>
        <w:ind w:left="0" w:firstLine="556"/>
        <w:jc w:val="left"/>
        <w:rPr>
          <w:szCs w:val="22"/>
          <w:lang w:val="en-US"/>
        </w:rPr>
      </w:pPr>
      <w:r w:rsidRPr="00B73C3D">
        <w:rPr>
          <w:szCs w:val="22"/>
        </w:rPr>
        <w:t xml:space="preserve">Encourage the </w:t>
      </w:r>
      <w:r>
        <w:rPr>
          <w:szCs w:val="22"/>
        </w:rPr>
        <w:t xml:space="preserve">monitoring, </w:t>
      </w:r>
      <w:r w:rsidRPr="00B73C3D">
        <w:rPr>
          <w:szCs w:val="22"/>
        </w:rPr>
        <w:t xml:space="preserve">assessment and </w:t>
      </w:r>
      <w:r>
        <w:rPr>
          <w:szCs w:val="22"/>
        </w:rPr>
        <w:t xml:space="preserve">transparent </w:t>
      </w:r>
      <w:r w:rsidRPr="00B73C3D">
        <w:rPr>
          <w:szCs w:val="22"/>
        </w:rPr>
        <w:t>disclos</w:t>
      </w:r>
      <w:r>
        <w:rPr>
          <w:szCs w:val="22"/>
        </w:rPr>
        <w:t>ur</w:t>
      </w:r>
      <w:r w:rsidRPr="00B73C3D">
        <w:rPr>
          <w:szCs w:val="22"/>
        </w:rPr>
        <w:t xml:space="preserve">e by financial institutions of biodiversity </w:t>
      </w:r>
      <w:r>
        <w:rPr>
          <w:szCs w:val="22"/>
        </w:rPr>
        <w:t xml:space="preserve">risks, dependencies and </w:t>
      </w:r>
      <w:r w:rsidRPr="00B73C3D">
        <w:rPr>
          <w:szCs w:val="22"/>
        </w:rPr>
        <w:t>impacts of financial portfolios and operations; decrease or eliminate negative impacts on ecosystems and biodiversity of investments</w:t>
      </w:r>
      <w:r>
        <w:rPr>
          <w:szCs w:val="22"/>
        </w:rPr>
        <w:t>;</w:t>
      </w:r>
    </w:p>
    <w:p w14:paraId="11522D41" w14:textId="77777777" w:rsidR="0018728E" w:rsidRPr="008F6FFF" w:rsidRDefault="0018728E" w:rsidP="008F6FFF">
      <w:pPr>
        <w:snapToGrid w:val="0"/>
        <w:spacing w:before="240" w:after="120"/>
        <w:jc w:val="left"/>
        <w:rPr>
          <w:b/>
          <w:bCs/>
          <w:szCs w:val="22"/>
          <w:lang w:val="en-US"/>
        </w:rPr>
      </w:pPr>
      <w:r>
        <w:rPr>
          <w:b/>
          <w:bCs/>
          <w:szCs w:val="22"/>
          <w:lang w:val="en-US"/>
        </w:rPr>
        <w:t>6. </w:t>
      </w:r>
      <w:r w:rsidRPr="008F6FFF">
        <w:rPr>
          <w:b/>
          <w:bCs/>
          <w:szCs w:val="22"/>
          <w:lang w:val="en-US"/>
        </w:rPr>
        <w:t>Enhance the effectiveness and efficiency of resource use</w:t>
      </w:r>
    </w:p>
    <w:p w14:paraId="189ED807" w14:textId="77777777" w:rsidR="0018728E" w:rsidRPr="00B73C3D" w:rsidRDefault="0018728E" w:rsidP="00950BE4">
      <w:pPr>
        <w:numPr>
          <w:ilvl w:val="0"/>
          <w:numId w:val="46"/>
        </w:numPr>
        <w:tabs>
          <w:tab w:val="left" w:pos="1134"/>
        </w:tabs>
        <w:spacing w:before="120"/>
        <w:ind w:left="0" w:firstLine="567"/>
        <w:jc w:val="left"/>
        <w:rPr>
          <w:szCs w:val="22"/>
          <w:lang w:val="en-US"/>
        </w:rPr>
      </w:pPr>
      <w:r w:rsidRPr="00B73C3D">
        <w:rPr>
          <w:szCs w:val="22"/>
          <w:lang w:val="en-US"/>
        </w:rPr>
        <w:t>Ensure national ownership by aligning with national development plans</w:t>
      </w:r>
      <w:r>
        <w:rPr>
          <w:szCs w:val="22"/>
          <w:lang w:val="en-US"/>
        </w:rPr>
        <w:t>;</w:t>
      </w:r>
    </w:p>
    <w:p w14:paraId="20D24DFA" w14:textId="77777777" w:rsidR="0018728E" w:rsidRPr="00B73C3D" w:rsidRDefault="0018728E" w:rsidP="00950BE4">
      <w:pPr>
        <w:numPr>
          <w:ilvl w:val="0"/>
          <w:numId w:val="46"/>
        </w:numPr>
        <w:tabs>
          <w:tab w:val="left" w:pos="1134"/>
        </w:tabs>
        <w:spacing w:before="120"/>
        <w:ind w:left="0" w:firstLine="567"/>
        <w:jc w:val="left"/>
        <w:rPr>
          <w:szCs w:val="22"/>
          <w:lang w:val="en-US"/>
        </w:rPr>
      </w:pPr>
      <w:r>
        <w:rPr>
          <w:szCs w:val="22"/>
          <w:lang w:val="en-US"/>
        </w:rPr>
        <w:t>S</w:t>
      </w:r>
      <w:r w:rsidRPr="00B73C3D">
        <w:rPr>
          <w:szCs w:val="22"/>
          <w:lang w:val="en-US"/>
        </w:rPr>
        <w:t>upport policy coherence by creating or enhancing partnerships with indigenous peoples and local communities and with civil society</w:t>
      </w:r>
      <w:r>
        <w:rPr>
          <w:szCs w:val="22"/>
          <w:lang w:val="en-US"/>
        </w:rPr>
        <w:t>;</w:t>
      </w:r>
    </w:p>
    <w:p w14:paraId="3F062399" w14:textId="77777777" w:rsidR="0018728E" w:rsidRPr="00B73C3D" w:rsidRDefault="0018728E" w:rsidP="00950BE4">
      <w:pPr>
        <w:numPr>
          <w:ilvl w:val="0"/>
          <w:numId w:val="46"/>
        </w:numPr>
        <w:tabs>
          <w:tab w:val="left" w:pos="1134"/>
        </w:tabs>
        <w:spacing w:before="120"/>
        <w:ind w:left="0" w:firstLine="567"/>
        <w:rPr>
          <w:szCs w:val="22"/>
          <w:lang w:val="en-US"/>
        </w:rPr>
      </w:pPr>
      <w:r>
        <w:rPr>
          <w:szCs w:val="22"/>
          <w:lang w:val="en-US"/>
        </w:rPr>
        <w:t>E</w:t>
      </w:r>
      <w:r w:rsidRPr="00B73C3D">
        <w:rPr>
          <w:szCs w:val="22"/>
          <w:lang w:val="en-US"/>
        </w:rPr>
        <w:t>nhance capacity-building, technical assistance and technological cooperation for financial planning and effective resource utilization and management</w:t>
      </w:r>
      <w:r>
        <w:rPr>
          <w:szCs w:val="22"/>
          <w:lang w:val="en-US"/>
        </w:rPr>
        <w:t>;</w:t>
      </w:r>
    </w:p>
    <w:p w14:paraId="69906BC3" w14:textId="77777777" w:rsidR="0018728E" w:rsidRPr="00B73C3D" w:rsidRDefault="0018728E" w:rsidP="00950BE4">
      <w:pPr>
        <w:numPr>
          <w:ilvl w:val="0"/>
          <w:numId w:val="46"/>
        </w:numPr>
        <w:tabs>
          <w:tab w:val="left" w:pos="1134"/>
        </w:tabs>
        <w:spacing w:before="120"/>
        <w:ind w:left="0" w:firstLine="567"/>
        <w:jc w:val="left"/>
        <w:rPr>
          <w:szCs w:val="22"/>
          <w:lang w:val="en-US"/>
        </w:rPr>
      </w:pPr>
      <w:r>
        <w:rPr>
          <w:szCs w:val="22"/>
          <w:lang w:val="en-US"/>
        </w:rPr>
        <w:t>I</w:t>
      </w:r>
      <w:r w:rsidRPr="00B73C3D">
        <w:rPr>
          <w:szCs w:val="22"/>
          <w:lang w:val="en-US"/>
        </w:rPr>
        <w:t>mprove transparency and accountability, as well as national monitoring systems for resource use</w:t>
      </w:r>
      <w:r>
        <w:rPr>
          <w:szCs w:val="22"/>
          <w:lang w:val="en-US"/>
        </w:rPr>
        <w:t>;</w:t>
      </w:r>
    </w:p>
    <w:p w14:paraId="568E1138" w14:textId="4C1CF2C5" w:rsidR="0018728E" w:rsidRPr="00A54C34" w:rsidRDefault="0018728E" w:rsidP="00316132">
      <w:pPr>
        <w:numPr>
          <w:ilvl w:val="0"/>
          <w:numId w:val="46"/>
        </w:numPr>
        <w:tabs>
          <w:tab w:val="left" w:pos="1134"/>
        </w:tabs>
        <w:spacing w:before="120"/>
        <w:ind w:left="0" w:firstLine="567"/>
        <w:jc w:val="left"/>
        <w:rPr>
          <w:bCs/>
          <w:snapToGrid w:val="0"/>
          <w:kern w:val="22"/>
          <w:szCs w:val="22"/>
          <w:lang w:val="en-US"/>
        </w:rPr>
      </w:pPr>
      <w:r w:rsidRPr="00B73C3D">
        <w:rPr>
          <w:szCs w:val="22"/>
          <w:lang w:val="en-US"/>
        </w:rPr>
        <w:t>Build synergies and harness biodiversity co-benefits</w:t>
      </w:r>
      <w:r>
        <w:rPr>
          <w:szCs w:val="22"/>
          <w:lang w:val="en-US"/>
        </w:rPr>
        <w:t>.</w:t>
      </w:r>
    </w:p>
    <w:p w14:paraId="22E93B4A" w14:textId="77777777" w:rsidR="0018728E" w:rsidRPr="00A3490B" w:rsidRDefault="0018728E" w:rsidP="00605C94">
      <w:pPr>
        <w:spacing w:before="240" w:after="120"/>
        <w:jc w:val="center"/>
        <w:rPr>
          <w:i/>
          <w:iCs/>
          <w:kern w:val="22"/>
          <w:szCs w:val="22"/>
          <w:highlight w:val="yellow"/>
        </w:rPr>
      </w:pPr>
      <w:r w:rsidRPr="00A3490B">
        <w:rPr>
          <w:i/>
          <w:iCs/>
          <w:kern w:val="22"/>
          <w:szCs w:val="22"/>
        </w:rPr>
        <w:t>Annex II</w:t>
      </w:r>
    </w:p>
    <w:p w14:paraId="68943A55" w14:textId="77777777" w:rsidR="0018728E" w:rsidRDefault="0018728E" w:rsidP="00120AD1">
      <w:pPr>
        <w:pStyle w:val="HEADINGNOTFORTOC"/>
        <w:spacing w:before="120"/>
        <w:outlineLvl w:val="9"/>
      </w:pPr>
      <w:r w:rsidRPr="00FB444D">
        <w:rPr>
          <w:kern w:val="22"/>
        </w:rPr>
        <w:t>T</w:t>
      </w:r>
      <w:r w:rsidRPr="00FB444D">
        <w:t>erms of Reference for the Advisory committee on resource mobilization</w:t>
      </w:r>
    </w:p>
    <w:p w14:paraId="198EAE6A" w14:textId="77777777" w:rsidR="0018728E" w:rsidRPr="00AC7311" w:rsidRDefault="0018728E" w:rsidP="00AC7311">
      <w:pPr>
        <w:pStyle w:val="NormalWeb"/>
        <w:keepNext/>
        <w:spacing w:before="120" w:after="120"/>
        <w:jc w:val="center"/>
        <w:rPr>
          <w:b/>
          <w:bCs/>
          <w:sz w:val="22"/>
          <w:szCs w:val="22"/>
        </w:rPr>
      </w:pPr>
      <w:r w:rsidRPr="00AC7311">
        <w:rPr>
          <w:b/>
          <w:bCs/>
          <w:sz w:val="22"/>
          <w:szCs w:val="22"/>
        </w:rPr>
        <w:t>A.</w:t>
      </w:r>
      <w:r w:rsidRPr="00AC7311">
        <w:rPr>
          <w:b/>
          <w:bCs/>
          <w:sz w:val="22"/>
          <w:szCs w:val="22"/>
        </w:rPr>
        <w:tab/>
        <w:t>Scope of work</w:t>
      </w:r>
    </w:p>
    <w:p w14:paraId="11C5E2B1" w14:textId="77777777" w:rsidR="0018728E" w:rsidRPr="00A3490B" w:rsidRDefault="0018728E" w:rsidP="00950BE4">
      <w:pPr>
        <w:pStyle w:val="Default"/>
        <w:numPr>
          <w:ilvl w:val="0"/>
          <w:numId w:val="31"/>
        </w:numPr>
        <w:spacing w:before="120" w:after="120"/>
        <w:jc w:val="both"/>
        <w:rPr>
          <w:szCs w:val="22"/>
          <w:lang w:val="en-US"/>
        </w:rPr>
      </w:pPr>
      <w:r w:rsidRPr="00FB444D">
        <w:rPr>
          <w:sz w:val="22"/>
          <w:szCs w:val="22"/>
          <w:lang w:val="en-US"/>
        </w:rPr>
        <w:t>1.</w:t>
      </w:r>
      <w:r w:rsidRPr="00FB444D">
        <w:rPr>
          <w:sz w:val="22"/>
          <w:szCs w:val="22"/>
          <w:lang w:val="en-US"/>
        </w:rPr>
        <w:tab/>
        <w:t xml:space="preserve">The Advisory Committee on Resource Mobilization will provide recommendations to the Subsidiary Body on Implementation at its </w:t>
      </w:r>
      <w:r>
        <w:rPr>
          <w:sz w:val="22"/>
          <w:szCs w:val="22"/>
          <w:lang w:val="en-US"/>
        </w:rPr>
        <w:t>fourth</w:t>
      </w:r>
      <w:r w:rsidRPr="00FB444D">
        <w:rPr>
          <w:sz w:val="22"/>
          <w:szCs w:val="22"/>
          <w:lang w:val="en-US"/>
        </w:rPr>
        <w:t xml:space="preserve"> </w:t>
      </w:r>
      <w:r>
        <w:rPr>
          <w:sz w:val="22"/>
          <w:szCs w:val="22"/>
          <w:lang w:val="en-US"/>
        </w:rPr>
        <w:t>and/or fifth m</w:t>
      </w:r>
      <w:r w:rsidRPr="00FB444D">
        <w:rPr>
          <w:sz w:val="22"/>
          <w:szCs w:val="22"/>
          <w:lang w:val="en-US"/>
        </w:rPr>
        <w:t>eeting</w:t>
      </w:r>
      <w:r>
        <w:rPr>
          <w:sz w:val="22"/>
          <w:szCs w:val="22"/>
          <w:lang w:val="en-US"/>
        </w:rPr>
        <w:t>s</w:t>
      </w:r>
      <w:r w:rsidRPr="00FB444D">
        <w:rPr>
          <w:sz w:val="22"/>
          <w:szCs w:val="22"/>
          <w:lang w:val="en-US"/>
        </w:rPr>
        <w:t xml:space="preserve"> on the strengthening of the </w:t>
      </w:r>
      <w:r>
        <w:rPr>
          <w:sz w:val="22"/>
          <w:szCs w:val="22"/>
          <w:lang w:val="en-US"/>
        </w:rPr>
        <w:t xml:space="preserve">strategy for resource </w:t>
      </w:r>
      <w:r w:rsidRPr="0059160F">
        <w:rPr>
          <w:sz w:val="22"/>
          <w:szCs w:val="22"/>
          <w:lang w:val="en-US"/>
        </w:rPr>
        <w:t xml:space="preserve">mobilization </w:t>
      </w:r>
      <w:r>
        <w:rPr>
          <w:sz w:val="22"/>
          <w:szCs w:val="22"/>
          <w:lang w:val="en-US"/>
        </w:rPr>
        <w:t>for</w:t>
      </w:r>
      <w:r w:rsidRPr="0059160F">
        <w:rPr>
          <w:sz w:val="22"/>
          <w:szCs w:val="22"/>
          <w:lang w:val="en-US"/>
        </w:rPr>
        <w:t xml:space="preserve"> the </w:t>
      </w:r>
      <w:r w:rsidRPr="008F6FFF">
        <w:rPr>
          <w:sz w:val="22"/>
          <w:szCs w:val="22"/>
          <w:lang w:val="en-US"/>
        </w:rPr>
        <w:t xml:space="preserve">Kunming-Montreal </w:t>
      </w:r>
      <w:r w:rsidRPr="008F6FFF">
        <w:rPr>
          <w:snapToGrid w:val="0"/>
          <w:kern w:val="22"/>
          <w:sz w:val="22"/>
          <w:szCs w:val="22"/>
          <w:lang w:val="en-US"/>
        </w:rPr>
        <w:t>G</w:t>
      </w:r>
      <w:r w:rsidRPr="0059160F">
        <w:rPr>
          <w:snapToGrid w:val="0"/>
          <w:kern w:val="22"/>
          <w:sz w:val="22"/>
          <w:szCs w:val="22"/>
          <w:lang w:val="en-US"/>
        </w:rPr>
        <w:t xml:space="preserve">lobal </w:t>
      </w:r>
      <w:r w:rsidRPr="008F6FFF">
        <w:rPr>
          <w:snapToGrid w:val="0"/>
          <w:kern w:val="22"/>
          <w:sz w:val="22"/>
          <w:szCs w:val="22"/>
          <w:lang w:val="en-US"/>
        </w:rPr>
        <w:t>B</w:t>
      </w:r>
      <w:r w:rsidRPr="0059160F">
        <w:rPr>
          <w:snapToGrid w:val="0"/>
          <w:kern w:val="22"/>
          <w:sz w:val="22"/>
          <w:szCs w:val="22"/>
          <w:lang w:val="en-US"/>
        </w:rPr>
        <w:t xml:space="preserve">iodiversity </w:t>
      </w:r>
      <w:r w:rsidRPr="008F6FFF">
        <w:rPr>
          <w:snapToGrid w:val="0"/>
          <w:kern w:val="22"/>
          <w:sz w:val="22"/>
          <w:szCs w:val="22"/>
          <w:lang w:val="en-US"/>
        </w:rPr>
        <w:t>F</w:t>
      </w:r>
      <w:r w:rsidRPr="0059160F">
        <w:rPr>
          <w:snapToGrid w:val="0"/>
          <w:kern w:val="22"/>
          <w:sz w:val="22"/>
          <w:szCs w:val="22"/>
          <w:lang w:val="en-US"/>
        </w:rPr>
        <w:t xml:space="preserve">ramework </w:t>
      </w:r>
      <w:r w:rsidRPr="0059160F">
        <w:rPr>
          <w:sz w:val="22"/>
          <w:szCs w:val="22"/>
          <w:lang w:val="en-US"/>
        </w:rPr>
        <w:t>and to operationalize</w:t>
      </w:r>
      <w:r w:rsidRPr="00FB444D">
        <w:rPr>
          <w:sz w:val="22"/>
          <w:szCs w:val="22"/>
          <w:lang w:val="en-US"/>
        </w:rPr>
        <w:t xml:space="preserve"> the decisions taken in </w:t>
      </w:r>
      <w:r w:rsidRPr="00152599">
        <w:rPr>
          <w:snapToGrid w:val="0"/>
          <w:kern w:val="22"/>
          <w:sz w:val="22"/>
          <w:szCs w:val="22"/>
          <w:lang w:val="en-US"/>
        </w:rPr>
        <w:t xml:space="preserve">paragraphs </w:t>
      </w:r>
      <w:r w:rsidRPr="008F6FFF">
        <w:rPr>
          <w:snapToGrid w:val="0"/>
          <w:kern w:val="22"/>
          <w:sz w:val="22"/>
          <w:szCs w:val="22"/>
          <w:lang w:val="en-US"/>
        </w:rPr>
        <w:t>40</w:t>
      </w:r>
      <w:r w:rsidRPr="00152599">
        <w:rPr>
          <w:snapToGrid w:val="0"/>
          <w:kern w:val="22"/>
          <w:sz w:val="22"/>
          <w:szCs w:val="22"/>
          <w:lang w:val="en-US"/>
        </w:rPr>
        <w:t xml:space="preserve"> to 4</w:t>
      </w:r>
      <w:r w:rsidRPr="008F6FFF">
        <w:rPr>
          <w:snapToGrid w:val="0"/>
          <w:kern w:val="22"/>
          <w:sz w:val="22"/>
          <w:szCs w:val="22"/>
          <w:lang w:val="en-US"/>
        </w:rPr>
        <w:t>2</w:t>
      </w:r>
      <w:r w:rsidRPr="00152599">
        <w:rPr>
          <w:snapToGrid w:val="0"/>
          <w:kern w:val="22"/>
          <w:sz w:val="22"/>
          <w:szCs w:val="22"/>
          <w:lang w:val="en-US"/>
        </w:rPr>
        <w:t xml:space="preserve"> </w:t>
      </w:r>
      <w:r w:rsidRPr="00152599">
        <w:rPr>
          <w:sz w:val="22"/>
          <w:szCs w:val="22"/>
          <w:lang w:val="en-US"/>
        </w:rPr>
        <w:t>of</w:t>
      </w:r>
      <w:r w:rsidRPr="00FB444D">
        <w:rPr>
          <w:sz w:val="22"/>
          <w:szCs w:val="22"/>
          <w:lang w:val="en-US"/>
        </w:rPr>
        <w:t xml:space="preserve"> the </w:t>
      </w:r>
      <w:r>
        <w:rPr>
          <w:sz w:val="22"/>
          <w:szCs w:val="22"/>
          <w:lang w:val="en-US"/>
        </w:rPr>
        <w:t xml:space="preserve">present decision </w:t>
      </w:r>
      <w:r w:rsidRPr="00FB444D">
        <w:rPr>
          <w:sz w:val="22"/>
          <w:szCs w:val="22"/>
          <w:lang w:val="en-US"/>
        </w:rPr>
        <w:t xml:space="preserve">to </w:t>
      </w:r>
      <w:r w:rsidRPr="00FB444D">
        <w:rPr>
          <w:snapToGrid w:val="0"/>
          <w:kern w:val="22"/>
          <w:sz w:val="22"/>
          <w:szCs w:val="22"/>
          <w:lang w:val="en-US"/>
        </w:rPr>
        <w:t xml:space="preserve">ensure it will provide a solid basis to guide Parties and other actors towards the mobilization of adequate resources commensurate with the ambition of the </w:t>
      </w:r>
      <w:r>
        <w:rPr>
          <w:snapToGrid w:val="0"/>
          <w:kern w:val="22"/>
          <w:sz w:val="22"/>
          <w:szCs w:val="22"/>
          <w:lang w:val="en-US"/>
        </w:rPr>
        <w:t>Framework</w:t>
      </w:r>
      <w:r w:rsidRPr="00FB444D">
        <w:rPr>
          <w:sz w:val="22"/>
          <w:szCs w:val="22"/>
          <w:lang w:val="en-US"/>
        </w:rPr>
        <w:t xml:space="preserve">, based in particular on the following steps: </w:t>
      </w:r>
    </w:p>
    <w:p w14:paraId="6F964D08" w14:textId="77777777" w:rsidR="0018728E" w:rsidRPr="008F6FFF" w:rsidRDefault="0018728E" w:rsidP="008F6FFF">
      <w:pPr>
        <w:pStyle w:val="Default"/>
        <w:spacing w:before="120" w:after="120"/>
        <w:ind w:left="709"/>
        <w:jc w:val="both"/>
        <w:rPr>
          <w:b/>
          <w:bCs/>
          <w:sz w:val="22"/>
          <w:szCs w:val="22"/>
          <w:lang w:val="en-US"/>
        </w:rPr>
      </w:pPr>
      <w:r w:rsidRPr="008F6FFF">
        <w:rPr>
          <w:b/>
          <w:bCs/>
          <w:sz w:val="22"/>
          <w:szCs w:val="22"/>
          <w:lang w:val="en-US"/>
        </w:rPr>
        <w:t xml:space="preserve">Upgrading the </w:t>
      </w:r>
      <w:r w:rsidRPr="00082948">
        <w:rPr>
          <w:b/>
          <w:bCs/>
          <w:sz w:val="22"/>
          <w:szCs w:val="22"/>
          <w:lang w:val="en-US"/>
        </w:rPr>
        <w:t>s</w:t>
      </w:r>
      <w:r w:rsidRPr="008F6FFF">
        <w:rPr>
          <w:b/>
          <w:bCs/>
          <w:sz w:val="22"/>
          <w:szCs w:val="22"/>
          <w:lang w:val="en-US"/>
        </w:rPr>
        <w:t xml:space="preserve">trategy for </w:t>
      </w:r>
      <w:r w:rsidRPr="00082948">
        <w:rPr>
          <w:b/>
          <w:bCs/>
          <w:sz w:val="22"/>
          <w:szCs w:val="22"/>
          <w:lang w:val="en-US"/>
        </w:rPr>
        <w:t>r</w:t>
      </w:r>
      <w:r w:rsidRPr="008F6FFF">
        <w:rPr>
          <w:b/>
          <w:bCs/>
          <w:sz w:val="22"/>
          <w:szCs w:val="22"/>
          <w:lang w:val="en-US"/>
        </w:rPr>
        <w:t xml:space="preserve">esource </w:t>
      </w:r>
      <w:r w:rsidRPr="00082948">
        <w:rPr>
          <w:b/>
          <w:bCs/>
          <w:sz w:val="22"/>
          <w:szCs w:val="22"/>
          <w:lang w:val="en-US"/>
        </w:rPr>
        <w:t>m</w:t>
      </w:r>
      <w:r w:rsidRPr="008F6FFF">
        <w:rPr>
          <w:b/>
          <w:bCs/>
          <w:sz w:val="22"/>
          <w:szCs w:val="22"/>
          <w:lang w:val="en-US"/>
        </w:rPr>
        <w:t>obilization consistent with the relevant decisions taken by the Conference of the Parties</w:t>
      </w:r>
      <w:r w:rsidRPr="00082948">
        <w:rPr>
          <w:b/>
          <w:bCs/>
          <w:sz w:val="22"/>
          <w:szCs w:val="22"/>
          <w:lang w:val="en-US"/>
        </w:rPr>
        <w:t xml:space="preserve"> at its fifteenth meeting</w:t>
      </w:r>
    </w:p>
    <w:p w14:paraId="7416169A" w14:textId="77777777" w:rsidR="0018728E" w:rsidRPr="00FB444D" w:rsidRDefault="0018728E" w:rsidP="00950BE4">
      <w:pPr>
        <w:pStyle w:val="Default"/>
        <w:numPr>
          <w:ilvl w:val="1"/>
          <w:numId w:val="32"/>
        </w:numPr>
        <w:spacing w:before="120" w:after="120"/>
        <w:jc w:val="both"/>
        <w:rPr>
          <w:sz w:val="22"/>
          <w:szCs w:val="22"/>
          <w:lang w:val="en-US"/>
        </w:rPr>
      </w:pPr>
      <w:r>
        <w:rPr>
          <w:sz w:val="22"/>
          <w:szCs w:val="22"/>
          <w:lang w:val="en-US"/>
        </w:rPr>
        <w:t>S</w:t>
      </w:r>
      <w:r w:rsidRPr="00FB444D">
        <w:rPr>
          <w:sz w:val="22"/>
          <w:szCs w:val="22"/>
          <w:lang w:val="en-US"/>
        </w:rPr>
        <w:t xml:space="preserve">trengthen the </w:t>
      </w:r>
      <w:r>
        <w:rPr>
          <w:sz w:val="22"/>
          <w:szCs w:val="22"/>
          <w:lang w:val="en-US"/>
        </w:rPr>
        <w:t>strategy for resource mobilization</w:t>
      </w:r>
      <w:r w:rsidRPr="00FB444D">
        <w:rPr>
          <w:sz w:val="22"/>
          <w:szCs w:val="22"/>
          <w:lang w:val="en-US"/>
        </w:rPr>
        <w:t xml:space="preserve"> by bringing it in line with the </w:t>
      </w:r>
      <w:r>
        <w:rPr>
          <w:sz w:val="22"/>
          <w:szCs w:val="22"/>
          <w:lang w:val="en-US"/>
        </w:rPr>
        <w:t>Kunming-Montreal Global Biodiversity Framework</w:t>
      </w:r>
      <w:r w:rsidRPr="00FB444D">
        <w:rPr>
          <w:sz w:val="22"/>
          <w:szCs w:val="22"/>
          <w:lang w:val="en-US"/>
        </w:rPr>
        <w:t xml:space="preserve"> and other </w:t>
      </w:r>
      <w:r w:rsidRPr="005E5927">
        <w:rPr>
          <w:sz w:val="22"/>
          <w:szCs w:val="22"/>
          <w:lang w:val="en-US"/>
        </w:rPr>
        <w:t xml:space="preserve">relevant decisions also adopted by the Conference of the Parties at its fifteenth meeting, </w:t>
      </w:r>
      <w:r w:rsidRPr="008F6FFF">
        <w:rPr>
          <w:sz w:val="22"/>
          <w:szCs w:val="22"/>
          <w:lang w:val="en-US"/>
        </w:rPr>
        <w:t xml:space="preserve">to </w:t>
      </w:r>
      <w:r w:rsidRPr="005E5927">
        <w:rPr>
          <w:sz w:val="22"/>
          <w:szCs w:val="22"/>
          <w:lang w:val="en-US"/>
        </w:rPr>
        <w:t>ensur</w:t>
      </w:r>
      <w:r w:rsidRPr="008F6FFF">
        <w:rPr>
          <w:sz w:val="22"/>
          <w:szCs w:val="22"/>
          <w:lang w:val="en-US"/>
        </w:rPr>
        <w:t>e</w:t>
      </w:r>
      <w:r w:rsidRPr="005E5927">
        <w:rPr>
          <w:sz w:val="22"/>
          <w:szCs w:val="22"/>
          <w:lang w:val="en-US"/>
        </w:rPr>
        <w:t xml:space="preserve"> coherence</w:t>
      </w:r>
      <w:r w:rsidRPr="008F6FFF">
        <w:rPr>
          <w:sz w:val="22"/>
          <w:szCs w:val="22"/>
          <w:lang w:val="en-US"/>
        </w:rPr>
        <w:t>;</w:t>
      </w:r>
      <w:r w:rsidRPr="00610646">
        <w:rPr>
          <w:rStyle w:val="FootnoteReference"/>
        </w:rPr>
        <w:footnoteReference w:id="58"/>
      </w:r>
    </w:p>
    <w:p w14:paraId="0E6E04F7" w14:textId="77777777" w:rsidR="0018728E" w:rsidRPr="00FB444D" w:rsidRDefault="0018728E" w:rsidP="00950BE4">
      <w:pPr>
        <w:pStyle w:val="Default"/>
        <w:numPr>
          <w:ilvl w:val="1"/>
          <w:numId w:val="32"/>
        </w:numPr>
        <w:spacing w:before="120" w:after="120"/>
        <w:jc w:val="both"/>
        <w:rPr>
          <w:sz w:val="22"/>
          <w:szCs w:val="22"/>
          <w:lang w:val="en-US"/>
        </w:rPr>
      </w:pPr>
      <w:r w:rsidRPr="00FB444D">
        <w:rPr>
          <w:sz w:val="22"/>
          <w:szCs w:val="22"/>
          <w:lang w:val="en-US"/>
        </w:rPr>
        <w:t>Improve the information base on funding needs, gaps and priorities</w:t>
      </w:r>
      <w:r>
        <w:rPr>
          <w:sz w:val="22"/>
          <w:szCs w:val="22"/>
          <w:lang w:val="en-US"/>
        </w:rPr>
        <w:t>;</w:t>
      </w:r>
    </w:p>
    <w:p w14:paraId="2DC12450" w14:textId="77777777" w:rsidR="0018728E" w:rsidRPr="00A3490B" w:rsidRDefault="0018728E" w:rsidP="00950BE4">
      <w:pPr>
        <w:pStyle w:val="Default"/>
        <w:numPr>
          <w:ilvl w:val="1"/>
          <w:numId w:val="32"/>
        </w:numPr>
        <w:spacing w:before="120" w:after="120"/>
        <w:jc w:val="both"/>
        <w:rPr>
          <w:b/>
          <w:bCs/>
          <w:i/>
          <w:iCs/>
          <w:sz w:val="22"/>
          <w:szCs w:val="22"/>
          <w:lang w:val="en-US"/>
        </w:rPr>
      </w:pPr>
      <w:r w:rsidRPr="00FB444D">
        <w:rPr>
          <w:sz w:val="22"/>
          <w:szCs w:val="22"/>
          <w:lang w:val="en-US"/>
        </w:rPr>
        <w:lastRenderedPageBreak/>
        <w:t>Identify potential additional sources of funding, recognizing the need for support from a wide variety of sources, including innovative sources</w:t>
      </w:r>
      <w:r>
        <w:rPr>
          <w:sz w:val="22"/>
          <w:szCs w:val="22"/>
          <w:lang w:val="en-US"/>
        </w:rPr>
        <w:t>.</w:t>
      </w:r>
    </w:p>
    <w:p w14:paraId="659AEDD2" w14:textId="77777777" w:rsidR="0018728E" w:rsidRPr="008F6FFF" w:rsidRDefault="0018728E" w:rsidP="008F6FFF">
      <w:pPr>
        <w:pStyle w:val="Default"/>
        <w:spacing w:before="120" w:after="120"/>
        <w:ind w:left="709"/>
        <w:rPr>
          <w:b/>
          <w:bCs/>
          <w:sz w:val="22"/>
          <w:szCs w:val="22"/>
          <w:lang w:val="en-US"/>
        </w:rPr>
      </w:pPr>
      <w:r w:rsidRPr="008F6FFF">
        <w:rPr>
          <w:b/>
          <w:bCs/>
          <w:sz w:val="22"/>
          <w:szCs w:val="22"/>
          <w:lang w:val="en-US"/>
        </w:rPr>
        <w:t xml:space="preserve">Assessing efficiency, effectiveness, gaps and overlaps </w:t>
      </w:r>
    </w:p>
    <w:p w14:paraId="03A28C8D" w14:textId="77777777" w:rsidR="0018728E" w:rsidRPr="00FB444D" w:rsidRDefault="0018728E" w:rsidP="00950BE4">
      <w:pPr>
        <w:pStyle w:val="Default"/>
        <w:numPr>
          <w:ilvl w:val="1"/>
          <w:numId w:val="32"/>
        </w:numPr>
        <w:spacing w:before="120" w:after="120"/>
        <w:jc w:val="both"/>
        <w:rPr>
          <w:sz w:val="22"/>
          <w:szCs w:val="22"/>
          <w:lang w:val="en-US"/>
        </w:rPr>
      </w:pPr>
      <w:r>
        <w:rPr>
          <w:sz w:val="22"/>
          <w:szCs w:val="22"/>
          <w:lang w:val="en-US"/>
        </w:rPr>
        <w:t>P</w:t>
      </w:r>
      <w:r w:rsidRPr="00FB444D">
        <w:rPr>
          <w:sz w:val="22"/>
          <w:szCs w:val="22"/>
          <w:lang w:val="en-US"/>
        </w:rPr>
        <w:t>rovide an overview of the global biodiversity funding landscape and identify which institutions, including global, regional and national, are funding activities related to addressing biodiversity loss, and ways in which coherence, coordination and synergies among them can be enhanced</w:t>
      </w:r>
      <w:r>
        <w:rPr>
          <w:sz w:val="22"/>
          <w:szCs w:val="22"/>
          <w:lang w:val="en-US"/>
        </w:rPr>
        <w:t>;</w:t>
      </w:r>
    </w:p>
    <w:p w14:paraId="0DF6A8FC" w14:textId="77777777" w:rsidR="0018728E" w:rsidRPr="00451F41" w:rsidRDefault="0018728E" w:rsidP="00950BE4">
      <w:pPr>
        <w:pStyle w:val="Default"/>
        <w:numPr>
          <w:ilvl w:val="1"/>
          <w:numId w:val="32"/>
        </w:numPr>
        <w:spacing w:before="120" w:after="120"/>
        <w:jc w:val="both"/>
        <w:rPr>
          <w:b/>
          <w:bCs/>
          <w:i/>
          <w:iCs/>
          <w:sz w:val="22"/>
          <w:szCs w:val="22"/>
          <w:lang w:val="en-US"/>
        </w:rPr>
      </w:pPr>
      <w:r>
        <w:rPr>
          <w:sz w:val="22"/>
          <w:szCs w:val="22"/>
          <w:lang w:val="en-US"/>
        </w:rPr>
        <w:t>A</w:t>
      </w:r>
      <w:r w:rsidRPr="00FB444D">
        <w:rPr>
          <w:sz w:val="22"/>
          <w:szCs w:val="22"/>
          <w:lang w:val="en-US"/>
        </w:rPr>
        <w:t>ssess how existing instruments, funds, and frameworks and their interaction could be further</w:t>
      </w:r>
      <w:r w:rsidRPr="00E66579">
        <w:rPr>
          <w:sz w:val="22"/>
          <w:szCs w:val="22"/>
          <w:lang w:val="en-US"/>
        </w:rPr>
        <w:t xml:space="preserve"> improved, and successful ones promoted, replicated or scaled</w:t>
      </w:r>
      <w:r>
        <w:rPr>
          <w:sz w:val="22"/>
          <w:szCs w:val="22"/>
          <w:lang w:val="en-US"/>
        </w:rPr>
        <w:t xml:space="preserve"> </w:t>
      </w:r>
      <w:r w:rsidRPr="00E66579">
        <w:rPr>
          <w:sz w:val="22"/>
          <w:szCs w:val="22"/>
          <w:lang w:val="en-US"/>
        </w:rPr>
        <w:t xml:space="preserve">up, so that they fully align with, and provide immediate support to the implementation of the </w:t>
      </w:r>
      <w:r>
        <w:rPr>
          <w:sz w:val="22"/>
          <w:szCs w:val="22"/>
          <w:lang w:val="en-US"/>
        </w:rPr>
        <w:t xml:space="preserve">Kunming-Montreal </w:t>
      </w:r>
      <w:r>
        <w:rPr>
          <w:snapToGrid w:val="0"/>
          <w:kern w:val="22"/>
          <w:sz w:val="22"/>
          <w:szCs w:val="22"/>
          <w:lang w:val="en-US"/>
        </w:rPr>
        <w:t>Global Biodiversity Framework</w:t>
      </w:r>
      <w:r w:rsidRPr="00E66579">
        <w:rPr>
          <w:sz w:val="22"/>
          <w:szCs w:val="22"/>
          <w:lang w:val="en-US"/>
        </w:rPr>
        <w:t>;</w:t>
      </w:r>
      <w:bookmarkStart w:id="62" w:name="_Hlk121538861"/>
    </w:p>
    <w:p w14:paraId="4ABD8205" w14:textId="77777777" w:rsidR="0018728E" w:rsidRDefault="0018728E" w:rsidP="00950BE4">
      <w:pPr>
        <w:pStyle w:val="Default"/>
        <w:numPr>
          <w:ilvl w:val="1"/>
          <w:numId w:val="32"/>
        </w:numPr>
        <w:spacing w:before="120" w:after="120"/>
        <w:jc w:val="both"/>
        <w:rPr>
          <w:sz w:val="22"/>
          <w:szCs w:val="22"/>
          <w:lang w:val="en-US"/>
        </w:rPr>
      </w:pPr>
      <w:r>
        <w:rPr>
          <w:sz w:val="22"/>
          <w:szCs w:val="22"/>
          <w:lang w:val="en-US"/>
        </w:rPr>
        <w:t xml:space="preserve">Take into consideration </w:t>
      </w:r>
      <w:r w:rsidRPr="00451F41">
        <w:rPr>
          <w:sz w:val="22"/>
          <w:szCs w:val="22"/>
          <w:lang w:val="en-US"/>
        </w:rPr>
        <w:t>the progress of the reform to the G</w:t>
      </w:r>
      <w:r>
        <w:rPr>
          <w:sz w:val="22"/>
          <w:szCs w:val="22"/>
          <w:lang w:val="en-US"/>
        </w:rPr>
        <w:t xml:space="preserve">lobal </w:t>
      </w:r>
      <w:r w:rsidRPr="00451F41">
        <w:rPr>
          <w:sz w:val="22"/>
          <w:szCs w:val="22"/>
          <w:lang w:val="en-US"/>
        </w:rPr>
        <w:t>E</w:t>
      </w:r>
      <w:r>
        <w:rPr>
          <w:sz w:val="22"/>
          <w:szCs w:val="22"/>
          <w:lang w:val="en-US"/>
        </w:rPr>
        <w:t xml:space="preserve">nvironment </w:t>
      </w:r>
      <w:r w:rsidRPr="00451F41">
        <w:rPr>
          <w:sz w:val="22"/>
          <w:szCs w:val="22"/>
          <w:lang w:val="en-US"/>
        </w:rPr>
        <w:t>F</w:t>
      </w:r>
      <w:r>
        <w:rPr>
          <w:sz w:val="22"/>
          <w:szCs w:val="22"/>
          <w:lang w:val="en-US"/>
        </w:rPr>
        <w:t>acility</w:t>
      </w:r>
      <w:r w:rsidRPr="00451F41">
        <w:rPr>
          <w:sz w:val="22"/>
          <w:szCs w:val="22"/>
          <w:lang w:val="en-US"/>
        </w:rPr>
        <w:t xml:space="preserve"> to support the quick start </w:t>
      </w:r>
      <w:r w:rsidRPr="00B90BB3">
        <w:rPr>
          <w:sz w:val="22"/>
          <w:szCs w:val="22"/>
          <w:lang w:val="en-US"/>
        </w:rPr>
        <w:t xml:space="preserve">mobilization of resources for the implementation of the </w:t>
      </w:r>
      <w:r>
        <w:rPr>
          <w:sz w:val="22"/>
          <w:szCs w:val="22"/>
          <w:lang w:val="en-US"/>
        </w:rPr>
        <w:t>Kunming-Montreal Global Biodiversity Framework</w:t>
      </w:r>
      <w:r w:rsidRPr="00B90BB3">
        <w:rPr>
          <w:sz w:val="22"/>
          <w:szCs w:val="22"/>
          <w:lang w:val="en-US"/>
        </w:rPr>
        <w:t xml:space="preserve">, and in particular the process for the establishment of the </w:t>
      </w:r>
      <w:r w:rsidRPr="008F6FFF">
        <w:rPr>
          <w:sz w:val="22"/>
          <w:szCs w:val="22"/>
        </w:rPr>
        <w:t>Global Biodiversity Framework Fund</w:t>
      </w:r>
      <w:r w:rsidRPr="00B90BB3">
        <w:rPr>
          <w:sz w:val="22"/>
          <w:szCs w:val="22"/>
          <w:lang w:val="en-US"/>
        </w:rPr>
        <w:t xml:space="preserve"> and its implementation</w:t>
      </w:r>
      <w:r>
        <w:rPr>
          <w:sz w:val="22"/>
          <w:szCs w:val="22"/>
          <w:lang w:val="en-US"/>
        </w:rPr>
        <w:t>;</w:t>
      </w:r>
    </w:p>
    <w:p w14:paraId="6331D5AD" w14:textId="77777777" w:rsidR="0018728E" w:rsidRPr="00A3490B" w:rsidRDefault="0018728E" w:rsidP="00950BE4">
      <w:pPr>
        <w:pStyle w:val="Default"/>
        <w:numPr>
          <w:ilvl w:val="1"/>
          <w:numId w:val="32"/>
        </w:numPr>
        <w:spacing w:before="120" w:after="120"/>
        <w:jc w:val="both"/>
        <w:rPr>
          <w:b/>
          <w:bCs/>
          <w:i/>
          <w:iCs/>
          <w:sz w:val="22"/>
          <w:szCs w:val="22"/>
          <w:lang w:val="en-US"/>
        </w:rPr>
      </w:pPr>
      <w:r>
        <w:rPr>
          <w:sz w:val="22"/>
          <w:szCs w:val="22"/>
          <w:lang w:val="en-US"/>
        </w:rPr>
        <w:t>I</w:t>
      </w:r>
      <w:r w:rsidRPr="00FB444D">
        <w:rPr>
          <w:sz w:val="22"/>
          <w:szCs w:val="22"/>
          <w:lang w:val="en-US"/>
        </w:rPr>
        <w:t>dentify the gaps within the current financing landscape, including the types of gap, such as relating to speed, eligibility, adequacy and access to finance, the priority gaps for which solutions should be explored as well as the most effective ways to address those gaps</w:t>
      </w:r>
      <w:r>
        <w:rPr>
          <w:sz w:val="22"/>
          <w:szCs w:val="22"/>
          <w:lang w:val="en-US"/>
        </w:rPr>
        <w:t>.</w:t>
      </w:r>
    </w:p>
    <w:bookmarkEnd w:id="62"/>
    <w:p w14:paraId="09DF4237" w14:textId="77777777" w:rsidR="0018728E" w:rsidRPr="008F6FFF" w:rsidRDefault="0018728E" w:rsidP="00A3490B">
      <w:pPr>
        <w:pStyle w:val="Default"/>
        <w:spacing w:before="120" w:after="120"/>
        <w:jc w:val="both"/>
        <w:rPr>
          <w:b/>
          <w:bCs/>
          <w:sz w:val="22"/>
          <w:szCs w:val="22"/>
          <w:lang w:val="en-US"/>
        </w:rPr>
      </w:pPr>
      <w:r w:rsidRPr="008F6FFF">
        <w:rPr>
          <w:b/>
          <w:bCs/>
          <w:sz w:val="22"/>
          <w:szCs w:val="22"/>
          <w:lang w:val="en-US"/>
        </w:rPr>
        <w:t>Global instrument for biodiversity finance</w:t>
      </w:r>
    </w:p>
    <w:p w14:paraId="54FBEED4" w14:textId="77777777" w:rsidR="0018728E" w:rsidRDefault="0018728E" w:rsidP="00A3490B">
      <w:pPr>
        <w:pStyle w:val="Default"/>
        <w:spacing w:before="120" w:after="120"/>
        <w:jc w:val="both"/>
        <w:rPr>
          <w:sz w:val="22"/>
          <w:szCs w:val="22"/>
          <w:lang w:val="en-US"/>
        </w:rPr>
      </w:pPr>
      <w:r>
        <w:rPr>
          <w:sz w:val="22"/>
          <w:szCs w:val="22"/>
          <w:lang w:val="en-US"/>
        </w:rPr>
        <w:t>2.</w:t>
      </w:r>
      <w:r>
        <w:rPr>
          <w:sz w:val="22"/>
          <w:szCs w:val="22"/>
          <w:lang w:val="en-US"/>
        </w:rPr>
        <w:tab/>
        <w:t xml:space="preserve">The Advisory Committee on Resource Mobilization will </w:t>
      </w:r>
      <w:r w:rsidRPr="002203C5">
        <w:rPr>
          <w:sz w:val="22"/>
          <w:szCs w:val="22"/>
          <w:lang w:val="en-US"/>
        </w:rPr>
        <w:t>develop recommendations to</w:t>
      </w:r>
      <w:r>
        <w:rPr>
          <w:sz w:val="22"/>
          <w:szCs w:val="22"/>
          <w:lang w:val="en-US"/>
        </w:rPr>
        <w:t xml:space="preserve"> the Subsidiary Body on Implementation on:</w:t>
      </w:r>
    </w:p>
    <w:p w14:paraId="6006135B" w14:textId="77777777" w:rsidR="0018728E" w:rsidRPr="008B7327" w:rsidRDefault="0018728E" w:rsidP="00CD3412">
      <w:pPr>
        <w:pStyle w:val="Default"/>
        <w:spacing w:before="120" w:after="120"/>
        <w:ind w:firstLine="720"/>
        <w:jc w:val="both"/>
        <w:rPr>
          <w:sz w:val="22"/>
          <w:szCs w:val="22"/>
          <w:lang w:val="en-US"/>
        </w:rPr>
      </w:pPr>
      <w:r>
        <w:rPr>
          <w:sz w:val="22"/>
          <w:szCs w:val="22"/>
          <w:lang w:val="en-US"/>
        </w:rPr>
        <w:t>(a)</w:t>
      </w:r>
      <w:r>
        <w:rPr>
          <w:sz w:val="22"/>
          <w:szCs w:val="22"/>
          <w:lang w:val="en-US"/>
        </w:rPr>
        <w:tab/>
        <w:t xml:space="preserve">Whether to create a dedicated </w:t>
      </w:r>
      <w:r w:rsidRPr="008B7327">
        <w:rPr>
          <w:sz w:val="22"/>
          <w:szCs w:val="22"/>
          <w:lang w:val="en-US"/>
        </w:rPr>
        <w:t>financing mechanism for the Convention on Biological Diversity under the authority of the Conference of the Parties, which could be designated “Global Biodiversity Fund”, and what the options are to operationalize it;</w:t>
      </w:r>
    </w:p>
    <w:p w14:paraId="642169D1" w14:textId="77777777" w:rsidR="0018728E" w:rsidRDefault="0018728E" w:rsidP="00CD3412">
      <w:pPr>
        <w:pStyle w:val="Default"/>
        <w:spacing w:before="120" w:after="120"/>
        <w:ind w:firstLine="720"/>
        <w:jc w:val="both"/>
        <w:rPr>
          <w:sz w:val="22"/>
          <w:szCs w:val="22"/>
          <w:lang w:val="en-US"/>
        </w:rPr>
      </w:pPr>
      <w:r w:rsidRPr="008B7327">
        <w:rPr>
          <w:sz w:val="22"/>
          <w:szCs w:val="22"/>
          <w:lang w:val="en-US"/>
        </w:rPr>
        <w:t>(b)</w:t>
      </w:r>
      <w:r w:rsidRPr="008B7327">
        <w:rPr>
          <w:sz w:val="22"/>
          <w:szCs w:val="22"/>
          <w:lang w:val="en-US"/>
        </w:rPr>
        <w:tab/>
        <w:t>Whether the Trust Fund under the Global Environment Facility established by decision 15/15 should be designated “Global Biodiversity Fund”;</w:t>
      </w:r>
    </w:p>
    <w:p w14:paraId="70E55602" w14:textId="77777777" w:rsidR="0018728E" w:rsidRPr="003E651C" w:rsidRDefault="0018728E" w:rsidP="00F47B40">
      <w:pPr>
        <w:pStyle w:val="Para1"/>
        <w:numPr>
          <w:ilvl w:val="0"/>
          <w:numId w:val="0"/>
        </w:numPr>
        <w:ind w:firstLine="709"/>
      </w:pPr>
      <w:r>
        <w:rPr>
          <w:lang w:val="en-US"/>
        </w:rPr>
        <w:t>(c)</w:t>
      </w:r>
      <w:r>
        <w:rPr>
          <w:lang w:val="en-US"/>
        </w:rPr>
        <w:tab/>
        <w:t>Whether and how either of the funding mechanisms mentioned above, or another alternative, would be the adequate entity to receive and disburse the revenue generated by the mechanism established under decision 15/9</w:t>
      </w:r>
      <w:r w:rsidRPr="00FB444D">
        <w:t>;</w:t>
      </w:r>
    </w:p>
    <w:p w14:paraId="292177D3" w14:textId="77777777" w:rsidR="0018728E" w:rsidRPr="008F6FFF" w:rsidRDefault="0018728E" w:rsidP="008F6FFF">
      <w:pPr>
        <w:pStyle w:val="NormalWeb"/>
        <w:keepNext/>
        <w:spacing w:before="120" w:after="120"/>
        <w:jc w:val="center"/>
        <w:rPr>
          <w:b/>
          <w:bCs/>
          <w:sz w:val="22"/>
          <w:szCs w:val="22"/>
        </w:rPr>
      </w:pPr>
      <w:r w:rsidRPr="008F6FFF">
        <w:rPr>
          <w:b/>
          <w:bCs/>
          <w:sz w:val="22"/>
          <w:szCs w:val="22"/>
        </w:rPr>
        <w:t>B.</w:t>
      </w:r>
      <w:r w:rsidRPr="008F6FFF">
        <w:rPr>
          <w:b/>
          <w:bCs/>
          <w:sz w:val="22"/>
          <w:szCs w:val="22"/>
        </w:rPr>
        <w:tab/>
        <w:t xml:space="preserve">Modalities </w:t>
      </w:r>
    </w:p>
    <w:p w14:paraId="03FE9F1D" w14:textId="77777777" w:rsidR="0018728E" w:rsidRPr="00FB444D" w:rsidRDefault="0018728E" w:rsidP="00950BE4">
      <w:pPr>
        <w:pStyle w:val="NormalWeb"/>
        <w:numPr>
          <w:ilvl w:val="0"/>
          <w:numId w:val="33"/>
        </w:numPr>
        <w:spacing w:before="120" w:after="120"/>
        <w:ind w:left="0" w:firstLine="0"/>
        <w:rPr>
          <w:sz w:val="22"/>
          <w:szCs w:val="22"/>
        </w:rPr>
      </w:pPr>
      <w:r w:rsidRPr="00FB444D">
        <w:rPr>
          <w:sz w:val="22"/>
          <w:szCs w:val="22"/>
        </w:rPr>
        <w:t xml:space="preserve">The composition of the Advisory Committee will be as follows: </w:t>
      </w:r>
      <w:r>
        <w:rPr>
          <w:sz w:val="22"/>
          <w:szCs w:val="22"/>
        </w:rPr>
        <w:t>up to ten</w:t>
      </w:r>
      <w:r w:rsidRPr="00FB444D">
        <w:rPr>
          <w:sz w:val="22"/>
          <w:szCs w:val="22"/>
        </w:rPr>
        <w:t xml:space="preserve"> (</w:t>
      </w:r>
      <w:r>
        <w:rPr>
          <w:sz w:val="22"/>
          <w:szCs w:val="22"/>
        </w:rPr>
        <w:t>10</w:t>
      </w:r>
      <w:r w:rsidRPr="00FB444D">
        <w:rPr>
          <w:sz w:val="22"/>
          <w:szCs w:val="22"/>
        </w:rPr>
        <w:t xml:space="preserve">) dedicated representatives per region will be invited to participate, and </w:t>
      </w:r>
      <w:r>
        <w:rPr>
          <w:sz w:val="22"/>
          <w:szCs w:val="22"/>
        </w:rPr>
        <w:t>ten</w:t>
      </w:r>
      <w:r w:rsidRPr="00FB444D">
        <w:rPr>
          <w:sz w:val="22"/>
          <w:szCs w:val="22"/>
        </w:rPr>
        <w:t xml:space="preserve"> (</w:t>
      </w:r>
      <w:r>
        <w:rPr>
          <w:sz w:val="22"/>
          <w:szCs w:val="22"/>
        </w:rPr>
        <w:t>10</w:t>
      </w:r>
      <w:r w:rsidRPr="00FB444D">
        <w:rPr>
          <w:sz w:val="22"/>
          <w:szCs w:val="22"/>
        </w:rPr>
        <w:t>) representatives of relevant organi</w:t>
      </w:r>
      <w:r>
        <w:rPr>
          <w:sz w:val="22"/>
          <w:szCs w:val="22"/>
        </w:rPr>
        <w:t>z</w:t>
      </w:r>
      <w:r w:rsidRPr="00FB444D">
        <w:rPr>
          <w:sz w:val="22"/>
          <w:szCs w:val="22"/>
        </w:rPr>
        <w:t xml:space="preserve">ations and initiatives as well as </w:t>
      </w:r>
      <w:r>
        <w:rPr>
          <w:sz w:val="22"/>
          <w:szCs w:val="22"/>
        </w:rPr>
        <w:t>ten</w:t>
      </w:r>
      <w:r w:rsidRPr="00FB444D">
        <w:rPr>
          <w:sz w:val="22"/>
          <w:szCs w:val="22"/>
        </w:rPr>
        <w:t xml:space="preserve"> (</w:t>
      </w:r>
      <w:r>
        <w:rPr>
          <w:sz w:val="22"/>
          <w:szCs w:val="22"/>
        </w:rPr>
        <w:t>10</w:t>
      </w:r>
      <w:r w:rsidRPr="00FB444D">
        <w:rPr>
          <w:sz w:val="22"/>
          <w:szCs w:val="22"/>
        </w:rPr>
        <w:t xml:space="preserve">) representatives of stakeholders, indigenous peoples and local communities, </w:t>
      </w:r>
      <w:r>
        <w:rPr>
          <w:sz w:val="22"/>
          <w:szCs w:val="22"/>
        </w:rPr>
        <w:t xml:space="preserve">women, and youth, </w:t>
      </w:r>
      <w:r w:rsidRPr="00FB444D">
        <w:rPr>
          <w:sz w:val="22"/>
          <w:szCs w:val="22"/>
        </w:rPr>
        <w:t>preserving balance between regions, and striving for gender balance.</w:t>
      </w:r>
    </w:p>
    <w:p w14:paraId="5A2ADD9F" w14:textId="77777777" w:rsidR="0018728E" w:rsidRPr="00FB444D" w:rsidRDefault="0018728E" w:rsidP="00950BE4">
      <w:pPr>
        <w:pStyle w:val="NormalWeb"/>
        <w:numPr>
          <w:ilvl w:val="0"/>
          <w:numId w:val="33"/>
        </w:numPr>
        <w:spacing w:before="120" w:after="120"/>
        <w:ind w:left="0" w:firstLine="0"/>
        <w:rPr>
          <w:sz w:val="22"/>
          <w:szCs w:val="22"/>
        </w:rPr>
      </w:pPr>
      <w:r w:rsidRPr="00FB444D">
        <w:rPr>
          <w:sz w:val="22"/>
          <w:szCs w:val="22"/>
        </w:rPr>
        <w:t xml:space="preserve">The Committee will elect two co-chairs from among its members. </w:t>
      </w:r>
    </w:p>
    <w:p w14:paraId="3984FE8B" w14:textId="77777777" w:rsidR="0018728E" w:rsidRDefault="0018728E" w:rsidP="00950BE4">
      <w:pPr>
        <w:pStyle w:val="NormalWeb"/>
        <w:numPr>
          <w:ilvl w:val="0"/>
          <w:numId w:val="33"/>
        </w:numPr>
        <w:spacing w:before="120" w:after="120"/>
        <w:ind w:left="0" w:firstLine="0"/>
        <w:rPr>
          <w:sz w:val="22"/>
          <w:szCs w:val="22"/>
        </w:rPr>
      </w:pPr>
      <w:r w:rsidRPr="00FB444D">
        <w:rPr>
          <w:sz w:val="22"/>
          <w:szCs w:val="22"/>
        </w:rPr>
        <w:t xml:space="preserve">The Committee will conduct its work both electronically and, subject to the availability of resources, physically, meeting at least </w:t>
      </w:r>
      <w:r>
        <w:rPr>
          <w:sz w:val="22"/>
          <w:szCs w:val="22"/>
        </w:rPr>
        <w:t>twice</w:t>
      </w:r>
      <w:r w:rsidRPr="00FB444D">
        <w:rPr>
          <w:sz w:val="22"/>
          <w:szCs w:val="22"/>
        </w:rPr>
        <w:t xml:space="preserve"> during the intersessional period</w:t>
      </w:r>
      <w:r>
        <w:rPr>
          <w:sz w:val="22"/>
          <w:szCs w:val="22"/>
        </w:rPr>
        <w:t xml:space="preserve"> before the sixteenth meeting of the Conference of the Parties.</w:t>
      </w:r>
    </w:p>
    <w:p w14:paraId="3E25F5E9" w14:textId="77777777" w:rsidR="0018728E" w:rsidRPr="00A3490B" w:rsidRDefault="0018728E" w:rsidP="00950BE4">
      <w:pPr>
        <w:pStyle w:val="NormalWeb"/>
        <w:numPr>
          <w:ilvl w:val="0"/>
          <w:numId w:val="33"/>
        </w:numPr>
        <w:spacing w:before="120" w:after="120"/>
        <w:ind w:left="0" w:firstLine="0"/>
        <w:rPr>
          <w:sz w:val="22"/>
          <w:szCs w:val="22"/>
        </w:rPr>
      </w:pPr>
      <w:r>
        <w:rPr>
          <w:sz w:val="22"/>
          <w:szCs w:val="22"/>
          <w:lang w:val="en-US"/>
        </w:rPr>
        <w:t xml:space="preserve">The Committee will </w:t>
      </w:r>
      <w:r w:rsidRPr="00451F41">
        <w:rPr>
          <w:sz w:val="22"/>
          <w:szCs w:val="22"/>
          <w:lang w:val="en-US"/>
        </w:rPr>
        <w:t>draw on different sources of information such as studies and dialogues</w:t>
      </w:r>
      <w:r>
        <w:rPr>
          <w:sz w:val="22"/>
          <w:szCs w:val="22"/>
          <w:lang w:val="en-US"/>
        </w:rPr>
        <w:t>,</w:t>
      </w:r>
      <w:r w:rsidRPr="00451F41">
        <w:rPr>
          <w:sz w:val="22"/>
          <w:szCs w:val="22"/>
          <w:lang w:val="en-US"/>
        </w:rPr>
        <w:t xml:space="preserve"> as well as experience under other </w:t>
      </w:r>
      <w:r>
        <w:rPr>
          <w:sz w:val="22"/>
          <w:szCs w:val="22"/>
          <w:lang w:val="en-US"/>
        </w:rPr>
        <w:t>multilateral environment agreements</w:t>
      </w:r>
      <w:r w:rsidRPr="00451F41">
        <w:rPr>
          <w:sz w:val="22"/>
          <w:szCs w:val="22"/>
          <w:lang w:val="en-US"/>
        </w:rPr>
        <w:t xml:space="preserve"> and taking into account the submissions received on the experience with the </w:t>
      </w:r>
      <w:r>
        <w:rPr>
          <w:sz w:val="22"/>
          <w:szCs w:val="22"/>
          <w:lang w:val="en-US"/>
        </w:rPr>
        <w:t>strategy for resource mobilization</w:t>
      </w:r>
      <w:r w:rsidRPr="00451F41">
        <w:rPr>
          <w:sz w:val="22"/>
          <w:szCs w:val="22"/>
          <w:lang w:val="en-US"/>
        </w:rPr>
        <w:t xml:space="preserve"> to quick-start mobilization of resources;</w:t>
      </w:r>
    </w:p>
    <w:p w14:paraId="5157B633" w14:textId="77777777" w:rsidR="0018728E" w:rsidRPr="00FB444D" w:rsidRDefault="0018728E" w:rsidP="00950BE4">
      <w:pPr>
        <w:pStyle w:val="NormalWeb"/>
        <w:numPr>
          <w:ilvl w:val="0"/>
          <w:numId w:val="33"/>
        </w:numPr>
        <w:spacing w:before="120" w:after="120"/>
        <w:ind w:left="0" w:firstLine="0"/>
        <w:rPr>
          <w:sz w:val="22"/>
          <w:szCs w:val="22"/>
        </w:rPr>
      </w:pPr>
      <w:r w:rsidRPr="00FB444D">
        <w:rPr>
          <w:sz w:val="22"/>
          <w:szCs w:val="22"/>
        </w:rPr>
        <w:t>Other Governments, observers and/or experts may be invited to participate in the meetings or parts thereof at the discretion of the co-chairs</w:t>
      </w:r>
      <w:r>
        <w:rPr>
          <w:sz w:val="22"/>
          <w:szCs w:val="22"/>
        </w:rPr>
        <w:t>.</w:t>
      </w:r>
    </w:p>
    <w:p w14:paraId="2CF5921A" w14:textId="77777777" w:rsidR="0018728E" w:rsidRPr="00FB444D" w:rsidRDefault="0018728E" w:rsidP="00950BE4">
      <w:pPr>
        <w:pStyle w:val="NormalWeb"/>
        <w:numPr>
          <w:ilvl w:val="0"/>
          <w:numId w:val="33"/>
        </w:numPr>
        <w:spacing w:before="120" w:after="120"/>
        <w:ind w:left="0" w:firstLine="0"/>
        <w:rPr>
          <w:sz w:val="22"/>
          <w:szCs w:val="22"/>
        </w:rPr>
      </w:pPr>
      <w:r w:rsidRPr="00FB444D">
        <w:rPr>
          <w:sz w:val="22"/>
          <w:szCs w:val="22"/>
        </w:rPr>
        <w:lastRenderedPageBreak/>
        <w:t>The outcome of this work will be presented by the co-chairs as recommendations from the Advisory Committee to the Subsidiary Body on Implementation at its fo</w:t>
      </w:r>
      <w:r>
        <w:rPr>
          <w:sz w:val="22"/>
          <w:szCs w:val="22"/>
        </w:rPr>
        <w:t>u</w:t>
      </w:r>
      <w:r w:rsidRPr="00FB444D">
        <w:rPr>
          <w:sz w:val="22"/>
          <w:szCs w:val="22"/>
        </w:rPr>
        <w:t xml:space="preserve">rth meeting with a view to </w:t>
      </w:r>
      <w:r w:rsidRPr="00D27E78">
        <w:rPr>
          <w:sz w:val="22"/>
          <w:szCs w:val="22"/>
        </w:rPr>
        <w:t>their</w:t>
      </w:r>
      <w:r w:rsidRPr="00FB444D">
        <w:rPr>
          <w:sz w:val="22"/>
          <w:szCs w:val="22"/>
        </w:rPr>
        <w:t xml:space="preserve"> adoption by </w:t>
      </w:r>
      <w:r>
        <w:rPr>
          <w:sz w:val="22"/>
          <w:szCs w:val="22"/>
        </w:rPr>
        <w:t>the Conference of the Parties at its sixteenth meeting.</w:t>
      </w:r>
    </w:p>
    <w:p w14:paraId="73910DA8" w14:textId="77777777" w:rsidR="0018728E" w:rsidRPr="00A3490B" w:rsidRDefault="0018728E" w:rsidP="002B0AA3">
      <w:pPr>
        <w:pStyle w:val="Default"/>
        <w:spacing w:before="240" w:after="120"/>
        <w:jc w:val="center"/>
        <w:rPr>
          <w:i/>
          <w:iCs/>
          <w:sz w:val="22"/>
          <w:szCs w:val="22"/>
          <w:lang w:val="en-CA"/>
        </w:rPr>
      </w:pPr>
      <w:r w:rsidRPr="00A3490B">
        <w:rPr>
          <w:i/>
          <w:iCs/>
          <w:sz w:val="22"/>
          <w:szCs w:val="22"/>
          <w:lang w:val="en-CA"/>
        </w:rPr>
        <w:t>Annex III</w:t>
      </w:r>
    </w:p>
    <w:p w14:paraId="1EC5CDA9" w14:textId="77777777" w:rsidR="0018728E" w:rsidRDefault="0018728E" w:rsidP="00AC7311">
      <w:pPr>
        <w:keepNext/>
        <w:keepLines/>
        <w:spacing w:before="120" w:after="120"/>
        <w:jc w:val="center"/>
        <w:rPr>
          <w:rFonts w:ascii="Times New Roman Bold" w:hAnsi="Times New Roman Bold"/>
          <w:b/>
          <w:bCs/>
          <w:iCs/>
          <w:caps/>
        </w:rPr>
      </w:pPr>
      <w:r w:rsidRPr="00447B46">
        <w:rPr>
          <w:rFonts w:ascii="Times New Roman Bold" w:hAnsi="Times New Roman Bold"/>
          <w:b/>
          <w:bCs/>
          <w:iCs/>
          <w:caps/>
        </w:rPr>
        <w:t xml:space="preserve">terms of reference for </w:t>
      </w:r>
      <w:r w:rsidRPr="008B7327">
        <w:rPr>
          <w:rFonts w:ascii="Times New Roman Bold" w:hAnsi="Times New Roman Bold"/>
          <w:b/>
          <w:bCs/>
          <w:iCs/>
          <w:caps/>
        </w:rPr>
        <w:t xml:space="preserve">the </w:t>
      </w:r>
      <w:r w:rsidRPr="008F6FFF">
        <w:rPr>
          <w:rFonts w:ascii="Times New Roman Bold" w:hAnsi="Times New Roman Bold"/>
          <w:b/>
          <w:bCs/>
          <w:iCs/>
          <w:caps/>
        </w:rPr>
        <w:t xml:space="preserve">Technical </w:t>
      </w:r>
      <w:r w:rsidRPr="008B7327">
        <w:rPr>
          <w:rFonts w:ascii="Times New Roman Bold" w:hAnsi="Times New Roman Bold"/>
          <w:b/>
          <w:bCs/>
          <w:iCs/>
          <w:caps/>
        </w:rPr>
        <w:t>expert</w:t>
      </w:r>
      <w:r w:rsidRPr="003A1563">
        <w:rPr>
          <w:rFonts w:ascii="Times New Roman Bold" w:hAnsi="Times New Roman Bold"/>
          <w:b/>
          <w:bCs/>
          <w:iCs/>
          <w:caps/>
        </w:rPr>
        <w:t xml:space="preserve"> group</w:t>
      </w:r>
      <w:r w:rsidRPr="00447B46">
        <w:rPr>
          <w:rFonts w:ascii="Times New Roman Bold" w:hAnsi="Times New Roman Bold"/>
          <w:b/>
          <w:bCs/>
          <w:iCs/>
          <w:caps/>
        </w:rPr>
        <w:t xml:space="preserve"> on financial reporting</w:t>
      </w:r>
    </w:p>
    <w:p w14:paraId="256F87F7" w14:textId="77777777" w:rsidR="0018728E" w:rsidRPr="00447B46" w:rsidRDefault="0018728E" w:rsidP="00950BE4">
      <w:pPr>
        <w:keepNext/>
        <w:keepLines/>
        <w:numPr>
          <w:ilvl w:val="0"/>
          <w:numId w:val="34"/>
        </w:numPr>
        <w:suppressLineNumbers/>
        <w:suppressAutoHyphens/>
        <w:kinsoku w:val="0"/>
        <w:overflowPunct w:val="0"/>
        <w:autoSpaceDE w:val="0"/>
        <w:autoSpaceDN w:val="0"/>
        <w:adjustRightInd w:val="0"/>
        <w:snapToGrid w:val="0"/>
        <w:spacing w:before="120" w:after="120"/>
        <w:ind w:left="0" w:hanging="11"/>
        <w:rPr>
          <w:snapToGrid w:val="0"/>
          <w:kern w:val="22"/>
          <w:szCs w:val="22"/>
        </w:rPr>
      </w:pPr>
      <w:r w:rsidRPr="00447B46">
        <w:rPr>
          <w:snapToGrid w:val="0"/>
          <w:kern w:val="22"/>
          <w:szCs w:val="22"/>
        </w:rPr>
        <w:t>The</w:t>
      </w:r>
      <w:r w:rsidRPr="00447B46">
        <w:rPr>
          <w:spacing w:val="-2"/>
          <w:kern w:val="22"/>
          <w:szCs w:val="22"/>
        </w:rPr>
        <w:t xml:space="preserve"> </w:t>
      </w:r>
      <w:r>
        <w:rPr>
          <w:spacing w:val="-2"/>
          <w:kern w:val="22"/>
          <w:szCs w:val="22"/>
        </w:rPr>
        <w:t>Technical E</w:t>
      </w:r>
      <w:r w:rsidRPr="00447B46">
        <w:rPr>
          <w:spacing w:val="-2"/>
          <w:kern w:val="22"/>
          <w:szCs w:val="22"/>
        </w:rPr>
        <w:t xml:space="preserve">xpert </w:t>
      </w:r>
      <w:r>
        <w:rPr>
          <w:spacing w:val="-2"/>
          <w:kern w:val="22"/>
          <w:szCs w:val="22"/>
        </w:rPr>
        <w:t>G</w:t>
      </w:r>
      <w:r w:rsidRPr="00447B46">
        <w:rPr>
          <w:spacing w:val="-2"/>
          <w:kern w:val="22"/>
          <w:szCs w:val="22"/>
        </w:rPr>
        <w:t xml:space="preserve">roup </w:t>
      </w:r>
      <w:r>
        <w:rPr>
          <w:spacing w:val="-2"/>
          <w:kern w:val="22"/>
          <w:szCs w:val="22"/>
        </w:rPr>
        <w:t xml:space="preserve">on Financial Reporting </w:t>
      </w:r>
      <w:r w:rsidRPr="00447B46">
        <w:rPr>
          <w:snapToGrid w:val="0"/>
          <w:kern w:val="22"/>
          <w:szCs w:val="22"/>
        </w:rPr>
        <w:t>will work:</w:t>
      </w:r>
    </w:p>
    <w:p w14:paraId="42BFD1B7" w14:textId="77777777" w:rsidR="0018728E" w:rsidRPr="00447B46" w:rsidRDefault="0018728E" w:rsidP="00950BE4">
      <w:pPr>
        <w:numPr>
          <w:ilvl w:val="0"/>
          <w:numId w:val="36"/>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47B46">
        <w:rPr>
          <w:snapToGrid w:val="0"/>
          <w:kern w:val="22"/>
          <w:szCs w:val="22"/>
        </w:rPr>
        <w:t xml:space="preserve">To identify detailed metadata and information, including monitoring capacity-building needs, </w:t>
      </w:r>
      <w:r>
        <w:rPr>
          <w:snapToGrid w:val="0"/>
          <w:kern w:val="22"/>
          <w:szCs w:val="22"/>
        </w:rPr>
        <w:t>filling gaps in indicators for the goals and targets that are relevant for resource mobilization</w:t>
      </w:r>
      <w:r w:rsidRPr="00447B46">
        <w:rPr>
          <w:snapToGrid w:val="0"/>
          <w:kern w:val="22"/>
          <w:szCs w:val="22"/>
        </w:rPr>
        <w:t xml:space="preserve">, </w:t>
      </w:r>
      <w:r>
        <w:rPr>
          <w:snapToGrid w:val="0"/>
          <w:kern w:val="22"/>
          <w:szCs w:val="22"/>
        </w:rPr>
        <w:t xml:space="preserve">in particular for public expenditures and private investments, </w:t>
      </w:r>
      <w:r w:rsidRPr="00447B46">
        <w:rPr>
          <w:snapToGrid w:val="0"/>
          <w:kern w:val="22"/>
          <w:szCs w:val="22"/>
        </w:rPr>
        <w:t xml:space="preserve">and other targets relevant for resource mobilization, in the monitoring framework for the </w:t>
      </w:r>
      <w:r>
        <w:rPr>
          <w:snapToGrid w:val="0"/>
          <w:kern w:val="22"/>
          <w:szCs w:val="22"/>
        </w:rPr>
        <w:t>Kunming-Montreal Global Biodiversity Framework</w:t>
      </w:r>
      <w:r w:rsidRPr="00447B46">
        <w:rPr>
          <w:snapToGrid w:val="0"/>
          <w:kern w:val="22"/>
          <w:szCs w:val="22"/>
        </w:rPr>
        <w:t>,</w:t>
      </w:r>
      <w:r w:rsidRPr="00610646">
        <w:rPr>
          <w:rStyle w:val="FootnoteReference"/>
        </w:rPr>
        <w:footnoteReference w:id="59"/>
      </w:r>
      <w:r w:rsidRPr="00447B46">
        <w:rPr>
          <w:snapToGrid w:val="0"/>
          <w:kern w:val="22"/>
          <w:szCs w:val="22"/>
        </w:rPr>
        <w:t xml:space="preserve"> taking into account existing methodologies and standards which have been developed, including the Sustainable Development Goal indicators, the Framework for the Development of Environment Statistics and the System of Environmental-Economic Accounting developed under the auspices of the United Nations Statistical Commission;</w:t>
      </w:r>
    </w:p>
    <w:p w14:paraId="53DD4228" w14:textId="77777777" w:rsidR="0018728E" w:rsidRDefault="0018728E" w:rsidP="00950BE4">
      <w:pPr>
        <w:numPr>
          <w:ilvl w:val="0"/>
          <w:numId w:val="36"/>
        </w:numPr>
        <w:suppressLineNumbers/>
        <w:suppressAutoHyphens/>
        <w:kinsoku w:val="0"/>
        <w:overflowPunct w:val="0"/>
        <w:autoSpaceDE w:val="0"/>
        <w:autoSpaceDN w:val="0"/>
        <w:adjustRightInd w:val="0"/>
        <w:snapToGrid w:val="0"/>
        <w:spacing w:before="120" w:after="120"/>
        <w:ind w:left="0" w:firstLine="720"/>
        <w:rPr>
          <w:snapToGrid w:val="0"/>
          <w:color w:val="000000" w:themeColor="text1"/>
          <w:kern w:val="22"/>
          <w:szCs w:val="22"/>
        </w:rPr>
      </w:pPr>
      <w:r w:rsidRPr="00447B46">
        <w:rPr>
          <w:snapToGrid w:val="0"/>
          <w:kern w:val="22"/>
          <w:szCs w:val="22"/>
        </w:rPr>
        <w:t xml:space="preserve">To provide technical advice and develop guidance on monitoring resource mobilization, including the implementation of indicators, including advice on the use of harmonized and agreed indicator definitions, best practices for monitoring and national data sharing, </w:t>
      </w:r>
      <w:r w:rsidRPr="00447B46">
        <w:rPr>
          <w:snapToGrid w:val="0"/>
          <w:color w:val="000000" w:themeColor="text1"/>
          <w:kern w:val="22"/>
          <w:szCs w:val="22"/>
        </w:rPr>
        <w:t xml:space="preserve">and scientific and technical advice on the improvement of indicators or the addition of new indicators in the monitoring framework of the </w:t>
      </w:r>
      <w:r>
        <w:rPr>
          <w:snapToGrid w:val="0"/>
          <w:color w:val="000000" w:themeColor="text1"/>
          <w:kern w:val="22"/>
          <w:szCs w:val="22"/>
        </w:rPr>
        <w:t>Kunming-Montreal Global Biodiversity Framework</w:t>
      </w:r>
      <w:r w:rsidRPr="00447B46">
        <w:rPr>
          <w:snapToGrid w:val="0"/>
          <w:color w:val="000000" w:themeColor="text1"/>
          <w:kern w:val="22"/>
          <w:szCs w:val="22"/>
        </w:rPr>
        <w:t>, including indicators relevant to the private sector and other stakeholders</w:t>
      </w:r>
      <w:r>
        <w:rPr>
          <w:snapToGrid w:val="0"/>
          <w:color w:val="000000" w:themeColor="text1"/>
          <w:kern w:val="22"/>
          <w:szCs w:val="22"/>
        </w:rPr>
        <w:t>, elements of the national reports and the related national report template, taking into account the relevant national reporting system</w:t>
      </w:r>
      <w:r w:rsidRPr="00447B46">
        <w:rPr>
          <w:snapToGrid w:val="0"/>
          <w:color w:val="000000" w:themeColor="text1"/>
          <w:kern w:val="22"/>
          <w:szCs w:val="22"/>
        </w:rPr>
        <w:t>;</w:t>
      </w:r>
    </w:p>
    <w:p w14:paraId="6A3FC8DA" w14:textId="77777777" w:rsidR="0018728E" w:rsidRPr="00447B46" w:rsidRDefault="0018728E" w:rsidP="00A3490B">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Pr>
          <w:snapToGrid w:val="0"/>
          <w:kern w:val="22"/>
          <w:szCs w:val="22"/>
        </w:rPr>
        <w:t>(c).</w:t>
      </w:r>
      <w:r>
        <w:rPr>
          <w:snapToGrid w:val="0"/>
          <w:kern w:val="22"/>
          <w:szCs w:val="22"/>
        </w:rPr>
        <w:tab/>
        <w:t>To recommend a simple, standardized national reporting template, or use of an existing reporting system, with the aim of collecting and reporting comparable data on financing for the Kunming-Montreal Global Biodiversity Framework from all sources, including levels and trends;</w:t>
      </w:r>
    </w:p>
    <w:p w14:paraId="2C09489C" w14:textId="77777777" w:rsidR="0018728E" w:rsidRPr="00447B46" w:rsidRDefault="0018728E" w:rsidP="00A3490B">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Pr>
          <w:snapToGrid w:val="0"/>
          <w:color w:val="000000" w:themeColor="text1"/>
          <w:kern w:val="22"/>
          <w:szCs w:val="22"/>
        </w:rPr>
        <w:t>(d)</w:t>
      </w:r>
      <w:r>
        <w:rPr>
          <w:snapToGrid w:val="0"/>
          <w:color w:val="000000" w:themeColor="text1"/>
          <w:kern w:val="22"/>
          <w:szCs w:val="22"/>
        </w:rPr>
        <w:tab/>
      </w:r>
      <w:r w:rsidRPr="00447B46">
        <w:rPr>
          <w:snapToGrid w:val="0"/>
          <w:color w:val="000000" w:themeColor="text1"/>
          <w:kern w:val="22"/>
          <w:szCs w:val="22"/>
        </w:rPr>
        <w:t xml:space="preserve">To </w:t>
      </w:r>
      <w:r w:rsidRPr="00A3490B">
        <w:rPr>
          <w:snapToGrid w:val="0"/>
          <w:kern w:val="22"/>
          <w:szCs w:val="22"/>
        </w:rPr>
        <w:t>provide</w:t>
      </w:r>
      <w:r w:rsidRPr="00447B46">
        <w:rPr>
          <w:snapToGrid w:val="0"/>
          <w:color w:val="000000" w:themeColor="text1"/>
          <w:kern w:val="22"/>
          <w:szCs w:val="22"/>
        </w:rPr>
        <w:t xml:space="preserve"> guidance to Parties on ways to fill data gaps</w:t>
      </w:r>
      <w:r>
        <w:rPr>
          <w:snapToGrid w:val="0"/>
          <w:color w:val="000000" w:themeColor="text1"/>
          <w:kern w:val="22"/>
          <w:szCs w:val="22"/>
        </w:rPr>
        <w:t xml:space="preserve"> in an efficient manner</w:t>
      </w:r>
      <w:r w:rsidRPr="00447B46">
        <w:rPr>
          <w:snapToGrid w:val="0"/>
          <w:color w:val="000000" w:themeColor="text1"/>
          <w:kern w:val="22"/>
          <w:szCs w:val="22"/>
        </w:rPr>
        <w:t>, recognizing the specific challenges faced by developing country Parties to develop and access information tools;</w:t>
      </w:r>
    </w:p>
    <w:p w14:paraId="7B335459" w14:textId="77777777" w:rsidR="0018728E" w:rsidRDefault="0018728E" w:rsidP="00A3490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snapToGrid w:val="0"/>
          <w:kern w:val="22"/>
          <w:szCs w:val="22"/>
        </w:rPr>
        <w:t>(e)</w:t>
      </w:r>
      <w:r>
        <w:rPr>
          <w:snapToGrid w:val="0"/>
          <w:kern w:val="22"/>
          <w:szCs w:val="22"/>
        </w:rPr>
        <w:tab/>
      </w:r>
      <w:r w:rsidRPr="00447B46">
        <w:rPr>
          <w:snapToGrid w:val="0"/>
          <w:kern w:val="22"/>
          <w:szCs w:val="22"/>
        </w:rPr>
        <w:t>To provide advice on the existing capacity, gaps and needs in terms of capacity development, technology transfer and financing needs related to the financial monitoring and reporting.</w:t>
      </w:r>
    </w:p>
    <w:p w14:paraId="7B37C5B3" w14:textId="77777777" w:rsidR="0018728E" w:rsidRPr="00447B46" w:rsidRDefault="0018728E" w:rsidP="00950BE4">
      <w:pPr>
        <w:numPr>
          <w:ilvl w:val="0"/>
          <w:numId w:val="34"/>
        </w:numPr>
        <w:suppressLineNumbers/>
        <w:suppressAutoHyphens/>
        <w:kinsoku w:val="0"/>
        <w:overflowPunct w:val="0"/>
        <w:autoSpaceDE w:val="0"/>
        <w:autoSpaceDN w:val="0"/>
        <w:adjustRightInd w:val="0"/>
        <w:snapToGrid w:val="0"/>
        <w:spacing w:before="120" w:after="120"/>
        <w:ind w:left="0" w:hanging="11"/>
        <w:rPr>
          <w:snapToGrid w:val="0"/>
          <w:kern w:val="22"/>
          <w:szCs w:val="22"/>
        </w:rPr>
      </w:pPr>
      <w:r w:rsidRPr="00447B46">
        <w:rPr>
          <w:snapToGrid w:val="0"/>
          <w:kern w:val="22"/>
          <w:szCs w:val="22"/>
        </w:rPr>
        <w:t xml:space="preserve">The </w:t>
      </w:r>
      <w:r w:rsidRPr="00447B46">
        <w:rPr>
          <w:spacing w:val="-2"/>
          <w:kern w:val="22"/>
          <w:szCs w:val="22"/>
        </w:rPr>
        <w:t xml:space="preserve">expert working </w:t>
      </w:r>
      <w:r w:rsidRPr="00447B46">
        <w:rPr>
          <w:snapToGrid w:val="0"/>
          <w:kern w:val="22"/>
          <w:szCs w:val="22"/>
        </w:rPr>
        <w:t>group will take into account:</w:t>
      </w:r>
    </w:p>
    <w:p w14:paraId="25A86F79" w14:textId="77777777" w:rsidR="0018728E" w:rsidRDefault="0018728E" w:rsidP="00950BE4">
      <w:pPr>
        <w:numPr>
          <w:ilvl w:val="1"/>
          <w:numId w:val="3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47B46">
        <w:rPr>
          <w:snapToGrid w:val="0"/>
          <w:kern w:val="22"/>
          <w:szCs w:val="22"/>
        </w:rPr>
        <w:t>Previous work and experience under the Convention on financial reporting</w:t>
      </w:r>
      <w:r>
        <w:rPr>
          <w:snapToGrid w:val="0"/>
          <w:kern w:val="22"/>
          <w:szCs w:val="22"/>
        </w:rPr>
        <w:t>, including the work of the panel of experts,</w:t>
      </w:r>
      <w:r w:rsidRPr="00447B46">
        <w:rPr>
          <w:snapToGrid w:val="0"/>
          <w:kern w:val="22"/>
          <w:szCs w:val="22"/>
        </w:rPr>
        <w:t xml:space="preserve"> and other relevant programmes of work concerning indicators and monitoring;</w:t>
      </w:r>
    </w:p>
    <w:p w14:paraId="49C929C8" w14:textId="77777777" w:rsidR="0018728E" w:rsidRPr="00447B46" w:rsidRDefault="0018728E" w:rsidP="00950BE4">
      <w:pPr>
        <w:numPr>
          <w:ilvl w:val="1"/>
          <w:numId w:val="3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Pr>
          <w:snapToGrid w:val="0"/>
          <w:kern w:val="22"/>
          <w:szCs w:val="22"/>
        </w:rPr>
        <w:t>National finance plans or similar instruments;</w:t>
      </w:r>
    </w:p>
    <w:p w14:paraId="4554B9AB" w14:textId="77777777" w:rsidR="0018728E" w:rsidRPr="00451F41" w:rsidRDefault="0018728E" w:rsidP="00950BE4">
      <w:pPr>
        <w:numPr>
          <w:ilvl w:val="1"/>
          <w:numId w:val="3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47B46">
        <w:rPr>
          <w:snapToGrid w:val="0"/>
          <w:color w:val="000000" w:themeColor="text1"/>
          <w:kern w:val="22"/>
          <w:szCs w:val="22"/>
        </w:rPr>
        <w:t>Statistical standards and development under the intergovernmental forum of the Statistical Commission;</w:t>
      </w:r>
    </w:p>
    <w:p w14:paraId="5E63B10E" w14:textId="77777777" w:rsidR="0018728E" w:rsidRPr="00447B46" w:rsidRDefault="0018728E" w:rsidP="00950BE4">
      <w:pPr>
        <w:numPr>
          <w:ilvl w:val="1"/>
          <w:numId w:val="3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Pr>
          <w:snapToGrid w:val="0"/>
          <w:color w:val="000000" w:themeColor="text1"/>
          <w:kern w:val="22"/>
          <w:szCs w:val="22"/>
        </w:rPr>
        <w:t>Reporting against the Sustainable Development Goals;</w:t>
      </w:r>
    </w:p>
    <w:p w14:paraId="318C616B" w14:textId="77777777" w:rsidR="0018728E" w:rsidRPr="00447B46" w:rsidRDefault="0018728E" w:rsidP="00950BE4">
      <w:pPr>
        <w:numPr>
          <w:ilvl w:val="1"/>
          <w:numId w:val="35"/>
        </w:numPr>
        <w:suppressLineNumbers/>
        <w:suppressAutoHyphens/>
        <w:kinsoku w:val="0"/>
        <w:overflowPunct w:val="0"/>
        <w:autoSpaceDE w:val="0"/>
        <w:autoSpaceDN w:val="0"/>
        <w:adjustRightInd w:val="0"/>
        <w:snapToGrid w:val="0"/>
        <w:spacing w:before="120" w:after="120"/>
        <w:ind w:left="0" w:firstLine="720"/>
        <w:rPr>
          <w:snapToGrid w:val="0"/>
          <w:kern w:val="22"/>
          <w:szCs w:val="22"/>
        </w:rPr>
      </w:pPr>
      <w:r w:rsidRPr="00447B46">
        <w:rPr>
          <w:snapToGrid w:val="0"/>
          <w:color w:val="000000" w:themeColor="text1"/>
          <w:kern w:val="22"/>
          <w:szCs w:val="22"/>
        </w:rPr>
        <w:t>Previous work and experience with other relevant global, regional and national monitoring frameworks, multilateral environment agreements, and knowledge systems, including work of the Biodiversity Finance Initiative of the United Nations Development Programme (BIOFIN) and the Organisation for Economic Co-operation and Development.</w:t>
      </w:r>
    </w:p>
    <w:p w14:paraId="71821EF5" w14:textId="77777777" w:rsidR="0018728E" w:rsidRPr="00447B46" w:rsidRDefault="0018728E" w:rsidP="00950BE4">
      <w:pPr>
        <w:numPr>
          <w:ilvl w:val="0"/>
          <w:numId w:val="37"/>
        </w:numPr>
        <w:suppressLineNumbers/>
        <w:suppressAutoHyphens/>
        <w:kinsoku w:val="0"/>
        <w:overflowPunct w:val="0"/>
        <w:autoSpaceDE w:val="0"/>
        <w:autoSpaceDN w:val="0"/>
        <w:adjustRightInd w:val="0"/>
        <w:snapToGrid w:val="0"/>
        <w:spacing w:before="120" w:after="120"/>
        <w:ind w:left="0" w:firstLine="0"/>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 xml:space="preserve">roup </w:t>
      </w:r>
      <w:r w:rsidRPr="0067106C">
        <w:rPr>
          <w:snapToGrid w:val="0"/>
          <w:kern w:val="22"/>
          <w:szCs w:val="22"/>
        </w:rPr>
        <w:t>will contribute to the work of the Ad</w:t>
      </w:r>
      <w:r w:rsidRPr="00447B46">
        <w:rPr>
          <w:snapToGrid w:val="0"/>
          <w:kern w:val="22"/>
          <w:szCs w:val="22"/>
        </w:rPr>
        <w:t xml:space="preserve"> </w:t>
      </w:r>
      <w:r>
        <w:rPr>
          <w:snapToGrid w:val="0"/>
          <w:kern w:val="22"/>
          <w:szCs w:val="22"/>
        </w:rPr>
        <w:t>H</w:t>
      </w:r>
      <w:r w:rsidRPr="00447B46">
        <w:rPr>
          <w:snapToGrid w:val="0"/>
          <w:kern w:val="22"/>
          <w:szCs w:val="22"/>
        </w:rPr>
        <w:t xml:space="preserve">oc </w:t>
      </w:r>
      <w:r>
        <w:rPr>
          <w:snapToGrid w:val="0"/>
          <w:kern w:val="22"/>
          <w:szCs w:val="22"/>
        </w:rPr>
        <w:t>T</w:t>
      </w:r>
      <w:r w:rsidRPr="00447B46">
        <w:rPr>
          <w:snapToGrid w:val="0"/>
          <w:kern w:val="22"/>
          <w:szCs w:val="22"/>
        </w:rPr>
        <w:t xml:space="preserve">echnical </w:t>
      </w:r>
      <w:r>
        <w:rPr>
          <w:snapToGrid w:val="0"/>
          <w:kern w:val="22"/>
          <w:szCs w:val="22"/>
        </w:rPr>
        <w:t>E</w:t>
      </w:r>
      <w:r w:rsidRPr="00447B46">
        <w:rPr>
          <w:snapToGrid w:val="0"/>
          <w:kern w:val="22"/>
          <w:szCs w:val="22"/>
        </w:rPr>
        <w:t xml:space="preserve">xpert </w:t>
      </w:r>
      <w:r>
        <w:rPr>
          <w:snapToGrid w:val="0"/>
          <w:kern w:val="22"/>
          <w:szCs w:val="22"/>
        </w:rPr>
        <w:t>G</w:t>
      </w:r>
      <w:r w:rsidRPr="00447B46">
        <w:rPr>
          <w:snapToGrid w:val="0"/>
          <w:kern w:val="22"/>
          <w:szCs w:val="22"/>
        </w:rPr>
        <w:t xml:space="preserve">roup </w:t>
      </w:r>
      <w:r>
        <w:rPr>
          <w:snapToGrid w:val="0"/>
          <w:kern w:val="22"/>
          <w:szCs w:val="22"/>
        </w:rPr>
        <w:t xml:space="preserve">on Indicators for the Kunming-Montreal Global Biodiversity Framework </w:t>
      </w:r>
      <w:r w:rsidRPr="00447B46">
        <w:rPr>
          <w:snapToGrid w:val="0"/>
          <w:kern w:val="22"/>
          <w:szCs w:val="22"/>
        </w:rPr>
        <w:t xml:space="preserve">that </w:t>
      </w:r>
      <w:r w:rsidRPr="00DA4A5E">
        <w:rPr>
          <w:snapToGrid w:val="0"/>
          <w:kern w:val="22"/>
          <w:szCs w:val="22"/>
        </w:rPr>
        <w:t>was established to advise</w:t>
      </w:r>
      <w:r w:rsidRPr="00447B46">
        <w:rPr>
          <w:snapToGrid w:val="0"/>
          <w:kern w:val="22"/>
          <w:szCs w:val="22"/>
        </w:rPr>
        <w:t xml:space="preserve"> on the </w:t>
      </w:r>
      <w:r w:rsidRPr="00447B46">
        <w:rPr>
          <w:snapToGrid w:val="0"/>
          <w:kern w:val="22"/>
          <w:szCs w:val="22"/>
        </w:rPr>
        <w:lastRenderedPageBreak/>
        <w:t xml:space="preserve">further operationalization of the monitoring framework for the </w:t>
      </w:r>
      <w:r>
        <w:rPr>
          <w:snapToGrid w:val="0"/>
          <w:kern w:val="22"/>
          <w:szCs w:val="22"/>
        </w:rPr>
        <w:t>Kunming-Montreal Global Biodiversity Framework</w:t>
      </w:r>
      <w:r w:rsidRPr="00447B46">
        <w:rPr>
          <w:snapToGrid w:val="0"/>
          <w:kern w:val="22"/>
          <w:szCs w:val="22"/>
        </w:rPr>
        <w:t>, in accordance with paragraph 6 of the terms of reference of that group,</w:t>
      </w:r>
      <w:r w:rsidRPr="00610646">
        <w:rPr>
          <w:rStyle w:val="FootnoteReference"/>
        </w:rPr>
        <w:footnoteReference w:id="60"/>
      </w:r>
      <w:r w:rsidRPr="00447B46">
        <w:rPr>
          <w:snapToGrid w:val="0"/>
          <w:kern w:val="22"/>
          <w:szCs w:val="22"/>
        </w:rPr>
        <w:t xml:space="preserve"> bearing in mind geographical balance. The </w:t>
      </w:r>
      <w:r w:rsidRPr="00DA4A5E">
        <w:rPr>
          <w:snapToGrid w:val="0"/>
          <w:kern w:val="22"/>
          <w:szCs w:val="22"/>
        </w:rPr>
        <w:t>group will</w:t>
      </w:r>
      <w:r w:rsidRPr="00447B46">
        <w:rPr>
          <w:snapToGrid w:val="0"/>
          <w:kern w:val="22"/>
          <w:szCs w:val="22"/>
        </w:rPr>
        <w:t xml:space="preserve"> be composed of technical experts on biodiversity finance statistics from Parties as well as observers and other relevant organizations.</w:t>
      </w:r>
    </w:p>
    <w:p w14:paraId="27EA9C16" w14:textId="77777777" w:rsidR="0018728E" w:rsidRPr="00447B46" w:rsidRDefault="0018728E" w:rsidP="00950BE4">
      <w:pPr>
        <w:numPr>
          <w:ilvl w:val="0"/>
          <w:numId w:val="37"/>
        </w:numPr>
        <w:suppressLineNumbers/>
        <w:suppressAutoHyphens/>
        <w:kinsoku w:val="0"/>
        <w:overflowPunct w:val="0"/>
        <w:autoSpaceDE w:val="0"/>
        <w:autoSpaceDN w:val="0"/>
        <w:adjustRightInd w:val="0"/>
        <w:snapToGrid w:val="0"/>
        <w:spacing w:before="120" w:after="120"/>
        <w:ind w:left="0" w:hanging="11"/>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roup will elect two co-chairs from among its members.</w:t>
      </w:r>
    </w:p>
    <w:p w14:paraId="6E72ADDD" w14:textId="77777777" w:rsidR="0018728E" w:rsidRPr="00447B46" w:rsidRDefault="0018728E" w:rsidP="00950BE4">
      <w:pPr>
        <w:numPr>
          <w:ilvl w:val="0"/>
          <w:numId w:val="37"/>
        </w:numPr>
        <w:suppressLineNumbers/>
        <w:suppressAutoHyphens/>
        <w:kinsoku w:val="0"/>
        <w:overflowPunct w:val="0"/>
        <w:autoSpaceDE w:val="0"/>
        <w:autoSpaceDN w:val="0"/>
        <w:adjustRightInd w:val="0"/>
        <w:snapToGrid w:val="0"/>
        <w:spacing w:before="120" w:after="120"/>
        <w:ind w:left="0" w:hanging="11"/>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 xml:space="preserve">roup will coordinate closely with the </w:t>
      </w:r>
      <w:r>
        <w:rPr>
          <w:snapToGrid w:val="0"/>
          <w:kern w:val="22"/>
          <w:szCs w:val="22"/>
        </w:rPr>
        <w:t>A</w:t>
      </w:r>
      <w:r w:rsidRPr="00447B46">
        <w:rPr>
          <w:snapToGrid w:val="0"/>
          <w:kern w:val="22"/>
          <w:szCs w:val="22"/>
        </w:rPr>
        <w:t xml:space="preserve">d </w:t>
      </w:r>
      <w:r>
        <w:rPr>
          <w:snapToGrid w:val="0"/>
          <w:kern w:val="22"/>
          <w:szCs w:val="22"/>
        </w:rPr>
        <w:t>H</w:t>
      </w:r>
      <w:r w:rsidRPr="00447B46">
        <w:rPr>
          <w:snapToGrid w:val="0"/>
          <w:kern w:val="22"/>
          <w:szCs w:val="22"/>
        </w:rPr>
        <w:t xml:space="preserve">oc </w:t>
      </w:r>
      <w:r>
        <w:rPr>
          <w:snapToGrid w:val="0"/>
          <w:kern w:val="22"/>
          <w:szCs w:val="22"/>
        </w:rPr>
        <w:t>T</w:t>
      </w:r>
      <w:r w:rsidRPr="00447B46">
        <w:rPr>
          <w:snapToGrid w:val="0"/>
          <w:kern w:val="22"/>
          <w:szCs w:val="22"/>
        </w:rPr>
        <w:t xml:space="preserve">echnical </w:t>
      </w:r>
      <w:r>
        <w:rPr>
          <w:snapToGrid w:val="0"/>
          <w:kern w:val="22"/>
          <w:szCs w:val="22"/>
        </w:rPr>
        <w:t>E</w:t>
      </w:r>
      <w:r w:rsidRPr="00447B46">
        <w:rPr>
          <w:snapToGrid w:val="0"/>
          <w:kern w:val="22"/>
          <w:szCs w:val="22"/>
        </w:rPr>
        <w:t xml:space="preserve">xpert </w:t>
      </w:r>
      <w:r>
        <w:rPr>
          <w:snapToGrid w:val="0"/>
          <w:kern w:val="22"/>
          <w:szCs w:val="22"/>
        </w:rPr>
        <w:t>G</w:t>
      </w:r>
      <w:r w:rsidRPr="00447B46">
        <w:rPr>
          <w:snapToGrid w:val="0"/>
          <w:kern w:val="22"/>
          <w:szCs w:val="22"/>
        </w:rPr>
        <w:t xml:space="preserve">roup </w:t>
      </w:r>
      <w:r>
        <w:rPr>
          <w:snapToGrid w:val="0"/>
          <w:kern w:val="22"/>
          <w:szCs w:val="22"/>
        </w:rPr>
        <w:t xml:space="preserve">on Indicators </w:t>
      </w:r>
      <w:r w:rsidRPr="00447B46">
        <w:rPr>
          <w:snapToGrid w:val="0"/>
          <w:kern w:val="22"/>
          <w:szCs w:val="22"/>
        </w:rPr>
        <w:t xml:space="preserve">for the </w:t>
      </w:r>
      <w:r>
        <w:rPr>
          <w:snapToGrid w:val="0"/>
          <w:kern w:val="22"/>
          <w:szCs w:val="22"/>
        </w:rPr>
        <w:t>Kunming-Montreal Global Biodiversity Framework</w:t>
      </w:r>
      <w:r w:rsidRPr="00447B46">
        <w:rPr>
          <w:snapToGrid w:val="0"/>
          <w:kern w:val="22"/>
          <w:szCs w:val="22"/>
        </w:rPr>
        <w:t>, in order to avoid overlapping mandates and the duplication of work.</w:t>
      </w:r>
    </w:p>
    <w:p w14:paraId="4084E821" w14:textId="77777777" w:rsidR="0018728E" w:rsidRPr="00447B46" w:rsidRDefault="0018728E" w:rsidP="00950BE4">
      <w:pPr>
        <w:numPr>
          <w:ilvl w:val="0"/>
          <w:numId w:val="37"/>
        </w:numPr>
        <w:suppressLineNumbers/>
        <w:suppressAutoHyphens/>
        <w:kinsoku w:val="0"/>
        <w:overflowPunct w:val="0"/>
        <w:autoSpaceDE w:val="0"/>
        <w:autoSpaceDN w:val="0"/>
        <w:adjustRightInd w:val="0"/>
        <w:snapToGrid w:val="0"/>
        <w:spacing w:before="120" w:after="120"/>
        <w:ind w:left="0" w:hanging="11"/>
        <w:rPr>
          <w:snapToGrid w:val="0"/>
          <w:kern w:val="22"/>
          <w:szCs w:val="22"/>
        </w:rPr>
      </w:pPr>
      <w:r w:rsidRPr="00447B46">
        <w:rPr>
          <w:snapToGrid w:val="0"/>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roup will primarily conduct its work electronically and, subject to the availability of resources, will also meet physically, if possible, meeting at least twice during the intersessional period.</w:t>
      </w:r>
    </w:p>
    <w:p w14:paraId="45CA02BE" w14:textId="77777777" w:rsidR="0018728E" w:rsidRDefault="0018728E" w:rsidP="00552674">
      <w:pPr>
        <w:suppressLineNumbers/>
        <w:suppressAutoHyphens/>
        <w:kinsoku w:val="0"/>
        <w:overflowPunct w:val="0"/>
        <w:autoSpaceDE w:val="0"/>
        <w:autoSpaceDN w:val="0"/>
        <w:adjustRightInd w:val="0"/>
        <w:snapToGrid w:val="0"/>
        <w:spacing w:before="120" w:after="120"/>
        <w:rPr>
          <w:snapToGrid w:val="0"/>
          <w:color w:val="000000" w:themeColor="text1"/>
          <w:kern w:val="22"/>
          <w:szCs w:val="22"/>
        </w:rPr>
      </w:pPr>
      <w:r>
        <w:rPr>
          <w:snapToGrid w:val="0"/>
          <w:color w:val="000000" w:themeColor="text1"/>
          <w:kern w:val="22"/>
          <w:szCs w:val="22"/>
        </w:rPr>
        <w:t>7.</w:t>
      </w:r>
      <w:r>
        <w:rPr>
          <w:snapToGrid w:val="0"/>
          <w:color w:val="000000" w:themeColor="text1"/>
          <w:kern w:val="22"/>
          <w:szCs w:val="22"/>
        </w:rPr>
        <w:tab/>
      </w:r>
      <w:r w:rsidRPr="00447B46">
        <w:rPr>
          <w:snapToGrid w:val="0"/>
          <w:color w:val="000000" w:themeColor="text1"/>
          <w:kern w:val="22"/>
          <w:szCs w:val="22"/>
        </w:rPr>
        <w:t xml:space="preserve">The </w:t>
      </w:r>
      <w:r>
        <w:rPr>
          <w:snapToGrid w:val="0"/>
          <w:kern w:val="22"/>
          <w:szCs w:val="22"/>
        </w:rPr>
        <w:t xml:space="preserve">Technical </w:t>
      </w:r>
      <w:r>
        <w:rPr>
          <w:spacing w:val="-2"/>
          <w:kern w:val="22"/>
          <w:szCs w:val="22"/>
        </w:rPr>
        <w:t>E</w:t>
      </w:r>
      <w:r w:rsidRPr="00447B46">
        <w:rPr>
          <w:spacing w:val="-2"/>
          <w:kern w:val="22"/>
          <w:szCs w:val="22"/>
        </w:rPr>
        <w:t xml:space="preserve">xpert </w:t>
      </w:r>
      <w:r>
        <w:rPr>
          <w:snapToGrid w:val="0"/>
          <w:kern w:val="22"/>
          <w:szCs w:val="22"/>
        </w:rPr>
        <w:t>G</w:t>
      </w:r>
      <w:r w:rsidRPr="00447B46">
        <w:rPr>
          <w:snapToGrid w:val="0"/>
          <w:kern w:val="22"/>
          <w:szCs w:val="22"/>
        </w:rPr>
        <w:t xml:space="preserve">roup </w:t>
      </w:r>
      <w:r w:rsidRPr="00447B46">
        <w:rPr>
          <w:snapToGrid w:val="0"/>
          <w:color w:val="000000" w:themeColor="text1"/>
          <w:kern w:val="22"/>
          <w:szCs w:val="22"/>
        </w:rPr>
        <w:t xml:space="preserve">should be established at, and start its work immediately after, the first meeting of the </w:t>
      </w:r>
      <w:r>
        <w:rPr>
          <w:snapToGrid w:val="0"/>
          <w:color w:val="000000" w:themeColor="text1"/>
          <w:kern w:val="22"/>
          <w:szCs w:val="22"/>
        </w:rPr>
        <w:t>A</w:t>
      </w:r>
      <w:r w:rsidRPr="00447B46">
        <w:rPr>
          <w:snapToGrid w:val="0"/>
          <w:color w:val="000000" w:themeColor="text1"/>
          <w:kern w:val="22"/>
          <w:szCs w:val="22"/>
        </w:rPr>
        <w:t xml:space="preserve">d </w:t>
      </w:r>
      <w:r>
        <w:rPr>
          <w:snapToGrid w:val="0"/>
          <w:color w:val="000000" w:themeColor="text1"/>
          <w:kern w:val="22"/>
          <w:szCs w:val="22"/>
        </w:rPr>
        <w:t>H</w:t>
      </w:r>
      <w:r w:rsidRPr="00447B46">
        <w:rPr>
          <w:snapToGrid w:val="0"/>
          <w:color w:val="000000" w:themeColor="text1"/>
          <w:kern w:val="22"/>
          <w:szCs w:val="22"/>
        </w:rPr>
        <w:t xml:space="preserve">oc </w:t>
      </w:r>
      <w:r>
        <w:rPr>
          <w:snapToGrid w:val="0"/>
          <w:color w:val="000000" w:themeColor="text1"/>
          <w:kern w:val="22"/>
          <w:szCs w:val="22"/>
        </w:rPr>
        <w:t>T</w:t>
      </w:r>
      <w:r w:rsidRPr="00447B46">
        <w:rPr>
          <w:snapToGrid w:val="0"/>
          <w:color w:val="000000" w:themeColor="text1"/>
          <w:kern w:val="22"/>
          <w:szCs w:val="22"/>
        </w:rPr>
        <w:t xml:space="preserve">echnical </w:t>
      </w:r>
      <w:r>
        <w:rPr>
          <w:snapToGrid w:val="0"/>
          <w:color w:val="000000" w:themeColor="text1"/>
          <w:kern w:val="22"/>
          <w:szCs w:val="22"/>
        </w:rPr>
        <w:t>E</w:t>
      </w:r>
      <w:r w:rsidRPr="00447B46">
        <w:rPr>
          <w:snapToGrid w:val="0"/>
          <w:color w:val="000000" w:themeColor="text1"/>
          <w:kern w:val="22"/>
          <w:szCs w:val="22"/>
        </w:rPr>
        <w:t xml:space="preserve">xpert </w:t>
      </w:r>
      <w:r>
        <w:rPr>
          <w:snapToGrid w:val="0"/>
          <w:color w:val="000000" w:themeColor="text1"/>
          <w:kern w:val="22"/>
          <w:szCs w:val="22"/>
        </w:rPr>
        <w:t>G</w:t>
      </w:r>
      <w:r w:rsidRPr="00447B46">
        <w:rPr>
          <w:snapToGrid w:val="0"/>
          <w:color w:val="000000" w:themeColor="text1"/>
          <w:kern w:val="22"/>
          <w:szCs w:val="22"/>
        </w:rPr>
        <w:t xml:space="preserve">roup </w:t>
      </w:r>
      <w:r>
        <w:rPr>
          <w:snapToGrid w:val="0"/>
          <w:color w:val="000000" w:themeColor="text1"/>
          <w:kern w:val="22"/>
          <w:szCs w:val="22"/>
        </w:rPr>
        <w:t>on Indicators for the Kunming-Montreal Global Biodiversity Framework</w:t>
      </w:r>
      <w:r w:rsidRPr="00447B46">
        <w:rPr>
          <w:snapToGrid w:val="0"/>
          <w:color w:val="000000" w:themeColor="text1"/>
          <w:kern w:val="22"/>
          <w:szCs w:val="22"/>
        </w:rPr>
        <w:t xml:space="preserve">. It would report on its work through the </w:t>
      </w:r>
      <w:r>
        <w:rPr>
          <w:snapToGrid w:val="0"/>
          <w:color w:val="000000" w:themeColor="text1"/>
          <w:kern w:val="22"/>
          <w:szCs w:val="22"/>
        </w:rPr>
        <w:t>A</w:t>
      </w:r>
      <w:r w:rsidRPr="00447B46">
        <w:rPr>
          <w:snapToGrid w:val="0"/>
          <w:color w:val="000000" w:themeColor="text1"/>
          <w:kern w:val="22"/>
          <w:szCs w:val="22"/>
        </w:rPr>
        <w:t xml:space="preserve">d </w:t>
      </w:r>
      <w:r>
        <w:rPr>
          <w:snapToGrid w:val="0"/>
          <w:color w:val="000000" w:themeColor="text1"/>
          <w:kern w:val="22"/>
          <w:szCs w:val="22"/>
        </w:rPr>
        <w:t>H</w:t>
      </w:r>
      <w:r w:rsidRPr="00447B46">
        <w:rPr>
          <w:snapToGrid w:val="0"/>
          <w:color w:val="000000" w:themeColor="text1"/>
          <w:kern w:val="22"/>
          <w:szCs w:val="22"/>
        </w:rPr>
        <w:t xml:space="preserve">oc </w:t>
      </w:r>
      <w:r>
        <w:rPr>
          <w:snapToGrid w:val="0"/>
          <w:color w:val="000000" w:themeColor="text1"/>
          <w:kern w:val="22"/>
          <w:szCs w:val="22"/>
        </w:rPr>
        <w:t>T</w:t>
      </w:r>
      <w:r w:rsidRPr="00447B46">
        <w:rPr>
          <w:snapToGrid w:val="0"/>
          <w:color w:val="000000" w:themeColor="text1"/>
          <w:kern w:val="22"/>
          <w:szCs w:val="22"/>
        </w:rPr>
        <w:t xml:space="preserve">echnical </w:t>
      </w:r>
      <w:r>
        <w:rPr>
          <w:snapToGrid w:val="0"/>
          <w:color w:val="000000" w:themeColor="text1"/>
          <w:kern w:val="22"/>
          <w:szCs w:val="22"/>
        </w:rPr>
        <w:t>E</w:t>
      </w:r>
      <w:r w:rsidRPr="00447B46">
        <w:rPr>
          <w:snapToGrid w:val="0"/>
          <w:color w:val="000000" w:themeColor="text1"/>
          <w:kern w:val="22"/>
          <w:szCs w:val="22"/>
        </w:rPr>
        <w:t xml:space="preserve">xpert </w:t>
      </w:r>
      <w:r>
        <w:rPr>
          <w:snapToGrid w:val="0"/>
          <w:color w:val="000000" w:themeColor="text1"/>
          <w:kern w:val="22"/>
          <w:szCs w:val="22"/>
        </w:rPr>
        <w:t>G</w:t>
      </w:r>
      <w:r w:rsidRPr="00447B46">
        <w:rPr>
          <w:snapToGrid w:val="0"/>
          <w:color w:val="000000" w:themeColor="text1"/>
          <w:kern w:val="22"/>
          <w:szCs w:val="22"/>
        </w:rPr>
        <w:t>roup</w:t>
      </w:r>
      <w:r>
        <w:rPr>
          <w:snapToGrid w:val="0"/>
          <w:color w:val="000000" w:themeColor="text1"/>
          <w:kern w:val="22"/>
          <w:szCs w:val="22"/>
        </w:rPr>
        <w:t xml:space="preserve"> on Indicators</w:t>
      </w:r>
      <w:r w:rsidRPr="00447B46">
        <w:rPr>
          <w:snapToGrid w:val="0"/>
          <w:color w:val="000000" w:themeColor="text1"/>
          <w:kern w:val="22"/>
          <w:szCs w:val="22"/>
        </w:rPr>
        <w:t xml:space="preserve"> to the Subsidiary Body on Implementation and the Subsidiary Body on Scientific, Technical and Technological Advice at meetings held prior to the sixteenth meeting of the Conference of the Parties.</w:t>
      </w:r>
    </w:p>
    <w:p w14:paraId="71504F31" w14:textId="77777777" w:rsidR="00994B70" w:rsidRDefault="00994B70" w:rsidP="00552674">
      <w:pPr>
        <w:suppressLineNumbers/>
        <w:suppressAutoHyphens/>
        <w:kinsoku w:val="0"/>
        <w:overflowPunct w:val="0"/>
        <w:autoSpaceDE w:val="0"/>
        <w:autoSpaceDN w:val="0"/>
        <w:adjustRightInd w:val="0"/>
        <w:snapToGrid w:val="0"/>
        <w:spacing w:before="120" w:after="120"/>
        <w:rPr>
          <w:snapToGrid w:val="0"/>
          <w:color w:val="000000" w:themeColor="text1"/>
          <w:kern w:val="22"/>
          <w:szCs w:val="22"/>
        </w:rPr>
      </w:pPr>
    </w:p>
    <w:p w14:paraId="226E17EF" w14:textId="77777777" w:rsidR="008C379F" w:rsidRDefault="008C379F" w:rsidP="00CA676A">
      <w:pPr>
        <w:suppressLineNumbers/>
        <w:shd w:val="clear" w:color="auto" w:fill="FFFFFF" w:themeFill="background1"/>
        <w:suppressAutoHyphens/>
        <w:kinsoku w:val="0"/>
        <w:overflowPunct w:val="0"/>
        <w:autoSpaceDE w:val="0"/>
        <w:autoSpaceDN w:val="0"/>
        <w:spacing w:before="120" w:after="120"/>
        <w:ind w:firstLine="720"/>
        <w:jc w:val="center"/>
        <w:rPr>
          <w:szCs w:val="22"/>
        </w:rPr>
        <w:sectPr w:rsidR="008C379F" w:rsidSect="00441700">
          <w:footnotePr>
            <w:numRestart w:val="eachSect"/>
          </w:footnotePr>
          <w:pgSz w:w="12240" w:h="15840"/>
          <w:pgMar w:top="567" w:right="1440" w:bottom="1134" w:left="1440" w:header="709" w:footer="709" w:gutter="0"/>
          <w:cols w:space="708"/>
          <w:docGrid w:linePitch="360"/>
        </w:sectPr>
      </w:pPr>
    </w:p>
    <w:p w14:paraId="769E9545" w14:textId="77777777" w:rsidR="008C379F" w:rsidRPr="00F64CCA" w:rsidRDefault="008C379F" w:rsidP="00AC7311">
      <w:pPr>
        <w:pStyle w:val="decision"/>
        <w:rPr>
          <w:rStyle w:val="BodyTextChar"/>
          <w:rFonts w:eastAsia="Malgun Gothic"/>
          <w:b w:val="0"/>
          <w:bCs/>
        </w:rPr>
      </w:pPr>
      <w:bookmarkStart w:id="63" w:name="_Toc150438806"/>
      <w:bookmarkStart w:id="64" w:name="_Toc150670506"/>
      <w:bookmarkStart w:id="65" w:name="_Toc150670616"/>
      <w:bookmarkStart w:id="66" w:name="_Toc150761118"/>
      <w:r w:rsidRPr="00F627C0">
        <w:lastRenderedPageBreak/>
        <w:t>15/8.</w:t>
      </w:r>
      <w:r w:rsidRPr="00F627C0">
        <w:tab/>
        <w:t>Capacity-building and development and technical and scientific cooperation</w:t>
      </w:r>
      <w:bookmarkEnd w:id="63"/>
      <w:bookmarkEnd w:id="64"/>
      <w:bookmarkEnd w:id="65"/>
      <w:bookmarkEnd w:id="66"/>
    </w:p>
    <w:p w14:paraId="3CD173A0" w14:textId="77777777" w:rsidR="008C379F" w:rsidRDefault="008C379F" w:rsidP="00FD6942">
      <w:pPr>
        <w:pStyle w:val="Para1"/>
        <w:numPr>
          <w:ilvl w:val="0"/>
          <w:numId w:val="0"/>
        </w:numPr>
        <w:spacing w:before="240"/>
        <w:ind w:firstLine="709"/>
        <w:rPr>
          <w:iCs/>
        </w:rPr>
      </w:pPr>
      <w:r w:rsidRPr="004E35D7">
        <w:rPr>
          <w:i/>
        </w:rPr>
        <w:t xml:space="preserve">The </w:t>
      </w:r>
      <w:r w:rsidRPr="00C9103E">
        <w:rPr>
          <w:i/>
        </w:rPr>
        <w:t>Conference</w:t>
      </w:r>
      <w:r w:rsidRPr="004E35D7">
        <w:rPr>
          <w:i/>
        </w:rPr>
        <w:t xml:space="preserve"> of the Parties</w:t>
      </w:r>
      <w:r w:rsidRPr="00760D30">
        <w:rPr>
          <w:iCs/>
        </w:rPr>
        <w:t>,</w:t>
      </w:r>
    </w:p>
    <w:p w14:paraId="4A4D88D5" w14:textId="77777777" w:rsidR="008C379F" w:rsidRPr="00B64EEF" w:rsidRDefault="008C379F" w:rsidP="00A30041">
      <w:pPr>
        <w:pStyle w:val="Para1"/>
        <w:numPr>
          <w:ilvl w:val="0"/>
          <w:numId w:val="0"/>
        </w:numPr>
        <w:ind w:firstLine="709"/>
        <w:rPr>
          <w:iCs/>
        </w:rPr>
      </w:pPr>
      <w:r w:rsidRPr="00B64EEF">
        <w:rPr>
          <w:i/>
        </w:rPr>
        <w:t xml:space="preserve">Recalling </w:t>
      </w:r>
      <w:r w:rsidRPr="00B64EEF">
        <w:rPr>
          <w:iCs/>
        </w:rPr>
        <w:t>Articles 15.6, 16, 17, 18 and 19 of the Convention,</w:t>
      </w:r>
    </w:p>
    <w:p w14:paraId="1B8726B4" w14:textId="5A1CEA88" w:rsidR="008C379F" w:rsidRPr="00D71EDE" w:rsidRDefault="008C379F" w:rsidP="00A30041">
      <w:pPr>
        <w:pStyle w:val="Para1"/>
        <w:numPr>
          <w:ilvl w:val="0"/>
          <w:numId w:val="0"/>
        </w:numPr>
        <w:suppressLineNumbers/>
        <w:tabs>
          <w:tab w:val="left" w:pos="720"/>
        </w:tabs>
        <w:suppressAutoHyphens/>
        <w:kinsoku w:val="0"/>
        <w:adjustRightInd w:val="0"/>
        <w:ind w:firstLine="720"/>
      </w:pPr>
      <w:r w:rsidRPr="004E35D7">
        <w:rPr>
          <w:i/>
        </w:rPr>
        <w:t>Recalling</w:t>
      </w:r>
      <w:r>
        <w:rPr>
          <w:i/>
        </w:rPr>
        <w:t xml:space="preserve"> also</w:t>
      </w:r>
      <w:r w:rsidRPr="004E35D7">
        <w:t xml:space="preserve"> decisions </w:t>
      </w:r>
      <w:hyperlink r:id="rId22" w:history="1">
        <w:r w:rsidRPr="004E35D7">
          <w:rPr>
            <w:rStyle w:val="Hyperlink"/>
            <w:sz w:val="22"/>
            <w:u w:val="none"/>
          </w:rPr>
          <w:t>XIII/23</w:t>
        </w:r>
      </w:hyperlink>
      <w:r w:rsidRPr="004E35D7">
        <w:t xml:space="preserve"> and </w:t>
      </w:r>
      <w:hyperlink r:id="rId23" w:history="1">
        <w:r w:rsidRPr="004E35D7">
          <w:rPr>
            <w:rStyle w:val="Hyperlink"/>
            <w:sz w:val="22"/>
            <w:u w:val="none"/>
          </w:rPr>
          <w:t>14/24</w:t>
        </w:r>
      </w:hyperlink>
      <w:r w:rsidRPr="004E35D7">
        <w:t>,</w:t>
      </w:r>
    </w:p>
    <w:p w14:paraId="2AE47A45" w14:textId="77777777" w:rsidR="008C379F" w:rsidRPr="00760D30" w:rsidRDefault="008C379F" w:rsidP="00A30041">
      <w:pPr>
        <w:pStyle w:val="Para1"/>
        <w:numPr>
          <w:ilvl w:val="0"/>
          <w:numId w:val="0"/>
        </w:numPr>
        <w:suppressLineNumbers/>
        <w:tabs>
          <w:tab w:val="left" w:pos="720"/>
        </w:tabs>
        <w:suppressAutoHyphens/>
        <w:kinsoku w:val="0"/>
        <w:adjustRightInd w:val="0"/>
        <w:ind w:firstLine="720"/>
      </w:pPr>
      <w:r w:rsidRPr="00760D30">
        <w:rPr>
          <w:i/>
          <w:iCs/>
        </w:rPr>
        <w:t xml:space="preserve">Noting with appreciation </w:t>
      </w:r>
      <w:r w:rsidRPr="00760D30">
        <w:t>the support provided by Parties, other Governments, the Global Environment Facility</w:t>
      </w:r>
      <w:r>
        <w:t>,</w:t>
      </w:r>
      <w:r w:rsidRPr="00760D30">
        <w:t xml:space="preserve"> relevant organizations and other stakeholders for capacity</w:t>
      </w:r>
      <w:r w:rsidRPr="00760D30">
        <w:noBreakHyphen/>
        <w:t>building and development</w:t>
      </w:r>
      <w:r>
        <w:t>,</w:t>
      </w:r>
      <w:r w:rsidRPr="00760D30">
        <w:t xml:space="preserve"> and technical and scientific cooperation activities to assist developing country Parties, Parties with economies in transition, indigenous peoples and local communities, women and youth</w:t>
      </w:r>
      <w:r>
        <w:t>,</w:t>
      </w:r>
    </w:p>
    <w:p w14:paraId="1A33695C" w14:textId="77777777" w:rsidR="008C379F" w:rsidRPr="00760D30" w:rsidRDefault="008C379F" w:rsidP="00A30041">
      <w:pPr>
        <w:pStyle w:val="Para1"/>
        <w:numPr>
          <w:ilvl w:val="0"/>
          <w:numId w:val="0"/>
        </w:numPr>
        <w:suppressLineNumbers/>
        <w:tabs>
          <w:tab w:val="left" w:pos="720"/>
        </w:tabs>
        <w:suppressAutoHyphens/>
        <w:kinsoku w:val="0"/>
        <w:adjustRightInd w:val="0"/>
        <w:ind w:firstLine="720"/>
      </w:pPr>
      <w:r w:rsidRPr="00760D30">
        <w:rPr>
          <w:i/>
          <w:iCs/>
        </w:rPr>
        <w:t xml:space="preserve">Reaffirming </w:t>
      </w:r>
      <w:r w:rsidRPr="00760D30">
        <w:t>the need to promote strategic and coherent approaches to capacity</w:t>
      </w:r>
      <w:r w:rsidRPr="00760D30">
        <w:noBreakHyphen/>
        <w:t xml:space="preserve">building and development and technical and scientific cooperation in supporting the implementation of the Convention and its </w:t>
      </w:r>
      <w:r>
        <w:t>P</w:t>
      </w:r>
      <w:r w:rsidRPr="00760D30">
        <w:t>rotocols,</w:t>
      </w:r>
    </w:p>
    <w:p w14:paraId="415D9C0E" w14:textId="77777777" w:rsidR="008C379F" w:rsidRDefault="008C379F" w:rsidP="00A30041">
      <w:pPr>
        <w:pStyle w:val="Para1"/>
        <w:numPr>
          <w:ilvl w:val="0"/>
          <w:numId w:val="0"/>
        </w:numPr>
        <w:suppressLineNumbers/>
        <w:tabs>
          <w:tab w:val="left" w:pos="720"/>
        </w:tabs>
        <w:suppressAutoHyphens/>
        <w:kinsoku w:val="0"/>
        <w:adjustRightInd w:val="0"/>
        <w:ind w:firstLine="720"/>
      </w:pPr>
      <w:r w:rsidRPr="00760D30">
        <w:rPr>
          <w:i/>
          <w:iCs/>
        </w:rPr>
        <w:t xml:space="preserve">Underscoring </w:t>
      </w:r>
      <w:r w:rsidRPr="00760D30">
        <w:t>the critical importance of capacity</w:t>
      </w:r>
      <w:r w:rsidRPr="00760D30">
        <w:noBreakHyphen/>
        <w:t>building and development, technical and scientific cooperation</w:t>
      </w:r>
      <w:r>
        <w:t>,</w:t>
      </w:r>
      <w:r w:rsidRPr="00760D30">
        <w:t xml:space="preserve"> </w:t>
      </w:r>
      <w:r w:rsidRPr="00EA110A">
        <w:t>and technology transfer for</w:t>
      </w:r>
      <w:r w:rsidRPr="00760D30">
        <w:t xml:space="preserve"> the effective implementation of the </w:t>
      </w:r>
      <w:r>
        <w:t>Kunming-Montreal G</w:t>
      </w:r>
      <w:r w:rsidRPr="00760D30">
        <w:t xml:space="preserve">lobal </w:t>
      </w:r>
      <w:r>
        <w:t>B</w:t>
      </w:r>
      <w:r w:rsidRPr="00760D30">
        <w:t xml:space="preserve">iodiversity </w:t>
      </w:r>
      <w:r>
        <w:t>F</w:t>
      </w:r>
      <w:r w:rsidRPr="00760D30">
        <w:t xml:space="preserve">ramework, </w:t>
      </w:r>
    </w:p>
    <w:p w14:paraId="3F389050" w14:textId="77777777" w:rsidR="008C379F" w:rsidRDefault="008C379F" w:rsidP="00A30041">
      <w:pPr>
        <w:pStyle w:val="Para1"/>
        <w:numPr>
          <w:ilvl w:val="0"/>
          <w:numId w:val="0"/>
        </w:numPr>
        <w:suppressLineNumbers/>
        <w:tabs>
          <w:tab w:val="left" w:pos="720"/>
        </w:tabs>
        <w:suppressAutoHyphens/>
        <w:kinsoku w:val="0"/>
        <w:adjustRightInd w:val="0"/>
        <w:ind w:firstLine="720"/>
      </w:pPr>
      <w:r w:rsidRPr="007D51B9">
        <w:rPr>
          <w:i/>
          <w:iCs/>
        </w:rPr>
        <w:t>Recognizing</w:t>
      </w:r>
      <w:r>
        <w:t xml:space="preserve"> that many Parties, in particular developing country Parties, might not yet have the necessary capacities to fully implement the Kunming-Montreal G</w:t>
      </w:r>
      <w:r w:rsidRPr="00C84023">
        <w:t xml:space="preserve">lobal </w:t>
      </w:r>
      <w:r>
        <w:t>B</w:t>
      </w:r>
      <w:r w:rsidRPr="00C84023">
        <w:t xml:space="preserve">iodiversity </w:t>
      </w:r>
      <w:r>
        <w:t>F</w:t>
      </w:r>
      <w:r w:rsidRPr="00C84023">
        <w:t>ramework</w:t>
      </w:r>
      <w:r>
        <w:t xml:space="preserve"> and related decisions taken by the Conference of the Parties at its fifteenth meeting, and </w:t>
      </w:r>
      <w:r w:rsidRPr="00AA78F3">
        <w:t>highlighting</w:t>
      </w:r>
      <w:r>
        <w:t xml:space="preserve"> the need for enhanced cooperation to address these capacity gaps,</w:t>
      </w:r>
    </w:p>
    <w:p w14:paraId="780534FC" w14:textId="77777777" w:rsidR="008C379F" w:rsidRDefault="008C379F" w:rsidP="00A30041">
      <w:pPr>
        <w:pStyle w:val="Para1"/>
        <w:numPr>
          <w:ilvl w:val="0"/>
          <w:numId w:val="0"/>
        </w:numPr>
        <w:suppressLineNumbers/>
        <w:tabs>
          <w:tab w:val="left" w:pos="720"/>
        </w:tabs>
        <w:suppressAutoHyphens/>
        <w:kinsoku w:val="0"/>
        <w:adjustRightInd w:val="0"/>
        <w:ind w:firstLine="720"/>
      </w:pPr>
      <w:r w:rsidRPr="004B0F59">
        <w:rPr>
          <w:i/>
          <w:iCs/>
        </w:rPr>
        <w:t>Noting</w:t>
      </w:r>
      <w:r w:rsidRPr="004B0F59">
        <w:t xml:space="preserve"> that</w:t>
      </w:r>
      <w:r w:rsidRPr="001A5316">
        <w:t xml:space="preserve"> the </w:t>
      </w:r>
      <w:r>
        <w:t>Kunming-Montreal G</w:t>
      </w:r>
      <w:r w:rsidRPr="001A5316">
        <w:t xml:space="preserve">lobal </w:t>
      </w:r>
      <w:r>
        <w:t>B</w:t>
      </w:r>
      <w:r w:rsidRPr="001A5316">
        <w:t xml:space="preserve">iodiversity </w:t>
      </w:r>
      <w:r w:rsidRPr="002F74B5">
        <w:t>Framework and related decisions are</w:t>
      </w:r>
      <w:r w:rsidRPr="001A5316">
        <w:t xml:space="preserve"> to be implemented in accordance with national priorities and capabilities</w:t>
      </w:r>
      <w:r>
        <w:t>,</w:t>
      </w:r>
    </w:p>
    <w:p w14:paraId="7ACEA546" w14:textId="77777777" w:rsidR="008C379F" w:rsidRPr="00541EA7" w:rsidRDefault="008C379F" w:rsidP="00560841">
      <w:pPr>
        <w:pStyle w:val="Para1"/>
        <w:numPr>
          <w:ilvl w:val="0"/>
          <w:numId w:val="0"/>
        </w:numPr>
        <w:suppressLineNumbers/>
        <w:shd w:val="clear" w:color="auto" w:fill="FFFFFF" w:themeFill="background1"/>
        <w:tabs>
          <w:tab w:val="left" w:pos="720"/>
        </w:tabs>
        <w:suppressAutoHyphens/>
        <w:kinsoku w:val="0"/>
        <w:adjustRightInd w:val="0"/>
        <w:ind w:firstLine="720"/>
      </w:pPr>
      <w:r w:rsidRPr="00541EA7">
        <w:rPr>
          <w:i/>
          <w:iCs/>
        </w:rPr>
        <w:t xml:space="preserve">Taking into account </w:t>
      </w:r>
      <w:r w:rsidRPr="00541EA7">
        <w:t xml:space="preserve">the specific needs of developing country Parties, in particular the least developed countries and small island developing </w:t>
      </w:r>
      <w:r>
        <w:t>S</w:t>
      </w:r>
      <w:r w:rsidRPr="00541EA7">
        <w:t>tates, and countries with economies in transition</w:t>
      </w:r>
      <w:r>
        <w:t>,</w:t>
      </w:r>
      <w:r w:rsidRPr="00541EA7">
        <w:t xml:space="preserve"> </w:t>
      </w:r>
      <w:r>
        <w:t xml:space="preserve">also taking into consideration the special situation of those that are most environmentally vulnerable, such as those with arid and semi-arid zones, coastal and mountainous areas, </w:t>
      </w:r>
      <w:r w:rsidRPr="00541EA7">
        <w:t>as well as indigenous peoples and local communities, women and youth,</w:t>
      </w:r>
    </w:p>
    <w:p w14:paraId="64A766D6" w14:textId="77777777" w:rsidR="008C379F" w:rsidRPr="00760D30" w:rsidRDefault="008C379F" w:rsidP="00A30041">
      <w:pPr>
        <w:pStyle w:val="Para1"/>
        <w:numPr>
          <w:ilvl w:val="0"/>
          <w:numId w:val="0"/>
        </w:numPr>
        <w:suppressLineNumbers/>
        <w:tabs>
          <w:tab w:val="left" w:pos="720"/>
        </w:tabs>
        <w:suppressAutoHyphens/>
        <w:kinsoku w:val="0"/>
        <w:adjustRightInd w:val="0"/>
        <w:ind w:firstLine="720"/>
      </w:pPr>
      <w:r w:rsidRPr="00760D30">
        <w:rPr>
          <w:i/>
          <w:iCs/>
        </w:rPr>
        <w:t>Taking note</w:t>
      </w:r>
      <w:r w:rsidRPr="00760D30">
        <w:t xml:space="preserve"> of the final report on the implementation of the </w:t>
      </w:r>
      <w:r w:rsidRPr="00E36960">
        <w:t>short-term action plan (2017</w:t>
      </w:r>
      <w:r>
        <w:t>–</w:t>
      </w:r>
      <w:r w:rsidRPr="00E36960">
        <w:t>2020) to enhance and support capacity</w:t>
      </w:r>
      <w:r w:rsidRPr="00E36960">
        <w:noBreakHyphen/>
        <w:t>building for the implementation of the Convention and its Protocols, and the lessons learned,</w:t>
      </w:r>
      <w:r w:rsidRPr="00610646">
        <w:rPr>
          <w:rStyle w:val="FootnoteReference"/>
          <w:rFonts w:eastAsiaTheme="majorEastAsia"/>
        </w:rPr>
        <w:footnoteReference w:id="61"/>
      </w:r>
    </w:p>
    <w:p w14:paraId="05211C0D" w14:textId="77777777" w:rsidR="008C379F" w:rsidRPr="00760D30" w:rsidRDefault="008C379F" w:rsidP="00A30041">
      <w:pPr>
        <w:pStyle w:val="Para1"/>
        <w:numPr>
          <w:ilvl w:val="0"/>
          <w:numId w:val="0"/>
        </w:numPr>
        <w:suppressLineNumbers/>
        <w:tabs>
          <w:tab w:val="left" w:pos="720"/>
        </w:tabs>
        <w:suppressAutoHyphens/>
        <w:kinsoku w:val="0"/>
        <w:adjustRightInd w:val="0"/>
        <w:ind w:firstLine="720"/>
      </w:pPr>
      <w:r w:rsidRPr="00760D30">
        <w:rPr>
          <w:i/>
          <w:iCs/>
        </w:rPr>
        <w:t xml:space="preserve">Taking note </w:t>
      </w:r>
      <w:r>
        <w:rPr>
          <w:i/>
          <w:iCs/>
        </w:rPr>
        <w:t xml:space="preserve">also </w:t>
      </w:r>
      <w:r w:rsidRPr="00713974">
        <w:t>of</w:t>
      </w:r>
      <w:r w:rsidRPr="00760D30">
        <w:rPr>
          <w:i/>
          <w:iCs/>
        </w:rPr>
        <w:t xml:space="preserve"> </w:t>
      </w:r>
      <w:r w:rsidRPr="00760D30">
        <w:t>the</w:t>
      </w:r>
      <w:r>
        <w:t xml:space="preserve"> summary of the</w:t>
      </w:r>
      <w:r w:rsidRPr="00760D30">
        <w:t xml:space="preserve"> United Nations Summit on Biodiversity held on 30 September 2020,</w:t>
      </w:r>
      <w:r w:rsidRPr="00610646">
        <w:rPr>
          <w:rStyle w:val="FootnoteReference"/>
        </w:rPr>
        <w:footnoteReference w:id="62"/>
      </w:r>
    </w:p>
    <w:p w14:paraId="623DDF4F" w14:textId="77777777" w:rsidR="008C379F" w:rsidRPr="00177D2A" w:rsidRDefault="008C379F" w:rsidP="00A30041">
      <w:pPr>
        <w:pStyle w:val="Para1"/>
        <w:numPr>
          <w:ilvl w:val="0"/>
          <w:numId w:val="0"/>
        </w:numPr>
        <w:suppressLineNumbers/>
        <w:tabs>
          <w:tab w:val="left" w:pos="720"/>
        </w:tabs>
        <w:suppressAutoHyphens/>
        <w:kinsoku w:val="0"/>
        <w:adjustRightInd w:val="0"/>
        <w:ind w:firstLine="720"/>
      </w:pPr>
      <w:r w:rsidRPr="00760D30">
        <w:rPr>
          <w:i/>
        </w:rPr>
        <w:t>Welcoming</w:t>
      </w:r>
      <w:r w:rsidRPr="00760D30">
        <w:t xml:space="preserve"> partnerships and commitments among organizations</w:t>
      </w:r>
      <w:r>
        <w:t xml:space="preserve"> to support capacity-building and </w:t>
      </w:r>
      <w:r w:rsidRPr="00177D2A">
        <w:t xml:space="preserve">development, and technical and scientific cooperation for the implementation of the Convention, </w:t>
      </w:r>
    </w:p>
    <w:p w14:paraId="7AACC990" w14:textId="77777777" w:rsidR="008C379F" w:rsidRPr="004D32B6" w:rsidRDefault="008C379F" w:rsidP="00A30041">
      <w:pPr>
        <w:pStyle w:val="Para1"/>
        <w:numPr>
          <w:ilvl w:val="0"/>
          <w:numId w:val="0"/>
        </w:numPr>
        <w:suppressLineNumbers/>
        <w:tabs>
          <w:tab w:val="left" w:pos="720"/>
        </w:tabs>
        <w:suppressAutoHyphens/>
        <w:kinsoku w:val="0"/>
        <w:adjustRightInd w:val="0"/>
        <w:ind w:firstLine="720"/>
      </w:pPr>
      <w:r w:rsidRPr="00177D2A">
        <w:rPr>
          <w:i/>
          <w:iCs/>
        </w:rPr>
        <w:t>Acknowledging</w:t>
      </w:r>
      <w:r w:rsidRPr="00177D2A">
        <w:t xml:space="preserve"> the importance of increasing the provision and mobilization of resources from all  sources for the effective implementation of the Kunming-Montreal Global Biodiversity Framework, including its monitoring framework, particularly for capacity</w:t>
      </w:r>
      <w:r w:rsidRPr="00177D2A">
        <w:noBreakHyphen/>
        <w:t xml:space="preserve">building and development, and technical and scientific cooperation for all Parties, in particular developing country Parties, </w:t>
      </w:r>
    </w:p>
    <w:p w14:paraId="51BDA0C8" w14:textId="77777777" w:rsidR="008C379F" w:rsidRDefault="008C379F" w:rsidP="00A30041">
      <w:pPr>
        <w:pStyle w:val="Para1"/>
        <w:numPr>
          <w:ilvl w:val="0"/>
          <w:numId w:val="0"/>
        </w:numPr>
        <w:suppressLineNumbers/>
        <w:tabs>
          <w:tab w:val="left" w:pos="720"/>
        </w:tabs>
        <w:suppressAutoHyphens/>
        <w:kinsoku w:val="0"/>
        <w:adjustRightInd w:val="0"/>
        <w:ind w:firstLine="720"/>
      </w:pPr>
      <w:r w:rsidRPr="004D32B6">
        <w:rPr>
          <w:i/>
          <w:iCs/>
        </w:rPr>
        <w:t>Recalling</w:t>
      </w:r>
      <w:r w:rsidRPr="00177D2A">
        <w:t xml:space="preserve"> Articles 20 and 21 of the Convention </w:t>
      </w:r>
      <w:r w:rsidRPr="004D32B6">
        <w:t>and</w:t>
      </w:r>
      <w:r w:rsidRPr="00177D2A">
        <w:t xml:space="preserve"> taking into account decision</w:t>
      </w:r>
      <w:r>
        <w:t>s</w:t>
      </w:r>
      <w:r w:rsidRPr="00177D2A">
        <w:t xml:space="preserve"> 15/7 on resource mobilization and 15/15 on the financial mechanism,</w:t>
      </w:r>
    </w:p>
    <w:p w14:paraId="72CE0214" w14:textId="77777777" w:rsidR="008C379F" w:rsidRPr="00117EEC" w:rsidRDefault="008C379F" w:rsidP="00A30041">
      <w:pPr>
        <w:pStyle w:val="Para1"/>
        <w:numPr>
          <w:ilvl w:val="0"/>
          <w:numId w:val="0"/>
        </w:numPr>
        <w:suppressLineNumbers/>
        <w:tabs>
          <w:tab w:val="left" w:pos="720"/>
        </w:tabs>
        <w:suppressAutoHyphens/>
        <w:kinsoku w:val="0"/>
        <w:adjustRightInd w:val="0"/>
        <w:ind w:firstLine="720"/>
        <w:rPr>
          <w:i/>
          <w:iCs/>
        </w:rPr>
      </w:pPr>
      <w:r w:rsidRPr="00117EEC">
        <w:rPr>
          <w:i/>
          <w:iCs/>
        </w:rPr>
        <w:t xml:space="preserve">Recalling </w:t>
      </w:r>
      <w:r w:rsidRPr="00117EEC">
        <w:t>decisions 14/24 B, XIII/23, XIII/31, XII/2 B, X/16, IX/14, VIII/12 and VII/29 regarding technical and scientific cooperation and technology transfer,</w:t>
      </w:r>
    </w:p>
    <w:p w14:paraId="6432A8E8" w14:textId="77777777" w:rsidR="008C379F" w:rsidRPr="00117EEC" w:rsidRDefault="008C379F" w:rsidP="00A30041">
      <w:pPr>
        <w:pStyle w:val="Para1"/>
        <w:numPr>
          <w:ilvl w:val="0"/>
          <w:numId w:val="0"/>
        </w:numPr>
        <w:suppressLineNumbers/>
        <w:tabs>
          <w:tab w:val="left" w:pos="720"/>
        </w:tabs>
        <w:suppressAutoHyphens/>
        <w:kinsoku w:val="0"/>
        <w:adjustRightInd w:val="0"/>
        <w:ind w:firstLine="720"/>
      </w:pPr>
      <w:r w:rsidRPr="00117EEC">
        <w:rPr>
          <w:i/>
          <w:iCs/>
        </w:rPr>
        <w:lastRenderedPageBreak/>
        <w:t xml:space="preserve">Reaffirming </w:t>
      </w:r>
      <w:r w:rsidRPr="00117EEC">
        <w:t xml:space="preserve">that technical and scientific cooperation is essential to the effective implementation of the </w:t>
      </w:r>
      <w:r>
        <w:t>Kunming-Montreal G</w:t>
      </w:r>
      <w:r w:rsidRPr="00117EEC">
        <w:t xml:space="preserve">lobal </w:t>
      </w:r>
      <w:r>
        <w:t>B</w:t>
      </w:r>
      <w:r w:rsidRPr="00117EEC">
        <w:t xml:space="preserve">iodiversity </w:t>
      </w:r>
      <w:r>
        <w:t>F</w:t>
      </w:r>
      <w:r w:rsidRPr="00117EEC">
        <w:t>ramework,</w:t>
      </w:r>
    </w:p>
    <w:p w14:paraId="0686BF00" w14:textId="77777777" w:rsidR="008C379F" w:rsidRDefault="008C379F" w:rsidP="00A30041">
      <w:pPr>
        <w:pStyle w:val="Para1"/>
        <w:numPr>
          <w:ilvl w:val="0"/>
          <w:numId w:val="0"/>
        </w:numPr>
        <w:suppressLineNumbers/>
        <w:suppressAutoHyphens/>
        <w:kinsoku w:val="0"/>
        <w:adjustRightInd w:val="0"/>
        <w:ind w:firstLine="720"/>
      </w:pPr>
      <w:r w:rsidRPr="00117EEC">
        <w:rPr>
          <w:i/>
          <w:iCs/>
        </w:rPr>
        <w:t>Acknowledging</w:t>
      </w:r>
      <w:r w:rsidRPr="00117EEC">
        <w:t xml:space="preserve"> the close interlinkages between technical and scientific cooperation and the other means of </w:t>
      </w:r>
      <w:r w:rsidRPr="00D6089F">
        <w:t>implementation and the</w:t>
      </w:r>
      <w:r w:rsidRPr="00117EEC">
        <w:t xml:space="preserve"> need for Parties to consider them as a package and not in isolation</w:t>
      </w:r>
      <w:r>
        <w:t>,</w:t>
      </w:r>
    </w:p>
    <w:p w14:paraId="7A5A19FE" w14:textId="77777777" w:rsidR="008C379F" w:rsidRPr="00117EEC" w:rsidRDefault="008C379F" w:rsidP="00A30041">
      <w:pPr>
        <w:pStyle w:val="Para1"/>
        <w:numPr>
          <w:ilvl w:val="0"/>
          <w:numId w:val="0"/>
        </w:numPr>
        <w:suppressLineNumbers/>
        <w:suppressAutoHyphens/>
        <w:kinsoku w:val="0"/>
        <w:adjustRightInd w:val="0"/>
        <w:ind w:firstLine="720"/>
      </w:pPr>
      <w:r w:rsidRPr="00117EEC">
        <w:rPr>
          <w:i/>
          <w:iCs/>
        </w:rPr>
        <w:t xml:space="preserve">Taking note </w:t>
      </w:r>
      <w:r w:rsidRPr="00713974">
        <w:t>of</w:t>
      </w:r>
      <w:r w:rsidRPr="00117EEC">
        <w:rPr>
          <w:i/>
          <w:iCs/>
        </w:rPr>
        <w:t xml:space="preserve"> </w:t>
      </w:r>
      <w:r w:rsidRPr="00117EEC">
        <w:t>the progress report on technical and scientific cooperation, including the achievements made under the Bio-Bridge Initiative presented in document CBD/</w:t>
      </w:r>
      <w:r>
        <w:t>COP/15/INF/8</w:t>
      </w:r>
      <w:r w:rsidRPr="00117EEC">
        <w:t>,</w:t>
      </w:r>
    </w:p>
    <w:p w14:paraId="6DA431E9" w14:textId="77777777" w:rsidR="008C379F" w:rsidRDefault="008C379F" w:rsidP="00A30041">
      <w:pPr>
        <w:pStyle w:val="Para1"/>
        <w:numPr>
          <w:ilvl w:val="0"/>
          <w:numId w:val="0"/>
        </w:numPr>
        <w:suppressLineNumbers/>
        <w:suppressAutoHyphens/>
        <w:kinsoku w:val="0"/>
        <w:adjustRightInd w:val="0"/>
        <w:ind w:firstLine="720"/>
      </w:pPr>
      <w:bookmarkStart w:id="67" w:name="_Hlk98580676"/>
      <w:r w:rsidRPr="00A435C9">
        <w:rPr>
          <w:i/>
          <w:iCs/>
        </w:rPr>
        <w:t>Taking note</w:t>
      </w:r>
      <w:r>
        <w:rPr>
          <w:i/>
          <w:iCs/>
        </w:rPr>
        <w:t xml:space="preserve"> also</w:t>
      </w:r>
      <w:r w:rsidRPr="00D91078">
        <w:t xml:space="preserve"> of the results of the review </w:t>
      </w:r>
      <w:r w:rsidRPr="0078346D">
        <w:t xml:space="preserve">of technical and scientific cooperation programmes contained in document </w:t>
      </w:r>
      <w:r w:rsidRPr="009F35B1">
        <w:t>CBD/COP/15/</w:t>
      </w:r>
      <w:r>
        <w:t>12,</w:t>
      </w:r>
      <w:r w:rsidRPr="00610646">
        <w:rPr>
          <w:rStyle w:val="FootnoteReference"/>
        </w:rPr>
        <w:footnoteReference w:id="63"/>
      </w:r>
      <w:bookmarkEnd w:id="67"/>
    </w:p>
    <w:p w14:paraId="4F1BB599" w14:textId="77777777" w:rsidR="008C379F" w:rsidRDefault="008C379F" w:rsidP="00A30041">
      <w:pPr>
        <w:pStyle w:val="Para1"/>
        <w:numPr>
          <w:ilvl w:val="0"/>
          <w:numId w:val="0"/>
        </w:numPr>
        <w:suppressLineNumbers/>
        <w:suppressAutoHyphens/>
        <w:kinsoku w:val="0"/>
        <w:adjustRightInd w:val="0"/>
        <w:ind w:firstLine="720"/>
      </w:pPr>
      <w:r w:rsidRPr="007C69DA">
        <w:rPr>
          <w:i/>
          <w:iCs/>
        </w:rPr>
        <w:t>Recalling</w:t>
      </w:r>
      <w:r w:rsidRPr="007C69DA">
        <w:t xml:space="preserve"> decision 14/20 and noting decision 15/</w:t>
      </w:r>
      <w:r>
        <w:t>9</w:t>
      </w:r>
      <w:r w:rsidRPr="007C69DA">
        <w:t>,</w:t>
      </w:r>
      <w:r w:rsidRPr="00610646">
        <w:rPr>
          <w:rStyle w:val="FootnoteReference"/>
        </w:rPr>
        <w:footnoteReference w:id="64"/>
      </w:r>
      <w:r>
        <w:t xml:space="preserve"> and</w:t>
      </w:r>
      <w:r w:rsidRPr="00037993">
        <w:t xml:space="preserve"> further </w:t>
      </w:r>
      <w:r w:rsidRPr="00981752">
        <w:t>recognizing</w:t>
      </w:r>
      <w:r w:rsidRPr="00037993">
        <w:t xml:space="preserve"> the need to support access to, and generation, analysis and use of</w:t>
      </w:r>
      <w:r>
        <w:t>,</w:t>
      </w:r>
      <w:r w:rsidRPr="00037993">
        <w:t xml:space="preserve"> digital sequence information on genetic resources through capacity-building and development, technical and scientific cooperation and technology transfer</w:t>
      </w:r>
      <w:r>
        <w:t>,</w:t>
      </w:r>
    </w:p>
    <w:p w14:paraId="75129575" w14:textId="77777777" w:rsidR="008C379F" w:rsidRDefault="008C379F" w:rsidP="00A30041">
      <w:pPr>
        <w:pStyle w:val="Para1"/>
        <w:numPr>
          <w:ilvl w:val="0"/>
          <w:numId w:val="0"/>
        </w:numPr>
        <w:suppressLineNumbers/>
        <w:suppressAutoHyphens/>
        <w:kinsoku w:val="0"/>
        <w:adjustRightInd w:val="0"/>
        <w:ind w:firstLine="720"/>
      </w:pPr>
      <w:r w:rsidRPr="00541EA7">
        <w:rPr>
          <w:i/>
          <w:iCs/>
        </w:rPr>
        <w:t>Affirming</w:t>
      </w:r>
      <w:r>
        <w:t xml:space="preserve"> the need to align all capacity-building and development, technical and scientific </w:t>
      </w:r>
      <w:r w:rsidRPr="006D56B0">
        <w:t>cooperation and technology transfer activities with the Kunming-Montreal Global Biodiversity Framework and related decisions and strategies,</w:t>
      </w:r>
    </w:p>
    <w:p w14:paraId="64FC9267" w14:textId="77777777" w:rsidR="008C379F" w:rsidRPr="00713974" w:rsidDel="004779A3" w:rsidRDefault="008C379F" w:rsidP="00AC7311">
      <w:pPr>
        <w:pStyle w:val="Para1"/>
        <w:keepNext/>
        <w:numPr>
          <w:ilvl w:val="0"/>
          <w:numId w:val="0"/>
        </w:numPr>
        <w:suppressLineNumbers/>
        <w:suppressAutoHyphens/>
        <w:kinsoku w:val="0"/>
        <w:adjustRightInd w:val="0"/>
        <w:jc w:val="center"/>
        <w:rPr>
          <w:b/>
        </w:rPr>
      </w:pPr>
      <w:r w:rsidRPr="00713974">
        <w:rPr>
          <w:b/>
          <w:bCs/>
        </w:rPr>
        <w:t>A.</w:t>
      </w:r>
      <w:r w:rsidRPr="00713974">
        <w:rPr>
          <w:b/>
          <w:bCs/>
        </w:rPr>
        <w:tab/>
        <w:t>Capacity-building and development</w:t>
      </w:r>
    </w:p>
    <w:p w14:paraId="48895EA5" w14:textId="77777777" w:rsidR="008C379F" w:rsidRPr="00D71EDE" w:rsidRDefault="008C379F" w:rsidP="00A30041">
      <w:pPr>
        <w:pStyle w:val="Para1"/>
        <w:numPr>
          <w:ilvl w:val="0"/>
          <w:numId w:val="0"/>
        </w:numPr>
        <w:suppressLineNumbers/>
        <w:suppressAutoHyphens/>
        <w:kinsoku w:val="0"/>
        <w:adjustRightInd w:val="0"/>
        <w:ind w:firstLine="720"/>
        <w:rPr>
          <w:rFonts w:eastAsiaTheme="minorEastAsia"/>
        </w:rPr>
      </w:pPr>
      <w:r w:rsidRPr="004E35D7">
        <w:t>1.</w:t>
      </w:r>
      <w:r w:rsidRPr="004E35D7">
        <w:tab/>
      </w:r>
      <w:r w:rsidRPr="004E35D7">
        <w:rPr>
          <w:i/>
          <w:iCs/>
        </w:rPr>
        <w:t>Adopts</w:t>
      </w:r>
      <w:r>
        <w:rPr>
          <w:i/>
          <w:iCs/>
        </w:rPr>
        <w:t xml:space="preserve"> </w:t>
      </w:r>
      <w:r w:rsidRPr="004E35D7">
        <w:t>the long-term strategic framework for capacity</w:t>
      </w:r>
      <w:r w:rsidRPr="004E35D7">
        <w:noBreakHyphen/>
        <w:t xml:space="preserve">building and development </w:t>
      </w:r>
      <w:r w:rsidRPr="004E35D7">
        <w:rPr>
          <w:lang w:eastAsia="ko-KR"/>
        </w:rPr>
        <w:t xml:space="preserve">to </w:t>
      </w:r>
      <w:r>
        <w:rPr>
          <w:lang w:eastAsia="ko-KR"/>
        </w:rPr>
        <w:t xml:space="preserve">support </w:t>
      </w:r>
      <w:r w:rsidRPr="00117EEC">
        <w:t>priorities determined by Parties</w:t>
      </w:r>
      <w:r>
        <w:t xml:space="preserve"> </w:t>
      </w:r>
      <w:r w:rsidRPr="00117EEC">
        <w:t>in their national biodiversity strategies and action plans</w:t>
      </w:r>
      <w:r>
        <w:t xml:space="preserve"> </w:t>
      </w:r>
      <w:r w:rsidRPr="004E35D7">
        <w:t xml:space="preserve">for the implementation of the </w:t>
      </w:r>
      <w:r>
        <w:t>Kunming-Montreal G</w:t>
      </w:r>
      <w:r w:rsidRPr="004E35D7">
        <w:t xml:space="preserve">lobal </w:t>
      </w:r>
      <w:r>
        <w:t>B</w:t>
      </w:r>
      <w:r w:rsidRPr="004E35D7">
        <w:t xml:space="preserve">iodiversity </w:t>
      </w:r>
      <w:r>
        <w:t>F</w:t>
      </w:r>
      <w:r w:rsidRPr="004E35D7">
        <w:t>ramework, contained in annex I to the present decision;</w:t>
      </w:r>
      <w:r w:rsidRPr="00610646">
        <w:rPr>
          <w:rStyle w:val="FootnoteReference"/>
        </w:rPr>
        <w:footnoteReference w:id="65"/>
      </w:r>
    </w:p>
    <w:p w14:paraId="5900C8FD" w14:textId="77777777" w:rsidR="008C379F" w:rsidRPr="00541EA7" w:rsidRDefault="008C379F" w:rsidP="0030167D">
      <w:pPr>
        <w:pStyle w:val="Para1"/>
        <w:numPr>
          <w:ilvl w:val="0"/>
          <w:numId w:val="0"/>
        </w:numPr>
        <w:suppressLineNumbers/>
        <w:suppressAutoHyphens/>
        <w:kinsoku w:val="0"/>
        <w:adjustRightInd w:val="0"/>
        <w:ind w:firstLine="720"/>
      </w:pPr>
      <w:r w:rsidRPr="00064579">
        <w:t>2.</w:t>
      </w:r>
      <w:r w:rsidRPr="00064579">
        <w:tab/>
      </w:r>
      <w:r w:rsidRPr="007D51B9">
        <w:rPr>
          <w:i/>
          <w:iCs/>
        </w:rPr>
        <w:t xml:space="preserve">Takes note </w:t>
      </w:r>
      <w:r w:rsidRPr="00C07F07">
        <w:t>of</w:t>
      </w:r>
      <w:r>
        <w:t xml:space="preserve"> </w:t>
      </w:r>
      <w:r w:rsidRPr="004E35D7">
        <w:t xml:space="preserve">the </w:t>
      </w:r>
      <w:r>
        <w:t>C</w:t>
      </w:r>
      <w:r w:rsidRPr="004E35D7">
        <w:t xml:space="preserve">apacity-building </w:t>
      </w:r>
      <w:r>
        <w:t>A</w:t>
      </w:r>
      <w:r w:rsidRPr="004E35D7">
        <w:t xml:space="preserve">ction </w:t>
      </w:r>
      <w:r>
        <w:t>P</w:t>
      </w:r>
      <w:r w:rsidRPr="004E35D7">
        <w:t xml:space="preserve">lan for the Cartagena Protocol on </w:t>
      </w:r>
      <w:r w:rsidRPr="00DD2054">
        <w:t>Biosafety,</w:t>
      </w:r>
      <w:r w:rsidRPr="00610646">
        <w:rPr>
          <w:rStyle w:val="FootnoteReference"/>
        </w:rPr>
        <w:footnoteReference w:id="66"/>
      </w:r>
      <w:r w:rsidRPr="004E35D7">
        <w:t xml:space="preserve"> which has been developed to be complementary to the long-ter</w:t>
      </w:r>
      <w:r w:rsidRPr="00D71EDE">
        <w:t>m strategic framework referred to in paragraph</w:t>
      </w:r>
      <w:r>
        <w:t> </w:t>
      </w:r>
      <w:r w:rsidRPr="00D71EDE">
        <w:t>1 above;</w:t>
      </w:r>
    </w:p>
    <w:p w14:paraId="0E2B8514" w14:textId="77777777" w:rsidR="008C379F" w:rsidRPr="004E35D7" w:rsidRDefault="008C379F" w:rsidP="00A30041">
      <w:pPr>
        <w:pStyle w:val="Para1"/>
        <w:numPr>
          <w:ilvl w:val="0"/>
          <w:numId w:val="0"/>
        </w:numPr>
        <w:suppressLineNumbers/>
        <w:suppressAutoHyphens/>
        <w:kinsoku w:val="0"/>
        <w:adjustRightInd w:val="0"/>
        <w:ind w:firstLine="720"/>
        <w:rPr>
          <w:rFonts w:eastAsiaTheme="minorEastAsia"/>
        </w:rPr>
      </w:pPr>
      <w:r w:rsidRPr="004E35D7">
        <w:t>3.</w:t>
      </w:r>
      <w:r w:rsidRPr="004E35D7">
        <w:tab/>
      </w:r>
      <w:r>
        <w:rPr>
          <w:rFonts w:eastAsiaTheme="minorEastAsia"/>
          <w:i/>
          <w:iCs/>
        </w:rPr>
        <w:t>Also t</w:t>
      </w:r>
      <w:r w:rsidRPr="004E35D7">
        <w:rPr>
          <w:rFonts w:eastAsiaTheme="minorEastAsia"/>
          <w:i/>
          <w:iCs/>
        </w:rPr>
        <w:t>akes note</w:t>
      </w:r>
      <w:r w:rsidRPr="004E35D7">
        <w:rPr>
          <w:rFonts w:eastAsiaTheme="minorEastAsia"/>
        </w:rPr>
        <w:t xml:space="preserve"> of the findings and recommendations of the evaluation of the </w:t>
      </w:r>
      <w:r w:rsidRPr="00660855">
        <w:rPr>
          <w:rFonts w:eastAsiaTheme="minorEastAsia"/>
        </w:rPr>
        <w:t>strategic framework for capacity-building and development to support the effective implementation of the Nagoya Protocol</w:t>
      </w:r>
      <w:r w:rsidRPr="004E35D7">
        <w:rPr>
          <w:rFonts w:eastAsiaTheme="minorEastAsia"/>
        </w:rPr>
        <w:t>,</w:t>
      </w:r>
      <w:r w:rsidRPr="00610646">
        <w:rPr>
          <w:rStyle w:val="FootnoteReference"/>
          <w:rFonts w:eastAsiaTheme="minorEastAsia"/>
        </w:rPr>
        <w:footnoteReference w:id="67"/>
      </w:r>
      <w:r w:rsidRPr="004E35D7">
        <w:rPr>
          <w:rFonts w:eastAsiaTheme="minorEastAsia"/>
        </w:rPr>
        <w:t xml:space="preserve"> </w:t>
      </w:r>
      <w:r w:rsidRPr="00D71EDE">
        <w:rPr>
          <w:rFonts w:eastAsiaTheme="minorEastAsia"/>
        </w:rPr>
        <w:t xml:space="preserve">and </w:t>
      </w:r>
      <w:r w:rsidRPr="004D32B6">
        <w:rPr>
          <w:rFonts w:eastAsiaTheme="minorEastAsia"/>
        </w:rPr>
        <w:t>welcomes</w:t>
      </w:r>
      <w:r w:rsidRPr="00BB532D">
        <w:rPr>
          <w:rFonts w:eastAsiaTheme="minorEastAsia"/>
        </w:rPr>
        <w:t xml:space="preserve"> decision </w:t>
      </w:r>
      <w:r w:rsidRPr="00660855">
        <w:rPr>
          <w:rFonts w:eastAsiaTheme="minorEastAsia"/>
        </w:rPr>
        <w:t>NP-4/7 requesting</w:t>
      </w:r>
      <w:r w:rsidRPr="004E35D7">
        <w:rPr>
          <w:rFonts w:eastAsiaTheme="minorEastAsia"/>
        </w:rPr>
        <w:t xml:space="preserve"> the Executive Secretary to </w:t>
      </w:r>
      <w:r w:rsidRPr="00A53AD5">
        <w:rPr>
          <w:rFonts w:eastAsiaTheme="minorEastAsia"/>
        </w:rPr>
        <w:t xml:space="preserve">prepare a revised version in line with the </w:t>
      </w:r>
      <w:r w:rsidRPr="00A53AD5">
        <w:t>long</w:t>
      </w:r>
      <w:r w:rsidRPr="00A53AD5">
        <w:noBreakHyphen/>
        <w:t>term strategic framework referred to in paragraph 1 above;</w:t>
      </w:r>
    </w:p>
    <w:p w14:paraId="369D0AB6" w14:textId="77777777" w:rsidR="008C379F" w:rsidRPr="004E35D7" w:rsidRDefault="008C379F" w:rsidP="00A30041">
      <w:pPr>
        <w:pStyle w:val="Para1"/>
        <w:numPr>
          <w:ilvl w:val="0"/>
          <w:numId w:val="0"/>
        </w:numPr>
        <w:suppressLineNumbers/>
        <w:suppressAutoHyphens/>
        <w:kinsoku w:val="0"/>
        <w:adjustRightInd w:val="0"/>
        <w:ind w:firstLine="720"/>
      </w:pPr>
      <w:r w:rsidRPr="004E35D7">
        <w:t>4.</w:t>
      </w:r>
      <w:r w:rsidRPr="004E35D7">
        <w:tab/>
      </w:r>
      <w:r w:rsidRPr="004E35D7">
        <w:rPr>
          <w:i/>
          <w:iCs/>
        </w:rPr>
        <w:t>Urges</w:t>
      </w:r>
      <w:r w:rsidRPr="004E35D7">
        <w:t xml:space="preserve"> Parties and </w:t>
      </w:r>
      <w:r w:rsidRPr="004D32B6">
        <w:t>invites</w:t>
      </w:r>
      <w:r w:rsidRPr="004E35D7">
        <w:t xml:space="preserve"> other Governments, indigenous peoples and local communities, women and youth, the capacity</w:t>
      </w:r>
      <w:r w:rsidRPr="004E35D7">
        <w:noBreakHyphen/>
        <w:t>building task force of the Intergovernmental Science-Policy Platform on Biodiversity and Ecosystem Services, relevant organizations</w:t>
      </w:r>
      <w:r>
        <w:t>,</w:t>
      </w:r>
      <w:r w:rsidRPr="004E35D7">
        <w:t xml:space="preserve"> and other stakeholders to use the long-term strategic framework for capacity</w:t>
      </w:r>
      <w:r w:rsidRPr="004E35D7">
        <w:noBreakHyphen/>
        <w:t>building and developmen</w:t>
      </w:r>
      <w:r w:rsidRPr="00017764">
        <w:t>t</w:t>
      </w:r>
      <w:r>
        <w:t xml:space="preserve"> referred to in paragraph 1 above</w:t>
      </w:r>
      <w:r w:rsidRPr="004E35D7">
        <w:t xml:space="preserve"> as a flexible framework in the design, implementation, monitoring and evaluation of their capacity</w:t>
      </w:r>
      <w:r w:rsidRPr="004E35D7">
        <w:noBreakHyphen/>
        <w:t xml:space="preserve">building and development initiatives and programmes supporting the achievement of the vision, mission, goals and targets of the </w:t>
      </w:r>
      <w:r>
        <w:t>Kunming-Montreal G</w:t>
      </w:r>
      <w:r w:rsidRPr="004E35D7">
        <w:t xml:space="preserve">lobal </w:t>
      </w:r>
      <w:r>
        <w:t>B</w:t>
      </w:r>
      <w:r w:rsidRPr="004E35D7">
        <w:t xml:space="preserve">iodiversity </w:t>
      </w:r>
      <w:r>
        <w:t>F</w:t>
      </w:r>
      <w:r w:rsidRPr="004E35D7">
        <w:t>ramework;</w:t>
      </w:r>
    </w:p>
    <w:p w14:paraId="41B0B5AB" w14:textId="77777777" w:rsidR="008C379F" w:rsidRDefault="008C379F" w:rsidP="00A30041">
      <w:pPr>
        <w:pStyle w:val="Para1"/>
        <w:numPr>
          <w:ilvl w:val="0"/>
          <w:numId w:val="0"/>
        </w:numPr>
        <w:suppressLineNumbers/>
        <w:suppressAutoHyphens/>
        <w:kinsoku w:val="0"/>
        <w:adjustRightInd w:val="0"/>
        <w:ind w:firstLine="720"/>
      </w:pPr>
      <w:r w:rsidRPr="004E35D7">
        <w:t>5.</w:t>
      </w:r>
      <w:r w:rsidRPr="004E35D7">
        <w:tab/>
      </w:r>
      <w:r>
        <w:rPr>
          <w:i/>
          <w:iCs/>
        </w:rPr>
        <w:t>Also u</w:t>
      </w:r>
      <w:r w:rsidRPr="004E35D7">
        <w:rPr>
          <w:i/>
          <w:iCs/>
        </w:rPr>
        <w:t xml:space="preserve">rges </w:t>
      </w:r>
      <w:r w:rsidRPr="004E35D7">
        <w:t xml:space="preserve">Parties and </w:t>
      </w:r>
      <w:r w:rsidRPr="004D32B6">
        <w:t>invites</w:t>
      </w:r>
      <w:r>
        <w:t xml:space="preserve"> other</w:t>
      </w:r>
      <w:r w:rsidRPr="004E35D7">
        <w:t xml:space="preserve"> Governments to put in place enabling environments</w:t>
      </w:r>
      <w:r>
        <w:t xml:space="preserve"> </w:t>
      </w:r>
      <w:r w:rsidRPr="004E35D7">
        <w:t xml:space="preserve">including relevant policies, legislation and </w:t>
      </w:r>
      <w:r>
        <w:t xml:space="preserve">administrative measures, as appropriate, to promote and facilitate capacity-building and development at various levels, in partnership with relevant stakeholders, including </w:t>
      </w:r>
      <w:r w:rsidRPr="004E35D7">
        <w:t xml:space="preserve">indigenous peoples and local </w:t>
      </w:r>
      <w:r w:rsidRPr="002C2E00">
        <w:t>communities, and women</w:t>
      </w:r>
      <w:r w:rsidRPr="00A231AA">
        <w:t xml:space="preserve"> and</w:t>
      </w:r>
      <w:r w:rsidRPr="004E35D7">
        <w:t xml:space="preserve"> youth organizations</w:t>
      </w:r>
      <w:r>
        <w:t>;</w:t>
      </w:r>
    </w:p>
    <w:p w14:paraId="33363AE3" w14:textId="77777777" w:rsidR="008C379F" w:rsidRDefault="008C379F" w:rsidP="009E4A86">
      <w:pPr>
        <w:pStyle w:val="Para1"/>
        <w:numPr>
          <w:ilvl w:val="0"/>
          <w:numId w:val="0"/>
        </w:numPr>
        <w:suppressLineNumbers/>
        <w:suppressAutoHyphens/>
        <w:kinsoku w:val="0"/>
        <w:adjustRightInd w:val="0"/>
        <w:ind w:firstLine="720"/>
      </w:pPr>
      <w:r w:rsidRPr="00A53AD5">
        <w:t>6.</w:t>
      </w:r>
      <w:r w:rsidRPr="00A53AD5">
        <w:tab/>
      </w:r>
      <w:r w:rsidRPr="00A53AD5">
        <w:rPr>
          <w:i/>
          <w:iCs/>
        </w:rPr>
        <w:t>Urges</w:t>
      </w:r>
      <w:r w:rsidRPr="00A53AD5">
        <w:t xml:space="preserve"> Parties, in accordance with Articles 20 and 21, and </w:t>
      </w:r>
      <w:r w:rsidRPr="004D32B6">
        <w:t>invites</w:t>
      </w:r>
      <w:r w:rsidRPr="00A53AD5">
        <w:t xml:space="preserve"> other Governments and relevant organizations to provide financial and technical support to biodiversity capacity-building and development activities, taking into consideration the specific situations of developing country Parties, in </w:t>
      </w:r>
      <w:r w:rsidRPr="00A53AD5">
        <w:lastRenderedPageBreak/>
        <w:t>particular those of the least developed countries and small island developing States among them, and countries with economies in transition, also taking into consideration the special situation of developing countries, including those that are most environmentally vulnerable, such as those with arid and semi-arid</w:t>
      </w:r>
      <w:r>
        <w:t xml:space="preserve"> zones, coastal and mountainous areas,</w:t>
      </w:r>
      <w:r w:rsidRPr="00215C49">
        <w:t xml:space="preserve"> </w:t>
      </w:r>
      <w:r>
        <w:t>in line with</w:t>
      </w:r>
      <w:r w:rsidRPr="00215C49">
        <w:t xml:space="preserve"> the priority needs identified in </w:t>
      </w:r>
      <w:r>
        <w:t>national biodiversity strategies and action plans</w:t>
      </w:r>
      <w:r w:rsidRPr="00215C49">
        <w:t xml:space="preserve"> and/or national capacity</w:t>
      </w:r>
      <w:r>
        <w:t>-</w:t>
      </w:r>
      <w:r w:rsidRPr="00215C49">
        <w:t xml:space="preserve">building and development strategies, as well as those identified by indigenous peoples and local communities, </w:t>
      </w:r>
      <w:r w:rsidRPr="002C2E00">
        <w:t>and women</w:t>
      </w:r>
      <w:r w:rsidRPr="00A231AA">
        <w:t xml:space="preserve"> and</w:t>
      </w:r>
      <w:r w:rsidRPr="00215C49">
        <w:t xml:space="preserve"> youth organizations</w:t>
      </w:r>
      <w:r>
        <w:t>;</w:t>
      </w:r>
    </w:p>
    <w:p w14:paraId="427DE12B" w14:textId="77777777" w:rsidR="008C379F" w:rsidRPr="00760D30" w:rsidRDefault="008C379F" w:rsidP="00A30041">
      <w:pPr>
        <w:pStyle w:val="Para1"/>
        <w:numPr>
          <w:ilvl w:val="0"/>
          <w:numId w:val="0"/>
        </w:numPr>
        <w:suppressLineNumbers/>
        <w:suppressAutoHyphens/>
        <w:kinsoku w:val="0"/>
        <w:adjustRightInd w:val="0"/>
        <w:ind w:firstLine="720"/>
        <w:rPr>
          <w:rFonts w:eastAsiaTheme="minorEastAsia"/>
        </w:rPr>
      </w:pPr>
      <w:r>
        <w:rPr>
          <w:rFonts w:eastAsiaTheme="minorEastAsia"/>
        </w:rPr>
        <w:t>7</w:t>
      </w:r>
      <w:r w:rsidRPr="004E35D7">
        <w:t>.</w:t>
      </w:r>
      <w:r w:rsidRPr="004E35D7">
        <w:tab/>
      </w:r>
      <w:r w:rsidRPr="00760D30">
        <w:rPr>
          <w:i/>
        </w:rPr>
        <w:t xml:space="preserve">Invites </w:t>
      </w:r>
      <w:r w:rsidRPr="00760D30">
        <w:t>biodiversity-related multilateral environmental agreements and processes</w:t>
      </w:r>
      <w:r w:rsidRPr="00760D30" w:rsidDel="00264E8D">
        <w:t xml:space="preserve"> </w:t>
      </w:r>
      <w:r w:rsidRPr="00760D30">
        <w:t xml:space="preserve">to consider the long-term strategic framework </w:t>
      </w:r>
      <w:r>
        <w:t xml:space="preserve">for capacity-building and development </w:t>
      </w:r>
      <w:r w:rsidRPr="00760D30">
        <w:t>when designing their capacity</w:t>
      </w:r>
      <w:r w:rsidRPr="00760D30">
        <w:noBreakHyphen/>
        <w:t>building and development strategies, action plans, work programmes and mechanisms, as appropriate, to foster synergies and avoid duplication;</w:t>
      </w:r>
    </w:p>
    <w:p w14:paraId="72340C21" w14:textId="77777777" w:rsidR="008C379F" w:rsidRPr="004E35D7" w:rsidRDefault="008C379F" w:rsidP="00A30041">
      <w:pPr>
        <w:pStyle w:val="Para1"/>
        <w:numPr>
          <w:ilvl w:val="0"/>
          <w:numId w:val="0"/>
        </w:numPr>
        <w:suppressLineNumbers/>
        <w:suppressAutoHyphens/>
        <w:kinsoku w:val="0"/>
        <w:adjustRightInd w:val="0"/>
        <w:ind w:firstLine="720"/>
      </w:pPr>
      <w:r>
        <w:t>8</w:t>
      </w:r>
      <w:r w:rsidRPr="004E35D7">
        <w:t>.</w:t>
      </w:r>
      <w:r w:rsidRPr="004E35D7">
        <w:tab/>
      </w:r>
      <w:r w:rsidRPr="004E35D7">
        <w:rPr>
          <w:i/>
          <w:iCs/>
        </w:rPr>
        <w:t>Invites</w:t>
      </w:r>
      <w:r w:rsidRPr="004E35D7">
        <w:t xml:space="preserve"> </w:t>
      </w:r>
      <w:r w:rsidRPr="00DD2054">
        <w:t>biodiversity-related conventions and</w:t>
      </w:r>
      <w:r w:rsidRPr="004E35D7">
        <w:t xml:space="preserve"> other multilateral environmental agreements to prepare, following the adoption of the </w:t>
      </w:r>
      <w:r>
        <w:t xml:space="preserve">Kunming-Montreal </w:t>
      </w:r>
      <w:r w:rsidRPr="004E35D7">
        <w:t>Global Biodiversity Framework, thematic capacity</w:t>
      </w:r>
      <w:r w:rsidRPr="004E35D7">
        <w:noBreakHyphen/>
        <w:t xml:space="preserve">building and development action plans for specific targets or groups of related targets, and to develop dedicated global, regional and subregional programmes to implement those thematic plans, in line with the long-term strategic framework and the </w:t>
      </w:r>
      <w:r>
        <w:t>G</w:t>
      </w:r>
      <w:r w:rsidRPr="004E35D7">
        <w:t xml:space="preserve">ender </w:t>
      </w:r>
      <w:r>
        <w:t>P</w:t>
      </w:r>
      <w:r w:rsidRPr="004E35D7">
        <w:t xml:space="preserve">lan of </w:t>
      </w:r>
      <w:r>
        <w:t>A</w:t>
      </w:r>
      <w:r w:rsidRPr="004E35D7">
        <w:t>ction</w:t>
      </w:r>
      <w:r>
        <w:t>,</w:t>
      </w:r>
      <w:r w:rsidRPr="00610646">
        <w:rPr>
          <w:rStyle w:val="FootnoteReference"/>
        </w:rPr>
        <w:footnoteReference w:id="68"/>
      </w:r>
      <w:r w:rsidRPr="004E35D7">
        <w:t xml:space="preserve"> as appropriate;</w:t>
      </w:r>
    </w:p>
    <w:p w14:paraId="51C24234" w14:textId="77777777" w:rsidR="008C379F" w:rsidRPr="004E35D7" w:rsidRDefault="008C379F" w:rsidP="00A30041">
      <w:pPr>
        <w:pStyle w:val="Para1"/>
        <w:numPr>
          <w:ilvl w:val="0"/>
          <w:numId w:val="0"/>
        </w:numPr>
        <w:suppressLineNumbers/>
        <w:suppressAutoHyphens/>
        <w:kinsoku w:val="0"/>
        <w:adjustRightInd w:val="0"/>
        <w:ind w:firstLine="720"/>
      </w:pPr>
      <w:r>
        <w:t>9</w:t>
      </w:r>
      <w:r w:rsidRPr="004E35D7">
        <w:t>.</w:t>
      </w:r>
      <w:r w:rsidRPr="004E35D7">
        <w:tab/>
      </w:r>
      <w:r w:rsidRPr="004E35D7">
        <w:rPr>
          <w:i/>
          <w:iCs/>
        </w:rPr>
        <w:t xml:space="preserve">Urges </w:t>
      </w:r>
      <w:r w:rsidRPr="004E35D7">
        <w:t xml:space="preserve">Parties and </w:t>
      </w:r>
      <w:r w:rsidRPr="004D32B6">
        <w:t>invites</w:t>
      </w:r>
      <w:r w:rsidRPr="004E35D7">
        <w:t xml:space="preserve"> other Governments to identify and prioritize capacity-building and development needs,</w:t>
      </w:r>
      <w:r>
        <w:t xml:space="preserve"> in partnership</w:t>
      </w:r>
      <w:r w:rsidRPr="004E35D7">
        <w:t xml:space="preserve"> with</w:t>
      </w:r>
      <w:r>
        <w:t xml:space="preserve"> </w:t>
      </w:r>
      <w:r w:rsidRPr="004E35D7">
        <w:t>indigenous peoples and local communities,</w:t>
      </w:r>
      <w:r>
        <w:t xml:space="preserve"> and</w:t>
      </w:r>
      <w:r w:rsidRPr="004E35D7">
        <w:t xml:space="preserve"> </w:t>
      </w:r>
      <w:r>
        <w:t xml:space="preserve">with the participation of </w:t>
      </w:r>
      <w:r w:rsidRPr="004E35D7">
        <w:t>women and youth</w:t>
      </w:r>
      <w:r w:rsidRPr="003B6F08">
        <w:t xml:space="preserve"> </w:t>
      </w:r>
      <w:r w:rsidRPr="006C4F57">
        <w:t>and</w:t>
      </w:r>
      <w:r>
        <w:t xml:space="preserve"> other</w:t>
      </w:r>
      <w:r w:rsidRPr="006C4F57">
        <w:t xml:space="preserve"> relevant stakeholders</w:t>
      </w:r>
      <w:r>
        <w:t>,</w:t>
      </w:r>
      <w:r w:rsidRPr="004E35D7">
        <w:t xml:space="preserve"> to integrate capacity-building and development components in their national biodiversity strategies and action plans while updating them in line with the </w:t>
      </w:r>
      <w:r>
        <w:t>Kunming-Montreal G</w:t>
      </w:r>
      <w:r w:rsidRPr="004E35D7">
        <w:t xml:space="preserve">lobal </w:t>
      </w:r>
      <w:r>
        <w:t>B</w:t>
      </w:r>
      <w:r w:rsidRPr="004E35D7">
        <w:t xml:space="preserve">iodiversity </w:t>
      </w:r>
      <w:r>
        <w:t>F</w:t>
      </w:r>
      <w:r w:rsidRPr="004E35D7">
        <w:t>ramework</w:t>
      </w:r>
      <w:r>
        <w:t>,</w:t>
      </w:r>
      <w:r w:rsidRPr="004E35D7">
        <w:t xml:space="preserve"> and/or develop dedicated biodiversity capacity</w:t>
      </w:r>
      <w:r w:rsidRPr="004E35D7">
        <w:noBreakHyphen/>
        <w:t>building and development action plans,</w:t>
      </w:r>
      <w:r>
        <w:t xml:space="preserve"> and programmes,</w:t>
      </w:r>
      <w:r w:rsidRPr="004E35D7">
        <w:t xml:space="preserve"> as appropriate</w:t>
      </w:r>
      <w:r>
        <w:t>;</w:t>
      </w:r>
    </w:p>
    <w:p w14:paraId="2472943E" w14:textId="77777777" w:rsidR="008C379F" w:rsidRPr="004E35D7" w:rsidRDefault="008C379F" w:rsidP="00A30041">
      <w:pPr>
        <w:pStyle w:val="Para1"/>
        <w:numPr>
          <w:ilvl w:val="0"/>
          <w:numId w:val="0"/>
        </w:numPr>
        <w:suppressLineNumbers/>
        <w:suppressAutoHyphens/>
        <w:kinsoku w:val="0"/>
        <w:adjustRightInd w:val="0"/>
        <w:ind w:firstLine="720"/>
      </w:pPr>
      <w:r>
        <w:t>10</w:t>
      </w:r>
      <w:r w:rsidRPr="004E35D7">
        <w:t>.</w:t>
      </w:r>
      <w:r w:rsidRPr="004E35D7">
        <w:tab/>
      </w:r>
      <w:r w:rsidRPr="004E35D7">
        <w:rPr>
          <w:i/>
          <w:iCs/>
        </w:rPr>
        <w:t>Urges</w:t>
      </w:r>
      <w:r w:rsidRPr="004E35D7">
        <w:t xml:space="preserve"> Parties and </w:t>
      </w:r>
      <w:r w:rsidRPr="004D32B6">
        <w:t>invites</w:t>
      </w:r>
      <w:r w:rsidRPr="004E35D7">
        <w:t xml:space="preserve"> other Governments to include biodiversity capacity-building and development, as appropriate, in relevant development cooperation frameworks, partnerships and programmes</w:t>
      </w:r>
      <w:r>
        <w:t>;</w:t>
      </w:r>
    </w:p>
    <w:p w14:paraId="5AADCFB6" w14:textId="77777777" w:rsidR="008C379F" w:rsidRPr="004E35D7" w:rsidRDefault="008C379F" w:rsidP="00A30041">
      <w:pPr>
        <w:pStyle w:val="Para1"/>
        <w:numPr>
          <w:ilvl w:val="0"/>
          <w:numId w:val="0"/>
        </w:numPr>
        <w:suppressLineNumbers/>
        <w:suppressAutoHyphens/>
        <w:kinsoku w:val="0"/>
        <w:adjustRightInd w:val="0"/>
        <w:ind w:firstLine="720"/>
      </w:pPr>
      <w:r>
        <w:t>11</w:t>
      </w:r>
      <w:r w:rsidRPr="004E35D7">
        <w:t>.</w:t>
      </w:r>
      <w:r w:rsidRPr="004E35D7">
        <w:tab/>
      </w:r>
      <w:r w:rsidRPr="004E35D7">
        <w:rPr>
          <w:i/>
          <w:iCs/>
        </w:rPr>
        <w:t>Invites</w:t>
      </w:r>
      <w:r w:rsidRPr="004E35D7">
        <w:t xml:space="preserve"> Parties in accordance with Articles 16, 18 and</w:t>
      </w:r>
      <w:r>
        <w:t xml:space="preserve"> </w:t>
      </w:r>
      <w:r w:rsidRPr="004E35D7">
        <w:t>19</w:t>
      </w:r>
      <w:r>
        <w:t xml:space="preserve"> of the Convention</w:t>
      </w:r>
      <w:r w:rsidRPr="004E35D7">
        <w:t xml:space="preserve"> to enhance and support capacity-building</w:t>
      </w:r>
      <w:r>
        <w:t xml:space="preserve"> and development</w:t>
      </w:r>
      <w:r w:rsidRPr="004E35D7">
        <w:t xml:space="preserve"> cooperation activities, especially in developing countries, for the implementation of the Convention and its </w:t>
      </w:r>
      <w:r>
        <w:t>P</w:t>
      </w:r>
      <w:r w:rsidRPr="004E35D7">
        <w:t>rotocols</w:t>
      </w:r>
      <w:r>
        <w:t>, as appropriate,</w:t>
      </w:r>
      <w:r w:rsidRPr="004E35D7">
        <w:t xml:space="preserve"> and the </w:t>
      </w:r>
      <w:r>
        <w:t>Kunming-Montreal G</w:t>
      </w:r>
      <w:r w:rsidRPr="004E35D7">
        <w:t xml:space="preserve">lobal </w:t>
      </w:r>
      <w:r>
        <w:t>B</w:t>
      </w:r>
      <w:r w:rsidRPr="004E35D7">
        <w:t xml:space="preserve">iodiversity </w:t>
      </w:r>
      <w:r>
        <w:t>F</w:t>
      </w:r>
      <w:r w:rsidRPr="004E35D7">
        <w:t>ramework, taking into account synergies</w:t>
      </w:r>
      <w:r w:rsidRPr="00541EA7">
        <w:t xml:space="preserve"> </w:t>
      </w:r>
      <w:r w:rsidRPr="004E35D7">
        <w:t xml:space="preserve">between capacity-building and technology transfer </w:t>
      </w:r>
      <w:r>
        <w:t xml:space="preserve">and </w:t>
      </w:r>
      <w:r w:rsidRPr="004E35D7">
        <w:t>technical and scientific cooperation</w:t>
      </w:r>
      <w:r>
        <w:t>,</w:t>
      </w:r>
      <w:r w:rsidRPr="004E35D7">
        <w:t xml:space="preserve"> </w:t>
      </w:r>
      <w:r>
        <w:t>including</w:t>
      </w:r>
      <w:r w:rsidRPr="004E35D7">
        <w:t xml:space="preserve"> biotechnolog</w:t>
      </w:r>
      <w:r>
        <w:t>y</w:t>
      </w:r>
      <w:r w:rsidRPr="00610646">
        <w:rPr>
          <w:rStyle w:val="FootnoteReference"/>
        </w:rPr>
        <w:footnoteReference w:id="69"/>
      </w:r>
      <w:r w:rsidRPr="004E35D7">
        <w:t xml:space="preserve"> research</w:t>
      </w:r>
      <w:r>
        <w:t>;</w:t>
      </w:r>
    </w:p>
    <w:p w14:paraId="59065401" w14:textId="77777777" w:rsidR="008C379F" w:rsidRPr="004E35D7" w:rsidRDefault="008C379F" w:rsidP="00A30041">
      <w:pPr>
        <w:pStyle w:val="Para1"/>
        <w:numPr>
          <w:ilvl w:val="0"/>
          <w:numId w:val="0"/>
        </w:numPr>
        <w:suppressLineNumbers/>
        <w:suppressAutoHyphens/>
        <w:kinsoku w:val="0"/>
        <w:adjustRightInd w:val="0"/>
        <w:ind w:firstLine="720"/>
      </w:pPr>
      <w:r>
        <w:t>12</w:t>
      </w:r>
      <w:r w:rsidRPr="004E35D7">
        <w:t>.</w:t>
      </w:r>
      <w:r w:rsidRPr="004E35D7">
        <w:tab/>
      </w:r>
      <w:r w:rsidRPr="004E35D7">
        <w:rPr>
          <w:i/>
          <w:iCs/>
        </w:rPr>
        <w:t>Invites</w:t>
      </w:r>
      <w:r w:rsidRPr="004E35D7">
        <w:t xml:space="preserve"> universities and other academic institutions to develop and integrate specialized and transdisciplinary academic courses and programmes into their curricula and/or expand and strengthen existing ones, generate and share new knowledge, and implement continuing education programmes to support the </w:t>
      </w:r>
      <w:r>
        <w:t>Kunming-Montreal G</w:t>
      </w:r>
      <w:r w:rsidRPr="004E35D7">
        <w:t xml:space="preserve">lobal </w:t>
      </w:r>
      <w:r>
        <w:t>B</w:t>
      </w:r>
      <w:r w:rsidRPr="004E35D7">
        <w:t xml:space="preserve">iodiversity </w:t>
      </w:r>
      <w:r>
        <w:t>F</w:t>
      </w:r>
      <w:r w:rsidRPr="004E35D7">
        <w:t xml:space="preserve">ramework with </w:t>
      </w:r>
      <w:r>
        <w:t xml:space="preserve">the </w:t>
      </w:r>
      <w:r w:rsidRPr="00CB10D4">
        <w:t xml:space="preserve">full and effective participation of indigenous peoples and local </w:t>
      </w:r>
      <w:r w:rsidRPr="007C5F69">
        <w:t xml:space="preserve">communities, </w:t>
      </w:r>
      <w:r w:rsidRPr="004E35D7">
        <w:t>women and youth;</w:t>
      </w:r>
    </w:p>
    <w:p w14:paraId="62D190DD" w14:textId="77777777" w:rsidR="008C379F" w:rsidRPr="00760D30" w:rsidRDefault="008C379F" w:rsidP="007B0C9F">
      <w:pPr>
        <w:pStyle w:val="Para1"/>
        <w:numPr>
          <w:ilvl w:val="0"/>
          <w:numId w:val="0"/>
        </w:numPr>
        <w:suppressLineNumbers/>
        <w:suppressAutoHyphens/>
        <w:kinsoku w:val="0"/>
        <w:adjustRightInd w:val="0"/>
        <w:ind w:firstLine="720"/>
        <w:rPr>
          <w:i/>
        </w:rPr>
      </w:pPr>
      <w:r>
        <w:t>13</w:t>
      </w:r>
      <w:r w:rsidRPr="004E35D7">
        <w:t>.</w:t>
      </w:r>
      <w:r w:rsidRPr="004E35D7">
        <w:tab/>
      </w:r>
      <w:r w:rsidRPr="004E35D7">
        <w:rPr>
          <w:i/>
          <w:iCs/>
        </w:rPr>
        <w:t>Invites</w:t>
      </w:r>
      <w:r w:rsidRPr="004E35D7">
        <w:t xml:space="preserve"> relevant organizations and regional and subregional bodies, including regional economic integration organizations, to promote </w:t>
      </w:r>
      <w:r>
        <w:t xml:space="preserve">the </w:t>
      </w:r>
      <w:r w:rsidRPr="004E35D7">
        <w:t>sharing of expertise and information</w:t>
      </w:r>
      <w:r>
        <w:t>;</w:t>
      </w:r>
      <w:r w:rsidRPr="004E35D7">
        <w:t xml:space="preserve"> to strengthen existing regional and subregional support networks or establish new ones</w:t>
      </w:r>
      <w:r>
        <w:t>,</w:t>
      </w:r>
      <w:r w:rsidRPr="004E35D7">
        <w:t xml:space="preserve"> as appropriate, </w:t>
      </w:r>
      <w:r>
        <w:t xml:space="preserve">and </w:t>
      </w:r>
      <w:r w:rsidRPr="004E35D7">
        <w:t>to provide, upon request, assistance to enable national and subnational government institutions, local authorities and non-government actors, including indigenous peoples and local communities, women and youth organizations, within the respective regions or subregions to strengthen their capacities, while also mobilizing and fostering effective use and retention of the capacities developed;</w:t>
      </w:r>
    </w:p>
    <w:p w14:paraId="1CAF5AB5" w14:textId="77777777" w:rsidR="008C379F" w:rsidRPr="004E35D7" w:rsidRDefault="008C379F" w:rsidP="00A30041">
      <w:pPr>
        <w:pStyle w:val="Para1"/>
        <w:numPr>
          <w:ilvl w:val="0"/>
          <w:numId w:val="0"/>
        </w:numPr>
        <w:suppressLineNumbers/>
        <w:suppressAutoHyphens/>
        <w:kinsoku w:val="0"/>
        <w:adjustRightInd w:val="0"/>
        <w:ind w:firstLine="720"/>
      </w:pPr>
      <w:r>
        <w:t>14</w:t>
      </w:r>
      <w:r w:rsidRPr="004E35D7">
        <w:t>.</w:t>
      </w:r>
      <w:r w:rsidRPr="004E35D7">
        <w:tab/>
      </w:r>
      <w:r w:rsidRPr="004E35D7">
        <w:rPr>
          <w:i/>
        </w:rPr>
        <w:t xml:space="preserve">Invites </w:t>
      </w:r>
      <w:r w:rsidRPr="004E35D7">
        <w:t xml:space="preserve">regional teams of the United Nations Sustainable Development Group and the United Nations regional </w:t>
      </w:r>
      <w:r w:rsidRPr="000F76DA">
        <w:t>economic commissions</w:t>
      </w:r>
      <w:r w:rsidRPr="004E35D7">
        <w:t xml:space="preserve"> to initiate and facilitate the coordination and synergistic </w:t>
      </w:r>
      <w:r w:rsidRPr="004E35D7">
        <w:lastRenderedPageBreak/>
        <w:t xml:space="preserve">implementation of capacity-building and development interventions in support of the </w:t>
      </w:r>
      <w:r>
        <w:t>Kunming-Montreal G</w:t>
      </w:r>
      <w:r w:rsidRPr="004E35D7">
        <w:t xml:space="preserve">lobal </w:t>
      </w:r>
      <w:r>
        <w:t>B</w:t>
      </w:r>
      <w:r w:rsidRPr="004E35D7">
        <w:t xml:space="preserve">iodiversity </w:t>
      </w:r>
      <w:r>
        <w:t>F</w:t>
      </w:r>
      <w:r w:rsidRPr="004E35D7">
        <w:t>ramework</w:t>
      </w:r>
      <w:r>
        <w:t>;</w:t>
      </w:r>
    </w:p>
    <w:p w14:paraId="0E37A53A" w14:textId="77777777" w:rsidR="008C379F" w:rsidRPr="00117EEC" w:rsidRDefault="008C379F" w:rsidP="002F4A37">
      <w:pPr>
        <w:pStyle w:val="Para1"/>
        <w:numPr>
          <w:ilvl w:val="0"/>
          <w:numId w:val="0"/>
        </w:numPr>
        <w:suppressLineNumbers/>
        <w:suppressAutoHyphens/>
        <w:kinsoku w:val="0"/>
        <w:adjustRightInd w:val="0"/>
        <w:ind w:firstLine="720"/>
      </w:pPr>
      <w:r>
        <w:t>15</w:t>
      </w:r>
      <w:r w:rsidRPr="00117EEC">
        <w:t>.</w:t>
      </w:r>
      <w:r w:rsidRPr="00117EEC">
        <w:tab/>
      </w:r>
      <w:r>
        <w:rPr>
          <w:i/>
          <w:iCs/>
        </w:rPr>
        <w:t>I</w:t>
      </w:r>
      <w:r w:rsidRPr="002764CB">
        <w:rPr>
          <w:i/>
          <w:iCs/>
        </w:rPr>
        <w:t xml:space="preserve">nvites </w:t>
      </w:r>
      <w:r w:rsidRPr="002764CB">
        <w:t>United Nations Resident Coordinator</w:t>
      </w:r>
      <w:r>
        <w:t>s</w:t>
      </w:r>
      <w:r w:rsidRPr="002764CB">
        <w:t xml:space="preserve"> and the United Nations Country Teams, in consultation with the </w:t>
      </w:r>
      <w:r w:rsidRPr="00C94C4F">
        <w:t xml:space="preserve">Inter-Agency Support Group on Indigenous </w:t>
      </w:r>
      <w:r w:rsidRPr="004D32B6">
        <w:t xml:space="preserve">Peoples’ </w:t>
      </w:r>
      <w:r w:rsidRPr="0022224D">
        <w:t>Issues and</w:t>
      </w:r>
      <w:r w:rsidRPr="002764CB">
        <w:t xml:space="preserve"> other relevant United Nations agencies, to integrate biodiversity capacity-building and development into country-level United Nations sustainable development cooperation frameworks</w:t>
      </w:r>
      <w:r w:rsidRPr="00117EEC">
        <w:t xml:space="preserve"> to support national implementation of the </w:t>
      </w:r>
      <w:r>
        <w:t>Kunming-Montreal G</w:t>
      </w:r>
      <w:r w:rsidRPr="00117EEC">
        <w:t xml:space="preserve">lobal </w:t>
      </w:r>
      <w:r>
        <w:t>B</w:t>
      </w:r>
      <w:r w:rsidRPr="00117EEC">
        <w:t xml:space="preserve">iodiversity </w:t>
      </w:r>
      <w:r>
        <w:t>F</w:t>
      </w:r>
      <w:r w:rsidRPr="00117EEC">
        <w:t>ramework and the Sustainable Development Goals</w:t>
      </w:r>
      <w:r>
        <w:t>;</w:t>
      </w:r>
    </w:p>
    <w:p w14:paraId="07CA62E3" w14:textId="77777777" w:rsidR="008C379F" w:rsidRPr="00117EEC" w:rsidRDefault="008C379F" w:rsidP="00A30041">
      <w:pPr>
        <w:pStyle w:val="Para1"/>
        <w:keepNext/>
        <w:numPr>
          <w:ilvl w:val="0"/>
          <w:numId w:val="0"/>
        </w:numPr>
        <w:suppressLineNumbers/>
        <w:suppressAutoHyphens/>
        <w:kinsoku w:val="0"/>
        <w:adjustRightInd w:val="0"/>
        <w:ind w:firstLine="720"/>
      </w:pPr>
      <w:r>
        <w:t>16</w:t>
      </w:r>
      <w:r w:rsidRPr="00117EEC">
        <w:t>.</w:t>
      </w:r>
      <w:r w:rsidRPr="00117EEC">
        <w:tab/>
      </w:r>
      <w:r w:rsidRPr="00117EEC">
        <w:rPr>
          <w:i/>
          <w:iCs/>
        </w:rPr>
        <w:t xml:space="preserve">Requests </w:t>
      </w:r>
      <w:r w:rsidRPr="00117EEC">
        <w:t>the Executive Secretary, subject to the availability of resources:</w:t>
      </w:r>
    </w:p>
    <w:p w14:paraId="7A405682" w14:textId="77777777" w:rsidR="008C379F" w:rsidRPr="00117EEC" w:rsidRDefault="008C379F" w:rsidP="00A30041">
      <w:pPr>
        <w:pStyle w:val="Para1"/>
        <w:numPr>
          <w:ilvl w:val="0"/>
          <w:numId w:val="0"/>
        </w:numPr>
        <w:suppressLineNumbers/>
        <w:suppressAutoHyphens/>
        <w:kinsoku w:val="0"/>
        <w:adjustRightInd w:val="0"/>
        <w:ind w:firstLine="720"/>
        <w:rPr>
          <w:rStyle w:val="normaltextrun"/>
        </w:rPr>
      </w:pPr>
      <w:r w:rsidRPr="00117EEC">
        <w:rPr>
          <w:rStyle w:val="normaltextrun"/>
        </w:rPr>
        <w:t>(a)</w:t>
      </w:r>
      <w:r w:rsidRPr="00117EEC">
        <w:rPr>
          <w:rStyle w:val="normaltextrun"/>
        </w:rPr>
        <w:tab/>
        <w:t>To promote awareness of the long-term strategic framework</w:t>
      </w:r>
      <w:r w:rsidRPr="00A4790C">
        <w:t xml:space="preserve"> </w:t>
      </w:r>
      <w:r w:rsidRPr="004E35D7">
        <w:t>for capacity</w:t>
      </w:r>
      <w:r w:rsidRPr="004E35D7">
        <w:noBreakHyphen/>
        <w:t>building and development</w:t>
      </w:r>
      <w:r>
        <w:rPr>
          <w:rStyle w:val="normaltextrun"/>
        </w:rPr>
        <w:t>,</w:t>
      </w:r>
      <w:r w:rsidRPr="00117EEC">
        <w:rPr>
          <w:rStyle w:val="normaltextrun"/>
        </w:rPr>
        <w:t xml:space="preserve"> including through the creation of a </w:t>
      </w:r>
      <w:r>
        <w:rPr>
          <w:rStyle w:val="normaltextrun"/>
        </w:rPr>
        <w:t>dedicated web page on</w:t>
      </w:r>
      <w:r w:rsidRPr="00117EEC">
        <w:rPr>
          <w:rStyle w:val="normaltextrun"/>
        </w:rPr>
        <w:t xml:space="preserve"> the clearing-house mechanism </w:t>
      </w:r>
      <w:r w:rsidRPr="00EB656F">
        <w:rPr>
          <w:rStyle w:val="normaltextrun"/>
        </w:rPr>
        <w:t>portal;</w:t>
      </w:r>
    </w:p>
    <w:p w14:paraId="1143B456" w14:textId="77777777" w:rsidR="008C379F" w:rsidRDefault="008C379F" w:rsidP="007B0C9F">
      <w:pPr>
        <w:pStyle w:val="Para1"/>
        <w:numPr>
          <w:ilvl w:val="0"/>
          <w:numId w:val="0"/>
        </w:numPr>
        <w:suppressLineNumbers/>
        <w:suppressAutoHyphens/>
        <w:kinsoku w:val="0"/>
        <w:adjustRightInd w:val="0"/>
        <w:ind w:firstLine="720"/>
        <w:rPr>
          <w:rStyle w:val="normaltextrun"/>
        </w:rPr>
      </w:pPr>
      <w:r w:rsidRPr="00117EEC">
        <w:rPr>
          <w:rStyle w:val="normaltextrun"/>
        </w:rPr>
        <w:t>(b)</w:t>
      </w:r>
      <w:r w:rsidRPr="00117EEC">
        <w:rPr>
          <w:rStyle w:val="normaltextrun"/>
        </w:rPr>
        <w:tab/>
        <w:t>To make available through the clearing-house mechanism of the Convention</w:t>
      </w:r>
      <w:r>
        <w:rPr>
          <w:rStyle w:val="normaltextrun"/>
        </w:rPr>
        <w:t>,</w:t>
      </w:r>
      <w:r w:rsidRPr="00117EEC">
        <w:rPr>
          <w:rStyle w:val="normaltextrun"/>
        </w:rPr>
        <w:t xml:space="preserve"> the </w:t>
      </w:r>
      <w:r>
        <w:rPr>
          <w:rStyle w:val="normaltextrun"/>
        </w:rPr>
        <w:t xml:space="preserve">Biosafety Clearing-House, and the Access and Benefit-sharing Clearing-House, </w:t>
      </w:r>
      <w:r w:rsidRPr="00117EEC">
        <w:rPr>
          <w:rStyle w:val="normaltextrun"/>
        </w:rPr>
        <w:t xml:space="preserve">existing </w:t>
      </w:r>
      <w:r>
        <w:rPr>
          <w:rStyle w:val="normaltextrun"/>
        </w:rPr>
        <w:t xml:space="preserve">and additional </w:t>
      </w:r>
      <w:r w:rsidRPr="00117EEC">
        <w:rPr>
          <w:rStyle w:val="normaltextrun"/>
        </w:rPr>
        <w:t>guidance on capacity</w:t>
      </w:r>
      <w:r w:rsidRPr="00117EEC">
        <w:rPr>
          <w:rStyle w:val="normaltextrun"/>
        </w:rPr>
        <w:noBreakHyphen/>
        <w:t xml:space="preserve">building and development, including </w:t>
      </w:r>
      <w:r>
        <w:rPr>
          <w:rStyle w:val="normaltextrun"/>
        </w:rPr>
        <w:t xml:space="preserve">existing, </w:t>
      </w:r>
      <w:r w:rsidRPr="00117EEC">
        <w:rPr>
          <w:rStyle w:val="normaltextrun"/>
        </w:rPr>
        <w:t xml:space="preserve">new and innovative tools, methods and case studies on good practices and lessons learned that can assist Parties, indigenous peoples and local communities, </w:t>
      </w:r>
      <w:r w:rsidRPr="008B0D42">
        <w:rPr>
          <w:rStyle w:val="normaltextrun"/>
        </w:rPr>
        <w:t>women and youth</w:t>
      </w:r>
      <w:r w:rsidRPr="00117EEC">
        <w:rPr>
          <w:rStyle w:val="normaltextrun"/>
        </w:rPr>
        <w:t xml:space="preserve"> organizations, and other relevant stakeholders in their capacity</w:t>
      </w:r>
      <w:r w:rsidRPr="00117EEC">
        <w:rPr>
          <w:rStyle w:val="normaltextrun"/>
        </w:rPr>
        <w:noBreakHyphen/>
        <w:t>building and development efforts;</w:t>
      </w:r>
    </w:p>
    <w:p w14:paraId="6D6A0B80" w14:textId="77777777" w:rsidR="008C379F" w:rsidRPr="00541EA7" w:rsidRDefault="008C379F" w:rsidP="00B2195E">
      <w:pPr>
        <w:pStyle w:val="Para1"/>
        <w:numPr>
          <w:ilvl w:val="0"/>
          <w:numId w:val="0"/>
        </w:numPr>
        <w:suppressLineNumbers/>
        <w:suppressAutoHyphens/>
        <w:kinsoku w:val="0"/>
        <w:adjustRightInd w:val="0"/>
        <w:ind w:firstLine="720"/>
        <w:rPr>
          <w:rStyle w:val="eop"/>
        </w:rPr>
      </w:pPr>
      <w:r>
        <w:rPr>
          <w:rStyle w:val="normaltextrun"/>
        </w:rPr>
        <w:t>(c)</w:t>
      </w:r>
      <w:r>
        <w:rPr>
          <w:rStyle w:val="normaltextrun"/>
        </w:rPr>
        <w:tab/>
        <w:t xml:space="preserve">To facilitate the development of an island biodiversity capacity-building and development action plan, on the basis of the review of the capacity and technology absorption and sustaining abilities of small island developing </w:t>
      </w:r>
      <w:r w:rsidRPr="00C85BE1">
        <w:rPr>
          <w:rStyle w:val="normaltextrun"/>
        </w:rPr>
        <w:t>States, and in line</w:t>
      </w:r>
      <w:r>
        <w:rPr>
          <w:rStyle w:val="normaltextrun"/>
        </w:rPr>
        <w:t xml:space="preserve"> with the programme of work on island biodiversity;</w:t>
      </w:r>
    </w:p>
    <w:p w14:paraId="1848198D" w14:textId="77777777" w:rsidR="008C379F" w:rsidRPr="00117EEC" w:rsidRDefault="008C379F" w:rsidP="00A30041">
      <w:pPr>
        <w:pStyle w:val="Para1"/>
        <w:numPr>
          <w:ilvl w:val="0"/>
          <w:numId w:val="0"/>
        </w:numPr>
        <w:suppressLineNumbers/>
        <w:suppressAutoHyphens/>
        <w:kinsoku w:val="0"/>
        <w:adjustRightInd w:val="0"/>
        <w:ind w:firstLine="720"/>
        <w:rPr>
          <w:rStyle w:val="normaltextrun"/>
        </w:rPr>
      </w:pPr>
      <w:r w:rsidRPr="00117EEC">
        <w:rPr>
          <w:rStyle w:val="normaltextrun"/>
        </w:rPr>
        <w:t>(d)</w:t>
      </w:r>
      <w:r w:rsidRPr="00117EEC">
        <w:rPr>
          <w:rStyle w:val="normaltextrun"/>
        </w:rPr>
        <w:tab/>
        <w:t>To enable Parties, indigenous peoples and local communities</w:t>
      </w:r>
      <w:r w:rsidRPr="00765ED5">
        <w:rPr>
          <w:rStyle w:val="normaltextrun"/>
        </w:rPr>
        <w:t xml:space="preserve">, </w:t>
      </w:r>
      <w:r w:rsidRPr="00432FBB">
        <w:rPr>
          <w:rStyle w:val="normaltextrun"/>
        </w:rPr>
        <w:t>women</w:t>
      </w:r>
      <w:r w:rsidRPr="00765ED5">
        <w:rPr>
          <w:rStyle w:val="normaltextrun"/>
        </w:rPr>
        <w:t xml:space="preserve"> and youth</w:t>
      </w:r>
      <w:r w:rsidRPr="00117EEC">
        <w:rPr>
          <w:rStyle w:val="normaltextrun"/>
        </w:rPr>
        <w:t xml:space="preserve"> organizations, and other relevant organizations to prepare, </w:t>
      </w:r>
      <w:r w:rsidRPr="003359B3">
        <w:rPr>
          <w:rStyle w:val="normaltextrun"/>
        </w:rPr>
        <w:t>following the adoption of the Kunming-Montreal Global Biodiversity Framework,</w:t>
      </w:r>
      <w:r w:rsidRPr="00117EEC">
        <w:rPr>
          <w:rStyle w:val="normaltextrun"/>
        </w:rPr>
        <w:t xml:space="preserve"> thematic capacity</w:t>
      </w:r>
      <w:r w:rsidRPr="00117EEC">
        <w:rPr>
          <w:rStyle w:val="normaltextrun"/>
        </w:rPr>
        <w:noBreakHyphen/>
        <w:t>building and development action plans for specific 2030 targets or groups of related targets, as appropriate, taking into account needs and gaps identified and decided by Parties;</w:t>
      </w:r>
    </w:p>
    <w:p w14:paraId="2108E701" w14:textId="77777777" w:rsidR="008C379F" w:rsidRPr="00117EEC" w:rsidRDefault="008C379F" w:rsidP="00A30041">
      <w:pPr>
        <w:pStyle w:val="Para1"/>
        <w:numPr>
          <w:ilvl w:val="0"/>
          <w:numId w:val="0"/>
        </w:numPr>
        <w:suppressLineNumbers/>
        <w:suppressAutoHyphens/>
        <w:kinsoku w:val="0"/>
        <w:adjustRightInd w:val="0"/>
        <w:ind w:firstLine="720"/>
        <w:rPr>
          <w:rStyle w:val="eop"/>
          <w:rFonts w:eastAsia="Arial"/>
        </w:rPr>
      </w:pPr>
      <w:r w:rsidRPr="00117EEC">
        <w:rPr>
          <w:rStyle w:val="normaltextrun"/>
        </w:rPr>
        <w:t>(e)</w:t>
      </w:r>
      <w:r w:rsidRPr="00117EEC">
        <w:rPr>
          <w:rStyle w:val="normaltextrun"/>
        </w:rPr>
        <w:tab/>
      </w:r>
      <w:r>
        <w:rPr>
          <w:rStyle w:val="normaltextrun"/>
        </w:rPr>
        <w:t>To s</w:t>
      </w:r>
      <w:r w:rsidRPr="00117EEC">
        <w:rPr>
          <w:rStyle w:val="normaltextrun"/>
        </w:rPr>
        <w:t xml:space="preserve">upport and advise Parties </w:t>
      </w:r>
      <w:r>
        <w:rPr>
          <w:rStyle w:val="normaltextrun"/>
        </w:rPr>
        <w:t xml:space="preserve">on ways </w:t>
      </w:r>
      <w:r w:rsidRPr="00117EEC">
        <w:rPr>
          <w:rStyle w:val="normaltextrun"/>
        </w:rPr>
        <w:t>to integrate capacity</w:t>
      </w:r>
      <w:r w:rsidRPr="00117EEC">
        <w:rPr>
          <w:rStyle w:val="normaltextrun"/>
        </w:rPr>
        <w:noBreakHyphen/>
        <w:t>building and development components into their national biodiversity strategies and action plans;</w:t>
      </w:r>
    </w:p>
    <w:p w14:paraId="6D92CE5A" w14:textId="77777777" w:rsidR="008C379F" w:rsidRPr="004E35D7" w:rsidRDefault="008C379F" w:rsidP="00A30041">
      <w:pPr>
        <w:pStyle w:val="Para1"/>
        <w:numPr>
          <w:ilvl w:val="0"/>
          <w:numId w:val="0"/>
        </w:numPr>
        <w:suppressLineNumbers/>
        <w:suppressAutoHyphens/>
        <w:kinsoku w:val="0"/>
        <w:adjustRightInd w:val="0"/>
        <w:ind w:firstLine="720"/>
        <w:rPr>
          <w:rStyle w:val="eop"/>
          <w:rFonts w:eastAsiaTheme="majorEastAsia"/>
          <w:snapToGrid/>
          <w:szCs w:val="24"/>
        </w:rPr>
      </w:pPr>
      <w:r w:rsidRPr="008B3D8E">
        <w:rPr>
          <w:rStyle w:val="eop"/>
          <w:rFonts w:eastAsiaTheme="majorEastAsia"/>
        </w:rPr>
        <w:t>(f)</w:t>
      </w:r>
      <w:r w:rsidRPr="008B3D8E">
        <w:rPr>
          <w:rStyle w:val="eop"/>
          <w:rFonts w:eastAsiaTheme="majorEastAsia"/>
        </w:rPr>
        <w:tab/>
        <w:t>To invite the United Nations Environment Management Group, in collaboration with the</w:t>
      </w:r>
      <w:r w:rsidRPr="004E35D7">
        <w:rPr>
          <w:rStyle w:val="eop"/>
          <w:rFonts w:eastAsiaTheme="majorEastAsia"/>
        </w:rPr>
        <w:t xml:space="preserve"> Liaison Group of Biodiversity-related Conventions, </w:t>
      </w:r>
      <w:r w:rsidRPr="00117EEC">
        <w:rPr>
          <w:rStyle w:val="eop"/>
          <w:rFonts w:eastAsiaTheme="majorEastAsia"/>
        </w:rPr>
        <w:t>to foster United Nations system-wide synergy, coherence and effectiveness in the provision of capacity</w:t>
      </w:r>
      <w:r w:rsidRPr="00117EEC">
        <w:rPr>
          <w:rStyle w:val="eop"/>
          <w:rFonts w:eastAsiaTheme="majorEastAsia"/>
        </w:rPr>
        <w:noBreakHyphen/>
        <w:t xml:space="preserve">building and development support for the implementation of the </w:t>
      </w:r>
      <w:r>
        <w:rPr>
          <w:rStyle w:val="eop"/>
          <w:rFonts w:eastAsiaTheme="majorEastAsia"/>
        </w:rPr>
        <w:t>Kunming-Montreal G</w:t>
      </w:r>
      <w:r w:rsidRPr="00117EEC">
        <w:rPr>
          <w:rStyle w:val="eop"/>
          <w:rFonts w:eastAsiaTheme="majorEastAsia"/>
        </w:rPr>
        <w:t xml:space="preserve">lobal </w:t>
      </w:r>
      <w:r>
        <w:rPr>
          <w:rStyle w:val="normaltextrun"/>
        </w:rPr>
        <w:t>B</w:t>
      </w:r>
      <w:r w:rsidRPr="00117EEC">
        <w:rPr>
          <w:rStyle w:val="normaltextrun"/>
        </w:rPr>
        <w:t>iodiversity</w:t>
      </w:r>
      <w:r w:rsidRPr="00117EEC">
        <w:rPr>
          <w:rStyle w:val="eop"/>
          <w:rFonts w:eastAsiaTheme="majorEastAsia"/>
        </w:rPr>
        <w:t xml:space="preserve"> </w:t>
      </w:r>
      <w:r>
        <w:rPr>
          <w:rStyle w:val="eop"/>
          <w:rFonts w:eastAsiaTheme="majorEastAsia"/>
        </w:rPr>
        <w:t>F</w:t>
      </w:r>
      <w:r w:rsidRPr="00117EEC">
        <w:rPr>
          <w:rStyle w:val="eop"/>
          <w:rFonts w:eastAsiaTheme="majorEastAsia"/>
        </w:rPr>
        <w:t>ramework in line with</w:t>
      </w:r>
      <w:r w:rsidRPr="00760D30">
        <w:t xml:space="preserve"> the United Nations common approach to integrating biodiversity for sustainable development into United Nations policy and programme planning and delivery</w:t>
      </w:r>
      <w:r>
        <w:t>;</w:t>
      </w:r>
      <w:r w:rsidRPr="00610646">
        <w:rPr>
          <w:rStyle w:val="FootnoteReference"/>
        </w:rPr>
        <w:footnoteReference w:id="70"/>
      </w:r>
    </w:p>
    <w:p w14:paraId="34034D5B" w14:textId="77777777" w:rsidR="008C379F" w:rsidRPr="00117EEC" w:rsidRDefault="008C379F" w:rsidP="007B0C9F">
      <w:pPr>
        <w:pStyle w:val="Para1"/>
        <w:numPr>
          <w:ilvl w:val="0"/>
          <w:numId w:val="0"/>
        </w:numPr>
        <w:suppressLineNumbers/>
        <w:suppressAutoHyphens/>
        <w:kinsoku w:val="0"/>
        <w:adjustRightInd w:val="0"/>
        <w:ind w:firstLine="720"/>
        <w:rPr>
          <w:rStyle w:val="normaltextrun"/>
          <w:rFonts w:eastAsiaTheme="majorEastAsia"/>
        </w:rPr>
      </w:pPr>
      <w:r w:rsidRPr="00117EEC">
        <w:rPr>
          <w:rStyle w:val="normaltextrun"/>
          <w:rFonts w:eastAsia="MS Mincho"/>
        </w:rPr>
        <w:t>(</w:t>
      </w:r>
      <w:r>
        <w:rPr>
          <w:rStyle w:val="normaltextrun"/>
          <w:rFonts w:eastAsia="MS Mincho"/>
        </w:rPr>
        <w:t>g</w:t>
      </w:r>
      <w:r w:rsidRPr="00117EEC">
        <w:rPr>
          <w:rStyle w:val="normaltextrun"/>
          <w:rFonts w:eastAsia="MS Mincho"/>
        </w:rPr>
        <w:t>)</w:t>
      </w:r>
      <w:r w:rsidRPr="00117EEC">
        <w:rPr>
          <w:rStyle w:val="normaltextrun"/>
          <w:rFonts w:eastAsia="MS Mincho"/>
        </w:rPr>
        <w:tab/>
        <w:t xml:space="preserve">To convene, in collaboration with partners, </w:t>
      </w:r>
      <w:r>
        <w:rPr>
          <w:rStyle w:val="normaltextrun"/>
          <w:rFonts w:eastAsia="MS Mincho"/>
        </w:rPr>
        <w:t xml:space="preserve">a forum </w:t>
      </w:r>
      <w:r w:rsidRPr="00117EEC">
        <w:rPr>
          <w:rStyle w:val="normaltextrun"/>
          <w:rFonts w:eastAsia="MS Mincho"/>
        </w:rPr>
        <w:t>to facilitate networking and shar</w:t>
      </w:r>
      <w:r>
        <w:rPr>
          <w:rStyle w:val="normaltextrun"/>
          <w:rFonts w:eastAsia="MS Mincho"/>
        </w:rPr>
        <w:t>ing of</w:t>
      </w:r>
      <w:r w:rsidRPr="00117EEC">
        <w:rPr>
          <w:rStyle w:val="normaltextrun"/>
          <w:rFonts w:eastAsia="MS Mincho"/>
        </w:rPr>
        <w:t xml:space="preserve"> experiences, good practices and lessons learned in capacity</w:t>
      </w:r>
      <w:r w:rsidRPr="00117EEC">
        <w:rPr>
          <w:rStyle w:val="normaltextrun"/>
          <w:rFonts w:eastAsia="MS Mincho"/>
        </w:rPr>
        <w:noBreakHyphen/>
        <w:t>building and development for biodiversity</w:t>
      </w:r>
      <w:r>
        <w:rPr>
          <w:rStyle w:val="normaltextrun"/>
          <w:rFonts w:eastAsia="MS Mincho"/>
        </w:rPr>
        <w:t xml:space="preserve"> before each meeting of the Subsidiary Body on Implementation; </w:t>
      </w:r>
      <w:r w:rsidRPr="00117EEC">
        <w:t xml:space="preserve"> </w:t>
      </w:r>
    </w:p>
    <w:p w14:paraId="7DBB5CDE" w14:textId="77777777" w:rsidR="008C379F" w:rsidRPr="00117EEC" w:rsidRDefault="008C379F" w:rsidP="00A30041">
      <w:pPr>
        <w:pStyle w:val="Para1"/>
        <w:numPr>
          <w:ilvl w:val="0"/>
          <w:numId w:val="0"/>
        </w:numPr>
        <w:suppressLineNumbers/>
        <w:suppressAutoHyphens/>
        <w:kinsoku w:val="0"/>
        <w:adjustRightInd w:val="0"/>
        <w:ind w:firstLine="720"/>
        <w:rPr>
          <w:rStyle w:val="eop"/>
          <w:rFonts w:eastAsiaTheme="majorEastAsia"/>
          <w:strike/>
        </w:rPr>
      </w:pPr>
      <w:r w:rsidRPr="00117EEC">
        <w:rPr>
          <w:rStyle w:val="normaltextrun"/>
        </w:rPr>
        <w:t>(</w:t>
      </w:r>
      <w:r>
        <w:rPr>
          <w:rStyle w:val="normaltextrun"/>
        </w:rPr>
        <w:t>h</w:t>
      </w:r>
      <w:r w:rsidRPr="00117EEC">
        <w:rPr>
          <w:rStyle w:val="normaltextrun"/>
        </w:rPr>
        <w:t>)</w:t>
      </w:r>
      <w:r w:rsidRPr="00117EEC">
        <w:rPr>
          <w:rStyle w:val="normaltextrun"/>
        </w:rPr>
        <w:tab/>
        <w:t>To undertake, in collaboration with other biodiversity-related conventions and partners, a review of the long-term strategic framework</w:t>
      </w:r>
      <w:r>
        <w:rPr>
          <w:rStyle w:val="normaltextrun"/>
        </w:rPr>
        <w:t xml:space="preserve"> </w:t>
      </w:r>
      <w:r w:rsidRPr="004E35D7">
        <w:t>for capacity</w:t>
      </w:r>
      <w:r w:rsidRPr="004E35D7">
        <w:noBreakHyphen/>
        <w:t>building and development</w:t>
      </w:r>
      <w:r>
        <w:rPr>
          <w:rStyle w:val="normaltextrun"/>
        </w:rPr>
        <w:t>,</w:t>
      </w:r>
      <w:r w:rsidRPr="00117EEC">
        <w:rPr>
          <w:rStyle w:val="normaltextrun"/>
        </w:rPr>
        <w:t xml:space="preserve"> in conjunction with the</w:t>
      </w:r>
      <w:r>
        <w:rPr>
          <w:rStyle w:val="normaltextrun"/>
        </w:rPr>
        <w:t xml:space="preserve"> global </w:t>
      </w:r>
      <w:r w:rsidRPr="0021531F">
        <w:rPr>
          <w:rStyle w:val="normaltextrun"/>
        </w:rPr>
        <w:t>review of the Kunming-Montreal Global Biodiversity Framework, including the means of implementation, for consideration by the Conference of the Parties at its seventeenth meeting, to assess its use by Parties, indigenous peoples and local communities, women and youth organizations, and other</w:t>
      </w:r>
      <w:r w:rsidRPr="00117EEC">
        <w:rPr>
          <w:rStyle w:val="normaltextrun"/>
        </w:rPr>
        <w:t xml:space="preserve"> relevant stakeholders and, if necessary, propose updates</w:t>
      </w:r>
      <w:r>
        <w:rPr>
          <w:rStyle w:val="normaltextrun"/>
        </w:rPr>
        <w:t xml:space="preserve"> to ensure its effectiveness to assist Parties in implementing the Kunming-Montreal Global Biodiversity Framework;</w:t>
      </w:r>
    </w:p>
    <w:p w14:paraId="17E6B56D" w14:textId="77777777" w:rsidR="008C379F" w:rsidRPr="00117EEC" w:rsidRDefault="008C379F" w:rsidP="00A30041">
      <w:pPr>
        <w:pStyle w:val="Para1"/>
        <w:numPr>
          <w:ilvl w:val="0"/>
          <w:numId w:val="0"/>
        </w:numPr>
        <w:suppressLineNumbers/>
        <w:suppressAutoHyphens/>
        <w:kinsoku w:val="0"/>
        <w:adjustRightInd w:val="0"/>
        <w:ind w:firstLine="720"/>
        <w:rPr>
          <w:rFonts w:eastAsiaTheme="majorEastAsia"/>
        </w:rPr>
      </w:pPr>
      <w:r w:rsidRPr="00117EEC">
        <w:rPr>
          <w:rStyle w:val="normaltextrun"/>
        </w:rPr>
        <w:t>(</w:t>
      </w:r>
      <w:r>
        <w:rPr>
          <w:rStyle w:val="normaltextrun"/>
        </w:rPr>
        <w:t>i</w:t>
      </w:r>
      <w:r w:rsidRPr="00117EEC">
        <w:rPr>
          <w:rStyle w:val="normaltextrun"/>
        </w:rPr>
        <w:t>)</w:t>
      </w:r>
      <w:r w:rsidRPr="00117EEC">
        <w:rPr>
          <w:rStyle w:val="normaltextrun"/>
        </w:rPr>
        <w:tab/>
        <w:t>To commission an independent evaluation of the long-term strategic framework</w:t>
      </w:r>
      <w:r w:rsidRPr="002811BD">
        <w:t xml:space="preserve"> </w:t>
      </w:r>
      <w:r w:rsidRPr="004E35D7">
        <w:t>for capacity</w:t>
      </w:r>
      <w:r w:rsidRPr="004E35D7">
        <w:noBreakHyphen/>
        <w:t>building and development</w:t>
      </w:r>
      <w:r>
        <w:rPr>
          <w:rStyle w:val="normaltextrun"/>
        </w:rPr>
        <w:t>,</w:t>
      </w:r>
      <w:r w:rsidRPr="00117EEC">
        <w:rPr>
          <w:rStyle w:val="normaltextrun"/>
        </w:rPr>
        <w:t xml:space="preserve"> in conjunction with the </w:t>
      </w:r>
      <w:r>
        <w:rPr>
          <w:rStyle w:val="normaltextrun"/>
        </w:rPr>
        <w:t xml:space="preserve">global </w:t>
      </w:r>
      <w:r w:rsidRPr="00117EEC">
        <w:rPr>
          <w:rStyle w:val="normaltextrun"/>
        </w:rPr>
        <w:t xml:space="preserve">review of the </w:t>
      </w:r>
      <w:r>
        <w:rPr>
          <w:rStyle w:val="normaltextrun"/>
        </w:rPr>
        <w:t>Kunming-Montreal G</w:t>
      </w:r>
      <w:r w:rsidRPr="00117EEC">
        <w:rPr>
          <w:rStyle w:val="normaltextrun"/>
        </w:rPr>
        <w:t xml:space="preserve">lobal </w:t>
      </w:r>
      <w:r>
        <w:rPr>
          <w:rStyle w:val="normaltextrun"/>
        </w:rPr>
        <w:lastRenderedPageBreak/>
        <w:t>B</w:t>
      </w:r>
      <w:r w:rsidRPr="00117EEC">
        <w:rPr>
          <w:rStyle w:val="normaltextrun"/>
        </w:rPr>
        <w:t xml:space="preserve">iodiversity </w:t>
      </w:r>
      <w:r>
        <w:rPr>
          <w:rStyle w:val="normaltextrun"/>
        </w:rPr>
        <w:t>F</w:t>
      </w:r>
      <w:r w:rsidRPr="00117EEC">
        <w:rPr>
          <w:rStyle w:val="normaltextrun"/>
        </w:rPr>
        <w:t>ramework</w:t>
      </w:r>
      <w:r w:rsidRPr="00B43DC2">
        <w:rPr>
          <w:rStyle w:val="normaltextrun"/>
        </w:rPr>
        <w:t>, including the means of implementation, and submit</w:t>
      </w:r>
      <w:r w:rsidRPr="00117EEC">
        <w:rPr>
          <w:rStyle w:val="normaltextrun"/>
        </w:rPr>
        <w:t xml:space="preserve"> a report to facilitate its review by the Subsidiary Body on Implementation and</w:t>
      </w:r>
      <w:r>
        <w:rPr>
          <w:rStyle w:val="normaltextrun"/>
        </w:rPr>
        <w:t xml:space="preserve"> by the Conference of the Parties</w:t>
      </w:r>
      <w:r w:rsidRPr="00117EEC">
        <w:rPr>
          <w:rStyle w:val="normaltextrun"/>
        </w:rPr>
        <w:t xml:space="preserve"> </w:t>
      </w:r>
      <w:r>
        <w:rPr>
          <w:rStyle w:val="normaltextrun"/>
        </w:rPr>
        <w:t>at its nineteenth meeting;</w:t>
      </w:r>
    </w:p>
    <w:p w14:paraId="08CAC4FB" w14:textId="77777777" w:rsidR="008C379F" w:rsidRPr="00250C9C" w:rsidRDefault="008C379F" w:rsidP="00250C9C">
      <w:pPr>
        <w:pStyle w:val="NormalWeb"/>
        <w:keepNext/>
        <w:spacing w:before="120" w:after="120"/>
        <w:jc w:val="center"/>
        <w:rPr>
          <w:b/>
          <w:bCs/>
          <w:sz w:val="22"/>
          <w:szCs w:val="22"/>
        </w:rPr>
      </w:pPr>
      <w:bookmarkStart w:id="68" w:name="_Toc57214893"/>
      <w:r w:rsidRPr="00250C9C">
        <w:rPr>
          <w:b/>
          <w:bCs/>
          <w:sz w:val="22"/>
          <w:szCs w:val="22"/>
        </w:rPr>
        <w:t>B.</w:t>
      </w:r>
      <w:r w:rsidRPr="00250C9C">
        <w:rPr>
          <w:b/>
          <w:bCs/>
          <w:sz w:val="22"/>
          <w:szCs w:val="22"/>
        </w:rPr>
        <w:tab/>
        <w:t>Technical and scientific cooperation</w:t>
      </w:r>
      <w:bookmarkEnd w:id="68"/>
    </w:p>
    <w:p w14:paraId="65F3955E" w14:textId="77777777" w:rsidR="008C379F" w:rsidRPr="00117EEC" w:rsidRDefault="008C379F" w:rsidP="00A30041">
      <w:pPr>
        <w:pStyle w:val="Para1"/>
        <w:numPr>
          <w:ilvl w:val="0"/>
          <w:numId w:val="0"/>
        </w:numPr>
        <w:suppressLineNumbers/>
        <w:tabs>
          <w:tab w:val="left" w:pos="1418"/>
        </w:tabs>
        <w:suppressAutoHyphens/>
        <w:kinsoku w:val="0"/>
        <w:adjustRightInd w:val="0"/>
        <w:ind w:firstLine="720"/>
      </w:pPr>
      <w:r>
        <w:t>17</w:t>
      </w:r>
      <w:r w:rsidRPr="00117EEC">
        <w:t>.</w:t>
      </w:r>
      <w:r w:rsidRPr="00117EEC">
        <w:tab/>
      </w:r>
      <w:r w:rsidRPr="00117EEC">
        <w:rPr>
          <w:i/>
        </w:rPr>
        <w:t>Urges</w:t>
      </w:r>
      <w:r w:rsidRPr="00117EEC">
        <w:t xml:space="preserve"> Parties</w:t>
      </w:r>
      <w:r>
        <w:t xml:space="preserve"> </w:t>
      </w:r>
      <w:r w:rsidRPr="00117EEC">
        <w:t xml:space="preserve">and </w:t>
      </w:r>
      <w:r w:rsidRPr="004D32B6">
        <w:t>invites</w:t>
      </w:r>
      <w:r>
        <w:rPr>
          <w:i/>
          <w:iCs/>
        </w:rPr>
        <w:t xml:space="preserve"> </w:t>
      </w:r>
      <w:r w:rsidRPr="00117EEC">
        <w:t xml:space="preserve">other Governments and relevant organizations to recognize </w:t>
      </w:r>
      <w:r>
        <w:t xml:space="preserve">the important role of, </w:t>
      </w:r>
      <w:r w:rsidRPr="003130BA">
        <w:t>and to promote, science, technology, innovation and other knowledge systems in supporting the implementation of the goals and</w:t>
      </w:r>
      <w:r w:rsidRPr="00117EEC">
        <w:t xml:space="preserve"> targets of the </w:t>
      </w:r>
      <w:r>
        <w:t>Kunming-Montreal G</w:t>
      </w:r>
      <w:r w:rsidRPr="00117EEC">
        <w:t xml:space="preserve">lobal </w:t>
      </w:r>
      <w:r>
        <w:t>B</w:t>
      </w:r>
      <w:r w:rsidRPr="00117EEC">
        <w:t xml:space="preserve">iodiversity </w:t>
      </w:r>
      <w:r>
        <w:t>F</w:t>
      </w:r>
      <w:r w:rsidRPr="00117EEC">
        <w:t>ramework towards achieving the 2050 Vision of living in harmony with nature;</w:t>
      </w:r>
    </w:p>
    <w:p w14:paraId="4CB61C3A" w14:textId="77777777" w:rsidR="008C379F" w:rsidRPr="00117EEC" w:rsidRDefault="008C379F" w:rsidP="00A30041">
      <w:pPr>
        <w:pStyle w:val="Para1"/>
        <w:numPr>
          <w:ilvl w:val="0"/>
          <w:numId w:val="0"/>
        </w:numPr>
        <w:suppressLineNumbers/>
        <w:tabs>
          <w:tab w:val="left" w:pos="1418"/>
        </w:tabs>
        <w:suppressAutoHyphens/>
        <w:kinsoku w:val="0"/>
        <w:adjustRightInd w:val="0"/>
        <w:ind w:firstLine="720"/>
        <w:rPr>
          <w:rFonts w:eastAsiaTheme="minorEastAsia"/>
        </w:rPr>
      </w:pPr>
      <w:r>
        <w:t>18</w:t>
      </w:r>
      <w:r w:rsidRPr="00117EEC">
        <w:t>.</w:t>
      </w:r>
      <w:r w:rsidRPr="00117EEC">
        <w:tab/>
      </w:r>
      <w:r w:rsidRPr="00117EEC">
        <w:rPr>
          <w:i/>
          <w:iCs/>
        </w:rPr>
        <w:t xml:space="preserve">Reminds </w:t>
      </w:r>
      <w:r w:rsidRPr="00117EEC">
        <w:t>Parties, pursuant to paragraph 6</w:t>
      </w:r>
      <w:r>
        <w:t xml:space="preserve"> of </w:t>
      </w:r>
      <w:r w:rsidRPr="00117EEC">
        <w:t>decision XIII/23</w:t>
      </w:r>
      <w:r>
        <w:t>,</w:t>
      </w:r>
      <w:r w:rsidRPr="00117EEC">
        <w:t xml:space="preserve"> to identify and communicate their biodiversity-related technical and scientific needs and requests for assistance, and </w:t>
      </w:r>
      <w:r w:rsidRPr="004D32B6">
        <w:t>invites</w:t>
      </w:r>
      <w:r w:rsidRPr="00117EEC">
        <w:rPr>
          <w:i/>
          <w:iCs/>
        </w:rPr>
        <w:t xml:space="preserve"> </w:t>
      </w:r>
      <w:r w:rsidRPr="00117EEC">
        <w:t xml:space="preserve">Parties, other Governments and relevant organizations to register as providers of technical assistance and offer support to address the needs identified by Parties through the </w:t>
      </w:r>
      <w:r>
        <w:t xml:space="preserve">central portal of the </w:t>
      </w:r>
      <w:r w:rsidRPr="00117EEC">
        <w:t xml:space="preserve">clearing-house mechanism and the </w:t>
      </w:r>
      <w:r>
        <w:t>c</w:t>
      </w:r>
      <w:r w:rsidRPr="00117EEC">
        <w:t>learing</w:t>
      </w:r>
      <w:r>
        <w:noBreakHyphen/>
        <w:t>h</w:t>
      </w:r>
      <w:r w:rsidRPr="00117EEC">
        <w:t xml:space="preserve">ouses of the </w:t>
      </w:r>
      <w:r>
        <w:t>P</w:t>
      </w:r>
      <w:r w:rsidRPr="00117EEC">
        <w:t>rotocols</w:t>
      </w:r>
      <w:r>
        <w:t>, to facilitate capacity-building and development and technical and scientific cooperation</w:t>
      </w:r>
      <w:r w:rsidRPr="00117EEC">
        <w:t>;</w:t>
      </w:r>
    </w:p>
    <w:p w14:paraId="0165B830" w14:textId="77777777" w:rsidR="008C379F" w:rsidRPr="00713974" w:rsidRDefault="008C379F" w:rsidP="00A30041">
      <w:pPr>
        <w:pStyle w:val="Para1"/>
        <w:numPr>
          <w:ilvl w:val="0"/>
          <w:numId w:val="0"/>
        </w:numPr>
        <w:suppressLineNumbers/>
        <w:tabs>
          <w:tab w:val="left" w:pos="1418"/>
        </w:tabs>
        <w:suppressAutoHyphens/>
        <w:kinsoku w:val="0"/>
        <w:adjustRightInd w:val="0"/>
        <w:ind w:firstLine="720"/>
        <w:rPr>
          <w:rFonts w:eastAsiaTheme="minorEastAsia"/>
          <w:strike/>
        </w:rPr>
      </w:pPr>
      <w:r>
        <w:t>19</w:t>
      </w:r>
      <w:r w:rsidRPr="00117EEC">
        <w:t>.</w:t>
      </w:r>
      <w:r w:rsidRPr="00117EEC">
        <w:tab/>
      </w:r>
      <w:r w:rsidRPr="00117EEC">
        <w:rPr>
          <w:i/>
          <w:iCs/>
        </w:rPr>
        <w:t>Urges</w:t>
      </w:r>
      <w:r>
        <w:rPr>
          <w:i/>
          <w:iCs/>
        </w:rPr>
        <w:t xml:space="preserve"> </w:t>
      </w:r>
      <w:r w:rsidRPr="00117EEC">
        <w:t xml:space="preserve">Parties and </w:t>
      </w:r>
      <w:r w:rsidRPr="004D32B6">
        <w:t>invites</w:t>
      </w:r>
      <w:r w:rsidRPr="00117EEC">
        <w:rPr>
          <w:i/>
          <w:iCs/>
        </w:rPr>
        <w:t xml:space="preserve"> </w:t>
      </w:r>
      <w:r w:rsidRPr="00117EEC">
        <w:t>other Governments to put in place enabling environments</w:t>
      </w:r>
      <w:r>
        <w:t>,</w:t>
      </w:r>
      <w:r w:rsidRPr="00117EEC">
        <w:t xml:space="preserve"> including relevant policies, legislation and incentives</w:t>
      </w:r>
      <w:r>
        <w:t>,</w:t>
      </w:r>
      <w:r w:rsidRPr="00117EEC">
        <w:t xml:space="preserve"> to promote and facilitate technical and scientific cooperation with other Parties, in particular developing country Parties, including through joint research programmes and joint ventures </w:t>
      </w:r>
      <w:r>
        <w:t xml:space="preserve">for the development of technologies relevant to </w:t>
      </w:r>
      <w:r w:rsidRPr="00103EA8">
        <w:t>the objective</w:t>
      </w:r>
      <w:r w:rsidRPr="00DF714D">
        <w:t>s of the Convention</w:t>
      </w:r>
      <w:r w:rsidRPr="00736F0E">
        <w:t xml:space="preserve">, </w:t>
      </w:r>
      <w:r w:rsidRPr="00C66D4A">
        <w:t>ensuring</w:t>
      </w:r>
      <w:r>
        <w:t xml:space="preserve"> the</w:t>
      </w:r>
      <w:r w:rsidRPr="00C66D4A">
        <w:t xml:space="preserve"> full and effective participation of </w:t>
      </w:r>
      <w:bookmarkStart w:id="69" w:name="_Hlk72329378"/>
      <w:r w:rsidRPr="00C66D4A">
        <w:t>indigenous people</w:t>
      </w:r>
      <w:r>
        <w:t>s</w:t>
      </w:r>
      <w:r w:rsidRPr="00C66D4A">
        <w:t xml:space="preserve"> and local communities</w:t>
      </w:r>
      <w:bookmarkEnd w:id="69"/>
      <w:r w:rsidRPr="00C66D4A">
        <w:t>, women and youth</w:t>
      </w:r>
      <w:r w:rsidRPr="009515B7">
        <w:t>;</w:t>
      </w:r>
    </w:p>
    <w:p w14:paraId="3657B81E" w14:textId="77777777" w:rsidR="008C379F" w:rsidRPr="00117EEC" w:rsidRDefault="008C379F" w:rsidP="00A30041">
      <w:pPr>
        <w:pStyle w:val="Para1"/>
        <w:numPr>
          <w:ilvl w:val="0"/>
          <w:numId w:val="0"/>
        </w:numPr>
        <w:suppressLineNumbers/>
        <w:suppressAutoHyphens/>
        <w:kinsoku w:val="0"/>
        <w:adjustRightInd w:val="0"/>
        <w:ind w:firstLine="720"/>
        <w:rPr>
          <w:rFonts w:eastAsiaTheme="minorEastAsia"/>
        </w:rPr>
      </w:pPr>
      <w:r>
        <w:t>20</w:t>
      </w:r>
      <w:r w:rsidRPr="00117EEC">
        <w:t>.</w:t>
      </w:r>
      <w:r w:rsidRPr="00117EEC">
        <w:tab/>
      </w:r>
      <w:r w:rsidRPr="00117EEC">
        <w:rPr>
          <w:i/>
          <w:iCs/>
        </w:rPr>
        <w:t xml:space="preserve">Encourages </w:t>
      </w:r>
      <w:r w:rsidRPr="00117EEC">
        <w:t>Parties</w:t>
      </w:r>
      <w:r>
        <w:t>,</w:t>
      </w:r>
      <w:r w:rsidRPr="00D833A8">
        <w:t xml:space="preserve"> </w:t>
      </w:r>
      <w:r w:rsidRPr="00117EEC">
        <w:t>in accordance with Article 20 of the Convention</w:t>
      </w:r>
      <w:r>
        <w:t>,</w:t>
      </w:r>
      <w:r w:rsidRPr="00117EEC">
        <w:t xml:space="preserve"> and other Governments, in collaboration with relevant partners and financial institutions</w:t>
      </w:r>
      <w:r>
        <w:t>,</w:t>
      </w:r>
      <w:r w:rsidRPr="00117EEC">
        <w:t xml:space="preserve"> to promote</w:t>
      </w:r>
      <w:r>
        <w:t xml:space="preserve">, </w:t>
      </w:r>
      <w:r w:rsidRPr="00117EEC">
        <w:t>facilitate</w:t>
      </w:r>
      <w:r>
        <w:t xml:space="preserve"> and support</w:t>
      </w:r>
      <w:r w:rsidRPr="00117EEC">
        <w:t xml:space="preserve"> the development of biodiversity-related technologies and innovations, including biotechnology, as </w:t>
      </w:r>
      <w:r w:rsidRPr="007C5F69">
        <w:t>well as locally designed solutions and indigenous technologies of indigenous peoples and local communities, with their free, prior and informed consent, in</w:t>
      </w:r>
      <w:r w:rsidRPr="00C23031">
        <w:t xml:space="preserve"> accordance with national legislation</w:t>
      </w:r>
      <w:r>
        <w:t xml:space="preserve"> and international </w:t>
      </w:r>
      <w:r w:rsidRPr="00EF6484">
        <w:t>instruments, including</w:t>
      </w:r>
      <w:r>
        <w:t xml:space="preserve"> through </w:t>
      </w:r>
      <w:r w:rsidRPr="00251EF2">
        <w:t xml:space="preserve">incubator programmes </w:t>
      </w:r>
      <w:r w:rsidRPr="00117EEC">
        <w:t>relevan</w:t>
      </w:r>
      <w:r>
        <w:t>t to the objectives of</w:t>
      </w:r>
      <w:r w:rsidRPr="00117EEC">
        <w:t xml:space="preserve"> the Convention, and to increase technology transfer for all Parties, in particular for developing country Parties;</w:t>
      </w:r>
    </w:p>
    <w:p w14:paraId="5E3F36F5" w14:textId="77777777" w:rsidR="008C379F" w:rsidRPr="00117EEC" w:rsidRDefault="008C379F" w:rsidP="00A30041">
      <w:pPr>
        <w:pStyle w:val="Para1"/>
        <w:numPr>
          <w:ilvl w:val="0"/>
          <w:numId w:val="0"/>
        </w:numPr>
        <w:suppressLineNumbers/>
        <w:tabs>
          <w:tab w:val="left" w:pos="1418"/>
        </w:tabs>
        <w:suppressAutoHyphens/>
        <w:kinsoku w:val="0"/>
        <w:adjustRightInd w:val="0"/>
        <w:ind w:firstLine="720"/>
        <w:rPr>
          <w:rFonts w:eastAsiaTheme="minorEastAsia"/>
        </w:rPr>
      </w:pPr>
      <w:r>
        <w:t>21</w:t>
      </w:r>
      <w:r w:rsidRPr="00117EEC">
        <w:t>.</w:t>
      </w:r>
      <w:r w:rsidRPr="00117EEC">
        <w:tab/>
      </w:r>
      <w:r>
        <w:rPr>
          <w:i/>
          <w:iCs/>
        </w:rPr>
        <w:t>E</w:t>
      </w:r>
      <w:r w:rsidRPr="00117EEC">
        <w:rPr>
          <w:i/>
          <w:iCs/>
        </w:rPr>
        <w:t xml:space="preserve">ncourages </w:t>
      </w:r>
      <w:r w:rsidRPr="00117EEC">
        <w:t>Parties, other Governments and relevant organizations to take practical steps to promote and strengthen relevant networks of institutions and communities of practice to facilitate the exchange of biodiversity-related information, experiences, skills and technical know-how, among others, through networks of national and regional clearing-house mechanisms;</w:t>
      </w:r>
    </w:p>
    <w:p w14:paraId="3A2C3510" w14:textId="77777777" w:rsidR="008C379F" w:rsidRPr="00694029" w:rsidRDefault="008C379F" w:rsidP="00A30041">
      <w:pPr>
        <w:pStyle w:val="Para1"/>
        <w:numPr>
          <w:ilvl w:val="0"/>
          <w:numId w:val="0"/>
        </w:numPr>
        <w:suppressLineNumbers/>
        <w:tabs>
          <w:tab w:val="left" w:pos="1418"/>
        </w:tabs>
        <w:suppressAutoHyphens/>
        <w:kinsoku w:val="0"/>
        <w:adjustRightInd w:val="0"/>
        <w:ind w:firstLine="720"/>
        <w:rPr>
          <w:rFonts w:eastAsiaTheme="minorEastAsia"/>
        </w:rPr>
      </w:pPr>
      <w:r>
        <w:t>22</w:t>
      </w:r>
      <w:r w:rsidRPr="00117EEC">
        <w:t>.</w:t>
      </w:r>
      <w:r w:rsidRPr="00117EEC">
        <w:tab/>
      </w:r>
      <w:r w:rsidRPr="00117EEC">
        <w:rPr>
          <w:i/>
          <w:iCs/>
        </w:rPr>
        <w:t>Takes note</w:t>
      </w:r>
      <w:r w:rsidRPr="00117EEC">
        <w:t xml:space="preserve"> of the outcomes and key messages of the fifth Science-Policy Forum </w:t>
      </w:r>
      <w:r>
        <w:t>for</w:t>
      </w:r>
      <w:r w:rsidRPr="00117EEC">
        <w:t xml:space="preserve"> Biodiversity and the </w:t>
      </w:r>
      <w:r w:rsidRPr="00322D2B">
        <w:t>eighth International Conference on Sustainability</w:t>
      </w:r>
      <w:r>
        <w:t xml:space="preserve"> Science</w:t>
      </w:r>
      <w:r w:rsidRPr="00117EEC">
        <w:t>;</w:t>
      </w:r>
      <w:r w:rsidRPr="00610646">
        <w:rPr>
          <w:rStyle w:val="FootnoteReference"/>
          <w:rFonts w:eastAsiaTheme="minorEastAsia"/>
        </w:rPr>
        <w:footnoteReference w:id="71"/>
      </w:r>
    </w:p>
    <w:p w14:paraId="4CFC7B68" w14:textId="77777777" w:rsidR="008C379F" w:rsidRPr="003130BA" w:rsidRDefault="008C379F" w:rsidP="00A30041">
      <w:pPr>
        <w:pStyle w:val="Para1"/>
        <w:numPr>
          <w:ilvl w:val="0"/>
          <w:numId w:val="0"/>
        </w:numPr>
        <w:suppressLineNumbers/>
        <w:tabs>
          <w:tab w:val="left" w:pos="1418"/>
        </w:tabs>
        <w:suppressAutoHyphens/>
        <w:kinsoku w:val="0"/>
        <w:adjustRightInd w:val="0"/>
        <w:ind w:firstLine="720"/>
        <w:rPr>
          <w:rFonts w:eastAsiaTheme="minorEastAsia"/>
          <w:i/>
        </w:rPr>
      </w:pPr>
      <w:r>
        <w:t>23</w:t>
      </w:r>
      <w:r w:rsidRPr="00117EEC">
        <w:t>.</w:t>
      </w:r>
      <w:r w:rsidRPr="00117EEC">
        <w:tab/>
      </w:r>
      <w:r w:rsidRPr="00117EEC">
        <w:rPr>
          <w:i/>
          <w:iCs/>
        </w:rPr>
        <w:t>Urges</w:t>
      </w:r>
      <w:r w:rsidRPr="00117EEC">
        <w:t xml:space="preserve"> Parties,</w:t>
      </w:r>
      <w:r>
        <w:t xml:space="preserve"> </w:t>
      </w:r>
      <w:r w:rsidRPr="00117EEC">
        <w:t xml:space="preserve">and </w:t>
      </w:r>
      <w:r w:rsidRPr="004D32B6">
        <w:rPr>
          <w:iCs/>
        </w:rPr>
        <w:t>invites</w:t>
      </w:r>
      <w:r w:rsidRPr="00117EEC">
        <w:t xml:space="preserve"> other Governments</w:t>
      </w:r>
      <w:r>
        <w:t xml:space="preserve"> and relevant stakeholders,</w:t>
      </w:r>
      <w:r w:rsidRPr="00117EEC">
        <w:t xml:space="preserve"> to develop solutions based on innovative technologies embedded in local contexts to </w:t>
      </w:r>
      <w:r w:rsidRPr="0081332D">
        <w:t>enhan</w:t>
      </w:r>
      <w:r>
        <w:t>ce</w:t>
      </w:r>
      <w:r w:rsidRPr="0081332D">
        <w:t xml:space="preserve"> the conservation and sustainable use of biological diversity</w:t>
      </w:r>
      <w:r w:rsidRPr="00117EEC">
        <w:t xml:space="preserve"> </w:t>
      </w:r>
      <w:r>
        <w:t xml:space="preserve">and to </w:t>
      </w:r>
      <w:r w:rsidRPr="00117EEC">
        <w:t>address</w:t>
      </w:r>
      <w:r w:rsidRPr="0081332D">
        <w:t xml:space="preserve"> </w:t>
      </w:r>
      <w:r>
        <w:t>the goals and targets of the Kunming-Montreal Global Biodiversity Framework</w:t>
      </w:r>
      <w:r w:rsidRPr="00117EEC">
        <w:t xml:space="preserve"> </w:t>
      </w:r>
      <w:r>
        <w:t xml:space="preserve">and </w:t>
      </w:r>
      <w:r w:rsidRPr="00117EEC">
        <w:t xml:space="preserve">the </w:t>
      </w:r>
      <w:r w:rsidRPr="003130BA">
        <w:t>Sustainable Development Goals, and to scale up those solutions at the national, subregional and regional levels;</w:t>
      </w:r>
    </w:p>
    <w:p w14:paraId="0D172165" w14:textId="77777777" w:rsidR="008C379F" w:rsidRDefault="008C379F" w:rsidP="00EC26EE">
      <w:pPr>
        <w:pStyle w:val="Para1"/>
        <w:numPr>
          <w:ilvl w:val="0"/>
          <w:numId w:val="0"/>
        </w:numPr>
        <w:suppressLineNumbers/>
        <w:suppressAutoHyphens/>
        <w:kinsoku w:val="0"/>
        <w:adjustRightInd w:val="0"/>
        <w:ind w:firstLine="720"/>
      </w:pPr>
      <w:r w:rsidRPr="003130BA">
        <w:t>24.</w:t>
      </w:r>
      <w:r w:rsidRPr="003130BA">
        <w:tab/>
      </w:r>
      <w:r w:rsidRPr="003130BA">
        <w:rPr>
          <w:i/>
          <w:iCs/>
        </w:rPr>
        <w:t xml:space="preserve">Decides </w:t>
      </w:r>
      <w:r w:rsidRPr="003130BA">
        <w:t>to establish</w:t>
      </w:r>
      <w:r w:rsidRPr="00F07B4B">
        <w:t xml:space="preserve"> an informal advisory group on technical and scientific cooperation, to provide strategic advice on practical measures, tools and opportunities to promote and facilitate technical and scientific cooperation in accordance with the terms of reference contained in annex III </w:t>
      </w:r>
      <w:r>
        <w:t>to the present decision</w:t>
      </w:r>
      <w:r w:rsidRPr="00F07B4B">
        <w:t>;</w:t>
      </w:r>
    </w:p>
    <w:p w14:paraId="4B68E6A6" w14:textId="77777777" w:rsidR="008C379F" w:rsidRDefault="008C379F" w:rsidP="00981752">
      <w:pPr>
        <w:tabs>
          <w:tab w:val="left" w:pos="1418"/>
        </w:tabs>
        <w:spacing w:before="120" w:after="120"/>
        <w:ind w:firstLine="720"/>
      </w:pPr>
      <w:r>
        <w:t xml:space="preserve">25. </w:t>
      </w:r>
      <w:r>
        <w:tab/>
      </w:r>
      <w:r w:rsidRPr="00541EA7">
        <w:rPr>
          <w:i/>
          <w:iCs/>
        </w:rPr>
        <w:t>Also decides</w:t>
      </w:r>
      <w:r>
        <w:t xml:space="preserve"> to establish a mechanism comprising a network of regional, and/or additional subregional technical </w:t>
      </w:r>
      <w:r w:rsidRPr="00D21F5A">
        <w:t xml:space="preserve">and scientific cooperation support centres to be coordinated at </w:t>
      </w:r>
      <w:r w:rsidRPr="000D15D0">
        <w:t>the global level by a global coordination entity, as described in annex II to the present decision;</w:t>
      </w:r>
      <w:r>
        <w:t xml:space="preserve"> </w:t>
      </w:r>
    </w:p>
    <w:p w14:paraId="126548AC" w14:textId="5BF1BBD3" w:rsidR="008C379F" w:rsidRDefault="008C379F" w:rsidP="00981752">
      <w:pPr>
        <w:tabs>
          <w:tab w:val="left" w:pos="1418"/>
        </w:tabs>
        <w:spacing w:before="120" w:after="120"/>
        <w:ind w:firstLine="720"/>
      </w:pPr>
      <w:r>
        <w:lastRenderedPageBreak/>
        <w:t>26.</w:t>
      </w:r>
      <w:r>
        <w:tab/>
      </w:r>
      <w:r>
        <w:rPr>
          <w:i/>
          <w:iCs/>
        </w:rPr>
        <w:t>Further</w:t>
      </w:r>
      <w:r w:rsidRPr="00541EA7">
        <w:rPr>
          <w:i/>
          <w:iCs/>
        </w:rPr>
        <w:t xml:space="preserve"> decides</w:t>
      </w:r>
      <w:r>
        <w:t xml:space="preserve"> that the core functions of the regional and/or subregional centres will include the following:</w:t>
      </w:r>
    </w:p>
    <w:p w14:paraId="52A1A435" w14:textId="77777777" w:rsidR="008C379F" w:rsidRPr="00117EEC" w:rsidRDefault="008C379F" w:rsidP="00435DFB">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117EEC">
        <w:rPr>
          <w:snapToGrid w:val="0"/>
          <w:color w:val="000000" w:themeColor="text1"/>
          <w:kern w:val="22"/>
          <w:szCs w:val="22"/>
        </w:rPr>
        <w:t>(a)</w:t>
      </w:r>
      <w:r w:rsidRPr="00117EEC">
        <w:rPr>
          <w:snapToGrid w:val="0"/>
          <w:color w:val="000000" w:themeColor="text1"/>
          <w:kern w:val="22"/>
          <w:szCs w:val="22"/>
        </w:rPr>
        <w:tab/>
        <w:t>To promote and facilitate, on a demand-driven basis, technical and scientific cooperation and technology transfer</w:t>
      </w:r>
      <w:r w:rsidRPr="00117EEC" w:rsidDel="00710A01">
        <w:rPr>
          <w:snapToGrid w:val="0"/>
          <w:color w:val="000000" w:themeColor="text1"/>
          <w:kern w:val="22"/>
          <w:szCs w:val="22"/>
        </w:rPr>
        <w:t xml:space="preserve"> </w:t>
      </w:r>
      <w:r w:rsidRPr="00117EEC">
        <w:rPr>
          <w:snapToGrid w:val="0"/>
          <w:color w:val="000000" w:themeColor="text1"/>
          <w:kern w:val="22"/>
          <w:szCs w:val="22"/>
        </w:rPr>
        <w:t>among Parties, especially from developed country Parties to developing country Parties</w:t>
      </w:r>
      <w:r>
        <w:rPr>
          <w:snapToGrid w:val="0"/>
          <w:color w:val="000000" w:themeColor="text1"/>
          <w:kern w:val="22"/>
          <w:szCs w:val="22"/>
        </w:rPr>
        <w:t xml:space="preserve">, </w:t>
      </w:r>
      <w:r w:rsidRPr="00117EEC">
        <w:rPr>
          <w:snapToGrid w:val="0"/>
          <w:color w:val="000000" w:themeColor="text1"/>
          <w:kern w:val="22"/>
          <w:szCs w:val="22"/>
        </w:rPr>
        <w:t xml:space="preserve">to support the implementation of the Convention and </w:t>
      </w:r>
      <w:r>
        <w:rPr>
          <w:snapToGrid w:val="0"/>
          <w:color w:val="000000" w:themeColor="text1"/>
          <w:kern w:val="22"/>
          <w:szCs w:val="22"/>
        </w:rPr>
        <w:t xml:space="preserve">of </w:t>
      </w:r>
      <w:r w:rsidRPr="00117EEC">
        <w:rPr>
          <w:snapToGrid w:val="0"/>
          <w:color w:val="000000" w:themeColor="text1"/>
          <w:kern w:val="22"/>
          <w:szCs w:val="22"/>
        </w:rPr>
        <w:t xml:space="preserve">the </w:t>
      </w:r>
      <w:r>
        <w:rPr>
          <w:snapToGrid w:val="0"/>
          <w:color w:val="000000" w:themeColor="text1"/>
          <w:kern w:val="22"/>
          <w:szCs w:val="22"/>
        </w:rPr>
        <w:t>Kunming-Montreal G</w:t>
      </w:r>
      <w:r w:rsidRPr="00117EEC">
        <w:rPr>
          <w:snapToGrid w:val="0"/>
          <w:color w:val="000000" w:themeColor="text1"/>
          <w:kern w:val="22"/>
          <w:szCs w:val="22"/>
        </w:rPr>
        <w:t xml:space="preserve">lobal </w:t>
      </w:r>
      <w:r>
        <w:rPr>
          <w:snapToGrid w:val="0"/>
          <w:color w:val="000000" w:themeColor="text1"/>
          <w:kern w:val="22"/>
          <w:szCs w:val="22"/>
        </w:rPr>
        <w:t>B</w:t>
      </w:r>
      <w:r w:rsidRPr="00117EEC">
        <w:rPr>
          <w:snapToGrid w:val="0"/>
          <w:color w:val="000000" w:themeColor="text1"/>
          <w:kern w:val="22"/>
          <w:szCs w:val="22"/>
        </w:rPr>
        <w:t xml:space="preserve">iodiversity </w:t>
      </w:r>
      <w:r>
        <w:rPr>
          <w:snapToGrid w:val="0"/>
          <w:color w:val="000000" w:themeColor="text1"/>
          <w:kern w:val="22"/>
          <w:szCs w:val="22"/>
        </w:rPr>
        <w:t>F</w:t>
      </w:r>
      <w:r w:rsidRPr="00117EEC">
        <w:rPr>
          <w:snapToGrid w:val="0"/>
          <w:color w:val="000000" w:themeColor="text1"/>
          <w:kern w:val="22"/>
          <w:szCs w:val="22"/>
        </w:rPr>
        <w:t>ramework, including through joint research programmes and joint ventures for the development of technologies relevant to the objectives of th</w:t>
      </w:r>
      <w:r>
        <w:rPr>
          <w:snapToGrid w:val="0"/>
          <w:color w:val="000000" w:themeColor="text1"/>
          <w:kern w:val="22"/>
          <w:szCs w:val="22"/>
        </w:rPr>
        <w:t>e</w:t>
      </w:r>
      <w:r w:rsidRPr="00117EEC">
        <w:rPr>
          <w:snapToGrid w:val="0"/>
          <w:color w:val="000000" w:themeColor="text1"/>
          <w:kern w:val="22"/>
          <w:szCs w:val="22"/>
        </w:rPr>
        <w:t xml:space="preserve"> Convention;</w:t>
      </w:r>
    </w:p>
    <w:p w14:paraId="1E256829" w14:textId="77777777" w:rsidR="008C379F" w:rsidRPr="00541EA7" w:rsidRDefault="008C379F" w:rsidP="00ED2009">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117EEC">
        <w:rPr>
          <w:snapToGrid w:val="0"/>
          <w:color w:val="000000" w:themeColor="text1"/>
          <w:kern w:val="22"/>
          <w:szCs w:val="22"/>
        </w:rPr>
        <w:t>(b)</w:t>
      </w:r>
      <w:r w:rsidRPr="00117EEC">
        <w:rPr>
          <w:snapToGrid w:val="0"/>
          <w:color w:val="000000" w:themeColor="text1"/>
          <w:kern w:val="22"/>
          <w:szCs w:val="22"/>
        </w:rPr>
        <w:tab/>
        <w:t>To provide a “one-stop service centre” for Parties to biodiversity-related conventions</w:t>
      </w:r>
      <w:r>
        <w:rPr>
          <w:snapToGrid w:val="0"/>
          <w:color w:val="000000" w:themeColor="text1"/>
          <w:kern w:val="22"/>
          <w:szCs w:val="22"/>
        </w:rPr>
        <w:t>,</w:t>
      </w:r>
      <w:r w:rsidRPr="00117EEC">
        <w:rPr>
          <w:snapToGrid w:val="0"/>
          <w:color w:val="000000" w:themeColor="text1"/>
          <w:kern w:val="22"/>
          <w:szCs w:val="22"/>
        </w:rPr>
        <w:t xml:space="preserve"> </w:t>
      </w:r>
      <w:r w:rsidRPr="00117EEC">
        <w:rPr>
          <w:snapToGrid w:val="0"/>
          <w:kern w:val="22"/>
          <w:szCs w:val="22"/>
        </w:rPr>
        <w:t xml:space="preserve">indigenous peoples and local communities, women and youth organizations, and other relevant stakeholders </w:t>
      </w:r>
      <w:r w:rsidRPr="00117EEC">
        <w:rPr>
          <w:snapToGrid w:val="0"/>
          <w:color w:val="000000" w:themeColor="text1"/>
          <w:kern w:val="22"/>
          <w:szCs w:val="22"/>
        </w:rPr>
        <w:t>to access</w:t>
      </w:r>
      <w:r w:rsidRPr="00117EEC">
        <w:rPr>
          <w:snapToGrid w:val="0"/>
          <w:kern w:val="22"/>
          <w:szCs w:val="22"/>
        </w:rPr>
        <w:t xml:space="preserve"> technical and scientific knowledge, expertise, tools and other resources, taking into account the science, technology and innovation capability gaps identified by Parties, especially developing country Parties;</w:t>
      </w:r>
    </w:p>
    <w:p w14:paraId="1C19BDBF" w14:textId="77777777" w:rsidR="008C379F" w:rsidRPr="00541EA7" w:rsidRDefault="008C379F" w:rsidP="005C1DB8">
      <w:pPr>
        <w:suppressLineNumbers/>
        <w:suppressAutoHyphens/>
        <w:kinsoku w:val="0"/>
        <w:overflowPunct w:val="0"/>
        <w:autoSpaceDE w:val="0"/>
        <w:autoSpaceDN w:val="0"/>
        <w:adjustRightInd w:val="0"/>
        <w:snapToGrid w:val="0"/>
        <w:spacing w:before="120" w:after="120"/>
        <w:ind w:firstLine="720"/>
        <w:rPr>
          <w:snapToGrid w:val="0"/>
          <w:color w:val="000000" w:themeColor="text1"/>
          <w:kern w:val="22"/>
          <w:szCs w:val="22"/>
        </w:rPr>
      </w:pPr>
      <w:r w:rsidRPr="00117EEC">
        <w:rPr>
          <w:snapToGrid w:val="0"/>
          <w:kern w:val="22"/>
          <w:szCs w:val="22"/>
        </w:rPr>
        <w:t>(c)</w:t>
      </w:r>
      <w:r w:rsidRPr="00117EEC">
        <w:rPr>
          <w:snapToGrid w:val="0"/>
          <w:kern w:val="22"/>
          <w:szCs w:val="22"/>
        </w:rPr>
        <w:tab/>
        <w:t xml:space="preserve">To provide </w:t>
      </w:r>
      <w:r w:rsidRPr="00117EEC">
        <w:rPr>
          <w:snapToGrid w:val="0"/>
          <w:color w:val="000000" w:themeColor="text1"/>
          <w:kern w:val="22"/>
          <w:szCs w:val="22"/>
        </w:rPr>
        <w:t xml:space="preserve">Parties, especially developing country Parties, </w:t>
      </w:r>
      <w:r>
        <w:rPr>
          <w:snapToGrid w:val="0"/>
          <w:color w:val="000000" w:themeColor="text1"/>
          <w:kern w:val="22"/>
          <w:szCs w:val="22"/>
        </w:rPr>
        <w:t xml:space="preserve">with </w:t>
      </w:r>
      <w:r w:rsidRPr="00117EEC">
        <w:rPr>
          <w:snapToGrid w:val="0"/>
          <w:color w:val="000000" w:themeColor="text1"/>
          <w:kern w:val="22"/>
          <w:szCs w:val="22"/>
        </w:rPr>
        <w:t>access to information on opportunities for technical and scientific cooperation, technology transfer and innovations</w:t>
      </w:r>
      <w:r>
        <w:rPr>
          <w:snapToGrid w:val="0"/>
          <w:color w:val="000000" w:themeColor="text1"/>
          <w:kern w:val="22"/>
          <w:szCs w:val="22"/>
        </w:rPr>
        <w:t>, including</w:t>
      </w:r>
      <w:r w:rsidRPr="00117EEC">
        <w:rPr>
          <w:snapToGrid w:val="0"/>
          <w:color w:val="000000" w:themeColor="text1"/>
          <w:kern w:val="22"/>
          <w:szCs w:val="22"/>
        </w:rPr>
        <w:t xml:space="preserve"> biotechnolog</w:t>
      </w:r>
      <w:r>
        <w:rPr>
          <w:snapToGrid w:val="0"/>
          <w:color w:val="000000" w:themeColor="text1"/>
          <w:kern w:val="22"/>
          <w:szCs w:val="22"/>
        </w:rPr>
        <w:t>y</w:t>
      </w:r>
      <w:r w:rsidRPr="00610646">
        <w:rPr>
          <w:rStyle w:val="FootnoteReference"/>
        </w:rPr>
        <w:footnoteReference w:id="72"/>
      </w:r>
      <w:r w:rsidRPr="00117EEC">
        <w:rPr>
          <w:snapToGrid w:val="0"/>
          <w:color w:val="000000" w:themeColor="text1"/>
          <w:kern w:val="22"/>
          <w:szCs w:val="22"/>
        </w:rPr>
        <w:t xml:space="preserve"> research;</w:t>
      </w:r>
    </w:p>
    <w:p w14:paraId="2290FB7D" w14:textId="77777777" w:rsidR="008C379F" w:rsidRPr="00117EEC" w:rsidRDefault="008C379F" w:rsidP="00435DFB">
      <w:pPr>
        <w:suppressLineNumbers/>
        <w:suppressAutoHyphens/>
        <w:kinsoku w:val="0"/>
        <w:overflowPunct w:val="0"/>
        <w:autoSpaceDE w:val="0"/>
        <w:autoSpaceDN w:val="0"/>
        <w:adjustRightInd w:val="0"/>
        <w:snapToGrid w:val="0"/>
        <w:spacing w:before="120" w:after="120"/>
        <w:ind w:firstLine="720"/>
        <w:rPr>
          <w:rFonts w:eastAsiaTheme="minorEastAsia"/>
          <w:snapToGrid w:val="0"/>
          <w:color w:val="000000" w:themeColor="text1"/>
          <w:kern w:val="22"/>
          <w:szCs w:val="22"/>
        </w:rPr>
      </w:pPr>
      <w:r w:rsidRPr="00117EEC">
        <w:rPr>
          <w:snapToGrid w:val="0"/>
          <w:color w:val="000000" w:themeColor="text1"/>
          <w:kern w:val="22"/>
          <w:szCs w:val="22"/>
        </w:rPr>
        <w:t>(d)</w:t>
      </w:r>
      <w:r w:rsidRPr="00117EEC">
        <w:rPr>
          <w:snapToGrid w:val="0"/>
          <w:color w:val="000000" w:themeColor="text1"/>
          <w:kern w:val="22"/>
          <w:szCs w:val="22"/>
        </w:rPr>
        <w:tab/>
        <w:t xml:space="preserve">To mobilize resources to </w:t>
      </w:r>
      <w:r w:rsidRPr="00117EEC">
        <w:rPr>
          <w:snapToGrid w:val="0"/>
          <w:kern w:val="22"/>
          <w:szCs w:val="22"/>
        </w:rPr>
        <w:t xml:space="preserve">provide </w:t>
      </w:r>
      <w:r>
        <w:rPr>
          <w:snapToGrid w:val="0"/>
          <w:kern w:val="22"/>
          <w:szCs w:val="22"/>
        </w:rPr>
        <w:t>timely</w:t>
      </w:r>
      <w:r w:rsidRPr="00117EEC">
        <w:rPr>
          <w:snapToGrid w:val="0"/>
          <w:kern w:val="22"/>
          <w:szCs w:val="22"/>
        </w:rPr>
        <w:t xml:space="preserve"> and targeted support for projects and activities t</w:t>
      </w:r>
      <w:r>
        <w:rPr>
          <w:snapToGrid w:val="0"/>
          <w:kern w:val="22"/>
          <w:szCs w:val="22"/>
        </w:rPr>
        <w:t>hat</w:t>
      </w:r>
      <w:r w:rsidRPr="00117EEC">
        <w:rPr>
          <w:snapToGrid w:val="0"/>
          <w:kern w:val="22"/>
          <w:szCs w:val="22"/>
        </w:rPr>
        <w:t xml:space="preserve"> address specific identified technical and scientific needs</w:t>
      </w:r>
      <w:r w:rsidRPr="00117EEC">
        <w:rPr>
          <w:snapToGrid w:val="0"/>
          <w:color w:val="000000" w:themeColor="text1"/>
          <w:kern w:val="22"/>
          <w:szCs w:val="22"/>
        </w:rPr>
        <w:t>;</w:t>
      </w:r>
    </w:p>
    <w:p w14:paraId="2F0CBF9B" w14:textId="77777777" w:rsidR="008C379F" w:rsidRPr="00117EEC" w:rsidRDefault="008C379F" w:rsidP="00435DFB">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rPr>
      </w:pPr>
      <w:r w:rsidRPr="00117EEC">
        <w:rPr>
          <w:snapToGrid w:val="0"/>
          <w:kern w:val="22"/>
          <w:szCs w:val="22"/>
        </w:rPr>
        <w:t>(e)</w:t>
      </w:r>
      <w:r w:rsidRPr="00117EEC">
        <w:rPr>
          <w:snapToGrid w:val="0"/>
          <w:kern w:val="22"/>
          <w:szCs w:val="22"/>
        </w:rPr>
        <w:tab/>
        <w:t>To facilitate matchmaking between Parties with specific needs and Parties or organizations in a position to provide assistance in response to the priority needs</w:t>
      </w:r>
      <w:r w:rsidRPr="00117EEC">
        <w:t xml:space="preserve"> </w:t>
      </w:r>
      <w:r w:rsidRPr="00117EEC">
        <w:rPr>
          <w:snapToGrid w:val="0"/>
          <w:kern w:val="22"/>
          <w:szCs w:val="22"/>
        </w:rPr>
        <w:t>identified;</w:t>
      </w:r>
    </w:p>
    <w:p w14:paraId="171F64F1" w14:textId="77777777" w:rsidR="008C379F" w:rsidRPr="00117EEC" w:rsidRDefault="008C379F" w:rsidP="00435DFB">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rPr>
      </w:pPr>
      <w:r w:rsidRPr="00117EEC">
        <w:rPr>
          <w:snapToGrid w:val="0"/>
          <w:kern w:val="22"/>
          <w:szCs w:val="22"/>
        </w:rPr>
        <w:t>(f)</w:t>
      </w:r>
      <w:r w:rsidRPr="00117EEC">
        <w:rPr>
          <w:snapToGrid w:val="0"/>
          <w:kern w:val="22"/>
          <w:szCs w:val="22"/>
        </w:rPr>
        <w:tab/>
        <w:t>To catalyse and support the development, implementation, monitoring and evaluation of technical and scientific cooperation projects and programmes that:</w:t>
      </w:r>
    </w:p>
    <w:p w14:paraId="2A703DE8" w14:textId="77777777" w:rsidR="008C379F" w:rsidRPr="00117EEC" w:rsidRDefault="008C379F" w:rsidP="00981752">
      <w:pPr>
        <w:suppressLineNumbers/>
        <w:suppressAutoHyphens/>
        <w:kinsoku w:val="0"/>
        <w:overflowPunct w:val="0"/>
        <w:autoSpaceDE w:val="0"/>
        <w:autoSpaceDN w:val="0"/>
        <w:adjustRightInd w:val="0"/>
        <w:snapToGrid w:val="0"/>
        <w:spacing w:after="120"/>
        <w:ind w:left="2127" w:hanging="720"/>
        <w:rPr>
          <w:snapToGrid w:val="0"/>
          <w:kern w:val="22"/>
          <w:szCs w:val="22"/>
        </w:rPr>
      </w:pPr>
      <w:r w:rsidRPr="00117EEC">
        <w:rPr>
          <w:snapToGrid w:val="0"/>
          <w:kern w:val="22"/>
          <w:szCs w:val="22"/>
        </w:rPr>
        <w:t>(i)</w:t>
      </w:r>
      <w:r w:rsidRPr="00117EEC">
        <w:rPr>
          <w:snapToGrid w:val="0"/>
          <w:kern w:val="22"/>
          <w:szCs w:val="22"/>
        </w:rPr>
        <w:tab/>
        <w:t>Promote and incubate international and regional cooperation and partnerships using a programmatic approach;</w:t>
      </w:r>
    </w:p>
    <w:p w14:paraId="2F03A448" w14:textId="77777777" w:rsidR="008C379F" w:rsidRPr="00117EEC" w:rsidRDefault="008C379F" w:rsidP="00981752">
      <w:pPr>
        <w:suppressLineNumbers/>
        <w:suppressAutoHyphens/>
        <w:kinsoku w:val="0"/>
        <w:overflowPunct w:val="0"/>
        <w:autoSpaceDE w:val="0"/>
        <w:autoSpaceDN w:val="0"/>
        <w:adjustRightInd w:val="0"/>
        <w:snapToGrid w:val="0"/>
        <w:spacing w:after="120"/>
        <w:ind w:left="2127" w:hanging="720"/>
        <w:rPr>
          <w:snapToGrid w:val="0"/>
          <w:kern w:val="22"/>
          <w:szCs w:val="22"/>
        </w:rPr>
      </w:pPr>
      <w:r w:rsidRPr="00117EEC">
        <w:rPr>
          <w:snapToGrid w:val="0"/>
          <w:kern w:val="22"/>
          <w:szCs w:val="22"/>
        </w:rPr>
        <w:t>(ii)</w:t>
      </w:r>
      <w:r w:rsidRPr="00117EEC">
        <w:rPr>
          <w:snapToGrid w:val="0"/>
          <w:kern w:val="22"/>
          <w:szCs w:val="22"/>
        </w:rPr>
        <w:tab/>
        <w:t>Facilitate the development, transfer and diffusion of technologies and innovative national, regional and local solutions, including those of indigenous peoples and local communities, with their free, prior and informed consent, through scalable initiatives;</w:t>
      </w:r>
    </w:p>
    <w:p w14:paraId="39C21E12" w14:textId="77777777" w:rsidR="008C379F" w:rsidRPr="00117EEC" w:rsidRDefault="008C379F" w:rsidP="00981752">
      <w:pPr>
        <w:suppressLineNumbers/>
        <w:suppressAutoHyphens/>
        <w:kinsoku w:val="0"/>
        <w:overflowPunct w:val="0"/>
        <w:autoSpaceDE w:val="0"/>
        <w:autoSpaceDN w:val="0"/>
        <w:adjustRightInd w:val="0"/>
        <w:snapToGrid w:val="0"/>
        <w:spacing w:after="120"/>
        <w:ind w:left="2127" w:hanging="720"/>
        <w:rPr>
          <w:snapToGrid w:val="0"/>
          <w:kern w:val="22"/>
          <w:szCs w:val="22"/>
        </w:rPr>
      </w:pPr>
      <w:r w:rsidRPr="00117EEC">
        <w:rPr>
          <w:snapToGrid w:val="0"/>
          <w:kern w:val="22"/>
          <w:szCs w:val="22"/>
        </w:rPr>
        <w:t>(iii)</w:t>
      </w:r>
      <w:r w:rsidRPr="00117EEC">
        <w:rPr>
          <w:snapToGrid w:val="0"/>
          <w:kern w:val="22"/>
          <w:szCs w:val="22"/>
        </w:rPr>
        <w:tab/>
        <w:t>Facilitate access to</w:t>
      </w:r>
      <w:r>
        <w:rPr>
          <w:snapToGrid w:val="0"/>
          <w:kern w:val="22"/>
          <w:szCs w:val="22"/>
        </w:rPr>
        <w:t>,</w:t>
      </w:r>
      <w:r w:rsidRPr="00117EEC">
        <w:rPr>
          <w:snapToGrid w:val="0"/>
          <w:kern w:val="22"/>
          <w:szCs w:val="22"/>
        </w:rPr>
        <w:t xml:space="preserve"> and utilization of</w:t>
      </w:r>
      <w:r>
        <w:rPr>
          <w:snapToGrid w:val="0"/>
          <w:kern w:val="22"/>
          <w:szCs w:val="22"/>
        </w:rPr>
        <w:t>,</w:t>
      </w:r>
      <w:r w:rsidRPr="00117EEC">
        <w:rPr>
          <w:snapToGrid w:val="0"/>
          <w:kern w:val="22"/>
          <w:szCs w:val="22"/>
        </w:rPr>
        <w:t xml:space="preserve"> available scientific knowledge, information and data</w:t>
      </w:r>
      <w:r>
        <w:rPr>
          <w:snapToGrid w:val="0"/>
          <w:kern w:val="22"/>
          <w:szCs w:val="22"/>
        </w:rPr>
        <w:t>;</w:t>
      </w:r>
      <w:r w:rsidRPr="00117EEC">
        <w:rPr>
          <w:snapToGrid w:val="0"/>
          <w:kern w:val="22"/>
          <w:szCs w:val="22"/>
        </w:rPr>
        <w:t xml:space="preserve"> </w:t>
      </w:r>
    </w:p>
    <w:p w14:paraId="6708700E" w14:textId="77777777" w:rsidR="008C379F" w:rsidRPr="00117EEC" w:rsidRDefault="008C379F" w:rsidP="00435DFB">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rPr>
      </w:pPr>
      <w:r w:rsidRPr="00437F57">
        <w:rPr>
          <w:snapToGrid w:val="0"/>
          <w:kern w:val="22"/>
          <w:szCs w:val="22"/>
        </w:rPr>
        <w:t>(g)</w:t>
      </w:r>
      <w:r w:rsidRPr="00437F57">
        <w:rPr>
          <w:snapToGrid w:val="0"/>
          <w:kern w:val="22"/>
          <w:szCs w:val="22"/>
        </w:rPr>
        <w:tab/>
        <w:t xml:space="preserve">To strengthen capacities of regional, subregional and national </w:t>
      </w:r>
      <w:r>
        <w:rPr>
          <w:snapToGrid w:val="0"/>
          <w:kern w:val="22"/>
          <w:szCs w:val="22"/>
        </w:rPr>
        <w:t>institutions</w:t>
      </w:r>
      <w:r w:rsidRPr="00437F57">
        <w:rPr>
          <w:snapToGrid w:val="0"/>
          <w:kern w:val="22"/>
          <w:szCs w:val="22"/>
        </w:rPr>
        <w:t xml:space="preserve"> to facilitate technical and scientific cooperation with an emphasis on science, technology and innovation;</w:t>
      </w:r>
    </w:p>
    <w:p w14:paraId="49BFA8EB" w14:textId="77777777" w:rsidR="008C379F" w:rsidRPr="00117EEC" w:rsidRDefault="008C379F" w:rsidP="00435DFB">
      <w:pPr>
        <w:suppressLineNumbers/>
        <w:suppressAutoHyphens/>
        <w:kinsoku w:val="0"/>
        <w:overflowPunct w:val="0"/>
        <w:autoSpaceDE w:val="0"/>
        <w:autoSpaceDN w:val="0"/>
        <w:adjustRightInd w:val="0"/>
        <w:snapToGrid w:val="0"/>
        <w:spacing w:before="120" w:after="120"/>
        <w:ind w:firstLine="720"/>
        <w:rPr>
          <w:rFonts w:eastAsiaTheme="minorEastAsia"/>
          <w:snapToGrid w:val="0"/>
          <w:kern w:val="22"/>
          <w:szCs w:val="22"/>
        </w:rPr>
      </w:pPr>
      <w:r w:rsidRPr="00117EEC">
        <w:rPr>
          <w:snapToGrid w:val="0"/>
          <w:kern w:val="22"/>
          <w:szCs w:val="22"/>
        </w:rPr>
        <w:t>(h)</w:t>
      </w:r>
      <w:r w:rsidRPr="00117EEC">
        <w:rPr>
          <w:snapToGrid w:val="0"/>
          <w:kern w:val="22"/>
          <w:szCs w:val="22"/>
        </w:rPr>
        <w:tab/>
        <w:t>To facilitate knowledge sharing and organizational learning;</w:t>
      </w:r>
    </w:p>
    <w:p w14:paraId="58C0256C" w14:textId="77777777" w:rsidR="008C379F" w:rsidRPr="00117EEC" w:rsidRDefault="008C379F" w:rsidP="00435DFB">
      <w:pPr>
        <w:suppressLineNumbers/>
        <w:tabs>
          <w:tab w:val="left" w:pos="1418"/>
        </w:tabs>
        <w:suppressAutoHyphens/>
        <w:kinsoku w:val="0"/>
        <w:overflowPunct w:val="0"/>
        <w:autoSpaceDE w:val="0"/>
        <w:autoSpaceDN w:val="0"/>
        <w:adjustRightInd w:val="0"/>
        <w:snapToGrid w:val="0"/>
        <w:spacing w:before="120" w:after="120"/>
        <w:ind w:firstLine="720"/>
        <w:rPr>
          <w:snapToGrid w:val="0"/>
          <w:kern w:val="22"/>
        </w:rPr>
      </w:pPr>
      <w:r w:rsidRPr="00117EEC">
        <w:rPr>
          <w:snapToGrid w:val="0"/>
          <w:kern w:val="22"/>
        </w:rPr>
        <w:t>(i)</w:t>
      </w:r>
      <w:r w:rsidRPr="00117EEC">
        <w:rPr>
          <w:snapToGrid w:val="0"/>
          <w:kern w:val="22"/>
        </w:rPr>
        <w:tab/>
        <w:t xml:space="preserve">To identify, collate and disseminate good practices and lessons learned regarding biodiversity-related technical and scientific cooperation, technology transfer and innovation, </w:t>
      </w:r>
      <w:r>
        <w:rPr>
          <w:snapToGrid w:val="0"/>
          <w:kern w:val="22"/>
        </w:rPr>
        <w:t>including</w:t>
      </w:r>
      <w:r w:rsidRPr="00117EEC">
        <w:rPr>
          <w:snapToGrid w:val="0"/>
          <w:kern w:val="22"/>
        </w:rPr>
        <w:t xml:space="preserve"> biotechnolog</w:t>
      </w:r>
      <w:r>
        <w:rPr>
          <w:snapToGrid w:val="0"/>
          <w:kern w:val="22"/>
        </w:rPr>
        <w:t>y</w:t>
      </w:r>
      <w:r w:rsidRPr="00117EEC">
        <w:rPr>
          <w:snapToGrid w:val="0"/>
          <w:kern w:val="22"/>
        </w:rPr>
        <w:t xml:space="preserve"> research</w:t>
      </w:r>
      <w:r>
        <w:rPr>
          <w:snapToGrid w:val="0"/>
          <w:kern w:val="22"/>
        </w:rPr>
        <w:t xml:space="preserve">; </w:t>
      </w:r>
    </w:p>
    <w:p w14:paraId="5E688935" w14:textId="77777777" w:rsidR="008C379F" w:rsidRPr="00117EEC" w:rsidRDefault="008C379F" w:rsidP="00435DFB">
      <w:pPr>
        <w:suppressLineNumbers/>
        <w:tabs>
          <w:tab w:val="left" w:pos="1418"/>
        </w:tabs>
        <w:suppressAutoHyphens/>
        <w:kinsoku w:val="0"/>
        <w:overflowPunct w:val="0"/>
        <w:autoSpaceDE w:val="0"/>
        <w:autoSpaceDN w:val="0"/>
        <w:adjustRightInd w:val="0"/>
        <w:snapToGrid w:val="0"/>
        <w:spacing w:before="120" w:after="120"/>
        <w:ind w:firstLine="720"/>
        <w:rPr>
          <w:rFonts w:eastAsiaTheme="minorEastAsia"/>
          <w:snapToGrid w:val="0"/>
          <w:kern w:val="22"/>
        </w:rPr>
      </w:pPr>
      <w:r w:rsidRPr="00117EEC">
        <w:rPr>
          <w:snapToGrid w:val="0"/>
          <w:kern w:val="22"/>
        </w:rPr>
        <w:t>(j)</w:t>
      </w:r>
      <w:r w:rsidRPr="00117EEC">
        <w:rPr>
          <w:snapToGrid w:val="0"/>
          <w:kern w:val="22"/>
        </w:rPr>
        <w:tab/>
        <w:t>To maximize synergies and collaborate with other technology transfer initiatives and mechanisms;</w:t>
      </w:r>
    </w:p>
    <w:p w14:paraId="6B64A273" w14:textId="77777777" w:rsidR="008C379F" w:rsidRDefault="008C379F" w:rsidP="00B64EEF">
      <w:pPr>
        <w:suppressLineNumbers/>
        <w:suppressAutoHyphens/>
        <w:kinsoku w:val="0"/>
        <w:overflowPunct w:val="0"/>
        <w:autoSpaceDE w:val="0"/>
        <w:autoSpaceDN w:val="0"/>
        <w:adjustRightInd w:val="0"/>
        <w:snapToGrid w:val="0"/>
        <w:spacing w:before="120" w:after="120"/>
        <w:ind w:firstLine="709"/>
        <w:rPr>
          <w:snapToGrid w:val="0"/>
          <w:kern w:val="22"/>
        </w:rPr>
      </w:pPr>
      <w:r w:rsidRPr="00117EEC">
        <w:rPr>
          <w:snapToGrid w:val="0"/>
          <w:kern w:val="22"/>
        </w:rPr>
        <w:t>(k)</w:t>
      </w:r>
      <w:r w:rsidRPr="00117EEC">
        <w:rPr>
          <w:snapToGrid w:val="0"/>
          <w:kern w:val="22"/>
        </w:rPr>
        <w:tab/>
        <w:t>To perform such other activities</w:t>
      </w:r>
      <w:r>
        <w:rPr>
          <w:snapToGrid w:val="0"/>
          <w:kern w:val="22"/>
        </w:rPr>
        <w:t xml:space="preserve"> related to science, technology and innovation</w:t>
      </w:r>
      <w:r w:rsidRPr="00117EEC">
        <w:rPr>
          <w:snapToGrid w:val="0"/>
          <w:kern w:val="22"/>
        </w:rPr>
        <w:t xml:space="preserve"> as may be </w:t>
      </w:r>
      <w:r>
        <w:rPr>
          <w:snapToGrid w:val="0"/>
          <w:kern w:val="22"/>
        </w:rPr>
        <w:t>determined by the Conference of the Parties;</w:t>
      </w:r>
    </w:p>
    <w:p w14:paraId="0EB8FAB6" w14:textId="77777777" w:rsidR="008C379F" w:rsidRDefault="008C379F" w:rsidP="00541EA7">
      <w:pPr>
        <w:spacing w:after="160" w:line="259" w:lineRule="auto"/>
        <w:ind w:firstLine="709"/>
      </w:pPr>
      <w:r>
        <w:lastRenderedPageBreak/>
        <w:t xml:space="preserve">27. </w:t>
      </w:r>
      <w:r>
        <w:tab/>
      </w:r>
      <w:r>
        <w:rPr>
          <w:i/>
          <w:iCs/>
        </w:rPr>
        <w:t>D</w:t>
      </w:r>
      <w:r w:rsidRPr="00541EA7">
        <w:rPr>
          <w:i/>
          <w:iCs/>
        </w:rPr>
        <w:t>ecides</w:t>
      </w:r>
      <w:r>
        <w:t xml:space="preserve"> that the modalities for operationalization of the global coordination entity will be developed by the Subsidiary Body on Implementation </w:t>
      </w:r>
      <w:r w:rsidRPr="00FF5959">
        <w:t>for consideration by the Conference of the Parties at its sixteenth meeting, taking into account the core functio</w:t>
      </w:r>
      <w:r>
        <w:t>ns listed below:</w:t>
      </w:r>
    </w:p>
    <w:p w14:paraId="6976BF01" w14:textId="77777777" w:rsidR="008C379F" w:rsidRDefault="008C379F" w:rsidP="00950BE4">
      <w:pPr>
        <w:pStyle w:val="ListParagraph"/>
        <w:numPr>
          <w:ilvl w:val="0"/>
          <w:numId w:val="47"/>
        </w:numPr>
        <w:spacing w:before="120" w:after="120"/>
        <w:ind w:left="0" w:firstLine="709"/>
        <w:contextualSpacing w:val="0"/>
      </w:pPr>
      <w:r>
        <w:t>To facilitate coordination, collaboration and synergies among the regional and/or subregional centres;</w:t>
      </w:r>
    </w:p>
    <w:p w14:paraId="0B8A6D9F" w14:textId="77777777" w:rsidR="008C379F" w:rsidRDefault="008C379F" w:rsidP="00950BE4">
      <w:pPr>
        <w:pStyle w:val="ListParagraph"/>
        <w:numPr>
          <w:ilvl w:val="0"/>
          <w:numId w:val="47"/>
        </w:numPr>
        <w:spacing w:before="120" w:after="120"/>
        <w:ind w:left="0" w:firstLine="709"/>
        <w:contextualSpacing w:val="0"/>
      </w:pPr>
      <w:r>
        <w:t>To facilitate the sharing of experiences and lessons learned among the network members;</w:t>
      </w:r>
    </w:p>
    <w:p w14:paraId="589C2196" w14:textId="77777777" w:rsidR="008C379F" w:rsidRDefault="008C379F" w:rsidP="00950BE4">
      <w:pPr>
        <w:pStyle w:val="ListParagraph"/>
        <w:numPr>
          <w:ilvl w:val="0"/>
          <w:numId w:val="47"/>
        </w:numPr>
        <w:spacing w:before="120" w:after="120"/>
        <w:ind w:left="0" w:firstLine="709"/>
        <w:contextualSpacing w:val="0"/>
      </w:pPr>
      <w:r w:rsidRPr="00F33CB8">
        <w:rPr>
          <w:snapToGrid w:val="0"/>
          <w:color w:val="000000" w:themeColor="text1"/>
          <w:kern w:val="22"/>
        </w:rPr>
        <w:t xml:space="preserve">To </w:t>
      </w:r>
      <w:r>
        <w:rPr>
          <w:snapToGrid w:val="0"/>
          <w:color w:val="000000" w:themeColor="text1"/>
          <w:kern w:val="22"/>
        </w:rPr>
        <w:t xml:space="preserve">coordinate </w:t>
      </w:r>
      <w:r w:rsidRPr="00F33CB8">
        <w:rPr>
          <w:snapToGrid w:val="0"/>
          <w:color w:val="000000" w:themeColor="text1"/>
          <w:kern w:val="22"/>
        </w:rPr>
        <w:t xml:space="preserve">a </w:t>
      </w:r>
      <w:r>
        <w:rPr>
          <w:snapToGrid w:val="0"/>
          <w:color w:val="000000" w:themeColor="text1"/>
          <w:kern w:val="22"/>
        </w:rPr>
        <w:t>standardized</w:t>
      </w:r>
      <w:r w:rsidRPr="00F33CB8">
        <w:rPr>
          <w:snapToGrid w:val="0"/>
          <w:color w:val="000000" w:themeColor="text1"/>
          <w:kern w:val="22"/>
        </w:rPr>
        <w:t xml:space="preserve"> approach in the delivery of </w:t>
      </w:r>
      <w:r w:rsidRPr="006D55AE">
        <w:rPr>
          <w:snapToGrid w:val="0"/>
          <w:color w:val="000000" w:themeColor="text1"/>
          <w:kern w:val="22"/>
        </w:rPr>
        <w:t>support tools;</w:t>
      </w:r>
    </w:p>
    <w:p w14:paraId="78C15380" w14:textId="77777777" w:rsidR="008C379F" w:rsidRDefault="008C379F" w:rsidP="00950BE4">
      <w:pPr>
        <w:pStyle w:val="ListParagraph"/>
        <w:numPr>
          <w:ilvl w:val="0"/>
          <w:numId w:val="47"/>
        </w:numPr>
        <w:spacing w:before="120" w:after="120"/>
        <w:ind w:left="0" w:firstLine="709"/>
        <w:contextualSpacing w:val="0"/>
      </w:pPr>
      <w:r>
        <w:t>To mobilize additional resources for the technical and scientific cooperation programmes of the regional and/or subregional centres;</w:t>
      </w:r>
    </w:p>
    <w:p w14:paraId="2BAD57CD" w14:textId="77777777" w:rsidR="008C379F" w:rsidRPr="008B5990" w:rsidRDefault="008C379F" w:rsidP="00950BE4">
      <w:pPr>
        <w:pStyle w:val="ListParagraph"/>
        <w:numPr>
          <w:ilvl w:val="0"/>
          <w:numId w:val="47"/>
        </w:numPr>
        <w:spacing w:before="120" w:after="120"/>
        <w:ind w:left="0" w:firstLine="709"/>
        <w:contextualSpacing w:val="0"/>
        <w:rPr>
          <w:szCs w:val="22"/>
        </w:rPr>
      </w:pPr>
      <w:r>
        <w:rPr>
          <w:rFonts w:asciiTheme="majorBidi" w:hAnsiTheme="majorBidi" w:cstheme="majorBidi"/>
          <w:kern w:val="22"/>
          <w:szCs w:val="22"/>
        </w:rPr>
        <w:t>To o</w:t>
      </w:r>
      <w:r w:rsidRPr="008B5990">
        <w:rPr>
          <w:rFonts w:asciiTheme="majorBidi" w:hAnsiTheme="majorBidi" w:cstheme="majorBidi"/>
          <w:kern w:val="22"/>
          <w:szCs w:val="22"/>
        </w:rPr>
        <w:t xml:space="preserve">perate a global helpdesk to provide </w:t>
      </w:r>
      <w:r>
        <w:rPr>
          <w:rFonts w:asciiTheme="majorBidi" w:hAnsiTheme="majorBidi" w:cstheme="majorBidi"/>
          <w:kern w:val="22"/>
          <w:szCs w:val="22"/>
        </w:rPr>
        <w:t xml:space="preserve">information, advice and technical support </w:t>
      </w:r>
      <w:r w:rsidRPr="008B5990">
        <w:rPr>
          <w:rFonts w:asciiTheme="majorBidi" w:hAnsiTheme="majorBidi" w:cstheme="majorBidi"/>
          <w:kern w:val="22"/>
          <w:szCs w:val="22"/>
        </w:rPr>
        <w:t xml:space="preserve">at the request of the regional </w:t>
      </w:r>
      <w:r>
        <w:rPr>
          <w:rFonts w:asciiTheme="majorBidi" w:hAnsiTheme="majorBidi" w:cstheme="majorBidi"/>
          <w:kern w:val="22"/>
          <w:szCs w:val="22"/>
        </w:rPr>
        <w:t xml:space="preserve">and/or subregional </w:t>
      </w:r>
      <w:r w:rsidRPr="008B5990">
        <w:rPr>
          <w:rFonts w:asciiTheme="majorBidi" w:hAnsiTheme="majorBidi" w:cstheme="majorBidi"/>
          <w:kern w:val="22"/>
          <w:szCs w:val="22"/>
        </w:rPr>
        <w:t>centres</w:t>
      </w:r>
      <w:r>
        <w:rPr>
          <w:rFonts w:asciiTheme="majorBidi" w:hAnsiTheme="majorBidi" w:cstheme="majorBidi"/>
          <w:kern w:val="22"/>
          <w:szCs w:val="22"/>
        </w:rPr>
        <w:t>;</w:t>
      </w:r>
    </w:p>
    <w:p w14:paraId="340E2884" w14:textId="77777777" w:rsidR="008C379F" w:rsidRPr="003130BA" w:rsidRDefault="008C379F" w:rsidP="00950BE4">
      <w:pPr>
        <w:pStyle w:val="ListParagraph"/>
        <w:numPr>
          <w:ilvl w:val="0"/>
          <w:numId w:val="47"/>
        </w:numPr>
        <w:spacing w:before="120" w:after="120"/>
        <w:ind w:left="0" w:firstLine="709"/>
        <w:contextualSpacing w:val="0"/>
        <w:rPr>
          <w:szCs w:val="22"/>
        </w:rPr>
      </w:pPr>
      <w:r>
        <w:rPr>
          <w:rFonts w:asciiTheme="majorBidi" w:hAnsiTheme="majorBidi" w:cstheme="majorBidi"/>
          <w:kern w:val="22"/>
          <w:szCs w:val="22"/>
        </w:rPr>
        <w:t>To e</w:t>
      </w:r>
      <w:r w:rsidRPr="008B5990">
        <w:rPr>
          <w:rFonts w:asciiTheme="majorBidi" w:hAnsiTheme="majorBidi" w:cstheme="majorBidi"/>
          <w:kern w:val="22"/>
          <w:szCs w:val="22"/>
        </w:rPr>
        <w:t xml:space="preserve">nsure balance and equity among </w:t>
      </w:r>
      <w:r w:rsidRPr="003130BA">
        <w:rPr>
          <w:rFonts w:asciiTheme="majorBidi" w:hAnsiTheme="majorBidi" w:cstheme="majorBidi"/>
          <w:kern w:val="22"/>
          <w:szCs w:val="22"/>
        </w:rPr>
        <w:t xml:space="preserve">regions while implementing the technical and scientific cooperation mechanism’s mandate to facilitate access to information on opportunities for technical and scientific cooperation; </w:t>
      </w:r>
    </w:p>
    <w:p w14:paraId="1E353003" w14:textId="77777777" w:rsidR="008C379F" w:rsidRPr="003130BA" w:rsidRDefault="008C379F" w:rsidP="00981752">
      <w:pPr>
        <w:spacing w:before="120" w:after="120"/>
        <w:ind w:firstLine="709"/>
        <w:rPr>
          <w:szCs w:val="22"/>
        </w:rPr>
      </w:pPr>
      <w:r w:rsidRPr="003130BA">
        <w:rPr>
          <w:rFonts w:asciiTheme="majorBidi" w:hAnsiTheme="majorBidi" w:cstheme="majorBidi"/>
          <w:kern w:val="22"/>
          <w:szCs w:val="22"/>
        </w:rPr>
        <w:t>(g)</w:t>
      </w:r>
      <w:r w:rsidRPr="003130BA">
        <w:rPr>
          <w:rFonts w:asciiTheme="majorBidi" w:hAnsiTheme="majorBidi" w:cstheme="majorBidi"/>
          <w:kern w:val="22"/>
          <w:szCs w:val="22"/>
        </w:rPr>
        <w:tab/>
        <w:t xml:space="preserve">To support the regional and/or subregional centres to align their work with the Kunming-Montreal Global Biodiversity Framework and the implementation of the Convention; </w:t>
      </w:r>
    </w:p>
    <w:p w14:paraId="797FB7AE" w14:textId="77777777" w:rsidR="008C379F" w:rsidRPr="003130BA" w:rsidRDefault="008C379F" w:rsidP="00950BE4">
      <w:pPr>
        <w:pStyle w:val="ListParagraph"/>
        <w:numPr>
          <w:ilvl w:val="0"/>
          <w:numId w:val="48"/>
        </w:numPr>
        <w:spacing w:before="120" w:after="120"/>
        <w:ind w:left="0" w:firstLine="709"/>
        <w:rPr>
          <w:snapToGrid w:val="0"/>
          <w:kern w:val="22"/>
        </w:rPr>
      </w:pPr>
      <w:r w:rsidRPr="003130BA">
        <w:t>To assist the regional and/or subregional centres in the reporting of their work for the consideration of the Conference of the Parties</w:t>
      </w:r>
      <w:r>
        <w:t>;</w:t>
      </w:r>
      <w:r w:rsidRPr="003130BA">
        <w:t xml:space="preserve"> </w:t>
      </w:r>
    </w:p>
    <w:p w14:paraId="33B69130" w14:textId="77777777" w:rsidR="008C379F" w:rsidRPr="00117EEC" w:rsidRDefault="008C379F" w:rsidP="00541EA7">
      <w:pPr>
        <w:pStyle w:val="Para1"/>
        <w:numPr>
          <w:ilvl w:val="0"/>
          <w:numId w:val="0"/>
        </w:numPr>
        <w:suppressLineNumbers/>
        <w:suppressAutoHyphens/>
        <w:kinsoku w:val="0"/>
        <w:adjustRightInd w:val="0"/>
        <w:ind w:firstLine="720"/>
        <w:rPr>
          <w:rFonts w:eastAsiaTheme="minorEastAsia"/>
          <w:snapToGrid/>
        </w:rPr>
      </w:pPr>
      <w:r w:rsidRPr="003130BA">
        <w:t>28.</w:t>
      </w:r>
      <w:r w:rsidRPr="003130BA">
        <w:rPr>
          <w:i/>
          <w:iCs/>
        </w:rPr>
        <w:tab/>
        <w:t>Also decides</w:t>
      </w:r>
      <w:r w:rsidRPr="003130BA">
        <w:t xml:space="preserve"> in the interim to strengthen and scale up the Bio</w:t>
      </w:r>
      <w:r w:rsidRPr="00821632">
        <w:t>-Bridge Initiative for the coming biennium, subject to the a</w:t>
      </w:r>
      <w:r w:rsidRPr="00631432">
        <w:t>vailab</w:t>
      </w:r>
      <w:r>
        <w:t>ility of</w:t>
      </w:r>
      <w:r w:rsidRPr="00631432">
        <w:t xml:space="preserve"> resources</w:t>
      </w:r>
      <w:r>
        <w:t>,</w:t>
      </w:r>
      <w:r w:rsidRPr="00FF333C">
        <w:t xml:space="preserve"> </w:t>
      </w:r>
      <w:r w:rsidRPr="00631432">
        <w:t>taking into account the results of the terminal evaluation of phase I of the Initiative, and</w:t>
      </w:r>
      <w:r w:rsidRPr="00631432">
        <w:rPr>
          <w:i/>
          <w:iCs/>
        </w:rPr>
        <w:t xml:space="preserve"> </w:t>
      </w:r>
      <w:r w:rsidRPr="004D32B6">
        <w:t>urges</w:t>
      </w:r>
      <w:r w:rsidRPr="00631432">
        <w:t xml:space="preserve"> Parties, other Governments, relevant organizations and other stakeholders to scale up financial, technical and human resources to further promote technical and scientific cooperation and technology transfer in support of the </w:t>
      </w:r>
      <w:r>
        <w:t>Kunming-Montreal G</w:t>
      </w:r>
      <w:r w:rsidRPr="00631432">
        <w:t xml:space="preserve">lobal </w:t>
      </w:r>
      <w:r>
        <w:t>B</w:t>
      </w:r>
      <w:r w:rsidRPr="00631432">
        <w:t xml:space="preserve">iodiversity </w:t>
      </w:r>
      <w:r>
        <w:t>F</w:t>
      </w:r>
      <w:r w:rsidRPr="00631432">
        <w:t>ramework, at the global, national, regional, and subregional levels</w:t>
      </w:r>
      <w:r>
        <w:t>;</w:t>
      </w:r>
    </w:p>
    <w:p w14:paraId="7DECA564" w14:textId="77777777" w:rsidR="008C379F" w:rsidRDefault="008C379F" w:rsidP="003E6308">
      <w:pPr>
        <w:pStyle w:val="Para1"/>
        <w:numPr>
          <w:ilvl w:val="0"/>
          <w:numId w:val="0"/>
        </w:numPr>
        <w:suppressLineNumbers/>
        <w:suppressAutoHyphens/>
        <w:kinsoku w:val="0"/>
        <w:adjustRightInd w:val="0"/>
        <w:ind w:firstLine="720"/>
      </w:pPr>
      <w:r>
        <w:t>29</w:t>
      </w:r>
      <w:r w:rsidRPr="00117EEC">
        <w:t>.</w:t>
      </w:r>
      <w:r w:rsidRPr="00117EEC">
        <w:tab/>
      </w:r>
      <w:r w:rsidRPr="00117EEC">
        <w:rPr>
          <w:i/>
          <w:iCs/>
        </w:rPr>
        <w:t>Invites</w:t>
      </w:r>
      <w:r w:rsidRPr="00117EEC">
        <w:t xml:space="preserve"> the Global Environment Facility to support eligible activities of the regional </w:t>
      </w:r>
      <w:r>
        <w:t xml:space="preserve">and/or subregional technical and scientific cooperation </w:t>
      </w:r>
      <w:r w:rsidRPr="00117EEC">
        <w:t xml:space="preserve">support centres </w:t>
      </w:r>
      <w:r>
        <w:t xml:space="preserve">and the global coordination entity </w:t>
      </w:r>
      <w:r w:rsidRPr="00117EEC">
        <w:t xml:space="preserve">contributing to technical and scientific </w:t>
      </w:r>
      <w:r>
        <w:t>cooperation, technology transfer, and capacity-building and development</w:t>
      </w:r>
      <w:r w:rsidRPr="00117EEC">
        <w:t xml:space="preserve"> at global, regional</w:t>
      </w:r>
      <w:r>
        <w:t>, subregional</w:t>
      </w:r>
      <w:r w:rsidRPr="00117EEC">
        <w:t xml:space="preserve"> and national levels, as appropriate</w:t>
      </w:r>
      <w:r>
        <w:t>;</w:t>
      </w:r>
    </w:p>
    <w:p w14:paraId="7A91EE0D" w14:textId="77777777" w:rsidR="008C379F" w:rsidRDefault="008C379F" w:rsidP="006E130E">
      <w:pPr>
        <w:pStyle w:val="Para1"/>
        <w:numPr>
          <w:ilvl w:val="0"/>
          <w:numId w:val="0"/>
        </w:numPr>
        <w:suppressLineNumbers/>
        <w:suppressAutoHyphens/>
        <w:kinsoku w:val="0"/>
        <w:adjustRightInd w:val="0"/>
        <w:ind w:firstLine="720"/>
      </w:pPr>
      <w:r>
        <w:t>30.</w:t>
      </w:r>
      <w:r>
        <w:tab/>
      </w:r>
      <w:r w:rsidRPr="00541EA7">
        <w:rPr>
          <w:i/>
          <w:iCs/>
        </w:rPr>
        <w:t>Urges</w:t>
      </w:r>
      <w:r>
        <w:t xml:space="preserve"> Parties, in accordance with Articles 20 and 21, and </w:t>
      </w:r>
      <w:r w:rsidRPr="004D32B6">
        <w:t>invites</w:t>
      </w:r>
      <w:r>
        <w:t xml:space="preserve"> other Governments, relevant organizations and other stakeholders to provide financial and technical support to the regional and/or subregional support centres and to the global coordination entity referred to in </w:t>
      </w:r>
      <w:r w:rsidRPr="00ED71B5">
        <w:t>paragraph 25 of the</w:t>
      </w:r>
      <w:r>
        <w:t xml:space="preserve"> present decision; </w:t>
      </w:r>
    </w:p>
    <w:p w14:paraId="4B666B53" w14:textId="77777777" w:rsidR="008C379F" w:rsidRPr="00117EEC" w:rsidRDefault="008C379F" w:rsidP="006E130E">
      <w:pPr>
        <w:pStyle w:val="Para1"/>
        <w:numPr>
          <w:ilvl w:val="0"/>
          <w:numId w:val="0"/>
        </w:numPr>
        <w:suppressLineNumbers/>
        <w:suppressAutoHyphens/>
        <w:kinsoku w:val="0"/>
        <w:adjustRightInd w:val="0"/>
        <w:ind w:firstLine="720"/>
        <w:rPr>
          <w:rFonts w:eastAsiaTheme="minorEastAsia"/>
        </w:rPr>
      </w:pPr>
      <w:r>
        <w:t>31.</w:t>
      </w:r>
      <w:r>
        <w:tab/>
      </w:r>
      <w:r w:rsidRPr="00541EA7">
        <w:rPr>
          <w:i/>
          <w:iCs/>
        </w:rPr>
        <w:t>Requests</w:t>
      </w:r>
      <w:r>
        <w:t xml:space="preserve"> </w:t>
      </w:r>
      <w:r w:rsidRPr="00FA301D">
        <w:t xml:space="preserve">the </w:t>
      </w:r>
      <w:r>
        <w:t>I</w:t>
      </w:r>
      <w:r w:rsidRPr="00FA301D">
        <w:t xml:space="preserve">nformal </w:t>
      </w:r>
      <w:r>
        <w:t>A</w:t>
      </w:r>
      <w:r w:rsidRPr="00FA301D">
        <w:t xml:space="preserve">dvisory </w:t>
      </w:r>
      <w:r>
        <w:t>G</w:t>
      </w:r>
      <w:r w:rsidRPr="00FA301D">
        <w:t xml:space="preserve">roup </w:t>
      </w:r>
      <w:r>
        <w:t xml:space="preserve">on Technical and Scientific Cooperation </w:t>
      </w:r>
      <w:r w:rsidRPr="00FA301D">
        <w:t xml:space="preserve">established pursuant to paragraph 24 of the present decision to prepare recommendations on how to monitor progress against the long-term strategic framework for capacity-building and development and </w:t>
      </w:r>
      <w:r w:rsidRPr="004D32B6">
        <w:t xml:space="preserve">the mechanism to strengthen </w:t>
      </w:r>
      <w:r w:rsidRPr="00FA301D">
        <w:t>technical and scientific cooperation</w:t>
      </w:r>
      <w:r w:rsidRPr="005B2311">
        <w:t xml:space="preserve"> for consideration by the Subsidiary Body on Implementation at its fourth meeting</w:t>
      </w:r>
      <w:r>
        <w:t>,</w:t>
      </w:r>
      <w:r w:rsidRPr="005B2311">
        <w:t xml:space="preserve"> with the aim of informing the periodic </w:t>
      </w:r>
      <w:r w:rsidRPr="003130BA">
        <w:t>review, update an</w:t>
      </w:r>
      <w:r w:rsidRPr="00C760AD">
        <w:t xml:space="preserve">d </w:t>
      </w:r>
      <w:r w:rsidRPr="005B2311">
        <w:t>enhancement of the technical and scientific cooperation mechanism</w:t>
      </w:r>
      <w:r>
        <w:t>;</w:t>
      </w:r>
    </w:p>
    <w:p w14:paraId="333019B5" w14:textId="77777777" w:rsidR="008C379F" w:rsidRPr="00117EEC" w:rsidRDefault="008C379F" w:rsidP="00A30041">
      <w:pPr>
        <w:pStyle w:val="Para1"/>
        <w:numPr>
          <w:ilvl w:val="0"/>
          <w:numId w:val="0"/>
        </w:numPr>
        <w:suppressLineNumbers/>
        <w:tabs>
          <w:tab w:val="left" w:pos="1418"/>
        </w:tabs>
        <w:suppressAutoHyphens/>
        <w:kinsoku w:val="0"/>
        <w:adjustRightInd w:val="0"/>
        <w:ind w:firstLine="720"/>
        <w:rPr>
          <w:rFonts w:eastAsiaTheme="minorEastAsia"/>
        </w:rPr>
      </w:pPr>
      <w:r>
        <w:t>32</w:t>
      </w:r>
      <w:r w:rsidRPr="00117EEC">
        <w:t>.</w:t>
      </w:r>
      <w:r w:rsidRPr="00117EEC">
        <w:tab/>
      </w:r>
      <w:r w:rsidRPr="00117EEC">
        <w:rPr>
          <w:i/>
          <w:iCs/>
        </w:rPr>
        <w:t>Requests</w:t>
      </w:r>
      <w:r w:rsidRPr="00117EEC">
        <w:t xml:space="preserve"> the Executive Secretary, subject to the availability of resources:</w:t>
      </w:r>
    </w:p>
    <w:p w14:paraId="57570454" w14:textId="77777777" w:rsidR="008C379F" w:rsidRPr="00FB1E1B" w:rsidRDefault="008C379F" w:rsidP="00A30041">
      <w:pPr>
        <w:suppressLineNumbers/>
        <w:tabs>
          <w:tab w:val="left" w:pos="1418"/>
        </w:tabs>
        <w:suppressAutoHyphens/>
        <w:kinsoku w:val="0"/>
        <w:overflowPunct w:val="0"/>
        <w:autoSpaceDE w:val="0"/>
        <w:autoSpaceDN w:val="0"/>
        <w:adjustRightInd w:val="0"/>
        <w:snapToGrid w:val="0"/>
        <w:spacing w:after="120"/>
        <w:ind w:firstLine="720"/>
        <w:rPr>
          <w:snapToGrid w:val="0"/>
          <w:color w:val="000000" w:themeColor="text1"/>
          <w:kern w:val="22"/>
        </w:rPr>
      </w:pPr>
      <w:r w:rsidRPr="00117EEC">
        <w:rPr>
          <w:snapToGrid w:val="0"/>
          <w:kern w:val="22"/>
        </w:rPr>
        <w:t>(a)</w:t>
      </w:r>
      <w:r w:rsidRPr="00117EEC">
        <w:rPr>
          <w:snapToGrid w:val="0"/>
          <w:kern w:val="22"/>
        </w:rPr>
        <w:tab/>
        <w:t xml:space="preserve">To further promote and facilitate </w:t>
      </w:r>
      <w:r w:rsidRPr="00117EEC">
        <w:rPr>
          <w:snapToGrid w:val="0"/>
          <w:color w:val="000000" w:themeColor="text1"/>
          <w:kern w:val="22"/>
        </w:rPr>
        <w:t xml:space="preserve">technical and scientific cooperation in support of the </w:t>
      </w:r>
      <w:r>
        <w:rPr>
          <w:snapToGrid w:val="0"/>
          <w:color w:val="000000" w:themeColor="text1"/>
          <w:kern w:val="22"/>
        </w:rPr>
        <w:t>Kunming-Montreal G</w:t>
      </w:r>
      <w:r w:rsidRPr="00117EEC">
        <w:rPr>
          <w:snapToGrid w:val="0"/>
          <w:color w:val="000000" w:themeColor="text1"/>
          <w:kern w:val="22"/>
        </w:rPr>
        <w:t xml:space="preserve">lobal </w:t>
      </w:r>
      <w:r>
        <w:rPr>
          <w:snapToGrid w:val="0"/>
          <w:color w:val="000000" w:themeColor="text1"/>
          <w:kern w:val="22"/>
        </w:rPr>
        <w:t>B</w:t>
      </w:r>
      <w:r w:rsidRPr="00117EEC">
        <w:rPr>
          <w:snapToGrid w:val="0"/>
          <w:color w:val="000000" w:themeColor="text1"/>
          <w:kern w:val="22"/>
        </w:rPr>
        <w:t xml:space="preserve">iodiversity </w:t>
      </w:r>
      <w:r>
        <w:rPr>
          <w:snapToGrid w:val="0"/>
          <w:color w:val="000000" w:themeColor="text1"/>
          <w:kern w:val="22"/>
        </w:rPr>
        <w:t>F</w:t>
      </w:r>
      <w:r w:rsidRPr="00117EEC">
        <w:rPr>
          <w:snapToGrid w:val="0"/>
          <w:color w:val="000000" w:themeColor="text1"/>
          <w:kern w:val="22"/>
        </w:rPr>
        <w:t>ramework, in collaboration with Parties, relevant partners,</w:t>
      </w:r>
      <w:r w:rsidRPr="00FB1E1B">
        <w:rPr>
          <w:snapToGrid w:val="0"/>
          <w:color w:val="000000" w:themeColor="text1"/>
          <w:kern w:val="22"/>
        </w:rPr>
        <w:t xml:space="preserve"> </w:t>
      </w:r>
      <w:r>
        <w:rPr>
          <w:snapToGrid w:val="0"/>
          <w:color w:val="000000" w:themeColor="text1"/>
          <w:kern w:val="22"/>
        </w:rPr>
        <w:t xml:space="preserve">the </w:t>
      </w:r>
      <w:r w:rsidRPr="00FB1E1B">
        <w:rPr>
          <w:snapToGrid w:val="0"/>
          <w:color w:val="000000" w:themeColor="text1"/>
          <w:kern w:val="22"/>
        </w:rPr>
        <w:t xml:space="preserve">regional </w:t>
      </w:r>
      <w:r>
        <w:rPr>
          <w:snapToGrid w:val="0"/>
          <w:color w:val="000000" w:themeColor="text1"/>
          <w:kern w:val="22"/>
        </w:rPr>
        <w:t xml:space="preserve">and/or subregional </w:t>
      </w:r>
      <w:r w:rsidRPr="00FB1E1B">
        <w:rPr>
          <w:snapToGrid w:val="0"/>
          <w:color w:val="000000" w:themeColor="text1"/>
          <w:kern w:val="22"/>
        </w:rPr>
        <w:t>support centres</w:t>
      </w:r>
      <w:r>
        <w:rPr>
          <w:snapToGrid w:val="0"/>
          <w:color w:val="000000" w:themeColor="text1"/>
          <w:kern w:val="22"/>
        </w:rPr>
        <w:t xml:space="preserve"> and the </w:t>
      </w:r>
      <w:bookmarkStart w:id="70" w:name="_Hlk121830480"/>
      <w:r>
        <w:rPr>
          <w:snapToGrid w:val="0"/>
          <w:color w:val="000000" w:themeColor="text1"/>
          <w:kern w:val="22"/>
        </w:rPr>
        <w:t>global coordination entity</w:t>
      </w:r>
      <w:bookmarkEnd w:id="70"/>
      <w:r w:rsidRPr="00FB1E1B">
        <w:rPr>
          <w:snapToGrid w:val="0"/>
          <w:color w:val="000000" w:themeColor="text1"/>
          <w:kern w:val="22"/>
        </w:rPr>
        <w:t>, other organizations and indigenous peoples and local communities;</w:t>
      </w:r>
    </w:p>
    <w:p w14:paraId="404DE09C" w14:textId="77777777" w:rsidR="008C379F" w:rsidRPr="0097097E" w:rsidRDefault="008C379F" w:rsidP="00541EA7">
      <w:pPr>
        <w:suppressLineNumbers/>
        <w:tabs>
          <w:tab w:val="left" w:pos="709"/>
        </w:tabs>
        <w:suppressAutoHyphens/>
        <w:kinsoku w:val="0"/>
        <w:overflowPunct w:val="0"/>
        <w:autoSpaceDE w:val="0"/>
        <w:autoSpaceDN w:val="0"/>
        <w:adjustRightInd w:val="0"/>
        <w:snapToGrid w:val="0"/>
        <w:spacing w:before="120" w:after="120"/>
        <w:rPr>
          <w:snapToGrid w:val="0"/>
          <w:color w:val="000000" w:themeColor="text1"/>
          <w:kern w:val="22"/>
        </w:rPr>
      </w:pPr>
      <w:r w:rsidRPr="00FB1E1B">
        <w:rPr>
          <w:snapToGrid w:val="0"/>
          <w:color w:val="000000" w:themeColor="text1"/>
          <w:kern w:val="22"/>
        </w:rPr>
        <w:lastRenderedPageBreak/>
        <w:tab/>
        <w:t>(</w:t>
      </w:r>
      <w:r w:rsidRPr="00B64EEF">
        <w:rPr>
          <w:snapToGrid w:val="0"/>
          <w:color w:val="000000" w:themeColor="text1"/>
          <w:kern w:val="22"/>
        </w:rPr>
        <w:t>b)</w:t>
      </w:r>
      <w:r w:rsidRPr="0097097E">
        <w:rPr>
          <w:snapToGrid w:val="0"/>
          <w:color w:val="000000" w:themeColor="text1"/>
          <w:kern w:val="22"/>
        </w:rPr>
        <w:tab/>
        <w:t>In consultation with the Bureau of the Conference of the Parties, to implement and support the following process and modalities for selecting entities and organizations to host the regional and/or subregional support centres to promote and facilitate technical and scientific cooperation, as appropriate:</w:t>
      </w:r>
    </w:p>
    <w:p w14:paraId="06AE8F33" w14:textId="77777777" w:rsidR="008C379F" w:rsidRPr="0097097E" w:rsidRDefault="008C379F" w:rsidP="00981752">
      <w:pPr>
        <w:suppressLineNumber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n-CA"/>
        </w:rPr>
      </w:pPr>
      <w:r w:rsidRPr="0097097E">
        <w:rPr>
          <w:rFonts w:asciiTheme="majorBidi" w:hAnsiTheme="majorBidi" w:cstheme="majorBidi"/>
          <w:snapToGrid w:val="0"/>
          <w:kern w:val="22"/>
          <w:lang w:val="en-CA"/>
        </w:rPr>
        <w:t xml:space="preserve">(i) </w:t>
      </w:r>
      <w:r w:rsidRPr="0097097E">
        <w:rPr>
          <w:rFonts w:asciiTheme="majorBidi" w:hAnsiTheme="majorBidi" w:cstheme="majorBidi"/>
          <w:snapToGrid w:val="0"/>
          <w:kern w:val="22"/>
          <w:lang w:val="en-CA"/>
        </w:rPr>
        <w:tab/>
        <w:t xml:space="preserve">Issue a notification to all Parties inviting entities and organizations that meet the selection criteria </w:t>
      </w:r>
      <w:r w:rsidRPr="00B87DE8">
        <w:rPr>
          <w:rFonts w:asciiTheme="majorBidi" w:hAnsiTheme="majorBidi" w:cstheme="majorBidi"/>
          <w:snapToGrid w:val="0"/>
          <w:kern w:val="22"/>
          <w:lang w:val="en-CA"/>
        </w:rPr>
        <w:t>mentioned in paragraph 4 of annex II to the present decision and wish to host regional and/or subregional technical and scientific cooperation support centres to submit expressions of interest</w:t>
      </w:r>
      <w:r w:rsidRPr="0097097E">
        <w:rPr>
          <w:rFonts w:asciiTheme="majorBidi" w:hAnsiTheme="majorBidi" w:cstheme="majorBidi"/>
          <w:snapToGrid w:val="0"/>
          <w:kern w:val="22"/>
          <w:lang w:val="en-CA"/>
        </w:rPr>
        <w:t xml:space="preserve"> and a detailed proposal of their offer</w:t>
      </w:r>
      <w:r w:rsidRPr="0097097E">
        <w:rPr>
          <w:rFonts w:asciiTheme="majorBidi" w:hAnsiTheme="majorBidi" w:cstheme="majorBidi"/>
          <w:snapToGrid w:val="0"/>
          <w:kern w:val="22"/>
          <w:szCs w:val="22"/>
          <w:lang w:val="en-CA"/>
        </w:rPr>
        <w:t>;</w:t>
      </w:r>
    </w:p>
    <w:p w14:paraId="71B858CA" w14:textId="77777777" w:rsidR="008C379F" w:rsidRPr="0097097E" w:rsidRDefault="008C379F" w:rsidP="00981752">
      <w:pPr>
        <w:suppressLineNumber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n-CA"/>
        </w:rPr>
      </w:pPr>
      <w:r w:rsidRPr="0097097E">
        <w:rPr>
          <w:rFonts w:asciiTheme="majorBidi" w:hAnsiTheme="majorBidi" w:cstheme="majorBidi"/>
          <w:snapToGrid w:val="0"/>
          <w:kern w:val="22"/>
          <w:lang w:val="en-CA"/>
        </w:rPr>
        <w:t xml:space="preserve">(ii) </w:t>
      </w:r>
      <w:r w:rsidRPr="0097097E">
        <w:rPr>
          <w:rFonts w:asciiTheme="majorBidi" w:hAnsiTheme="majorBidi" w:cstheme="majorBidi"/>
          <w:snapToGrid w:val="0"/>
          <w:kern w:val="22"/>
          <w:lang w:val="en-CA"/>
        </w:rPr>
        <w:tab/>
        <w:t>Provide responses to any inquiries or points of clarification from interested entities and organizations, as appropriate</w:t>
      </w:r>
      <w:r w:rsidRPr="0097097E">
        <w:rPr>
          <w:rFonts w:asciiTheme="majorBidi" w:hAnsiTheme="majorBidi" w:cstheme="majorBidi"/>
          <w:snapToGrid w:val="0"/>
          <w:kern w:val="22"/>
          <w:szCs w:val="22"/>
          <w:lang w:val="en-CA"/>
        </w:rPr>
        <w:t>;</w:t>
      </w:r>
    </w:p>
    <w:p w14:paraId="48331F3D" w14:textId="77777777" w:rsidR="008C379F" w:rsidRPr="0097097E" w:rsidRDefault="008C379F" w:rsidP="00981752">
      <w:pPr>
        <w:suppressLineNumber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n-CA"/>
        </w:rPr>
      </w:pPr>
      <w:r w:rsidRPr="0097097E">
        <w:rPr>
          <w:rFonts w:asciiTheme="majorBidi" w:hAnsiTheme="majorBidi" w:cstheme="majorBidi"/>
          <w:snapToGrid w:val="0"/>
          <w:kern w:val="22"/>
          <w:szCs w:val="22"/>
          <w:lang w:val="en-CA"/>
        </w:rPr>
        <w:t xml:space="preserve">(iii) </w:t>
      </w:r>
      <w:r>
        <w:rPr>
          <w:rFonts w:asciiTheme="majorBidi" w:hAnsiTheme="majorBidi" w:cstheme="majorBidi"/>
          <w:snapToGrid w:val="0"/>
          <w:kern w:val="22"/>
          <w:szCs w:val="22"/>
          <w:lang w:val="en-CA"/>
        </w:rPr>
        <w:tab/>
      </w:r>
      <w:r w:rsidRPr="0097097E">
        <w:rPr>
          <w:rFonts w:asciiTheme="majorBidi" w:hAnsiTheme="majorBidi" w:cstheme="majorBidi"/>
          <w:snapToGrid w:val="0"/>
          <w:kern w:val="22"/>
          <w:szCs w:val="22"/>
          <w:lang w:val="en-CA"/>
        </w:rPr>
        <w:t>Prepare an assessment report, with a ranked shortlist of up to three entities and organizations per (sub)region, also providing information on how the selection criteria were applied;</w:t>
      </w:r>
    </w:p>
    <w:p w14:paraId="6C4249B0" w14:textId="77777777" w:rsidR="008C379F" w:rsidRPr="0097097E" w:rsidRDefault="008C379F" w:rsidP="00981752">
      <w:pPr>
        <w:suppressLineNumbers/>
        <w:tabs>
          <w:tab w:val="left" w:pos="2410"/>
        </w:tab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lang w:val="en-CA"/>
        </w:rPr>
      </w:pPr>
      <w:r w:rsidRPr="0097097E">
        <w:rPr>
          <w:rFonts w:asciiTheme="majorBidi" w:hAnsiTheme="majorBidi" w:cstheme="majorBidi"/>
          <w:snapToGrid w:val="0"/>
          <w:kern w:val="22"/>
          <w:lang w:val="en-CA"/>
        </w:rPr>
        <w:t xml:space="preserve">(iv) </w:t>
      </w:r>
      <w:r w:rsidRPr="0097097E">
        <w:rPr>
          <w:rFonts w:asciiTheme="majorBidi" w:hAnsiTheme="majorBidi" w:cstheme="majorBidi"/>
          <w:snapToGrid w:val="0"/>
          <w:kern w:val="22"/>
          <w:lang w:val="en-CA"/>
        </w:rPr>
        <w:tab/>
        <w:t xml:space="preserve">Convene a meeting of the </w:t>
      </w:r>
      <w:r>
        <w:rPr>
          <w:rFonts w:asciiTheme="majorBidi" w:hAnsiTheme="majorBidi" w:cstheme="majorBidi"/>
          <w:snapToGrid w:val="0"/>
          <w:kern w:val="22"/>
          <w:lang w:val="en-CA"/>
        </w:rPr>
        <w:t>I</w:t>
      </w:r>
      <w:r w:rsidRPr="0097097E">
        <w:rPr>
          <w:rFonts w:asciiTheme="majorBidi" w:hAnsiTheme="majorBidi" w:cstheme="majorBidi"/>
          <w:snapToGrid w:val="0"/>
          <w:kern w:val="22"/>
          <w:lang w:val="en-CA"/>
        </w:rPr>
        <w:t xml:space="preserve">nformal </w:t>
      </w:r>
      <w:r>
        <w:rPr>
          <w:rFonts w:asciiTheme="majorBidi" w:hAnsiTheme="majorBidi" w:cstheme="majorBidi"/>
          <w:snapToGrid w:val="0"/>
          <w:kern w:val="22"/>
          <w:lang w:val="en-CA"/>
        </w:rPr>
        <w:t>A</w:t>
      </w:r>
      <w:r w:rsidRPr="0097097E">
        <w:rPr>
          <w:rFonts w:asciiTheme="majorBidi" w:hAnsiTheme="majorBidi" w:cstheme="majorBidi"/>
          <w:snapToGrid w:val="0"/>
          <w:kern w:val="22"/>
          <w:lang w:val="en-CA"/>
        </w:rPr>
        <w:t xml:space="preserve">dvisory </w:t>
      </w:r>
      <w:r>
        <w:rPr>
          <w:rFonts w:asciiTheme="majorBidi" w:hAnsiTheme="majorBidi" w:cstheme="majorBidi"/>
          <w:snapToGrid w:val="0"/>
          <w:kern w:val="22"/>
          <w:lang w:val="en-CA"/>
        </w:rPr>
        <w:t>G</w:t>
      </w:r>
      <w:r w:rsidRPr="0097097E">
        <w:rPr>
          <w:rFonts w:asciiTheme="majorBidi" w:hAnsiTheme="majorBidi" w:cstheme="majorBidi"/>
          <w:snapToGrid w:val="0"/>
          <w:kern w:val="22"/>
          <w:lang w:val="en-CA"/>
        </w:rPr>
        <w:t xml:space="preserve">roup on </w:t>
      </w:r>
      <w:r>
        <w:rPr>
          <w:rFonts w:asciiTheme="majorBidi" w:hAnsiTheme="majorBidi" w:cstheme="majorBidi"/>
          <w:snapToGrid w:val="0"/>
          <w:kern w:val="22"/>
          <w:lang w:val="en-CA"/>
        </w:rPr>
        <w:t>T</w:t>
      </w:r>
      <w:r w:rsidRPr="0097097E">
        <w:rPr>
          <w:rFonts w:asciiTheme="majorBidi" w:hAnsiTheme="majorBidi" w:cstheme="majorBidi"/>
          <w:snapToGrid w:val="0"/>
          <w:kern w:val="22"/>
          <w:lang w:val="en-CA"/>
        </w:rPr>
        <w:t xml:space="preserve">echnical and </w:t>
      </w:r>
      <w:r>
        <w:rPr>
          <w:rFonts w:asciiTheme="majorBidi" w:hAnsiTheme="majorBidi" w:cstheme="majorBidi"/>
          <w:snapToGrid w:val="0"/>
          <w:kern w:val="22"/>
          <w:lang w:val="en-CA"/>
        </w:rPr>
        <w:t>S</w:t>
      </w:r>
      <w:r w:rsidRPr="0097097E">
        <w:rPr>
          <w:rFonts w:asciiTheme="majorBidi" w:hAnsiTheme="majorBidi" w:cstheme="majorBidi"/>
          <w:snapToGrid w:val="0"/>
          <w:kern w:val="22"/>
          <w:lang w:val="en-CA"/>
        </w:rPr>
        <w:t xml:space="preserve">cientific </w:t>
      </w:r>
      <w:r>
        <w:rPr>
          <w:rFonts w:asciiTheme="majorBidi" w:hAnsiTheme="majorBidi" w:cstheme="majorBidi"/>
          <w:snapToGrid w:val="0"/>
          <w:kern w:val="22"/>
          <w:lang w:val="en-CA"/>
        </w:rPr>
        <w:t>C</w:t>
      </w:r>
      <w:r w:rsidRPr="0097097E">
        <w:rPr>
          <w:rFonts w:asciiTheme="majorBidi" w:hAnsiTheme="majorBidi" w:cstheme="majorBidi"/>
          <w:snapToGrid w:val="0"/>
          <w:kern w:val="22"/>
          <w:lang w:val="en-CA"/>
        </w:rPr>
        <w:t>ooperation to consider the top shortlisted candidates and provide advice on the most suitable entity(ies) and organization(s)</w:t>
      </w:r>
      <w:r>
        <w:rPr>
          <w:rFonts w:asciiTheme="majorBidi" w:hAnsiTheme="majorBidi" w:cstheme="majorBidi"/>
          <w:snapToGrid w:val="0"/>
          <w:kern w:val="22"/>
          <w:lang w:val="en-CA"/>
        </w:rPr>
        <w:t xml:space="preserve"> and the number of centres required</w:t>
      </w:r>
      <w:r w:rsidRPr="0097097E">
        <w:rPr>
          <w:rFonts w:asciiTheme="majorBidi" w:hAnsiTheme="majorBidi" w:cstheme="majorBidi"/>
          <w:snapToGrid w:val="0"/>
          <w:kern w:val="22"/>
          <w:lang w:val="en-CA"/>
        </w:rPr>
        <w:t xml:space="preserve">; </w:t>
      </w:r>
    </w:p>
    <w:p w14:paraId="4611DFAC" w14:textId="77777777" w:rsidR="008C379F" w:rsidRPr="0097097E" w:rsidRDefault="008C379F" w:rsidP="00981752">
      <w:pPr>
        <w:suppressLineNumbers/>
        <w:tabs>
          <w:tab w:val="left" w:pos="2410"/>
        </w:tab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lang w:val="en-CA"/>
        </w:rPr>
      </w:pPr>
      <w:r w:rsidRPr="0097097E">
        <w:rPr>
          <w:rFonts w:asciiTheme="majorBidi" w:hAnsiTheme="majorBidi" w:cstheme="majorBidi"/>
          <w:snapToGrid w:val="0"/>
          <w:kern w:val="22"/>
          <w:lang w:val="en-CA"/>
        </w:rPr>
        <w:t xml:space="preserve">(v) </w:t>
      </w:r>
      <w:r w:rsidRPr="0097097E">
        <w:rPr>
          <w:rFonts w:asciiTheme="majorBidi" w:hAnsiTheme="majorBidi" w:cstheme="majorBidi"/>
          <w:snapToGrid w:val="0"/>
          <w:kern w:val="22"/>
          <w:lang w:val="en-CA"/>
        </w:rPr>
        <w:tab/>
        <w:t xml:space="preserve">Invite Parties to submit views on the assessment and the report of the </w:t>
      </w:r>
      <w:r>
        <w:rPr>
          <w:rFonts w:asciiTheme="majorBidi" w:hAnsiTheme="majorBidi" w:cstheme="majorBidi"/>
          <w:snapToGrid w:val="0"/>
          <w:kern w:val="22"/>
          <w:lang w:val="en-CA"/>
        </w:rPr>
        <w:t>I</w:t>
      </w:r>
      <w:r w:rsidRPr="0097097E">
        <w:rPr>
          <w:rFonts w:asciiTheme="majorBidi" w:hAnsiTheme="majorBidi" w:cstheme="majorBidi"/>
          <w:snapToGrid w:val="0"/>
          <w:kern w:val="22"/>
          <w:lang w:val="en-CA"/>
        </w:rPr>
        <w:t xml:space="preserve">nformal </w:t>
      </w:r>
      <w:r>
        <w:rPr>
          <w:rFonts w:asciiTheme="majorBidi" w:hAnsiTheme="majorBidi" w:cstheme="majorBidi"/>
          <w:snapToGrid w:val="0"/>
          <w:kern w:val="22"/>
          <w:lang w:val="en-CA"/>
        </w:rPr>
        <w:t>A</w:t>
      </w:r>
      <w:r w:rsidRPr="0097097E">
        <w:rPr>
          <w:rFonts w:asciiTheme="majorBidi" w:hAnsiTheme="majorBidi" w:cstheme="majorBidi"/>
          <w:snapToGrid w:val="0"/>
          <w:kern w:val="22"/>
          <w:lang w:val="en-CA"/>
        </w:rPr>
        <w:t xml:space="preserve">dvisory </w:t>
      </w:r>
      <w:r>
        <w:rPr>
          <w:rFonts w:asciiTheme="majorBidi" w:hAnsiTheme="majorBidi" w:cstheme="majorBidi"/>
          <w:snapToGrid w:val="0"/>
          <w:kern w:val="22"/>
          <w:lang w:val="en-CA"/>
        </w:rPr>
        <w:t>G</w:t>
      </w:r>
      <w:r w:rsidRPr="0097097E">
        <w:rPr>
          <w:rFonts w:asciiTheme="majorBidi" w:hAnsiTheme="majorBidi" w:cstheme="majorBidi"/>
          <w:snapToGrid w:val="0"/>
          <w:kern w:val="22"/>
          <w:lang w:val="en-CA"/>
        </w:rPr>
        <w:t>roup;</w:t>
      </w:r>
    </w:p>
    <w:p w14:paraId="36BE9157" w14:textId="77777777" w:rsidR="008C379F" w:rsidRPr="0097097E" w:rsidRDefault="008C379F" w:rsidP="00981752">
      <w:pPr>
        <w:suppressLineNumbers/>
        <w:tabs>
          <w:tab w:val="left" w:pos="2410"/>
        </w:tab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n-CA"/>
        </w:rPr>
      </w:pPr>
      <w:r w:rsidRPr="0097097E">
        <w:rPr>
          <w:rFonts w:asciiTheme="majorBidi" w:hAnsiTheme="majorBidi" w:cstheme="majorBidi"/>
          <w:snapToGrid w:val="0"/>
          <w:kern w:val="22"/>
          <w:szCs w:val="22"/>
          <w:lang w:val="en-CA"/>
        </w:rPr>
        <w:t>(vi)</w:t>
      </w:r>
      <w:r>
        <w:rPr>
          <w:rFonts w:asciiTheme="majorBidi" w:hAnsiTheme="majorBidi" w:cstheme="majorBidi"/>
          <w:snapToGrid w:val="0"/>
          <w:kern w:val="22"/>
          <w:lang w:val="en-CA"/>
        </w:rPr>
        <w:tab/>
      </w:r>
      <w:r w:rsidRPr="0097097E">
        <w:rPr>
          <w:rFonts w:asciiTheme="majorBidi" w:hAnsiTheme="majorBidi" w:cstheme="majorBidi"/>
          <w:snapToGrid w:val="0"/>
          <w:kern w:val="22"/>
          <w:lang w:val="en-CA"/>
        </w:rPr>
        <w:t xml:space="preserve">Submit the report of the </w:t>
      </w:r>
      <w:r>
        <w:rPr>
          <w:rFonts w:asciiTheme="majorBidi" w:hAnsiTheme="majorBidi" w:cstheme="majorBidi"/>
          <w:snapToGrid w:val="0"/>
          <w:kern w:val="22"/>
          <w:lang w:val="en-CA"/>
        </w:rPr>
        <w:t>I</w:t>
      </w:r>
      <w:r w:rsidRPr="0097097E">
        <w:rPr>
          <w:rFonts w:asciiTheme="majorBidi" w:hAnsiTheme="majorBidi" w:cstheme="majorBidi"/>
          <w:snapToGrid w:val="0"/>
          <w:kern w:val="22"/>
          <w:lang w:val="en-CA"/>
        </w:rPr>
        <w:t xml:space="preserve">nformal </w:t>
      </w:r>
      <w:r>
        <w:rPr>
          <w:rFonts w:asciiTheme="majorBidi" w:hAnsiTheme="majorBidi" w:cstheme="majorBidi"/>
          <w:snapToGrid w:val="0"/>
          <w:kern w:val="22"/>
          <w:lang w:val="en-CA"/>
        </w:rPr>
        <w:t>A</w:t>
      </w:r>
      <w:r w:rsidRPr="0097097E">
        <w:rPr>
          <w:rFonts w:asciiTheme="majorBidi" w:hAnsiTheme="majorBidi" w:cstheme="majorBidi"/>
          <w:snapToGrid w:val="0"/>
          <w:kern w:val="22"/>
          <w:lang w:val="en-CA"/>
        </w:rPr>
        <w:t xml:space="preserve">dvisory </w:t>
      </w:r>
      <w:r>
        <w:rPr>
          <w:rFonts w:asciiTheme="majorBidi" w:hAnsiTheme="majorBidi" w:cstheme="majorBidi"/>
          <w:snapToGrid w:val="0"/>
          <w:kern w:val="22"/>
          <w:lang w:val="en-CA"/>
        </w:rPr>
        <w:t>G</w:t>
      </w:r>
      <w:r w:rsidRPr="0097097E">
        <w:rPr>
          <w:rFonts w:asciiTheme="majorBidi" w:hAnsiTheme="majorBidi" w:cstheme="majorBidi"/>
          <w:snapToGrid w:val="0"/>
          <w:kern w:val="22"/>
          <w:lang w:val="en-CA"/>
        </w:rPr>
        <w:t>roup as well as a compilation of the views of Parties to the Bureau of the Conference of the Parties and invite the Bureau to select the most suitable entities and organizations;</w:t>
      </w:r>
    </w:p>
    <w:p w14:paraId="47DA97DD" w14:textId="77777777" w:rsidR="008C379F" w:rsidRPr="0097097E" w:rsidRDefault="008C379F" w:rsidP="00981752">
      <w:pPr>
        <w:suppressLineNumbers/>
        <w:tabs>
          <w:tab w:val="left" w:pos="1701"/>
        </w:tab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n-CA"/>
        </w:rPr>
      </w:pPr>
      <w:r w:rsidRPr="0097097E">
        <w:rPr>
          <w:rFonts w:asciiTheme="majorBidi" w:hAnsiTheme="majorBidi" w:cstheme="majorBidi"/>
          <w:snapToGrid w:val="0"/>
          <w:kern w:val="22"/>
          <w:lang w:val="en-CA"/>
        </w:rPr>
        <w:t xml:space="preserve">(vii) </w:t>
      </w:r>
      <w:r w:rsidRPr="0097097E">
        <w:rPr>
          <w:rFonts w:asciiTheme="majorBidi" w:hAnsiTheme="majorBidi" w:cstheme="majorBidi"/>
          <w:snapToGrid w:val="0"/>
          <w:kern w:val="22"/>
          <w:lang w:val="en-CA"/>
        </w:rPr>
        <w:tab/>
        <w:t>Communicate the final decision to the selected entity(ies) and organization(s) and invite them to confirm acceptance of their selection within a period of one month</w:t>
      </w:r>
      <w:r w:rsidRPr="0097097E">
        <w:rPr>
          <w:rFonts w:asciiTheme="majorBidi" w:hAnsiTheme="majorBidi" w:cstheme="majorBidi"/>
          <w:snapToGrid w:val="0"/>
          <w:kern w:val="22"/>
          <w:szCs w:val="22"/>
          <w:lang w:val="en-CA"/>
        </w:rPr>
        <w:t>;</w:t>
      </w:r>
    </w:p>
    <w:p w14:paraId="2800CA49" w14:textId="77777777" w:rsidR="008C379F" w:rsidRPr="0097097E" w:rsidRDefault="008C379F" w:rsidP="00981752">
      <w:pPr>
        <w:suppressLineNumbers/>
        <w:suppressAutoHyphens/>
        <w:kinsoku w:val="0"/>
        <w:overflowPunct w:val="0"/>
        <w:autoSpaceDE w:val="0"/>
        <w:autoSpaceDN w:val="0"/>
        <w:adjustRightInd w:val="0"/>
        <w:snapToGrid w:val="0"/>
        <w:spacing w:before="120" w:after="120"/>
        <w:ind w:left="1985" w:hanging="709"/>
        <w:rPr>
          <w:rFonts w:asciiTheme="majorBidi" w:hAnsiTheme="majorBidi" w:cstheme="majorBidi"/>
          <w:snapToGrid w:val="0"/>
          <w:kern w:val="22"/>
          <w:szCs w:val="22"/>
          <w:lang w:val="en-CA"/>
        </w:rPr>
      </w:pPr>
      <w:r w:rsidRPr="0097097E">
        <w:rPr>
          <w:rFonts w:asciiTheme="majorBidi" w:hAnsiTheme="majorBidi" w:cstheme="majorBidi"/>
          <w:snapToGrid w:val="0"/>
          <w:kern w:val="22"/>
          <w:lang w:val="en-CA"/>
        </w:rPr>
        <w:t xml:space="preserve">(viii) </w:t>
      </w:r>
      <w:r w:rsidRPr="0097097E">
        <w:rPr>
          <w:rFonts w:asciiTheme="majorBidi" w:hAnsiTheme="majorBidi" w:cstheme="majorBidi"/>
          <w:snapToGrid w:val="0"/>
          <w:kern w:val="22"/>
          <w:lang w:val="en-CA"/>
        </w:rPr>
        <w:tab/>
        <w:t xml:space="preserve">Initiate and facilitate a process to identify donors that could provide additional funding to the selected entity(ies) </w:t>
      </w:r>
      <w:r w:rsidRPr="0040678C">
        <w:rPr>
          <w:rFonts w:asciiTheme="majorBidi" w:hAnsiTheme="majorBidi" w:cstheme="majorBidi"/>
          <w:snapToGrid w:val="0"/>
          <w:kern w:val="22"/>
          <w:lang w:val="en-CA"/>
        </w:rPr>
        <w:t>and organizations to</w:t>
      </w:r>
      <w:r w:rsidRPr="0097097E">
        <w:rPr>
          <w:rFonts w:asciiTheme="majorBidi" w:hAnsiTheme="majorBidi" w:cstheme="majorBidi"/>
          <w:snapToGrid w:val="0"/>
          <w:kern w:val="22"/>
          <w:lang w:val="en-CA"/>
        </w:rPr>
        <w:t xml:space="preserve"> facilitate technical and scientific cooperation in support of implementing the </w:t>
      </w:r>
      <w:r>
        <w:rPr>
          <w:rFonts w:asciiTheme="majorBidi" w:hAnsiTheme="majorBidi" w:cstheme="majorBidi"/>
          <w:snapToGrid w:val="0"/>
          <w:kern w:val="22"/>
          <w:lang w:val="en-CA"/>
        </w:rPr>
        <w:t>Kunming-Montreal G</w:t>
      </w:r>
      <w:r w:rsidRPr="0097097E">
        <w:rPr>
          <w:rFonts w:asciiTheme="majorBidi" w:hAnsiTheme="majorBidi" w:cstheme="majorBidi"/>
          <w:snapToGrid w:val="0"/>
          <w:kern w:val="22"/>
          <w:lang w:val="en-CA"/>
        </w:rPr>
        <w:t xml:space="preserve">lobal </w:t>
      </w:r>
      <w:r>
        <w:rPr>
          <w:rFonts w:asciiTheme="majorBidi" w:hAnsiTheme="majorBidi" w:cstheme="majorBidi"/>
          <w:snapToGrid w:val="0"/>
          <w:kern w:val="22"/>
          <w:lang w:val="en-CA"/>
        </w:rPr>
        <w:t>B</w:t>
      </w:r>
      <w:r w:rsidRPr="0097097E">
        <w:rPr>
          <w:rFonts w:asciiTheme="majorBidi" w:hAnsiTheme="majorBidi" w:cstheme="majorBidi"/>
          <w:snapToGrid w:val="0"/>
          <w:kern w:val="22"/>
          <w:lang w:val="en-CA"/>
        </w:rPr>
        <w:t xml:space="preserve">iodiversity </w:t>
      </w:r>
      <w:r>
        <w:rPr>
          <w:rFonts w:asciiTheme="majorBidi" w:hAnsiTheme="majorBidi" w:cstheme="majorBidi"/>
          <w:snapToGrid w:val="0"/>
          <w:kern w:val="22"/>
          <w:lang w:val="en-CA"/>
        </w:rPr>
        <w:t>F</w:t>
      </w:r>
      <w:r w:rsidRPr="0097097E">
        <w:rPr>
          <w:rFonts w:asciiTheme="majorBidi" w:hAnsiTheme="majorBidi" w:cstheme="majorBidi"/>
          <w:snapToGrid w:val="0"/>
          <w:kern w:val="22"/>
          <w:lang w:val="en-CA"/>
        </w:rPr>
        <w:t>ramework;</w:t>
      </w:r>
    </w:p>
    <w:p w14:paraId="415D138F" w14:textId="77777777" w:rsidR="008C379F" w:rsidRPr="00FB1E1B" w:rsidRDefault="008C379F" w:rsidP="00981752">
      <w:pPr>
        <w:suppressLineNumbers/>
        <w:suppressAutoHyphens/>
        <w:kinsoku w:val="0"/>
        <w:overflowPunct w:val="0"/>
        <w:autoSpaceDE w:val="0"/>
        <w:autoSpaceDN w:val="0"/>
        <w:adjustRightInd w:val="0"/>
        <w:snapToGrid w:val="0"/>
        <w:spacing w:before="120" w:after="120"/>
        <w:ind w:left="1985" w:hanging="709"/>
        <w:rPr>
          <w:snapToGrid w:val="0"/>
          <w:color w:val="000000" w:themeColor="text1"/>
          <w:kern w:val="22"/>
        </w:rPr>
      </w:pPr>
      <w:r w:rsidRPr="0097097E">
        <w:rPr>
          <w:rFonts w:asciiTheme="majorBidi" w:hAnsiTheme="majorBidi" w:cstheme="majorBidi"/>
          <w:snapToGrid w:val="0"/>
          <w:kern w:val="22"/>
          <w:lang w:val="en-CA"/>
        </w:rPr>
        <w:t xml:space="preserve">(ix) </w:t>
      </w:r>
      <w:r w:rsidRPr="0097097E">
        <w:rPr>
          <w:rFonts w:asciiTheme="majorBidi" w:hAnsiTheme="majorBidi" w:cstheme="majorBidi"/>
          <w:snapToGrid w:val="0"/>
          <w:kern w:val="22"/>
          <w:lang w:val="en-CA"/>
        </w:rPr>
        <w:tab/>
        <w:t>Initiate within a period of three months and facilitate the process of signing the host agreement(s) with the selected entity(ies) and organization(s)</w:t>
      </w:r>
      <w:r>
        <w:rPr>
          <w:rFonts w:asciiTheme="majorBidi" w:hAnsiTheme="majorBidi" w:cstheme="majorBidi"/>
          <w:snapToGrid w:val="0"/>
          <w:kern w:val="22"/>
          <w:lang w:val="en-CA"/>
        </w:rPr>
        <w:t>;</w:t>
      </w:r>
    </w:p>
    <w:p w14:paraId="2AC421E7" w14:textId="77777777" w:rsidR="008C379F" w:rsidRPr="00FB1E1B" w:rsidRDefault="008C379F" w:rsidP="00A30041">
      <w:pPr>
        <w:suppressLineNumbers/>
        <w:suppressAutoHyphens/>
        <w:kinsoku w:val="0"/>
        <w:overflowPunct w:val="0"/>
        <w:autoSpaceDE w:val="0"/>
        <w:autoSpaceDN w:val="0"/>
        <w:adjustRightInd w:val="0"/>
        <w:snapToGrid w:val="0"/>
        <w:spacing w:after="120"/>
        <w:ind w:firstLine="720"/>
        <w:rPr>
          <w:snapToGrid w:val="0"/>
          <w:color w:val="000000" w:themeColor="text1"/>
          <w:kern w:val="22"/>
        </w:rPr>
      </w:pPr>
      <w:r w:rsidRPr="00FB1E1B">
        <w:rPr>
          <w:snapToGrid w:val="0"/>
          <w:color w:val="000000" w:themeColor="text1"/>
          <w:kern w:val="22"/>
        </w:rPr>
        <w:t>(</w:t>
      </w:r>
      <w:r>
        <w:rPr>
          <w:snapToGrid w:val="0"/>
          <w:color w:val="000000" w:themeColor="text1"/>
          <w:kern w:val="22"/>
        </w:rPr>
        <w:t>c</w:t>
      </w:r>
      <w:r w:rsidRPr="00FB1E1B">
        <w:rPr>
          <w:snapToGrid w:val="0"/>
          <w:color w:val="000000" w:themeColor="text1"/>
          <w:kern w:val="22"/>
        </w:rPr>
        <w:t>)</w:t>
      </w:r>
      <w:r w:rsidRPr="00FB1E1B">
        <w:rPr>
          <w:snapToGrid w:val="0"/>
          <w:color w:val="000000" w:themeColor="text1"/>
          <w:kern w:val="22"/>
        </w:rPr>
        <w:tab/>
        <w:t xml:space="preserve">To communicate to the </w:t>
      </w:r>
      <w:r>
        <w:rPr>
          <w:snapToGrid w:val="0"/>
          <w:color w:val="000000" w:themeColor="text1"/>
          <w:kern w:val="22"/>
        </w:rPr>
        <w:t xml:space="preserve">regional and/or subregional </w:t>
      </w:r>
      <w:r w:rsidRPr="00FB1E1B">
        <w:rPr>
          <w:snapToGrid w:val="0"/>
          <w:color w:val="000000" w:themeColor="text1"/>
          <w:kern w:val="22"/>
        </w:rPr>
        <w:t>support centre</w:t>
      </w:r>
      <w:r>
        <w:rPr>
          <w:snapToGrid w:val="0"/>
          <w:color w:val="000000" w:themeColor="text1"/>
          <w:kern w:val="22"/>
        </w:rPr>
        <w:t>s and the global coordination entity</w:t>
      </w:r>
      <w:r w:rsidRPr="00FB1E1B">
        <w:rPr>
          <w:snapToGrid w:val="0"/>
          <w:color w:val="000000" w:themeColor="text1"/>
          <w:kern w:val="22"/>
        </w:rPr>
        <w:t xml:space="preserve"> the priorities established by Parties regarding capacity</w:t>
      </w:r>
      <w:r w:rsidRPr="00FB1E1B">
        <w:rPr>
          <w:snapToGrid w:val="0"/>
          <w:color w:val="000000" w:themeColor="text1"/>
          <w:kern w:val="22"/>
        </w:rPr>
        <w:noBreakHyphen/>
        <w:t>building and development</w:t>
      </w:r>
      <w:r>
        <w:rPr>
          <w:snapToGrid w:val="0"/>
          <w:color w:val="000000" w:themeColor="text1"/>
          <w:kern w:val="22"/>
        </w:rPr>
        <w:t>, technical and scientific cooperation, and technology transfer</w:t>
      </w:r>
      <w:r w:rsidRPr="00FB1E1B">
        <w:rPr>
          <w:snapToGrid w:val="0"/>
          <w:color w:val="000000" w:themeColor="text1"/>
          <w:kern w:val="22"/>
        </w:rPr>
        <w:t>;</w:t>
      </w:r>
    </w:p>
    <w:p w14:paraId="4155634D" w14:textId="77777777" w:rsidR="008C379F" w:rsidRPr="00FB1E1B" w:rsidRDefault="008C379F" w:rsidP="00A30041">
      <w:pPr>
        <w:suppressLineNumbers/>
        <w:tabs>
          <w:tab w:val="left" w:pos="1418"/>
        </w:tabs>
        <w:suppressAutoHyphens/>
        <w:kinsoku w:val="0"/>
        <w:overflowPunct w:val="0"/>
        <w:autoSpaceDE w:val="0"/>
        <w:autoSpaceDN w:val="0"/>
        <w:adjustRightInd w:val="0"/>
        <w:snapToGrid w:val="0"/>
        <w:spacing w:after="120"/>
        <w:ind w:firstLine="720"/>
        <w:rPr>
          <w:snapToGrid w:val="0"/>
          <w:kern w:val="22"/>
        </w:rPr>
      </w:pPr>
      <w:r w:rsidRPr="00FB1E1B">
        <w:rPr>
          <w:snapToGrid w:val="0"/>
          <w:kern w:val="22"/>
        </w:rPr>
        <w:t>(</w:t>
      </w:r>
      <w:r>
        <w:rPr>
          <w:snapToGrid w:val="0"/>
          <w:kern w:val="22"/>
        </w:rPr>
        <w:t>d</w:t>
      </w:r>
      <w:r w:rsidRPr="00FB1E1B">
        <w:rPr>
          <w:snapToGrid w:val="0"/>
          <w:kern w:val="22"/>
        </w:rPr>
        <w:t>)</w:t>
      </w:r>
      <w:r w:rsidRPr="00FB1E1B">
        <w:rPr>
          <w:snapToGrid w:val="0"/>
          <w:kern w:val="22"/>
        </w:rPr>
        <w:tab/>
        <w:t xml:space="preserve">To maintain synergy and collaboration with biodiversity-related conventions, and relevant organizations, initiatives and networks, including the </w:t>
      </w:r>
      <w:r w:rsidRPr="0040678C">
        <w:rPr>
          <w:snapToGrid w:val="0"/>
          <w:kern w:val="22"/>
        </w:rPr>
        <w:t xml:space="preserve">Consortium of Scientific Partners on Biodiversity, the </w:t>
      </w:r>
      <w:r w:rsidRPr="0040678C">
        <w:rPr>
          <w:snapToGrid w:val="0"/>
          <w:kern w:val="22"/>
          <w:szCs w:val="22"/>
        </w:rPr>
        <w:t xml:space="preserve">Global Partnership for </w:t>
      </w:r>
      <w:r w:rsidRPr="0040678C">
        <w:rPr>
          <w:snapToGrid w:val="0"/>
          <w:kern w:val="22"/>
        </w:rPr>
        <w:t>Business and Biodiversity, and others that have technical and scientific expertise, technologies and information, and/or are involved in biodiversity-related technical and scientific cooperation activities;</w:t>
      </w:r>
    </w:p>
    <w:p w14:paraId="03CF4649" w14:textId="77777777" w:rsidR="008C379F" w:rsidRPr="00FB1E1B" w:rsidRDefault="008C379F" w:rsidP="00A30041">
      <w:pPr>
        <w:suppressLineNumbers/>
        <w:suppressAutoHyphens/>
        <w:kinsoku w:val="0"/>
        <w:overflowPunct w:val="0"/>
        <w:autoSpaceDE w:val="0"/>
        <w:autoSpaceDN w:val="0"/>
        <w:adjustRightInd w:val="0"/>
        <w:snapToGrid w:val="0"/>
        <w:spacing w:after="120"/>
        <w:ind w:firstLine="720"/>
        <w:rPr>
          <w:rFonts w:eastAsiaTheme="minorEastAsia"/>
          <w:snapToGrid w:val="0"/>
          <w:kern w:val="22"/>
        </w:rPr>
      </w:pPr>
      <w:r w:rsidRPr="00FB1E1B">
        <w:rPr>
          <w:snapToGrid w:val="0"/>
          <w:kern w:val="22"/>
        </w:rPr>
        <w:t>(</w:t>
      </w:r>
      <w:r>
        <w:rPr>
          <w:snapToGrid w:val="0"/>
          <w:kern w:val="22"/>
        </w:rPr>
        <w:t>e</w:t>
      </w:r>
      <w:r w:rsidRPr="00FB1E1B">
        <w:rPr>
          <w:snapToGrid w:val="0"/>
          <w:kern w:val="22"/>
        </w:rPr>
        <w:t>)</w:t>
      </w:r>
      <w:r w:rsidRPr="00FB1E1B">
        <w:rPr>
          <w:snapToGrid w:val="0"/>
          <w:kern w:val="22"/>
        </w:rPr>
        <w:tab/>
        <w:t>To maintain active communication with Parties and relevant stakeholders with a view to keeping them and the public informed of the achievements of the technical and scientific cooperation support activities;</w:t>
      </w:r>
    </w:p>
    <w:p w14:paraId="41C812AB" w14:textId="77777777" w:rsidR="008C379F" w:rsidRPr="0040678C" w:rsidRDefault="008C379F" w:rsidP="00A30041">
      <w:pPr>
        <w:suppressLineNumbers/>
        <w:tabs>
          <w:tab w:val="left" w:pos="1418"/>
        </w:tabs>
        <w:suppressAutoHyphens/>
        <w:kinsoku w:val="0"/>
        <w:overflowPunct w:val="0"/>
        <w:autoSpaceDE w:val="0"/>
        <w:autoSpaceDN w:val="0"/>
        <w:adjustRightInd w:val="0"/>
        <w:snapToGrid w:val="0"/>
        <w:spacing w:after="120"/>
        <w:ind w:firstLine="720"/>
        <w:rPr>
          <w:snapToGrid w:val="0"/>
          <w:kern w:val="22"/>
        </w:rPr>
      </w:pPr>
      <w:r w:rsidRPr="00FB1E1B">
        <w:rPr>
          <w:snapToGrid w:val="0"/>
          <w:kern w:val="22"/>
        </w:rPr>
        <w:t>(</w:t>
      </w:r>
      <w:r>
        <w:rPr>
          <w:snapToGrid w:val="0"/>
          <w:kern w:val="22"/>
        </w:rPr>
        <w:t>f</w:t>
      </w:r>
      <w:r w:rsidRPr="00FB1E1B">
        <w:rPr>
          <w:snapToGrid w:val="0"/>
          <w:kern w:val="22"/>
        </w:rPr>
        <w:t>)</w:t>
      </w:r>
      <w:r w:rsidRPr="00FB1E1B">
        <w:rPr>
          <w:snapToGrid w:val="0"/>
          <w:kern w:val="22"/>
        </w:rPr>
        <w:tab/>
      </w:r>
      <w:r w:rsidRPr="0040678C">
        <w:rPr>
          <w:snapToGrid w:val="0"/>
          <w:kern w:val="22"/>
        </w:rPr>
        <w:t>To organize, in collaboration with relevant organizations and indigenous peoples and local communities, biodiversity science forums, technology and innovation expos, round tables and other events to showcase technical and scientific cooperation initiatives, technologies and opportunities;</w:t>
      </w:r>
    </w:p>
    <w:p w14:paraId="33811425" w14:textId="77777777" w:rsidR="008C379F" w:rsidRDefault="008C379F" w:rsidP="00A30041">
      <w:pPr>
        <w:suppressLineNumbers/>
        <w:tabs>
          <w:tab w:val="left" w:pos="1418"/>
        </w:tabs>
        <w:suppressAutoHyphens/>
        <w:kinsoku w:val="0"/>
        <w:overflowPunct w:val="0"/>
        <w:autoSpaceDE w:val="0"/>
        <w:autoSpaceDN w:val="0"/>
        <w:adjustRightInd w:val="0"/>
        <w:snapToGrid w:val="0"/>
        <w:spacing w:after="120"/>
        <w:ind w:firstLine="720"/>
        <w:rPr>
          <w:snapToGrid w:val="0"/>
          <w:kern w:val="22"/>
        </w:rPr>
      </w:pPr>
      <w:r w:rsidRPr="0040678C">
        <w:rPr>
          <w:snapToGrid w:val="0"/>
          <w:kern w:val="22"/>
        </w:rPr>
        <w:t>(g)</w:t>
      </w:r>
      <w:r w:rsidRPr="0040678C">
        <w:rPr>
          <w:snapToGrid w:val="0"/>
          <w:kern w:val="22"/>
        </w:rPr>
        <w:tab/>
        <w:t>To compile relevant</w:t>
      </w:r>
      <w:r w:rsidRPr="00FB1E1B">
        <w:rPr>
          <w:snapToGrid w:val="0"/>
          <w:kern w:val="22"/>
        </w:rPr>
        <w:t xml:space="preserve"> information related to technical and scientific cooperation and technology transfer in the field of biological diversity for the implementation of the three objectives of the Convention and to make it available to Parties through the clearing-house mechanism;</w:t>
      </w:r>
    </w:p>
    <w:p w14:paraId="79EEAA1A" w14:textId="77777777" w:rsidR="008C379F" w:rsidRPr="00FB1E1B" w:rsidRDefault="008C379F" w:rsidP="00A30041">
      <w:pPr>
        <w:suppressLineNumbers/>
        <w:suppressAutoHyphens/>
        <w:kinsoku w:val="0"/>
        <w:overflowPunct w:val="0"/>
        <w:autoSpaceDE w:val="0"/>
        <w:autoSpaceDN w:val="0"/>
        <w:adjustRightInd w:val="0"/>
        <w:snapToGrid w:val="0"/>
        <w:spacing w:after="120"/>
        <w:ind w:firstLine="720"/>
        <w:rPr>
          <w:rFonts w:eastAsiaTheme="minorEastAsia"/>
          <w:snapToGrid w:val="0"/>
          <w:kern w:val="22"/>
        </w:rPr>
      </w:pPr>
      <w:r w:rsidRPr="00FB1E1B">
        <w:rPr>
          <w:snapToGrid w:val="0"/>
          <w:kern w:val="22"/>
        </w:rPr>
        <w:lastRenderedPageBreak/>
        <w:t>(</w:t>
      </w:r>
      <w:r>
        <w:rPr>
          <w:snapToGrid w:val="0"/>
          <w:kern w:val="22"/>
        </w:rPr>
        <w:t>h</w:t>
      </w:r>
      <w:r w:rsidRPr="00FB1E1B">
        <w:rPr>
          <w:snapToGrid w:val="0"/>
          <w:kern w:val="22"/>
        </w:rPr>
        <w:t>)</w:t>
      </w:r>
      <w:r w:rsidRPr="00FB1E1B">
        <w:rPr>
          <w:snapToGrid w:val="0"/>
          <w:kern w:val="22"/>
        </w:rPr>
        <w:tab/>
        <w:t>To perform such other activities as may be necessary</w:t>
      </w:r>
      <w:r>
        <w:rPr>
          <w:snapToGrid w:val="0"/>
          <w:kern w:val="22"/>
        </w:rPr>
        <w:t>;</w:t>
      </w:r>
    </w:p>
    <w:p w14:paraId="54009F68" w14:textId="77777777" w:rsidR="008C379F" w:rsidRPr="004D32B6" w:rsidRDefault="008C379F" w:rsidP="008C3933">
      <w:pPr>
        <w:suppressLineNumbers/>
        <w:tabs>
          <w:tab w:val="left" w:pos="1418"/>
        </w:tabs>
        <w:suppressAutoHyphens/>
        <w:kinsoku w:val="0"/>
        <w:overflowPunct w:val="0"/>
        <w:autoSpaceDE w:val="0"/>
        <w:autoSpaceDN w:val="0"/>
        <w:adjustRightInd w:val="0"/>
        <w:snapToGrid w:val="0"/>
        <w:spacing w:after="120"/>
        <w:ind w:firstLine="720"/>
        <w:rPr>
          <w:rStyle w:val="normaltextrun"/>
          <w:snapToGrid w:val="0"/>
          <w:kern w:val="22"/>
        </w:rPr>
      </w:pPr>
      <w:r w:rsidRPr="00FB1E1B">
        <w:rPr>
          <w:snapToGrid w:val="0"/>
          <w:kern w:val="22"/>
        </w:rPr>
        <w:t>(</w:t>
      </w:r>
      <w:r>
        <w:rPr>
          <w:snapToGrid w:val="0"/>
          <w:kern w:val="22"/>
        </w:rPr>
        <w:t>i</w:t>
      </w:r>
      <w:r w:rsidRPr="00FB1E1B">
        <w:rPr>
          <w:snapToGrid w:val="0"/>
          <w:kern w:val="22"/>
        </w:rPr>
        <w:t>)</w:t>
      </w:r>
      <w:r w:rsidRPr="00FB1E1B">
        <w:rPr>
          <w:snapToGrid w:val="0"/>
          <w:kern w:val="22"/>
        </w:rPr>
        <w:tab/>
        <w:t>To prepare relevant documents and reports on technical and scientific cooperation and technology transfer</w:t>
      </w:r>
      <w:r>
        <w:rPr>
          <w:snapToGrid w:val="0"/>
          <w:kern w:val="22"/>
        </w:rPr>
        <w:t>,</w:t>
      </w:r>
      <w:r w:rsidRPr="00FB1E1B">
        <w:rPr>
          <w:snapToGrid w:val="0"/>
          <w:kern w:val="22"/>
        </w:rPr>
        <w:t xml:space="preserve"> </w:t>
      </w:r>
      <w:r>
        <w:rPr>
          <w:snapToGrid w:val="0"/>
          <w:kern w:val="22"/>
        </w:rPr>
        <w:t xml:space="preserve">including the work of the mechanism established in paragraph </w:t>
      </w:r>
      <w:r w:rsidRPr="00B1713D">
        <w:rPr>
          <w:snapToGrid w:val="0"/>
          <w:kern w:val="22"/>
        </w:rPr>
        <w:t>2</w:t>
      </w:r>
      <w:r>
        <w:rPr>
          <w:snapToGrid w:val="0"/>
          <w:kern w:val="22"/>
        </w:rPr>
        <w:t xml:space="preserve">5 of the present decision, </w:t>
      </w:r>
      <w:r w:rsidRPr="00FB1E1B">
        <w:rPr>
          <w:snapToGrid w:val="0"/>
          <w:kern w:val="22"/>
        </w:rPr>
        <w:t xml:space="preserve">for consideration by the Subsidiary Body on Implementation </w:t>
      </w:r>
      <w:r w:rsidRPr="008C3933">
        <w:rPr>
          <w:snapToGrid w:val="0"/>
          <w:kern w:val="22"/>
        </w:rPr>
        <w:t xml:space="preserve">at a meeting to be held prior to the </w:t>
      </w:r>
      <w:r w:rsidRPr="00FB1E1B">
        <w:rPr>
          <w:snapToGrid w:val="0"/>
          <w:kern w:val="22"/>
        </w:rPr>
        <w:t xml:space="preserve">seventeenth </w:t>
      </w:r>
      <w:r w:rsidRPr="008C3933">
        <w:rPr>
          <w:snapToGrid w:val="0"/>
          <w:kern w:val="22"/>
        </w:rPr>
        <w:t>meeting of the Conference of the Parties</w:t>
      </w:r>
      <w:r>
        <w:rPr>
          <w:snapToGrid w:val="0"/>
          <w:kern w:val="22"/>
        </w:rPr>
        <w:t xml:space="preserve">, </w:t>
      </w:r>
      <w:r w:rsidRPr="00FB1E1B">
        <w:rPr>
          <w:snapToGrid w:val="0"/>
          <w:kern w:val="22"/>
        </w:rPr>
        <w:t xml:space="preserve">and </w:t>
      </w:r>
      <w:r>
        <w:rPr>
          <w:snapToGrid w:val="0"/>
          <w:kern w:val="22"/>
        </w:rPr>
        <w:t xml:space="preserve">by </w:t>
      </w:r>
      <w:r w:rsidRPr="00FB1E1B">
        <w:rPr>
          <w:snapToGrid w:val="0"/>
          <w:kern w:val="22"/>
        </w:rPr>
        <w:t>the Conference of</w:t>
      </w:r>
      <w:r>
        <w:rPr>
          <w:snapToGrid w:val="0"/>
          <w:kern w:val="22"/>
        </w:rPr>
        <w:t xml:space="preserve"> the</w:t>
      </w:r>
      <w:r w:rsidRPr="00FB1E1B">
        <w:rPr>
          <w:snapToGrid w:val="0"/>
          <w:kern w:val="22"/>
        </w:rPr>
        <w:t xml:space="preserve"> Parties at its seventeenth meeting</w:t>
      </w:r>
      <w:r>
        <w:rPr>
          <w:snapToGrid w:val="0"/>
          <w:kern w:val="22"/>
        </w:rPr>
        <w:t>,</w:t>
      </w:r>
      <w:r w:rsidRPr="00FB1E1B">
        <w:rPr>
          <w:snapToGrid w:val="0"/>
          <w:kern w:val="22"/>
        </w:rPr>
        <w:t xml:space="preserve"> </w:t>
      </w:r>
      <w:r w:rsidRPr="00117EEC">
        <w:rPr>
          <w:rStyle w:val="normaltextrun"/>
        </w:rPr>
        <w:t>in conjunction with the</w:t>
      </w:r>
      <w:r>
        <w:rPr>
          <w:rStyle w:val="normaltextrun"/>
        </w:rPr>
        <w:t xml:space="preserve"> global review</w:t>
      </w:r>
      <w:r w:rsidRPr="00117EEC">
        <w:rPr>
          <w:rStyle w:val="normaltextrun"/>
        </w:rPr>
        <w:t xml:space="preserve"> of the </w:t>
      </w:r>
      <w:r>
        <w:rPr>
          <w:rStyle w:val="normaltextrun"/>
        </w:rPr>
        <w:t>Kunming-Montreal G</w:t>
      </w:r>
      <w:r w:rsidRPr="00117EEC">
        <w:rPr>
          <w:rStyle w:val="normaltextrun"/>
        </w:rPr>
        <w:t xml:space="preserve">lobal </w:t>
      </w:r>
      <w:r>
        <w:rPr>
          <w:rStyle w:val="normaltextrun"/>
        </w:rPr>
        <w:t>B</w:t>
      </w:r>
      <w:r w:rsidRPr="00117EEC">
        <w:rPr>
          <w:rStyle w:val="normaltextrun"/>
        </w:rPr>
        <w:t xml:space="preserve">iodiversity </w:t>
      </w:r>
      <w:r>
        <w:rPr>
          <w:rStyle w:val="normaltextrun"/>
        </w:rPr>
        <w:t>F</w:t>
      </w:r>
      <w:r w:rsidRPr="00117EEC">
        <w:rPr>
          <w:rStyle w:val="normaltextrun"/>
        </w:rPr>
        <w:t>ramework</w:t>
      </w:r>
      <w:r>
        <w:rPr>
          <w:rStyle w:val="normaltextrun"/>
        </w:rPr>
        <w:t xml:space="preserve">, including the means of implementation; </w:t>
      </w:r>
    </w:p>
    <w:p w14:paraId="36F02B47" w14:textId="77777777" w:rsidR="008C379F" w:rsidRPr="00FB1E1B" w:rsidRDefault="008C379F" w:rsidP="00A30041">
      <w:pPr>
        <w:suppressLineNumbers/>
        <w:tabs>
          <w:tab w:val="left" w:pos="1418"/>
        </w:tabs>
        <w:suppressAutoHyphens/>
        <w:kinsoku w:val="0"/>
        <w:overflowPunct w:val="0"/>
        <w:autoSpaceDE w:val="0"/>
        <w:autoSpaceDN w:val="0"/>
        <w:adjustRightInd w:val="0"/>
        <w:snapToGrid w:val="0"/>
        <w:spacing w:after="120"/>
        <w:ind w:firstLine="720"/>
        <w:rPr>
          <w:rFonts w:eastAsiaTheme="minorEastAsia"/>
          <w:snapToGrid w:val="0"/>
          <w:kern w:val="22"/>
        </w:rPr>
      </w:pPr>
      <w:r>
        <w:rPr>
          <w:rStyle w:val="normaltextrun"/>
          <w:kern w:val="22"/>
        </w:rPr>
        <w:t xml:space="preserve">(j) </w:t>
      </w:r>
      <w:r>
        <w:rPr>
          <w:rStyle w:val="normaltextrun"/>
          <w:kern w:val="22"/>
        </w:rPr>
        <w:tab/>
      </w:r>
      <w:r w:rsidRPr="00117EEC">
        <w:rPr>
          <w:rStyle w:val="normaltextrun"/>
          <w:kern w:val="22"/>
        </w:rPr>
        <w:t xml:space="preserve">To undertake a review of the </w:t>
      </w:r>
      <w:r>
        <w:rPr>
          <w:rStyle w:val="normaltextrun"/>
          <w:kern w:val="22"/>
        </w:rPr>
        <w:t>technical and scientific cooperation mechanism,</w:t>
      </w:r>
      <w:r w:rsidRPr="00117EEC">
        <w:rPr>
          <w:rStyle w:val="normaltextrun"/>
          <w:kern w:val="22"/>
        </w:rPr>
        <w:t xml:space="preserve"> </w:t>
      </w:r>
      <w:r w:rsidRPr="00117EEC">
        <w:rPr>
          <w:rStyle w:val="normaltextrun"/>
        </w:rPr>
        <w:t>in conjunction with the</w:t>
      </w:r>
      <w:r>
        <w:rPr>
          <w:rStyle w:val="normaltextrun"/>
        </w:rPr>
        <w:t xml:space="preserve"> global review</w:t>
      </w:r>
      <w:r w:rsidRPr="00117EEC">
        <w:rPr>
          <w:rStyle w:val="normaltextrun"/>
        </w:rPr>
        <w:t xml:space="preserve"> of the </w:t>
      </w:r>
      <w:r>
        <w:rPr>
          <w:rStyle w:val="normaltextrun"/>
        </w:rPr>
        <w:t>Kunming-Montreal G</w:t>
      </w:r>
      <w:r w:rsidRPr="00117EEC">
        <w:rPr>
          <w:rStyle w:val="normaltextrun"/>
        </w:rPr>
        <w:t xml:space="preserve">lobal </w:t>
      </w:r>
      <w:r>
        <w:rPr>
          <w:rStyle w:val="normaltextrun"/>
        </w:rPr>
        <w:t>B</w:t>
      </w:r>
      <w:r w:rsidRPr="00117EEC">
        <w:rPr>
          <w:rStyle w:val="normaltextrun"/>
        </w:rPr>
        <w:t xml:space="preserve">iodiversity </w:t>
      </w:r>
      <w:r>
        <w:rPr>
          <w:rStyle w:val="normaltextrun"/>
        </w:rPr>
        <w:t>F</w:t>
      </w:r>
      <w:r w:rsidRPr="00117EEC">
        <w:rPr>
          <w:rStyle w:val="normaltextrun"/>
        </w:rPr>
        <w:t>ramework</w:t>
      </w:r>
      <w:r>
        <w:rPr>
          <w:rStyle w:val="normaltextrun"/>
        </w:rPr>
        <w:t xml:space="preserve">, including the means of </w:t>
      </w:r>
      <w:r w:rsidRPr="00FA301D">
        <w:rPr>
          <w:rStyle w:val="normaltextrun"/>
        </w:rPr>
        <w:t>implementation,</w:t>
      </w:r>
      <w:r>
        <w:rPr>
          <w:rStyle w:val="normaltextrun"/>
        </w:rPr>
        <w:t xml:space="preserve"> for </w:t>
      </w:r>
      <w:r w:rsidRPr="008F1A05">
        <w:rPr>
          <w:rStyle w:val="normaltextrun"/>
        </w:rPr>
        <w:t>consideration at the seventeenth meeting of the Conference of the Parties</w:t>
      </w:r>
      <w:r w:rsidRPr="008F1A05">
        <w:rPr>
          <w:rStyle w:val="normaltextrun"/>
          <w:kern w:val="22"/>
        </w:rPr>
        <w:t xml:space="preserve"> and</w:t>
      </w:r>
      <w:r>
        <w:rPr>
          <w:rStyle w:val="normaltextrun"/>
          <w:kern w:val="22"/>
        </w:rPr>
        <w:t>,</w:t>
      </w:r>
      <w:r w:rsidRPr="00117EEC">
        <w:rPr>
          <w:rStyle w:val="normaltextrun"/>
          <w:kern w:val="22"/>
        </w:rPr>
        <w:t xml:space="preserve"> if necessary, propose updates</w:t>
      </w:r>
      <w:r>
        <w:rPr>
          <w:rStyle w:val="normaltextrun"/>
          <w:kern w:val="22"/>
        </w:rPr>
        <w:t xml:space="preserve"> to ensure its effectiveness to assist Parties in implementing the Kunming-Montreal Global Biodiversity Framework;</w:t>
      </w:r>
    </w:p>
    <w:p w14:paraId="36B91C1C" w14:textId="77777777" w:rsidR="008C379F" w:rsidRPr="00117EEC" w:rsidRDefault="008C379F" w:rsidP="00A30041">
      <w:pPr>
        <w:suppressLineNumbers/>
        <w:tabs>
          <w:tab w:val="left" w:pos="1418"/>
        </w:tabs>
        <w:suppressAutoHyphens/>
        <w:kinsoku w:val="0"/>
        <w:overflowPunct w:val="0"/>
        <w:autoSpaceDE w:val="0"/>
        <w:autoSpaceDN w:val="0"/>
        <w:adjustRightInd w:val="0"/>
        <w:snapToGrid w:val="0"/>
        <w:spacing w:after="120"/>
        <w:ind w:firstLine="720"/>
        <w:rPr>
          <w:rFonts w:eastAsiaTheme="minorEastAsia"/>
          <w:snapToGrid w:val="0"/>
          <w:kern w:val="22"/>
        </w:rPr>
      </w:pPr>
      <w:r w:rsidRPr="00B1713D">
        <w:rPr>
          <w:rFonts w:eastAsiaTheme="minorEastAsia"/>
          <w:snapToGrid w:val="0"/>
          <w:kern w:val="22"/>
        </w:rPr>
        <w:t>(</w:t>
      </w:r>
      <w:r>
        <w:rPr>
          <w:rFonts w:eastAsiaTheme="minorEastAsia"/>
          <w:snapToGrid w:val="0"/>
          <w:kern w:val="22"/>
        </w:rPr>
        <w:t>k</w:t>
      </w:r>
      <w:r w:rsidRPr="00B1713D">
        <w:rPr>
          <w:rFonts w:eastAsiaTheme="minorEastAsia"/>
          <w:snapToGrid w:val="0"/>
          <w:kern w:val="22"/>
        </w:rPr>
        <w:t>)</w:t>
      </w:r>
      <w:r w:rsidRPr="00FB1E1B">
        <w:rPr>
          <w:rFonts w:eastAsiaTheme="minorEastAsia"/>
          <w:snapToGrid w:val="0"/>
          <w:kern w:val="22"/>
        </w:rPr>
        <w:tab/>
        <w:t xml:space="preserve">To submit a report on the work of the </w:t>
      </w:r>
      <w:r>
        <w:rPr>
          <w:rFonts w:eastAsiaTheme="minorEastAsia"/>
          <w:snapToGrid w:val="0"/>
          <w:kern w:val="22"/>
        </w:rPr>
        <w:t>I</w:t>
      </w:r>
      <w:r w:rsidRPr="00FB1E1B">
        <w:rPr>
          <w:rFonts w:eastAsiaTheme="minorEastAsia"/>
          <w:snapToGrid w:val="0"/>
          <w:kern w:val="22"/>
        </w:rPr>
        <w:t xml:space="preserve">nformal </w:t>
      </w:r>
      <w:r>
        <w:rPr>
          <w:rFonts w:eastAsiaTheme="minorEastAsia"/>
          <w:snapToGrid w:val="0"/>
          <w:kern w:val="22"/>
        </w:rPr>
        <w:t>A</w:t>
      </w:r>
      <w:r w:rsidRPr="00FB1E1B">
        <w:rPr>
          <w:rFonts w:eastAsiaTheme="minorEastAsia"/>
          <w:snapToGrid w:val="0"/>
          <w:kern w:val="22"/>
        </w:rPr>
        <w:t xml:space="preserve">dvisory </w:t>
      </w:r>
      <w:r>
        <w:rPr>
          <w:rFonts w:eastAsiaTheme="minorEastAsia"/>
          <w:snapToGrid w:val="0"/>
          <w:kern w:val="22"/>
        </w:rPr>
        <w:t>G</w:t>
      </w:r>
      <w:r w:rsidRPr="00FB1E1B">
        <w:rPr>
          <w:rFonts w:eastAsiaTheme="minorEastAsia"/>
          <w:snapToGrid w:val="0"/>
          <w:kern w:val="22"/>
        </w:rPr>
        <w:t xml:space="preserve">roup on </w:t>
      </w:r>
      <w:r>
        <w:rPr>
          <w:rFonts w:eastAsiaTheme="minorEastAsia"/>
          <w:snapToGrid w:val="0"/>
          <w:kern w:val="22"/>
        </w:rPr>
        <w:t>T</w:t>
      </w:r>
      <w:r w:rsidRPr="00FB1E1B">
        <w:rPr>
          <w:rFonts w:eastAsiaTheme="minorEastAsia"/>
          <w:snapToGrid w:val="0"/>
          <w:kern w:val="22"/>
        </w:rPr>
        <w:t xml:space="preserve">echnical and </w:t>
      </w:r>
      <w:r>
        <w:rPr>
          <w:rFonts w:eastAsiaTheme="minorEastAsia"/>
          <w:snapToGrid w:val="0"/>
          <w:kern w:val="22"/>
        </w:rPr>
        <w:t>S</w:t>
      </w:r>
      <w:r w:rsidRPr="00FB1E1B">
        <w:rPr>
          <w:rFonts w:eastAsiaTheme="minorEastAsia"/>
          <w:snapToGrid w:val="0"/>
          <w:kern w:val="22"/>
        </w:rPr>
        <w:t xml:space="preserve">cientific </w:t>
      </w:r>
      <w:r>
        <w:rPr>
          <w:rFonts w:eastAsiaTheme="minorEastAsia"/>
          <w:snapToGrid w:val="0"/>
          <w:kern w:val="22"/>
        </w:rPr>
        <w:t>C</w:t>
      </w:r>
      <w:r w:rsidRPr="00FB1E1B">
        <w:rPr>
          <w:rFonts w:eastAsiaTheme="minorEastAsia"/>
          <w:snapToGrid w:val="0"/>
          <w:kern w:val="22"/>
        </w:rPr>
        <w:t xml:space="preserve">ooperation for consideration by the Subsidiary Body on </w:t>
      </w:r>
      <w:r>
        <w:rPr>
          <w:rFonts w:eastAsiaTheme="minorEastAsia"/>
          <w:snapToGrid w:val="0"/>
          <w:kern w:val="22"/>
        </w:rPr>
        <w:t xml:space="preserve">Implementation </w:t>
      </w:r>
      <w:r w:rsidRPr="00FB1E1B">
        <w:rPr>
          <w:rFonts w:eastAsiaTheme="minorEastAsia"/>
          <w:snapToGrid w:val="0"/>
          <w:kern w:val="22"/>
        </w:rPr>
        <w:t xml:space="preserve">at a meeting to be held prior to the sixteenth </w:t>
      </w:r>
      <w:r>
        <w:rPr>
          <w:rFonts w:eastAsiaTheme="minorEastAsia"/>
          <w:snapToGrid w:val="0"/>
          <w:kern w:val="22"/>
        </w:rPr>
        <w:t xml:space="preserve">meeting of the </w:t>
      </w:r>
      <w:r w:rsidRPr="00FB1E1B">
        <w:rPr>
          <w:rFonts w:eastAsiaTheme="minorEastAsia"/>
          <w:snapToGrid w:val="0"/>
          <w:kern w:val="22"/>
        </w:rPr>
        <w:t>Conference of the Parties</w:t>
      </w:r>
      <w:r w:rsidRPr="00FB1E1B">
        <w:rPr>
          <w:snapToGrid w:val="0"/>
          <w:kern w:val="22"/>
        </w:rPr>
        <w:t>.</w:t>
      </w:r>
    </w:p>
    <w:p w14:paraId="7A40BCD5" w14:textId="77777777" w:rsidR="008C379F" w:rsidRPr="000F589D" w:rsidRDefault="008C379F" w:rsidP="00AC7311">
      <w:pPr>
        <w:keepNext/>
        <w:keepLines/>
        <w:suppressLineNumbers/>
        <w:tabs>
          <w:tab w:val="center" w:pos="4731"/>
          <w:tab w:val="left" w:pos="6162"/>
        </w:tabs>
        <w:suppressAutoHyphens/>
        <w:kinsoku w:val="0"/>
        <w:overflowPunct w:val="0"/>
        <w:autoSpaceDE w:val="0"/>
        <w:autoSpaceDN w:val="0"/>
        <w:adjustRightInd w:val="0"/>
        <w:snapToGrid w:val="0"/>
        <w:spacing w:before="240" w:after="60"/>
        <w:jc w:val="center"/>
        <w:rPr>
          <w:rFonts w:asciiTheme="majorBidi" w:hAnsiTheme="majorBidi" w:cstheme="majorBidi"/>
          <w:i/>
          <w:iCs/>
          <w:snapToGrid w:val="0"/>
          <w:kern w:val="22"/>
          <w:szCs w:val="22"/>
        </w:rPr>
      </w:pPr>
      <w:bookmarkStart w:id="71" w:name="_Toc57214894"/>
      <w:bookmarkStart w:id="72" w:name="_Toc118355006"/>
      <w:r w:rsidRPr="000F589D">
        <w:rPr>
          <w:rFonts w:asciiTheme="majorBidi" w:hAnsiTheme="majorBidi" w:cstheme="majorBidi"/>
          <w:i/>
          <w:iCs/>
          <w:snapToGrid w:val="0"/>
          <w:kern w:val="22"/>
          <w:szCs w:val="22"/>
        </w:rPr>
        <w:t>Annex I</w:t>
      </w:r>
      <w:bookmarkEnd w:id="71"/>
      <w:bookmarkEnd w:id="72"/>
    </w:p>
    <w:p w14:paraId="2099297F" w14:textId="77777777" w:rsidR="008C379F" w:rsidRPr="000F589D" w:rsidRDefault="008C379F" w:rsidP="00AC7311">
      <w:pPr>
        <w:keepNext/>
        <w:keepLines/>
        <w:suppressLineNumbers/>
        <w:suppressAutoHyphens/>
        <w:kinsoku w:val="0"/>
        <w:overflowPunct w:val="0"/>
        <w:autoSpaceDE w:val="0"/>
        <w:autoSpaceDN w:val="0"/>
        <w:adjustRightInd w:val="0"/>
        <w:snapToGrid w:val="0"/>
        <w:spacing w:before="120" w:after="120"/>
        <w:jc w:val="center"/>
        <w:rPr>
          <w:rFonts w:asciiTheme="majorBidi" w:hAnsiTheme="majorBidi" w:cstheme="majorBidi"/>
          <w:b/>
          <w:bCs/>
          <w:caps/>
          <w:snapToGrid w:val="0"/>
          <w:kern w:val="22"/>
          <w:szCs w:val="22"/>
        </w:rPr>
      </w:pPr>
      <w:bookmarkStart w:id="73" w:name="_Toc57214895"/>
      <w:bookmarkStart w:id="74" w:name="_Toc118355007"/>
      <w:r w:rsidRPr="000F589D">
        <w:rPr>
          <w:rFonts w:asciiTheme="majorBidi" w:hAnsiTheme="majorBidi" w:cstheme="majorBidi"/>
          <w:b/>
          <w:bCs/>
          <w:caps/>
          <w:snapToGrid w:val="0"/>
          <w:kern w:val="22"/>
          <w:szCs w:val="22"/>
        </w:rPr>
        <w:t>Long-term strategic framework for capacity</w:t>
      </w:r>
      <w:r w:rsidRPr="000F589D">
        <w:rPr>
          <w:rFonts w:asciiTheme="majorBidi" w:hAnsiTheme="majorBidi" w:cstheme="majorBidi"/>
          <w:b/>
          <w:bCs/>
          <w:caps/>
          <w:snapToGrid w:val="0"/>
          <w:kern w:val="22"/>
          <w:szCs w:val="22"/>
        </w:rPr>
        <w:noBreakHyphen/>
        <w:t>building and development</w:t>
      </w:r>
      <w:bookmarkEnd w:id="73"/>
      <w:bookmarkEnd w:id="74"/>
    </w:p>
    <w:p w14:paraId="2ED9B931" w14:textId="77777777" w:rsidR="008C379F" w:rsidRPr="000F589D" w:rsidRDefault="008C379F" w:rsidP="00AC7311">
      <w:pPr>
        <w:keepNext/>
        <w:suppressLineNumbers/>
        <w:tabs>
          <w:tab w:val="left" w:pos="284"/>
        </w:tabs>
        <w:suppressAutoHyphens/>
        <w:spacing w:before="120" w:after="120"/>
        <w:jc w:val="center"/>
        <w:rPr>
          <w:rFonts w:asciiTheme="majorBidi" w:hAnsiTheme="majorBidi" w:cstheme="majorBidi"/>
          <w:b/>
          <w:caps/>
          <w:color w:val="000000"/>
          <w:szCs w:val="22"/>
          <w:lang w:eastAsia="zh-CN"/>
        </w:rPr>
      </w:pPr>
      <w:bookmarkStart w:id="75" w:name="_Toc57214896"/>
      <w:r w:rsidRPr="000F589D">
        <w:rPr>
          <w:rFonts w:asciiTheme="majorBidi" w:hAnsiTheme="majorBidi" w:cstheme="majorBidi"/>
          <w:b/>
          <w:caps/>
          <w:color w:val="000000"/>
          <w:szCs w:val="22"/>
          <w:lang w:eastAsia="zh-CN"/>
        </w:rPr>
        <w:t>I.</w:t>
      </w:r>
      <w:r w:rsidRPr="000F589D">
        <w:rPr>
          <w:rFonts w:asciiTheme="majorBidi" w:hAnsiTheme="majorBidi" w:cstheme="majorBidi"/>
          <w:b/>
          <w:caps/>
          <w:color w:val="000000"/>
          <w:szCs w:val="22"/>
          <w:lang w:eastAsia="zh-CN"/>
        </w:rPr>
        <w:tab/>
      </w:r>
      <w:r>
        <w:rPr>
          <w:rFonts w:asciiTheme="majorBidi" w:hAnsiTheme="majorBidi" w:cstheme="majorBidi"/>
          <w:b/>
          <w:caps/>
          <w:color w:val="000000"/>
          <w:szCs w:val="22"/>
          <w:lang w:eastAsia="zh-CN"/>
        </w:rPr>
        <w:tab/>
      </w:r>
      <w:r w:rsidRPr="000F589D">
        <w:rPr>
          <w:rFonts w:asciiTheme="majorBidi" w:hAnsiTheme="majorBidi" w:cstheme="majorBidi"/>
          <w:b/>
          <w:caps/>
          <w:color w:val="000000"/>
          <w:szCs w:val="22"/>
          <w:lang w:eastAsia="zh-CN"/>
        </w:rPr>
        <w:t>Introduction</w:t>
      </w:r>
      <w:bookmarkEnd w:id="75"/>
    </w:p>
    <w:p w14:paraId="71A24E49" w14:textId="77777777" w:rsidR="008C379F" w:rsidRPr="000F589D" w:rsidRDefault="008C379F" w:rsidP="00A30041">
      <w:pPr>
        <w:pStyle w:val="Para1"/>
        <w:numPr>
          <w:ilvl w:val="0"/>
          <w:numId w:val="0"/>
        </w:numPr>
        <w:suppressLineNumbers/>
        <w:tabs>
          <w:tab w:val="left" w:pos="720"/>
        </w:tabs>
        <w:suppressAutoHyphens/>
        <w:kinsoku w:val="0"/>
        <w:adjustRightInd w:val="0"/>
        <w:rPr>
          <w:rFonts w:asciiTheme="majorBidi" w:hAnsiTheme="majorBidi" w:cstheme="majorBidi"/>
          <w:snapToGrid/>
        </w:rPr>
      </w:pPr>
      <w:r w:rsidRPr="000F589D">
        <w:rPr>
          <w:rFonts w:asciiTheme="majorBidi" w:hAnsiTheme="majorBidi" w:cstheme="majorBidi"/>
          <w:snapToGrid/>
        </w:rPr>
        <w:t>1.</w:t>
      </w:r>
      <w:r w:rsidRPr="000F589D">
        <w:rPr>
          <w:rFonts w:asciiTheme="majorBidi" w:hAnsiTheme="majorBidi" w:cstheme="majorBidi"/>
          <w:snapToGrid/>
        </w:rPr>
        <w:tab/>
      </w:r>
      <w:r w:rsidRPr="000F589D">
        <w:rPr>
          <w:rFonts w:asciiTheme="majorBidi" w:hAnsiTheme="majorBidi" w:cstheme="majorBidi"/>
        </w:rPr>
        <w:t>The long-term strategic framework is intended to guide the capacity</w:t>
      </w:r>
      <w:r w:rsidRPr="000F589D">
        <w:rPr>
          <w:rFonts w:asciiTheme="majorBidi" w:hAnsiTheme="majorBidi" w:cstheme="majorBidi"/>
        </w:rPr>
        <w:noBreakHyphen/>
        <w:t>building and development efforts of government and non-government actors,</w:t>
      </w:r>
      <w:r w:rsidRPr="00610646">
        <w:rPr>
          <w:rStyle w:val="FootnoteReference"/>
        </w:rPr>
        <w:footnoteReference w:id="73"/>
      </w:r>
      <w:r w:rsidRPr="000F589D">
        <w:rPr>
          <w:rFonts w:asciiTheme="majorBidi" w:hAnsiTheme="majorBidi" w:cstheme="majorBidi"/>
        </w:rPr>
        <w:t xml:space="preserve"> including indigenous peoples and local communities, in support of priorities determined by Parties in their national biodiversity strategies and action plans for the implementation of the </w:t>
      </w:r>
      <w:r>
        <w:rPr>
          <w:rFonts w:asciiTheme="majorBidi" w:hAnsiTheme="majorBidi" w:cstheme="majorBidi"/>
        </w:rPr>
        <w:t>Kunming-Montreal G</w:t>
      </w:r>
      <w:r w:rsidRPr="000F589D">
        <w:rPr>
          <w:rFonts w:asciiTheme="majorBidi" w:hAnsiTheme="majorBidi" w:cstheme="majorBidi"/>
        </w:rPr>
        <w:t xml:space="preserve">lobal </w:t>
      </w:r>
      <w:r>
        <w:rPr>
          <w:rFonts w:asciiTheme="majorBidi" w:hAnsiTheme="majorBidi" w:cstheme="majorBidi"/>
        </w:rPr>
        <w:t>B</w:t>
      </w:r>
      <w:r w:rsidRPr="000F589D">
        <w:rPr>
          <w:rFonts w:asciiTheme="majorBidi" w:hAnsiTheme="majorBidi" w:cstheme="majorBidi"/>
        </w:rPr>
        <w:t xml:space="preserve">iodiversity </w:t>
      </w:r>
      <w:r>
        <w:rPr>
          <w:rFonts w:asciiTheme="majorBidi" w:hAnsiTheme="majorBidi" w:cstheme="majorBidi"/>
        </w:rPr>
        <w:t>F</w:t>
      </w:r>
      <w:r w:rsidRPr="000F589D">
        <w:rPr>
          <w:rFonts w:asciiTheme="majorBidi" w:hAnsiTheme="majorBidi" w:cstheme="majorBidi"/>
        </w:rPr>
        <w:t>ramework. It seeks to catalyse institutionalized capacity</w:t>
      </w:r>
      <w:r w:rsidRPr="000F589D">
        <w:rPr>
          <w:rFonts w:asciiTheme="majorBidi" w:hAnsiTheme="majorBidi" w:cstheme="majorBidi"/>
        </w:rPr>
        <w:noBreakHyphen/>
        <w:t>building and development interventions</w:t>
      </w:r>
      <w:r>
        <w:rPr>
          <w:rFonts w:asciiTheme="majorBidi" w:hAnsiTheme="majorBidi" w:cstheme="majorBidi"/>
        </w:rPr>
        <w:t xml:space="preserve"> </w:t>
      </w:r>
      <w:r w:rsidRPr="00115CD0">
        <w:rPr>
          <w:rFonts w:asciiTheme="majorBidi" w:hAnsiTheme="majorBidi" w:cstheme="majorBidi"/>
        </w:rPr>
        <w:t>and ensure that they are robust, coordinated and delivered in a holistic and complementary manner. It also seeks to promote coherence, efficiency and effectiveness of capacity</w:t>
      </w:r>
      <w:r w:rsidRPr="00115CD0">
        <w:rPr>
          <w:rFonts w:asciiTheme="majorBidi" w:hAnsiTheme="majorBidi" w:cstheme="majorBidi"/>
        </w:rPr>
        <w:noBreakHyphen/>
        <w:t>building and development efforts at all levels through strategic and harmonized approaches.</w:t>
      </w:r>
    </w:p>
    <w:p w14:paraId="7AA23D47" w14:textId="77777777" w:rsidR="008C379F" w:rsidRPr="000F589D" w:rsidRDefault="008C379F" w:rsidP="00A30041">
      <w:pPr>
        <w:pStyle w:val="Para1"/>
        <w:numPr>
          <w:ilvl w:val="0"/>
          <w:numId w:val="0"/>
        </w:numPr>
        <w:suppressLineNumbers/>
        <w:tabs>
          <w:tab w:val="left" w:pos="720"/>
        </w:tabs>
        <w:suppressAutoHyphens/>
        <w:kinsoku w:val="0"/>
        <w:adjustRightInd w:val="0"/>
        <w:rPr>
          <w:rFonts w:asciiTheme="majorBidi" w:hAnsiTheme="majorBidi" w:cstheme="majorBidi"/>
        </w:rPr>
      </w:pPr>
      <w:r w:rsidRPr="000F589D">
        <w:rPr>
          <w:rFonts w:asciiTheme="majorBidi" w:hAnsiTheme="majorBidi" w:cstheme="majorBidi"/>
        </w:rPr>
        <w:t>2.</w:t>
      </w:r>
      <w:r w:rsidRPr="000F589D">
        <w:rPr>
          <w:rFonts w:asciiTheme="majorBidi" w:hAnsiTheme="majorBidi" w:cstheme="majorBidi"/>
        </w:rPr>
        <w:tab/>
        <w:t xml:space="preserve">The study carried out to provide the knowledge base for the </w:t>
      </w:r>
      <w:r>
        <w:rPr>
          <w:rFonts w:asciiTheme="majorBidi" w:hAnsiTheme="majorBidi" w:cstheme="majorBidi"/>
        </w:rPr>
        <w:t xml:space="preserve">strategic </w:t>
      </w:r>
      <w:r w:rsidRPr="000F589D">
        <w:rPr>
          <w:rFonts w:asciiTheme="majorBidi" w:hAnsiTheme="majorBidi" w:cstheme="majorBidi"/>
        </w:rPr>
        <w:t>framework</w:t>
      </w:r>
      <w:r w:rsidRPr="00610646">
        <w:rPr>
          <w:rStyle w:val="FootnoteReference"/>
        </w:rPr>
        <w:footnoteReference w:id="74"/>
      </w:r>
      <w:r w:rsidRPr="000F589D">
        <w:rPr>
          <w:rFonts w:asciiTheme="majorBidi" w:hAnsiTheme="majorBidi" w:cstheme="majorBidi"/>
        </w:rPr>
        <w:t xml:space="preserve"> noted that </w:t>
      </w:r>
      <w:bookmarkStart w:id="76" w:name="_Hlk47869803"/>
      <w:r w:rsidRPr="000F589D">
        <w:rPr>
          <w:rFonts w:asciiTheme="majorBidi" w:hAnsiTheme="majorBidi" w:cstheme="majorBidi"/>
        </w:rPr>
        <w:t>capacity</w:t>
      </w:r>
      <w:r w:rsidRPr="000F589D">
        <w:rPr>
          <w:rFonts w:asciiTheme="majorBidi" w:hAnsiTheme="majorBidi" w:cstheme="majorBidi"/>
        </w:rPr>
        <w:noBreakHyphen/>
        <w:t xml:space="preserve">building and development </w:t>
      </w:r>
      <w:bookmarkEnd w:id="76"/>
      <w:r w:rsidRPr="000F589D">
        <w:rPr>
          <w:rFonts w:asciiTheme="majorBidi" w:hAnsiTheme="majorBidi" w:cstheme="majorBidi"/>
        </w:rPr>
        <w:t xml:space="preserve">efforts, especially in developing countries, </w:t>
      </w:r>
      <w:r>
        <w:rPr>
          <w:rFonts w:asciiTheme="majorBidi" w:hAnsiTheme="majorBidi" w:cstheme="majorBidi"/>
        </w:rPr>
        <w:t>were</w:t>
      </w:r>
      <w:r w:rsidRPr="000F589D">
        <w:rPr>
          <w:rFonts w:asciiTheme="majorBidi" w:hAnsiTheme="majorBidi" w:cstheme="majorBidi"/>
        </w:rPr>
        <w:t xml:space="preserve"> fragmented and undertaken in silos, </w:t>
      </w:r>
      <w:r w:rsidRPr="00E214E6">
        <w:rPr>
          <w:rFonts w:asciiTheme="majorBidi" w:hAnsiTheme="majorBidi" w:cstheme="majorBidi"/>
        </w:rPr>
        <w:t>largely through externally funded short-term projects. Many countries had not yet adopted systemic, long-term and institutionalized approaches to capacity</w:t>
      </w:r>
      <w:r w:rsidRPr="00E214E6">
        <w:rPr>
          <w:rFonts w:asciiTheme="majorBidi" w:hAnsiTheme="majorBidi" w:cstheme="majorBidi"/>
        </w:rPr>
        <w:noBreakHyphen/>
        <w:t>building and development. Interventions were often implemented in an ad hoc manner and not as part of coherent long-term programmes, and without an adequate enabling environment. Consequently, many had not succeeded in bringing about the desired changes in a sustainable manner. The strategic framework aims to help address the above shortcomings.</w:t>
      </w:r>
    </w:p>
    <w:p w14:paraId="3D15C940" w14:textId="77777777" w:rsidR="008C379F" w:rsidRPr="000F589D" w:rsidRDefault="008C379F" w:rsidP="00A30041">
      <w:pPr>
        <w:pStyle w:val="Para1"/>
        <w:numPr>
          <w:ilvl w:val="0"/>
          <w:numId w:val="0"/>
        </w:numPr>
        <w:suppressLineNumbers/>
        <w:tabs>
          <w:tab w:val="left" w:pos="720"/>
        </w:tabs>
        <w:suppressAutoHyphens/>
        <w:kinsoku w:val="0"/>
        <w:adjustRightInd w:val="0"/>
        <w:rPr>
          <w:rFonts w:asciiTheme="majorBidi" w:hAnsiTheme="majorBidi" w:cstheme="majorBidi"/>
        </w:rPr>
      </w:pPr>
      <w:r w:rsidRPr="000F589D">
        <w:rPr>
          <w:rFonts w:asciiTheme="majorBidi" w:hAnsiTheme="majorBidi" w:cstheme="majorBidi"/>
        </w:rPr>
        <w:t>3.</w:t>
      </w:r>
      <w:r w:rsidRPr="000F589D">
        <w:rPr>
          <w:rFonts w:asciiTheme="majorBidi" w:hAnsiTheme="majorBidi" w:cstheme="majorBidi"/>
        </w:rPr>
        <w:tab/>
        <w:t>In this strategic framework, capacity is described as “the ability of people, organizations and societies as a whole to achieve the biodiversity-related goals and action targets”, and capacity</w:t>
      </w:r>
      <w:r w:rsidRPr="000F589D">
        <w:rPr>
          <w:rFonts w:asciiTheme="majorBidi" w:hAnsiTheme="majorBidi" w:cstheme="majorBidi"/>
        </w:rPr>
        <w:noBreakHyphen/>
        <w:t>building and development is understood as “the process whereby people, organizations and society as a whole unleash, strengthen, create, adapt and maintain capacity over time to achieve positive biodiversity results.”</w:t>
      </w:r>
      <w:r w:rsidRPr="00610646">
        <w:rPr>
          <w:rStyle w:val="FootnoteReference"/>
        </w:rPr>
        <w:footnoteReference w:id="75"/>
      </w:r>
      <w:r w:rsidRPr="000F589D">
        <w:rPr>
          <w:rFonts w:asciiTheme="majorBidi" w:hAnsiTheme="majorBidi" w:cstheme="majorBidi"/>
        </w:rPr>
        <w:t xml:space="preserve"> </w:t>
      </w:r>
      <w:r w:rsidRPr="000F589D">
        <w:rPr>
          <w:rFonts w:asciiTheme="majorBidi" w:hAnsiTheme="majorBidi" w:cstheme="majorBidi"/>
        </w:rPr>
        <w:lastRenderedPageBreak/>
        <w:t>Capacity</w:t>
      </w:r>
      <w:r w:rsidRPr="000F589D">
        <w:rPr>
          <w:rFonts w:asciiTheme="majorBidi" w:hAnsiTheme="majorBidi" w:cstheme="majorBidi"/>
        </w:rPr>
        <w:noBreakHyphen/>
        <w:t>building and development is considered at three levels: the enabling environment, organizational and individual levels.</w:t>
      </w:r>
    </w:p>
    <w:p w14:paraId="07D66ADB" w14:textId="77777777" w:rsidR="008C379F" w:rsidRPr="000F589D" w:rsidRDefault="008C379F" w:rsidP="00AC7311">
      <w:pPr>
        <w:keepNext/>
        <w:suppressLineNumbers/>
        <w:tabs>
          <w:tab w:val="left" w:pos="284"/>
        </w:tabs>
        <w:suppressAutoHyphens/>
        <w:spacing w:before="120" w:after="120"/>
        <w:jc w:val="center"/>
        <w:rPr>
          <w:rFonts w:asciiTheme="majorBidi" w:hAnsiTheme="majorBidi" w:cstheme="majorBidi"/>
          <w:b/>
          <w:caps/>
          <w:color w:val="000000"/>
          <w:szCs w:val="22"/>
          <w:lang w:eastAsia="zh-CN"/>
        </w:rPr>
      </w:pPr>
      <w:bookmarkStart w:id="77" w:name="_Toc57214897"/>
      <w:r w:rsidRPr="000F589D">
        <w:rPr>
          <w:rFonts w:asciiTheme="majorBidi" w:hAnsiTheme="majorBidi" w:cstheme="majorBidi"/>
          <w:b/>
          <w:caps/>
          <w:color w:val="000000"/>
          <w:szCs w:val="22"/>
          <w:lang w:eastAsia="zh-CN"/>
        </w:rPr>
        <w:t>II.</w:t>
      </w:r>
      <w:r w:rsidRPr="000F589D">
        <w:rPr>
          <w:rFonts w:asciiTheme="majorBidi" w:hAnsiTheme="majorBidi" w:cstheme="majorBidi"/>
          <w:b/>
          <w:caps/>
          <w:color w:val="000000"/>
          <w:szCs w:val="22"/>
          <w:lang w:eastAsia="zh-CN"/>
        </w:rPr>
        <w:tab/>
      </w:r>
      <w:r>
        <w:rPr>
          <w:rFonts w:asciiTheme="majorBidi" w:hAnsiTheme="majorBidi" w:cstheme="majorBidi"/>
          <w:b/>
          <w:caps/>
          <w:color w:val="000000"/>
          <w:szCs w:val="22"/>
          <w:lang w:eastAsia="zh-CN"/>
        </w:rPr>
        <w:tab/>
      </w:r>
      <w:r w:rsidRPr="000F589D">
        <w:rPr>
          <w:rFonts w:asciiTheme="majorBidi" w:hAnsiTheme="majorBidi" w:cstheme="majorBidi"/>
          <w:b/>
          <w:caps/>
          <w:color w:val="000000"/>
          <w:szCs w:val="22"/>
          <w:lang w:eastAsia="zh-CN"/>
        </w:rPr>
        <w:t>Strategic direction and outcomes</w:t>
      </w:r>
      <w:bookmarkEnd w:id="77"/>
    </w:p>
    <w:p w14:paraId="47CDF56D" w14:textId="77777777" w:rsidR="008C379F" w:rsidRPr="00981752" w:rsidRDefault="008C379F" w:rsidP="00AC7311">
      <w:pPr>
        <w:pStyle w:val="heading2notforTOC"/>
        <w:outlineLvl w:val="9"/>
        <w:rPr>
          <w:rFonts w:asciiTheme="majorBidi" w:hAnsiTheme="majorBidi" w:cstheme="majorBidi"/>
          <w:b/>
          <w:bCs/>
          <w:i w:val="0"/>
          <w:iCs w:val="0"/>
          <w:snapToGrid w:val="0"/>
          <w:szCs w:val="22"/>
        </w:rPr>
      </w:pPr>
      <w:bookmarkStart w:id="78" w:name="_Toc39228082"/>
      <w:bookmarkStart w:id="79" w:name="_Toc57214898"/>
      <w:r w:rsidRPr="00981752">
        <w:rPr>
          <w:rFonts w:asciiTheme="majorBidi" w:hAnsiTheme="majorBidi" w:cstheme="majorBidi"/>
          <w:b/>
          <w:bCs/>
          <w:i w:val="0"/>
          <w:iCs w:val="0"/>
          <w:snapToGrid w:val="0"/>
          <w:szCs w:val="22"/>
        </w:rPr>
        <w:t>A.</w:t>
      </w:r>
      <w:r w:rsidRPr="00981752">
        <w:rPr>
          <w:rFonts w:asciiTheme="majorBidi" w:hAnsiTheme="majorBidi" w:cstheme="majorBidi"/>
          <w:b/>
          <w:bCs/>
          <w:i w:val="0"/>
          <w:iCs w:val="0"/>
          <w:snapToGrid w:val="0"/>
          <w:szCs w:val="22"/>
        </w:rPr>
        <w:tab/>
        <w:t>Overall vision and theory of change</w:t>
      </w:r>
      <w:bookmarkEnd w:id="78"/>
      <w:bookmarkEnd w:id="79"/>
    </w:p>
    <w:p w14:paraId="434D3455" w14:textId="77777777" w:rsidR="008C379F" w:rsidRPr="00FB01CE" w:rsidRDefault="008C379F" w:rsidP="00A30041">
      <w:pPr>
        <w:pStyle w:val="Para1"/>
        <w:numPr>
          <w:ilvl w:val="0"/>
          <w:numId w:val="0"/>
        </w:numPr>
        <w:suppressLineNumbers/>
        <w:tabs>
          <w:tab w:val="left" w:pos="720"/>
        </w:tabs>
        <w:suppressAutoHyphens/>
        <w:kinsoku w:val="0"/>
        <w:adjustRightInd w:val="0"/>
        <w:rPr>
          <w:rFonts w:asciiTheme="majorBidi" w:hAnsiTheme="majorBidi" w:cstheme="majorBidi"/>
          <w:snapToGrid/>
        </w:rPr>
      </w:pPr>
      <w:r w:rsidRPr="000F589D">
        <w:rPr>
          <w:rFonts w:asciiTheme="majorBidi" w:hAnsiTheme="majorBidi" w:cstheme="majorBidi"/>
          <w:snapToGrid/>
        </w:rPr>
        <w:t>4.</w:t>
      </w:r>
      <w:r w:rsidRPr="000F589D">
        <w:rPr>
          <w:rFonts w:asciiTheme="majorBidi" w:hAnsiTheme="majorBidi" w:cstheme="majorBidi"/>
          <w:snapToGrid/>
        </w:rPr>
        <w:tab/>
      </w:r>
      <w:r w:rsidRPr="000F589D">
        <w:rPr>
          <w:rFonts w:asciiTheme="majorBidi" w:hAnsiTheme="majorBidi" w:cstheme="majorBidi"/>
        </w:rPr>
        <w:t>The long-</w:t>
      </w:r>
      <w:r w:rsidRPr="00FB01CE">
        <w:rPr>
          <w:rFonts w:asciiTheme="majorBidi" w:hAnsiTheme="majorBidi" w:cstheme="majorBidi"/>
        </w:rPr>
        <w:t>term vision of this strategic framework is that by 2050 all societies will be fully empowered to effectively live in harmony with nature. The medium-term vision is that by 2030 governments and relevant non-government actors will have the requisite capacities to effectively and sustainably contribute to the achievement of the goals and targets of the Kunming-Montreal Global Biodiversity Framework and to the implementation of the three objectives of the Convention and its Protocols.</w:t>
      </w:r>
    </w:p>
    <w:p w14:paraId="03DD83A3" w14:textId="77777777" w:rsidR="008C379F" w:rsidRPr="000F589D" w:rsidRDefault="008C379F" w:rsidP="00A30041">
      <w:pPr>
        <w:pStyle w:val="Para1"/>
        <w:numPr>
          <w:ilvl w:val="0"/>
          <w:numId w:val="0"/>
        </w:numPr>
        <w:suppressLineNumbers/>
        <w:tabs>
          <w:tab w:val="left" w:pos="720"/>
        </w:tabs>
        <w:suppressAutoHyphens/>
        <w:kinsoku w:val="0"/>
        <w:adjustRightInd w:val="0"/>
        <w:rPr>
          <w:rFonts w:asciiTheme="majorBidi" w:hAnsiTheme="majorBidi" w:cstheme="majorBidi"/>
        </w:rPr>
      </w:pPr>
      <w:r w:rsidRPr="00FB01CE">
        <w:rPr>
          <w:rFonts w:asciiTheme="majorBidi" w:hAnsiTheme="majorBidi" w:cstheme="majorBidi"/>
        </w:rPr>
        <w:t>5.</w:t>
      </w:r>
      <w:r w:rsidRPr="00FB01CE">
        <w:rPr>
          <w:rFonts w:asciiTheme="majorBidi" w:hAnsiTheme="majorBidi" w:cstheme="majorBidi"/>
        </w:rPr>
        <w:tab/>
        <w:t>The overall goal is to support the development and strengthening of the capacities necessary for achieving the goals and targets of the Kunming-Montreal Global Biodiversity Framework and to enhance the coherence, efficiency and effectiveness of capacity</w:t>
      </w:r>
      <w:r w:rsidRPr="00FB01CE">
        <w:rPr>
          <w:rFonts w:asciiTheme="majorBidi" w:hAnsiTheme="majorBidi" w:cstheme="majorBidi"/>
        </w:rPr>
        <w:noBreakHyphen/>
        <w:t>building and development initiatives at all levels and ensuring alignment with relevant initiatives supporting the achievement of the Sustainable Development</w:t>
      </w:r>
      <w:r w:rsidRPr="000F589D">
        <w:rPr>
          <w:rFonts w:asciiTheme="majorBidi" w:hAnsiTheme="majorBidi" w:cstheme="majorBidi"/>
        </w:rPr>
        <w:t xml:space="preserve"> Goals. These changes can only be achieved by having in place effective, agile and continuously learning organizations</w:t>
      </w:r>
      <w:r w:rsidRPr="00610646">
        <w:rPr>
          <w:rStyle w:val="FootnoteReference"/>
        </w:rPr>
        <w:footnoteReference w:id="76"/>
      </w:r>
      <w:r w:rsidRPr="000F589D">
        <w:rPr>
          <w:rFonts w:asciiTheme="majorBidi" w:hAnsiTheme="majorBidi" w:cstheme="majorBidi"/>
        </w:rPr>
        <w:t xml:space="preserve"> supported with adequate financial, technical and human resources.</w:t>
      </w:r>
    </w:p>
    <w:p w14:paraId="640FC720" w14:textId="77777777" w:rsidR="008C379F" w:rsidRPr="000F589D" w:rsidRDefault="008C379F" w:rsidP="00A30041">
      <w:pPr>
        <w:pStyle w:val="Para1"/>
        <w:numPr>
          <w:ilvl w:val="0"/>
          <w:numId w:val="0"/>
        </w:numPr>
        <w:suppressLineNumbers/>
        <w:tabs>
          <w:tab w:val="left" w:pos="720"/>
        </w:tabs>
        <w:suppressAutoHyphens/>
        <w:kinsoku w:val="0"/>
        <w:adjustRightInd w:val="0"/>
        <w:rPr>
          <w:rFonts w:asciiTheme="majorBidi" w:hAnsiTheme="majorBidi" w:cstheme="majorBidi"/>
        </w:rPr>
      </w:pPr>
      <w:r w:rsidRPr="000F589D">
        <w:rPr>
          <w:rFonts w:asciiTheme="majorBidi" w:hAnsiTheme="majorBidi" w:cstheme="majorBidi"/>
        </w:rPr>
        <w:t>6.</w:t>
      </w:r>
      <w:r w:rsidRPr="000F589D">
        <w:rPr>
          <w:rFonts w:asciiTheme="majorBidi" w:hAnsiTheme="majorBidi" w:cstheme="majorBidi"/>
        </w:rPr>
        <w:tab/>
        <w:t xml:space="preserve">The strategic framework, similar to the </w:t>
      </w:r>
      <w:r>
        <w:rPr>
          <w:rFonts w:asciiTheme="majorBidi" w:hAnsiTheme="majorBidi" w:cstheme="majorBidi"/>
        </w:rPr>
        <w:t>Kunming-Montreal G</w:t>
      </w:r>
      <w:r w:rsidRPr="000F589D">
        <w:rPr>
          <w:rFonts w:asciiTheme="majorBidi" w:hAnsiTheme="majorBidi" w:cstheme="majorBidi"/>
        </w:rPr>
        <w:t xml:space="preserve">lobal </w:t>
      </w:r>
      <w:r>
        <w:rPr>
          <w:rFonts w:asciiTheme="majorBidi" w:hAnsiTheme="majorBidi" w:cstheme="majorBidi"/>
        </w:rPr>
        <w:t>B</w:t>
      </w:r>
      <w:r w:rsidRPr="000F589D">
        <w:rPr>
          <w:rFonts w:asciiTheme="majorBidi" w:hAnsiTheme="majorBidi" w:cstheme="majorBidi"/>
        </w:rPr>
        <w:t xml:space="preserve">iodiversity </w:t>
      </w:r>
      <w:r>
        <w:rPr>
          <w:rFonts w:asciiTheme="majorBidi" w:hAnsiTheme="majorBidi" w:cstheme="majorBidi"/>
        </w:rPr>
        <w:t>F</w:t>
      </w:r>
      <w:r w:rsidRPr="000F589D">
        <w:rPr>
          <w:rFonts w:asciiTheme="majorBidi" w:hAnsiTheme="majorBidi" w:cstheme="majorBidi"/>
        </w:rPr>
        <w:t>ramework, is underpinned by a theory of change, which is elaborated and visualized in figure 3 of document CBD/SBI/3/7/Add.1</w:t>
      </w:r>
      <w:r>
        <w:rPr>
          <w:rFonts w:asciiTheme="majorBidi" w:hAnsiTheme="majorBidi" w:cstheme="majorBidi"/>
        </w:rPr>
        <w:t>.</w:t>
      </w:r>
      <w:r w:rsidRPr="00610646">
        <w:rPr>
          <w:rStyle w:val="FootnoteReference"/>
        </w:rPr>
        <w:footnoteReference w:id="77"/>
      </w:r>
      <w:r w:rsidRPr="000F589D">
        <w:rPr>
          <w:rFonts w:asciiTheme="majorBidi" w:hAnsiTheme="majorBidi" w:cstheme="majorBidi"/>
        </w:rPr>
        <w:t xml:space="preserve"> The theory of change outlines the intended pathways of change in capacity, the underlying assumptions and the anticipated high-level changes/outcomes. The purpose of the theory of change is to ensure that relevant actors are conscious of the causal relationships, the change pathways, the expected changes/capacity results, and the important contextual factors and underlying assumptions.</w:t>
      </w:r>
    </w:p>
    <w:p w14:paraId="4C56F855" w14:textId="77777777" w:rsidR="008C379F" w:rsidRPr="006B35E1" w:rsidRDefault="008C379F" w:rsidP="006B35E1">
      <w:pPr>
        <w:pStyle w:val="NormalWeb"/>
        <w:keepNext/>
        <w:spacing w:before="120" w:after="120"/>
        <w:jc w:val="center"/>
        <w:rPr>
          <w:b/>
          <w:bCs/>
          <w:sz w:val="22"/>
          <w:szCs w:val="22"/>
        </w:rPr>
      </w:pPr>
      <w:bookmarkStart w:id="80" w:name="_Toc57214899"/>
      <w:r w:rsidRPr="006B35E1">
        <w:rPr>
          <w:b/>
          <w:bCs/>
          <w:sz w:val="22"/>
          <w:szCs w:val="22"/>
        </w:rPr>
        <w:t>B.</w:t>
      </w:r>
      <w:r w:rsidRPr="006B35E1">
        <w:rPr>
          <w:b/>
          <w:bCs/>
          <w:sz w:val="22"/>
          <w:szCs w:val="22"/>
        </w:rPr>
        <w:tab/>
        <w:t>Capacity results</w:t>
      </w:r>
      <w:bookmarkEnd w:id="80"/>
    </w:p>
    <w:p w14:paraId="3F81A953" w14:textId="77777777" w:rsidR="008C379F" w:rsidRPr="000F589D" w:rsidRDefault="008C379F" w:rsidP="00A30041">
      <w:pPr>
        <w:pStyle w:val="Para1"/>
        <w:numPr>
          <w:ilvl w:val="0"/>
          <w:numId w:val="0"/>
        </w:numPr>
        <w:suppressLineNumbers/>
        <w:tabs>
          <w:tab w:val="left" w:pos="720"/>
        </w:tabs>
        <w:suppressAutoHyphens/>
        <w:kinsoku w:val="0"/>
        <w:adjustRightInd w:val="0"/>
        <w:spacing w:after="240"/>
        <w:rPr>
          <w:rFonts w:asciiTheme="majorBidi" w:hAnsiTheme="majorBidi" w:cstheme="majorBidi"/>
          <w:snapToGrid/>
        </w:rPr>
      </w:pPr>
      <w:r w:rsidRPr="000F589D">
        <w:rPr>
          <w:rFonts w:asciiTheme="majorBidi" w:hAnsiTheme="majorBidi" w:cstheme="majorBidi"/>
          <w:snapToGrid/>
        </w:rPr>
        <w:t>7.</w:t>
      </w:r>
      <w:r w:rsidRPr="000F589D">
        <w:rPr>
          <w:rFonts w:asciiTheme="majorBidi" w:hAnsiTheme="majorBidi" w:cstheme="majorBidi"/>
          <w:snapToGrid/>
        </w:rPr>
        <w:tab/>
      </w:r>
      <w:r w:rsidRPr="000F589D">
        <w:rPr>
          <w:rFonts w:asciiTheme="majorBidi" w:hAnsiTheme="majorBidi" w:cstheme="majorBidi"/>
        </w:rPr>
        <w:t>The strategic framework establishes indicative high-level and long-term capacity</w:t>
      </w:r>
      <w:r w:rsidRPr="000F589D">
        <w:rPr>
          <w:rFonts w:asciiTheme="majorBidi" w:hAnsiTheme="majorBidi" w:cstheme="majorBidi"/>
        </w:rPr>
        <w:noBreakHyphen/>
        <w:t xml:space="preserve">building and development results relevant to the implementation of the three objectives of the Convention, the achievement of the goals and targets </w:t>
      </w:r>
      <w:r>
        <w:rPr>
          <w:rFonts w:asciiTheme="majorBidi" w:hAnsiTheme="majorBidi" w:cstheme="majorBidi"/>
        </w:rPr>
        <w:t>of the Kunming-Montreal G</w:t>
      </w:r>
      <w:r w:rsidRPr="000F589D">
        <w:rPr>
          <w:rFonts w:asciiTheme="majorBidi" w:hAnsiTheme="majorBidi" w:cstheme="majorBidi"/>
        </w:rPr>
        <w:t xml:space="preserve">lobal </w:t>
      </w:r>
      <w:r>
        <w:rPr>
          <w:rFonts w:asciiTheme="majorBidi" w:hAnsiTheme="majorBidi" w:cstheme="majorBidi"/>
        </w:rPr>
        <w:t>B</w:t>
      </w:r>
      <w:r w:rsidRPr="000F589D">
        <w:rPr>
          <w:rFonts w:asciiTheme="majorBidi" w:hAnsiTheme="majorBidi" w:cstheme="majorBidi"/>
        </w:rPr>
        <w:t xml:space="preserve">iodiversity </w:t>
      </w:r>
      <w:r>
        <w:rPr>
          <w:rFonts w:asciiTheme="majorBidi" w:hAnsiTheme="majorBidi" w:cstheme="majorBidi"/>
        </w:rPr>
        <w:t>F</w:t>
      </w:r>
      <w:r w:rsidRPr="000F589D">
        <w:rPr>
          <w:rFonts w:asciiTheme="majorBidi" w:hAnsiTheme="majorBidi" w:cstheme="majorBidi"/>
        </w:rPr>
        <w:t>ramework and the Sustainable Development Goals (see Box 1). Government and relevant non-government actors are also encouraged to set capacity</w:t>
      </w:r>
      <w:r w:rsidRPr="000F589D">
        <w:rPr>
          <w:rFonts w:asciiTheme="majorBidi" w:hAnsiTheme="majorBidi" w:cstheme="majorBidi"/>
        </w:rPr>
        <w:noBreakHyphen/>
        <w:t>building and development targets at various levels and clearly include them in relevant documents, such as national biodiversity strategies and action plans, programme strategies and plans. Capacities can be categorized as “functional” capacities (cross-cutting skills needed to get things done and not associated with any one particular sector or theme); and “technical” capacities (associated with specific areas of expertise, sectors or themes).</w:t>
      </w:r>
    </w:p>
    <w:tbl>
      <w:tblPr>
        <w:tblStyle w:val="TableGrid"/>
        <w:tblW w:w="0" w:type="auto"/>
        <w:tblLook w:val="04A0" w:firstRow="1" w:lastRow="0" w:firstColumn="1" w:lastColumn="0" w:noHBand="0" w:noVBand="1"/>
      </w:tblPr>
      <w:tblGrid>
        <w:gridCol w:w="9350"/>
      </w:tblGrid>
      <w:tr w:rsidR="008C379F" w:rsidRPr="00B7059E" w14:paraId="21448CEB" w14:textId="77777777" w:rsidTr="00BF7660">
        <w:tc>
          <w:tcPr>
            <w:tcW w:w="9452" w:type="dxa"/>
            <w:tcBorders>
              <w:top w:val="single" w:sz="4" w:space="0" w:color="auto"/>
              <w:left w:val="single" w:sz="4" w:space="0" w:color="auto"/>
              <w:bottom w:val="single" w:sz="4" w:space="0" w:color="auto"/>
              <w:right w:val="single" w:sz="4" w:space="0" w:color="auto"/>
            </w:tcBorders>
          </w:tcPr>
          <w:p w14:paraId="6C49A3D3" w14:textId="77777777" w:rsidR="008C379F" w:rsidRPr="000F589D" w:rsidRDefault="008C379F" w:rsidP="00981752">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kern w:val="22"/>
                <w:szCs w:val="22"/>
              </w:rPr>
            </w:pPr>
            <w:r w:rsidRPr="000F589D">
              <w:rPr>
                <w:rFonts w:asciiTheme="majorBidi" w:hAnsiTheme="majorBidi" w:cstheme="majorBidi"/>
                <w:b/>
                <w:bCs/>
                <w:snapToGrid w:val="0"/>
                <w:color w:val="000000"/>
                <w:kern w:val="22"/>
                <w:szCs w:val="22"/>
              </w:rPr>
              <w:lastRenderedPageBreak/>
              <w:t>Box 1. Expected capacity results</w:t>
            </w:r>
          </w:p>
          <w:p w14:paraId="601ECB37" w14:textId="77777777" w:rsidR="008C379F" w:rsidRPr="000F589D" w:rsidRDefault="008C379F" w:rsidP="00981752">
            <w:pPr>
              <w:pStyle w:val="ListParagraph"/>
              <w:keepNext/>
              <w:suppressLineNumbers/>
              <w:suppressAutoHyphens/>
              <w:kinsoku w:val="0"/>
              <w:overflowPunct w:val="0"/>
              <w:autoSpaceDE w:val="0"/>
              <w:autoSpaceDN w:val="0"/>
              <w:adjustRightInd w:val="0"/>
              <w:snapToGrid w:val="0"/>
              <w:spacing w:before="120" w:after="60"/>
              <w:ind w:left="0"/>
              <w:contextualSpacing w:val="0"/>
              <w:rPr>
                <w:rFonts w:asciiTheme="majorBidi" w:eastAsia="Calibri" w:hAnsiTheme="majorBidi" w:cstheme="majorBidi"/>
                <w:bCs/>
                <w:snapToGrid w:val="0"/>
                <w:color w:val="000000"/>
                <w:kern w:val="22"/>
                <w:szCs w:val="22"/>
              </w:rPr>
            </w:pPr>
            <w:r>
              <w:rPr>
                <w:rFonts w:asciiTheme="majorBidi" w:eastAsia="Calibri" w:hAnsiTheme="majorBidi" w:cstheme="majorBidi"/>
                <w:bCs/>
                <w:snapToGrid w:val="0"/>
                <w:color w:val="000000"/>
                <w:kern w:val="22"/>
                <w:szCs w:val="22"/>
              </w:rPr>
              <w:t>1. </w:t>
            </w:r>
            <w:r w:rsidRPr="000F589D">
              <w:rPr>
                <w:rFonts w:asciiTheme="majorBidi" w:eastAsia="Calibri" w:hAnsiTheme="majorBidi" w:cstheme="majorBidi"/>
                <w:bCs/>
                <w:snapToGrid w:val="0"/>
                <w:color w:val="000000"/>
                <w:kern w:val="22"/>
                <w:szCs w:val="22"/>
              </w:rPr>
              <w:t>Long-term, high-level outcomes</w:t>
            </w:r>
            <w:r>
              <w:rPr>
                <w:rFonts w:asciiTheme="majorBidi" w:eastAsia="Calibri" w:hAnsiTheme="majorBidi" w:cstheme="majorBidi"/>
                <w:bCs/>
                <w:snapToGrid w:val="0"/>
                <w:color w:val="000000"/>
                <w:kern w:val="22"/>
                <w:szCs w:val="22"/>
              </w:rPr>
              <w:t>:</w:t>
            </w:r>
          </w:p>
          <w:p w14:paraId="1866D6AC" w14:textId="77777777" w:rsidR="008C379F" w:rsidRPr="000F589D" w:rsidRDefault="008C379F" w:rsidP="00950BE4">
            <w:pPr>
              <w:pStyle w:val="ListParagraph"/>
              <w:numPr>
                <w:ilvl w:val="0"/>
                <w:numId w:val="49"/>
              </w:numPr>
              <w:suppressLineNumbers/>
              <w:suppressAutoHyphens/>
              <w:kinsoku w:val="0"/>
              <w:overflowPunct w:val="0"/>
              <w:autoSpaceDE w:val="0"/>
              <w:autoSpaceDN w:val="0"/>
              <w:adjustRightInd w:val="0"/>
              <w:snapToGrid w:val="0"/>
              <w:spacing w:before="60" w:after="60"/>
              <w:ind w:left="0" w:firstLine="584"/>
              <w:contextualSpacing w:val="0"/>
              <w:rPr>
                <w:rFonts w:asciiTheme="majorBidi" w:hAnsiTheme="majorBidi" w:cstheme="majorBidi"/>
                <w:bCs/>
                <w:snapToGrid w:val="0"/>
                <w:kern w:val="22"/>
                <w:szCs w:val="22"/>
              </w:rPr>
            </w:pPr>
            <w:r w:rsidRPr="000F589D">
              <w:rPr>
                <w:rFonts w:asciiTheme="majorBidi" w:hAnsiTheme="majorBidi" w:cstheme="majorBidi"/>
                <w:bCs/>
                <w:snapToGrid w:val="0"/>
                <w:kern w:val="22"/>
                <w:szCs w:val="22"/>
              </w:rPr>
              <w:t>Successful implementation of national biodiversity strategies and action plans</w:t>
            </w:r>
            <w:r>
              <w:rPr>
                <w:rFonts w:asciiTheme="majorBidi" w:hAnsiTheme="majorBidi" w:cstheme="majorBidi"/>
                <w:bCs/>
                <w:snapToGrid w:val="0"/>
                <w:kern w:val="22"/>
                <w:szCs w:val="22"/>
              </w:rPr>
              <w:t>;</w:t>
            </w:r>
          </w:p>
          <w:p w14:paraId="3C464838" w14:textId="77777777" w:rsidR="008C379F" w:rsidRPr="000F589D" w:rsidRDefault="008C379F" w:rsidP="00950BE4">
            <w:pPr>
              <w:pStyle w:val="ListParagraph"/>
              <w:numPr>
                <w:ilvl w:val="0"/>
                <w:numId w:val="49"/>
              </w:numPr>
              <w:suppressLineNumbers/>
              <w:suppressAutoHyphens/>
              <w:kinsoku w:val="0"/>
              <w:overflowPunct w:val="0"/>
              <w:autoSpaceDE w:val="0"/>
              <w:autoSpaceDN w:val="0"/>
              <w:adjustRightInd w:val="0"/>
              <w:snapToGrid w:val="0"/>
              <w:spacing w:before="60" w:after="60"/>
              <w:ind w:left="0" w:firstLine="584"/>
              <w:contextualSpacing w:val="0"/>
              <w:rPr>
                <w:rFonts w:asciiTheme="majorBidi" w:hAnsiTheme="majorBidi" w:cstheme="majorBidi"/>
                <w:bCs/>
                <w:snapToGrid w:val="0"/>
                <w:kern w:val="22"/>
                <w:szCs w:val="22"/>
              </w:rPr>
            </w:pPr>
            <w:r w:rsidRPr="000F589D">
              <w:rPr>
                <w:rFonts w:asciiTheme="majorBidi" w:hAnsiTheme="majorBidi" w:cstheme="majorBidi"/>
                <w:bCs/>
                <w:snapToGrid w:val="0"/>
                <w:kern w:val="22"/>
                <w:szCs w:val="22"/>
              </w:rPr>
              <w:t xml:space="preserve">Achievement of 2030 targets and 2050 vision of the </w:t>
            </w:r>
            <w:r>
              <w:rPr>
                <w:rFonts w:asciiTheme="majorBidi" w:hAnsiTheme="majorBidi" w:cstheme="majorBidi"/>
                <w:bCs/>
                <w:snapToGrid w:val="0"/>
                <w:kern w:val="22"/>
                <w:szCs w:val="22"/>
              </w:rPr>
              <w:t>Kunming-Montreal G</w:t>
            </w:r>
            <w:r w:rsidRPr="000F589D">
              <w:rPr>
                <w:rFonts w:asciiTheme="majorBidi" w:hAnsiTheme="majorBidi" w:cstheme="majorBidi"/>
                <w:bCs/>
                <w:snapToGrid w:val="0"/>
                <w:kern w:val="22"/>
                <w:szCs w:val="22"/>
              </w:rPr>
              <w:t xml:space="preserve">lobal </w:t>
            </w:r>
            <w:r>
              <w:rPr>
                <w:rFonts w:asciiTheme="majorBidi" w:hAnsiTheme="majorBidi" w:cstheme="majorBidi"/>
                <w:bCs/>
                <w:snapToGrid w:val="0"/>
                <w:kern w:val="22"/>
                <w:szCs w:val="22"/>
              </w:rPr>
              <w:t>B</w:t>
            </w:r>
            <w:r w:rsidRPr="000F589D">
              <w:rPr>
                <w:rFonts w:asciiTheme="majorBidi" w:hAnsiTheme="majorBidi" w:cstheme="majorBidi"/>
                <w:bCs/>
                <w:snapToGrid w:val="0"/>
                <w:kern w:val="22"/>
                <w:szCs w:val="22"/>
              </w:rPr>
              <w:t xml:space="preserve">iodiversity </w:t>
            </w:r>
            <w:r>
              <w:rPr>
                <w:rFonts w:asciiTheme="majorBidi" w:hAnsiTheme="majorBidi" w:cstheme="majorBidi"/>
                <w:bCs/>
                <w:snapToGrid w:val="0"/>
                <w:kern w:val="22"/>
                <w:szCs w:val="22"/>
              </w:rPr>
              <w:t>F</w:t>
            </w:r>
            <w:r w:rsidRPr="000F589D">
              <w:rPr>
                <w:rFonts w:asciiTheme="majorBidi" w:hAnsiTheme="majorBidi" w:cstheme="majorBidi"/>
                <w:bCs/>
                <w:snapToGrid w:val="0"/>
                <w:kern w:val="22"/>
                <w:szCs w:val="22"/>
              </w:rPr>
              <w:t>ramework</w:t>
            </w:r>
            <w:r>
              <w:rPr>
                <w:rFonts w:asciiTheme="majorBidi" w:hAnsiTheme="majorBidi" w:cstheme="majorBidi"/>
                <w:bCs/>
                <w:snapToGrid w:val="0"/>
                <w:kern w:val="22"/>
                <w:szCs w:val="22"/>
              </w:rPr>
              <w:t>;</w:t>
            </w:r>
          </w:p>
          <w:p w14:paraId="6F4D6DF9" w14:textId="77777777" w:rsidR="008C379F" w:rsidRPr="000F589D" w:rsidRDefault="008C379F" w:rsidP="00950BE4">
            <w:pPr>
              <w:pStyle w:val="ListParagraph"/>
              <w:numPr>
                <w:ilvl w:val="0"/>
                <w:numId w:val="49"/>
              </w:numPr>
              <w:suppressLineNumbers/>
              <w:suppressAutoHyphens/>
              <w:kinsoku w:val="0"/>
              <w:overflowPunct w:val="0"/>
              <w:autoSpaceDE w:val="0"/>
              <w:autoSpaceDN w:val="0"/>
              <w:adjustRightInd w:val="0"/>
              <w:snapToGrid w:val="0"/>
              <w:spacing w:before="60" w:after="60"/>
              <w:ind w:left="0" w:firstLine="584"/>
              <w:contextualSpacing w:val="0"/>
              <w:rPr>
                <w:rFonts w:asciiTheme="majorBidi" w:hAnsiTheme="majorBidi" w:cstheme="majorBidi"/>
                <w:bCs/>
                <w:snapToGrid w:val="0"/>
                <w:kern w:val="22"/>
                <w:szCs w:val="22"/>
              </w:rPr>
            </w:pPr>
            <w:r w:rsidRPr="000F589D">
              <w:rPr>
                <w:rFonts w:asciiTheme="majorBidi" w:hAnsiTheme="majorBidi" w:cstheme="majorBidi"/>
                <w:bCs/>
                <w:snapToGrid w:val="0"/>
                <w:kern w:val="22"/>
                <w:szCs w:val="22"/>
              </w:rPr>
              <w:t>Biodiversity mainstreamed throughout sectors and society</w:t>
            </w:r>
            <w:r>
              <w:rPr>
                <w:rFonts w:asciiTheme="majorBidi" w:hAnsiTheme="majorBidi" w:cstheme="majorBidi"/>
                <w:bCs/>
                <w:snapToGrid w:val="0"/>
                <w:kern w:val="22"/>
                <w:szCs w:val="22"/>
              </w:rPr>
              <w:t>;</w:t>
            </w:r>
          </w:p>
          <w:p w14:paraId="0880DD4D" w14:textId="77777777" w:rsidR="008C379F" w:rsidRPr="008155A6" w:rsidRDefault="008C379F" w:rsidP="00950BE4">
            <w:pPr>
              <w:pStyle w:val="ListParagraph"/>
              <w:numPr>
                <w:ilvl w:val="0"/>
                <w:numId w:val="49"/>
              </w:numPr>
              <w:suppressLineNumbers/>
              <w:suppressAutoHyphens/>
              <w:kinsoku w:val="0"/>
              <w:overflowPunct w:val="0"/>
              <w:autoSpaceDE w:val="0"/>
              <w:autoSpaceDN w:val="0"/>
              <w:adjustRightInd w:val="0"/>
              <w:snapToGrid w:val="0"/>
              <w:spacing w:before="60" w:after="60"/>
              <w:ind w:left="0" w:firstLine="584"/>
              <w:contextualSpacing w:val="0"/>
              <w:rPr>
                <w:rFonts w:asciiTheme="majorBidi" w:eastAsia="Calibri" w:hAnsiTheme="majorBidi" w:cstheme="majorBidi"/>
                <w:bCs/>
                <w:snapToGrid w:val="0"/>
                <w:color w:val="000000"/>
                <w:kern w:val="22"/>
                <w:szCs w:val="22"/>
              </w:rPr>
            </w:pPr>
            <w:r w:rsidRPr="000F589D">
              <w:rPr>
                <w:rFonts w:asciiTheme="majorBidi" w:hAnsiTheme="majorBidi" w:cstheme="majorBidi"/>
                <w:bCs/>
                <w:snapToGrid w:val="0"/>
                <w:kern w:val="22"/>
                <w:szCs w:val="22"/>
              </w:rPr>
              <w:t>Strengthened access to and transfer of technology and effective participation in scientific and technical cooperation, particularly for developing countries</w:t>
            </w:r>
            <w:r>
              <w:rPr>
                <w:rFonts w:asciiTheme="majorBidi" w:hAnsiTheme="majorBidi" w:cstheme="majorBidi"/>
                <w:bCs/>
                <w:snapToGrid w:val="0"/>
                <w:kern w:val="22"/>
                <w:szCs w:val="22"/>
              </w:rPr>
              <w:t>.</w:t>
            </w:r>
          </w:p>
          <w:p w14:paraId="52B67F8E" w14:textId="77777777" w:rsidR="008C379F" w:rsidRPr="000F589D" w:rsidRDefault="008C379F" w:rsidP="00981752">
            <w:pPr>
              <w:pStyle w:val="ListParagraph"/>
              <w:suppressLineNumbers/>
              <w:suppressAutoHyphens/>
              <w:kinsoku w:val="0"/>
              <w:overflowPunct w:val="0"/>
              <w:autoSpaceDE w:val="0"/>
              <w:autoSpaceDN w:val="0"/>
              <w:adjustRightInd w:val="0"/>
              <w:snapToGrid w:val="0"/>
              <w:spacing w:before="240" w:after="60"/>
              <w:ind w:left="0"/>
              <w:contextualSpacing w:val="0"/>
              <w:rPr>
                <w:rFonts w:asciiTheme="majorBidi" w:eastAsia="Calibri" w:hAnsiTheme="majorBidi" w:cstheme="majorBidi"/>
                <w:bCs/>
                <w:snapToGrid w:val="0"/>
                <w:color w:val="000000"/>
                <w:kern w:val="22"/>
                <w:szCs w:val="22"/>
              </w:rPr>
            </w:pPr>
            <w:r>
              <w:rPr>
                <w:rFonts w:asciiTheme="majorBidi" w:eastAsia="Calibri" w:hAnsiTheme="majorBidi" w:cstheme="majorBidi"/>
                <w:bCs/>
                <w:snapToGrid w:val="0"/>
                <w:color w:val="000000"/>
                <w:kern w:val="22"/>
                <w:szCs w:val="22"/>
              </w:rPr>
              <w:t>2. </w:t>
            </w:r>
            <w:r w:rsidRPr="000F589D">
              <w:rPr>
                <w:rFonts w:asciiTheme="majorBidi" w:eastAsia="Calibri" w:hAnsiTheme="majorBidi" w:cstheme="majorBidi"/>
                <w:bCs/>
                <w:snapToGrid w:val="0"/>
                <w:color w:val="000000"/>
                <w:kern w:val="22"/>
                <w:szCs w:val="22"/>
              </w:rPr>
              <w:t>Medium-term outcomes</w:t>
            </w:r>
            <w:r>
              <w:rPr>
                <w:rFonts w:asciiTheme="majorBidi" w:eastAsia="Calibri" w:hAnsiTheme="majorBidi" w:cstheme="majorBidi"/>
                <w:bCs/>
                <w:snapToGrid w:val="0"/>
                <w:color w:val="000000"/>
                <w:kern w:val="22"/>
                <w:szCs w:val="22"/>
              </w:rPr>
              <w:t>:</w:t>
            </w:r>
          </w:p>
          <w:p w14:paraId="3E484759" w14:textId="77777777" w:rsidR="008C379F" w:rsidRPr="000F589D" w:rsidRDefault="008C379F" w:rsidP="00950BE4">
            <w:pPr>
              <w:pStyle w:val="ListParagraph"/>
              <w:numPr>
                <w:ilvl w:val="0"/>
                <w:numId w:val="50"/>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bCs/>
                <w:snapToGrid w:val="0"/>
                <w:color w:val="000000"/>
                <w:kern w:val="22"/>
                <w:szCs w:val="22"/>
              </w:rPr>
            </w:pPr>
            <w:r w:rsidRPr="000F589D">
              <w:rPr>
                <w:rFonts w:asciiTheme="majorBidi" w:eastAsia="Calibri" w:hAnsiTheme="majorBidi" w:cstheme="majorBidi"/>
                <w:bCs/>
                <w:snapToGrid w:val="0"/>
                <w:color w:val="000000"/>
                <w:kern w:val="22"/>
                <w:szCs w:val="22"/>
              </w:rPr>
              <w:t>Successful development, where appropriate, and</w:t>
            </w:r>
            <w:r w:rsidRPr="000F589D">
              <w:rPr>
                <w:rFonts w:asciiTheme="majorBidi" w:eastAsia="Calibri" w:hAnsiTheme="majorBidi" w:cstheme="majorBidi"/>
                <w:bCs/>
                <w:snapToGrid w:val="0"/>
                <w:color w:val="000000"/>
                <w:szCs w:val="22"/>
              </w:rPr>
              <w:t xml:space="preserve"> update of the national biodiversity strategies and action plans</w:t>
            </w:r>
            <w:r>
              <w:rPr>
                <w:rFonts w:asciiTheme="majorBidi" w:eastAsia="Calibri" w:hAnsiTheme="majorBidi" w:cstheme="majorBidi"/>
                <w:bCs/>
                <w:snapToGrid w:val="0"/>
                <w:color w:val="000000"/>
                <w:szCs w:val="22"/>
              </w:rPr>
              <w:t>;</w:t>
            </w:r>
          </w:p>
          <w:p w14:paraId="75E5F639" w14:textId="77777777" w:rsidR="008C379F" w:rsidRPr="000F589D" w:rsidRDefault="008C379F" w:rsidP="00950BE4">
            <w:pPr>
              <w:pStyle w:val="ListParagraph"/>
              <w:numPr>
                <w:ilvl w:val="0"/>
                <w:numId w:val="50"/>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bCs/>
                <w:snapToGrid w:val="0"/>
                <w:color w:val="000000"/>
                <w:kern w:val="22"/>
                <w:szCs w:val="22"/>
              </w:rPr>
            </w:pPr>
            <w:r w:rsidRPr="000F589D">
              <w:rPr>
                <w:rFonts w:asciiTheme="majorBidi" w:hAnsiTheme="majorBidi" w:cstheme="majorBidi"/>
                <w:bCs/>
                <w:snapToGrid w:val="0"/>
                <w:kern w:val="22"/>
                <w:szCs w:val="22"/>
              </w:rPr>
              <w:t xml:space="preserve">Sound enabling frameworks and institutional arrangements </w:t>
            </w:r>
            <w:r w:rsidRPr="00FA7F83">
              <w:rPr>
                <w:rFonts w:asciiTheme="majorBidi" w:hAnsiTheme="majorBidi" w:cstheme="majorBidi"/>
                <w:bCs/>
                <w:snapToGrid w:val="0"/>
                <w:kern w:val="22"/>
                <w:szCs w:val="22"/>
              </w:rPr>
              <w:t>support</w:t>
            </w:r>
            <w:r w:rsidRPr="000F589D">
              <w:rPr>
                <w:rFonts w:asciiTheme="majorBidi" w:hAnsiTheme="majorBidi" w:cstheme="majorBidi"/>
                <w:bCs/>
                <w:snapToGrid w:val="0"/>
                <w:kern w:val="22"/>
                <w:szCs w:val="22"/>
              </w:rPr>
              <w:t xml:space="preserve"> achievement of national biodiversity strategies and action plans</w:t>
            </w:r>
            <w:r>
              <w:rPr>
                <w:rFonts w:asciiTheme="majorBidi" w:hAnsiTheme="majorBidi" w:cstheme="majorBidi"/>
                <w:bCs/>
                <w:snapToGrid w:val="0"/>
                <w:kern w:val="22"/>
                <w:szCs w:val="22"/>
              </w:rPr>
              <w:t>;</w:t>
            </w:r>
          </w:p>
          <w:p w14:paraId="1223E132" w14:textId="77777777" w:rsidR="008C379F" w:rsidRPr="000F589D" w:rsidRDefault="008C379F" w:rsidP="00950BE4">
            <w:pPr>
              <w:pStyle w:val="ListParagraph"/>
              <w:numPr>
                <w:ilvl w:val="0"/>
                <w:numId w:val="50"/>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bCs/>
                <w:snapToGrid w:val="0"/>
                <w:color w:val="000000"/>
                <w:kern w:val="22"/>
                <w:szCs w:val="22"/>
              </w:rPr>
            </w:pPr>
            <w:r w:rsidRPr="000F589D">
              <w:rPr>
                <w:rFonts w:asciiTheme="majorBidi" w:eastAsia="Calibri" w:hAnsiTheme="majorBidi" w:cstheme="majorBidi"/>
                <w:bCs/>
                <w:snapToGrid w:val="0"/>
                <w:color w:val="000000"/>
                <w:kern w:val="22"/>
                <w:szCs w:val="22"/>
              </w:rPr>
              <w:t xml:space="preserve">Strategic partnerships and learning networks </w:t>
            </w:r>
            <w:r w:rsidRPr="00FA7F83">
              <w:rPr>
                <w:rFonts w:asciiTheme="majorBidi" w:eastAsia="Calibri" w:hAnsiTheme="majorBidi" w:cstheme="majorBidi"/>
                <w:bCs/>
                <w:snapToGrid w:val="0"/>
                <w:color w:val="000000"/>
                <w:kern w:val="22"/>
                <w:szCs w:val="22"/>
              </w:rPr>
              <w:t>enhance biodiversity conservation and sustainable use efforts along with the equitable sharing of benefits arising from</w:t>
            </w:r>
            <w:r w:rsidRPr="000F589D">
              <w:rPr>
                <w:rFonts w:asciiTheme="majorBidi" w:eastAsia="Calibri" w:hAnsiTheme="majorBidi" w:cstheme="majorBidi"/>
                <w:bCs/>
                <w:snapToGrid w:val="0"/>
                <w:color w:val="000000"/>
                <w:kern w:val="22"/>
                <w:szCs w:val="22"/>
              </w:rPr>
              <w:t xml:space="preserve"> the utilization of genetic resources</w:t>
            </w:r>
            <w:r>
              <w:rPr>
                <w:rFonts w:asciiTheme="majorBidi" w:eastAsia="Calibri" w:hAnsiTheme="majorBidi" w:cstheme="majorBidi"/>
                <w:bCs/>
                <w:snapToGrid w:val="0"/>
                <w:color w:val="000000"/>
                <w:kern w:val="22"/>
                <w:szCs w:val="22"/>
              </w:rPr>
              <w:t>;</w:t>
            </w:r>
          </w:p>
          <w:p w14:paraId="0582F1A4" w14:textId="77777777" w:rsidR="008C379F" w:rsidRPr="000F589D" w:rsidRDefault="008C379F" w:rsidP="00950BE4">
            <w:pPr>
              <w:pStyle w:val="ListParagraph"/>
              <w:numPr>
                <w:ilvl w:val="0"/>
                <w:numId w:val="50"/>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bCs/>
                <w:snapToGrid w:val="0"/>
                <w:color w:val="000000"/>
                <w:kern w:val="22"/>
                <w:szCs w:val="22"/>
              </w:rPr>
            </w:pPr>
            <w:r w:rsidRPr="000F589D">
              <w:rPr>
                <w:rFonts w:asciiTheme="majorBidi" w:eastAsia="Calibri" w:hAnsiTheme="majorBidi" w:cstheme="majorBidi"/>
                <w:bCs/>
                <w:snapToGrid w:val="0"/>
                <w:color w:val="000000"/>
                <w:kern w:val="22"/>
                <w:szCs w:val="22"/>
              </w:rPr>
              <w:t xml:space="preserve">High-quality programmes and projects that are technically sound have realistic and achievable plans, address gender and youth considerations, and </w:t>
            </w:r>
            <w:r w:rsidRPr="00FC4357">
              <w:rPr>
                <w:rFonts w:asciiTheme="majorBidi" w:eastAsia="Calibri" w:hAnsiTheme="majorBidi" w:cstheme="majorBidi"/>
                <w:bCs/>
                <w:snapToGrid w:val="0"/>
                <w:color w:val="000000"/>
                <w:kern w:val="22"/>
                <w:szCs w:val="22"/>
              </w:rPr>
              <w:t>embed monitoring;</w:t>
            </w:r>
          </w:p>
          <w:p w14:paraId="0B7CD615" w14:textId="77777777" w:rsidR="008C379F" w:rsidRPr="000F589D" w:rsidRDefault="008C379F" w:rsidP="00950BE4">
            <w:pPr>
              <w:pStyle w:val="ListParagraph"/>
              <w:numPr>
                <w:ilvl w:val="0"/>
                <w:numId w:val="50"/>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snapToGrid w:val="0"/>
                <w:color w:val="000000"/>
                <w:kern w:val="22"/>
                <w:szCs w:val="22"/>
              </w:rPr>
            </w:pPr>
            <w:r w:rsidRPr="000F589D">
              <w:rPr>
                <w:rFonts w:asciiTheme="majorBidi" w:eastAsia="Calibri" w:hAnsiTheme="majorBidi" w:cstheme="majorBidi"/>
                <w:snapToGrid w:val="0"/>
                <w:color w:val="000000"/>
                <w:kern w:val="22"/>
                <w:szCs w:val="22"/>
              </w:rPr>
              <w:t>Effective monitoring and evaluation and learning processes embedded into projects and programmes from the start, to support evidence-based decision-making at all levels</w:t>
            </w:r>
            <w:r>
              <w:rPr>
                <w:rFonts w:asciiTheme="majorBidi" w:eastAsia="Calibri" w:hAnsiTheme="majorBidi" w:cstheme="majorBidi"/>
                <w:snapToGrid w:val="0"/>
                <w:color w:val="000000"/>
                <w:kern w:val="22"/>
                <w:szCs w:val="22"/>
              </w:rPr>
              <w:t>;</w:t>
            </w:r>
          </w:p>
          <w:p w14:paraId="4F2D8B44" w14:textId="77777777" w:rsidR="008C379F" w:rsidRPr="000F589D" w:rsidRDefault="008C379F" w:rsidP="00950BE4">
            <w:pPr>
              <w:pStyle w:val="ListParagraph"/>
              <w:numPr>
                <w:ilvl w:val="0"/>
                <w:numId w:val="50"/>
              </w:numPr>
              <w:suppressLineNumbers/>
              <w:suppressAutoHyphens/>
              <w:kinsoku w:val="0"/>
              <w:overflowPunct w:val="0"/>
              <w:autoSpaceDE w:val="0"/>
              <w:autoSpaceDN w:val="0"/>
              <w:adjustRightInd w:val="0"/>
              <w:snapToGrid w:val="0"/>
              <w:spacing w:before="60" w:after="60"/>
              <w:ind w:left="0" w:firstLine="595"/>
              <w:contextualSpacing w:val="0"/>
              <w:rPr>
                <w:rFonts w:asciiTheme="majorBidi" w:eastAsia="Calibri" w:hAnsiTheme="majorBidi" w:cstheme="majorBidi"/>
                <w:bCs/>
                <w:snapToGrid w:val="0"/>
                <w:color w:val="000000"/>
                <w:kern w:val="22"/>
                <w:szCs w:val="22"/>
              </w:rPr>
            </w:pPr>
            <w:r w:rsidRPr="000F589D">
              <w:rPr>
                <w:rFonts w:asciiTheme="majorBidi" w:eastAsia="Calibri" w:hAnsiTheme="majorBidi" w:cstheme="majorBidi"/>
                <w:bCs/>
                <w:snapToGrid w:val="0"/>
                <w:color w:val="000000"/>
                <w:kern w:val="22"/>
                <w:szCs w:val="22"/>
              </w:rPr>
              <w:t>Reinfor</w:t>
            </w:r>
            <w:r>
              <w:rPr>
                <w:rFonts w:asciiTheme="majorBidi" w:eastAsia="Calibri" w:hAnsiTheme="majorBidi" w:cstheme="majorBidi"/>
                <w:bCs/>
                <w:snapToGrid w:val="0"/>
                <w:color w:val="000000"/>
                <w:kern w:val="22"/>
                <w:szCs w:val="22"/>
              </w:rPr>
              <w:t>ced</w:t>
            </w:r>
            <w:r w:rsidRPr="000F589D">
              <w:rPr>
                <w:rFonts w:asciiTheme="majorBidi" w:eastAsia="Calibri" w:hAnsiTheme="majorBidi" w:cstheme="majorBidi"/>
                <w:bCs/>
                <w:snapToGrid w:val="0"/>
                <w:color w:val="000000"/>
                <w:kern w:val="22"/>
                <w:szCs w:val="22"/>
              </w:rPr>
              <w:t xml:space="preserve"> mechanisms, incentive structures and investments ensure utilization and retention of capacity of all types at all levels</w:t>
            </w:r>
            <w:r>
              <w:rPr>
                <w:rFonts w:asciiTheme="majorBidi" w:eastAsia="Calibri" w:hAnsiTheme="majorBidi" w:cstheme="majorBidi"/>
                <w:bCs/>
                <w:snapToGrid w:val="0"/>
                <w:color w:val="000000"/>
                <w:kern w:val="22"/>
                <w:szCs w:val="22"/>
              </w:rPr>
              <w:t>.</w:t>
            </w:r>
          </w:p>
        </w:tc>
      </w:tr>
    </w:tbl>
    <w:p w14:paraId="5DDEC559" w14:textId="77777777" w:rsidR="008C379F" w:rsidRPr="000F589D" w:rsidRDefault="008C379F" w:rsidP="002D60F3">
      <w:pPr>
        <w:keepNext/>
        <w:suppressLineNumbers/>
        <w:suppressAutoHyphens/>
        <w:spacing w:before="240" w:after="120"/>
        <w:jc w:val="center"/>
        <w:rPr>
          <w:rFonts w:asciiTheme="majorBidi" w:hAnsiTheme="majorBidi" w:cstheme="majorBidi"/>
          <w:b/>
          <w:caps/>
          <w:color w:val="000000"/>
          <w:szCs w:val="22"/>
          <w:lang w:eastAsia="zh-CN"/>
        </w:rPr>
      </w:pPr>
      <w:bookmarkStart w:id="81" w:name="_Toc57214900"/>
      <w:r w:rsidRPr="000F589D">
        <w:rPr>
          <w:rFonts w:asciiTheme="majorBidi" w:hAnsiTheme="majorBidi" w:cstheme="majorBidi"/>
          <w:b/>
          <w:caps/>
          <w:color w:val="000000"/>
          <w:szCs w:val="22"/>
          <w:lang w:eastAsia="zh-CN"/>
        </w:rPr>
        <w:t>III.</w:t>
      </w:r>
      <w:r w:rsidRPr="000F589D">
        <w:rPr>
          <w:rFonts w:asciiTheme="majorBidi" w:hAnsiTheme="majorBidi" w:cstheme="majorBidi"/>
          <w:b/>
          <w:caps/>
          <w:color w:val="000000"/>
          <w:szCs w:val="22"/>
          <w:lang w:eastAsia="zh-CN"/>
        </w:rPr>
        <w:tab/>
        <w:t>Guiding principles</w:t>
      </w:r>
      <w:bookmarkEnd w:id="81"/>
    </w:p>
    <w:p w14:paraId="4645C717" w14:textId="77777777" w:rsidR="008C379F" w:rsidRPr="000F589D" w:rsidRDefault="008C379F" w:rsidP="00A30041">
      <w:pPr>
        <w:pStyle w:val="Para1"/>
        <w:numPr>
          <w:ilvl w:val="0"/>
          <w:numId w:val="0"/>
        </w:numPr>
        <w:suppressLineNumbers/>
        <w:tabs>
          <w:tab w:val="left" w:pos="720"/>
        </w:tabs>
        <w:suppressAutoHyphens/>
        <w:kinsoku w:val="0"/>
        <w:adjustRightInd w:val="0"/>
        <w:rPr>
          <w:rFonts w:asciiTheme="majorBidi" w:hAnsiTheme="majorBidi" w:cstheme="majorBidi"/>
          <w:snapToGrid/>
        </w:rPr>
      </w:pPr>
      <w:r w:rsidRPr="000F589D">
        <w:rPr>
          <w:rFonts w:asciiTheme="majorBidi" w:hAnsiTheme="majorBidi" w:cstheme="majorBidi"/>
          <w:snapToGrid/>
        </w:rPr>
        <w:t>8.</w:t>
      </w:r>
      <w:r w:rsidRPr="000F589D">
        <w:rPr>
          <w:rFonts w:asciiTheme="majorBidi" w:hAnsiTheme="majorBidi" w:cstheme="majorBidi"/>
          <w:snapToGrid/>
        </w:rPr>
        <w:tab/>
      </w:r>
      <w:r w:rsidRPr="000F589D">
        <w:rPr>
          <w:rFonts w:asciiTheme="majorBidi" w:hAnsiTheme="majorBidi" w:cstheme="majorBidi"/>
        </w:rPr>
        <w:t>Governments and non-governmental actors are encouraged to apply the following overarching guiding principles, in support of priorities for capacity</w:t>
      </w:r>
      <w:r w:rsidRPr="000F589D">
        <w:rPr>
          <w:rFonts w:asciiTheme="majorBidi" w:hAnsiTheme="majorBidi" w:cstheme="majorBidi"/>
        </w:rPr>
        <w:noBreakHyphen/>
        <w:t xml:space="preserve">building and development determined by Parties in their national biodiversity strategies and action plans, which, if applied, would contribute to more effective and sustainable capacities to support the </w:t>
      </w:r>
      <w:r>
        <w:rPr>
          <w:rFonts w:asciiTheme="majorBidi" w:hAnsiTheme="majorBidi" w:cstheme="majorBidi"/>
        </w:rPr>
        <w:t>Kunming-Montreal G</w:t>
      </w:r>
      <w:r w:rsidRPr="000F589D">
        <w:rPr>
          <w:rFonts w:asciiTheme="majorBidi" w:hAnsiTheme="majorBidi" w:cstheme="majorBidi"/>
        </w:rPr>
        <w:t xml:space="preserve">lobal </w:t>
      </w:r>
      <w:r>
        <w:rPr>
          <w:rFonts w:asciiTheme="majorBidi" w:hAnsiTheme="majorBidi" w:cstheme="majorBidi"/>
        </w:rPr>
        <w:t>B</w:t>
      </w:r>
      <w:r w:rsidRPr="000F589D">
        <w:rPr>
          <w:rFonts w:asciiTheme="majorBidi" w:hAnsiTheme="majorBidi" w:cstheme="majorBidi"/>
        </w:rPr>
        <w:t xml:space="preserve">iodiversity </w:t>
      </w:r>
      <w:r>
        <w:rPr>
          <w:rFonts w:asciiTheme="majorBidi" w:hAnsiTheme="majorBidi" w:cstheme="majorBidi"/>
        </w:rPr>
        <w:t>F</w:t>
      </w:r>
      <w:r w:rsidRPr="000F589D">
        <w:rPr>
          <w:rFonts w:asciiTheme="majorBidi" w:hAnsiTheme="majorBidi" w:cstheme="majorBidi"/>
        </w:rPr>
        <w:t>ramework:</w:t>
      </w:r>
    </w:p>
    <w:p w14:paraId="7DF39C70" w14:textId="77777777" w:rsidR="008C379F" w:rsidRPr="000F589D" w:rsidRDefault="008C379F" w:rsidP="00981752">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Cs w:val="22"/>
        </w:rPr>
      </w:pPr>
      <w:r w:rsidRPr="000F589D">
        <w:rPr>
          <w:rFonts w:asciiTheme="majorBidi" w:hAnsiTheme="majorBidi" w:cstheme="majorBidi"/>
          <w:snapToGrid w:val="0"/>
          <w:color w:val="000000"/>
          <w:kern w:val="22"/>
          <w:szCs w:val="22"/>
        </w:rPr>
        <w:t>(a)</w:t>
      </w:r>
      <w:r w:rsidRPr="000F589D">
        <w:rPr>
          <w:rFonts w:asciiTheme="majorBidi" w:hAnsiTheme="majorBidi" w:cstheme="majorBidi"/>
          <w:snapToGrid w:val="0"/>
          <w:color w:val="000000"/>
          <w:kern w:val="22"/>
          <w:szCs w:val="22"/>
        </w:rPr>
        <w:tab/>
        <w:t>Inclusive analysis of existing capacities and needs is essential to ensure effective interventions;</w:t>
      </w:r>
    </w:p>
    <w:p w14:paraId="05C561C9" w14:textId="77777777" w:rsidR="008C379F" w:rsidRPr="000F589D" w:rsidRDefault="008C379F" w:rsidP="00981752">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Cs w:val="22"/>
        </w:rPr>
      </w:pPr>
      <w:r w:rsidRPr="000F589D">
        <w:rPr>
          <w:rFonts w:asciiTheme="majorBidi" w:hAnsiTheme="majorBidi" w:cstheme="majorBidi"/>
          <w:snapToGrid w:val="0"/>
          <w:color w:val="000000"/>
          <w:kern w:val="22"/>
          <w:szCs w:val="22"/>
        </w:rPr>
        <w:t>(b)</w:t>
      </w:r>
      <w:r w:rsidRPr="000F589D">
        <w:rPr>
          <w:rFonts w:asciiTheme="majorBidi" w:hAnsiTheme="majorBidi" w:cstheme="majorBidi"/>
          <w:snapToGrid w:val="0"/>
          <w:color w:val="000000"/>
          <w:kern w:val="22"/>
          <w:szCs w:val="22"/>
        </w:rPr>
        <w:tab/>
        <w:t>Country ownership and commitment should be cornerstones for capacity</w:t>
      </w:r>
      <w:r w:rsidRPr="000F589D">
        <w:rPr>
          <w:rFonts w:asciiTheme="majorBidi" w:hAnsiTheme="majorBidi" w:cstheme="majorBidi"/>
          <w:snapToGrid w:val="0"/>
          <w:color w:val="000000"/>
          <w:kern w:val="22"/>
          <w:szCs w:val="22"/>
        </w:rPr>
        <w:noBreakHyphen/>
        <w:t>building and development actions;</w:t>
      </w:r>
    </w:p>
    <w:p w14:paraId="0045217B" w14:textId="77777777" w:rsidR="008C379F" w:rsidRPr="000F589D" w:rsidRDefault="008C379F" w:rsidP="00981752">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kern w:val="22"/>
          <w:szCs w:val="22"/>
        </w:rPr>
      </w:pPr>
      <w:r w:rsidRPr="000F589D">
        <w:rPr>
          <w:rFonts w:asciiTheme="majorBidi" w:hAnsiTheme="majorBidi" w:cstheme="majorBidi"/>
          <w:snapToGrid w:val="0"/>
          <w:color w:val="000000"/>
          <w:kern w:val="22"/>
          <w:szCs w:val="22"/>
        </w:rPr>
        <w:t>(c)</w:t>
      </w:r>
      <w:r w:rsidRPr="000F589D">
        <w:rPr>
          <w:rFonts w:asciiTheme="majorBidi" w:hAnsiTheme="majorBidi" w:cstheme="majorBidi"/>
          <w:snapToGrid w:val="0"/>
          <w:color w:val="000000"/>
          <w:kern w:val="22"/>
          <w:szCs w:val="22"/>
        </w:rPr>
        <w:tab/>
        <w:t>Strategic and integrated system-wide approaches to capacity</w:t>
      </w:r>
      <w:r w:rsidRPr="000F589D">
        <w:rPr>
          <w:rFonts w:asciiTheme="majorBidi" w:hAnsiTheme="majorBidi" w:cstheme="majorBidi"/>
          <w:snapToGrid w:val="0"/>
          <w:color w:val="000000"/>
          <w:kern w:val="22"/>
          <w:szCs w:val="22"/>
        </w:rPr>
        <w:noBreakHyphen/>
        <w:t>building and development should be promoted;</w:t>
      </w:r>
    </w:p>
    <w:p w14:paraId="77222DC4" w14:textId="77777777" w:rsidR="008C379F" w:rsidRPr="000F589D" w:rsidRDefault="008C379F" w:rsidP="00981752">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themeColor="text1"/>
          <w:kern w:val="22"/>
          <w:szCs w:val="22"/>
        </w:rPr>
      </w:pPr>
      <w:r w:rsidRPr="000F589D">
        <w:rPr>
          <w:rFonts w:asciiTheme="majorBidi" w:hAnsiTheme="majorBidi" w:cstheme="majorBidi"/>
          <w:snapToGrid w:val="0"/>
          <w:color w:val="000000" w:themeColor="text1"/>
          <w:kern w:val="22"/>
          <w:szCs w:val="22"/>
        </w:rPr>
        <w:t>(d)</w:t>
      </w:r>
      <w:r w:rsidRPr="000F589D">
        <w:rPr>
          <w:rFonts w:asciiTheme="majorBidi" w:hAnsiTheme="majorBidi" w:cstheme="majorBidi"/>
          <w:snapToGrid w:val="0"/>
          <w:color w:val="000000" w:themeColor="text1"/>
          <w:kern w:val="22"/>
          <w:szCs w:val="22"/>
        </w:rPr>
        <w:tab/>
      </w:r>
      <w:r w:rsidRPr="000F589D">
        <w:rPr>
          <w:rFonts w:asciiTheme="majorBidi" w:hAnsiTheme="majorBidi" w:cstheme="majorBidi"/>
          <w:snapToGrid w:val="0"/>
          <w:color w:val="000000"/>
          <w:kern w:val="22"/>
          <w:szCs w:val="22"/>
        </w:rPr>
        <w:t>Interventions</w:t>
      </w:r>
      <w:r w:rsidRPr="000F589D">
        <w:rPr>
          <w:rFonts w:asciiTheme="majorBidi" w:hAnsiTheme="majorBidi" w:cstheme="majorBidi"/>
          <w:snapToGrid w:val="0"/>
          <w:color w:val="000000" w:themeColor="text1"/>
          <w:kern w:val="22"/>
          <w:szCs w:val="22"/>
        </w:rPr>
        <w:t xml:space="preserve"> should be designed and implemented according to recognized good practice and lessons learned;</w:t>
      </w:r>
    </w:p>
    <w:p w14:paraId="7542C059" w14:textId="77777777" w:rsidR="008C379F" w:rsidRPr="000F589D" w:rsidRDefault="008C379F" w:rsidP="00981752">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kern w:val="22"/>
          <w:szCs w:val="22"/>
        </w:rPr>
      </w:pPr>
      <w:r w:rsidRPr="000F589D">
        <w:rPr>
          <w:rFonts w:asciiTheme="majorBidi" w:hAnsiTheme="majorBidi" w:cstheme="majorBidi"/>
          <w:snapToGrid w:val="0"/>
          <w:kern w:val="22"/>
          <w:szCs w:val="22"/>
        </w:rPr>
        <w:t>(e)</w:t>
      </w:r>
      <w:r w:rsidRPr="000F589D">
        <w:rPr>
          <w:rFonts w:asciiTheme="majorBidi" w:hAnsiTheme="majorBidi" w:cstheme="majorBidi"/>
          <w:snapToGrid w:val="0"/>
          <w:kern w:val="22"/>
          <w:szCs w:val="22"/>
        </w:rPr>
        <w:tab/>
        <w:t xml:space="preserve">Indigenous peoples and local communities, </w:t>
      </w:r>
      <w:r w:rsidRPr="000F589D">
        <w:rPr>
          <w:rFonts w:asciiTheme="majorBidi" w:hAnsiTheme="majorBidi" w:cstheme="majorBidi"/>
          <w:snapToGrid w:val="0"/>
          <w:color w:val="000000"/>
          <w:kern w:val="22"/>
          <w:szCs w:val="22"/>
        </w:rPr>
        <w:t>gender</w:t>
      </w:r>
      <w:r w:rsidRPr="000F589D">
        <w:rPr>
          <w:rFonts w:asciiTheme="majorBidi" w:hAnsiTheme="majorBidi" w:cstheme="majorBidi"/>
          <w:snapToGrid w:val="0"/>
          <w:kern w:val="22"/>
          <w:szCs w:val="22"/>
        </w:rPr>
        <w:t xml:space="preserve"> and youth perspectives should be fully integrated into biodiversity capacity</w:t>
      </w:r>
      <w:r w:rsidRPr="000F589D">
        <w:rPr>
          <w:rFonts w:asciiTheme="majorBidi" w:hAnsiTheme="majorBidi" w:cstheme="majorBidi"/>
          <w:snapToGrid w:val="0"/>
          <w:kern w:val="22"/>
          <w:szCs w:val="22"/>
        </w:rPr>
        <w:noBreakHyphen/>
        <w:t>building and development efforts</w:t>
      </w:r>
      <w:r>
        <w:rPr>
          <w:rFonts w:asciiTheme="majorBidi" w:hAnsiTheme="majorBidi" w:cstheme="majorBidi"/>
          <w:snapToGrid w:val="0"/>
          <w:kern w:val="22"/>
          <w:szCs w:val="22"/>
        </w:rPr>
        <w:t>,</w:t>
      </w:r>
      <w:r w:rsidRPr="000F589D">
        <w:rPr>
          <w:rFonts w:asciiTheme="majorBidi" w:hAnsiTheme="majorBidi" w:cstheme="majorBidi"/>
          <w:snapToGrid w:val="0"/>
          <w:kern w:val="22"/>
          <w:szCs w:val="22"/>
        </w:rPr>
        <w:t xml:space="preserve"> taking into account the </w:t>
      </w:r>
      <w:r>
        <w:rPr>
          <w:rFonts w:asciiTheme="majorBidi" w:hAnsiTheme="majorBidi" w:cstheme="majorBidi"/>
          <w:snapToGrid w:val="0"/>
          <w:kern w:val="22"/>
          <w:szCs w:val="22"/>
        </w:rPr>
        <w:t>G</w:t>
      </w:r>
      <w:r w:rsidRPr="000F589D">
        <w:rPr>
          <w:rFonts w:asciiTheme="majorBidi" w:hAnsiTheme="majorBidi" w:cstheme="majorBidi"/>
          <w:snapToGrid w:val="0"/>
          <w:kern w:val="22"/>
          <w:szCs w:val="22"/>
        </w:rPr>
        <w:t xml:space="preserve">ender </w:t>
      </w:r>
      <w:r>
        <w:rPr>
          <w:rFonts w:asciiTheme="majorBidi" w:hAnsiTheme="majorBidi" w:cstheme="majorBidi"/>
          <w:snapToGrid w:val="0"/>
          <w:kern w:val="22"/>
          <w:szCs w:val="22"/>
        </w:rPr>
        <w:t>P</w:t>
      </w:r>
      <w:r w:rsidRPr="000F589D">
        <w:rPr>
          <w:rFonts w:asciiTheme="majorBidi" w:hAnsiTheme="majorBidi" w:cstheme="majorBidi"/>
          <w:snapToGrid w:val="0"/>
          <w:kern w:val="22"/>
          <w:szCs w:val="22"/>
        </w:rPr>
        <w:t xml:space="preserve">lan of </w:t>
      </w:r>
      <w:r>
        <w:rPr>
          <w:rFonts w:asciiTheme="majorBidi" w:hAnsiTheme="majorBidi" w:cstheme="majorBidi"/>
          <w:snapToGrid w:val="0"/>
          <w:kern w:val="22"/>
          <w:szCs w:val="22"/>
        </w:rPr>
        <w:t>A</w:t>
      </w:r>
      <w:r w:rsidRPr="000F589D">
        <w:rPr>
          <w:rFonts w:asciiTheme="majorBidi" w:hAnsiTheme="majorBidi" w:cstheme="majorBidi"/>
          <w:snapToGrid w:val="0"/>
          <w:kern w:val="22"/>
          <w:szCs w:val="22"/>
        </w:rPr>
        <w:t>ction;</w:t>
      </w:r>
      <w:r w:rsidRPr="00610646">
        <w:rPr>
          <w:rStyle w:val="FootnoteReference"/>
        </w:rPr>
        <w:footnoteReference w:id="78"/>
      </w:r>
    </w:p>
    <w:p w14:paraId="1CDA0035" w14:textId="77777777" w:rsidR="008C379F" w:rsidRPr="000F589D" w:rsidRDefault="008C379F" w:rsidP="00981752">
      <w:pPr>
        <w:suppressLineNumbers/>
        <w:tabs>
          <w:tab w:val="left" w:pos="1276"/>
        </w:tabs>
        <w:suppressAutoHyphens/>
        <w:kinsoku w:val="0"/>
        <w:overflowPunct w:val="0"/>
        <w:autoSpaceDE w:val="0"/>
        <w:autoSpaceDN w:val="0"/>
        <w:adjustRightInd w:val="0"/>
        <w:snapToGrid w:val="0"/>
        <w:spacing w:after="120"/>
        <w:ind w:firstLine="720"/>
        <w:rPr>
          <w:rFonts w:asciiTheme="majorBidi" w:hAnsiTheme="majorBidi" w:cstheme="majorBidi"/>
          <w:snapToGrid w:val="0"/>
          <w:color w:val="000000" w:themeColor="text1"/>
          <w:kern w:val="22"/>
          <w:szCs w:val="22"/>
        </w:rPr>
      </w:pPr>
      <w:r w:rsidRPr="000F589D">
        <w:rPr>
          <w:rFonts w:asciiTheme="majorBidi" w:hAnsiTheme="majorBidi" w:cstheme="majorBidi"/>
          <w:snapToGrid w:val="0"/>
          <w:color w:val="000000" w:themeColor="text1"/>
          <w:kern w:val="22"/>
          <w:szCs w:val="22"/>
        </w:rPr>
        <w:t>(f)</w:t>
      </w:r>
      <w:r w:rsidRPr="000F589D">
        <w:rPr>
          <w:rFonts w:asciiTheme="majorBidi" w:hAnsiTheme="majorBidi" w:cstheme="majorBidi"/>
          <w:snapToGrid w:val="0"/>
          <w:color w:val="000000" w:themeColor="text1"/>
          <w:kern w:val="22"/>
          <w:szCs w:val="22"/>
        </w:rPr>
        <w:tab/>
      </w:r>
      <w:r w:rsidRPr="000F589D">
        <w:rPr>
          <w:rFonts w:asciiTheme="majorBidi" w:hAnsiTheme="majorBidi" w:cstheme="majorBidi"/>
          <w:snapToGrid w:val="0"/>
          <w:color w:val="000000"/>
          <w:kern w:val="22"/>
          <w:szCs w:val="22"/>
        </w:rPr>
        <w:t>Monitoring</w:t>
      </w:r>
      <w:r w:rsidRPr="000F589D">
        <w:rPr>
          <w:rFonts w:asciiTheme="majorBidi" w:hAnsiTheme="majorBidi" w:cstheme="majorBidi"/>
          <w:snapToGrid w:val="0"/>
          <w:color w:val="000000" w:themeColor="text1"/>
          <w:kern w:val="22"/>
          <w:szCs w:val="22"/>
        </w:rPr>
        <w:t>, evaluation and learning frameworks should be incorporated into capacity</w:t>
      </w:r>
      <w:r w:rsidRPr="000F589D">
        <w:rPr>
          <w:rFonts w:asciiTheme="majorBidi" w:hAnsiTheme="majorBidi" w:cstheme="majorBidi"/>
          <w:snapToGrid w:val="0"/>
          <w:color w:val="000000" w:themeColor="text1"/>
          <w:kern w:val="22"/>
          <w:szCs w:val="22"/>
        </w:rPr>
        <w:noBreakHyphen/>
        <w:t>building and development strategies, plans and programmes from the start.</w:t>
      </w:r>
    </w:p>
    <w:p w14:paraId="7246BE0D" w14:textId="77777777" w:rsidR="008C379F" w:rsidRPr="000F589D" w:rsidRDefault="008C379F" w:rsidP="002D60F3">
      <w:pPr>
        <w:keepNext/>
        <w:suppressLineNumbers/>
        <w:suppressAutoHyphens/>
        <w:spacing w:before="240" w:after="120"/>
        <w:jc w:val="center"/>
        <w:rPr>
          <w:rFonts w:asciiTheme="majorBidi" w:hAnsiTheme="majorBidi" w:cstheme="majorBidi"/>
          <w:b/>
          <w:caps/>
          <w:color w:val="000000"/>
          <w:szCs w:val="22"/>
          <w:lang w:eastAsia="zh-CN"/>
        </w:rPr>
      </w:pPr>
      <w:bookmarkStart w:id="82" w:name="_Toc57214901"/>
      <w:r w:rsidRPr="000F589D">
        <w:rPr>
          <w:rFonts w:asciiTheme="majorBidi" w:hAnsiTheme="majorBidi" w:cstheme="majorBidi"/>
          <w:b/>
          <w:caps/>
          <w:color w:val="000000"/>
          <w:szCs w:val="22"/>
          <w:lang w:eastAsia="zh-CN"/>
        </w:rPr>
        <w:lastRenderedPageBreak/>
        <w:t>I</w:t>
      </w:r>
      <w:bookmarkStart w:id="83" w:name="_Toc39228093"/>
      <w:r w:rsidRPr="000F589D">
        <w:rPr>
          <w:rFonts w:asciiTheme="majorBidi" w:hAnsiTheme="majorBidi" w:cstheme="majorBidi"/>
          <w:b/>
          <w:caps/>
          <w:color w:val="000000"/>
          <w:szCs w:val="22"/>
          <w:lang w:eastAsia="zh-CN"/>
        </w:rPr>
        <w:t>V.</w:t>
      </w:r>
      <w:r w:rsidRPr="000F589D">
        <w:rPr>
          <w:rFonts w:asciiTheme="majorBidi" w:hAnsiTheme="majorBidi" w:cstheme="majorBidi"/>
          <w:b/>
          <w:caps/>
          <w:color w:val="000000"/>
          <w:szCs w:val="22"/>
          <w:lang w:eastAsia="zh-CN"/>
        </w:rPr>
        <w:tab/>
        <w:t>Key strategies to improve capacity</w:t>
      </w:r>
      <w:r w:rsidRPr="000F589D">
        <w:rPr>
          <w:rFonts w:asciiTheme="majorBidi" w:hAnsiTheme="majorBidi" w:cstheme="majorBidi"/>
          <w:b/>
          <w:caps/>
          <w:color w:val="000000"/>
          <w:szCs w:val="22"/>
          <w:lang w:eastAsia="zh-CN"/>
        </w:rPr>
        <w:noBreakHyphen/>
        <w:t>building and development</w:t>
      </w:r>
      <w:bookmarkEnd w:id="82"/>
      <w:bookmarkEnd w:id="83"/>
    </w:p>
    <w:p w14:paraId="1EF5FFE5" w14:textId="77777777" w:rsidR="008C379F" w:rsidRPr="000F589D" w:rsidRDefault="008C379F" w:rsidP="00A30041">
      <w:pPr>
        <w:pStyle w:val="Para1"/>
        <w:numPr>
          <w:ilvl w:val="0"/>
          <w:numId w:val="0"/>
        </w:numPr>
        <w:suppressLineNumbers/>
        <w:tabs>
          <w:tab w:val="left" w:pos="720"/>
        </w:tabs>
        <w:suppressAutoHyphens/>
        <w:kinsoku w:val="0"/>
        <w:adjustRightInd w:val="0"/>
        <w:rPr>
          <w:rFonts w:asciiTheme="majorBidi" w:hAnsiTheme="majorBidi" w:cstheme="majorBidi"/>
          <w:snapToGrid/>
        </w:rPr>
      </w:pPr>
      <w:r w:rsidRPr="000F589D">
        <w:rPr>
          <w:rFonts w:asciiTheme="majorBidi" w:hAnsiTheme="majorBidi" w:cstheme="majorBidi"/>
          <w:snapToGrid/>
        </w:rPr>
        <w:t>9.</w:t>
      </w:r>
      <w:r w:rsidRPr="000F589D">
        <w:rPr>
          <w:rFonts w:asciiTheme="majorBidi" w:hAnsiTheme="majorBidi" w:cstheme="majorBidi"/>
          <w:snapToGrid/>
        </w:rPr>
        <w:tab/>
      </w:r>
      <w:r w:rsidRPr="000F589D">
        <w:rPr>
          <w:rFonts w:asciiTheme="majorBidi" w:hAnsiTheme="majorBidi" w:cstheme="majorBidi"/>
        </w:rPr>
        <w:t>Government and non-government actors are encouraged to adopt, as appropriate, the strategies below to enhance capacity</w:t>
      </w:r>
      <w:r w:rsidRPr="000F589D">
        <w:rPr>
          <w:rFonts w:asciiTheme="majorBidi" w:hAnsiTheme="majorBidi" w:cstheme="majorBidi"/>
        </w:rPr>
        <w:noBreakHyphen/>
        <w:t xml:space="preserve">building and development initiatives in support of the </w:t>
      </w:r>
      <w:r>
        <w:rPr>
          <w:rFonts w:asciiTheme="majorBidi" w:hAnsiTheme="majorBidi" w:cstheme="majorBidi"/>
        </w:rPr>
        <w:t>Kunming-Montreal G</w:t>
      </w:r>
      <w:r w:rsidRPr="000F589D">
        <w:rPr>
          <w:rFonts w:asciiTheme="majorBidi" w:hAnsiTheme="majorBidi" w:cstheme="majorBidi"/>
        </w:rPr>
        <w:t xml:space="preserve">lobal </w:t>
      </w:r>
      <w:r>
        <w:rPr>
          <w:rFonts w:asciiTheme="majorBidi" w:hAnsiTheme="majorBidi" w:cstheme="majorBidi"/>
        </w:rPr>
        <w:t>B</w:t>
      </w:r>
      <w:r w:rsidRPr="000F589D">
        <w:rPr>
          <w:rFonts w:asciiTheme="majorBidi" w:hAnsiTheme="majorBidi" w:cstheme="majorBidi"/>
        </w:rPr>
        <w:t xml:space="preserve">iodiversity </w:t>
      </w:r>
      <w:r>
        <w:rPr>
          <w:rFonts w:asciiTheme="majorBidi" w:hAnsiTheme="majorBidi" w:cstheme="majorBidi"/>
        </w:rPr>
        <w:t>F</w:t>
      </w:r>
      <w:r w:rsidRPr="000F589D">
        <w:rPr>
          <w:rFonts w:asciiTheme="majorBidi" w:hAnsiTheme="majorBidi" w:cstheme="majorBidi"/>
        </w:rPr>
        <w:t>ramework and ensure alignment and synergy with the Sustainable Development Goals and other relevant national and global processes. Each country should decide which strategies to apply, taking into account its needs, circumstances and local contexts:</w:t>
      </w:r>
    </w:p>
    <w:p w14:paraId="5E66C1BE"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bookmarkStart w:id="84" w:name="_Toc39228094"/>
      <w:r w:rsidRPr="000F589D">
        <w:rPr>
          <w:rFonts w:asciiTheme="majorBidi" w:hAnsiTheme="majorBidi" w:cstheme="majorBidi"/>
          <w:snapToGrid w:val="0"/>
          <w:kern w:val="22"/>
          <w:szCs w:val="22"/>
        </w:rPr>
        <w:t>(a)</w:t>
      </w:r>
      <w:r w:rsidRPr="000F589D">
        <w:rPr>
          <w:rFonts w:asciiTheme="majorBidi" w:hAnsiTheme="majorBidi" w:cstheme="majorBidi"/>
          <w:snapToGrid w:val="0"/>
          <w:kern w:val="22"/>
          <w:szCs w:val="22"/>
        </w:rPr>
        <w:tab/>
      </w:r>
      <w:r w:rsidRPr="000F589D">
        <w:rPr>
          <w:rFonts w:asciiTheme="majorBidi" w:hAnsiTheme="majorBidi" w:cstheme="majorBidi"/>
          <w:i/>
          <w:snapToGrid w:val="0"/>
          <w:kern w:val="22"/>
          <w:szCs w:val="22"/>
        </w:rPr>
        <w:t>Institutionalize capacity</w:t>
      </w:r>
      <w:r w:rsidRPr="000F589D">
        <w:rPr>
          <w:rFonts w:asciiTheme="majorBidi" w:hAnsiTheme="majorBidi" w:cstheme="majorBidi"/>
          <w:i/>
          <w:snapToGrid w:val="0"/>
          <w:kern w:val="22"/>
          <w:szCs w:val="22"/>
        </w:rPr>
        <w:noBreakHyphen/>
        <w:t>building and development</w:t>
      </w:r>
      <w:bookmarkEnd w:id="84"/>
      <w:r>
        <w:rPr>
          <w:rFonts w:asciiTheme="majorBidi" w:hAnsiTheme="majorBidi" w:cstheme="majorBidi"/>
          <w:snapToGrid w:val="0"/>
          <w:kern w:val="22"/>
          <w:szCs w:val="22"/>
        </w:rPr>
        <w:t>.</w:t>
      </w:r>
      <w:r w:rsidRPr="000F589D">
        <w:rPr>
          <w:rFonts w:asciiTheme="majorBidi" w:hAnsiTheme="majorBidi" w:cstheme="majorBidi"/>
          <w:snapToGrid w:val="0"/>
          <w:kern w:val="22"/>
          <w:szCs w:val="22"/>
        </w:rPr>
        <w:t xml:space="preserve"> Ensure that capacity</w:t>
      </w:r>
      <w:r w:rsidRPr="000F589D">
        <w:rPr>
          <w:rFonts w:asciiTheme="majorBidi" w:hAnsiTheme="majorBidi" w:cstheme="majorBidi"/>
          <w:snapToGrid w:val="0"/>
          <w:kern w:val="22"/>
          <w:szCs w:val="22"/>
        </w:rPr>
        <w:noBreakHyphen/>
        <w:t>building and development interventions are planned and delivered as an integral part of the institutions’ broader corporate strategic plans, ongoing human resources and organizational development and knowledge management, organizational learning, mentorship and peer-to-peer support, nurturing of communities of practice, and systematic sharing of experiences, best practices and lessons learned;</w:t>
      </w:r>
      <w:bookmarkStart w:id="85" w:name="_Toc39228095"/>
    </w:p>
    <w:p w14:paraId="27236FCA"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0F589D">
        <w:rPr>
          <w:rFonts w:asciiTheme="majorBidi" w:hAnsiTheme="majorBidi" w:cstheme="majorBidi"/>
          <w:snapToGrid w:val="0"/>
          <w:kern w:val="22"/>
          <w:szCs w:val="22"/>
        </w:rPr>
        <w:t>(b)</w:t>
      </w:r>
      <w:r w:rsidRPr="000F589D">
        <w:rPr>
          <w:rFonts w:asciiTheme="majorBidi" w:hAnsiTheme="majorBidi" w:cstheme="majorBidi"/>
          <w:snapToGrid w:val="0"/>
          <w:kern w:val="22"/>
          <w:szCs w:val="22"/>
        </w:rPr>
        <w:tab/>
      </w:r>
      <w:r w:rsidRPr="000F589D">
        <w:rPr>
          <w:rFonts w:asciiTheme="majorBidi" w:hAnsiTheme="majorBidi" w:cstheme="majorBidi"/>
          <w:i/>
          <w:snapToGrid w:val="0"/>
          <w:kern w:val="22"/>
          <w:szCs w:val="22"/>
        </w:rPr>
        <w:t>Integrate long-term capacity</w:t>
      </w:r>
      <w:r w:rsidRPr="000F589D">
        <w:rPr>
          <w:rFonts w:asciiTheme="majorBidi" w:hAnsiTheme="majorBidi" w:cstheme="majorBidi"/>
          <w:i/>
          <w:snapToGrid w:val="0"/>
          <w:kern w:val="22"/>
          <w:szCs w:val="22"/>
        </w:rPr>
        <w:noBreakHyphen/>
        <w:t>building and development into national biodiversity strategies and action plans</w:t>
      </w:r>
      <w:bookmarkEnd w:id="85"/>
      <w:r>
        <w:rPr>
          <w:rFonts w:asciiTheme="majorBidi" w:hAnsiTheme="majorBidi" w:cstheme="majorBidi"/>
          <w:i/>
          <w:snapToGrid w:val="0"/>
          <w:kern w:val="22"/>
          <w:szCs w:val="22"/>
        </w:rPr>
        <w:t>.</w:t>
      </w:r>
      <w:r w:rsidRPr="000F589D">
        <w:rPr>
          <w:rFonts w:asciiTheme="majorBidi" w:hAnsiTheme="majorBidi" w:cstheme="majorBidi"/>
          <w:snapToGrid w:val="0"/>
          <w:kern w:val="22"/>
          <w:szCs w:val="22"/>
        </w:rPr>
        <w:t xml:space="preserve"> Integrate capacity</w:t>
      </w:r>
      <w:r w:rsidRPr="000F589D">
        <w:rPr>
          <w:rFonts w:asciiTheme="majorBidi" w:hAnsiTheme="majorBidi" w:cstheme="majorBidi"/>
          <w:snapToGrid w:val="0"/>
          <w:kern w:val="22"/>
          <w:szCs w:val="22"/>
        </w:rPr>
        <w:noBreakHyphen/>
        <w:t>building and development components into national biodiversity strategies and action plans and similar strategic documents or develop dedicated national capacity</w:t>
      </w:r>
      <w:r w:rsidRPr="000F589D">
        <w:rPr>
          <w:rFonts w:asciiTheme="majorBidi" w:hAnsiTheme="majorBidi" w:cstheme="majorBidi"/>
          <w:snapToGrid w:val="0"/>
          <w:kern w:val="22"/>
          <w:szCs w:val="22"/>
        </w:rPr>
        <w:noBreakHyphen/>
        <w:t>building and development action plans, as appropriate,</w:t>
      </w:r>
      <w:r w:rsidRPr="00610646">
        <w:rPr>
          <w:rStyle w:val="FootnoteReference"/>
        </w:rPr>
        <w:footnoteReference w:id="79"/>
      </w:r>
      <w:r w:rsidRPr="000F589D">
        <w:rPr>
          <w:rFonts w:asciiTheme="majorBidi" w:hAnsiTheme="majorBidi" w:cstheme="majorBidi"/>
          <w:snapToGrid w:val="0"/>
          <w:kern w:val="22"/>
          <w:szCs w:val="22"/>
        </w:rPr>
        <w:t xml:space="preserve"> to identify the core capacity</w:t>
      </w:r>
      <w:r w:rsidRPr="000F589D">
        <w:rPr>
          <w:rFonts w:asciiTheme="majorBidi" w:hAnsiTheme="majorBidi" w:cstheme="majorBidi"/>
          <w:snapToGrid w:val="0"/>
          <w:kern w:val="22"/>
          <w:szCs w:val="22"/>
        </w:rPr>
        <w:noBreakHyphen/>
        <w:t>building and development needs, goals, targets and milestones and foster their alignment with the strategic framework, alongside initiatives on related Sustainable Development Goals. This would help ensure that capacity</w:t>
      </w:r>
      <w:r w:rsidRPr="000F589D">
        <w:rPr>
          <w:rFonts w:asciiTheme="majorBidi" w:hAnsiTheme="majorBidi" w:cstheme="majorBidi"/>
          <w:snapToGrid w:val="0"/>
          <w:kern w:val="22"/>
          <w:szCs w:val="22"/>
        </w:rPr>
        <w:noBreakHyphen/>
        <w:t>building and development f</w:t>
      </w:r>
      <w:r w:rsidRPr="00A9371E">
        <w:rPr>
          <w:rFonts w:asciiTheme="majorBidi" w:hAnsiTheme="majorBidi" w:cstheme="majorBidi"/>
          <w:snapToGrid w:val="0"/>
          <w:kern w:val="22"/>
          <w:szCs w:val="22"/>
        </w:rPr>
        <w:t xml:space="preserve">or biodiversity is planned strategically and streamlined into national development investments and budgeting processes. </w:t>
      </w:r>
      <w:r w:rsidRPr="004D32B6">
        <w:rPr>
          <w:rFonts w:asciiTheme="majorBidi" w:hAnsiTheme="majorBidi" w:cstheme="majorBidi"/>
          <w:snapToGrid w:val="0"/>
          <w:kern w:val="22"/>
          <w:szCs w:val="22"/>
        </w:rPr>
        <w:t xml:space="preserve">It is encouraged to </w:t>
      </w:r>
      <w:r w:rsidRPr="00A9371E">
        <w:rPr>
          <w:rFonts w:asciiTheme="majorBidi" w:hAnsiTheme="majorBidi" w:cstheme="majorBidi"/>
          <w:snapToGrid w:val="0"/>
          <w:kern w:val="22"/>
          <w:szCs w:val="22"/>
        </w:rPr>
        <w:t>include plans on youth engagement and capacity</w:t>
      </w:r>
      <w:r w:rsidRPr="00A9371E">
        <w:rPr>
          <w:rFonts w:asciiTheme="majorBidi" w:hAnsiTheme="majorBidi" w:cstheme="majorBidi"/>
          <w:snapToGrid w:val="0"/>
          <w:kern w:val="22"/>
          <w:szCs w:val="22"/>
        </w:rPr>
        <w:noBreakHyphen/>
        <w:t>building and development</w:t>
      </w:r>
      <w:r w:rsidRPr="004D32B6">
        <w:rPr>
          <w:rFonts w:asciiTheme="majorBidi" w:hAnsiTheme="majorBidi" w:cstheme="majorBidi"/>
          <w:snapToGrid w:val="0"/>
          <w:kern w:val="22"/>
          <w:szCs w:val="22"/>
        </w:rPr>
        <w:t>,</w:t>
      </w:r>
      <w:r w:rsidRPr="00A9371E">
        <w:rPr>
          <w:rFonts w:asciiTheme="majorBidi" w:hAnsiTheme="majorBidi" w:cstheme="majorBidi"/>
          <w:snapToGrid w:val="0"/>
          <w:kern w:val="22"/>
          <w:szCs w:val="22"/>
        </w:rPr>
        <w:t xml:space="preserve"> and </w:t>
      </w:r>
      <w:r w:rsidRPr="004D32B6">
        <w:rPr>
          <w:rFonts w:asciiTheme="majorBidi" w:hAnsiTheme="majorBidi" w:cstheme="majorBidi"/>
          <w:snapToGrid w:val="0"/>
          <w:kern w:val="22"/>
          <w:szCs w:val="22"/>
        </w:rPr>
        <w:t xml:space="preserve">to </w:t>
      </w:r>
      <w:r w:rsidRPr="00A9371E">
        <w:rPr>
          <w:rFonts w:asciiTheme="majorBidi" w:hAnsiTheme="majorBidi" w:cstheme="majorBidi"/>
          <w:snapToGrid w:val="0"/>
          <w:kern w:val="22"/>
          <w:szCs w:val="22"/>
        </w:rPr>
        <w:t>integrate intergenerational initiatives</w:t>
      </w:r>
      <w:r w:rsidRPr="004D32B6">
        <w:rPr>
          <w:rFonts w:asciiTheme="majorBidi" w:hAnsiTheme="majorBidi" w:cstheme="majorBidi"/>
          <w:snapToGrid w:val="0"/>
          <w:kern w:val="22"/>
          <w:szCs w:val="22"/>
        </w:rPr>
        <w:t xml:space="preserve"> in these documents</w:t>
      </w:r>
      <w:r w:rsidRPr="00A9371E">
        <w:rPr>
          <w:rFonts w:asciiTheme="majorBidi" w:hAnsiTheme="majorBidi" w:cstheme="majorBidi"/>
          <w:snapToGrid w:val="0"/>
          <w:kern w:val="22"/>
          <w:szCs w:val="22"/>
        </w:rPr>
        <w:t>;</w:t>
      </w:r>
    </w:p>
    <w:p w14:paraId="15846317"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0F589D">
        <w:rPr>
          <w:rFonts w:asciiTheme="majorBidi" w:hAnsiTheme="majorBidi" w:cstheme="majorBidi"/>
          <w:snapToGrid w:val="0"/>
          <w:kern w:val="22"/>
          <w:szCs w:val="22"/>
        </w:rPr>
        <w:t>(c)</w:t>
      </w:r>
      <w:r w:rsidRPr="000F589D">
        <w:rPr>
          <w:rFonts w:asciiTheme="majorBidi" w:hAnsiTheme="majorBidi" w:cstheme="majorBidi"/>
          <w:snapToGrid w:val="0"/>
          <w:kern w:val="22"/>
          <w:szCs w:val="22"/>
        </w:rPr>
        <w:tab/>
      </w:r>
      <w:r w:rsidRPr="000F589D">
        <w:rPr>
          <w:rFonts w:asciiTheme="majorBidi" w:hAnsiTheme="majorBidi" w:cstheme="majorBidi"/>
          <w:i/>
          <w:snapToGrid w:val="0"/>
          <w:kern w:val="22"/>
          <w:szCs w:val="22"/>
        </w:rPr>
        <w:t>Increase focus on life-</w:t>
      </w:r>
      <w:r w:rsidRPr="000F589D">
        <w:rPr>
          <w:rFonts w:asciiTheme="majorBidi" w:hAnsiTheme="majorBidi" w:cstheme="majorBidi"/>
          <w:i/>
          <w:iCs/>
          <w:snapToGrid w:val="0"/>
          <w:kern w:val="22"/>
          <w:szCs w:val="22"/>
        </w:rPr>
        <w:t>long learning</w:t>
      </w:r>
      <w:r>
        <w:rPr>
          <w:rFonts w:asciiTheme="majorBidi" w:hAnsiTheme="majorBidi" w:cstheme="majorBidi"/>
          <w:snapToGrid w:val="0"/>
          <w:kern w:val="22"/>
          <w:szCs w:val="22"/>
        </w:rPr>
        <w:t>.</w:t>
      </w:r>
      <w:r w:rsidRPr="000F589D">
        <w:rPr>
          <w:rFonts w:asciiTheme="majorBidi" w:hAnsiTheme="majorBidi" w:cstheme="majorBidi"/>
          <w:snapToGrid w:val="0"/>
          <w:kern w:val="22"/>
          <w:szCs w:val="22"/>
        </w:rPr>
        <w:t xml:space="preserve"> </w:t>
      </w:r>
      <w:r>
        <w:rPr>
          <w:rFonts w:asciiTheme="majorBidi" w:hAnsiTheme="majorBidi" w:cstheme="majorBidi"/>
          <w:snapToGrid w:val="0"/>
          <w:kern w:val="22"/>
          <w:szCs w:val="22"/>
        </w:rPr>
        <w:t>I</w:t>
      </w:r>
      <w:r w:rsidRPr="000F589D">
        <w:rPr>
          <w:rFonts w:asciiTheme="majorBidi" w:hAnsiTheme="majorBidi" w:cstheme="majorBidi"/>
          <w:snapToGrid w:val="0"/>
          <w:kern w:val="22"/>
          <w:szCs w:val="22"/>
        </w:rPr>
        <w:t xml:space="preserve">ncrease focus on formal, non-formal and informal education at all levels, including adult education, ensuring that knowledge, skills, values and norms are in line with the goals and targets as well as capacity-building and development needs of the </w:t>
      </w:r>
      <w:r>
        <w:rPr>
          <w:rFonts w:asciiTheme="majorBidi" w:hAnsiTheme="majorBidi" w:cstheme="majorBidi"/>
          <w:snapToGrid w:val="0"/>
          <w:kern w:val="22"/>
          <w:szCs w:val="22"/>
        </w:rPr>
        <w:t>Kunming-Montreal</w:t>
      </w:r>
      <w:r w:rsidRPr="000F589D">
        <w:rPr>
          <w:rFonts w:asciiTheme="majorBidi" w:hAnsiTheme="majorBidi" w:cstheme="majorBidi"/>
          <w:snapToGrid w:val="0"/>
          <w:kern w:val="22"/>
          <w:szCs w:val="22"/>
        </w:rPr>
        <w:t xml:space="preserve"> </w:t>
      </w:r>
      <w:r>
        <w:rPr>
          <w:rFonts w:asciiTheme="majorBidi" w:hAnsiTheme="majorBidi" w:cstheme="majorBidi"/>
          <w:snapToGrid w:val="0"/>
          <w:kern w:val="22"/>
          <w:szCs w:val="22"/>
        </w:rPr>
        <w:t>G</w:t>
      </w:r>
      <w:r w:rsidRPr="000F589D">
        <w:rPr>
          <w:rFonts w:asciiTheme="majorBidi" w:hAnsiTheme="majorBidi" w:cstheme="majorBidi"/>
          <w:snapToGrid w:val="0"/>
          <w:kern w:val="22"/>
          <w:szCs w:val="22"/>
        </w:rPr>
        <w:t xml:space="preserve">lobal </w:t>
      </w:r>
      <w:r>
        <w:rPr>
          <w:rFonts w:asciiTheme="majorBidi" w:hAnsiTheme="majorBidi" w:cstheme="majorBidi"/>
          <w:snapToGrid w:val="0"/>
          <w:kern w:val="22"/>
          <w:szCs w:val="22"/>
        </w:rPr>
        <w:t>B</w:t>
      </w:r>
      <w:r w:rsidRPr="000F589D">
        <w:rPr>
          <w:rFonts w:asciiTheme="majorBidi" w:hAnsiTheme="majorBidi" w:cstheme="majorBidi"/>
          <w:snapToGrid w:val="0"/>
          <w:kern w:val="22"/>
          <w:szCs w:val="22"/>
        </w:rPr>
        <w:t xml:space="preserve">iodiversity </w:t>
      </w:r>
      <w:r>
        <w:rPr>
          <w:rFonts w:asciiTheme="majorBidi" w:hAnsiTheme="majorBidi" w:cstheme="majorBidi"/>
          <w:snapToGrid w:val="0"/>
          <w:kern w:val="22"/>
          <w:szCs w:val="22"/>
        </w:rPr>
        <w:t>F</w:t>
      </w:r>
      <w:r w:rsidRPr="000F589D">
        <w:rPr>
          <w:rFonts w:asciiTheme="majorBidi" w:hAnsiTheme="majorBidi" w:cstheme="majorBidi"/>
          <w:snapToGrid w:val="0"/>
          <w:kern w:val="22"/>
          <w:szCs w:val="22"/>
        </w:rPr>
        <w:t>ramework;</w:t>
      </w:r>
    </w:p>
    <w:p w14:paraId="12DA2081"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spacing w:val="-2"/>
          <w:kern w:val="22"/>
          <w:szCs w:val="22"/>
        </w:rPr>
      </w:pPr>
      <w:r w:rsidRPr="000F589D">
        <w:rPr>
          <w:rFonts w:asciiTheme="majorBidi" w:hAnsiTheme="majorBidi" w:cstheme="majorBidi"/>
          <w:snapToGrid w:val="0"/>
          <w:spacing w:val="-2"/>
          <w:kern w:val="22"/>
          <w:szCs w:val="22"/>
        </w:rPr>
        <w:t>(d)</w:t>
      </w:r>
      <w:r w:rsidRPr="000F589D">
        <w:rPr>
          <w:rFonts w:asciiTheme="majorBidi" w:hAnsiTheme="majorBidi" w:cstheme="majorBidi"/>
          <w:snapToGrid w:val="0"/>
          <w:spacing w:val="-2"/>
          <w:kern w:val="22"/>
          <w:szCs w:val="22"/>
        </w:rPr>
        <w:tab/>
      </w:r>
      <w:r w:rsidRPr="000F589D">
        <w:rPr>
          <w:rFonts w:asciiTheme="majorBidi" w:hAnsiTheme="majorBidi" w:cstheme="majorBidi"/>
          <w:i/>
          <w:snapToGrid w:val="0"/>
          <w:spacing w:val="-2"/>
          <w:kern w:val="22"/>
          <w:szCs w:val="22"/>
        </w:rPr>
        <w:t>Align biodiversity capacity</w:t>
      </w:r>
      <w:r w:rsidRPr="000F589D">
        <w:rPr>
          <w:rFonts w:asciiTheme="majorBidi" w:hAnsiTheme="majorBidi" w:cstheme="majorBidi"/>
          <w:i/>
          <w:snapToGrid w:val="0"/>
          <w:spacing w:val="-2"/>
          <w:kern w:val="22"/>
          <w:szCs w:val="22"/>
        </w:rPr>
        <w:noBreakHyphen/>
        <w:t>building and development with broader cross-sectoral plans and programmes</w:t>
      </w:r>
      <w:r w:rsidRPr="004D32B6">
        <w:rPr>
          <w:rFonts w:asciiTheme="majorBidi" w:hAnsiTheme="majorBidi" w:cstheme="majorBidi"/>
          <w:iCs/>
          <w:snapToGrid w:val="0"/>
          <w:spacing w:val="-2"/>
          <w:kern w:val="22"/>
          <w:szCs w:val="22"/>
        </w:rPr>
        <w:t>.</w:t>
      </w:r>
      <w:r w:rsidRPr="000F589D">
        <w:rPr>
          <w:rFonts w:asciiTheme="majorBidi" w:hAnsiTheme="majorBidi" w:cstheme="majorBidi"/>
          <w:snapToGrid w:val="0"/>
          <w:spacing w:val="-2"/>
          <w:kern w:val="22"/>
          <w:szCs w:val="22"/>
        </w:rPr>
        <w:t xml:space="preserve"> Apply the whole-of-government and whole-of-society approaches to national implementation proposed in the </w:t>
      </w:r>
      <w:r>
        <w:rPr>
          <w:rFonts w:asciiTheme="majorBidi" w:hAnsiTheme="majorBidi" w:cstheme="majorBidi"/>
          <w:snapToGrid w:val="0"/>
          <w:spacing w:val="-2"/>
          <w:kern w:val="22"/>
          <w:szCs w:val="22"/>
        </w:rPr>
        <w:t>Kunming-Montreal G</w:t>
      </w:r>
      <w:r w:rsidRPr="000F589D">
        <w:rPr>
          <w:rFonts w:asciiTheme="majorBidi" w:hAnsiTheme="majorBidi" w:cstheme="majorBidi"/>
          <w:snapToGrid w:val="0"/>
          <w:spacing w:val="-2"/>
          <w:kern w:val="22"/>
          <w:szCs w:val="22"/>
        </w:rPr>
        <w:t xml:space="preserve">lobal </w:t>
      </w:r>
      <w:r>
        <w:rPr>
          <w:rFonts w:asciiTheme="majorBidi" w:hAnsiTheme="majorBidi" w:cstheme="majorBidi"/>
          <w:snapToGrid w:val="0"/>
          <w:spacing w:val="-2"/>
          <w:kern w:val="22"/>
          <w:szCs w:val="22"/>
        </w:rPr>
        <w:t>B</w:t>
      </w:r>
      <w:r w:rsidRPr="000F589D">
        <w:rPr>
          <w:rFonts w:asciiTheme="majorBidi" w:hAnsiTheme="majorBidi" w:cstheme="majorBidi"/>
          <w:snapToGrid w:val="0"/>
          <w:spacing w:val="-2"/>
          <w:kern w:val="22"/>
          <w:szCs w:val="22"/>
        </w:rPr>
        <w:t xml:space="preserve">iodiversity </w:t>
      </w:r>
      <w:r>
        <w:rPr>
          <w:rFonts w:asciiTheme="majorBidi" w:hAnsiTheme="majorBidi" w:cstheme="majorBidi"/>
          <w:snapToGrid w:val="0"/>
          <w:spacing w:val="-2"/>
          <w:kern w:val="22"/>
          <w:szCs w:val="22"/>
        </w:rPr>
        <w:t>F</w:t>
      </w:r>
      <w:r w:rsidRPr="000F589D">
        <w:rPr>
          <w:rFonts w:asciiTheme="majorBidi" w:hAnsiTheme="majorBidi" w:cstheme="majorBidi"/>
          <w:snapToGrid w:val="0"/>
          <w:spacing w:val="-2"/>
          <w:kern w:val="22"/>
          <w:szCs w:val="22"/>
        </w:rPr>
        <w:t>ramework to galvanize capacity</w:t>
      </w:r>
      <w:r w:rsidRPr="000F589D">
        <w:rPr>
          <w:rFonts w:asciiTheme="majorBidi" w:hAnsiTheme="majorBidi" w:cstheme="majorBidi"/>
          <w:snapToGrid w:val="0"/>
          <w:spacing w:val="-2"/>
          <w:kern w:val="22"/>
          <w:szCs w:val="22"/>
        </w:rPr>
        <w:noBreakHyphen/>
        <w:t xml:space="preserve">building and development for the achievement of the Sustainable Development Goals </w:t>
      </w:r>
      <w:r w:rsidRPr="002A6BB5">
        <w:rPr>
          <w:rFonts w:asciiTheme="majorBidi" w:hAnsiTheme="majorBidi" w:cstheme="majorBidi"/>
          <w:snapToGrid w:val="0"/>
          <w:spacing w:val="-2"/>
          <w:kern w:val="22"/>
          <w:szCs w:val="22"/>
        </w:rPr>
        <w:t>and the</w:t>
      </w:r>
      <w:r>
        <w:rPr>
          <w:rFonts w:asciiTheme="majorBidi" w:hAnsiTheme="majorBidi" w:cstheme="majorBidi"/>
          <w:snapToGrid w:val="0"/>
          <w:spacing w:val="-2"/>
          <w:kern w:val="22"/>
          <w:szCs w:val="22"/>
        </w:rPr>
        <w:t xml:space="preserve"> global biodiversity</w:t>
      </w:r>
      <w:r w:rsidRPr="004E3005">
        <w:rPr>
          <w:rFonts w:asciiTheme="majorBidi" w:hAnsiTheme="majorBidi" w:cstheme="majorBidi"/>
          <w:snapToGrid w:val="0"/>
          <w:spacing w:val="-2"/>
          <w:kern w:val="22"/>
          <w:szCs w:val="22"/>
        </w:rPr>
        <w:t xml:space="preserve"> goals and targets. Focal points of the Rio conventions, biodiversity-related conventions and</w:t>
      </w:r>
      <w:r w:rsidRPr="00237969">
        <w:rPr>
          <w:rFonts w:asciiTheme="majorBidi" w:hAnsiTheme="majorBidi" w:cstheme="majorBidi"/>
          <w:snapToGrid w:val="0"/>
          <w:spacing w:val="-2"/>
          <w:kern w:val="22"/>
          <w:szCs w:val="22"/>
        </w:rPr>
        <w:t xml:space="preserve"> the Sustainable Development Goals, and</w:t>
      </w:r>
      <w:r w:rsidRPr="000F589D">
        <w:rPr>
          <w:rFonts w:asciiTheme="majorBidi" w:hAnsiTheme="majorBidi" w:cstheme="majorBidi"/>
          <w:snapToGrid w:val="0"/>
          <w:spacing w:val="-2"/>
          <w:kern w:val="22"/>
          <w:szCs w:val="22"/>
        </w:rPr>
        <w:t xml:space="preserve"> representatives of line ministries and sectors should adopt a road map for alignment and coordinated action. The United Nations Country Teams should also play a key role in promoting integrated programming and coordination of capacity</w:t>
      </w:r>
      <w:r w:rsidRPr="000F589D">
        <w:rPr>
          <w:rFonts w:asciiTheme="majorBidi" w:hAnsiTheme="majorBidi" w:cstheme="majorBidi"/>
          <w:snapToGrid w:val="0"/>
          <w:spacing w:val="-2"/>
          <w:kern w:val="22"/>
          <w:szCs w:val="22"/>
        </w:rPr>
        <w:noBreakHyphen/>
        <w:t>building and development as part of United Nations Sustainable Development Cooperation Frameworks;</w:t>
      </w:r>
      <w:r w:rsidRPr="00610646">
        <w:rPr>
          <w:rStyle w:val="FootnoteReference"/>
        </w:rPr>
        <w:footnoteReference w:id="80"/>
      </w:r>
    </w:p>
    <w:p w14:paraId="551DC2B6"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0F589D">
        <w:rPr>
          <w:rFonts w:asciiTheme="majorBidi" w:hAnsiTheme="majorBidi" w:cstheme="majorBidi"/>
          <w:snapToGrid w:val="0"/>
          <w:kern w:val="22"/>
          <w:szCs w:val="22"/>
        </w:rPr>
        <w:t>(e)</w:t>
      </w:r>
      <w:r w:rsidRPr="000F589D">
        <w:rPr>
          <w:rFonts w:asciiTheme="majorBidi" w:hAnsiTheme="majorBidi" w:cstheme="majorBidi"/>
          <w:snapToGrid w:val="0"/>
          <w:kern w:val="22"/>
          <w:szCs w:val="22"/>
        </w:rPr>
        <w:tab/>
      </w:r>
      <w:r w:rsidRPr="000F589D">
        <w:rPr>
          <w:rFonts w:asciiTheme="majorBidi" w:hAnsiTheme="majorBidi" w:cstheme="majorBidi"/>
          <w:i/>
          <w:snapToGrid w:val="0"/>
          <w:kern w:val="22"/>
          <w:szCs w:val="22"/>
        </w:rPr>
        <w:t>Undertake measures to fully utilize and retain existing capacity</w:t>
      </w:r>
      <w:r w:rsidRPr="004D32B6">
        <w:rPr>
          <w:rFonts w:asciiTheme="majorBidi" w:hAnsiTheme="majorBidi" w:cstheme="majorBidi"/>
          <w:iCs/>
          <w:snapToGrid w:val="0"/>
          <w:kern w:val="22"/>
          <w:szCs w:val="22"/>
        </w:rPr>
        <w:t>.</w:t>
      </w:r>
      <w:r w:rsidRPr="000F589D">
        <w:rPr>
          <w:rFonts w:asciiTheme="majorBidi" w:hAnsiTheme="majorBidi" w:cstheme="majorBidi"/>
          <w:snapToGrid w:val="0"/>
          <w:kern w:val="22"/>
          <w:szCs w:val="22"/>
        </w:rPr>
        <w:t xml:space="preserve"> Undertake context-specific assessments and stocktaking processes to identify existing capacity, and the obstacles preventing its utilization and retention. Likewise, identify and promote incentives that will help retain and fully utilize existing capacity and minimize </w:t>
      </w:r>
      <w:r w:rsidRPr="00CC3733">
        <w:rPr>
          <w:rFonts w:asciiTheme="majorBidi" w:hAnsiTheme="majorBidi" w:cstheme="majorBidi"/>
          <w:snapToGrid w:val="0"/>
          <w:kern w:val="22"/>
          <w:szCs w:val="22"/>
        </w:rPr>
        <w:t>not only loss of expertise and institutional memory, but also discontinuity</w:t>
      </w:r>
      <w:r w:rsidRPr="000F589D">
        <w:rPr>
          <w:rFonts w:asciiTheme="majorBidi" w:hAnsiTheme="majorBidi" w:cstheme="majorBidi"/>
          <w:snapToGrid w:val="0"/>
          <w:kern w:val="22"/>
          <w:szCs w:val="22"/>
        </w:rPr>
        <w:t xml:space="preserve"> of partnerships/relationships built;</w:t>
      </w:r>
      <w:r w:rsidRPr="00610646">
        <w:rPr>
          <w:rStyle w:val="FootnoteReference"/>
        </w:rPr>
        <w:footnoteReference w:id="81"/>
      </w:r>
      <w:bookmarkStart w:id="86" w:name="_Toc39228096"/>
    </w:p>
    <w:p w14:paraId="71C3B5C0"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0F589D">
        <w:rPr>
          <w:rFonts w:asciiTheme="majorBidi" w:hAnsiTheme="majorBidi" w:cstheme="majorBidi"/>
          <w:snapToGrid w:val="0"/>
          <w:kern w:val="22"/>
          <w:szCs w:val="22"/>
        </w:rPr>
        <w:t>(f)</w:t>
      </w:r>
      <w:r w:rsidRPr="000F589D">
        <w:rPr>
          <w:rFonts w:asciiTheme="majorBidi" w:hAnsiTheme="majorBidi" w:cstheme="majorBidi"/>
          <w:snapToGrid w:val="0"/>
          <w:kern w:val="22"/>
          <w:szCs w:val="22"/>
        </w:rPr>
        <w:tab/>
      </w:r>
      <w:r w:rsidRPr="000F589D">
        <w:rPr>
          <w:rFonts w:asciiTheme="majorBidi" w:hAnsiTheme="majorBidi" w:cstheme="majorBidi"/>
          <w:i/>
          <w:snapToGrid w:val="0"/>
          <w:kern w:val="22"/>
          <w:szCs w:val="22"/>
        </w:rPr>
        <w:t>Develop thematic and regional and/or subregional capacity</w:t>
      </w:r>
      <w:r w:rsidRPr="000F589D">
        <w:rPr>
          <w:rFonts w:asciiTheme="majorBidi" w:hAnsiTheme="majorBidi" w:cstheme="majorBidi"/>
          <w:i/>
          <w:snapToGrid w:val="0"/>
          <w:kern w:val="22"/>
          <w:szCs w:val="22"/>
        </w:rPr>
        <w:noBreakHyphen/>
        <w:t>building and development action plans and programmes</w:t>
      </w:r>
      <w:bookmarkEnd w:id="86"/>
      <w:r w:rsidRPr="004D32B6">
        <w:rPr>
          <w:rFonts w:asciiTheme="majorBidi" w:hAnsiTheme="majorBidi" w:cstheme="majorBidi"/>
          <w:iCs/>
          <w:snapToGrid w:val="0"/>
          <w:kern w:val="22"/>
          <w:szCs w:val="22"/>
        </w:rPr>
        <w:t>.</w:t>
      </w:r>
      <w:r w:rsidRPr="000F589D">
        <w:rPr>
          <w:rFonts w:asciiTheme="majorBidi" w:hAnsiTheme="majorBidi" w:cstheme="majorBidi"/>
          <w:snapToGrid w:val="0"/>
          <w:kern w:val="22"/>
          <w:szCs w:val="22"/>
        </w:rPr>
        <w:t xml:space="preserve"> It is recommended that, following the adoption of the </w:t>
      </w:r>
      <w:r>
        <w:rPr>
          <w:rFonts w:asciiTheme="majorBidi" w:hAnsiTheme="majorBidi" w:cstheme="majorBidi"/>
          <w:snapToGrid w:val="0"/>
          <w:kern w:val="22"/>
          <w:szCs w:val="22"/>
        </w:rPr>
        <w:t xml:space="preserve">Kunming-Montreal </w:t>
      </w:r>
      <w:r>
        <w:rPr>
          <w:rFonts w:asciiTheme="majorBidi" w:hAnsiTheme="majorBidi" w:cstheme="majorBidi"/>
          <w:snapToGrid w:val="0"/>
          <w:kern w:val="22"/>
          <w:szCs w:val="22"/>
        </w:rPr>
        <w:lastRenderedPageBreak/>
        <w:t>G</w:t>
      </w:r>
      <w:r w:rsidRPr="000F589D">
        <w:rPr>
          <w:rFonts w:asciiTheme="majorBidi" w:hAnsiTheme="majorBidi" w:cstheme="majorBidi"/>
          <w:snapToGrid w:val="0"/>
          <w:kern w:val="22"/>
          <w:szCs w:val="22"/>
        </w:rPr>
        <w:t xml:space="preserve">lobal </w:t>
      </w:r>
      <w:r>
        <w:rPr>
          <w:rFonts w:asciiTheme="majorBidi" w:hAnsiTheme="majorBidi" w:cstheme="majorBidi"/>
          <w:snapToGrid w:val="0"/>
          <w:kern w:val="22"/>
          <w:szCs w:val="22"/>
        </w:rPr>
        <w:t>B</w:t>
      </w:r>
      <w:r w:rsidRPr="000F589D">
        <w:rPr>
          <w:rFonts w:asciiTheme="majorBidi" w:hAnsiTheme="majorBidi" w:cstheme="majorBidi"/>
          <w:snapToGrid w:val="0"/>
          <w:kern w:val="22"/>
          <w:szCs w:val="22"/>
        </w:rPr>
        <w:t xml:space="preserve">iodiversity </w:t>
      </w:r>
      <w:r>
        <w:rPr>
          <w:rFonts w:asciiTheme="majorBidi" w:hAnsiTheme="majorBidi" w:cstheme="majorBidi"/>
          <w:snapToGrid w:val="0"/>
          <w:kern w:val="22"/>
          <w:szCs w:val="22"/>
        </w:rPr>
        <w:t>F</w:t>
      </w:r>
      <w:r w:rsidRPr="000F589D">
        <w:rPr>
          <w:rFonts w:asciiTheme="majorBidi" w:hAnsiTheme="majorBidi" w:cstheme="majorBidi"/>
          <w:snapToGrid w:val="0"/>
          <w:kern w:val="22"/>
          <w:szCs w:val="22"/>
        </w:rPr>
        <w:t>ramework, thematic capacity</w:t>
      </w:r>
      <w:r w:rsidRPr="000F589D">
        <w:rPr>
          <w:rFonts w:asciiTheme="majorBidi" w:hAnsiTheme="majorBidi" w:cstheme="majorBidi"/>
          <w:snapToGrid w:val="0"/>
          <w:kern w:val="22"/>
          <w:szCs w:val="22"/>
        </w:rPr>
        <w:noBreakHyphen/>
        <w:t>building and development strategies or action plans be developed to support the achievement of the respective targets or groups of related targets. Parties, other governments, biodiversity-related conventions, international organizations and other relevant stakeholders in a position to do so should, as appropriate, consider developing dedicated regional, subregional, national and subnational capacity</w:t>
      </w:r>
      <w:r w:rsidRPr="000F589D">
        <w:rPr>
          <w:rFonts w:asciiTheme="majorBidi" w:hAnsiTheme="majorBidi" w:cstheme="majorBidi"/>
          <w:snapToGrid w:val="0"/>
          <w:kern w:val="22"/>
          <w:szCs w:val="22"/>
        </w:rPr>
        <w:noBreakHyphen/>
        <w:t>building and development action plans and programmes across multiple thematic sectors, with specific capacity targets and indicators;</w:t>
      </w:r>
      <w:bookmarkStart w:id="87" w:name="_Toc39228097"/>
    </w:p>
    <w:p w14:paraId="7C208DB1"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0F589D">
        <w:rPr>
          <w:rFonts w:asciiTheme="majorBidi" w:hAnsiTheme="majorBidi" w:cstheme="majorBidi"/>
          <w:snapToGrid w:val="0"/>
          <w:kern w:val="22"/>
          <w:szCs w:val="22"/>
        </w:rPr>
        <w:t>(g)</w:t>
      </w:r>
      <w:r w:rsidRPr="000F589D">
        <w:rPr>
          <w:rFonts w:asciiTheme="majorBidi" w:hAnsiTheme="majorBidi" w:cstheme="majorBidi"/>
          <w:snapToGrid w:val="0"/>
          <w:kern w:val="22"/>
          <w:szCs w:val="22"/>
        </w:rPr>
        <w:tab/>
      </w:r>
      <w:r w:rsidRPr="000F589D">
        <w:rPr>
          <w:rFonts w:asciiTheme="majorBidi" w:hAnsiTheme="majorBidi" w:cstheme="majorBidi"/>
          <w:i/>
          <w:snapToGrid w:val="0"/>
          <w:kern w:val="22"/>
          <w:szCs w:val="22"/>
        </w:rPr>
        <w:t>Promote partnerships and networks for implementation</w:t>
      </w:r>
      <w:bookmarkEnd w:id="87"/>
      <w:r w:rsidRPr="004D32B6">
        <w:rPr>
          <w:rFonts w:asciiTheme="majorBidi" w:hAnsiTheme="majorBidi" w:cstheme="majorBidi"/>
          <w:iCs/>
          <w:snapToGrid w:val="0"/>
          <w:kern w:val="22"/>
          <w:szCs w:val="22"/>
        </w:rPr>
        <w:t>.</w:t>
      </w:r>
      <w:r w:rsidRPr="000F589D">
        <w:rPr>
          <w:rFonts w:asciiTheme="majorBidi" w:hAnsiTheme="majorBidi" w:cstheme="majorBidi"/>
          <w:snapToGrid w:val="0"/>
          <w:kern w:val="22"/>
          <w:szCs w:val="22"/>
        </w:rPr>
        <w:t xml:space="preserve"> Establish and strengthen partnerships for effective mobilization of capacities and resources; the sharing of existing knowledge, expertise and technologies; and implementation of medium to long-term capacity</w:t>
      </w:r>
      <w:r w:rsidRPr="000F589D">
        <w:rPr>
          <w:rFonts w:asciiTheme="majorBidi" w:hAnsiTheme="majorBidi" w:cstheme="majorBidi"/>
          <w:snapToGrid w:val="0"/>
          <w:kern w:val="22"/>
          <w:szCs w:val="22"/>
        </w:rPr>
        <w:noBreakHyphen/>
        <w:t xml:space="preserve">building and development programmes on specific issues related to the </w:t>
      </w:r>
      <w:r w:rsidRPr="004D32B6">
        <w:rPr>
          <w:rFonts w:asciiTheme="majorBidi" w:hAnsiTheme="majorBidi" w:cstheme="majorBidi"/>
          <w:snapToGrid w:val="0"/>
          <w:kern w:val="22"/>
          <w:szCs w:val="22"/>
        </w:rPr>
        <w:t xml:space="preserve">targets of the </w:t>
      </w:r>
      <w:r w:rsidRPr="00E53D1D">
        <w:rPr>
          <w:rFonts w:asciiTheme="majorBidi" w:hAnsiTheme="majorBidi" w:cstheme="majorBidi"/>
          <w:snapToGrid w:val="0"/>
          <w:kern w:val="22"/>
          <w:szCs w:val="22"/>
        </w:rPr>
        <w:t>Kunming-Montreal</w:t>
      </w:r>
      <w:r w:rsidRPr="004D32B6">
        <w:rPr>
          <w:rFonts w:asciiTheme="majorBidi" w:hAnsiTheme="majorBidi" w:cstheme="majorBidi"/>
          <w:snapToGrid w:val="0"/>
          <w:kern w:val="22"/>
          <w:szCs w:val="22"/>
        </w:rPr>
        <w:t xml:space="preserve"> Global Biodiversity Framework</w:t>
      </w:r>
      <w:r w:rsidRPr="00E53D1D">
        <w:rPr>
          <w:rFonts w:asciiTheme="majorBidi" w:hAnsiTheme="majorBidi" w:cstheme="majorBidi"/>
          <w:snapToGrid w:val="0"/>
          <w:kern w:val="22"/>
          <w:szCs w:val="22"/>
        </w:rPr>
        <w:t>, in line with national priorities;</w:t>
      </w:r>
    </w:p>
    <w:p w14:paraId="07E8C4C0"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0F589D">
        <w:rPr>
          <w:rFonts w:asciiTheme="majorBidi" w:hAnsiTheme="majorBidi" w:cstheme="majorBidi"/>
          <w:snapToGrid w:val="0"/>
          <w:kern w:val="22"/>
          <w:szCs w:val="22"/>
        </w:rPr>
        <w:t>(h)</w:t>
      </w:r>
      <w:r w:rsidRPr="000F589D">
        <w:rPr>
          <w:rFonts w:asciiTheme="majorBidi" w:hAnsiTheme="majorBidi" w:cstheme="majorBidi"/>
          <w:snapToGrid w:val="0"/>
          <w:kern w:val="22"/>
          <w:szCs w:val="22"/>
        </w:rPr>
        <w:tab/>
      </w:r>
      <w:r w:rsidRPr="000F589D">
        <w:rPr>
          <w:rFonts w:asciiTheme="majorBidi" w:hAnsiTheme="majorBidi" w:cstheme="majorBidi"/>
          <w:i/>
          <w:snapToGrid w:val="0"/>
          <w:kern w:val="22"/>
          <w:szCs w:val="22"/>
        </w:rPr>
        <w:t>Enhance synergies between capacity</w:t>
      </w:r>
      <w:r w:rsidRPr="000F589D">
        <w:rPr>
          <w:rFonts w:asciiTheme="majorBidi" w:hAnsiTheme="majorBidi" w:cstheme="majorBidi"/>
          <w:i/>
          <w:snapToGrid w:val="0"/>
          <w:kern w:val="22"/>
          <w:szCs w:val="22"/>
        </w:rPr>
        <w:noBreakHyphen/>
        <w:t>building and development efforts of relevant processes</w:t>
      </w:r>
      <w:r w:rsidRPr="004D32B6">
        <w:rPr>
          <w:rFonts w:asciiTheme="majorBidi" w:hAnsiTheme="majorBidi" w:cstheme="majorBidi"/>
          <w:iCs/>
          <w:snapToGrid w:val="0"/>
          <w:kern w:val="22"/>
          <w:szCs w:val="22"/>
        </w:rPr>
        <w:t>.</w:t>
      </w:r>
      <w:r w:rsidRPr="000F589D">
        <w:rPr>
          <w:rFonts w:asciiTheme="majorBidi" w:hAnsiTheme="majorBidi" w:cstheme="majorBidi"/>
          <w:snapToGrid w:val="0"/>
          <w:kern w:val="22"/>
          <w:szCs w:val="22"/>
        </w:rPr>
        <w:t xml:space="preserve"> Enhance synergies with the capacity</w:t>
      </w:r>
      <w:r w:rsidRPr="000F589D">
        <w:rPr>
          <w:rFonts w:asciiTheme="majorBidi" w:hAnsiTheme="majorBidi" w:cstheme="majorBidi"/>
          <w:snapToGrid w:val="0"/>
          <w:kern w:val="22"/>
          <w:szCs w:val="22"/>
        </w:rPr>
        <w:noBreakHyphen/>
        <w:t xml:space="preserve">building and development initiatives </w:t>
      </w:r>
      <w:r>
        <w:rPr>
          <w:rFonts w:asciiTheme="majorBidi" w:hAnsiTheme="majorBidi" w:cstheme="majorBidi"/>
          <w:snapToGrid w:val="0"/>
          <w:kern w:val="22"/>
          <w:szCs w:val="22"/>
        </w:rPr>
        <w:t xml:space="preserve">and the </w:t>
      </w:r>
      <w:r w:rsidRPr="000F589D">
        <w:rPr>
          <w:rFonts w:asciiTheme="majorBidi" w:hAnsiTheme="majorBidi" w:cstheme="majorBidi"/>
          <w:snapToGrid w:val="0"/>
          <w:kern w:val="22"/>
          <w:szCs w:val="22"/>
        </w:rPr>
        <w:t xml:space="preserve">implementation processes of </w:t>
      </w:r>
      <w:r>
        <w:rPr>
          <w:rFonts w:asciiTheme="majorBidi" w:hAnsiTheme="majorBidi" w:cstheme="majorBidi"/>
          <w:snapToGrid w:val="0"/>
          <w:kern w:val="22"/>
          <w:szCs w:val="22"/>
        </w:rPr>
        <w:t xml:space="preserve">the </w:t>
      </w:r>
      <w:r w:rsidRPr="000F589D">
        <w:rPr>
          <w:rFonts w:asciiTheme="majorBidi" w:hAnsiTheme="majorBidi" w:cstheme="majorBidi"/>
          <w:snapToGrid w:val="0"/>
          <w:kern w:val="22"/>
          <w:szCs w:val="22"/>
        </w:rPr>
        <w:t xml:space="preserve">biodiversity-related conventions, the Rio conventions and the </w:t>
      </w:r>
      <w:r>
        <w:rPr>
          <w:rFonts w:asciiTheme="majorBidi" w:hAnsiTheme="majorBidi" w:cstheme="majorBidi"/>
          <w:snapToGrid w:val="0"/>
          <w:kern w:val="22"/>
          <w:szCs w:val="22"/>
        </w:rPr>
        <w:t xml:space="preserve">2030 Agenda for </w:t>
      </w:r>
      <w:r w:rsidRPr="000F589D">
        <w:rPr>
          <w:rFonts w:asciiTheme="majorBidi" w:hAnsiTheme="majorBidi" w:cstheme="majorBidi"/>
          <w:snapToGrid w:val="0"/>
          <w:kern w:val="22"/>
          <w:szCs w:val="22"/>
        </w:rPr>
        <w:t>Sustainable Development</w:t>
      </w:r>
      <w:r>
        <w:rPr>
          <w:rFonts w:asciiTheme="majorBidi" w:hAnsiTheme="majorBidi" w:cstheme="majorBidi"/>
          <w:snapToGrid w:val="0"/>
          <w:kern w:val="22"/>
          <w:szCs w:val="22"/>
        </w:rPr>
        <w:t>,</w:t>
      </w:r>
      <w:r w:rsidRPr="000F589D">
        <w:rPr>
          <w:rFonts w:asciiTheme="majorBidi" w:hAnsiTheme="majorBidi" w:cstheme="majorBidi"/>
          <w:snapToGrid w:val="0"/>
          <w:kern w:val="22"/>
          <w:szCs w:val="22"/>
        </w:rPr>
        <w:t xml:space="preserve"> at the global, regional and national levels. At the national level, the focal points of relevant conventions and processes, and of funding mechanisms, such as the Global Environment Facility and the Green Climate Fund, should consider establishing a mechanism to foster integrated and/or coordinated planning, programming, monitoring and evaluation, as appropriate;</w:t>
      </w:r>
    </w:p>
    <w:p w14:paraId="07D0C090" w14:textId="77777777" w:rsidR="008C379F" w:rsidRPr="002A6BB5"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0F589D">
        <w:rPr>
          <w:rFonts w:asciiTheme="majorBidi" w:hAnsiTheme="majorBidi" w:cstheme="majorBidi"/>
          <w:snapToGrid w:val="0"/>
          <w:kern w:val="22"/>
          <w:szCs w:val="22"/>
        </w:rPr>
        <w:t>(i)</w:t>
      </w:r>
      <w:r w:rsidRPr="000F589D">
        <w:rPr>
          <w:rFonts w:asciiTheme="majorBidi" w:hAnsiTheme="majorBidi" w:cstheme="majorBidi"/>
          <w:snapToGrid w:val="0"/>
          <w:kern w:val="22"/>
          <w:szCs w:val="22"/>
        </w:rPr>
        <w:tab/>
      </w:r>
      <w:r w:rsidRPr="000F589D">
        <w:rPr>
          <w:rFonts w:asciiTheme="majorBidi" w:hAnsiTheme="majorBidi" w:cstheme="majorBidi"/>
          <w:i/>
          <w:szCs w:val="22"/>
        </w:rPr>
        <w:t xml:space="preserve">Promote North-South </w:t>
      </w:r>
      <w:r w:rsidRPr="002A6BB5">
        <w:rPr>
          <w:rFonts w:asciiTheme="majorBidi" w:hAnsiTheme="majorBidi" w:cstheme="majorBidi"/>
          <w:i/>
          <w:szCs w:val="22"/>
        </w:rPr>
        <w:t>cooperation.</w:t>
      </w:r>
      <w:r w:rsidRPr="002A6BB5">
        <w:rPr>
          <w:rFonts w:asciiTheme="majorBidi" w:hAnsiTheme="majorBidi" w:cstheme="majorBidi"/>
          <w:szCs w:val="22"/>
        </w:rPr>
        <w:t xml:space="preserve"> Support capacity</w:t>
      </w:r>
      <w:r w:rsidRPr="002A6BB5">
        <w:rPr>
          <w:rFonts w:asciiTheme="majorBidi" w:hAnsiTheme="majorBidi" w:cstheme="majorBidi"/>
          <w:szCs w:val="22"/>
        </w:rPr>
        <w:noBreakHyphen/>
        <w:t>building and development in developing countries, with a view to addressing institutional and technical constraints that could undermine access to and transfer of technology, access to scientific and technical cooperation, and the effective participation in biotechnological research, in line with Article 19 of the Convention. This could include joint research programmes and joint ventures for the development of technologies that are relevant to the conservation and sustainable use of biological diversity;</w:t>
      </w:r>
    </w:p>
    <w:p w14:paraId="6E77FA60"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2A6BB5">
        <w:rPr>
          <w:rFonts w:asciiTheme="majorBidi" w:hAnsiTheme="majorBidi" w:cstheme="majorBidi"/>
          <w:snapToGrid w:val="0"/>
          <w:kern w:val="22"/>
          <w:szCs w:val="22"/>
        </w:rPr>
        <w:t>(j)</w:t>
      </w:r>
      <w:r w:rsidRPr="002A6BB5">
        <w:rPr>
          <w:rFonts w:asciiTheme="majorBidi" w:hAnsiTheme="majorBidi" w:cstheme="majorBidi"/>
          <w:snapToGrid w:val="0"/>
          <w:kern w:val="22"/>
          <w:szCs w:val="22"/>
        </w:rPr>
        <w:tab/>
      </w:r>
      <w:r w:rsidRPr="002A6BB5">
        <w:rPr>
          <w:rFonts w:asciiTheme="majorBidi" w:hAnsiTheme="majorBidi" w:cstheme="majorBidi"/>
          <w:i/>
          <w:snapToGrid w:val="0"/>
          <w:kern w:val="22"/>
          <w:szCs w:val="22"/>
        </w:rPr>
        <w:t>Promote South-South and triangular cooperation.</w:t>
      </w:r>
      <w:r w:rsidRPr="002A6BB5">
        <w:rPr>
          <w:rFonts w:asciiTheme="majorBidi" w:hAnsiTheme="majorBidi" w:cstheme="majorBidi"/>
          <w:snapToGrid w:val="0"/>
          <w:kern w:val="22"/>
          <w:szCs w:val="22"/>
        </w:rPr>
        <w:t xml:space="preserve"> Support capacity</w:t>
      </w:r>
      <w:r w:rsidRPr="002A6BB5">
        <w:rPr>
          <w:rFonts w:asciiTheme="majorBidi" w:hAnsiTheme="majorBidi" w:cstheme="majorBidi"/>
          <w:snapToGrid w:val="0"/>
          <w:kern w:val="22"/>
          <w:szCs w:val="22"/>
        </w:rPr>
        <w:noBreakHyphen/>
        <w:t>building and development in developing countries that have common challenges and share similar characteristics (e.g. economic and social conditions and language)</w:t>
      </w:r>
      <w:r w:rsidRPr="002A6BB5">
        <w:rPr>
          <w:rFonts w:asciiTheme="majorBidi" w:hAnsiTheme="majorBidi" w:cstheme="majorBidi"/>
          <w:szCs w:val="22"/>
        </w:rPr>
        <w:t>, as a complement and not a substitute to North-South cooperation</w:t>
      </w:r>
      <w:r w:rsidRPr="002A6BB5">
        <w:rPr>
          <w:rFonts w:asciiTheme="majorBidi" w:hAnsiTheme="majorBidi" w:cstheme="majorBidi"/>
          <w:snapToGrid w:val="0"/>
          <w:kern w:val="22"/>
          <w:szCs w:val="22"/>
        </w:rPr>
        <w:t>. This could include sharing of knowledge, expertise, technologies and resources and establishment of regional nodes, networks or centres of excellence;</w:t>
      </w:r>
    </w:p>
    <w:p w14:paraId="0BCD1935"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0F589D">
        <w:rPr>
          <w:rFonts w:asciiTheme="majorBidi" w:hAnsiTheme="majorBidi" w:cstheme="majorBidi"/>
          <w:snapToGrid w:val="0"/>
          <w:kern w:val="22"/>
          <w:szCs w:val="22"/>
        </w:rPr>
        <w:t>(k)</w:t>
      </w:r>
      <w:r w:rsidRPr="000F589D">
        <w:rPr>
          <w:rFonts w:asciiTheme="majorBidi" w:hAnsiTheme="majorBidi" w:cstheme="majorBidi"/>
          <w:snapToGrid w:val="0"/>
          <w:kern w:val="22"/>
          <w:szCs w:val="22"/>
        </w:rPr>
        <w:tab/>
      </w:r>
      <w:r w:rsidRPr="000F589D">
        <w:rPr>
          <w:rFonts w:asciiTheme="majorBidi" w:hAnsiTheme="majorBidi" w:cstheme="majorBidi"/>
          <w:i/>
          <w:snapToGrid w:val="0"/>
          <w:kern w:val="22"/>
          <w:szCs w:val="22"/>
        </w:rPr>
        <w:t>Engage the private sector</w:t>
      </w:r>
      <w:r w:rsidRPr="004D32B6">
        <w:rPr>
          <w:rFonts w:asciiTheme="majorBidi" w:hAnsiTheme="majorBidi" w:cstheme="majorBidi"/>
          <w:iCs/>
          <w:snapToGrid w:val="0"/>
          <w:kern w:val="22"/>
          <w:szCs w:val="22"/>
        </w:rPr>
        <w:t>.</w:t>
      </w:r>
      <w:r w:rsidRPr="000F589D">
        <w:rPr>
          <w:rFonts w:asciiTheme="majorBidi" w:hAnsiTheme="majorBidi" w:cstheme="majorBidi"/>
          <w:snapToGrid w:val="0"/>
          <w:kern w:val="22"/>
          <w:szCs w:val="22"/>
        </w:rPr>
        <w:t xml:space="preserve"> Engage the private sector, proactively and as appropriate, in the development of national capacities, as many technical and financial resources and relevant expertise and technologies lie in the hands of private entities. In doing so, ensure transparency and accountability. Also strengthen the capacity of small and medium enterprises to address biodiversity-related issues;</w:t>
      </w:r>
      <w:bookmarkStart w:id="88" w:name="_Toc39228098"/>
    </w:p>
    <w:p w14:paraId="564CC21F" w14:textId="77777777" w:rsidR="008C379F" w:rsidRPr="000F589D" w:rsidRDefault="008C379F" w:rsidP="00A30041">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0F589D">
        <w:rPr>
          <w:rFonts w:asciiTheme="majorBidi" w:hAnsiTheme="majorBidi" w:cstheme="majorBidi"/>
          <w:snapToGrid w:val="0"/>
          <w:kern w:val="22"/>
          <w:szCs w:val="22"/>
        </w:rPr>
        <w:t>(l)</w:t>
      </w:r>
      <w:r w:rsidRPr="000F589D">
        <w:rPr>
          <w:rFonts w:asciiTheme="majorBidi" w:hAnsiTheme="majorBidi" w:cstheme="majorBidi"/>
          <w:snapToGrid w:val="0"/>
          <w:kern w:val="22"/>
          <w:szCs w:val="22"/>
        </w:rPr>
        <w:tab/>
      </w:r>
      <w:r w:rsidRPr="000F589D">
        <w:rPr>
          <w:rFonts w:asciiTheme="majorBidi" w:hAnsiTheme="majorBidi" w:cstheme="majorBidi"/>
          <w:i/>
          <w:snapToGrid w:val="0"/>
          <w:kern w:val="22"/>
          <w:szCs w:val="22"/>
        </w:rPr>
        <w:t xml:space="preserve">Strengthen </w:t>
      </w:r>
      <w:bookmarkEnd w:id="88"/>
      <w:r w:rsidRPr="000F589D">
        <w:rPr>
          <w:rFonts w:asciiTheme="majorBidi" w:hAnsiTheme="majorBidi" w:cstheme="majorBidi"/>
          <w:i/>
          <w:snapToGrid w:val="0"/>
          <w:kern w:val="22"/>
          <w:szCs w:val="22"/>
        </w:rPr>
        <w:t>the monitoring and evaluation of capacity</w:t>
      </w:r>
      <w:r w:rsidRPr="000F589D">
        <w:rPr>
          <w:rFonts w:asciiTheme="majorBidi" w:hAnsiTheme="majorBidi" w:cstheme="majorBidi"/>
          <w:i/>
          <w:snapToGrid w:val="0"/>
          <w:kern w:val="22"/>
          <w:szCs w:val="22"/>
        </w:rPr>
        <w:noBreakHyphen/>
        <w:t>building and development interventions</w:t>
      </w:r>
      <w:r w:rsidRPr="004D32B6">
        <w:rPr>
          <w:rFonts w:asciiTheme="majorBidi" w:hAnsiTheme="majorBidi" w:cstheme="majorBidi"/>
          <w:iCs/>
          <w:snapToGrid w:val="0"/>
          <w:kern w:val="22"/>
          <w:szCs w:val="22"/>
        </w:rPr>
        <w:t>.</w:t>
      </w:r>
      <w:r w:rsidRPr="000F589D">
        <w:rPr>
          <w:rFonts w:asciiTheme="majorBidi" w:hAnsiTheme="majorBidi" w:cstheme="majorBidi"/>
          <w:snapToGrid w:val="0"/>
          <w:kern w:val="22"/>
          <w:szCs w:val="22"/>
        </w:rPr>
        <w:t xml:space="preserve"> Develop and implement adaptive management systems for monitoring and evaluation of biodiversity capacity</w:t>
      </w:r>
      <w:r w:rsidRPr="000F589D">
        <w:rPr>
          <w:rFonts w:asciiTheme="majorBidi" w:hAnsiTheme="majorBidi" w:cstheme="majorBidi"/>
          <w:snapToGrid w:val="0"/>
          <w:kern w:val="22"/>
          <w:szCs w:val="22"/>
        </w:rPr>
        <w:noBreakHyphen/>
        <w:t>building and development efforts, to assess whether the intended capacity results are achieved in an impactful and sustainable manner, to identify and correct mistakes, and to capture and share good practices and lessons.</w:t>
      </w:r>
    </w:p>
    <w:p w14:paraId="59BFFE1F" w14:textId="77777777" w:rsidR="008C379F" w:rsidRPr="000F589D" w:rsidRDefault="008C379F" w:rsidP="002D60F3">
      <w:pPr>
        <w:keepNext/>
        <w:suppressLineNumbers/>
        <w:tabs>
          <w:tab w:val="left" w:pos="284"/>
        </w:tabs>
        <w:suppressAutoHyphens/>
        <w:spacing w:before="240" w:after="120"/>
        <w:jc w:val="center"/>
        <w:rPr>
          <w:rFonts w:asciiTheme="majorBidi" w:hAnsiTheme="majorBidi" w:cstheme="majorBidi"/>
          <w:b/>
          <w:caps/>
          <w:color w:val="000000"/>
          <w:szCs w:val="22"/>
          <w:lang w:eastAsia="zh-CN"/>
        </w:rPr>
      </w:pPr>
      <w:bookmarkStart w:id="89" w:name="_Toc57214902"/>
      <w:r w:rsidRPr="000F589D">
        <w:rPr>
          <w:rFonts w:asciiTheme="majorBidi" w:hAnsiTheme="majorBidi" w:cstheme="majorBidi"/>
          <w:b/>
          <w:caps/>
          <w:color w:val="000000"/>
          <w:szCs w:val="22"/>
          <w:lang w:eastAsia="zh-CN"/>
        </w:rPr>
        <w:t>V.</w:t>
      </w:r>
      <w:r w:rsidRPr="000F589D">
        <w:rPr>
          <w:rFonts w:asciiTheme="majorBidi" w:hAnsiTheme="majorBidi" w:cstheme="majorBidi"/>
          <w:b/>
          <w:caps/>
          <w:color w:val="000000"/>
          <w:szCs w:val="22"/>
          <w:lang w:eastAsia="zh-CN"/>
        </w:rPr>
        <w:tab/>
      </w:r>
      <w:r>
        <w:rPr>
          <w:rFonts w:asciiTheme="majorBidi" w:hAnsiTheme="majorBidi" w:cstheme="majorBidi"/>
          <w:b/>
          <w:caps/>
          <w:color w:val="000000"/>
          <w:szCs w:val="22"/>
          <w:lang w:eastAsia="zh-CN"/>
        </w:rPr>
        <w:tab/>
      </w:r>
      <w:r w:rsidRPr="000F589D">
        <w:rPr>
          <w:rFonts w:asciiTheme="majorBidi" w:hAnsiTheme="majorBidi" w:cstheme="majorBidi"/>
          <w:b/>
          <w:caps/>
          <w:color w:val="000000"/>
          <w:szCs w:val="22"/>
          <w:lang w:eastAsia="zh-CN"/>
        </w:rPr>
        <w:t>Mechanisms for implementation</w:t>
      </w:r>
      <w:bookmarkEnd w:id="89"/>
    </w:p>
    <w:p w14:paraId="3584C374" w14:textId="77777777" w:rsidR="008C379F" w:rsidRPr="00981752" w:rsidRDefault="008C379F" w:rsidP="002D60F3">
      <w:pPr>
        <w:pStyle w:val="heading2notforTOC"/>
        <w:outlineLvl w:val="9"/>
        <w:rPr>
          <w:rFonts w:asciiTheme="majorBidi" w:hAnsiTheme="majorBidi" w:cstheme="majorBidi"/>
          <w:b/>
          <w:bCs/>
          <w:i w:val="0"/>
          <w:iCs w:val="0"/>
          <w:snapToGrid w:val="0"/>
          <w:kern w:val="22"/>
          <w:szCs w:val="22"/>
        </w:rPr>
      </w:pPr>
      <w:bookmarkStart w:id="90" w:name="_Toc57214903"/>
      <w:r w:rsidRPr="00981752">
        <w:rPr>
          <w:rFonts w:asciiTheme="majorBidi" w:hAnsiTheme="majorBidi" w:cstheme="majorBidi"/>
          <w:b/>
          <w:bCs/>
          <w:i w:val="0"/>
          <w:iCs w:val="0"/>
          <w:snapToGrid w:val="0"/>
          <w:szCs w:val="22"/>
        </w:rPr>
        <w:t>A.</w:t>
      </w:r>
      <w:r w:rsidRPr="00981752">
        <w:rPr>
          <w:rFonts w:asciiTheme="majorBidi" w:hAnsiTheme="majorBidi" w:cstheme="majorBidi"/>
          <w:b/>
          <w:bCs/>
          <w:i w:val="0"/>
          <w:iCs w:val="0"/>
          <w:snapToGrid w:val="0"/>
          <w:szCs w:val="22"/>
        </w:rPr>
        <w:tab/>
        <w:t>Governance and coordination mechanisms</w:t>
      </w:r>
      <w:bookmarkEnd w:id="90"/>
    </w:p>
    <w:p w14:paraId="414B0AF6" w14:textId="77777777" w:rsidR="008C379F" w:rsidRPr="000F589D" w:rsidRDefault="008C379F" w:rsidP="00A30041">
      <w:pPr>
        <w:pStyle w:val="Para1"/>
        <w:numPr>
          <w:ilvl w:val="0"/>
          <w:numId w:val="0"/>
        </w:numPr>
        <w:suppressLineNumbers/>
        <w:tabs>
          <w:tab w:val="left" w:pos="720"/>
        </w:tabs>
        <w:suppressAutoHyphens/>
        <w:kinsoku w:val="0"/>
        <w:adjustRightInd w:val="0"/>
        <w:spacing w:line="230" w:lineRule="auto"/>
        <w:rPr>
          <w:rFonts w:asciiTheme="majorBidi" w:hAnsiTheme="majorBidi" w:cstheme="majorBidi"/>
          <w:snapToGrid/>
        </w:rPr>
      </w:pPr>
      <w:r w:rsidRPr="000F589D">
        <w:rPr>
          <w:rFonts w:asciiTheme="majorBidi" w:hAnsiTheme="majorBidi" w:cstheme="majorBidi"/>
          <w:snapToGrid/>
        </w:rPr>
        <w:t>10.</w:t>
      </w:r>
      <w:r w:rsidRPr="000F589D">
        <w:rPr>
          <w:rFonts w:asciiTheme="majorBidi" w:hAnsiTheme="majorBidi" w:cstheme="majorBidi"/>
          <w:snapToGrid/>
        </w:rPr>
        <w:tab/>
      </w:r>
      <w:r w:rsidRPr="000F589D">
        <w:rPr>
          <w:rFonts w:asciiTheme="majorBidi" w:hAnsiTheme="majorBidi" w:cstheme="majorBidi"/>
        </w:rPr>
        <w:t>There is a need for mechanisms that could provide strategic leadership and foster coordinated capacity</w:t>
      </w:r>
      <w:r w:rsidRPr="000F589D">
        <w:rPr>
          <w:rFonts w:asciiTheme="majorBidi" w:hAnsiTheme="majorBidi" w:cstheme="majorBidi"/>
        </w:rPr>
        <w:noBreakHyphen/>
        <w:t>building and development action for biodiversity at the global, regional and national levels. Specifically, the roles of such mechanisms may include: (a) enhancing synergy, by facilitating inter-agency coordination and cooperation among relevant organizations, initiatives, and funding agencies; (b) providing guidance and advice</w:t>
      </w:r>
      <w:r w:rsidRPr="000F589D" w:rsidDel="00BA3FE1">
        <w:rPr>
          <w:rFonts w:asciiTheme="majorBidi" w:hAnsiTheme="majorBidi" w:cstheme="majorBidi"/>
        </w:rPr>
        <w:t xml:space="preserve"> </w:t>
      </w:r>
      <w:r w:rsidRPr="000F589D">
        <w:rPr>
          <w:rFonts w:asciiTheme="majorBidi" w:hAnsiTheme="majorBidi" w:cstheme="majorBidi"/>
        </w:rPr>
        <w:t>to government and non-government actors; (c) promoting strategic and coherent approaches to capacity</w:t>
      </w:r>
      <w:r w:rsidRPr="000F589D">
        <w:rPr>
          <w:rFonts w:asciiTheme="majorBidi" w:hAnsiTheme="majorBidi" w:cstheme="majorBidi"/>
        </w:rPr>
        <w:noBreakHyphen/>
        <w:t>building and development; (d) fostering partnerships and multi-stakeholder initiatives; (e) identifying opportunities to mobilize additional resources for biodiversity capacity</w:t>
      </w:r>
      <w:r w:rsidRPr="000F589D">
        <w:rPr>
          <w:rFonts w:asciiTheme="majorBidi" w:hAnsiTheme="majorBidi" w:cstheme="majorBidi"/>
        </w:rPr>
        <w:noBreakHyphen/>
        <w:t xml:space="preserve">building </w:t>
      </w:r>
      <w:r w:rsidRPr="000F589D">
        <w:rPr>
          <w:rFonts w:asciiTheme="majorBidi" w:hAnsiTheme="majorBidi" w:cstheme="majorBidi"/>
        </w:rPr>
        <w:lastRenderedPageBreak/>
        <w:t>and development efforts</w:t>
      </w:r>
      <w:bookmarkStart w:id="91" w:name="_Hlk50342860"/>
      <w:r w:rsidRPr="000F589D">
        <w:rPr>
          <w:rFonts w:asciiTheme="majorBidi" w:hAnsiTheme="majorBidi" w:cstheme="majorBidi"/>
        </w:rPr>
        <w:t>; and (f)</w:t>
      </w:r>
      <w:bookmarkStart w:id="92" w:name="_Hlk50348775"/>
      <w:r w:rsidRPr="000F589D">
        <w:rPr>
          <w:rFonts w:asciiTheme="majorBidi" w:hAnsiTheme="majorBidi" w:cstheme="majorBidi"/>
        </w:rPr>
        <w:t> proposing innovative ideas to improve and advance the implementation of the long-term strategic framework</w:t>
      </w:r>
      <w:bookmarkEnd w:id="92"/>
      <w:r w:rsidRPr="000F589D">
        <w:rPr>
          <w:rFonts w:asciiTheme="majorBidi" w:hAnsiTheme="majorBidi" w:cstheme="majorBidi"/>
        </w:rPr>
        <w:t>.</w:t>
      </w:r>
      <w:bookmarkEnd w:id="91"/>
    </w:p>
    <w:p w14:paraId="76F066B1" w14:textId="77777777" w:rsidR="008C379F" w:rsidRPr="000F589D" w:rsidRDefault="008C379F" w:rsidP="00541EA7">
      <w:pPr>
        <w:pStyle w:val="Para1"/>
        <w:numPr>
          <w:ilvl w:val="0"/>
          <w:numId w:val="0"/>
        </w:numPr>
        <w:suppressLineNumbers/>
        <w:tabs>
          <w:tab w:val="left" w:pos="720"/>
        </w:tabs>
        <w:suppressAutoHyphens/>
        <w:kinsoku w:val="0"/>
        <w:adjustRightInd w:val="0"/>
        <w:spacing w:line="230" w:lineRule="auto"/>
        <w:rPr>
          <w:rFonts w:asciiTheme="majorBidi" w:hAnsiTheme="majorBidi" w:cstheme="majorBidi"/>
        </w:rPr>
      </w:pPr>
      <w:r w:rsidRPr="000F589D">
        <w:rPr>
          <w:rFonts w:asciiTheme="majorBidi" w:hAnsiTheme="majorBidi" w:cstheme="majorBidi"/>
        </w:rPr>
        <w:t>11.</w:t>
      </w:r>
      <w:r w:rsidRPr="000F589D">
        <w:rPr>
          <w:rFonts w:asciiTheme="majorBidi" w:hAnsiTheme="majorBidi" w:cstheme="majorBidi"/>
        </w:rPr>
        <w:tab/>
        <w:t xml:space="preserve">At the global level, the above roles will be accomplished through </w:t>
      </w:r>
      <w:bookmarkStart w:id="93" w:name="_Hlk50335725"/>
      <w:r w:rsidRPr="000F589D">
        <w:rPr>
          <w:rFonts w:asciiTheme="majorBidi" w:hAnsiTheme="majorBidi" w:cstheme="majorBidi"/>
        </w:rPr>
        <w:t>the establishment of a capacity</w:t>
      </w:r>
      <w:r w:rsidRPr="000F589D">
        <w:rPr>
          <w:rFonts w:asciiTheme="majorBidi" w:hAnsiTheme="majorBidi" w:cstheme="majorBidi"/>
        </w:rPr>
        <w:noBreakHyphen/>
        <w:t xml:space="preserve">building and development committee under the </w:t>
      </w:r>
      <w:r>
        <w:rPr>
          <w:rFonts w:asciiTheme="majorBidi" w:hAnsiTheme="majorBidi" w:cstheme="majorBidi"/>
        </w:rPr>
        <w:t>I</w:t>
      </w:r>
      <w:r w:rsidRPr="000F589D">
        <w:rPr>
          <w:rFonts w:asciiTheme="majorBidi" w:hAnsiTheme="majorBidi" w:cstheme="majorBidi"/>
        </w:rPr>
        <w:t xml:space="preserve">nformal </w:t>
      </w:r>
      <w:r>
        <w:rPr>
          <w:rFonts w:asciiTheme="majorBidi" w:hAnsiTheme="majorBidi" w:cstheme="majorBidi"/>
        </w:rPr>
        <w:t>A</w:t>
      </w:r>
      <w:r w:rsidRPr="000F589D">
        <w:rPr>
          <w:rFonts w:asciiTheme="majorBidi" w:hAnsiTheme="majorBidi" w:cstheme="majorBidi"/>
        </w:rPr>
        <w:t xml:space="preserve">dvisory </w:t>
      </w:r>
      <w:r>
        <w:rPr>
          <w:rFonts w:asciiTheme="majorBidi" w:hAnsiTheme="majorBidi" w:cstheme="majorBidi"/>
        </w:rPr>
        <w:t>G</w:t>
      </w:r>
      <w:r w:rsidRPr="000F589D">
        <w:rPr>
          <w:rFonts w:asciiTheme="majorBidi" w:hAnsiTheme="majorBidi" w:cstheme="majorBidi"/>
        </w:rPr>
        <w:t xml:space="preserve">roup on </w:t>
      </w:r>
      <w:r>
        <w:rPr>
          <w:rFonts w:asciiTheme="majorBidi" w:hAnsiTheme="majorBidi" w:cstheme="majorBidi"/>
        </w:rPr>
        <w:t>T</w:t>
      </w:r>
      <w:r w:rsidRPr="000F589D">
        <w:rPr>
          <w:rFonts w:asciiTheme="majorBidi" w:hAnsiTheme="majorBidi" w:cstheme="majorBidi"/>
        </w:rPr>
        <w:t xml:space="preserve">echnical and </w:t>
      </w:r>
      <w:r>
        <w:rPr>
          <w:rFonts w:asciiTheme="majorBidi" w:hAnsiTheme="majorBidi" w:cstheme="majorBidi"/>
        </w:rPr>
        <w:t>S</w:t>
      </w:r>
      <w:r w:rsidRPr="000F589D">
        <w:rPr>
          <w:rFonts w:asciiTheme="majorBidi" w:hAnsiTheme="majorBidi" w:cstheme="majorBidi"/>
        </w:rPr>
        <w:t xml:space="preserve">cientific </w:t>
      </w:r>
      <w:r>
        <w:rPr>
          <w:rFonts w:asciiTheme="majorBidi" w:hAnsiTheme="majorBidi" w:cstheme="majorBidi"/>
        </w:rPr>
        <w:t>C</w:t>
      </w:r>
      <w:r w:rsidRPr="000F589D">
        <w:rPr>
          <w:rFonts w:asciiTheme="majorBidi" w:hAnsiTheme="majorBidi" w:cstheme="majorBidi"/>
        </w:rPr>
        <w:t>ooperation (annex III below);</w:t>
      </w:r>
      <w:bookmarkStart w:id="94" w:name="_Hlk50335767"/>
      <w:bookmarkEnd w:id="93"/>
    </w:p>
    <w:p w14:paraId="7FA080A5" w14:textId="77777777" w:rsidR="008C379F" w:rsidRPr="000F589D" w:rsidRDefault="008C379F" w:rsidP="00A30041">
      <w:pPr>
        <w:pStyle w:val="Para1"/>
        <w:numPr>
          <w:ilvl w:val="0"/>
          <w:numId w:val="0"/>
        </w:numPr>
        <w:suppressLineNumbers/>
        <w:tabs>
          <w:tab w:val="left" w:pos="720"/>
        </w:tabs>
        <w:suppressAutoHyphens/>
        <w:kinsoku w:val="0"/>
        <w:adjustRightInd w:val="0"/>
        <w:spacing w:line="230" w:lineRule="auto"/>
        <w:rPr>
          <w:rFonts w:asciiTheme="majorBidi" w:hAnsiTheme="majorBidi" w:cstheme="majorBidi"/>
        </w:rPr>
      </w:pPr>
      <w:bookmarkStart w:id="95" w:name="_Hlk50335824"/>
      <w:bookmarkEnd w:id="94"/>
      <w:r w:rsidRPr="000F589D">
        <w:rPr>
          <w:rFonts w:asciiTheme="majorBidi" w:hAnsiTheme="majorBidi" w:cstheme="majorBidi"/>
        </w:rPr>
        <w:t>12.</w:t>
      </w:r>
      <w:r w:rsidRPr="000F589D">
        <w:rPr>
          <w:rFonts w:asciiTheme="majorBidi" w:hAnsiTheme="majorBidi" w:cstheme="majorBidi"/>
        </w:rPr>
        <w:tab/>
        <w:t>At the regional level, biodiversity capacity</w:t>
      </w:r>
      <w:r w:rsidRPr="000F589D">
        <w:rPr>
          <w:rFonts w:asciiTheme="majorBidi" w:hAnsiTheme="majorBidi" w:cstheme="majorBidi"/>
        </w:rPr>
        <w:noBreakHyphen/>
        <w:t>building and development coordination and coherence could be achieved with the support of the United Nations regional economic commissions and the regional teams of the United Nations Sustainable Development Group</w:t>
      </w:r>
      <w:bookmarkEnd w:id="95"/>
      <w:r w:rsidRPr="000F589D">
        <w:rPr>
          <w:rFonts w:asciiTheme="majorBidi" w:hAnsiTheme="majorBidi" w:cstheme="majorBidi"/>
        </w:rPr>
        <w:t>;</w:t>
      </w:r>
    </w:p>
    <w:p w14:paraId="4B742CF5" w14:textId="77777777" w:rsidR="008C379F" w:rsidRPr="000F589D" w:rsidRDefault="008C379F" w:rsidP="00A30041">
      <w:pPr>
        <w:pStyle w:val="Para1"/>
        <w:numPr>
          <w:ilvl w:val="0"/>
          <w:numId w:val="0"/>
        </w:numPr>
        <w:suppressLineNumbers/>
        <w:tabs>
          <w:tab w:val="left" w:pos="720"/>
        </w:tabs>
        <w:suppressAutoHyphens/>
        <w:kinsoku w:val="0"/>
        <w:adjustRightInd w:val="0"/>
        <w:spacing w:line="230" w:lineRule="auto"/>
        <w:rPr>
          <w:rFonts w:asciiTheme="majorBidi" w:hAnsiTheme="majorBidi" w:cstheme="majorBidi"/>
        </w:rPr>
      </w:pPr>
      <w:r w:rsidRPr="000F589D">
        <w:rPr>
          <w:rFonts w:asciiTheme="majorBidi" w:hAnsiTheme="majorBidi" w:cstheme="majorBidi"/>
        </w:rPr>
        <w:t>13.</w:t>
      </w:r>
      <w:r w:rsidRPr="000F589D">
        <w:rPr>
          <w:rFonts w:asciiTheme="majorBidi" w:hAnsiTheme="majorBidi" w:cstheme="majorBidi"/>
        </w:rPr>
        <w:tab/>
        <w:t>At the country level, coordination of biodiversity capacity</w:t>
      </w:r>
      <w:r w:rsidRPr="000F589D">
        <w:rPr>
          <w:rFonts w:asciiTheme="majorBidi" w:hAnsiTheme="majorBidi" w:cstheme="majorBidi"/>
        </w:rPr>
        <w:noBreakHyphen/>
        <w:t>building and development could be done through the national biodiversity committees or similar mechanisms and facilitated through the United Nations Country Teams, within the United Nations Sustainable Development Cooperation Framework for the country.</w:t>
      </w:r>
    </w:p>
    <w:p w14:paraId="42ED85F3" w14:textId="77777777" w:rsidR="008C379F" w:rsidRPr="00D82CFF" w:rsidRDefault="008C379F" w:rsidP="00D82CFF">
      <w:pPr>
        <w:pStyle w:val="NormalWeb"/>
        <w:keepNext/>
        <w:spacing w:before="120" w:after="120"/>
        <w:jc w:val="center"/>
        <w:rPr>
          <w:b/>
          <w:bCs/>
          <w:sz w:val="22"/>
          <w:szCs w:val="22"/>
        </w:rPr>
      </w:pPr>
      <w:bookmarkStart w:id="96" w:name="_Toc57214904"/>
      <w:r w:rsidRPr="00D82CFF">
        <w:rPr>
          <w:b/>
          <w:bCs/>
          <w:sz w:val="22"/>
          <w:szCs w:val="22"/>
        </w:rPr>
        <w:t>B.</w:t>
      </w:r>
      <w:r w:rsidRPr="00D82CFF">
        <w:rPr>
          <w:b/>
          <w:bCs/>
          <w:sz w:val="22"/>
          <w:szCs w:val="22"/>
        </w:rPr>
        <w:tab/>
        <w:t>Mutual supportiveness between various implementation strategies and processes</w:t>
      </w:r>
      <w:bookmarkEnd w:id="96"/>
    </w:p>
    <w:p w14:paraId="2D38980A" w14:textId="77777777" w:rsidR="008C379F" w:rsidRPr="000F589D" w:rsidRDefault="008C379F" w:rsidP="00A30041">
      <w:pPr>
        <w:pStyle w:val="Para1"/>
        <w:numPr>
          <w:ilvl w:val="0"/>
          <w:numId w:val="0"/>
        </w:numPr>
        <w:suppressLineNumbers/>
        <w:tabs>
          <w:tab w:val="left" w:pos="720"/>
        </w:tabs>
        <w:suppressAutoHyphens/>
        <w:kinsoku w:val="0"/>
        <w:adjustRightInd w:val="0"/>
        <w:spacing w:line="230" w:lineRule="auto"/>
        <w:rPr>
          <w:rFonts w:asciiTheme="majorBidi" w:hAnsiTheme="majorBidi" w:cstheme="majorBidi"/>
          <w:snapToGrid/>
        </w:rPr>
      </w:pPr>
      <w:r w:rsidRPr="000F589D">
        <w:rPr>
          <w:rFonts w:asciiTheme="majorBidi" w:hAnsiTheme="majorBidi" w:cstheme="majorBidi"/>
          <w:snapToGrid/>
        </w:rPr>
        <w:t>1</w:t>
      </w:r>
      <w:r>
        <w:rPr>
          <w:rFonts w:asciiTheme="majorBidi" w:hAnsiTheme="majorBidi" w:cstheme="majorBidi"/>
          <w:snapToGrid/>
        </w:rPr>
        <w:t>4</w:t>
      </w:r>
      <w:r w:rsidRPr="000F589D">
        <w:rPr>
          <w:rFonts w:asciiTheme="majorBidi" w:hAnsiTheme="majorBidi" w:cstheme="majorBidi"/>
          <w:snapToGrid/>
        </w:rPr>
        <w:t>.</w:t>
      </w:r>
      <w:r w:rsidRPr="000F589D">
        <w:rPr>
          <w:rFonts w:asciiTheme="majorBidi" w:hAnsiTheme="majorBidi" w:cstheme="majorBidi"/>
          <w:snapToGrid/>
        </w:rPr>
        <w:tab/>
      </w:r>
      <w:r w:rsidRPr="000F589D">
        <w:rPr>
          <w:rFonts w:asciiTheme="majorBidi" w:hAnsiTheme="majorBidi" w:cstheme="majorBidi"/>
        </w:rPr>
        <w:t xml:space="preserve">This long-term strategic framework should be synergized with the other means of implementation and enabling conditions for the </w:t>
      </w:r>
      <w:r>
        <w:rPr>
          <w:rFonts w:asciiTheme="majorBidi" w:hAnsiTheme="majorBidi" w:cstheme="majorBidi"/>
        </w:rPr>
        <w:t>Kunming-Montreal G</w:t>
      </w:r>
      <w:r w:rsidRPr="000F589D">
        <w:rPr>
          <w:rFonts w:asciiTheme="majorBidi" w:hAnsiTheme="majorBidi" w:cstheme="majorBidi"/>
        </w:rPr>
        <w:t xml:space="preserve">lobal </w:t>
      </w:r>
      <w:r>
        <w:rPr>
          <w:rFonts w:asciiTheme="majorBidi" w:hAnsiTheme="majorBidi" w:cstheme="majorBidi"/>
        </w:rPr>
        <w:t>B</w:t>
      </w:r>
      <w:r w:rsidRPr="000F589D">
        <w:rPr>
          <w:rFonts w:asciiTheme="majorBidi" w:hAnsiTheme="majorBidi" w:cstheme="majorBidi"/>
        </w:rPr>
        <w:t xml:space="preserve">iodiversity </w:t>
      </w:r>
      <w:r>
        <w:rPr>
          <w:rFonts w:asciiTheme="majorBidi" w:hAnsiTheme="majorBidi" w:cstheme="majorBidi"/>
        </w:rPr>
        <w:t>F</w:t>
      </w:r>
      <w:r w:rsidRPr="000F589D">
        <w:rPr>
          <w:rFonts w:asciiTheme="majorBidi" w:hAnsiTheme="majorBidi" w:cstheme="majorBidi"/>
        </w:rPr>
        <w:t>ramework (including technical and scientific cooperation, technology transfer, knowledge management and resource mobilization), the long</w:t>
      </w:r>
      <w:r>
        <w:rPr>
          <w:rFonts w:asciiTheme="majorBidi" w:hAnsiTheme="majorBidi" w:cstheme="majorBidi"/>
        </w:rPr>
        <w:noBreakHyphen/>
      </w:r>
      <w:r w:rsidRPr="000F589D">
        <w:rPr>
          <w:rFonts w:asciiTheme="majorBidi" w:hAnsiTheme="majorBidi" w:cstheme="majorBidi"/>
        </w:rPr>
        <w:t>term approach to mainstreaming biodiversity and with the mechanisms for reporting, assessment and review of implementation.</w:t>
      </w:r>
    </w:p>
    <w:p w14:paraId="6F2D8C86" w14:textId="77777777" w:rsidR="008C379F" w:rsidRPr="00D82CFF" w:rsidRDefault="008C379F" w:rsidP="00D82CFF">
      <w:pPr>
        <w:pStyle w:val="NormalWeb"/>
        <w:keepNext/>
        <w:spacing w:before="120" w:after="120"/>
        <w:jc w:val="center"/>
        <w:rPr>
          <w:b/>
          <w:bCs/>
          <w:sz w:val="22"/>
          <w:szCs w:val="22"/>
        </w:rPr>
      </w:pPr>
      <w:bookmarkStart w:id="97" w:name="_Toc57214905"/>
      <w:r w:rsidRPr="00D82CFF">
        <w:rPr>
          <w:b/>
          <w:bCs/>
          <w:sz w:val="22"/>
          <w:szCs w:val="22"/>
        </w:rPr>
        <w:t>C.</w:t>
      </w:r>
      <w:r w:rsidRPr="00D82CFF">
        <w:rPr>
          <w:b/>
          <w:bCs/>
          <w:sz w:val="22"/>
          <w:szCs w:val="22"/>
        </w:rPr>
        <w:tab/>
        <w:t>Resource mobilization for capacity</w:t>
      </w:r>
      <w:r w:rsidRPr="00D82CFF">
        <w:rPr>
          <w:b/>
          <w:bCs/>
          <w:sz w:val="22"/>
          <w:szCs w:val="22"/>
        </w:rPr>
        <w:noBreakHyphen/>
        <w:t>building and development</w:t>
      </w:r>
      <w:bookmarkEnd w:id="97"/>
    </w:p>
    <w:p w14:paraId="4174E92A" w14:textId="77777777" w:rsidR="008C379F" w:rsidRPr="000F589D" w:rsidRDefault="008C379F" w:rsidP="00A30041">
      <w:pPr>
        <w:pStyle w:val="Para1"/>
        <w:numPr>
          <w:ilvl w:val="0"/>
          <w:numId w:val="0"/>
        </w:numPr>
        <w:suppressLineNumbers/>
        <w:tabs>
          <w:tab w:val="left" w:pos="720"/>
        </w:tabs>
        <w:suppressAutoHyphens/>
        <w:kinsoku w:val="0"/>
        <w:adjustRightInd w:val="0"/>
        <w:spacing w:line="230" w:lineRule="auto"/>
        <w:rPr>
          <w:rFonts w:asciiTheme="majorBidi" w:hAnsiTheme="majorBidi" w:cstheme="majorBidi"/>
          <w:snapToGrid/>
        </w:rPr>
      </w:pPr>
      <w:r w:rsidRPr="00CA37F7">
        <w:rPr>
          <w:rFonts w:asciiTheme="majorBidi" w:hAnsiTheme="majorBidi" w:cstheme="majorBidi"/>
          <w:snapToGrid/>
        </w:rPr>
        <w:t>1</w:t>
      </w:r>
      <w:r>
        <w:rPr>
          <w:rFonts w:asciiTheme="majorBidi" w:hAnsiTheme="majorBidi" w:cstheme="majorBidi"/>
          <w:snapToGrid/>
        </w:rPr>
        <w:t>5</w:t>
      </w:r>
      <w:r w:rsidRPr="00CA37F7">
        <w:rPr>
          <w:rFonts w:asciiTheme="majorBidi" w:hAnsiTheme="majorBidi" w:cstheme="majorBidi"/>
          <w:snapToGrid/>
        </w:rPr>
        <w:t>.</w:t>
      </w:r>
      <w:r w:rsidRPr="00CA37F7">
        <w:rPr>
          <w:rFonts w:asciiTheme="majorBidi" w:hAnsiTheme="majorBidi" w:cstheme="majorBidi"/>
          <w:snapToGrid/>
        </w:rPr>
        <w:tab/>
      </w:r>
      <w:r w:rsidRPr="00CA37F7">
        <w:rPr>
          <w:rFonts w:asciiTheme="majorBidi" w:hAnsiTheme="majorBidi" w:cstheme="majorBidi"/>
        </w:rPr>
        <w:t>There is a need to mobilize resources from all sources to support national capacity</w:t>
      </w:r>
      <w:r w:rsidRPr="00CA37F7">
        <w:rPr>
          <w:rFonts w:asciiTheme="majorBidi" w:hAnsiTheme="majorBidi" w:cstheme="majorBidi"/>
        </w:rPr>
        <w:noBreakHyphen/>
        <w:t xml:space="preserve">building and development and help create an enabling environment. </w:t>
      </w:r>
      <w:r w:rsidRPr="00520D50">
        <w:rPr>
          <w:rFonts w:asciiTheme="majorBidi" w:hAnsiTheme="majorBidi" w:cstheme="majorBidi"/>
        </w:rPr>
        <w:t xml:space="preserve">The provision of financial resources in line with </w:t>
      </w:r>
      <w:r w:rsidRPr="004D32B6">
        <w:rPr>
          <w:rFonts w:asciiTheme="majorBidi" w:hAnsiTheme="majorBidi" w:cstheme="majorBidi"/>
        </w:rPr>
        <w:t>A</w:t>
      </w:r>
      <w:r w:rsidRPr="00520D50">
        <w:rPr>
          <w:rFonts w:asciiTheme="majorBidi" w:hAnsiTheme="majorBidi" w:cstheme="majorBidi"/>
        </w:rPr>
        <w:t>rticle 20 of the Convention, and the efforts by the Biodiversity</w:t>
      </w:r>
      <w:r w:rsidRPr="00EC611D">
        <w:rPr>
          <w:rFonts w:asciiTheme="majorBidi" w:hAnsiTheme="majorBidi" w:cstheme="majorBidi"/>
        </w:rPr>
        <w:t xml:space="preserve"> Finance Initiative of the United Nations Development Programme (BIOFIN) could support countries to include options to mobilize resources for capacity</w:t>
      </w:r>
      <w:r w:rsidRPr="00EC611D">
        <w:rPr>
          <w:rFonts w:asciiTheme="majorBidi" w:hAnsiTheme="majorBidi" w:cstheme="majorBidi"/>
        </w:rPr>
        <w:noBreakHyphen/>
        <w:t>building and development in their national resource mobilization strategies, in line with decision 15/7 on resource mobilization.</w:t>
      </w:r>
    </w:p>
    <w:p w14:paraId="3D21CD18" w14:textId="77777777" w:rsidR="008C379F" w:rsidRPr="00D82CFF" w:rsidRDefault="008C379F" w:rsidP="00D82CFF">
      <w:pPr>
        <w:pStyle w:val="NormalWeb"/>
        <w:keepNext/>
        <w:spacing w:before="120" w:after="120"/>
        <w:jc w:val="center"/>
        <w:rPr>
          <w:b/>
          <w:bCs/>
          <w:sz w:val="22"/>
          <w:szCs w:val="22"/>
        </w:rPr>
      </w:pPr>
      <w:bookmarkStart w:id="98" w:name="_Toc57214906"/>
      <w:r w:rsidRPr="00D82CFF">
        <w:rPr>
          <w:b/>
          <w:bCs/>
          <w:sz w:val="22"/>
          <w:szCs w:val="22"/>
        </w:rPr>
        <w:t>D.</w:t>
      </w:r>
      <w:r w:rsidRPr="00D82CFF">
        <w:rPr>
          <w:b/>
          <w:bCs/>
          <w:sz w:val="22"/>
          <w:szCs w:val="22"/>
        </w:rPr>
        <w:tab/>
        <w:t>Regional and global support networks</w:t>
      </w:r>
      <w:bookmarkEnd w:id="98"/>
    </w:p>
    <w:p w14:paraId="54C5ED94" w14:textId="77777777" w:rsidR="008C379F" w:rsidRPr="00B7059E" w:rsidRDefault="008C379F" w:rsidP="00A30041">
      <w:pPr>
        <w:pStyle w:val="Para1"/>
        <w:numPr>
          <w:ilvl w:val="0"/>
          <w:numId w:val="0"/>
        </w:numPr>
        <w:suppressLineNumbers/>
        <w:tabs>
          <w:tab w:val="left" w:pos="720"/>
        </w:tabs>
        <w:suppressAutoHyphens/>
        <w:kinsoku w:val="0"/>
        <w:adjustRightInd w:val="0"/>
        <w:spacing w:line="230" w:lineRule="auto"/>
        <w:rPr>
          <w:rFonts w:asciiTheme="majorBidi" w:hAnsiTheme="majorBidi" w:cstheme="majorBidi"/>
          <w:snapToGrid/>
        </w:rPr>
      </w:pPr>
      <w:r w:rsidRPr="00B7059E">
        <w:rPr>
          <w:rFonts w:asciiTheme="majorBidi" w:hAnsiTheme="majorBidi" w:cstheme="majorBidi"/>
          <w:snapToGrid/>
        </w:rPr>
        <w:t>1</w:t>
      </w:r>
      <w:r>
        <w:rPr>
          <w:rFonts w:asciiTheme="majorBidi" w:hAnsiTheme="majorBidi" w:cstheme="majorBidi"/>
          <w:snapToGrid/>
        </w:rPr>
        <w:t>6</w:t>
      </w:r>
      <w:r w:rsidRPr="00B7059E">
        <w:rPr>
          <w:rFonts w:asciiTheme="majorBidi" w:hAnsiTheme="majorBidi" w:cstheme="majorBidi"/>
          <w:snapToGrid/>
        </w:rPr>
        <w:t>.</w:t>
      </w:r>
      <w:r w:rsidRPr="00B7059E">
        <w:rPr>
          <w:rFonts w:asciiTheme="majorBidi" w:hAnsiTheme="majorBidi" w:cstheme="majorBidi"/>
          <w:snapToGrid/>
        </w:rPr>
        <w:tab/>
      </w:r>
      <w:r w:rsidRPr="00B7059E">
        <w:rPr>
          <w:rFonts w:asciiTheme="majorBidi" w:hAnsiTheme="majorBidi" w:cstheme="majorBidi"/>
        </w:rPr>
        <w:t>Existing regional and global support networks should be strengthened, to provide, upon request, capacity</w:t>
      </w:r>
      <w:r w:rsidRPr="00B7059E">
        <w:rPr>
          <w:rFonts w:asciiTheme="majorBidi" w:hAnsiTheme="majorBidi" w:cstheme="majorBidi"/>
        </w:rPr>
        <w:noBreakHyphen/>
        <w:t>building and development support to national government institutions, subnational governments, local authorities and non-government actors within the respective geographic regions or subregions.</w:t>
      </w:r>
    </w:p>
    <w:p w14:paraId="48383B21" w14:textId="77777777" w:rsidR="008C379F" w:rsidRPr="00D82CFF" w:rsidRDefault="008C379F" w:rsidP="00D82CFF">
      <w:pPr>
        <w:pStyle w:val="NormalWeb"/>
        <w:keepNext/>
        <w:spacing w:before="120" w:after="120"/>
        <w:jc w:val="center"/>
        <w:rPr>
          <w:b/>
          <w:bCs/>
          <w:sz w:val="22"/>
          <w:szCs w:val="22"/>
        </w:rPr>
      </w:pPr>
      <w:bookmarkStart w:id="99" w:name="_Toc57214907"/>
      <w:r w:rsidRPr="00D82CFF">
        <w:rPr>
          <w:b/>
          <w:bCs/>
          <w:sz w:val="22"/>
          <w:szCs w:val="22"/>
        </w:rPr>
        <w:t>E.</w:t>
      </w:r>
      <w:r w:rsidRPr="00D82CFF">
        <w:rPr>
          <w:b/>
          <w:bCs/>
          <w:sz w:val="22"/>
          <w:szCs w:val="22"/>
        </w:rPr>
        <w:tab/>
        <w:t>Enhanced review mechanisms</w:t>
      </w:r>
      <w:bookmarkEnd w:id="99"/>
    </w:p>
    <w:p w14:paraId="30413E33" w14:textId="77777777" w:rsidR="008C379F" w:rsidRPr="00B7059E" w:rsidRDefault="008C379F" w:rsidP="00A30041">
      <w:pPr>
        <w:pStyle w:val="Para1"/>
        <w:numPr>
          <w:ilvl w:val="0"/>
          <w:numId w:val="0"/>
        </w:numPr>
        <w:suppressLineNumbers/>
        <w:tabs>
          <w:tab w:val="left" w:pos="720"/>
        </w:tabs>
        <w:suppressAutoHyphens/>
        <w:kinsoku w:val="0"/>
        <w:adjustRightInd w:val="0"/>
        <w:spacing w:line="230" w:lineRule="auto"/>
        <w:rPr>
          <w:rFonts w:asciiTheme="majorBidi" w:hAnsiTheme="majorBidi" w:cstheme="majorBidi"/>
          <w:snapToGrid/>
        </w:rPr>
      </w:pPr>
      <w:r w:rsidRPr="00B7059E">
        <w:rPr>
          <w:rFonts w:asciiTheme="majorBidi" w:hAnsiTheme="majorBidi" w:cstheme="majorBidi"/>
          <w:snapToGrid/>
        </w:rPr>
        <w:t>1</w:t>
      </w:r>
      <w:r>
        <w:rPr>
          <w:rFonts w:asciiTheme="majorBidi" w:hAnsiTheme="majorBidi" w:cstheme="majorBidi"/>
          <w:snapToGrid/>
        </w:rPr>
        <w:t>7</w:t>
      </w:r>
      <w:r w:rsidRPr="00B7059E">
        <w:rPr>
          <w:rFonts w:asciiTheme="majorBidi" w:hAnsiTheme="majorBidi" w:cstheme="majorBidi"/>
          <w:snapToGrid/>
        </w:rPr>
        <w:t>.</w:t>
      </w:r>
      <w:r w:rsidRPr="00B7059E">
        <w:rPr>
          <w:rFonts w:asciiTheme="majorBidi" w:hAnsiTheme="majorBidi" w:cstheme="majorBidi"/>
          <w:snapToGrid/>
        </w:rPr>
        <w:tab/>
      </w:r>
      <w:r w:rsidRPr="00CA37F7">
        <w:rPr>
          <w:rFonts w:asciiTheme="majorBidi" w:hAnsiTheme="majorBidi" w:cstheme="majorBidi"/>
        </w:rPr>
        <w:t>The enhanced planning, reporting and review mechanism should consider the capacity</w:t>
      </w:r>
      <w:r w:rsidRPr="00CA37F7">
        <w:rPr>
          <w:rFonts w:asciiTheme="majorBidi" w:hAnsiTheme="majorBidi" w:cstheme="majorBidi"/>
        </w:rPr>
        <w:noBreakHyphen/>
        <w:t xml:space="preserve">building and development dimension. The guidelines for national reporting by </w:t>
      </w:r>
      <w:r>
        <w:rPr>
          <w:rFonts w:asciiTheme="majorBidi" w:hAnsiTheme="majorBidi" w:cstheme="majorBidi"/>
        </w:rPr>
        <w:t>G</w:t>
      </w:r>
      <w:r w:rsidRPr="00CA37F7">
        <w:rPr>
          <w:rFonts w:asciiTheme="majorBidi" w:hAnsiTheme="majorBidi" w:cstheme="majorBidi"/>
        </w:rPr>
        <w:t>overnments should also include provisions for reporting on capacity</w:t>
      </w:r>
      <w:r w:rsidRPr="00CA37F7">
        <w:rPr>
          <w:rFonts w:asciiTheme="majorBidi" w:hAnsiTheme="majorBidi" w:cstheme="majorBidi"/>
        </w:rPr>
        <w:noBreakHyphen/>
        <w:t xml:space="preserve">building and development and provide opportunities for countries to share experiences and lessons learned. The review and revision process </w:t>
      </w:r>
      <w:r>
        <w:rPr>
          <w:rFonts w:asciiTheme="majorBidi" w:hAnsiTheme="majorBidi" w:cstheme="majorBidi"/>
        </w:rPr>
        <w:t xml:space="preserve">of the </w:t>
      </w:r>
      <w:r w:rsidRPr="00CA37F7">
        <w:rPr>
          <w:rFonts w:asciiTheme="majorBidi" w:hAnsiTheme="majorBidi" w:cstheme="majorBidi"/>
        </w:rPr>
        <w:t>national biodiversity strateg</w:t>
      </w:r>
      <w:r>
        <w:rPr>
          <w:rFonts w:asciiTheme="majorBidi" w:hAnsiTheme="majorBidi" w:cstheme="majorBidi"/>
        </w:rPr>
        <w:t>ies</w:t>
      </w:r>
      <w:r w:rsidRPr="00CA37F7">
        <w:rPr>
          <w:rFonts w:asciiTheme="majorBidi" w:hAnsiTheme="majorBidi" w:cstheme="majorBidi"/>
        </w:rPr>
        <w:t xml:space="preserve"> and </w:t>
      </w:r>
      <w:r w:rsidRPr="008C2D10">
        <w:rPr>
          <w:rFonts w:asciiTheme="majorBidi" w:hAnsiTheme="majorBidi" w:cstheme="majorBidi"/>
        </w:rPr>
        <w:t>action plans and the voluntary</w:t>
      </w:r>
      <w:r w:rsidRPr="00981752">
        <w:rPr>
          <w:rFonts w:asciiTheme="majorBidi" w:hAnsiTheme="majorBidi" w:cstheme="majorBidi"/>
        </w:rPr>
        <w:t xml:space="preserve"> peer</w:t>
      </w:r>
      <w:r w:rsidRPr="00CA37F7">
        <w:rPr>
          <w:rFonts w:asciiTheme="majorBidi" w:hAnsiTheme="majorBidi" w:cstheme="majorBidi"/>
        </w:rPr>
        <w:t xml:space="preserve"> </w:t>
      </w:r>
      <w:r w:rsidRPr="00981752">
        <w:rPr>
          <w:rFonts w:asciiTheme="majorBidi" w:hAnsiTheme="majorBidi" w:cstheme="majorBidi"/>
        </w:rPr>
        <w:t>review</w:t>
      </w:r>
      <w:r w:rsidRPr="00CA37F7">
        <w:rPr>
          <w:rFonts w:asciiTheme="majorBidi" w:hAnsiTheme="majorBidi" w:cstheme="majorBidi"/>
        </w:rPr>
        <w:t xml:space="preserve"> of </w:t>
      </w:r>
      <w:r>
        <w:rPr>
          <w:rFonts w:asciiTheme="majorBidi" w:hAnsiTheme="majorBidi" w:cstheme="majorBidi"/>
        </w:rPr>
        <w:t xml:space="preserve">their </w:t>
      </w:r>
      <w:r w:rsidRPr="00CA37F7">
        <w:rPr>
          <w:rFonts w:asciiTheme="majorBidi" w:hAnsiTheme="majorBidi" w:cstheme="majorBidi"/>
        </w:rPr>
        <w:t xml:space="preserve">implementation </w:t>
      </w:r>
      <w:r w:rsidRPr="0022224D">
        <w:rPr>
          <w:rFonts w:asciiTheme="majorBidi" w:hAnsiTheme="majorBidi" w:cstheme="majorBidi"/>
        </w:rPr>
        <w:t>should</w:t>
      </w:r>
      <w:r w:rsidRPr="00CA37F7">
        <w:rPr>
          <w:rFonts w:asciiTheme="majorBidi" w:hAnsiTheme="majorBidi" w:cstheme="majorBidi"/>
        </w:rPr>
        <w:t xml:space="preserve"> also include a review of the capacity</w:t>
      </w:r>
      <w:r w:rsidRPr="00CA37F7">
        <w:rPr>
          <w:rFonts w:asciiTheme="majorBidi" w:hAnsiTheme="majorBidi" w:cstheme="majorBidi"/>
        </w:rPr>
        <w:noBreakHyphen/>
        <w:t>building and development strategies and approaches in line with decision 15/</w:t>
      </w:r>
      <w:r>
        <w:rPr>
          <w:rFonts w:asciiTheme="majorBidi" w:hAnsiTheme="majorBidi" w:cstheme="majorBidi"/>
        </w:rPr>
        <w:t>6</w:t>
      </w:r>
      <w:r w:rsidRPr="00CA37F7">
        <w:rPr>
          <w:rFonts w:asciiTheme="majorBidi" w:hAnsiTheme="majorBidi" w:cstheme="majorBidi"/>
        </w:rPr>
        <w:t xml:space="preserve"> on </w:t>
      </w:r>
      <w:r>
        <w:rPr>
          <w:rFonts w:asciiTheme="majorBidi" w:hAnsiTheme="majorBidi" w:cstheme="majorBidi"/>
        </w:rPr>
        <w:t xml:space="preserve">planning, </w:t>
      </w:r>
      <w:r w:rsidRPr="00CA37F7">
        <w:rPr>
          <w:rFonts w:asciiTheme="majorBidi" w:hAnsiTheme="majorBidi" w:cstheme="majorBidi"/>
        </w:rPr>
        <w:t>monitoring</w:t>
      </w:r>
      <w:r>
        <w:rPr>
          <w:rFonts w:asciiTheme="majorBidi" w:hAnsiTheme="majorBidi" w:cstheme="majorBidi"/>
        </w:rPr>
        <w:t xml:space="preserve">, </w:t>
      </w:r>
      <w:r w:rsidRPr="00CA37F7">
        <w:rPr>
          <w:rFonts w:asciiTheme="majorBidi" w:hAnsiTheme="majorBidi" w:cstheme="majorBidi"/>
        </w:rPr>
        <w:t xml:space="preserve">reporting </w:t>
      </w:r>
      <w:r>
        <w:rPr>
          <w:rFonts w:asciiTheme="majorBidi" w:hAnsiTheme="majorBidi" w:cstheme="majorBidi"/>
        </w:rPr>
        <w:t xml:space="preserve">and review </w:t>
      </w:r>
      <w:r w:rsidRPr="00CA37F7">
        <w:rPr>
          <w:rFonts w:asciiTheme="majorBidi" w:hAnsiTheme="majorBidi" w:cstheme="majorBidi"/>
        </w:rPr>
        <w:t xml:space="preserve">of the </w:t>
      </w:r>
      <w:r>
        <w:rPr>
          <w:rFonts w:asciiTheme="majorBidi" w:hAnsiTheme="majorBidi" w:cstheme="majorBidi"/>
        </w:rPr>
        <w:t>Kunming-Montreal G</w:t>
      </w:r>
      <w:r w:rsidRPr="00CA37F7">
        <w:rPr>
          <w:rFonts w:asciiTheme="majorBidi" w:hAnsiTheme="majorBidi" w:cstheme="majorBidi"/>
        </w:rPr>
        <w:t xml:space="preserve">lobal </w:t>
      </w:r>
      <w:r>
        <w:rPr>
          <w:rFonts w:asciiTheme="majorBidi" w:hAnsiTheme="majorBidi" w:cstheme="majorBidi"/>
        </w:rPr>
        <w:t>B</w:t>
      </w:r>
      <w:r w:rsidRPr="00CA37F7">
        <w:rPr>
          <w:rFonts w:asciiTheme="majorBidi" w:hAnsiTheme="majorBidi" w:cstheme="majorBidi"/>
        </w:rPr>
        <w:t xml:space="preserve">iodiversity </w:t>
      </w:r>
      <w:r>
        <w:rPr>
          <w:rFonts w:asciiTheme="majorBidi" w:hAnsiTheme="majorBidi" w:cstheme="majorBidi"/>
        </w:rPr>
        <w:t>F</w:t>
      </w:r>
      <w:r w:rsidRPr="00CA37F7">
        <w:rPr>
          <w:rFonts w:asciiTheme="majorBidi" w:hAnsiTheme="majorBidi" w:cstheme="majorBidi"/>
        </w:rPr>
        <w:t>ramework</w:t>
      </w:r>
      <w:r w:rsidRPr="00CA37F7" w:rsidDel="00855CC2">
        <w:rPr>
          <w:rFonts w:asciiTheme="majorBidi" w:hAnsiTheme="majorBidi" w:cstheme="majorBidi"/>
        </w:rPr>
        <w:t>.</w:t>
      </w:r>
    </w:p>
    <w:p w14:paraId="51FC02DE" w14:textId="77777777" w:rsidR="008C379F" w:rsidRPr="00D82CFF" w:rsidRDefault="008C379F" w:rsidP="00D82CFF">
      <w:pPr>
        <w:pStyle w:val="NormalWeb"/>
        <w:keepNext/>
        <w:spacing w:before="120" w:after="120"/>
        <w:jc w:val="center"/>
        <w:rPr>
          <w:b/>
          <w:bCs/>
          <w:sz w:val="22"/>
          <w:szCs w:val="22"/>
        </w:rPr>
      </w:pPr>
      <w:bookmarkStart w:id="100" w:name="_Toc57214908"/>
      <w:r w:rsidRPr="00D82CFF">
        <w:rPr>
          <w:b/>
          <w:bCs/>
          <w:sz w:val="22"/>
          <w:szCs w:val="22"/>
        </w:rPr>
        <w:t>F.</w:t>
      </w:r>
      <w:r w:rsidRPr="00D82CFF">
        <w:rPr>
          <w:b/>
          <w:bCs/>
          <w:sz w:val="22"/>
          <w:szCs w:val="22"/>
        </w:rPr>
        <w:tab/>
        <w:t>Outreach and dissemination of the long-term strategic framework</w:t>
      </w:r>
      <w:bookmarkEnd w:id="100"/>
    </w:p>
    <w:p w14:paraId="4C06DE68" w14:textId="77777777" w:rsidR="008C379F" w:rsidRPr="00B7059E" w:rsidRDefault="008C379F" w:rsidP="00A30041">
      <w:pPr>
        <w:pStyle w:val="Para1"/>
        <w:numPr>
          <w:ilvl w:val="0"/>
          <w:numId w:val="0"/>
        </w:numPr>
        <w:suppressLineNumbers/>
        <w:tabs>
          <w:tab w:val="left" w:pos="720"/>
        </w:tabs>
        <w:suppressAutoHyphens/>
        <w:kinsoku w:val="0"/>
        <w:adjustRightInd w:val="0"/>
        <w:spacing w:line="230" w:lineRule="auto"/>
        <w:rPr>
          <w:rFonts w:asciiTheme="majorBidi" w:hAnsiTheme="majorBidi" w:cstheme="majorBidi"/>
          <w:snapToGrid/>
        </w:rPr>
      </w:pPr>
      <w:r w:rsidRPr="00B7059E">
        <w:rPr>
          <w:rFonts w:asciiTheme="majorBidi" w:hAnsiTheme="majorBidi" w:cstheme="majorBidi"/>
          <w:snapToGrid/>
        </w:rPr>
        <w:t>1</w:t>
      </w:r>
      <w:r>
        <w:rPr>
          <w:rFonts w:asciiTheme="majorBidi" w:hAnsiTheme="majorBidi" w:cstheme="majorBidi"/>
          <w:snapToGrid/>
        </w:rPr>
        <w:t>8</w:t>
      </w:r>
      <w:r w:rsidRPr="00B7059E">
        <w:rPr>
          <w:rFonts w:asciiTheme="majorBidi" w:hAnsiTheme="majorBidi" w:cstheme="majorBidi"/>
          <w:snapToGrid/>
        </w:rPr>
        <w:t>.</w:t>
      </w:r>
      <w:r w:rsidRPr="00B7059E">
        <w:rPr>
          <w:rFonts w:asciiTheme="majorBidi" w:hAnsiTheme="majorBidi" w:cstheme="majorBidi"/>
          <w:snapToGrid/>
        </w:rPr>
        <w:tab/>
      </w:r>
      <w:r w:rsidRPr="00B7059E">
        <w:rPr>
          <w:rFonts w:asciiTheme="majorBidi" w:hAnsiTheme="majorBidi" w:cstheme="majorBidi"/>
        </w:rPr>
        <w:t>A campaign targeting various stakeholders and actors will be undertaken to raise awareness of, and support for, the long-term strategic framework. Key partners and stakeholders will be invited to support the implementation, including through alignment of their capacity</w:t>
      </w:r>
      <w:r w:rsidRPr="00B7059E">
        <w:rPr>
          <w:rFonts w:asciiTheme="majorBidi" w:hAnsiTheme="majorBidi" w:cstheme="majorBidi"/>
        </w:rPr>
        <w:noBreakHyphen/>
        <w:t xml:space="preserve">building and development actions with the framework, and establishment of coalitions and communities of practice. A dedicated web portal within the clearing-house mechanism will be created </w:t>
      </w:r>
      <w:bookmarkStart w:id="101" w:name="_Hlk47923928"/>
      <w:r w:rsidRPr="00B7059E">
        <w:rPr>
          <w:rFonts w:asciiTheme="majorBidi" w:hAnsiTheme="majorBidi" w:cstheme="majorBidi"/>
        </w:rPr>
        <w:t xml:space="preserve">and linked to the websites of biodiversity-related conventions and organizations </w:t>
      </w:r>
      <w:bookmarkEnd w:id="101"/>
      <w:r w:rsidRPr="00B7059E">
        <w:rPr>
          <w:rFonts w:asciiTheme="majorBidi" w:hAnsiTheme="majorBidi" w:cstheme="majorBidi"/>
        </w:rPr>
        <w:t>to share information about the framework and the activities and experiences of various actors.</w:t>
      </w:r>
      <w:bookmarkStart w:id="102" w:name="_Hlk50340087"/>
    </w:p>
    <w:p w14:paraId="3E8F1ADE" w14:textId="77777777" w:rsidR="008C379F" w:rsidRPr="00D82CFF" w:rsidRDefault="008C379F" w:rsidP="00D82CFF">
      <w:pPr>
        <w:pStyle w:val="NormalWeb"/>
        <w:keepNext/>
        <w:spacing w:before="120" w:after="120"/>
        <w:jc w:val="center"/>
        <w:rPr>
          <w:b/>
          <w:bCs/>
          <w:sz w:val="22"/>
          <w:szCs w:val="22"/>
        </w:rPr>
      </w:pPr>
      <w:bookmarkStart w:id="103" w:name="_Toc57214909"/>
      <w:r w:rsidRPr="00D82CFF">
        <w:rPr>
          <w:b/>
          <w:bCs/>
          <w:sz w:val="22"/>
          <w:szCs w:val="22"/>
        </w:rPr>
        <w:lastRenderedPageBreak/>
        <w:t>G.</w:t>
      </w:r>
      <w:r w:rsidRPr="00D82CFF">
        <w:rPr>
          <w:b/>
          <w:bCs/>
          <w:sz w:val="22"/>
          <w:szCs w:val="22"/>
        </w:rPr>
        <w:tab/>
        <w:t>Reporting and review of the long-term strategic framework</w:t>
      </w:r>
      <w:bookmarkEnd w:id="103"/>
    </w:p>
    <w:p w14:paraId="13067D62" w14:textId="77777777" w:rsidR="008C379F" w:rsidRPr="00B7059E" w:rsidRDefault="008C379F" w:rsidP="00A30041">
      <w:pPr>
        <w:pStyle w:val="Para1"/>
        <w:numPr>
          <w:ilvl w:val="0"/>
          <w:numId w:val="0"/>
        </w:numPr>
        <w:suppressLineNumbers/>
        <w:tabs>
          <w:tab w:val="left" w:pos="720"/>
        </w:tabs>
        <w:suppressAutoHyphens/>
        <w:kinsoku w:val="0"/>
        <w:adjustRightInd w:val="0"/>
        <w:spacing w:line="230" w:lineRule="auto"/>
        <w:rPr>
          <w:rFonts w:asciiTheme="majorBidi" w:hAnsiTheme="majorBidi" w:cstheme="majorBidi"/>
        </w:rPr>
      </w:pPr>
      <w:r>
        <w:rPr>
          <w:rFonts w:asciiTheme="majorBidi" w:hAnsiTheme="majorBidi" w:cstheme="majorBidi"/>
          <w:snapToGrid/>
        </w:rPr>
        <w:t>19</w:t>
      </w:r>
      <w:r w:rsidRPr="00B7059E">
        <w:rPr>
          <w:rFonts w:asciiTheme="majorBidi" w:hAnsiTheme="majorBidi" w:cstheme="majorBidi"/>
          <w:snapToGrid/>
        </w:rPr>
        <w:t>.</w:t>
      </w:r>
      <w:r w:rsidRPr="00B7059E">
        <w:rPr>
          <w:rFonts w:asciiTheme="majorBidi" w:hAnsiTheme="majorBidi" w:cstheme="majorBidi"/>
          <w:snapToGrid/>
        </w:rPr>
        <w:tab/>
      </w:r>
      <w:r w:rsidRPr="00B7059E">
        <w:rPr>
          <w:rFonts w:asciiTheme="majorBidi" w:hAnsiTheme="majorBidi" w:cstheme="majorBidi"/>
        </w:rPr>
        <w:t xml:space="preserve">The long-term strategic framework is intended to be a living document. It will be reviewed periodically </w:t>
      </w:r>
      <w:bookmarkStart w:id="104" w:name="_Hlk46691380"/>
      <w:r w:rsidRPr="00B7059E">
        <w:rPr>
          <w:rFonts w:asciiTheme="majorBidi" w:hAnsiTheme="majorBidi" w:cstheme="majorBidi"/>
        </w:rPr>
        <w:t>and, if necessary, updated to ensure its continued relevance, effectiveness and use by government and non-government actors</w:t>
      </w:r>
      <w:bookmarkEnd w:id="104"/>
      <w:r w:rsidRPr="00B7059E">
        <w:rPr>
          <w:rFonts w:asciiTheme="majorBidi" w:hAnsiTheme="majorBidi" w:cstheme="majorBidi"/>
        </w:rPr>
        <w:t>. A first review will be carried out in 2025</w:t>
      </w:r>
      <w:r>
        <w:rPr>
          <w:rFonts w:asciiTheme="majorBidi" w:hAnsiTheme="majorBidi" w:cstheme="majorBidi"/>
        </w:rPr>
        <w:t>,</w:t>
      </w:r>
      <w:r w:rsidRPr="00B7059E">
        <w:rPr>
          <w:rFonts w:asciiTheme="majorBidi" w:hAnsiTheme="majorBidi" w:cstheme="majorBidi"/>
        </w:rPr>
        <w:t xml:space="preserve"> and an independent evaluation will be undertaken in 2029, to coincide with the review of the </w:t>
      </w:r>
      <w:r>
        <w:rPr>
          <w:rFonts w:asciiTheme="majorBidi" w:hAnsiTheme="majorBidi" w:cstheme="majorBidi"/>
        </w:rPr>
        <w:t>Kunming-Montreal G</w:t>
      </w:r>
      <w:r w:rsidRPr="00B7059E">
        <w:rPr>
          <w:rFonts w:asciiTheme="majorBidi" w:hAnsiTheme="majorBidi" w:cstheme="majorBidi"/>
        </w:rPr>
        <w:t xml:space="preserve">lobal </w:t>
      </w:r>
      <w:r>
        <w:rPr>
          <w:rFonts w:asciiTheme="majorBidi" w:hAnsiTheme="majorBidi" w:cstheme="majorBidi"/>
        </w:rPr>
        <w:t>B</w:t>
      </w:r>
      <w:r w:rsidRPr="00B7059E">
        <w:rPr>
          <w:rFonts w:asciiTheme="majorBidi" w:hAnsiTheme="majorBidi" w:cstheme="majorBidi"/>
        </w:rPr>
        <w:t xml:space="preserve">iodiversity </w:t>
      </w:r>
      <w:r>
        <w:rPr>
          <w:rFonts w:asciiTheme="majorBidi" w:hAnsiTheme="majorBidi" w:cstheme="majorBidi"/>
        </w:rPr>
        <w:t>F</w:t>
      </w:r>
      <w:r w:rsidRPr="00B7059E">
        <w:rPr>
          <w:rFonts w:asciiTheme="majorBidi" w:hAnsiTheme="majorBidi" w:cstheme="majorBidi"/>
        </w:rPr>
        <w:t xml:space="preserve">ramework. Reporting on its application and the lessons learned by </w:t>
      </w:r>
      <w:r>
        <w:rPr>
          <w:rFonts w:asciiTheme="majorBidi" w:hAnsiTheme="majorBidi" w:cstheme="majorBidi"/>
        </w:rPr>
        <w:t>G</w:t>
      </w:r>
      <w:r w:rsidRPr="00B7059E">
        <w:rPr>
          <w:rFonts w:asciiTheme="majorBidi" w:hAnsiTheme="majorBidi" w:cstheme="majorBidi"/>
        </w:rPr>
        <w:t xml:space="preserve">overnments will be done through </w:t>
      </w:r>
      <w:bookmarkStart w:id="105" w:name="_Hlk50983404"/>
      <w:r w:rsidRPr="00B7059E">
        <w:rPr>
          <w:rFonts w:asciiTheme="majorBidi" w:hAnsiTheme="majorBidi" w:cstheme="majorBidi"/>
        </w:rPr>
        <w:t xml:space="preserve">national reports </w:t>
      </w:r>
      <w:bookmarkEnd w:id="105"/>
      <w:r w:rsidRPr="00B7059E">
        <w:rPr>
          <w:rFonts w:asciiTheme="majorBidi" w:hAnsiTheme="majorBidi" w:cstheme="majorBidi"/>
        </w:rPr>
        <w:t>in line with decision 15/</w:t>
      </w:r>
      <w:r>
        <w:rPr>
          <w:rFonts w:asciiTheme="majorBidi" w:hAnsiTheme="majorBidi" w:cstheme="majorBidi"/>
        </w:rPr>
        <w:t>6</w:t>
      </w:r>
      <w:r w:rsidRPr="00B7059E">
        <w:rPr>
          <w:rFonts w:asciiTheme="majorBidi" w:hAnsiTheme="majorBidi" w:cstheme="majorBidi"/>
        </w:rPr>
        <w:t xml:space="preserve"> </w:t>
      </w:r>
      <w:r>
        <w:rPr>
          <w:rFonts w:asciiTheme="majorBidi" w:hAnsiTheme="majorBidi" w:cstheme="majorBidi"/>
        </w:rPr>
        <w:t xml:space="preserve">on mechanisms for planning, </w:t>
      </w:r>
      <w:r w:rsidRPr="00CA37F7">
        <w:rPr>
          <w:rFonts w:asciiTheme="majorBidi" w:hAnsiTheme="majorBidi" w:cstheme="majorBidi"/>
        </w:rPr>
        <w:t>monitoring</w:t>
      </w:r>
      <w:r>
        <w:rPr>
          <w:rFonts w:asciiTheme="majorBidi" w:hAnsiTheme="majorBidi" w:cstheme="majorBidi"/>
        </w:rPr>
        <w:t xml:space="preserve">, </w:t>
      </w:r>
      <w:r w:rsidRPr="00CA37F7">
        <w:rPr>
          <w:rFonts w:asciiTheme="majorBidi" w:hAnsiTheme="majorBidi" w:cstheme="majorBidi"/>
        </w:rPr>
        <w:t xml:space="preserve">reporting </w:t>
      </w:r>
      <w:r>
        <w:rPr>
          <w:rFonts w:asciiTheme="majorBidi" w:hAnsiTheme="majorBidi" w:cstheme="majorBidi"/>
        </w:rPr>
        <w:t>and review</w:t>
      </w:r>
      <w:r w:rsidRPr="00B7059E">
        <w:rPr>
          <w:rFonts w:asciiTheme="majorBidi" w:hAnsiTheme="majorBidi" w:cstheme="majorBidi"/>
        </w:rPr>
        <w:t>.</w:t>
      </w:r>
      <w:bookmarkEnd w:id="102"/>
    </w:p>
    <w:p w14:paraId="04C7CDE7" w14:textId="77777777" w:rsidR="008C379F" w:rsidRPr="00B7059E" w:rsidRDefault="008C379F" w:rsidP="00365514">
      <w:pPr>
        <w:pStyle w:val="ListParagraph"/>
        <w:keepNext/>
        <w:suppressLineNumbers/>
        <w:suppressAutoHyphens/>
        <w:kinsoku w:val="0"/>
        <w:overflowPunct w:val="0"/>
        <w:autoSpaceDE w:val="0"/>
        <w:autoSpaceDN w:val="0"/>
        <w:adjustRightInd w:val="0"/>
        <w:snapToGrid w:val="0"/>
        <w:spacing w:before="120" w:after="120"/>
        <w:ind w:left="0"/>
        <w:contextualSpacing w:val="0"/>
        <w:jc w:val="center"/>
        <w:rPr>
          <w:rFonts w:asciiTheme="majorBidi" w:hAnsiTheme="majorBidi" w:cstheme="majorBidi"/>
          <w:i/>
          <w:snapToGrid w:val="0"/>
          <w:kern w:val="22"/>
          <w:szCs w:val="22"/>
        </w:rPr>
      </w:pPr>
      <w:bookmarkStart w:id="106" w:name="_Toc118355008"/>
      <w:bookmarkStart w:id="107" w:name="_Toc57214910"/>
      <w:r w:rsidRPr="00B7059E">
        <w:rPr>
          <w:rFonts w:asciiTheme="majorBidi" w:hAnsiTheme="majorBidi" w:cstheme="majorBidi"/>
          <w:i/>
          <w:snapToGrid w:val="0"/>
          <w:kern w:val="22"/>
          <w:szCs w:val="22"/>
        </w:rPr>
        <w:t>Annex II</w:t>
      </w:r>
      <w:bookmarkEnd w:id="106"/>
    </w:p>
    <w:p w14:paraId="0032D27D" w14:textId="63BF82EA" w:rsidR="008C379F" w:rsidRPr="00B7059E" w:rsidRDefault="008C379F" w:rsidP="00365514">
      <w:pPr>
        <w:pStyle w:val="NormalWeb"/>
        <w:keepNext/>
        <w:suppressLineNumbers/>
        <w:suppressAutoHyphens/>
        <w:kinsoku w:val="0"/>
        <w:overflowPunct w:val="0"/>
        <w:adjustRightInd w:val="0"/>
        <w:snapToGrid w:val="0"/>
        <w:spacing w:before="120" w:after="120"/>
        <w:jc w:val="center"/>
        <w:rPr>
          <w:snapToGrid w:val="0"/>
        </w:rPr>
      </w:pPr>
      <w:bookmarkStart w:id="108" w:name="_Toc118355009"/>
      <w:bookmarkStart w:id="109" w:name="_Toc57214911"/>
      <w:bookmarkEnd w:id="107"/>
      <w:r w:rsidRPr="00B7059E">
        <w:rPr>
          <w:rFonts w:asciiTheme="majorBidi" w:hAnsiTheme="majorBidi" w:cstheme="majorBidi"/>
          <w:b/>
          <w:bCs/>
          <w:caps/>
          <w:snapToGrid w:val="0"/>
          <w:kern w:val="22"/>
          <w:sz w:val="22"/>
          <w:szCs w:val="22"/>
        </w:rPr>
        <w:t xml:space="preserve">Mechanism to strengthen technical and scientific cooperation in support of the </w:t>
      </w:r>
      <w:r>
        <w:rPr>
          <w:rFonts w:asciiTheme="majorBidi" w:hAnsiTheme="majorBidi" w:cstheme="majorBidi"/>
          <w:b/>
          <w:bCs/>
          <w:caps/>
          <w:snapToGrid w:val="0"/>
          <w:kern w:val="22"/>
          <w:sz w:val="22"/>
          <w:szCs w:val="22"/>
        </w:rPr>
        <w:t xml:space="preserve">Kunming-Montreal </w:t>
      </w:r>
      <w:r w:rsidRPr="00B7059E">
        <w:rPr>
          <w:rFonts w:asciiTheme="majorBidi" w:hAnsiTheme="majorBidi" w:cstheme="majorBidi"/>
          <w:b/>
          <w:bCs/>
          <w:caps/>
          <w:snapToGrid w:val="0"/>
          <w:kern w:val="22"/>
          <w:sz w:val="22"/>
          <w:szCs w:val="22"/>
        </w:rPr>
        <w:t>global biodiversity framework</w:t>
      </w:r>
      <w:bookmarkEnd w:id="108"/>
    </w:p>
    <w:p w14:paraId="38C1C866" w14:textId="77777777" w:rsidR="008C379F" w:rsidRPr="00B7059E" w:rsidRDefault="008C379F" w:rsidP="00365514">
      <w:pPr>
        <w:keepNext/>
        <w:suppressLineNumbers/>
        <w:suppressAutoHyphens/>
        <w:spacing w:before="120" w:after="120"/>
        <w:jc w:val="center"/>
        <w:rPr>
          <w:rFonts w:asciiTheme="majorBidi" w:hAnsiTheme="majorBidi" w:cstheme="majorBidi"/>
          <w:b/>
          <w:caps/>
          <w:color w:val="000000"/>
          <w:szCs w:val="22"/>
          <w:lang w:eastAsia="zh-CN"/>
        </w:rPr>
      </w:pPr>
      <w:r w:rsidRPr="00B7059E">
        <w:rPr>
          <w:rFonts w:asciiTheme="majorBidi" w:hAnsiTheme="majorBidi" w:cstheme="majorBidi"/>
          <w:b/>
          <w:caps/>
          <w:color w:val="000000"/>
          <w:szCs w:val="22"/>
          <w:lang w:eastAsia="zh-CN"/>
        </w:rPr>
        <w:t>I.</w:t>
      </w:r>
      <w:r w:rsidRPr="00B7059E">
        <w:rPr>
          <w:rFonts w:asciiTheme="majorBidi" w:hAnsiTheme="majorBidi" w:cstheme="majorBidi"/>
          <w:b/>
          <w:caps/>
          <w:color w:val="000000"/>
          <w:szCs w:val="22"/>
          <w:lang w:eastAsia="zh-CN"/>
        </w:rPr>
        <w:tab/>
        <w:t>GOAL, OBJECTIVES AND GUIDING PRINCIPLES</w:t>
      </w:r>
    </w:p>
    <w:p w14:paraId="7D31B35D" w14:textId="77777777" w:rsidR="008C379F" w:rsidRPr="00365514" w:rsidRDefault="008C379F" w:rsidP="00365514">
      <w:pPr>
        <w:pStyle w:val="NormalWeb"/>
        <w:keepNext/>
        <w:spacing w:before="120" w:after="120"/>
        <w:jc w:val="center"/>
        <w:rPr>
          <w:b/>
          <w:bCs/>
          <w:sz w:val="22"/>
          <w:szCs w:val="22"/>
        </w:rPr>
      </w:pPr>
      <w:r w:rsidRPr="00365514">
        <w:rPr>
          <w:b/>
          <w:bCs/>
          <w:sz w:val="22"/>
          <w:szCs w:val="22"/>
        </w:rPr>
        <w:t>A.</w:t>
      </w:r>
      <w:r w:rsidRPr="00365514">
        <w:rPr>
          <w:b/>
          <w:bCs/>
          <w:sz w:val="22"/>
          <w:szCs w:val="22"/>
        </w:rPr>
        <w:tab/>
        <w:t>Goal and objectives</w:t>
      </w:r>
    </w:p>
    <w:p w14:paraId="76BAFBDB" w14:textId="77777777" w:rsidR="008C379F" w:rsidRPr="00B7059E" w:rsidRDefault="008C379F" w:rsidP="00A30041">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lang w:val="en-GB"/>
        </w:rPr>
      </w:pPr>
      <w:r>
        <w:rPr>
          <w:rFonts w:asciiTheme="majorBidi" w:hAnsiTheme="majorBidi" w:cstheme="majorBidi"/>
          <w:snapToGrid w:val="0"/>
          <w:kern w:val="22"/>
          <w:lang w:val="en-GB"/>
        </w:rPr>
        <w:t>1</w:t>
      </w:r>
      <w:r w:rsidRPr="00B7059E">
        <w:rPr>
          <w:rFonts w:asciiTheme="majorBidi" w:hAnsiTheme="majorBidi" w:cstheme="majorBidi"/>
          <w:snapToGrid w:val="0"/>
          <w:kern w:val="22"/>
          <w:lang w:val="en-GB"/>
        </w:rPr>
        <w:t>.</w:t>
      </w:r>
      <w:r w:rsidRPr="00B7059E">
        <w:rPr>
          <w:rFonts w:asciiTheme="majorBidi" w:hAnsiTheme="majorBidi" w:cstheme="majorBidi"/>
          <w:snapToGrid w:val="0"/>
          <w:kern w:val="22"/>
          <w:lang w:val="en-GB"/>
        </w:rPr>
        <w:tab/>
      </w:r>
      <w:r w:rsidRPr="00B7059E">
        <w:rPr>
          <w:rFonts w:asciiTheme="majorBidi" w:hAnsiTheme="majorBidi" w:cstheme="majorBidi"/>
          <w:kern w:val="22"/>
          <w:lang w:val="en-GB"/>
        </w:rPr>
        <w:t xml:space="preserve">The overall goal </w:t>
      </w:r>
      <w:r w:rsidRPr="00B7059E">
        <w:rPr>
          <w:rFonts w:asciiTheme="majorBidi" w:hAnsiTheme="majorBidi" w:cstheme="majorBidi"/>
          <w:lang w:val="en-GB"/>
        </w:rPr>
        <w:t xml:space="preserve">of the mechanism </w:t>
      </w:r>
      <w:r w:rsidRPr="00B7059E">
        <w:rPr>
          <w:rFonts w:asciiTheme="majorBidi" w:hAnsiTheme="majorBidi" w:cstheme="majorBidi"/>
          <w:kern w:val="22"/>
          <w:lang w:val="en-GB"/>
        </w:rPr>
        <w:t xml:space="preserve">is to promote and facilitate cooperation among Parties and relevant organizations to enable them to effectively utilize science, technology and innovation to support the implementation of the </w:t>
      </w:r>
      <w:r>
        <w:rPr>
          <w:rFonts w:asciiTheme="majorBidi" w:hAnsiTheme="majorBidi" w:cstheme="majorBidi"/>
          <w:kern w:val="22"/>
          <w:lang w:val="en-GB"/>
        </w:rPr>
        <w:t>Kunming-Montreal G</w:t>
      </w:r>
      <w:r w:rsidRPr="00B7059E">
        <w:rPr>
          <w:rFonts w:asciiTheme="majorBidi" w:hAnsiTheme="majorBidi" w:cstheme="majorBidi"/>
          <w:kern w:val="22"/>
          <w:lang w:val="en-GB"/>
        </w:rPr>
        <w:t xml:space="preserve">lobal </w:t>
      </w:r>
      <w:r>
        <w:rPr>
          <w:rFonts w:asciiTheme="majorBidi" w:hAnsiTheme="majorBidi" w:cstheme="majorBidi"/>
          <w:kern w:val="22"/>
          <w:lang w:val="en-GB"/>
        </w:rPr>
        <w:t>B</w:t>
      </w:r>
      <w:r w:rsidRPr="00B7059E">
        <w:rPr>
          <w:rFonts w:asciiTheme="majorBidi" w:hAnsiTheme="majorBidi" w:cstheme="majorBidi"/>
          <w:kern w:val="22"/>
          <w:lang w:val="en-GB"/>
        </w:rPr>
        <w:t xml:space="preserve">iodiversity </w:t>
      </w:r>
      <w:r>
        <w:rPr>
          <w:rFonts w:asciiTheme="majorBidi" w:hAnsiTheme="majorBidi" w:cstheme="majorBidi"/>
          <w:kern w:val="22"/>
          <w:lang w:val="en-GB"/>
        </w:rPr>
        <w:t>F</w:t>
      </w:r>
      <w:r w:rsidRPr="00B7059E">
        <w:rPr>
          <w:rFonts w:asciiTheme="majorBidi" w:hAnsiTheme="majorBidi" w:cstheme="majorBidi"/>
          <w:kern w:val="22"/>
          <w:lang w:val="en-GB"/>
        </w:rPr>
        <w:t>ramework</w:t>
      </w:r>
      <w:r w:rsidRPr="00B7059E">
        <w:rPr>
          <w:rFonts w:asciiTheme="majorBidi" w:hAnsiTheme="majorBidi" w:cstheme="majorBidi"/>
          <w:snapToGrid w:val="0"/>
          <w:kern w:val="22"/>
          <w:lang w:val="en-GB"/>
        </w:rPr>
        <w:t>.</w:t>
      </w:r>
      <w:r w:rsidRPr="00B7059E">
        <w:rPr>
          <w:rFonts w:asciiTheme="majorBidi" w:hAnsiTheme="majorBidi" w:cstheme="majorBidi"/>
          <w:kern w:val="22"/>
          <w:lang w:val="en-GB"/>
        </w:rPr>
        <w:t xml:space="preserve"> The specific objectives are:</w:t>
      </w:r>
    </w:p>
    <w:p w14:paraId="7E5CF12C"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hAnsiTheme="majorBidi" w:cstheme="majorBidi"/>
          <w:snapToGrid/>
        </w:rPr>
      </w:pPr>
      <w:r w:rsidRPr="00B7059E">
        <w:rPr>
          <w:rFonts w:asciiTheme="majorBidi" w:hAnsiTheme="majorBidi" w:cstheme="majorBidi"/>
          <w:snapToGrid/>
        </w:rPr>
        <w:t>(a)</w:t>
      </w:r>
      <w:r w:rsidRPr="00B7059E">
        <w:rPr>
          <w:rFonts w:asciiTheme="majorBidi" w:hAnsiTheme="majorBidi" w:cstheme="majorBidi"/>
          <w:snapToGrid/>
        </w:rPr>
        <w:tab/>
      </w:r>
      <w:r w:rsidRPr="00B7059E">
        <w:rPr>
          <w:rFonts w:asciiTheme="majorBidi" w:hAnsiTheme="majorBidi" w:cstheme="majorBidi"/>
        </w:rPr>
        <w:t>To enhance local, national, subregional, regional and international capacities in relation to science, technology and innovation by means of human resource and institutional capacity</w:t>
      </w:r>
      <w:r w:rsidRPr="00B7059E">
        <w:rPr>
          <w:rFonts w:asciiTheme="majorBidi" w:hAnsiTheme="majorBidi" w:cstheme="majorBidi"/>
        </w:rPr>
        <w:noBreakHyphen/>
        <w:t>building and development;</w:t>
      </w:r>
    </w:p>
    <w:p w14:paraId="4E9D257C"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hAnsiTheme="majorBidi" w:cstheme="majorBidi"/>
        </w:rPr>
      </w:pPr>
      <w:r w:rsidRPr="00B7059E">
        <w:rPr>
          <w:rFonts w:asciiTheme="majorBidi" w:hAnsiTheme="majorBidi" w:cstheme="majorBidi"/>
        </w:rPr>
        <w:t>(b)</w:t>
      </w:r>
      <w:r w:rsidRPr="00B7059E">
        <w:rPr>
          <w:rFonts w:asciiTheme="majorBidi" w:hAnsiTheme="majorBidi" w:cstheme="majorBidi"/>
        </w:rPr>
        <w:tab/>
      </w:r>
      <w:r w:rsidRPr="00CA37F7">
        <w:rPr>
          <w:rFonts w:asciiTheme="majorBidi" w:hAnsiTheme="majorBidi" w:cstheme="majorBidi"/>
        </w:rPr>
        <w:t>To enable technology</w:t>
      </w:r>
      <w:r w:rsidRPr="004B5DF8">
        <w:rPr>
          <w:rFonts w:asciiTheme="majorBidi" w:hAnsiTheme="majorBidi" w:cstheme="majorBidi"/>
        </w:rPr>
        <w:t xml:space="preserve"> </w:t>
      </w:r>
      <w:r w:rsidRPr="00CA37F7">
        <w:rPr>
          <w:rFonts w:asciiTheme="majorBidi" w:hAnsiTheme="majorBidi" w:cstheme="majorBidi"/>
        </w:rPr>
        <w:t>assessment</w:t>
      </w:r>
      <w:r>
        <w:rPr>
          <w:rFonts w:asciiTheme="majorBidi" w:hAnsiTheme="majorBidi" w:cstheme="majorBidi"/>
        </w:rPr>
        <w:t xml:space="preserve"> and</w:t>
      </w:r>
      <w:r w:rsidRPr="00CA37F7">
        <w:rPr>
          <w:rFonts w:asciiTheme="majorBidi" w:hAnsiTheme="majorBidi" w:cstheme="majorBidi"/>
        </w:rPr>
        <w:t xml:space="preserve"> monitoring o</w:t>
      </w:r>
      <w:r>
        <w:rPr>
          <w:rFonts w:asciiTheme="majorBidi" w:hAnsiTheme="majorBidi" w:cstheme="majorBidi"/>
        </w:rPr>
        <w:t>f</w:t>
      </w:r>
      <w:r w:rsidRPr="00CA37F7">
        <w:rPr>
          <w:rFonts w:asciiTheme="majorBidi" w:hAnsiTheme="majorBidi" w:cstheme="majorBidi"/>
        </w:rPr>
        <w:t xml:space="preserve"> appropriate technologies;</w:t>
      </w:r>
    </w:p>
    <w:p w14:paraId="7DB3F3AA" w14:textId="77777777" w:rsidR="008C379F" w:rsidRPr="00B7059E" w:rsidRDefault="008C379F" w:rsidP="00CF33DA">
      <w:pPr>
        <w:pStyle w:val="Para1"/>
        <w:numPr>
          <w:ilvl w:val="0"/>
          <w:numId w:val="0"/>
        </w:numPr>
        <w:suppressLineNumbers/>
        <w:suppressAutoHyphens/>
        <w:kinsoku w:val="0"/>
        <w:adjustRightInd w:val="0"/>
        <w:ind w:firstLine="720"/>
        <w:rPr>
          <w:rFonts w:asciiTheme="majorBidi" w:hAnsiTheme="majorBidi" w:cstheme="majorBidi"/>
        </w:rPr>
      </w:pPr>
      <w:r w:rsidRPr="00B7059E">
        <w:rPr>
          <w:rFonts w:asciiTheme="majorBidi" w:hAnsiTheme="majorBidi" w:cstheme="majorBidi"/>
        </w:rPr>
        <w:t>(c)</w:t>
      </w:r>
      <w:r w:rsidRPr="00B7059E">
        <w:rPr>
          <w:rFonts w:asciiTheme="majorBidi" w:hAnsiTheme="majorBidi" w:cstheme="majorBidi"/>
        </w:rPr>
        <w:tab/>
        <w:t>To promote and facilitate the development, transfer and use of appropriate technologies, including indigenous and traditional technologies subject to free, prior and informed consent, according to national legislation;</w:t>
      </w:r>
    </w:p>
    <w:p w14:paraId="7B97B6FE"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hAnsiTheme="majorBidi" w:cstheme="majorBidi"/>
        </w:rPr>
      </w:pPr>
      <w:r w:rsidRPr="00B7059E">
        <w:rPr>
          <w:rFonts w:asciiTheme="majorBidi" w:hAnsiTheme="majorBidi" w:cstheme="majorBidi"/>
        </w:rPr>
        <w:t>(d)</w:t>
      </w:r>
      <w:r w:rsidRPr="00B7059E">
        <w:rPr>
          <w:rFonts w:asciiTheme="majorBidi" w:hAnsiTheme="majorBidi" w:cstheme="majorBidi"/>
        </w:rPr>
        <w:tab/>
        <w:t>To promote and encourage joint research, cooperation and collaboration in the use of scientific advances and good practices in research;</w:t>
      </w:r>
    </w:p>
    <w:p w14:paraId="06542065"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hAnsiTheme="majorBidi" w:cstheme="majorBidi"/>
        </w:rPr>
      </w:pPr>
      <w:r w:rsidRPr="00B7059E">
        <w:rPr>
          <w:rFonts w:asciiTheme="majorBidi" w:hAnsiTheme="majorBidi" w:cstheme="majorBidi"/>
        </w:rPr>
        <w:t>(e)</w:t>
      </w:r>
      <w:r w:rsidRPr="00B7059E">
        <w:rPr>
          <w:rFonts w:asciiTheme="majorBidi" w:hAnsiTheme="majorBidi" w:cstheme="majorBidi"/>
        </w:rPr>
        <w:tab/>
        <w:t>To promote the development, implementation and scaling</w:t>
      </w:r>
      <w:r>
        <w:rPr>
          <w:rFonts w:asciiTheme="majorBidi" w:hAnsiTheme="majorBidi" w:cstheme="majorBidi"/>
        </w:rPr>
        <w:t>-</w:t>
      </w:r>
      <w:r w:rsidRPr="00B7059E">
        <w:rPr>
          <w:rFonts w:asciiTheme="majorBidi" w:hAnsiTheme="majorBidi" w:cstheme="majorBidi"/>
        </w:rPr>
        <w:t>up of innovative solutions;</w:t>
      </w:r>
    </w:p>
    <w:p w14:paraId="646B6861"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hAnsiTheme="majorBidi" w:cstheme="majorBidi"/>
        </w:rPr>
      </w:pPr>
      <w:r w:rsidRPr="00B7059E">
        <w:rPr>
          <w:rFonts w:asciiTheme="majorBidi" w:hAnsiTheme="majorBidi" w:cstheme="majorBidi"/>
        </w:rPr>
        <w:t>(f)</w:t>
      </w:r>
      <w:r w:rsidRPr="00B7059E">
        <w:rPr>
          <w:rFonts w:asciiTheme="majorBidi" w:hAnsiTheme="majorBidi" w:cstheme="majorBidi"/>
        </w:rPr>
        <w:tab/>
        <w:t>To facilitate access to and exchange of relevant technical and scientific data, information and knowledge.</w:t>
      </w:r>
    </w:p>
    <w:p w14:paraId="07903918" w14:textId="77777777" w:rsidR="008C379F" w:rsidRPr="00AD0157" w:rsidRDefault="008C379F" w:rsidP="00AD0157">
      <w:pPr>
        <w:pStyle w:val="NormalWeb"/>
        <w:keepNext/>
        <w:spacing w:before="120" w:after="120"/>
        <w:jc w:val="center"/>
        <w:rPr>
          <w:b/>
          <w:bCs/>
          <w:sz w:val="22"/>
          <w:szCs w:val="22"/>
        </w:rPr>
      </w:pPr>
      <w:r w:rsidRPr="00AD0157">
        <w:rPr>
          <w:b/>
          <w:bCs/>
          <w:sz w:val="22"/>
          <w:szCs w:val="22"/>
        </w:rPr>
        <w:t>B.</w:t>
      </w:r>
      <w:r w:rsidRPr="00AD0157">
        <w:rPr>
          <w:b/>
          <w:bCs/>
          <w:sz w:val="22"/>
          <w:szCs w:val="22"/>
        </w:rPr>
        <w:tab/>
        <w:t>Guiding principles</w:t>
      </w:r>
    </w:p>
    <w:p w14:paraId="42EAF7C1" w14:textId="77777777" w:rsidR="008C379F" w:rsidRPr="00B7059E" w:rsidRDefault="008C379F" w:rsidP="00A30041">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lang w:val="en-GB"/>
        </w:rPr>
      </w:pPr>
      <w:r>
        <w:rPr>
          <w:rFonts w:asciiTheme="majorBidi" w:hAnsiTheme="majorBidi" w:cstheme="majorBidi"/>
          <w:snapToGrid w:val="0"/>
          <w:kern w:val="22"/>
          <w:lang w:val="en-GB"/>
        </w:rPr>
        <w:t>2</w:t>
      </w:r>
      <w:r w:rsidRPr="00B7059E">
        <w:rPr>
          <w:rFonts w:asciiTheme="majorBidi" w:hAnsiTheme="majorBidi" w:cstheme="majorBidi"/>
          <w:snapToGrid w:val="0"/>
          <w:kern w:val="22"/>
          <w:lang w:val="en-GB"/>
        </w:rPr>
        <w:t>.</w:t>
      </w:r>
      <w:r w:rsidRPr="00B7059E">
        <w:rPr>
          <w:rFonts w:asciiTheme="majorBidi" w:hAnsiTheme="majorBidi" w:cstheme="majorBidi"/>
          <w:snapToGrid w:val="0"/>
          <w:kern w:val="22"/>
          <w:lang w:val="en-GB"/>
        </w:rPr>
        <w:tab/>
      </w:r>
      <w:r w:rsidRPr="00B7059E">
        <w:rPr>
          <w:rFonts w:asciiTheme="majorBidi" w:hAnsiTheme="majorBidi" w:cstheme="majorBidi"/>
          <w:lang w:val="en-GB"/>
        </w:rPr>
        <w:t>T</w:t>
      </w:r>
      <w:r w:rsidRPr="00B7059E">
        <w:rPr>
          <w:rFonts w:asciiTheme="majorBidi" w:hAnsiTheme="majorBidi" w:cstheme="majorBidi"/>
          <w:snapToGrid w:val="0"/>
          <w:kern w:val="22"/>
          <w:lang w:val="en-GB"/>
        </w:rPr>
        <w:t>echnical</w:t>
      </w:r>
      <w:r w:rsidRPr="00B7059E">
        <w:rPr>
          <w:rFonts w:asciiTheme="majorBidi" w:hAnsiTheme="majorBidi" w:cstheme="majorBidi"/>
          <w:kern w:val="22"/>
          <w:lang w:val="en-GB"/>
        </w:rPr>
        <w:t xml:space="preserve"> and scientific cooperation initiatives (activities, projects and programmes</w:t>
      </w:r>
      <w:r w:rsidRPr="00B7059E">
        <w:rPr>
          <w:rFonts w:asciiTheme="majorBidi" w:hAnsiTheme="majorBidi" w:cstheme="majorBidi"/>
          <w:snapToGrid w:val="0"/>
          <w:kern w:val="22"/>
          <w:lang w:val="en-GB"/>
        </w:rPr>
        <w:t>)</w:t>
      </w:r>
      <w:r w:rsidRPr="00B7059E">
        <w:rPr>
          <w:rFonts w:asciiTheme="majorBidi" w:hAnsiTheme="majorBidi" w:cstheme="majorBidi"/>
          <w:kern w:val="22"/>
          <w:lang w:val="en-GB"/>
        </w:rPr>
        <w:t xml:space="preserve"> would be guided by the following principles:</w:t>
      </w:r>
    </w:p>
    <w:p w14:paraId="4B2F7D21"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snapToGrid/>
        </w:rPr>
      </w:pPr>
      <w:r w:rsidRPr="00B7059E">
        <w:rPr>
          <w:rFonts w:asciiTheme="majorBidi" w:hAnsiTheme="majorBidi" w:cstheme="majorBidi"/>
          <w:snapToGrid/>
        </w:rPr>
        <w:t>(a)</w:t>
      </w:r>
      <w:r w:rsidRPr="00B7059E">
        <w:rPr>
          <w:rFonts w:asciiTheme="majorBidi" w:hAnsiTheme="majorBidi" w:cstheme="majorBidi"/>
          <w:snapToGrid/>
        </w:rPr>
        <w:tab/>
      </w:r>
      <w:r w:rsidRPr="00B7059E">
        <w:rPr>
          <w:rFonts w:asciiTheme="majorBidi" w:hAnsiTheme="majorBidi" w:cstheme="majorBidi"/>
          <w:i/>
        </w:rPr>
        <w:t>Demand-driven</w:t>
      </w:r>
      <w:r>
        <w:rPr>
          <w:rFonts w:asciiTheme="majorBidi" w:hAnsiTheme="majorBidi" w:cstheme="majorBidi"/>
          <w:i/>
        </w:rPr>
        <w:t>.</w:t>
      </w:r>
      <w:r w:rsidRPr="00B7059E">
        <w:rPr>
          <w:rFonts w:asciiTheme="majorBidi" w:hAnsiTheme="majorBidi" w:cstheme="majorBidi"/>
        </w:rPr>
        <w:t xml:space="preserve"> Initiatives should be started at the request of Parties and relevant institutions and stakeholders, including indigenous peoples and local communities, in response to their needs and in accordance with national legislation;</w:t>
      </w:r>
    </w:p>
    <w:p w14:paraId="77E048E8"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(b)</w:t>
      </w:r>
      <w:r w:rsidRPr="00B7059E">
        <w:rPr>
          <w:rFonts w:asciiTheme="majorBidi" w:hAnsiTheme="majorBidi" w:cstheme="majorBidi"/>
        </w:rPr>
        <w:tab/>
      </w:r>
      <w:r w:rsidRPr="00B7059E">
        <w:rPr>
          <w:rFonts w:asciiTheme="majorBidi" w:hAnsiTheme="majorBidi" w:cstheme="majorBidi"/>
          <w:i/>
        </w:rPr>
        <w:t>Flexibility</w:t>
      </w:r>
      <w:r>
        <w:rPr>
          <w:rFonts w:asciiTheme="majorBidi" w:hAnsiTheme="majorBidi" w:cstheme="majorBidi"/>
          <w:i/>
        </w:rPr>
        <w:t>.</w:t>
      </w:r>
      <w:r w:rsidRPr="00B7059E">
        <w:rPr>
          <w:rFonts w:asciiTheme="majorBidi" w:hAnsiTheme="majorBidi" w:cstheme="majorBidi"/>
        </w:rPr>
        <w:t xml:space="preserve"> Initiatives should be implemented in a flexible and adaptive manner, taking into account the varying needs, conditions and circumstances of the Parties and stakeholders involved;</w:t>
      </w:r>
    </w:p>
    <w:p w14:paraId="7259D807"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(c)</w:t>
      </w:r>
      <w:r w:rsidRPr="00B7059E">
        <w:rPr>
          <w:rFonts w:asciiTheme="majorBidi" w:hAnsiTheme="majorBidi" w:cstheme="majorBidi"/>
        </w:rPr>
        <w:tab/>
      </w:r>
      <w:r w:rsidRPr="00B7059E">
        <w:rPr>
          <w:rFonts w:asciiTheme="majorBidi" w:hAnsiTheme="majorBidi" w:cstheme="majorBidi"/>
          <w:i/>
        </w:rPr>
        <w:t>Efficiency</w:t>
      </w:r>
      <w:r>
        <w:rPr>
          <w:rFonts w:asciiTheme="majorBidi" w:hAnsiTheme="majorBidi" w:cstheme="majorBidi"/>
          <w:i/>
        </w:rPr>
        <w:t>.</w:t>
      </w:r>
      <w:r w:rsidRPr="00B7059E">
        <w:rPr>
          <w:rFonts w:asciiTheme="majorBidi" w:hAnsiTheme="majorBidi" w:cstheme="majorBidi"/>
        </w:rPr>
        <w:t xml:space="preserve"> Measures should be taken to ensure that the initiatives achieve the intended results on time and with the least possible resources;</w:t>
      </w:r>
    </w:p>
    <w:p w14:paraId="7BC1662C"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(d)</w:t>
      </w:r>
      <w:r w:rsidRPr="00B7059E">
        <w:rPr>
          <w:rFonts w:asciiTheme="majorBidi" w:hAnsiTheme="majorBidi" w:cstheme="majorBidi"/>
        </w:rPr>
        <w:tab/>
      </w:r>
      <w:r w:rsidRPr="00B7059E">
        <w:rPr>
          <w:rFonts w:asciiTheme="majorBidi" w:hAnsiTheme="majorBidi" w:cstheme="majorBidi"/>
          <w:i/>
        </w:rPr>
        <w:t>Efficacy</w:t>
      </w:r>
      <w:r>
        <w:rPr>
          <w:rFonts w:asciiTheme="majorBidi" w:hAnsiTheme="majorBidi" w:cstheme="majorBidi"/>
          <w:i/>
        </w:rPr>
        <w:t>.</w:t>
      </w:r>
      <w:r w:rsidRPr="00B7059E">
        <w:rPr>
          <w:rFonts w:asciiTheme="majorBidi" w:hAnsiTheme="majorBidi" w:cstheme="majorBidi"/>
        </w:rPr>
        <w:t xml:space="preserve"> Measures should be taken to ensure that the initiatives generate the desired changes while taking into account the potential interconnections and unintended impacts, and that results can be monitored, assessed and evaluated;</w:t>
      </w:r>
    </w:p>
    <w:p w14:paraId="457999E6"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lastRenderedPageBreak/>
        <w:t>(e)</w:t>
      </w:r>
      <w:r w:rsidRPr="00B7059E">
        <w:rPr>
          <w:rFonts w:asciiTheme="majorBidi" w:hAnsiTheme="majorBidi" w:cstheme="majorBidi"/>
        </w:rPr>
        <w:tab/>
      </w:r>
      <w:r w:rsidRPr="00B7059E">
        <w:rPr>
          <w:rFonts w:asciiTheme="majorBidi" w:hAnsiTheme="majorBidi" w:cstheme="majorBidi"/>
          <w:i/>
        </w:rPr>
        <w:t>Tailored</w:t>
      </w:r>
      <w:r>
        <w:rPr>
          <w:rFonts w:asciiTheme="majorBidi" w:hAnsiTheme="majorBidi" w:cstheme="majorBidi"/>
          <w:i/>
        </w:rPr>
        <w:t>.</w:t>
      </w:r>
      <w:r w:rsidRPr="00B7059E">
        <w:rPr>
          <w:rFonts w:asciiTheme="majorBidi" w:hAnsiTheme="majorBidi" w:cstheme="majorBidi"/>
        </w:rPr>
        <w:t xml:space="preserve"> Initiatives should be adapted to local conditions and circumstances, also taking into account cultural and other considerations, to foster buy-in and uptake, ownership, and sustainability at the local level;</w:t>
      </w:r>
    </w:p>
    <w:p w14:paraId="6511E664"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(f)</w:t>
      </w:r>
      <w:r w:rsidRPr="00B7059E">
        <w:rPr>
          <w:rFonts w:asciiTheme="majorBidi" w:hAnsiTheme="majorBidi" w:cstheme="majorBidi"/>
        </w:rPr>
        <w:tab/>
      </w:r>
      <w:r w:rsidRPr="00B7059E">
        <w:rPr>
          <w:rFonts w:asciiTheme="majorBidi" w:hAnsiTheme="majorBidi" w:cstheme="majorBidi"/>
          <w:i/>
        </w:rPr>
        <w:t>Programmatic</w:t>
      </w:r>
      <w:r>
        <w:rPr>
          <w:rFonts w:asciiTheme="majorBidi" w:hAnsiTheme="majorBidi" w:cstheme="majorBidi"/>
          <w:i/>
        </w:rPr>
        <w:t>.</w:t>
      </w:r>
      <w:r w:rsidRPr="00B7059E">
        <w:rPr>
          <w:rFonts w:asciiTheme="majorBidi" w:hAnsiTheme="majorBidi" w:cstheme="majorBidi"/>
        </w:rPr>
        <w:t xml:space="preserve"> Delivery should be done through sustained long-term engagement and in a holistic and integrated manner, whereby various interventions (activities, projects and other initiatives) unified by an overarching vision and common objectives, are interconnected to achieve larger-scale and sustained impact that is more than the sum of its components;</w:t>
      </w:r>
    </w:p>
    <w:p w14:paraId="7AC0825C"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(g)</w:t>
      </w:r>
      <w:r w:rsidRPr="00B7059E">
        <w:rPr>
          <w:rFonts w:asciiTheme="majorBidi" w:hAnsiTheme="majorBidi" w:cstheme="majorBidi"/>
        </w:rPr>
        <w:tab/>
      </w:r>
      <w:r w:rsidRPr="00B7059E">
        <w:rPr>
          <w:rFonts w:asciiTheme="majorBidi" w:hAnsiTheme="majorBidi" w:cstheme="majorBidi"/>
          <w:i/>
        </w:rPr>
        <w:t>Synergistic</w:t>
      </w:r>
      <w:r>
        <w:rPr>
          <w:rFonts w:asciiTheme="majorBidi" w:hAnsiTheme="majorBidi" w:cstheme="majorBidi"/>
          <w:i/>
        </w:rPr>
        <w:t>.</w:t>
      </w:r>
      <w:r w:rsidRPr="00B7059E">
        <w:rPr>
          <w:rFonts w:asciiTheme="majorBidi" w:hAnsiTheme="majorBidi" w:cstheme="majorBidi"/>
          <w:i/>
        </w:rPr>
        <w:t xml:space="preserve"> </w:t>
      </w:r>
      <w:r w:rsidRPr="00B7059E">
        <w:rPr>
          <w:rFonts w:asciiTheme="majorBidi" w:hAnsiTheme="majorBidi" w:cstheme="majorBidi"/>
        </w:rPr>
        <w:t xml:space="preserve">Initiatives should be implemented in a collaborative, interlinked, complementary and mutually supportive manner to achieve enhanced impact in supporting the implementation of the </w:t>
      </w:r>
      <w:r>
        <w:rPr>
          <w:rFonts w:asciiTheme="majorBidi" w:hAnsiTheme="majorBidi" w:cstheme="majorBidi"/>
        </w:rPr>
        <w:t>Kunming-Montreal G</w:t>
      </w:r>
      <w:r w:rsidRPr="00B7059E">
        <w:rPr>
          <w:rFonts w:asciiTheme="majorBidi" w:hAnsiTheme="majorBidi" w:cstheme="majorBidi"/>
        </w:rPr>
        <w:t xml:space="preserve">lobal </w:t>
      </w:r>
      <w:r>
        <w:rPr>
          <w:rFonts w:asciiTheme="majorBidi" w:hAnsiTheme="majorBidi" w:cstheme="majorBidi"/>
        </w:rPr>
        <w:t>B</w:t>
      </w:r>
      <w:r w:rsidRPr="00B7059E">
        <w:rPr>
          <w:rFonts w:asciiTheme="majorBidi" w:hAnsiTheme="majorBidi" w:cstheme="majorBidi"/>
        </w:rPr>
        <w:t xml:space="preserve">iodiversity </w:t>
      </w:r>
      <w:r>
        <w:rPr>
          <w:rFonts w:asciiTheme="majorBidi" w:hAnsiTheme="majorBidi" w:cstheme="majorBidi"/>
        </w:rPr>
        <w:t>F</w:t>
      </w:r>
      <w:r w:rsidRPr="00B7059E">
        <w:rPr>
          <w:rFonts w:asciiTheme="majorBidi" w:hAnsiTheme="majorBidi" w:cstheme="majorBidi"/>
        </w:rPr>
        <w:t>ramework at all levels and across conventions, processes and sectors;</w:t>
      </w:r>
    </w:p>
    <w:p w14:paraId="4656032D"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(h)</w:t>
      </w:r>
      <w:r w:rsidRPr="00B7059E">
        <w:rPr>
          <w:rFonts w:asciiTheme="majorBidi" w:hAnsiTheme="majorBidi" w:cstheme="majorBidi"/>
        </w:rPr>
        <w:tab/>
      </w:r>
      <w:r w:rsidRPr="00B7059E">
        <w:rPr>
          <w:rFonts w:asciiTheme="majorBidi" w:hAnsiTheme="majorBidi" w:cstheme="majorBidi"/>
          <w:i/>
        </w:rPr>
        <w:t>Multi-stakeholder engagement</w:t>
      </w:r>
      <w:r>
        <w:rPr>
          <w:rFonts w:asciiTheme="majorBidi" w:hAnsiTheme="majorBidi" w:cstheme="majorBidi"/>
          <w:i/>
        </w:rPr>
        <w:t>.</w:t>
      </w:r>
      <w:r w:rsidRPr="00B7059E">
        <w:rPr>
          <w:rFonts w:asciiTheme="majorBidi" w:hAnsiTheme="majorBidi" w:cstheme="majorBidi"/>
        </w:rPr>
        <w:t xml:space="preserve"> Initiatives should actively engage relevant societal actors, institutional partners and providers of technical assistance, including (i) indigenous peoples and local communities and their networks; (ii) multidisciplinary research and professional networks; (iii) civil society, including youth networks; (iv) academic and scientific institutions; (v) the private sector; (vi) subnational, national and regional governmental institutions; (vii) national and international non-governmental organizations, including organizations engaging in citizen science; (viii) bilateral and multilateral institutions; and (ix) funding institutions;</w:t>
      </w:r>
    </w:p>
    <w:p w14:paraId="6CC4A3A5"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(i)</w:t>
      </w:r>
      <w:r w:rsidRPr="00B7059E">
        <w:rPr>
          <w:rFonts w:asciiTheme="majorBidi" w:hAnsiTheme="majorBidi" w:cstheme="majorBidi"/>
        </w:rPr>
        <w:tab/>
      </w:r>
      <w:r w:rsidRPr="00B7059E">
        <w:rPr>
          <w:rFonts w:asciiTheme="majorBidi" w:hAnsiTheme="majorBidi" w:cstheme="majorBidi"/>
          <w:i/>
        </w:rPr>
        <w:t>Mutual respect</w:t>
      </w:r>
      <w:r>
        <w:rPr>
          <w:rFonts w:asciiTheme="majorBidi" w:hAnsiTheme="majorBidi" w:cstheme="majorBidi"/>
          <w:i/>
        </w:rPr>
        <w:t>.</w:t>
      </w:r>
      <w:r w:rsidRPr="00B7059E">
        <w:rPr>
          <w:rFonts w:asciiTheme="majorBidi" w:hAnsiTheme="majorBidi" w:cstheme="majorBidi"/>
        </w:rPr>
        <w:t xml:space="preserve"> Initiatives should adhere to the principles of mutual respect and equality and mutual benefit, under a human rights approach, including respect for diverse knowledge systems including the knowledge and experience of practitioners, and of indigenous peoples and local communities;</w:t>
      </w:r>
    </w:p>
    <w:p w14:paraId="4EC6EA06"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(j)</w:t>
      </w:r>
      <w:r w:rsidRPr="00B7059E">
        <w:rPr>
          <w:rFonts w:asciiTheme="majorBidi" w:hAnsiTheme="majorBidi" w:cstheme="majorBidi"/>
        </w:rPr>
        <w:tab/>
      </w:r>
      <w:r w:rsidRPr="00B7059E">
        <w:rPr>
          <w:rFonts w:asciiTheme="majorBidi" w:hAnsiTheme="majorBidi" w:cstheme="majorBidi"/>
          <w:i/>
        </w:rPr>
        <w:t>Respect for regulatory requirements</w:t>
      </w:r>
      <w:r>
        <w:rPr>
          <w:rFonts w:asciiTheme="majorBidi" w:hAnsiTheme="majorBidi" w:cstheme="majorBidi"/>
          <w:i/>
        </w:rPr>
        <w:t>.</w:t>
      </w:r>
      <w:r w:rsidRPr="00B7059E">
        <w:rPr>
          <w:rFonts w:asciiTheme="majorBidi" w:hAnsiTheme="majorBidi" w:cstheme="majorBidi"/>
        </w:rPr>
        <w:t xml:space="preserve"> Initiatives should adhere to appropriate and proportionate safeguards and comply with the legal and regulatory requirements of collaborating countries;</w:t>
      </w:r>
    </w:p>
    <w:p w14:paraId="400CD666"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(k)</w:t>
      </w:r>
      <w:r w:rsidRPr="00B7059E">
        <w:rPr>
          <w:rFonts w:asciiTheme="majorBidi" w:hAnsiTheme="majorBidi" w:cstheme="majorBidi"/>
        </w:rPr>
        <w:tab/>
      </w:r>
      <w:r w:rsidRPr="00B7059E">
        <w:rPr>
          <w:rFonts w:asciiTheme="majorBidi" w:hAnsiTheme="majorBidi" w:cstheme="majorBidi"/>
          <w:i/>
        </w:rPr>
        <w:t>Continuous learning</w:t>
      </w:r>
      <w:r>
        <w:rPr>
          <w:rFonts w:asciiTheme="majorBidi" w:hAnsiTheme="majorBidi" w:cstheme="majorBidi"/>
          <w:i/>
        </w:rPr>
        <w:t>.</w:t>
      </w:r>
      <w:r w:rsidRPr="00B7059E">
        <w:rPr>
          <w:rFonts w:asciiTheme="majorBidi" w:hAnsiTheme="majorBidi" w:cstheme="majorBidi"/>
          <w:i/>
        </w:rPr>
        <w:t xml:space="preserve"> </w:t>
      </w:r>
      <w:r w:rsidRPr="00B7059E">
        <w:rPr>
          <w:rFonts w:asciiTheme="majorBidi" w:hAnsiTheme="majorBidi" w:cstheme="majorBidi"/>
        </w:rPr>
        <w:t>Initiatives should incorporate provisions for continuous education and learning opportunities, including interdisciplinary education in the research and development of new and emerging technologies, as a part of the long-term programmatic approach to strengthen the technical knowledge of the recipients;</w:t>
      </w:r>
    </w:p>
    <w:p w14:paraId="4789E850"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i/>
        </w:rPr>
      </w:pPr>
      <w:r w:rsidRPr="00B7059E">
        <w:rPr>
          <w:rFonts w:asciiTheme="majorBidi" w:hAnsiTheme="majorBidi" w:cstheme="majorBidi"/>
        </w:rPr>
        <w:t>(l)</w:t>
      </w:r>
      <w:r w:rsidRPr="00B7059E">
        <w:rPr>
          <w:rFonts w:asciiTheme="majorBidi" w:hAnsiTheme="majorBidi" w:cstheme="majorBidi"/>
        </w:rPr>
        <w:tab/>
      </w:r>
      <w:r w:rsidRPr="00B7059E">
        <w:rPr>
          <w:rFonts w:asciiTheme="majorBidi" w:hAnsiTheme="majorBidi" w:cstheme="majorBidi"/>
          <w:i/>
        </w:rPr>
        <w:t>Participation</w:t>
      </w:r>
      <w:r>
        <w:rPr>
          <w:rFonts w:asciiTheme="majorBidi" w:hAnsiTheme="majorBidi" w:cstheme="majorBidi"/>
          <w:i/>
        </w:rPr>
        <w:t>.</w:t>
      </w:r>
      <w:r w:rsidRPr="00B7059E">
        <w:rPr>
          <w:rFonts w:asciiTheme="majorBidi" w:hAnsiTheme="majorBidi" w:cstheme="majorBidi"/>
          <w:i/>
        </w:rPr>
        <w:t xml:space="preserve"> </w:t>
      </w:r>
      <w:r w:rsidRPr="00B7059E">
        <w:rPr>
          <w:rFonts w:asciiTheme="majorBidi" w:hAnsiTheme="majorBidi" w:cstheme="majorBidi"/>
        </w:rPr>
        <w:t>Initiatives should seek to maximize participatory approaches, recognizing the value of drawing on diverse perspectives, including those from outside the technical and scientific realm;</w:t>
      </w:r>
    </w:p>
    <w:p w14:paraId="10A21610"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(m)</w:t>
      </w:r>
      <w:r w:rsidRPr="00B7059E">
        <w:rPr>
          <w:rFonts w:asciiTheme="majorBidi" w:hAnsiTheme="majorBidi" w:cstheme="majorBidi"/>
        </w:rPr>
        <w:tab/>
      </w:r>
      <w:r w:rsidRPr="00CA37F7">
        <w:rPr>
          <w:rFonts w:asciiTheme="majorBidi" w:hAnsiTheme="majorBidi" w:cstheme="majorBidi"/>
          <w:i/>
        </w:rPr>
        <w:t>Precaution</w:t>
      </w:r>
      <w:r>
        <w:rPr>
          <w:rFonts w:asciiTheme="majorBidi" w:hAnsiTheme="majorBidi" w:cstheme="majorBidi"/>
          <w:i/>
        </w:rPr>
        <w:t>.</w:t>
      </w:r>
      <w:r w:rsidRPr="00CA37F7">
        <w:rPr>
          <w:rFonts w:asciiTheme="majorBidi" w:hAnsiTheme="majorBidi" w:cstheme="majorBidi"/>
          <w:i/>
        </w:rPr>
        <w:t xml:space="preserve"> </w:t>
      </w:r>
      <w:r w:rsidRPr="00CA37F7">
        <w:rPr>
          <w:rFonts w:asciiTheme="majorBidi" w:hAnsiTheme="majorBidi" w:cstheme="majorBidi"/>
        </w:rPr>
        <w:t>Initiatives should operationalize the precautionary approach;</w:t>
      </w:r>
      <w:r w:rsidRPr="00610646">
        <w:rPr>
          <w:rStyle w:val="FootnoteReference"/>
        </w:rPr>
        <w:footnoteReference w:id="82"/>
      </w:r>
    </w:p>
    <w:p w14:paraId="353524DA"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(n)</w:t>
      </w:r>
      <w:r w:rsidRPr="00B7059E">
        <w:rPr>
          <w:rFonts w:asciiTheme="majorBidi" w:hAnsiTheme="majorBidi" w:cstheme="majorBidi"/>
        </w:rPr>
        <w:tab/>
      </w:r>
      <w:r w:rsidRPr="00B7059E">
        <w:rPr>
          <w:rFonts w:asciiTheme="majorBidi" w:hAnsiTheme="majorBidi" w:cstheme="majorBidi"/>
          <w:i/>
        </w:rPr>
        <w:t>Free, prior and informed consent</w:t>
      </w:r>
      <w:r>
        <w:rPr>
          <w:rFonts w:asciiTheme="majorBidi" w:hAnsiTheme="majorBidi" w:cstheme="majorBidi"/>
          <w:i/>
        </w:rPr>
        <w:t>.</w:t>
      </w:r>
      <w:r w:rsidRPr="00B7059E">
        <w:rPr>
          <w:rFonts w:asciiTheme="majorBidi" w:hAnsiTheme="majorBidi" w:cstheme="majorBidi"/>
          <w:i/>
        </w:rPr>
        <w:t xml:space="preserve"> </w:t>
      </w:r>
      <w:r w:rsidRPr="00B7059E">
        <w:rPr>
          <w:rFonts w:asciiTheme="majorBidi" w:hAnsiTheme="majorBidi" w:cstheme="majorBidi"/>
        </w:rPr>
        <w:t>Initiatives should respect the principle of free, prior and informed consent of indigenous peoples and local communities when considering the introduction, dissemination or use of innovations that may potentially impact their rights, traditional practices and territories as set out in international instruments including the United Nations Declaration on the Rights of Indigenous Peoples</w:t>
      </w:r>
      <w:r>
        <w:rPr>
          <w:rFonts w:asciiTheme="majorBidi" w:hAnsiTheme="majorBidi" w:cstheme="majorBidi"/>
        </w:rPr>
        <w:t>.</w:t>
      </w:r>
    </w:p>
    <w:p w14:paraId="52D38C25" w14:textId="77777777" w:rsidR="008C379F" w:rsidRPr="00B7059E" w:rsidRDefault="008C379F" w:rsidP="00AD0157">
      <w:pPr>
        <w:keepNext/>
        <w:suppressLineNumbers/>
        <w:suppressAutoHyphens/>
        <w:spacing w:before="120" w:after="120"/>
        <w:jc w:val="center"/>
        <w:rPr>
          <w:rFonts w:asciiTheme="majorBidi" w:hAnsiTheme="majorBidi" w:cstheme="majorBidi"/>
          <w:b/>
          <w:caps/>
          <w:color w:val="000000"/>
          <w:szCs w:val="22"/>
          <w:lang w:eastAsia="zh-CN"/>
        </w:rPr>
      </w:pPr>
      <w:r w:rsidRPr="00B7059E">
        <w:rPr>
          <w:rFonts w:asciiTheme="majorBidi" w:hAnsiTheme="majorBidi" w:cstheme="majorBidi"/>
          <w:b/>
          <w:caps/>
          <w:color w:val="000000"/>
          <w:szCs w:val="22"/>
          <w:lang w:eastAsia="zh-CN"/>
        </w:rPr>
        <w:t>II.</w:t>
      </w:r>
      <w:r w:rsidRPr="00B7059E">
        <w:rPr>
          <w:rFonts w:asciiTheme="majorBidi" w:hAnsiTheme="majorBidi" w:cstheme="majorBidi"/>
          <w:b/>
          <w:caps/>
          <w:color w:val="000000"/>
          <w:szCs w:val="22"/>
          <w:lang w:eastAsia="zh-CN"/>
        </w:rPr>
        <w:tab/>
        <w:t>MAIN FOCAL AREAS</w:t>
      </w:r>
    </w:p>
    <w:p w14:paraId="18B45630" w14:textId="77777777" w:rsidR="008C379F" w:rsidRPr="00B7059E" w:rsidRDefault="008C379F" w:rsidP="00A30041">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lang w:val="en-GB"/>
        </w:rPr>
      </w:pPr>
      <w:r>
        <w:rPr>
          <w:rFonts w:asciiTheme="majorBidi" w:hAnsiTheme="majorBidi" w:cstheme="majorBidi"/>
          <w:snapToGrid w:val="0"/>
          <w:kern w:val="22"/>
          <w:lang w:val="en-GB"/>
        </w:rPr>
        <w:t>3</w:t>
      </w:r>
      <w:r w:rsidRPr="00B7059E">
        <w:rPr>
          <w:rFonts w:asciiTheme="majorBidi" w:hAnsiTheme="majorBidi" w:cstheme="majorBidi"/>
          <w:snapToGrid w:val="0"/>
          <w:kern w:val="22"/>
          <w:lang w:val="en-GB"/>
        </w:rPr>
        <w:t>.</w:t>
      </w:r>
      <w:r w:rsidRPr="00B7059E">
        <w:rPr>
          <w:rFonts w:asciiTheme="majorBidi" w:hAnsiTheme="majorBidi" w:cstheme="majorBidi"/>
          <w:snapToGrid w:val="0"/>
          <w:kern w:val="22"/>
          <w:lang w:val="en-GB"/>
        </w:rPr>
        <w:tab/>
      </w:r>
      <w:r w:rsidRPr="00B7059E">
        <w:rPr>
          <w:rFonts w:asciiTheme="majorBidi" w:hAnsiTheme="majorBidi" w:cstheme="majorBidi"/>
          <w:kern w:val="22"/>
          <w:lang w:val="en-GB"/>
        </w:rPr>
        <w:t xml:space="preserve">Technical and scientific cooperation work in support of the </w:t>
      </w:r>
      <w:r>
        <w:rPr>
          <w:rFonts w:asciiTheme="majorBidi" w:hAnsiTheme="majorBidi" w:cstheme="majorBidi"/>
          <w:kern w:val="22"/>
          <w:lang w:val="en-GB"/>
        </w:rPr>
        <w:t>Kunming-Montreal G</w:t>
      </w:r>
      <w:r w:rsidRPr="00B7059E">
        <w:rPr>
          <w:rFonts w:asciiTheme="majorBidi" w:hAnsiTheme="majorBidi" w:cstheme="majorBidi"/>
          <w:kern w:val="22"/>
          <w:lang w:val="en-GB"/>
        </w:rPr>
        <w:t xml:space="preserve">lobal </w:t>
      </w:r>
      <w:r>
        <w:rPr>
          <w:rFonts w:asciiTheme="majorBidi" w:hAnsiTheme="majorBidi" w:cstheme="majorBidi"/>
          <w:kern w:val="22"/>
          <w:lang w:val="en-GB"/>
        </w:rPr>
        <w:t>B</w:t>
      </w:r>
      <w:r w:rsidRPr="00B7059E">
        <w:rPr>
          <w:rFonts w:asciiTheme="majorBidi" w:hAnsiTheme="majorBidi" w:cstheme="majorBidi"/>
          <w:kern w:val="22"/>
          <w:lang w:val="en-GB"/>
        </w:rPr>
        <w:t xml:space="preserve">iodiversity </w:t>
      </w:r>
      <w:r>
        <w:rPr>
          <w:rFonts w:asciiTheme="majorBidi" w:hAnsiTheme="majorBidi" w:cstheme="majorBidi"/>
          <w:kern w:val="22"/>
          <w:lang w:val="en-GB"/>
        </w:rPr>
        <w:t>F</w:t>
      </w:r>
      <w:r w:rsidRPr="00B7059E">
        <w:rPr>
          <w:rFonts w:asciiTheme="majorBidi" w:hAnsiTheme="majorBidi" w:cstheme="majorBidi"/>
          <w:kern w:val="22"/>
          <w:lang w:val="en-GB"/>
        </w:rPr>
        <w:t>ramework could be organized around the following focal areas:</w:t>
      </w:r>
    </w:p>
    <w:p w14:paraId="595B34BF"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snapToGrid/>
        </w:rPr>
      </w:pPr>
      <w:r w:rsidRPr="00B7059E">
        <w:rPr>
          <w:rFonts w:asciiTheme="majorBidi" w:hAnsiTheme="majorBidi" w:cstheme="majorBidi"/>
          <w:snapToGrid/>
        </w:rPr>
        <w:t>(a)</w:t>
      </w:r>
      <w:r w:rsidRPr="00B7059E">
        <w:rPr>
          <w:rFonts w:asciiTheme="majorBidi" w:hAnsiTheme="majorBidi" w:cstheme="majorBidi"/>
          <w:snapToGrid/>
        </w:rPr>
        <w:tab/>
      </w:r>
      <w:r w:rsidRPr="00B7059E">
        <w:rPr>
          <w:rFonts w:asciiTheme="majorBidi" w:hAnsiTheme="majorBidi" w:cstheme="majorBidi"/>
          <w:i/>
        </w:rPr>
        <w:t>Science</w:t>
      </w:r>
      <w:r>
        <w:rPr>
          <w:rFonts w:asciiTheme="majorBidi" w:hAnsiTheme="majorBidi" w:cstheme="majorBidi"/>
        </w:rPr>
        <w:t>.</w:t>
      </w:r>
      <w:r w:rsidRPr="00B7059E">
        <w:rPr>
          <w:rFonts w:asciiTheme="majorBidi" w:hAnsiTheme="majorBidi" w:cstheme="majorBidi"/>
        </w:rPr>
        <w:t xml:space="preserve"> Promotion of research cooperation to foster effective generation and use of relevant scientific and analytical information and facilitate science-policy dialogue to support evidence-based policies, actions, tools and mechanisms, based on or informed by the best available science;</w:t>
      </w:r>
    </w:p>
    <w:p w14:paraId="1B035DE7"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CA37F7">
        <w:rPr>
          <w:rFonts w:asciiTheme="majorBidi" w:hAnsiTheme="majorBidi" w:cstheme="majorBidi"/>
        </w:rPr>
        <w:t>(b)</w:t>
      </w:r>
      <w:r w:rsidRPr="00CA37F7">
        <w:rPr>
          <w:rFonts w:asciiTheme="majorBidi" w:hAnsiTheme="majorBidi" w:cstheme="majorBidi"/>
        </w:rPr>
        <w:tab/>
      </w:r>
      <w:r w:rsidRPr="00CA37F7">
        <w:rPr>
          <w:rFonts w:asciiTheme="majorBidi" w:hAnsiTheme="majorBidi" w:cstheme="majorBidi"/>
          <w:i/>
        </w:rPr>
        <w:t>Technology</w:t>
      </w:r>
      <w:r>
        <w:rPr>
          <w:rFonts w:asciiTheme="majorBidi" w:hAnsiTheme="majorBidi" w:cstheme="majorBidi"/>
        </w:rPr>
        <w:t>.</w:t>
      </w:r>
      <w:r w:rsidRPr="00CA37F7">
        <w:rPr>
          <w:rFonts w:asciiTheme="majorBidi" w:hAnsiTheme="majorBidi" w:cstheme="majorBidi"/>
        </w:rPr>
        <w:t xml:space="preserve"> </w:t>
      </w:r>
      <w:r>
        <w:rPr>
          <w:rFonts w:asciiTheme="majorBidi" w:hAnsiTheme="majorBidi" w:cstheme="majorBidi"/>
        </w:rPr>
        <w:t>T</w:t>
      </w:r>
      <w:r w:rsidRPr="00CA37F7">
        <w:rPr>
          <w:rFonts w:asciiTheme="majorBidi" w:hAnsiTheme="majorBidi" w:cstheme="majorBidi"/>
        </w:rPr>
        <w:t xml:space="preserve">echnology assessment, development, transfer, promotion, monitoring, governance, and use of technologies, including biotechnology, existing know-how of relevant sectors and </w:t>
      </w:r>
      <w:r w:rsidRPr="00CA37F7">
        <w:rPr>
          <w:rFonts w:asciiTheme="majorBidi" w:hAnsiTheme="majorBidi" w:cstheme="majorBidi"/>
        </w:rPr>
        <w:lastRenderedPageBreak/>
        <w:t>indigenous and traditional technologies and knowledge, subject to free, prior and informed consent, according to national legislation to scale up solutions;</w:t>
      </w:r>
    </w:p>
    <w:p w14:paraId="6B362A93"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(c)</w:t>
      </w:r>
      <w:r w:rsidRPr="00B7059E">
        <w:rPr>
          <w:rFonts w:asciiTheme="majorBidi" w:hAnsiTheme="majorBidi" w:cstheme="majorBidi"/>
        </w:rPr>
        <w:tab/>
      </w:r>
      <w:r w:rsidRPr="00B7059E">
        <w:rPr>
          <w:rFonts w:asciiTheme="majorBidi" w:hAnsiTheme="majorBidi" w:cstheme="majorBidi"/>
          <w:i/>
        </w:rPr>
        <w:t>Innovation</w:t>
      </w:r>
      <w:r>
        <w:rPr>
          <w:rFonts w:asciiTheme="majorBidi" w:hAnsiTheme="majorBidi" w:cstheme="majorBidi"/>
          <w:i/>
        </w:rPr>
        <w:t>.</w:t>
      </w:r>
      <w:r w:rsidRPr="00B7059E">
        <w:rPr>
          <w:rFonts w:asciiTheme="majorBidi" w:hAnsiTheme="majorBidi" w:cstheme="majorBidi"/>
        </w:rPr>
        <w:t xml:space="preserve"> Promotion of appropriate, supportive and socially responsible innovation, in line with the needs of people and the environment.</w:t>
      </w:r>
    </w:p>
    <w:p w14:paraId="180C4A6E" w14:textId="77777777" w:rsidR="008C379F" w:rsidRPr="00B7059E" w:rsidRDefault="008C379F" w:rsidP="00AD0157">
      <w:pPr>
        <w:keepNext/>
        <w:suppressLineNumbers/>
        <w:suppressAutoHyphens/>
        <w:spacing w:before="120" w:after="120"/>
        <w:jc w:val="center"/>
        <w:rPr>
          <w:rFonts w:asciiTheme="majorBidi" w:hAnsiTheme="majorBidi" w:cstheme="majorBidi"/>
          <w:snapToGrid w:val="0"/>
          <w:szCs w:val="22"/>
        </w:rPr>
      </w:pPr>
      <w:r w:rsidRPr="00B7059E">
        <w:rPr>
          <w:rFonts w:asciiTheme="majorBidi" w:hAnsiTheme="majorBidi" w:cstheme="majorBidi"/>
          <w:b/>
          <w:caps/>
          <w:color w:val="000000"/>
          <w:szCs w:val="22"/>
          <w:lang w:eastAsia="zh-CN"/>
        </w:rPr>
        <w:t>I</w:t>
      </w:r>
      <w:r>
        <w:rPr>
          <w:rFonts w:asciiTheme="majorBidi" w:hAnsiTheme="majorBidi" w:cstheme="majorBidi"/>
          <w:b/>
          <w:caps/>
          <w:color w:val="000000"/>
          <w:szCs w:val="22"/>
          <w:lang w:eastAsia="zh-CN"/>
        </w:rPr>
        <w:t>II</w:t>
      </w:r>
      <w:r w:rsidRPr="00B7059E">
        <w:rPr>
          <w:rFonts w:asciiTheme="majorBidi" w:hAnsiTheme="majorBidi" w:cstheme="majorBidi"/>
          <w:b/>
          <w:caps/>
          <w:color w:val="000000"/>
          <w:szCs w:val="22"/>
          <w:lang w:eastAsia="zh-CN"/>
        </w:rPr>
        <w:t>.</w:t>
      </w:r>
      <w:r w:rsidRPr="00B7059E">
        <w:rPr>
          <w:rFonts w:asciiTheme="majorBidi" w:hAnsiTheme="majorBidi" w:cstheme="majorBidi"/>
          <w:b/>
          <w:caps/>
          <w:color w:val="000000"/>
          <w:szCs w:val="22"/>
          <w:lang w:eastAsia="zh-CN"/>
        </w:rPr>
        <w:tab/>
        <w:t xml:space="preserve">CRITERIA FOR SELECTING HOST INSTITUTIONS </w:t>
      </w:r>
    </w:p>
    <w:p w14:paraId="2A902FB6" w14:textId="77777777" w:rsidR="008C379F" w:rsidRPr="00B7059E" w:rsidRDefault="008C379F" w:rsidP="00A30041">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lang w:val="en-GB"/>
        </w:rPr>
      </w:pPr>
      <w:r>
        <w:rPr>
          <w:rFonts w:asciiTheme="majorBidi" w:hAnsiTheme="majorBidi" w:cstheme="majorBidi"/>
          <w:snapToGrid w:val="0"/>
          <w:kern w:val="22"/>
          <w:lang w:val="en-GB"/>
        </w:rPr>
        <w:t>4</w:t>
      </w:r>
      <w:r w:rsidRPr="00B7059E">
        <w:rPr>
          <w:rFonts w:asciiTheme="majorBidi" w:hAnsiTheme="majorBidi" w:cstheme="majorBidi"/>
          <w:snapToGrid w:val="0"/>
          <w:kern w:val="22"/>
          <w:lang w:val="en-GB"/>
        </w:rPr>
        <w:t>.</w:t>
      </w:r>
      <w:r w:rsidRPr="00B7059E">
        <w:rPr>
          <w:rFonts w:asciiTheme="majorBidi" w:hAnsiTheme="majorBidi" w:cstheme="majorBidi"/>
          <w:snapToGrid w:val="0"/>
          <w:kern w:val="22"/>
          <w:lang w:val="en-GB"/>
        </w:rPr>
        <w:tab/>
      </w:r>
      <w:r w:rsidRPr="00B7059E">
        <w:rPr>
          <w:rFonts w:asciiTheme="majorBidi" w:hAnsiTheme="majorBidi" w:cstheme="majorBidi"/>
          <w:kern w:val="22"/>
          <w:lang w:val="en-GB"/>
        </w:rPr>
        <w:t>Any organization or institution wishing to host a regional and/or subregional technical and scientific cooperation support centre should have the following:</w:t>
      </w:r>
    </w:p>
    <w:p w14:paraId="7883131C"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snapToGrid/>
        </w:rPr>
      </w:pPr>
      <w:r w:rsidRPr="00B7059E">
        <w:rPr>
          <w:rFonts w:asciiTheme="majorBidi" w:hAnsiTheme="majorBidi" w:cstheme="majorBidi"/>
          <w:snapToGrid/>
        </w:rPr>
        <w:t>(a)</w:t>
      </w:r>
      <w:r w:rsidRPr="00B7059E">
        <w:rPr>
          <w:rFonts w:asciiTheme="majorBidi" w:hAnsiTheme="majorBidi" w:cstheme="majorBidi"/>
          <w:snapToGrid/>
        </w:rPr>
        <w:tab/>
      </w:r>
      <w:r w:rsidRPr="00B7059E">
        <w:rPr>
          <w:rFonts w:asciiTheme="majorBidi" w:hAnsiTheme="majorBidi" w:cstheme="majorBidi"/>
        </w:rPr>
        <w:t>Demonstrated ability to provide technical advice and support to Parties in planning and implementing country-led projects and/or programmes;</w:t>
      </w:r>
    </w:p>
    <w:p w14:paraId="578109A3"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(b)</w:t>
      </w:r>
      <w:r w:rsidRPr="00B7059E">
        <w:rPr>
          <w:rFonts w:asciiTheme="majorBidi" w:hAnsiTheme="majorBidi" w:cstheme="majorBidi"/>
        </w:rPr>
        <w:tab/>
        <w:t xml:space="preserve">Experience and expertise in the areas of work undertaken by Parties in implementing the Convention on Biological Diversity and its </w:t>
      </w:r>
      <w:r>
        <w:rPr>
          <w:rFonts w:asciiTheme="majorBidi" w:hAnsiTheme="majorBidi" w:cstheme="majorBidi"/>
        </w:rPr>
        <w:t>P</w:t>
      </w:r>
      <w:r w:rsidRPr="00B7059E">
        <w:rPr>
          <w:rFonts w:asciiTheme="majorBidi" w:hAnsiTheme="majorBidi" w:cstheme="majorBidi"/>
        </w:rPr>
        <w:t>rotocols;</w:t>
      </w:r>
    </w:p>
    <w:p w14:paraId="0C5BA4C9"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(c)</w:t>
      </w:r>
      <w:r w:rsidRPr="00B7059E">
        <w:rPr>
          <w:rFonts w:asciiTheme="majorBidi" w:hAnsiTheme="majorBidi" w:cstheme="majorBidi"/>
        </w:rPr>
        <w:tab/>
        <w:t xml:space="preserve">Capacity to mobilize resources </w:t>
      </w:r>
      <w:r w:rsidRPr="008C2D10">
        <w:rPr>
          <w:rFonts w:asciiTheme="majorBidi" w:hAnsiTheme="majorBidi" w:cstheme="majorBidi"/>
        </w:rPr>
        <w:t xml:space="preserve">for technical </w:t>
      </w:r>
      <w:r w:rsidRPr="004D32B6">
        <w:rPr>
          <w:rFonts w:asciiTheme="majorBidi" w:hAnsiTheme="majorBidi" w:cstheme="majorBidi"/>
        </w:rPr>
        <w:t xml:space="preserve">and </w:t>
      </w:r>
      <w:r w:rsidRPr="008C2D10">
        <w:rPr>
          <w:rFonts w:asciiTheme="majorBidi" w:hAnsiTheme="majorBidi" w:cstheme="majorBidi"/>
        </w:rPr>
        <w:t>scientific cooperation</w:t>
      </w:r>
      <w:r w:rsidRPr="00B7059E">
        <w:rPr>
          <w:rFonts w:asciiTheme="majorBidi" w:hAnsiTheme="majorBidi" w:cstheme="majorBidi"/>
        </w:rPr>
        <w:t xml:space="preserve"> programmes;</w:t>
      </w:r>
    </w:p>
    <w:p w14:paraId="32CD5C15"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(d)</w:t>
      </w:r>
      <w:r w:rsidRPr="00B7059E">
        <w:rPr>
          <w:rFonts w:asciiTheme="majorBidi" w:hAnsiTheme="majorBidi" w:cstheme="majorBidi"/>
        </w:rPr>
        <w:tab/>
        <w:t>Appropriate policies, procedures and other institutional mechanisms and demonstrated ability in place to manage multiple complex projects and programmes;</w:t>
      </w:r>
    </w:p>
    <w:p w14:paraId="0B5259CA"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 xml:space="preserve">(e) </w:t>
      </w:r>
      <w:r w:rsidRPr="00B7059E">
        <w:rPr>
          <w:rFonts w:asciiTheme="majorBidi" w:hAnsiTheme="majorBidi" w:cstheme="majorBidi"/>
        </w:rPr>
        <w:tab/>
        <w:t xml:space="preserve">Appropriate policies and procedures in place to disclose financial information regarding </w:t>
      </w:r>
      <w:r w:rsidRPr="00DC14BC">
        <w:rPr>
          <w:rFonts w:asciiTheme="majorBidi" w:hAnsiTheme="majorBidi" w:cstheme="majorBidi"/>
        </w:rPr>
        <w:t>the operations of the organization or institution, including the sources of financial resources and how they are</w:t>
      </w:r>
      <w:r w:rsidRPr="00B7059E">
        <w:rPr>
          <w:rFonts w:asciiTheme="majorBidi" w:hAnsiTheme="majorBidi" w:cstheme="majorBidi"/>
        </w:rPr>
        <w:t xml:space="preserve"> allocated;</w:t>
      </w:r>
    </w:p>
    <w:p w14:paraId="714B4AC9"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(f)</w:t>
      </w:r>
      <w:r w:rsidRPr="00B7059E">
        <w:rPr>
          <w:rFonts w:asciiTheme="majorBidi" w:hAnsiTheme="majorBidi" w:cstheme="majorBidi"/>
        </w:rPr>
        <w:tab/>
        <w:t>Active networks of collaborators, including institutions working at regional and subregional levels on biodiversity-relevant issues;</w:t>
      </w:r>
    </w:p>
    <w:p w14:paraId="7080E7E5" w14:textId="77777777" w:rsidR="008C379F" w:rsidRPr="00B7059E" w:rsidRDefault="008C379F" w:rsidP="00A30041">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B7059E">
        <w:rPr>
          <w:rFonts w:asciiTheme="majorBidi" w:hAnsiTheme="majorBidi" w:cstheme="majorBidi"/>
        </w:rPr>
        <w:t>(g)</w:t>
      </w:r>
      <w:r w:rsidRPr="00B7059E">
        <w:rPr>
          <w:rFonts w:asciiTheme="majorBidi" w:hAnsiTheme="majorBidi" w:cstheme="majorBidi"/>
        </w:rPr>
        <w:tab/>
        <w:t xml:space="preserve">Experience </w:t>
      </w:r>
      <w:r>
        <w:rPr>
          <w:rFonts w:asciiTheme="majorBidi" w:hAnsiTheme="majorBidi" w:cstheme="majorBidi"/>
        </w:rPr>
        <w:t>in</w:t>
      </w:r>
      <w:r w:rsidRPr="00B7059E">
        <w:rPr>
          <w:rFonts w:asciiTheme="majorBidi" w:hAnsiTheme="majorBidi" w:cstheme="majorBidi"/>
        </w:rPr>
        <w:t xml:space="preserve"> working with biodiversity-related conventions, intergovernmental processes, indigenous peoples and local communities, civil society and other stakeholders;</w:t>
      </w:r>
    </w:p>
    <w:p w14:paraId="1C4D252B" w14:textId="77777777" w:rsidR="008C379F" w:rsidRPr="00B7059E" w:rsidRDefault="008C379F" w:rsidP="00761E79">
      <w:pPr>
        <w:pStyle w:val="Para1"/>
        <w:numPr>
          <w:ilvl w:val="0"/>
          <w:numId w:val="0"/>
        </w:numPr>
        <w:suppressLineNumbers/>
        <w:tabs>
          <w:tab w:val="left" w:pos="709"/>
        </w:tabs>
        <w:suppressAutoHyphens/>
        <w:kinsoku w:val="0"/>
        <w:adjustRightInd w:val="0"/>
        <w:rPr>
          <w:rFonts w:asciiTheme="majorBidi" w:hAnsiTheme="majorBidi" w:cstheme="majorBidi"/>
        </w:rPr>
      </w:pPr>
      <w:r w:rsidRPr="00B7059E">
        <w:rPr>
          <w:rFonts w:asciiTheme="majorBidi" w:hAnsiTheme="majorBidi" w:cstheme="majorBidi"/>
        </w:rPr>
        <w:tab/>
        <w:t>(h)</w:t>
      </w:r>
      <w:r w:rsidRPr="00B7059E">
        <w:rPr>
          <w:rFonts w:asciiTheme="majorBidi" w:hAnsiTheme="majorBidi" w:cstheme="majorBidi"/>
        </w:rPr>
        <w:tab/>
        <w:t>Experience in engagement in regional and subregional biodiversity-related networks and partnerships;</w:t>
      </w:r>
    </w:p>
    <w:p w14:paraId="5697A887" w14:textId="77777777" w:rsidR="008C379F" w:rsidRPr="00B7059E" w:rsidRDefault="008C379F">
      <w:pPr>
        <w:pStyle w:val="Para1"/>
        <w:numPr>
          <w:ilvl w:val="0"/>
          <w:numId w:val="0"/>
        </w:numPr>
        <w:suppressLineNumbers/>
        <w:tabs>
          <w:tab w:val="left" w:pos="709"/>
        </w:tabs>
        <w:suppressAutoHyphens/>
        <w:kinsoku w:val="0"/>
        <w:adjustRightInd w:val="0"/>
        <w:rPr>
          <w:rFonts w:asciiTheme="majorBidi" w:hAnsiTheme="majorBidi" w:cstheme="majorBidi"/>
        </w:rPr>
      </w:pPr>
      <w:r w:rsidRPr="00B7059E">
        <w:rPr>
          <w:rFonts w:asciiTheme="majorBidi" w:hAnsiTheme="majorBidi" w:cstheme="majorBidi"/>
        </w:rPr>
        <w:tab/>
      </w:r>
      <w:r w:rsidRPr="00B7059E">
        <w:rPr>
          <w:rFonts w:asciiTheme="majorBidi" w:hAnsiTheme="majorBidi" w:cstheme="majorBidi"/>
        </w:rPr>
        <w:tab/>
        <w:t>(i)</w:t>
      </w:r>
      <w:r w:rsidRPr="00B7059E">
        <w:rPr>
          <w:rFonts w:asciiTheme="majorBidi" w:hAnsiTheme="majorBidi" w:cstheme="majorBidi"/>
        </w:rPr>
        <w:tab/>
        <w:t>Demonstrated experience in facilitating technical and scientific cooperation.</w:t>
      </w:r>
    </w:p>
    <w:p w14:paraId="13292EF1" w14:textId="77777777" w:rsidR="008C379F" w:rsidRPr="00B7059E" w:rsidRDefault="008C379F" w:rsidP="00AD0157">
      <w:pPr>
        <w:pStyle w:val="Para1"/>
        <w:numPr>
          <w:ilvl w:val="0"/>
          <w:numId w:val="0"/>
        </w:numPr>
        <w:spacing w:before="240"/>
        <w:ind w:left="1560" w:hanging="709"/>
        <w:jc w:val="left"/>
        <w:rPr>
          <w:rFonts w:asciiTheme="majorBidi" w:hAnsiTheme="majorBidi" w:cstheme="majorBidi"/>
          <w:bCs/>
        </w:rPr>
      </w:pPr>
      <w:r>
        <w:rPr>
          <w:rFonts w:asciiTheme="majorBidi" w:hAnsiTheme="majorBidi" w:cstheme="majorBidi"/>
          <w:b/>
          <w:caps/>
          <w:lang w:eastAsia="zh-CN"/>
        </w:rPr>
        <w:t>IV</w:t>
      </w:r>
      <w:r w:rsidRPr="00B7059E">
        <w:rPr>
          <w:rFonts w:asciiTheme="majorBidi" w:hAnsiTheme="majorBidi" w:cstheme="majorBidi"/>
          <w:b/>
          <w:caps/>
          <w:lang w:eastAsia="zh-CN"/>
        </w:rPr>
        <w:t>.</w:t>
      </w:r>
      <w:r w:rsidRPr="00B7059E">
        <w:rPr>
          <w:rFonts w:asciiTheme="majorBidi" w:hAnsiTheme="majorBidi" w:cstheme="majorBidi"/>
          <w:b/>
          <w:caps/>
          <w:lang w:eastAsia="zh-CN"/>
        </w:rPr>
        <w:tab/>
        <w:t>ROLE OF THE SECRETARIAT OF THE CONVENTION</w:t>
      </w:r>
      <w:r>
        <w:rPr>
          <w:rFonts w:asciiTheme="majorBidi" w:hAnsiTheme="majorBidi" w:cstheme="majorBidi"/>
          <w:b/>
          <w:caps/>
          <w:lang w:eastAsia="zh-CN"/>
        </w:rPr>
        <w:t xml:space="preserve"> ON BIOLOGICAL DIVERSITY</w:t>
      </w:r>
    </w:p>
    <w:p w14:paraId="2DFA9C9B" w14:textId="77777777" w:rsidR="008C379F" w:rsidRPr="00B7059E" w:rsidRDefault="008C379F" w:rsidP="00A30041">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kern w:val="22"/>
          <w:lang w:val="en-GB"/>
        </w:rPr>
      </w:pPr>
      <w:r>
        <w:rPr>
          <w:rFonts w:asciiTheme="majorBidi" w:hAnsiTheme="majorBidi" w:cstheme="majorBidi"/>
          <w:snapToGrid w:val="0"/>
          <w:kern w:val="22"/>
          <w:lang w:val="en-GB"/>
        </w:rPr>
        <w:t>5</w:t>
      </w:r>
      <w:r w:rsidRPr="00B7059E">
        <w:rPr>
          <w:rFonts w:asciiTheme="majorBidi" w:hAnsiTheme="majorBidi" w:cstheme="majorBidi"/>
          <w:snapToGrid w:val="0"/>
          <w:kern w:val="22"/>
          <w:lang w:val="en-GB"/>
        </w:rPr>
        <w:t>.</w:t>
      </w:r>
      <w:r w:rsidRPr="00B7059E">
        <w:rPr>
          <w:rFonts w:asciiTheme="majorBidi" w:hAnsiTheme="majorBidi" w:cstheme="majorBidi"/>
          <w:snapToGrid w:val="0"/>
          <w:kern w:val="22"/>
          <w:lang w:val="en-GB"/>
        </w:rPr>
        <w:tab/>
      </w:r>
      <w:r w:rsidRPr="00B7059E">
        <w:rPr>
          <w:rFonts w:asciiTheme="majorBidi" w:hAnsiTheme="majorBidi" w:cstheme="majorBidi"/>
          <w:kern w:val="22"/>
          <w:lang w:val="en-GB"/>
        </w:rPr>
        <w:t>In line with Article 24 of the Convention, the Secretariat will:</w:t>
      </w:r>
    </w:p>
    <w:p w14:paraId="0256C3F9"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hAnsiTheme="majorBidi" w:cstheme="majorBidi"/>
          <w:snapToGrid/>
        </w:rPr>
      </w:pPr>
      <w:r w:rsidRPr="00B7059E">
        <w:rPr>
          <w:rFonts w:asciiTheme="majorBidi" w:hAnsiTheme="majorBidi" w:cstheme="majorBidi"/>
          <w:snapToGrid/>
        </w:rPr>
        <w:t>(a)</w:t>
      </w:r>
      <w:r w:rsidRPr="00B7059E">
        <w:rPr>
          <w:rFonts w:asciiTheme="majorBidi" w:hAnsiTheme="majorBidi" w:cstheme="majorBidi"/>
          <w:snapToGrid/>
        </w:rPr>
        <w:tab/>
      </w:r>
      <w:r w:rsidRPr="00B7059E">
        <w:rPr>
          <w:rFonts w:asciiTheme="majorBidi" w:hAnsiTheme="majorBidi" w:cstheme="majorBidi"/>
        </w:rPr>
        <w:t xml:space="preserve">Prepare or submit, as appropriate, relevant documents and reports on technical and scientific cooperation and technology transfer (Articles 16, 17 and 18 of the Convention) for the Conference of </w:t>
      </w:r>
      <w:r>
        <w:rPr>
          <w:rFonts w:asciiTheme="majorBidi" w:hAnsiTheme="majorBidi" w:cstheme="majorBidi"/>
        </w:rPr>
        <w:t xml:space="preserve">the </w:t>
      </w:r>
      <w:r w:rsidRPr="00B7059E">
        <w:rPr>
          <w:rFonts w:asciiTheme="majorBidi" w:hAnsiTheme="majorBidi" w:cstheme="majorBidi"/>
        </w:rPr>
        <w:t>Parties and its subsidiary bodies;</w:t>
      </w:r>
      <w:r>
        <w:rPr>
          <w:rFonts w:asciiTheme="majorBidi" w:hAnsiTheme="majorBidi" w:cstheme="majorBidi"/>
        </w:rPr>
        <w:t xml:space="preserve"> </w:t>
      </w:r>
    </w:p>
    <w:p w14:paraId="55A8DCE1"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hAnsiTheme="majorBidi" w:cstheme="majorBidi"/>
        </w:rPr>
      </w:pPr>
      <w:r w:rsidRPr="00B7059E">
        <w:rPr>
          <w:rFonts w:asciiTheme="majorBidi" w:hAnsiTheme="majorBidi" w:cstheme="majorBidi"/>
        </w:rPr>
        <w:t>(b)</w:t>
      </w:r>
      <w:r w:rsidRPr="00B7059E">
        <w:rPr>
          <w:rFonts w:asciiTheme="majorBidi" w:hAnsiTheme="majorBidi" w:cstheme="majorBidi"/>
        </w:rPr>
        <w:tab/>
        <w:t>Compile relevant information related to technical and scientific cooperation and technology transfer in the field of biological diversity and make it available through the clearing-house mechanism;</w:t>
      </w:r>
    </w:p>
    <w:p w14:paraId="4A2E9123"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eastAsiaTheme="minorEastAsia" w:hAnsiTheme="majorBidi" w:cstheme="majorBidi"/>
        </w:rPr>
      </w:pPr>
      <w:r w:rsidRPr="00B7059E">
        <w:rPr>
          <w:rFonts w:asciiTheme="majorBidi" w:eastAsiaTheme="minorEastAsia" w:hAnsiTheme="majorBidi" w:cstheme="majorBidi"/>
        </w:rPr>
        <w:t>(c)</w:t>
      </w:r>
      <w:r w:rsidRPr="00B7059E">
        <w:rPr>
          <w:rFonts w:asciiTheme="majorBidi" w:eastAsiaTheme="minorEastAsia" w:hAnsiTheme="majorBidi" w:cstheme="majorBidi"/>
        </w:rPr>
        <w:tab/>
      </w:r>
      <w:r w:rsidRPr="00B7059E">
        <w:rPr>
          <w:rFonts w:asciiTheme="majorBidi" w:hAnsiTheme="majorBidi" w:cstheme="majorBidi"/>
        </w:rPr>
        <w:t>Maintain active communication with Parties and stakeholders involved or interested in technical and scientific cooperation;</w:t>
      </w:r>
    </w:p>
    <w:p w14:paraId="7782BDAF"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hAnsiTheme="majorBidi" w:cstheme="majorBidi"/>
        </w:rPr>
      </w:pPr>
      <w:r w:rsidRPr="00B7059E">
        <w:rPr>
          <w:rFonts w:asciiTheme="majorBidi" w:hAnsiTheme="majorBidi" w:cstheme="majorBidi"/>
        </w:rPr>
        <w:t>(d)</w:t>
      </w:r>
      <w:r w:rsidRPr="00B7059E">
        <w:rPr>
          <w:rFonts w:asciiTheme="majorBidi" w:hAnsiTheme="majorBidi" w:cstheme="majorBidi"/>
        </w:rPr>
        <w:tab/>
        <w:t>Coordinate, as appropriate, with biodiversity-related conventions, relevant Parties’ agencies, the Consortium of Scientific Partners on Biodiversity, the Global Partnership for Business and Biodiversity, and other relevant networks and initiatives with technical and scientific expertise and/or involved in technical and scientific cooperation;</w:t>
      </w:r>
    </w:p>
    <w:p w14:paraId="6DB3D7D6"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hAnsiTheme="majorBidi" w:cstheme="majorBidi"/>
        </w:rPr>
      </w:pPr>
      <w:r w:rsidRPr="00B7059E">
        <w:rPr>
          <w:rFonts w:asciiTheme="majorBidi" w:hAnsiTheme="majorBidi" w:cstheme="majorBidi"/>
        </w:rPr>
        <w:t>(e)</w:t>
      </w:r>
      <w:r w:rsidRPr="00B7059E">
        <w:rPr>
          <w:rFonts w:asciiTheme="majorBidi" w:hAnsiTheme="majorBidi" w:cstheme="majorBidi"/>
        </w:rPr>
        <w:tab/>
      </w:r>
      <w:r>
        <w:rPr>
          <w:rFonts w:asciiTheme="majorBidi" w:hAnsiTheme="majorBidi" w:cstheme="majorBidi"/>
        </w:rPr>
        <w:t>O</w:t>
      </w:r>
      <w:r w:rsidRPr="00D933BC">
        <w:rPr>
          <w:rFonts w:asciiTheme="majorBidi" w:hAnsiTheme="majorBidi" w:cstheme="majorBidi"/>
        </w:rPr>
        <w:t>rganize</w:t>
      </w:r>
      <w:r>
        <w:rPr>
          <w:rFonts w:asciiTheme="majorBidi" w:hAnsiTheme="majorBidi" w:cstheme="majorBidi"/>
        </w:rPr>
        <w:t>,</w:t>
      </w:r>
      <w:r w:rsidRPr="00D933BC">
        <w:rPr>
          <w:rFonts w:asciiTheme="majorBidi" w:hAnsiTheme="majorBidi" w:cstheme="majorBidi"/>
        </w:rPr>
        <w:t xml:space="preserve"> with partners</w:t>
      </w:r>
      <w:r>
        <w:rPr>
          <w:rFonts w:asciiTheme="majorBidi" w:hAnsiTheme="majorBidi" w:cstheme="majorBidi"/>
        </w:rPr>
        <w:t>,</w:t>
      </w:r>
      <w:r w:rsidRPr="00B7059E">
        <w:rPr>
          <w:rFonts w:asciiTheme="majorBidi" w:hAnsiTheme="majorBidi" w:cstheme="majorBidi"/>
        </w:rPr>
        <w:t xml:space="preserve"> biodiversity science forums, technology and innovation expos and other events on the margins of international meetings;</w:t>
      </w:r>
    </w:p>
    <w:p w14:paraId="276C10EC" w14:textId="77777777" w:rsidR="008C379F" w:rsidRPr="00B7059E" w:rsidRDefault="008C379F" w:rsidP="00A30041">
      <w:pPr>
        <w:pStyle w:val="Para1"/>
        <w:numPr>
          <w:ilvl w:val="0"/>
          <w:numId w:val="0"/>
        </w:numPr>
        <w:suppressLineNumbers/>
        <w:suppressAutoHyphens/>
        <w:kinsoku w:val="0"/>
        <w:adjustRightInd w:val="0"/>
        <w:ind w:firstLine="720"/>
        <w:rPr>
          <w:rFonts w:asciiTheme="majorBidi" w:hAnsiTheme="majorBidi" w:cstheme="majorBidi"/>
        </w:rPr>
      </w:pPr>
      <w:r w:rsidRPr="00B7059E">
        <w:rPr>
          <w:rFonts w:asciiTheme="majorBidi" w:hAnsiTheme="majorBidi" w:cstheme="majorBidi"/>
        </w:rPr>
        <w:t>(f)</w:t>
      </w:r>
      <w:r w:rsidRPr="00B7059E">
        <w:rPr>
          <w:rFonts w:asciiTheme="majorBidi" w:hAnsiTheme="majorBidi" w:cstheme="majorBidi"/>
        </w:rPr>
        <w:tab/>
        <w:t>Perform such other activities as may be necessary to carry out its functions.</w:t>
      </w:r>
    </w:p>
    <w:p w14:paraId="77D20207" w14:textId="77777777" w:rsidR="008C379F" w:rsidRPr="00B7059E" w:rsidRDefault="008C379F" w:rsidP="00067A41">
      <w:pPr>
        <w:keepNext/>
        <w:suppressLineNumbers/>
        <w:suppressAutoHyphens/>
        <w:spacing w:before="120" w:after="120"/>
        <w:jc w:val="center"/>
        <w:rPr>
          <w:rFonts w:asciiTheme="majorBidi" w:hAnsiTheme="majorBidi" w:cstheme="majorBidi"/>
          <w:b/>
          <w:caps/>
          <w:color w:val="000000"/>
          <w:szCs w:val="22"/>
          <w:lang w:eastAsia="zh-CN"/>
        </w:rPr>
      </w:pPr>
      <w:r w:rsidRPr="00B7059E">
        <w:rPr>
          <w:rFonts w:asciiTheme="majorBidi" w:hAnsiTheme="majorBidi" w:cstheme="majorBidi"/>
          <w:b/>
          <w:caps/>
          <w:color w:val="000000"/>
          <w:szCs w:val="22"/>
          <w:lang w:eastAsia="zh-CN"/>
        </w:rPr>
        <w:lastRenderedPageBreak/>
        <w:t>V.</w:t>
      </w:r>
      <w:r w:rsidRPr="00B7059E">
        <w:rPr>
          <w:rFonts w:asciiTheme="majorBidi" w:hAnsiTheme="majorBidi" w:cstheme="majorBidi"/>
          <w:b/>
          <w:caps/>
          <w:color w:val="000000"/>
          <w:szCs w:val="22"/>
          <w:lang w:eastAsia="zh-CN"/>
        </w:rPr>
        <w:tab/>
        <w:t>MONITORING AND REVIEW</w:t>
      </w:r>
    </w:p>
    <w:p w14:paraId="4EA4ADA5" w14:textId="77777777" w:rsidR="008C379F" w:rsidRPr="00B7059E" w:rsidRDefault="008C379F" w:rsidP="0034702B">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lang w:val="en-GB"/>
        </w:rPr>
      </w:pPr>
      <w:r>
        <w:rPr>
          <w:rFonts w:asciiTheme="majorBidi" w:hAnsiTheme="majorBidi" w:cstheme="majorBidi"/>
          <w:snapToGrid w:val="0"/>
          <w:kern w:val="22"/>
          <w:lang w:val="en-GB"/>
        </w:rPr>
        <w:t>6</w:t>
      </w:r>
      <w:r w:rsidRPr="00B7059E">
        <w:rPr>
          <w:rFonts w:asciiTheme="majorBidi" w:hAnsiTheme="majorBidi" w:cstheme="majorBidi"/>
          <w:snapToGrid w:val="0"/>
          <w:kern w:val="22"/>
          <w:lang w:val="en-GB"/>
        </w:rPr>
        <w:t xml:space="preserve">. </w:t>
      </w:r>
      <w:r w:rsidRPr="00B7059E">
        <w:rPr>
          <w:rFonts w:asciiTheme="majorBidi" w:hAnsiTheme="majorBidi" w:cstheme="majorBidi"/>
          <w:snapToGrid w:val="0"/>
          <w:kern w:val="22"/>
          <w:lang w:val="en-GB"/>
        </w:rPr>
        <w:tab/>
        <w:t xml:space="preserve">The present mechanism will be monitored and reviewed periodically by the </w:t>
      </w:r>
      <w:r>
        <w:rPr>
          <w:rFonts w:asciiTheme="majorBidi" w:hAnsiTheme="majorBidi" w:cstheme="majorBidi"/>
          <w:snapToGrid w:val="0"/>
          <w:kern w:val="22"/>
          <w:lang w:val="en-GB"/>
        </w:rPr>
        <w:t>I</w:t>
      </w:r>
      <w:r w:rsidRPr="00B7059E">
        <w:rPr>
          <w:rFonts w:asciiTheme="majorBidi" w:hAnsiTheme="majorBidi" w:cstheme="majorBidi"/>
          <w:snapToGrid w:val="0"/>
          <w:kern w:val="22"/>
          <w:lang w:val="en-GB"/>
        </w:rPr>
        <w:t xml:space="preserve">nformal </w:t>
      </w:r>
      <w:r>
        <w:rPr>
          <w:rFonts w:asciiTheme="majorBidi" w:hAnsiTheme="majorBidi" w:cstheme="majorBidi"/>
          <w:snapToGrid w:val="0"/>
          <w:kern w:val="22"/>
          <w:lang w:val="en-GB"/>
        </w:rPr>
        <w:t>A</w:t>
      </w:r>
      <w:r w:rsidRPr="00B7059E">
        <w:rPr>
          <w:rFonts w:asciiTheme="majorBidi" w:hAnsiTheme="majorBidi" w:cstheme="majorBidi"/>
          <w:snapToGrid w:val="0"/>
          <w:kern w:val="22"/>
          <w:lang w:val="en-GB"/>
        </w:rPr>
        <w:t xml:space="preserve">dvisory </w:t>
      </w:r>
      <w:r>
        <w:rPr>
          <w:rFonts w:asciiTheme="majorBidi" w:hAnsiTheme="majorBidi" w:cstheme="majorBidi"/>
          <w:snapToGrid w:val="0"/>
          <w:kern w:val="22"/>
          <w:lang w:val="en-GB"/>
        </w:rPr>
        <w:t>G</w:t>
      </w:r>
      <w:r w:rsidRPr="00B7059E">
        <w:rPr>
          <w:rFonts w:asciiTheme="majorBidi" w:hAnsiTheme="majorBidi" w:cstheme="majorBidi"/>
          <w:snapToGrid w:val="0"/>
          <w:kern w:val="22"/>
          <w:lang w:val="en-GB"/>
        </w:rPr>
        <w:t xml:space="preserve">roup on </w:t>
      </w:r>
      <w:r>
        <w:rPr>
          <w:rFonts w:asciiTheme="majorBidi" w:hAnsiTheme="majorBidi" w:cstheme="majorBidi"/>
          <w:snapToGrid w:val="0"/>
          <w:kern w:val="22"/>
          <w:lang w:val="en-GB"/>
        </w:rPr>
        <w:t>T</w:t>
      </w:r>
      <w:r w:rsidRPr="00B7059E">
        <w:rPr>
          <w:rFonts w:asciiTheme="majorBidi" w:hAnsiTheme="majorBidi" w:cstheme="majorBidi"/>
          <w:snapToGrid w:val="0"/>
          <w:kern w:val="22"/>
          <w:lang w:val="en-GB"/>
        </w:rPr>
        <w:t xml:space="preserve">echnical and </w:t>
      </w:r>
      <w:r>
        <w:rPr>
          <w:rFonts w:asciiTheme="majorBidi" w:hAnsiTheme="majorBidi" w:cstheme="majorBidi"/>
          <w:snapToGrid w:val="0"/>
          <w:kern w:val="22"/>
          <w:lang w:val="en-GB"/>
        </w:rPr>
        <w:t>S</w:t>
      </w:r>
      <w:r w:rsidRPr="00B7059E">
        <w:rPr>
          <w:rFonts w:asciiTheme="majorBidi" w:hAnsiTheme="majorBidi" w:cstheme="majorBidi"/>
          <w:snapToGrid w:val="0"/>
          <w:kern w:val="22"/>
          <w:lang w:val="en-GB"/>
        </w:rPr>
        <w:t xml:space="preserve">cientific </w:t>
      </w:r>
      <w:r>
        <w:rPr>
          <w:rFonts w:asciiTheme="majorBidi" w:hAnsiTheme="majorBidi" w:cstheme="majorBidi"/>
          <w:snapToGrid w:val="0"/>
          <w:kern w:val="22"/>
          <w:lang w:val="en-GB"/>
        </w:rPr>
        <w:t>C</w:t>
      </w:r>
      <w:r w:rsidRPr="00B7059E">
        <w:rPr>
          <w:rFonts w:asciiTheme="majorBidi" w:hAnsiTheme="majorBidi" w:cstheme="majorBidi"/>
          <w:snapToGrid w:val="0"/>
          <w:kern w:val="22"/>
          <w:lang w:val="en-GB"/>
        </w:rPr>
        <w:t xml:space="preserve">ooperation. If necessary, the </w:t>
      </w:r>
      <w:r>
        <w:rPr>
          <w:rFonts w:asciiTheme="majorBidi" w:hAnsiTheme="majorBidi" w:cstheme="majorBidi"/>
          <w:snapToGrid w:val="0"/>
          <w:kern w:val="22"/>
          <w:lang w:val="en-GB"/>
        </w:rPr>
        <w:t>I</w:t>
      </w:r>
      <w:r w:rsidRPr="00B7059E">
        <w:rPr>
          <w:rFonts w:asciiTheme="majorBidi" w:hAnsiTheme="majorBidi" w:cstheme="majorBidi"/>
          <w:snapToGrid w:val="0"/>
          <w:kern w:val="22"/>
          <w:lang w:val="en-GB"/>
        </w:rPr>
        <w:t xml:space="preserve">nformal </w:t>
      </w:r>
      <w:r>
        <w:rPr>
          <w:rFonts w:asciiTheme="majorBidi" w:hAnsiTheme="majorBidi" w:cstheme="majorBidi"/>
          <w:snapToGrid w:val="0"/>
          <w:kern w:val="22"/>
          <w:lang w:val="en-GB"/>
        </w:rPr>
        <w:t>A</w:t>
      </w:r>
      <w:r w:rsidRPr="00B7059E">
        <w:rPr>
          <w:rFonts w:asciiTheme="majorBidi" w:hAnsiTheme="majorBidi" w:cstheme="majorBidi"/>
          <w:snapToGrid w:val="0"/>
          <w:kern w:val="22"/>
          <w:lang w:val="en-GB"/>
        </w:rPr>
        <w:t xml:space="preserve">dvisory </w:t>
      </w:r>
      <w:r>
        <w:rPr>
          <w:rFonts w:asciiTheme="majorBidi" w:hAnsiTheme="majorBidi" w:cstheme="majorBidi"/>
          <w:snapToGrid w:val="0"/>
          <w:kern w:val="22"/>
          <w:lang w:val="en-GB"/>
        </w:rPr>
        <w:t>G</w:t>
      </w:r>
      <w:r w:rsidRPr="00B7059E">
        <w:rPr>
          <w:rFonts w:asciiTheme="majorBidi" w:hAnsiTheme="majorBidi" w:cstheme="majorBidi"/>
          <w:snapToGrid w:val="0"/>
          <w:kern w:val="22"/>
          <w:lang w:val="en-GB"/>
        </w:rPr>
        <w:t xml:space="preserve">roup will make recommendations on possible updates regarding the relevance and effectiveness of this mechanism in supporting the implementation of the </w:t>
      </w:r>
      <w:r>
        <w:rPr>
          <w:rFonts w:asciiTheme="majorBidi" w:hAnsiTheme="majorBidi" w:cstheme="majorBidi"/>
          <w:snapToGrid w:val="0"/>
          <w:kern w:val="22"/>
          <w:lang w:val="en-GB"/>
        </w:rPr>
        <w:t>Kunming-Montreal G</w:t>
      </w:r>
      <w:r w:rsidRPr="00B7059E">
        <w:rPr>
          <w:rFonts w:asciiTheme="majorBidi" w:hAnsiTheme="majorBidi" w:cstheme="majorBidi"/>
          <w:snapToGrid w:val="0"/>
          <w:kern w:val="22"/>
          <w:lang w:val="en-GB"/>
        </w:rPr>
        <w:t xml:space="preserve">lobal </w:t>
      </w:r>
      <w:r>
        <w:rPr>
          <w:rFonts w:asciiTheme="majorBidi" w:hAnsiTheme="majorBidi" w:cstheme="majorBidi"/>
          <w:snapToGrid w:val="0"/>
          <w:kern w:val="22"/>
          <w:lang w:val="en-GB"/>
        </w:rPr>
        <w:t>B</w:t>
      </w:r>
      <w:r w:rsidRPr="00B7059E">
        <w:rPr>
          <w:rFonts w:asciiTheme="majorBidi" w:hAnsiTheme="majorBidi" w:cstheme="majorBidi"/>
          <w:snapToGrid w:val="0"/>
          <w:kern w:val="22"/>
          <w:lang w:val="en-GB"/>
        </w:rPr>
        <w:t xml:space="preserve">iodiversity </w:t>
      </w:r>
      <w:r>
        <w:rPr>
          <w:rFonts w:asciiTheme="majorBidi" w:hAnsiTheme="majorBidi" w:cstheme="majorBidi"/>
          <w:snapToGrid w:val="0"/>
          <w:kern w:val="22"/>
          <w:lang w:val="en-GB"/>
        </w:rPr>
        <w:t>F</w:t>
      </w:r>
      <w:r w:rsidRPr="00B7059E">
        <w:rPr>
          <w:rFonts w:asciiTheme="majorBidi" w:hAnsiTheme="majorBidi" w:cstheme="majorBidi"/>
          <w:snapToGrid w:val="0"/>
          <w:kern w:val="22"/>
          <w:lang w:val="en-GB"/>
        </w:rPr>
        <w:t xml:space="preserve">ramework, which will be submitted for the consideration of the Subsidiary Body of Implementation and the Conference of the Parties. </w:t>
      </w:r>
      <w:r>
        <w:rPr>
          <w:rFonts w:asciiTheme="majorBidi" w:hAnsiTheme="majorBidi" w:cstheme="majorBidi"/>
          <w:snapToGrid w:val="0"/>
          <w:kern w:val="22"/>
          <w:lang w:val="en-GB"/>
        </w:rPr>
        <w:t xml:space="preserve"> </w:t>
      </w:r>
      <w:r w:rsidRPr="00B7059E">
        <w:rPr>
          <w:rFonts w:asciiTheme="majorBidi" w:hAnsiTheme="majorBidi" w:cstheme="majorBidi"/>
          <w:kern w:val="22"/>
          <w:lang w:val="en-GB"/>
        </w:rPr>
        <w:t xml:space="preserve">A first review will be carried out in conjunction with the global review of the </w:t>
      </w:r>
      <w:r>
        <w:rPr>
          <w:rFonts w:asciiTheme="majorBidi" w:hAnsiTheme="majorBidi" w:cstheme="majorBidi"/>
          <w:kern w:val="22"/>
          <w:lang w:val="en-GB"/>
        </w:rPr>
        <w:t>Kunming-Montreal G</w:t>
      </w:r>
      <w:r w:rsidRPr="00B7059E">
        <w:rPr>
          <w:rFonts w:asciiTheme="majorBidi" w:hAnsiTheme="majorBidi" w:cstheme="majorBidi"/>
          <w:kern w:val="22"/>
          <w:lang w:val="en-GB"/>
        </w:rPr>
        <w:t xml:space="preserve">lobal </w:t>
      </w:r>
      <w:r>
        <w:rPr>
          <w:rFonts w:asciiTheme="majorBidi" w:hAnsiTheme="majorBidi" w:cstheme="majorBidi"/>
          <w:kern w:val="22"/>
          <w:lang w:val="en-GB"/>
        </w:rPr>
        <w:t>B</w:t>
      </w:r>
      <w:r w:rsidRPr="00B7059E">
        <w:rPr>
          <w:rFonts w:asciiTheme="majorBidi" w:hAnsiTheme="majorBidi" w:cstheme="majorBidi"/>
          <w:kern w:val="22"/>
          <w:lang w:val="en-GB"/>
        </w:rPr>
        <w:t xml:space="preserve">iodiversity </w:t>
      </w:r>
      <w:r>
        <w:rPr>
          <w:rFonts w:asciiTheme="majorBidi" w:hAnsiTheme="majorBidi" w:cstheme="majorBidi"/>
          <w:kern w:val="22"/>
          <w:lang w:val="en-GB"/>
        </w:rPr>
        <w:t>F</w:t>
      </w:r>
      <w:r w:rsidRPr="00B7059E">
        <w:rPr>
          <w:rFonts w:asciiTheme="majorBidi" w:hAnsiTheme="majorBidi" w:cstheme="majorBidi"/>
          <w:kern w:val="22"/>
          <w:lang w:val="en-GB"/>
        </w:rPr>
        <w:t xml:space="preserve">ramework, including the means of </w:t>
      </w:r>
      <w:r w:rsidRPr="003E76AA">
        <w:rPr>
          <w:rFonts w:asciiTheme="majorBidi" w:hAnsiTheme="majorBidi" w:cstheme="majorBidi"/>
          <w:kern w:val="22"/>
          <w:lang w:val="en-GB"/>
        </w:rPr>
        <w:t>implementation,</w:t>
      </w:r>
      <w:r w:rsidRPr="00B7059E">
        <w:rPr>
          <w:rFonts w:asciiTheme="majorBidi" w:hAnsiTheme="majorBidi" w:cstheme="majorBidi"/>
          <w:kern w:val="22"/>
          <w:lang w:val="en-GB"/>
        </w:rPr>
        <w:t xml:space="preserve"> </w:t>
      </w:r>
      <w:r>
        <w:rPr>
          <w:rFonts w:asciiTheme="majorBidi" w:hAnsiTheme="majorBidi" w:cstheme="majorBidi"/>
          <w:kern w:val="22"/>
          <w:lang w:val="en-GB"/>
        </w:rPr>
        <w:t xml:space="preserve">for consideration </w:t>
      </w:r>
      <w:r w:rsidRPr="0069233A">
        <w:rPr>
          <w:rFonts w:asciiTheme="majorBidi" w:hAnsiTheme="majorBidi" w:cstheme="majorBidi"/>
          <w:kern w:val="22"/>
          <w:lang w:val="en-GB"/>
        </w:rPr>
        <w:t>at the seventeenth meeting of the Conference of the Parties.</w:t>
      </w:r>
    </w:p>
    <w:p w14:paraId="1EA66A63" w14:textId="77777777" w:rsidR="008C379F" w:rsidRPr="00B7059E" w:rsidRDefault="008C379F" w:rsidP="00E4192A">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kern w:val="22"/>
          <w:lang w:val="en-GB"/>
        </w:rPr>
      </w:pPr>
      <w:r>
        <w:rPr>
          <w:rFonts w:asciiTheme="majorBidi" w:hAnsiTheme="majorBidi" w:cstheme="majorBidi"/>
          <w:kern w:val="22"/>
          <w:lang w:val="en-GB"/>
        </w:rPr>
        <w:t>7</w:t>
      </w:r>
      <w:r w:rsidRPr="00B7059E">
        <w:rPr>
          <w:rFonts w:asciiTheme="majorBidi" w:hAnsiTheme="majorBidi" w:cstheme="majorBidi"/>
          <w:kern w:val="22"/>
          <w:lang w:val="en-GB"/>
        </w:rPr>
        <w:t>.</w:t>
      </w:r>
      <w:r w:rsidRPr="00B7059E">
        <w:rPr>
          <w:rFonts w:asciiTheme="majorBidi" w:hAnsiTheme="majorBidi" w:cstheme="majorBidi"/>
          <w:kern w:val="22"/>
          <w:lang w:val="en-GB"/>
        </w:rPr>
        <w:tab/>
        <w:t>An independent evaluation will be undertaken</w:t>
      </w:r>
      <w:r>
        <w:rPr>
          <w:rFonts w:asciiTheme="majorBidi" w:hAnsiTheme="majorBidi" w:cstheme="majorBidi"/>
          <w:kern w:val="22"/>
          <w:lang w:val="en-GB"/>
        </w:rPr>
        <w:t>,</w:t>
      </w:r>
      <w:r w:rsidRPr="00B7059E">
        <w:rPr>
          <w:rFonts w:asciiTheme="majorBidi" w:hAnsiTheme="majorBidi" w:cstheme="majorBidi"/>
          <w:kern w:val="22"/>
          <w:lang w:val="en-GB"/>
        </w:rPr>
        <w:t xml:space="preserve"> together with the review of the long-term strategic framework for capacity</w:t>
      </w:r>
      <w:r w:rsidRPr="00B7059E">
        <w:rPr>
          <w:rFonts w:asciiTheme="majorBidi" w:hAnsiTheme="majorBidi" w:cstheme="majorBidi"/>
          <w:kern w:val="22"/>
          <w:lang w:val="en-GB"/>
        </w:rPr>
        <w:noBreakHyphen/>
        <w:t xml:space="preserve">building and development and in conjunction with the global review of the </w:t>
      </w:r>
      <w:r>
        <w:rPr>
          <w:rFonts w:asciiTheme="majorBidi" w:hAnsiTheme="majorBidi" w:cstheme="majorBidi"/>
          <w:kern w:val="22"/>
          <w:lang w:val="en-GB"/>
        </w:rPr>
        <w:t>Kunming-Montreal G</w:t>
      </w:r>
      <w:r w:rsidRPr="00B7059E">
        <w:rPr>
          <w:rFonts w:asciiTheme="majorBidi" w:hAnsiTheme="majorBidi" w:cstheme="majorBidi"/>
          <w:kern w:val="22"/>
          <w:lang w:val="en-GB"/>
        </w:rPr>
        <w:t xml:space="preserve">lobal </w:t>
      </w:r>
      <w:r>
        <w:rPr>
          <w:rFonts w:asciiTheme="majorBidi" w:hAnsiTheme="majorBidi" w:cstheme="majorBidi"/>
          <w:kern w:val="22"/>
          <w:lang w:val="en-GB"/>
        </w:rPr>
        <w:t>B</w:t>
      </w:r>
      <w:r w:rsidRPr="00B7059E">
        <w:rPr>
          <w:rFonts w:asciiTheme="majorBidi" w:hAnsiTheme="majorBidi" w:cstheme="majorBidi"/>
          <w:kern w:val="22"/>
          <w:lang w:val="en-GB"/>
        </w:rPr>
        <w:t xml:space="preserve">iodiversity </w:t>
      </w:r>
      <w:r>
        <w:rPr>
          <w:rFonts w:asciiTheme="majorBidi" w:hAnsiTheme="majorBidi" w:cstheme="majorBidi"/>
          <w:kern w:val="22"/>
          <w:lang w:val="en-GB"/>
        </w:rPr>
        <w:t>F</w:t>
      </w:r>
      <w:r w:rsidRPr="00B7059E">
        <w:rPr>
          <w:rFonts w:asciiTheme="majorBidi" w:hAnsiTheme="majorBidi" w:cstheme="majorBidi"/>
          <w:kern w:val="22"/>
          <w:lang w:val="en-GB"/>
        </w:rPr>
        <w:t xml:space="preserve">ramework, including </w:t>
      </w:r>
      <w:r>
        <w:rPr>
          <w:rFonts w:asciiTheme="majorBidi" w:hAnsiTheme="majorBidi" w:cstheme="majorBidi"/>
          <w:kern w:val="22"/>
          <w:lang w:val="en-GB"/>
        </w:rPr>
        <w:t xml:space="preserve">an </w:t>
      </w:r>
      <w:r w:rsidRPr="0005089C">
        <w:rPr>
          <w:rFonts w:asciiTheme="majorBidi" w:hAnsiTheme="majorBidi" w:cstheme="majorBidi"/>
          <w:kern w:val="22"/>
          <w:lang w:val="en-GB"/>
        </w:rPr>
        <w:t>evaluation of the</w:t>
      </w:r>
      <w:r w:rsidRPr="00B7059E">
        <w:rPr>
          <w:rFonts w:asciiTheme="majorBidi" w:hAnsiTheme="majorBidi" w:cstheme="majorBidi"/>
          <w:kern w:val="22"/>
          <w:lang w:val="en-GB"/>
        </w:rPr>
        <w:t xml:space="preserve"> means </w:t>
      </w:r>
      <w:r w:rsidRPr="0069233A">
        <w:rPr>
          <w:rFonts w:asciiTheme="majorBidi" w:hAnsiTheme="majorBidi" w:cstheme="majorBidi"/>
          <w:kern w:val="22"/>
          <w:lang w:val="en-GB"/>
        </w:rPr>
        <w:t>of implementation,</w:t>
      </w:r>
      <w:r w:rsidRPr="00B7059E">
        <w:rPr>
          <w:rFonts w:asciiTheme="majorBidi" w:hAnsiTheme="majorBidi" w:cstheme="majorBidi"/>
          <w:kern w:val="22"/>
          <w:lang w:val="en-GB"/>
        </w:rPr>
        <w:t xml:space="preserve"> and the Secretariat will submit a report to facilitate its review by the Subsidiary Body on Implementation and by the Conference of the Parties at its nineteenth meeting.</w:t>
      </w:r>
    </w:p>
    <w:p w14:paraId="0D3A6168" w14:textId="77777777" w:rsidR="008C379F" w:rsidRPr="00B7059E" w:rsidRDefault="008C379F" w:rsidP="00067A41">
      <w:pPr>
        <w:pStyle w:val="CBD-Para"/>
        <w:keepNext/>
        <w:keepLines w:val="0"/>
        <w:numPr>
          <w:ilvl w:val="0"/>
          <w:numId w:val="0"/>
        </w:numPr>
        <w:suppressLineNumbers/>
        <w:tabs>
          <w:tab w:val="left" w:pos="720"/>
        </w:tabs>
        <w:suppressAutoHyphens/>
        <w:kinsoku w:val="0"/>
        <w:overflowPunct w:val="0"/>
        <w:autoSpaceDE w:val="0"/>
        <w:autoSpaceDN w:val="0"/>
        <w:adjustRightInd w:val="0"/>
        <w:snapToGrid w:val="0"/>
        <w:jc w:val="center"/>
        <w:rPr>
          <w:rFonts w:asciiTheme="majorBidi" w:hAnsiTheme="majorBidi" w:cstheme="majorBidi"/>
          <w:i/>
          <w:iCs/>
          <w:snapToGrid w:val="0"/>
          <w:kern w:val="22"/>
          <w:lang w:val="en-GB"/>
        </w:rPr>
      </w:pPr>
      <w:bookmarkStart w:id="110" w:name="_Toc57214912"/>
      <w:bookmarkStart w:id="111" w:name="_Toc118355010"/>
      <w:bookmarkEnd w:id="109"/>
      <w:r w:rsidRPr="00B7059E">
        <w:rPr>
          <w:rFonts w:asciiTheme="majorBidi" w:hAnsiTheme="majorBidi" w:cstheme="majorBidi"/>
          <w:i/>
          <w:iCs/>
          <w:snapToGrid w:val="0"/>
          <w:kern w:val="22"/>
          <w:lang w:val="en-GB"/>
        </w:rPr>
        <w:t xml:space="preserve">Annex </w:t>
      </w:r>
      <w:bookmarkEnd w:id="110"/>
      <w:r w:rsidRPr="00B7059E">
        <w:rPr>
          <w:rFonts w:asciiTheme="majorBidi" w:hAnsiTheme="majorBidi" w:cstheme="majorBidi"/>
          <w:i/>
          <w:iCs/>
          <w:snapToGrid w:val="0"/>
          <w:kern w:val="22"/>
          <w:lang w:val="en-GB"/>
        </w:rPr>
        <w:t>III</w:t>
      </w:r>
      <w:bookmarkEnd w:id="111"/>
    </w:p>
    <w:p w14:paraId="13B79519" w14:textId="77777777" w:rsidR="008C379F" w:rsidRPr="00B7059E" w:rsidRDefault="008C379F" w:rsidP="00575C1C">
      <w:pPr>
        <w:pStyle w:val="NormalWeb"/>
        <w:keepNext/>
        <w:suppressLineNumbers/>
        <w:suppressAutoHyphens/>
        <w:kinsoku w:val="0"/>
        <w:overflowPunct w:val="0"/>
        <w:adjustRightInd w:val="0"/>
        <w:snapToGrid w:val="0"/>
        <w:spacing w:before="120" w:after="120"/>
        <w:jc w:val="center"/>
        <w:rPr>
          <w:rFonts w:asciiTheme="majorBidi" w:hAnsiTheme="majorBidi" w:cstheme="majorBidi"/>
          <w:bCs/>
          <w:caps/>
          <w:snapToGrid w:val="0"/>
          <w:kern w:val="22"/>
          <w:sz w:val="22"/>
          <w:szCs w:val="22"/>
        </w:rPr>
      </w:pPr>
      <w:bookmarkStart w:id="112" w:name="_Toc57214913"/>
      <w:bookmarkStart w:id="113" w:name="_Toc118355011"/>
      <w:r w:rsidRPr="00B7059E">
        <w:rPr>
          <w:rFonts w:asciiTheme="majorBidi" w:hAnsiTheme="majorBidi" w:cstheme="majorBidi"/>
          <w:b/>
          <w:bCs/>
          <w:snapToGrid w:val="0"/>
          <w:kern w:val="22"/>
          <w:sz w:val="22"/>
          <w:szCs w:val="22"/>
        </w:rPr>
        <w:t>T</w:t>
      </w:r>
      <w:r w:rsidRPr="00B7059E">
        <w:rPr>
          <w:rFonts w:asciiTheme="majorBidi" w:hAnsiTheme="majorBidi" w:cstheme="majorBidi"/>
          <w:b/>
          <w:bCs/>
          <w:caps/>
          <w:snapToGrid w:val="0"/>
          <w:kern w:val="22"/>
          <w:sz w:val="22"/>
          <w:szCs w:val="22"/>
        </w:rPr>
        <w:t>erms of reference of the Informal Advisory Group on Technical and Scientific Cooperation</w:t>
      </w:r>
      <w:bookmarkEnd w:id="112"/>
      <w:bookmarkEnd w:id="113"/>
    </w:p>
    <w:p w14:paraId="04DF8A0C" w14:textId="77777777" w:rsidR="008C379F" w:rsidRPr="00981752" w:rsidRDefault="008C379F" w:rsidP="00606510">
      <w:pPr>
        <w:pStyle w:val="heading2notforTOC"/>
        <w:outlineLvl w:val="9"/>
        <w:rPr>
          <w:rFonts w:asciiTheme="majorBidi" w:hAnsiTheme="majorBidi" w:cstheme="majorBidi"/>
          <w:b/>
          <w:i w:val="0"/>
          <w:iCs w:val="0"/>
          <w:snapToGrid w:val="0"/>
          <w:szCs w:val="22"/>
        </w:rPr>
      </w:pPr>
      <w:bookmarkStart w:id="114" w:name="_Toc57214914"/>
      <w:r w:rsidRPr="00981752">
        <w:rPr>
          <w:rFonts w:asciiTheme="majorBidi" w:hAnsiTheme="majorBidi" w:cstheme="majorBidi"/>
          <w:b/>
          <w:i w:val="0"/>
          <w:iCs w:val="0"/>
          <w:snapToGrid w:val="0"/>
          <w:szCs w:val="22"/>
        </w:rPr>
        <w:t>A.</w:t>
      </w:r>
      <w:r w:rsidRPr="00981752">
        <w:rPr>
          <w:rFonts w:asciiTheme="majorBidi" w:hAnsiTheme="majorBidi" w:cstheme="majorBidi"/>
          <w:b/>
          <w:i w:val="0"/>
          <w:iCs w:val="0"/>
          <w:snapToGrid w:val="0"/>
          <w:szCs w:val="22"/>
        </w:rPr>
        <w:tab/>
        <w:t>Background</w:t>
      </w:r>
      <w:bookmarkEnd w:id="114"/>
    </w:p>
    <w:p w14:paraId="0EBF970C" w14:textId="77777777" w:rsidR="008C379F" w:rsidRPr="00B7059E" w:rsidRDefault="008C379F" w:rsidP="0015098B">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spacing w:val="-2"/>
          <w:kern w:val="22"/>
          <w:lang w:val="en-GB"/>
        </w:rPr>
      </w:pPr>
      <w:r w:rsidRPr="00B7059E">
        <w:rPr>
          <w:rFonts w:asciiTheme="majorBidi" w:hAnsiTheme="majorBidi" w:cstheme="majorBidi"/>
          <w:snapToGrid w:val="0"/>
          <w:kern w:val="22"/>
          <w:lang w:val="en-GB"/>
        </w:rPr>
        <w:t>1.</w:t>
      </w:r>
      <w:r w:rsidRPr="00B7059E">
        <w:rPr>
          <w:rFonts w:asciiTheme="majorBidi" w:hAnsiTheme="majorBidi" w:cstheme="majorBidi"/>
          <w:snapToGrid w:val="0"/>
          <w:kern w:val="22"/>
          <w:lang w:val="en-GB"/>
        </w:rPr>
        <w:tab/>
        <w:t xml:space="preserve">Article 18 of the Convention on Biological Diversity requires Parties to promote international technical and scientific cooperation </w:t>
      </w:r>
      <w:r w:rsidRPr="00E020FC">
        <w:rPr>
          <w:rFonts w:asciiTheme="majorBidi" w:hAnsiTheme="majorBidi" w:cstheme="majorBidi"/>
          <w:snapToGrid w:val="0"/>
          <w:kern w:val="22"/>
          <w:lang w:val="en-GB"/>
        </w:rPr>
        <w:t>with</w:t>
      </w:r>
      <w:r w:rsidRPr="00B7059E">
        <w:rPr>
          <w:rFonts w:asciiTheme="majorBidi" w:hAnsiTheme="majorBidi" w:cstheme="majorBidi"/>
          <w:snapToGrid w:val="0"/>
          <w:kern w:val="22"/>
          <w:lang w:val="en-GB"/>
        </w:rPr>
        <w:t xml:space="preserve"> other Parties, in particularly developing country Parties, in the field of conservation and sustainable use of biological diversity, where necessary, through appropriate international and national institutions, including by promoting cooperation in human resources development and institution-building, encouraging and developing methods of cooperation for the development and use of relevant technologies (including indigenous and traditional technologies), promoting cooperation in the training of personnel and exchange of experts, and promoting the establishment of joint research programmes and joint ventures for </w:t>
      </w:r>
      <w:r>
        <w:rPr>
          <w:rFonts w:asciiTheme="majorBidi" w:hAnsiTheme="majorBidi" w:cstheme="majorBidi"/>
          <w:snapToGrid w:val="0"/>
          <w:kern w:val="22"/>
          <w:lang w:val="en-GB"/>
        </w:rPr>
        <w:t xml:space="preserve">the </w:t>
      </w:r>
      <w:r w:rsidRPr="00B7059E">
        <w:rPr>
          <w:rFonts w:asciiTheme="majorBidi" w:hAnsiTheme="majorBidi" w:cstheme="majorBidi"/>
          <w:snapToGrid w:val="0"/>
          <w:kern w:val="22"/>
          <w:lang w:val="en-GB"/>
        </w:rPr>
        <w:t>development of relevant technologies. Article 18 also stresses the importance of the clearing-house mechanism for fostering technical and scientific cooperation.</w:t>
      </w:r>
    </w:p>
    <w:p w14:paraId="67127309" w14:textId="77777777" w:rsidR="008C379F" w:rsidRPr="00B7059E" w:rsidRDefault="008C379F" w:rsidP="00A30041">
      <w:pPr>
        <w:pStyle w:val="CBD-Para"/>
        <w:keepLines w:val="0"/>
        <w:numPr>
          <w:ilvl w:val="0"/>
          <w:numId w:val="0"/>
        </w:numPr>
        <w:suppressLineNumbers/>
        <w:suppressAutoHyphens/>
        <w:kinsoku w:val="0"/>
        <w:overflowPunct w:val="0"/>
        <w:autoSpaceDE w:val="0"/>
        <w:autoSpaceDN w:val="0"/>
        <w:adjustRightInd w:val="0"/>
        <w:snapToGrid w:val="0"/>
        <w:rPr>
          <w:rFonts w:asciiTheme="majorBidi" w:hAnsiTheme="majorBidi" w:cstheme="majorBidi"/>
          <w:snapToGrid w:val="0"/>
          <w:spacing w:val="-2"/>
          <w:kern w:val="22"/>
          <w:lang w:val="en-GB"/>
        </w:rPr>
      </w:pPr>
      <w:r w:rsidRPr="00B7059E">
        <w:rPr>
          <w:rFonts w:asciiTheme="majorBidi" w:hAnsiTheme="majorBidi" w:cstheme="majorBidi"/>
          <w:snapToGrid w:val="0"/>
          <w:spacing w:val="-2"/>
          <w:kern w:val="22"/>
          <w:lang w:val="en-GB"/>
        </w:rPr>
        <w:t>2.</w:t>
      </w:r>
      <w:r w:rsidRPr="00B7059E">
        <w:rPr>
          <w:rFonts w:asciiTheme="majorBidi" w:hAnsiTheme="majorBidi" w:cstheme="majorBidi"/>
          <w:snapToGrid w:val="0"/>
          <w:spacing w:val="-2"/>
          <w:kern w:val="22"/>
          <w:lang w:val="en-GB"/>
        </w:rPr>
        <w:tab/>
      </w:r>
      <w:r w:rsidRPr="00B7059E">
        <w:rPr>
          <w:rFonts w:asciiTheme="majorBidi" w:hAnsiTheme="majorBidi" w:cstheme="majorBidi"/>
          <w:snapToGrid w:val="0"/>
          <w:kern w:val="22"/>
          <w:lang w:val="en-GB" w:eastAsia="en-CA"/>
        </w:rPr>
        <w:t xml:space="preserve">In decisions, VII/29, VIII/12, IX/14, X/15, X/16, XII/2 B, XIII/23 and XIII/31, the Conference of the Parties </w:t>
      </w:r>
      <w:r w:rsidRPr="00B7059E">
        <w:rPr>
          <w:rFonts w:asciiTheme="majorBidi" w:hAnsiTheme="majorBidi" w:cstheme="majorBidi"/>
          <w:snapToGrid w:val="0"/>
          <w:kern w:val="22"/>
          <w:lang w:val="en-GB"/>
        </w:rPr>
        <w:t xml:space="preserve">adopted a number of measures and provided guidance on various aspects </w:t>
      </w:r>
      <w:r w:rsidRPr="00B7059E">
        <w:rPr>
          <w:rFonts w:asciiTheme="majorBidi" w:hAnsiTheme="majorBidi" w:cstheme="majorBidi"/>
          <w:snapToGrid w:val="0"/>
          <w:kern w:val="22"/>
          <w:lang w:val="en-GB" w:eastAsia="en-CA"/>
        </w:rPr>
        <w:t>relating to technical and scientific cooperation and technology transfer.</w:t>
      </w:r>
    </w:p>
    <w:p w14:paraId="49D40BA4"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lang w:val="en-GB"/>
        </w:rPr>
      </w:pPr>
      <w:r w:rsidRPr="00B7059E">
        <w:rPr>
          <w:rFonts w:asciiTheme="majorBidi" w:hAnsiTheme="majorBidi" w:cstheme="majorBidi"/>
          <w:snapToGrid w:val="0"/>
          <w:kern w:val="22"/>
          <w:lang w:val="en-GB"/>
        </w:rPr>
        <w:t>3.</w:t>
      </w:r>
      <w:r w:rsidRPr="00B7059E">
        <w:rPr>
          <w:rFonts w:asciiTheme="majorBidi" w:hAnsiTheme="majorBidi" w:cstheme="majorBidi"/>
          <w:snapToGrid w:val="0"/>
          <w:kern w:val="22"/>
          <w:lang w:val="en-GB"/>
        </w:rPr>
        <w:tab/>
      </w:r>
      <w:r w:rsidRPr="00B7059E">
        <w:rPr>
          <w:rFonts w:asciiTheme="majorBidi" w:hAnsiTheme="majorBidi" w:cstheme="majorBidi"/>
          <w:snapToGrid w:val="0"/>
          <w:kern w:val="22"/>
          <w:lang w:val="en-GB" w:eastAsia="en-CA"/>
        </w:rPr>
        <w:t>In decision 1</w:t>
      </w:r>
      <w:r w:rsidRPr="00B7059E">
        <w:rPr>
          <w:rFonts w:asciiTheme="majorBidi" w:eastAsia="Malgun Gothic" w:hAnsiTheme="majorBidi" w:cstheme="majorBidi"/>
          <w:snapToGrid w:val="0"/>
          <w:kern w:val="22"/>
          <w:lang w:val="en-GB"/>
        </w:rPr>
        <w:t xml:space="preserve">4/24 B, the Conference of the Parties </w:t>
      </w:r>
      <w:r w:rsidRPr="00B7059E">
        <w:rPr>
          <w:rFonts w:asciiTheme="majorBidi" w:hAnsiTheme="majorBidi" w:cstheme="majorBidi"/>
          <w:snapToGrid w:val="0"/>
          <w:kern w:val="22"/>
          <w:lang w:val="en-GB"/>
        </w:rPr>
        <w:t xml:space="preserve">decided to consider establishing, at its fifteenth meeting, an informal advisory group on technical and scientific cooperation, to be operational at the end of the mandate of </w:t>
      </w:r>
      <w:r w:rsidRPr="00C4722C">
        <w:rPr>
          <w:rFonts w:asciiTheme="majorBidi" w:hAnsiTheme="majorBidi" w:cstheme="majorBidi"/>
          <w:snapToGrid w:val="0"/>
          <w:kern w:val="22"/>
          <w:lang w:val="en-GB"/>
        </w:rPr>
        <w:t>the Informal Advisory Committee to the Clearing-house Mechanism, to provide the Executive Secretary with</w:t>
      </w:r>
      <w:r w:rsidRPr="00B7059E">
        <w:rPr>
          <w:rFonts w:asciiTheme="majorBidi" w:hAnsiTheme="majorBidi" w:cstheme="majorBidi"/>
          <w:snapToGrid w:val="0"/>
          <w:kern w:val="22"/>
          <w:lang w:val="en-GB"/>
        </w:rPr>
        <w:t xml:space="preserve"> advice on practical measures, tools and opportunities to promote technical and scientific cooperation for the effective implementation of the Convention.</w:t>
      </w:r>
    </w:p>
    <w:p w14:paraId="66CF7794" w14:textId="77777777" w:rsidR="008C379F" w:rsidRPr="00981752" w:rsidRDefault="008C379F" w:rsidP="00606510">
      <w:pPr>
        <w:pStyle w:val="heading2notforTOC"/>
        <w:outlineLvl w:val="9"/>
        <w:rPr>
          <w:rFonts w:asciiTheme="majorBidi" w:hAnsiTheme="majorBidi" w:cstheme="majorBidi"/>
          <w:b/>
          <w:i w:val="0"/>
          <w:iCs w:val="0"/>
          <w:snapToGrid w:val="0"/>
          <w:szCs w:val="22"/>
        </w:rPr>
      </w:pPr>
      <w:bookmarkStart w:id="115" w:name="_Toc57214915"/>
      <w:r w:rsidRPr="00981752">
        <w:rPr>
          <w:rFonts w:asciiTheme="majorBidi" w:hAnsiTheme="majorBidi" w:cstheme="majorBidi"/>
          <w:b/>
          <w:i w:val="0"/>
          <w:iCs w:val="0"/>
          <w:snapToGrid w:val="0"/>
          <w:szCs w:val="22"/>
        </w:rPr>
        <w:t>B.</w:t>
      </w:r>
      <w:r w:rsidRPr="00981752">
        <w:rPr>
          <w:rFonts w:asciiTheme="majorBidi" w:hAnsiTheme="majorBidi" w:cstheme="majorBidi"/>
          <w:b/>
          <w:i w:val="0"/>
          <w:iCs w:val="0"/>
          <w:snapToGrid w:val="0"/>
          <w:szCs w:val="22"/>
        </w:rPr>
        <w:tab/>
        <w:t>Purpose</w:t>
      </w:r>
      <w:bookmarkEnd w:id="115"/>
    </w:p>
    <w:p w14:paraId="402B6346"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lang w:val="en-GB" w:eastAsia="en-CA"/>
        </w:rPr>
      </w:pPr>
      <w:r w:rsidRPr="00B7059E">
        <w:rPr>
          <w:rFonts w:asciiTheme="majorBidi" w:hAnsiTheme="majorBidi" w:cstheme="majorBidi"/>
          <w:snapToGrid w:val="0"/>
          <w:kern w:val="22"/>
          <w:lang w:val="en-GB" w:eastAsia="en-CA"/>
        </w:rPr>
        <w:t>4.</w:t>
      </w:r>
      <w:r w:rsidRPr="00B7059E">
        <w:rPr>
          <w:rFonts w:asciiTheme="majorBidi" w:hAnsiTheme="majorBidi" w:cstheme="majorBidi"/>
          <w:snapToGrid w:val="0"/>
          <w:kern w:val="22"/>
          <w:lang w:val="en-GB" w:eastAsia="en-CA"/>
        </w:rPr>
        <w:tab/>
        <w:t>The Informal Advisory Group on Technical and Scientific Cooperation will provide advice and guidance to the Executive Secretary of the Convention on Biological Diversity</w:t>
      </w:r>
      <w:r>
        <w:rPr>
          <w:rFonts w:asciiTheme="majorBidi" w:hAnsiTheme="majorBidi" w:cstheme="majorBidi"/>
          <w:snapToGrid w:val="0"/>
          <w:kern w:val="22"/>
          <w:lang w:val="en-GB" w:eastAsia="en-CA"/>
        </w:rPr>
        <w:t>,</w:t>
      </w:r>
      <w:r w:rsidRPr="00B7059E">
        <w:rPr>
          <w:rFonts w:asciiTheme="majorBidi" w:hAnsiTheme="majorBidi" w:cstheme="majorBidi"/>
          <w:snapToGrid w:val="0"/>
          <w:kern w:val="22"/>
          <w:lang w:val="en-GB" w:eastAsia="en-CA"/>
        </w:rPr>
        <w:t xml:space="preserve"> and </w:t>
      </w:r>
      <w:r>
        <w:rPr>
          <w:rFonts w:asciiTheme="majorBidi" w:hAnsiTheme="majorBidi" w:cstheme="majorBidi"/>
          <w:snapToGrid w:val="0"/>
          <w:kern w:val="22"/>
          <w:lang w:val="en-GB" w:eastAsia="en-CA"/>
        </w:rPr>
        <w:t xml:space="preserve">to </w:t>
      </w:r>
      <w:r w:rsidRPr="00B7059E">
        <w:rPr>
          <w:rFonts w:asciiTheme="majorBidi" w:hAnsiTheme="majorBidi" w:cstheme="majorBidi"/>
          <w:snapToGrid w:val="0"/>
          <w:kern w:val="22"/>
          <w:lang w:val="en-GB" w:eastAsia="en-CA"/>
        </w:rPr>
        <w:t>other relevant bodies and stakeholders</w:t>
      </w:r>
      <w:r>
        <w:rPr>
          <w:rFonts w:asciiTheme="majorBidi" w:hAnsiTheme="majorBidi" w:cstheme="majorBidi"/>
          <w:snapToGrid w:val="0"/>
          <w:kern w:val="22"/>
          <w:lang w:val="en-GB" w:eastAsia="en-CA"/>
        </w:rPr>
        <w:t>,</w:t>
      </w:r>
      <w:r w:rsidRPr="00B7059E">
        <w:rPr>
          <w:rFonts w:asciiTheme="majorBidi" w:hAnsiTheme="majorBidi" w:cstheme="majorBidi"/>
          <w:snapToGrid w:val="0"/>
          <w:kern w:val="22"/>
          <w:lang w:val="en-GB" w:eastAsia="en-CA"/>
        </w:rPr>
        <w:t xml:space="preserve"> on ways and means to promote and facilitate technical and scientific cooperation, technology transfer, capacity</w:t>
      </w:r>
      <w:r>
        <w:rPr>
          <w:rFonts w:asciiTheme="majorBidi" w:hAnsiTheme="majorBidi" w:cstheme="majorBidi"/>
          <w:snapToGrid w:val="0"/>
          <w:kern w:val="22"/>
          <w:lang w:val="en-GB" w:eastAsia="en-CA"/>
        </w:rPr>
        <w:t>-</w:t>
      </w:r>
      <w:r w:rsidRPr="00B7059E">
        <w:rPr>
          <w:rFonts w:asciiTheme="majorBidi" w:hAnsiTheme="majorBidi" w:cstheme="majorBidi"/>
          <w:snapToGrid w:val="0"/>
          <w:kern w:val="22"/>
          <w:lang w:val="en-GB" w:eastAsia="en-CA"/>
        </w:rPr>
        <w:t xml:space="preserve">building and development, knowledge management, and the clearing-house mechanism in support of the </w:t>
      </w:r>
      <w:r>
        <w:rPr>
          <w:rFonts w:asciiTheme="majorBidi" w:hAnsiTheme="majorBidi" w:cstheme="majorBidi"/>
          <w:snapToGrid w:val="0"/>
          <w:kern w:val="22"/>
          <w:lang w:val="en-GB" w:eastAsia="en-CA"/>
        </w:rPr>
        <w:t>Kunming-Montreal G</w:t>
      </w:r>
      <w:r w:rsidRPr="00B7059E">
        <w:rPr>
          <w:rFonts w:asciiTheme="majorBidi" w:hAnsiTheme="majorBidi" w:cstheme="majorBidi"/>
          <w:snapToGrid w:val="0"/>
          <w:kern w:val="22"/>
          <w:lang w:val="en-GB" w:eastAsia="en-CA"/>
        </w:rPr>
        <w:t xml:space="preserve">lobal </w:t>
      </w:r>
      <w:r>
        <w:rPr>
          <w:rFonts w:asciiTheme="majorBidi" w:hAnsiTheme="majorBidi" w:cstheme="majorBidi"/>
          <w:snapToGrid w:val="0"/>
          <w:kern w:val="22"/>
          <w:lang w:val="en-GB" w:eastAsia="en-CA"/>
        </w:rPr>
        <w:t>B</w:t>
      </w:r>
      <w:r w:rsidRPr="00B7059E">
        <w:rPr>
          <w:rFonts w:asciiTheme="majorBidi" w:hAnsiTheme="majorBidi" w:cstheme="majorBidi"/>
          <w:snapToGrid w:val="0"/>
          <w:kern w:val="22"/>
          <w:lang w:val="en-GB" w:eastAsia="en-CA"/>
        </w:rPr>
        <w:t xml:space="preserve">iodiversity </w:t>
      </w:r>
      <w:r>
        <w:rPr>
          <w:rFonts w:asciiTheme="majorBidi" w:hAnsiTheme="majorBidi" w:cstheme="majorBidi"/>
          <w:snapToGrid w:val="0"/>
          <w:kern w:val="22"/>
          <w:lang w:val="en-GB" w:eastAsia="en-CA"/>
        </w:rPr>
        <w:t>F</w:t>
      </w:r>
      <w:r w:rsidRPr="00B7059E">
        <w:rPr>
          <w:rFonts w:asciiTheme="majorBidi" w:hAnsiTheme="majorBidi" w:cstheme="majorBidi"/>
          <w:snapToGrid w:val="0"/>
          <w:kern w:val="22"/>
          <w:lang w:val="en-GB" w:eastAsia="en-CA"/>
        </w:rPr>
        <w:t>ramework,</w:t>
      </w:r>
      <w:r w:rsidRPr="00B7059E">
        <w:rPr>
          <w:rFonts w:asciiTheme="majorBidi" w:hAnsiTheme="majorBidi" w:cstheme="majorBidi"/>
          <w:lang w:val="en-GB"/>
        </w:rPr>
        <w:t xml:space="preserve"> </w:t>
      </w:r>
      <w:r w:rsidRPr="00B7059E">
        <w:rPr>
          <w:rFonts w:asciiTheme="majorBidi" w:hAnsiTheme="majorBidi" w:cstheme="majorBidi"/>
          <w:lang w:val="en-GB" w:eastAsia="en-CA"/>
        </w:rPr>
        <w:t xml:space="preserve">in line with the three objectives of the Convention. </w:t>
      </w:r>
      <w:r w:rsidRPr="00B7059E">
        <w:rPr>
          <w:rFonts w:asciiTheme="majorBidi" w:hAnsiTheme="majorBidi" w:cstheme="majorBidi"/>
          <w:snapToGrid w:val="0"/>
          <w:kern w:val="22"/>
          <w:lang w:val="en-GB" w:eastAsia="en-CA"/>
        </w:rPr>
        <w:t>In particular, the Informal Advisory Group will provide advice, guidance and recommendations on:</w:t>
      </w:r>
    </w:p>
    <w:p w14:paraId="5B8C4D98"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snapToGrid/>
        </w:rPr>
      </w:pPr>
      <w:bookmarkStart w:id="116" w:name="_Hlk15470906"/>
      <w:r w:rsidRPr="00B7059E">
        <w:rPr>
          <w:rFonts w:asciiTheme="majorBidi" w:hAnsiTheme="majorBidi" w:cstheme="majorBidi"/>
          <w:snapToGrid/>
        </w:rPr>
        <w:t>(a)</w:t>
      </w:r>
      <w:r w:rsidRPr="00B7059E">
        <w:rPr>
          <w:rFonts w:asciiTheme="majorBidi" w:hAnsiTheme="majorBidi" w:cstheme="majorBidi"/>
          <w:snapToGrid/>
        </w:rPr>
        <w:tab/>
      </w:r>
      <w:r w:rsidRPr="00B7059E">
        <w:rPr>
          <w:rFonts w:asciiTheme="majorBidi" w:hAnsiTheme="majorBidi" w:cstheme="majorBidi"/>
        </w:rPr>
        <w:t>Practical measures and approaches to promote technical and scientific cooperation for the effective implementation of the Convention;</w:t>
      </w:r>
    </w:p>
    <w:p w14:paraId="30899FE7"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snapToGrid/>
        </w:rPr>
      </w:pPr>
      <w:r w:rsidRPr="00B7059E">
        <w:rPr>
          <w:rFonts w:asciiTheme="majorBidi" w:hAnsiTheme="majorBidi" w:cstheme="majorBidi"/>
          <w:snapToGrid/>
        </w:rPr>
        <w:lastRenderedPageBreak/>
        <w:t>(b)</w:t>
      </w:r>
      <w:r w:rsidRPr="00B7059E">
        <w:rPr>
          <w:rFonts w:asciiTheme="majorBidi" w:hAnsiTheme="majorBidi" w:cstheme="majorBidi"/>
          <w:snapToGrid/>
        </w:rPr>
        <w:tab/>
      </w:r>
      <w:r w:rsidRPr="00B7059E">
        <w:rPr>
          <w:rFonts w:asciiTheme="majorBidi" w:hAnsiTheme="majorBidi" w:cstheme="majorBidi"/>
        </w:rPr>
        <w:t>Measures to address the technological, technical and institutional capability gaps identified in particular by developing countries;</w:t>
      </w:r>
    </w:p>
    <w:p w14:paraId="2AC83909"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rPr>
      </w:pPr>
      <w:r w:rsidRPr="00B7059E">
        <w:rPr>
          <w:rFonts w:asciiTheme="majorBidi" w:hAnsiTheme="majorBidi" w:cstheme="majorBidi"/>
        </w:rPr>
        <w:t>(c)</w:t>
      </w:r>
      <w:r w:rsidRPr="00B7059E">
        <w:rPr>
          <w:rFonts w:asciiTheme="majorBidi" w:hAnsiTheme="majorBidi" w:cstheme="majorBidi"/>
        </w:rPr>
        <w:tab/>
        <w:t>Measures to enhance collaboration with other relevant international agreements, processes and organizations with respect to technical and scientific cooperation and technology transfer initiatives, in particular for developing country Parties;</w:t>
      </w:r>
    </w:p>
    <w:p w14:paraId="5E40D91F"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rPr>
      </w:pPr>
      <w:r w:rsidRPr="00B7059E">
        <w:rPr>
          <w:rFonts w:asciiTheme="majorBidi" w:hAnsiTheme="majorBidi" w:cstheme="majorBidi"/>
        </w:rPr>
        <w:t>(d)</w:t>
      </w:r>
      <w:r w:rsidRPr="00B7059E">
        <w:rPr>
          <w:rFonts w:asciiTheme="majorBidi" w:hAnsiTheme="majorBidi" w:cstheme="majorBidi"/>
        </w:rPr>
        <w:tab/>
        <w:t>Strategic approaches to addressing the needs and priorities of Parties through programmatic implementation of relevant technical and scientific cooperation initiatives established under the Convention;</w:t>
      </w:r>
    </w:p>
    <w:p w14:paraId="78D665B5"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rPr>
      </w:pPr>
      <w:r w:rsidRPr="00B7059E">
        <w:rPr>
          <w:rFonts w:asciiTheme="majorBidi" w:hAnsiTheme="majorBidi" w:cstheme="majorBidi"/>
        </w:rPr>
        <w:t>(e)</w:t>
      </w:r>
      <w:r w:rsidRPr="00B7059E">
        <w:rPr>
          <w:rFonts w:asciiTheme="majorBidi" w:hAnsiTheme="majorBidi" w:cstheme="majorBidi"/>
        </w:rPr>
        <w:tab/>
        <w:t xml:space="preserve">Monitoring the </w:t>
      </w:r>
      <w:r w:rsidRPr="003130BA">
        <w:rPr>
          <w:rFonts w:asciiTheme="majorBidi" w:hAnsiTheme="majorBidi" w:cstheme="majorBidi"/>
        </w:rPr>
        <w:t>implementation of strategies and mechanisms on technical</w:t>
      </w:r>
      <w:r w:rsidRPr="00B7059E">
        <w:rPr>
          <w:rFonts w:asciiTheme="majorBidi" w:hAnsiTheme="majorBidi" w:cstheme="majorBidi"/>
        </w:rPr>
        <w:t xml:space="preserve"> and scientific cooperation, capacity</w:t>
      </w:r>
      <w:r>
        <w:rPr>
          <w:rFonts w:asciiTheme="majorBidi" w:hAnsiTheme="majorBidi" w:cstheme="majorBidi"/>
        </w:rPr>
        <w:t>-</w:t>
      </w:r>
      <w:r w:rsidRPr="00B7059E">
        <w:rPr>
          <w:rFonts w:asciiTheme="majorBidi" w:hAnsiTheme="majorBidi" w:cstheme="majorBidi"/>
        </w:rPr>
        <w:t>building and development</w:t>
      </w:r>
      <w:r>
        <w:rPr>
          <w:rFonts w:asciiTheme="majorBidi" w:hAnsiTheme="majorBidi" w:cstheme="majorBidi"/>
        </w:rPr>
        <w:t>,</w:t>
      </w:r>
      <w:r w:rsidRPr="00B7059E">
        <w:rPr>
          <w:rFonts w:asciiTheme="majorBidi" w:hAnsiTheme="majorBidi" w:cstheme="majorBidi"/>
        </w:rPr>
        <w:t xml:space="preserve"> and knowledge management in support of the </w:t>
      </w:r>
      <w:r>
        <w:rPr>
          <w:rFonts w:asciiTheme="majorBidi" w:hAnsiTheme="majorBidi" w:cstheme="majorBidi"/>
        </w:rPr>
        <w:t>Kunming-Montreal G</w:t>
      </w:r>
      <w:r w:rsidRPr="00B7059E">
        <w:rPr>
          <w:rFonts w:asciiTheme="majorBidi" w:hAnsiTheme="majorBidi" w:cstheme="majorBidi"/>
        </w:rPr>
        <w:t xml:space="preserve">lobal </w:t>
      </w:r>
      <w:r>
        <w:rPr>
          <w:rFonts w:asciiTheme="majorBidi" w:hAnsiTheme="majorBidi" w:cstheme="majorBidi"/>
        </w:rPr>
        <w:t>B</w:t>
      </w:r>
      <w:r w:rsidRPr="00B7059E">
        <w:rPr>
          <w:rFonts w:asciiTheme="majorBidi" w:hAnsiTheme="majorBidi" w:cstheme="majorBidi"/>
        </w:rPr>
        <w:t xml:space="preserve">iodiversity </w:t>
      </w:r>
      <w:r>
        <w:rPr>
          <w:rFonts w:asciiTheme="majorBidi" w:hAnsiTheme="majorBidi" w:cstheme="majorBidi"/>
        </w:rPr>
        <w:t>F</w:t>
      </w:r>
      <w:r w:rsidRPr="00B7059E">
        <w:rPr>
          <w:rFonts w:asciiTheme="majorBidi" w:hAnsiTheme="majorBidi" w:cstheme="majorBidi"/>
        </w:rPr>
        <w:t>ramework to ensure coherence and consistency;</w:t>
      </w:r>
    </w:p>
    <w:p w14:paraId="5408BCBA"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rPr>
      </w:pPr>
      <w:r w:rsidRPr="00B7059E">
        <w:rPr>
          <w:rFonts w:asciiTheme="majorBidi" w:hAnsiTheme="majorBidi" w:cstheme="majorBidi"/>
        </w:rPr>
        <w:t>(f)</w:t>
      </w:r>
      <w:r w:rsidRPr="00B7059E">
        <w:rPr>
          <w:rFonts w:asciiTheme="majorBidi" w:hAnsiTheme="majorBidi" w:cstheme="majorBidi"/>
        </w:rPr>
        <w:tab/>
        <w:t>Development and implementation of tools and mechanisms for promoting and facilitating technical and scientific cooperation, capacity</w:t>
      </w:r>
      <w:r>
        <w:rPr>
          <w:rFonts w:asciiTheme="majorBidi" w:hAnsiTheme="majorBidi" w:cstheme="majorBidi"/>
        </w:rPr>
        <w:t>-</w:t>
      </w:r>
      <w:r w:rsidRPr="00B7059E">
        <w:rPr>
          <w:rFonts w:asciiTheme="majorBidi" w:hAnsiTheme="majorBidi" w:cstheme="majorBidi"/>
        </w:rPr>
        <w:t>building and development</w:t>
      </w:r>
      <w:r>
        <w:rPr>
          <w:rFonts w:asciiTheme="majorBidi" w:hAnsiTheme="majorBidi" w:cstheme="majorBidi"/>
        </w:rPr>
        <w:t>,</w:t>
      </w:r>
      <w:r w:rsidRPr="00B7059E">
        <w:rPr>
          <w:rFonts w:asciiTheme="majorBidi" w:hAnsiTheme="majorBidi" w:cstheme="majorBidi"/>
        </w:rPr>
        <w:t xml:space="preserve"> and knowledge management;</w:t>
      </w:r>
    </w:p>
    <w:p w14:paraId="6E3CFBAB"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rPr>
      </w:pPr>
      <w:r w:rsidRPr="00B7059E">
        <w:rPr>
          <w:rFonts w:asciiTheme="majorBidi" w:hAnsiTheme="majorBidi" w:cstheme="majorBidi"/>
        </w:rPr>
        <w:t>(g)</w:t>
      </w:r>
      <w:r w:rsidRPr="00B7059E">
        <w:rPr>
          <w:rFonts w:asciiTheme="majorBidi" w:hAnsiTheme="majorBidi" w:cstheme="majorBidi"/>
        </w:rPr>
        <w:tab/>
        <w:t>Matters relating to the clearing-house mechanism and, in particular, on how to improve its effectiveness as a mechanism for promoting and facilitating technical and scientific cooperation and exchange of information;</w:t>
      </w:r>
    </w:p>
    <w:p w14:paraId="348FAFA1"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rPr>
      </w:pPr>
      <w:r w:rsidRPr="00B7059E">
        <w:rPr>
          <w:rFonts w:asciiTheme="majorBidi" w:hAnsiTheme="majorBidi" w:cstheme="majorBidi"/>
        </w:rPr>
        <w:t>(h)</w:t>
      </w:r>
      <w:r w:rsidRPr="00B7059E">
        <w:rPr>
          <w:rFonts w:asciiTheme="majorBidi" w:hAnsiTheme="majorBidi" w:cstheme="majorBidi"/>
        </w:rPr>
        <w:tab/>
        <w:t>Potential opportunities for mobilizing technical and financial resources to promote and sustain technical and scientific cooperation activities on a long-term and predictable basis;</w:t>
      </w:r>
      <w:bookmarkEnd w:id="116"/>
    </w:p>
    <w:p w14:paraId="07518B88"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rPr>
      </w:pPr>
      <w:r w:rsidRPr="00B7059E">
        <w:rPr>
          <w:rFonts w:asciiTheme="majorBidi" w:hAnsiTheme="majorBidi" w:cstheme="majorBidi"/>
        </w:rPr>
        <w:t>(i)</w:t>
      </w:r>
      <w:r w:rsidRPr="00B7059E">
        <w:rPr>
          <w:rFonts w:asciiTheme="majorBidi" w:hAnsiTheme="majorBidi" w:cstheme="majorBidi"/>
        </w:rPr>
        <w:tab/>
        <w:t>Identification, mapping and promotion of existing collaboration activities, in the context of Article 18 of the Convention;</w:t>
      </w:r>
    </w:p>
    <w:p w14:paraId="5E62A44A"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rPr>
      </w:pPr>
      <w:r w:rsidRPr="00B7059E">
        <w:rPr>
          <w:rFonts w:asciiTheme="majorBidi" w:hAnsiTheme="majorBidi" w:cstheme="majorBidi"/>
        </w:rPr>
        <w:t>(j)</w:t>
      </w:r>
      <w:r w:rsidRPr="00B7059E">
        <w:rPr>
          <w:rFonts w:asciiTheme="majorBidi" w:hAnsiTheme="majorBidi" w:cstheme="majorBidi"/>
        </w:rPr>
        <w:tab/>
        <w:t>Development of indicators for capacity</w:t>
      </w:r>
      <w:r>
        <w:rPr>
          <w:rFonts w:asciiTheme="majorBidi" w:hAnsiTheme="majorBidi" w:cstheme="majorBidi"/>
        </w:rPr>
        <w:t>-</w:t>
      </w:r>
      <w:r w:rsidRPr="00B7059E">
        <w:rPr>
          <w:rFonts w:asciiTheme="majorBidi" w:hAnsiTheme="majorBidi" w:cstheme="majorBidi"/>
        </w:rPr>
        <w:t xml:space="preserve">building and development and technology transfer related to monitoring the </w:t>
      </w:r>
      <w:r>
        <w:rPr>
          <w:rFonts w:asciiTheme="majorBidi" w:hAnsiTheme="majorBidi" w:cstheme="majorBidi"/>
        </w:rPr>
        <w:t>Kunming-Montreal</w:t>
      </w:r>
      <w:r w:rsidRPr="00B7059E">
        <w:rPr>
          <w:rFonts w:asciiTheme="majorBidi" w:hAnsiTheme="majorBidi" w:cstheme="majorBidi"/>
        </w:rPr>
        <w:t xml:space="preserve"> </w:t>
      </w:r>
      <w:r>
        <w:rPr>
          <w:rFonts w:asciiTheme="majorBidi" w:hAnsiTheme="majorBidi" w:cstheme="majorBidi"/>
        </w:rPr>
        <w:t>G</w:t>
      </w:r>
      <w:r w:rsidRPr="00B7059E">
        <w:rPr>
          <w:rFonts w:asciiTheme="majorBidi" w:hAnsiTheme="majorBidi" w:cstheme="majorBidi"/>
        </w:rPr>
        <w:t xml:space="preserve">lobal </w:t>
      </w:r>
      <w:r>
        <w:rPr>
          <w:rFonts w:asciiTheme="majorBidi" w:hAnsiTheme="majorBidi" w:cstheme="majorBidi"/>
        </w:rPr>
        <w:t>B</w:t>
      </w:r>
      <w:r w:rsidRPr="00B7059E">
        <w:rPr>
          <w:rFonts w:asciiTheme="majorBidi" w:hAnsiTheme="majorBidi" w:cstheme="majorBidi"/>
        </w:rPr>
        <w:t xml:space="preserve">iodiversity </w:t>
      </w:r>
      <w:r>
        <w:rPr>
          <w:rFonts w:asciiTheme="majorBidi" w:hAnsiTheme="majorBidi" w:cstheme="majorBidi"/>
        </w:rPr>
        <w:t>F</w:t>
      </w:r>
      <w:r w:rsidRPr="00B7059E">
        <w:rPr>
          <w:rFonts w:asciiTheme="majorBidi" w:hAnsiTheme="majorBidi" w:cstheme="majorBidi"/>
        </w:rPr>
        <w:t>ramework at the request of the Ad Hoc Technical Expert Group on Indicators</w:t>
      </w:r>
      <w:r>
        <w:rPr>
          <w:rFonts w:asciiTheme="majorBidi" w:hAnsiTheme="majorBidi" w:cstheme="majorBidi"/>
        </w:rPr>
        <w:t>;</w:t>
      </w:r>
    </w:p>
    <w:p w14:paraId="09459A74"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lang w:val="en-GB" w:eastAsia="en-CA"/>
        </w:rPr>
      </w:pPr>
      <w:r w:rsidRPr="00B7059E">
        <w:rPr>
          <w:rFonts w:asciiTheme="majorBidi" w:hAnsiTheme="majorBidi" w:cstheme="majorBidi"/>
          <w:snapToGrid w:val="0"/>
          <w:kern w:val="22"/>
          <w:lang w:val="en-GB" w:eastAsia="en-CA"/>
        </w:rPr>
        <w:t>5.</w:t>
      </w:r>
      <w:r w:rsidRPr="00B7059E">
        <w:rPr>
          <w:rFonts w:asciiTheme="majorBidi" w:hAnsiTheme="majorBidi" w:cstheme="majorBidi"/>
          <w:snapToGrid w:val="0"/>
          <w:kern w:val="22"/>
          <w:lang w:val="en-GB" w:eastAsia="en-CA"/>
        </w:rPr>
        <w:tab/>
        <w:t xml:space="preserve">The Secretariat of the Convention on Biological Diversity will support the work of the Informal Advisory Group, including through the provision of </w:t>
      </w:r>
      <w:r>
        <w:rPr>
          <w:rFonts w:asciiTheme="majorBidi" w:hAnsiTheme="majorBidi" w:cstheme="majorBidi"/>
          <w:snapToGrid w:val="0"/>
          <w:kern w:val="22"/>
          <w:lang w:val="en-GB" w:eastAsia="en-CA"/>
        </w:rPr>
        <w:t xml:space="preserve">the </w:t>
      </w:r>
      <w:r w:rsidRPr="00B7059E">
        <w:rPr>
          <w:rFonts w:asciiTheme="majorBidi" w:hAnsiTheme="majorBidi" w:cstheme="majorBidi"/>
          <w:snapToGrid w:val="0"/>
          <w:kern w:val="22"/>
          <w:lang w:val="en-GB" w:eastAsia="en-CA"/>
        </w:rPr>
        <w:t>necessary logistical and secretarial support.</w:t>
      </w:r>
    </w:p>
    <w:p w14:paraId="4E431960" w14:textId="77777777" w:rsidR="008C379F" w:rsidRPr="00981752" w:rsidRDefault="008C379F" w:rsidP="00606510">
      <w:pPr>
        <w:pStyle w:val="heading2notforTOC"/>
        <w:outlineLvl w:val="9"/>
        <w:rPr>
          <w:rFonts w:asciiTheme="majorBidi" w:hAnsiTheme="majorBidi" w:cstheme="majorBidi"/>
          <w:b/>
          <w:i w:val="0"/>
          <w:iCs w:val="0"/>
          <w:snapToGrid w:val="0"/>
          <w:szCs w:val="22"/>
        </w:rPr>
      </w:pPr>
      <w:bookmarkStart w:id="117" w:name="_Toc57214916"/>
      <w:r w:rsidRPr="00981752">
        <w:rPr>
          <w:rFonts w:asciiTheme="majorBidi" w:hAnsiTheme="majorBidi" w:cstheme="majorBidi"/>
          <w:b/>
          <w:i w:val="0"/>
          <w:iCs w:val="0"/>
          <w:snapToGrid w:val="0"/>
          <w:szCs w:val="22"/>
        </w:rPr>
        <w:t>C.</w:t>
      </w:r>
      <w:r w:rsidRPr="00981752">
        <w:rPr>
          <w:rFonts w:asciiTheme="majorBidi" w:hAnsiTheme="majorBidi" w:cstheme="majorBidi"/>
          <w:b/>
          <w:i w:val="0"/>
          <w:iCs w:val="0"/>
          <w:snapToGrid w:val="0"/>
          <w:szCs w:val="22"/>
        </w:rPr>
        <w:tab/>
        <w:t>Membership</w:t>
      </w:r>
      <w:bookmarkEnd w:id="117"/>
    </w:p>
    <w:p w14:paraId="7F314B6B"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lang w:val="en-GB" w:eastAsia="en-CA"/>
        </w:rPr>
      </w:pPr>
      <w:r w:rsidRPr="00B7059E">
        <w:rPr>
          <w:rFonts w:asciiTheme="majorBidi" w:hAnsiTheme="majorBidi" w:cstheme="majorBidi"/>
          <w:snapToGrid w:val="0"/>
          <w:kern w:val="22"/>
          <w:lang w:val="en-GB" w:eastAsia="en-CA"/>
        </w:rPr>
        <w:t>6.</w:t>
      </w:r>
      <w:r w:rsidRPr="00B7059E">
        <w:rPr>
          <w:rFonts w:asciiTheme="majorBidi" w:hAnsiTheme="majorBidi" w:cstheme="majorBidi"/>
          <w:snapToGrid w:val="0"/>
          <w:kern w:val="22"/>
          <w:lang w:val="en-GB" w:eastAsia="en-CA"/>
        </w:rPr>
        <w:tab/>
        <w:t xml:space="preserve">The Informal Advisory Group will be composed of experts nominated by Parties, with due regard to equitable regional representation and gender balance, </w:t>
      </w:r>
      <w:r>
        <w:rPr>
          <w:rFonts w:asciiTheme="majorBidi" w:hAnsiTheme="majorBidi" w:cstheme="majorBidi"/>
          <w:snapToGrid w:val="0"/>
          <w:kern w:val="22"/>
          <w:lang w:val="en-GB" w:eastAsia="en-CA"/>
        </w:rPr>
        <w:t xml:space="preserve">and by </w:t>
      </w:r>
      <w:r w:rsidRPr="00B7059E">
        <w:rPr>
          <w:rFonts w:asciiTheme="majorBidi" w:hAnsiTheme="majorBidi" w:cstheme="majorBidi"/>
          <w:snapToGrid w:val="0"/>
          <w:kern w:val="22"/>
          <w:lang w:val="en-GB" w:eastAsia="en-CA"/>
        </w:rPr>
        <w:t>indigenous peoples and local communities</w:t>
      </w:r>
      <w:r w:rsidRPr="00B7059E">
        <w:rPr>
          <w:rFonts w:asciiTheme="majorBidi" w:hAnsiTheme="majorBidi" w:cstheme="majorBidi"/>
          <w:lang w:val="en-GB" w:eastAsia="en-CA"/>
        </w:rPr>
        <w:t>, the scientific community,</w:t>
      </w:r>
      <w:r w:rsidRPr="00B7059E">
        <w:rPr>
          <w:rFonts w:asciiTheme="majorBidi" w:hAnsiTheme="majorBidi" w:cstheme="majorBidi"/>
          <w:snapToGrid w:val="0"/>
          <w:kern w:val="22"/>
          <w:lang w:val="en-GB" w:eastAsia="en-CA"/>
        </w:rPr>
        <w:t xml:space="preserve"> and relevant organizations including those representing women and youth. The number of experts from organizations will not exceed the number of experts nominated by Parties. </w:t>
      </w:r>
      <w:r w:rsidRPr="00B7059E">
        <w:rPr>
          <w:rFonts w:asciiTheme="majorBidi" w:hAnsiTheme="majorBidi" w:cstheme="majorBidi"/>
          <w:lang w:val="en-GB" w:eastAsia="en-CA"/>
        </w:rPr>
        <w:t>The membership will reflect</w:t>
      </w:r>
      <w:r w:rsidRPr="00B7059E">
        <w:rPr>
          <w:rFonts w:asciiTheme="majorBidi" w:hAnsiTheme="majorBidi" w:cstheme="majorBidi"/>
          <w:color w:val="FF0000"/>
          <w:lang w:val="en-GB" w:eastAsia="en-CA"/>
        </w:rPr>
        <w:t xml:space="preserve"> </w:t>
      </w:r>
      <w:r w:rsidRPr="00B7059E">
        <w:rPr>
          <w:rFonts w:asciiTheme="majorBidi" w:hAnsiTheme="majorBidi" w:cstheme="majorBidi"/>
          <w:lang w:val="en-GB" w:eastAsia="en-CA"/>
        </w:rPr>
        <w:t xml:space="preserve">a balanced representation of experts on matters regarding the three objectives of the Convention. </w:t>
      </w:r>
      <w:r w:rsidRPr="00B7059E">
        <w:rPr>
          <w:rFonts w:asciiTheme="majorBidi" w:hAnsiTheme="majorBidi" w:cstheme="majorBidi"/>
          <w:snapToGrid w:val="0"/>
          <w:kern w:val="22"/>
          <w:lang w:val="en-GB" w:eastAsia="en-CA"/>
        </w:rPr>
        <w:t>Members will be selected on the basis of the following criteria, as evidenced in their curriculum vitae:</w:t>
      </w:r>
    </w:p>
    <w:p w14:paraId="21273605"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snapToGrid/>
        </w:rPr>
      </w:pPr>
      <w:r w:rsidRPr="00B7059E">
        <w:rPr>
          <w:rFonts w:asciiTheme="majorBidi" w:hAnsiTheme="majorBidi" w:cstheme="majorBidi"/>
          <w:snapToGrid/>
        </w:rPr>
        <w:t>(a)</w:t>
      </w:r>
      <w:r w:rsidRPr="00B7059E">
        <w:rPr>
          <w:rFonts w:asciiTheme="majorBidi" w:hAnsiTheme="majorBidi" w:cstheme="majorBidi"/>
          <w:snapToGrid/>
        </w:rPr>
        <w:tab/>
      </w:r>
      <w:r w:rsidRPr="00B7059E">
        <w:rPr>
          <w:rFonts w:asciiTheme="majorBidi" w:hAnsiTheme="majorBidi" w:cstheme="majorBidi"/>
          <w:lang w:eastAsia="en-CA"/>
        </w:rPr>
        <w:t xml:space="preserve">At </w:t>
      </w:r>
      <w:r w:rsidRPr="00B7059E">
        <w:rPr>
          <w:rFonts w:asciiTheme="majorBidi" w:hAnsiTheme="majorBidi" w:cstheme="majorBidi"/>
        </w:rPr>
        <w:t>least five years of working experience on technical and scientific issues related to the implementation of the Convention on Biological Diversity and/or other relevant international agreements and processes;</w:t>
      </w:r>
    </w:p>
    <w:p w14:paraId="785011E3"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rPr>
      </w:pPr>
      <w:r w:rsidRPr="00B7059E">
        <w:rPr>
          <w:rFonts w:asciiTheme="majorBidi" w:hAnsiTheme="majorBidi" w:cstheme="majorBidi"/>
        </w:rPr>
        <w:t>(b)</w:t>
      </w:r>
      <w:r w:rsidRPr="00B7059E">
        <w:rPr>
          <w:rFonts w:asciiTheme="majorBidi" w:hAnsiTheme="majorBidi" w:cstheme="majorBidi"/>
        </w:rPr>
        <w:tab/>
        <w:t>Expertise relevant to technical and scientific cooperation, capacity</w:t>
      </w:r>
      <w:r>
        <w:rPr>
          <w:rFonts w:asciiTheme="majorBidi" w:hAnsiTheme="majorBidi" w:cstheme="majorBidi"/>
        </w:rPr>
        <w:t>-</w:t>
      </w:r>
      <w:r w:rsidRPr="00B7059E">
        <w:rPr>
          <w:rFonts w:asciiTheme="majorBidi" w:hAnsiTheme="majorBidi" w:cstheme="majorBidi"/>
        </w:rPr>
        <w:t>building and development, and knowledge management and the clearing-house mechanism or similar online information-sharing platforms;</w:t>
      </w:r>
    </w:p>
    <w:p w14:paraId="32CB3AE2" w14:textId="77777777" w:rsidR="008C379F" w:rsidRPr="00B7059E" w:rsidRDefault="008C379F" w:rsidP="00A30041">
      <w:pPr>
        <w:pStyle w:val="Para1"/>
        <w:numPr>
          <w:ilvl w:val="0"/>
          <w:numId w:val="0"/>
        </w:numPr>
        <w:suppressLineNumbers/>
        <w:tabs>
          <w:tab w:val="left" w:pos="720"/>
        </w:tabs>
        <w:suppressAutoHyphens/>
        <w:kinsoku w:val="0"/>
        <w:adjustRightInd w:val="0"/>
        <w:ind w:firstLine="720"/>
        <w:rPr>
          <w:rFonts w:asciiTheme="majorBidi" w:hAnsiTheme="majorBidi" w:cstheme="majorBidi"/>
        </w:rPr>
      </w:pPr>
      <w:r w:rsidRPr="00B7059E">
        <w:rPr>
          <w:rFonts w:asciiTheme="majorBidi" w:hAnsiTheme="majorBidi" w:cstheme="majorBidi"/>
        </w:rPr>
        <w:t>(c)</w:t>
      </w:r>
      <w:r w:rsidRPr="00B7059E">
        <w:rPr>
          <w:rFonts w:asciiTheme="majorBidi" w:hAnsiTheme="majorBidi" w:cstheme="majorBidi"/>
        </w:rPr>
        <w:tab/>
        <w:t>Demonstrated</w:t>
      </w:r>
      <w:r w:rsidRPr="00B7059E">
        <w:rPr>
          <w:rFonts w:asciiTheme="majorBidi" w:hAnsiTheme="majorBidi" w:cstheme="majorBidi"/>
          <w:lang w:eastAsia="en-CA"/>
        </w:rPr>
        <w:t xml:space="preserve"> experience with regional or international cooperation processes and programmes related to biodiversity</w:t>
      </w:r>
      <w:r w:rsidRPr="00B7059E">
        <w:rPr>
          <w:rFonts w:asciiTheme="majorBidi" w:hAnsiTheme="majorBidi" w:cstheme="majorBidi"/>
        </w:rPr>
        <w:t xml:space="preserve"> </w:t>
      </w:r>
      <w:r w:rsidRPr="00B7059E">
        <w:rPr>
          <w:rFonts w:asciiTheme="majorBidi" w:hAnsiTheme="majorBidi" w:cstheme="majorBidi"/>
          <w:lang w:eastAsia="en-CA"/>
        </w:rPr>
        <w:t>and/or the environment.</w:t>
      </w:r>
    </w:p>
    <w:p w14:paraId="399ECF09"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lang w:val="en-GB" w:eastAsia="en-CA"/>
        </w:rPr>
      </w:pPr>
      <w:r w:rsidRPr="00B7059E">
        <w:rPr>
          <w:rFonts w:asciiTheme="majorBidi" w:hAnsiTheme="majorBidi" w:cstheme="majorBidi"/>
          <w:snapToGrid w:val="0"/>
          <w:kern w:val="22"/>
          <w:lang w:val="en-GB" w:eastAsia="en-CA"/>
        </w:rPr>
        <w:t>7.</w:t>
      </w:r>
      <w:r w:rsidRPr="00B7059E">
        <w:rPr>
          <w:rFonts w:asciiTheme="majorBidi" w:hAnsiTheme="majorBidi" w:cstheme="majorBidi"/>
          <w:snapToGrid w:val="0"/>
          <w:kern w:val="22"/>
          <w:lang w:val="en-GB" w:eastAsia="en-CA"/>
        </w:rPr>
        <w:tab/>
        <w:t>The co-chairs of the Consortium of Scientific Partners on Biodiversity will be invited as ex officio members.</w:t>
      </w:r>
    </w:p>
    <w:p w14:paraId="1C796B6E"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lang w:val="en-GB" w:eastAsia="en-CA"/>
        </w:rPr>
      </w:pPr>
      <w:r w:rsidRPr="00B7059E">
        <w:rPr>
          <w:rFonts w:asciiTheme="majorBidi" w:hAnsiTheme="majorBidi" w:cstheme="majorBidi"/>
          <w:snapToGrid w:val="0"/>
          <w:kern w:val="22"/>
          <w:lang w:val="en-GB" w:eastAsia="en-CA"/>
        </w:rPr>
        <w:lastRenderedPageBreak/>
        <w:t>8.</w:t>
      </w:r>
      <w:r w:rsidRPr="00B7059E">
        <w:rPr>
          <w:rFonts w:asciiTheme="majorBidi" w:hAnsiTheme="majorBidi" w:cstheme="majorBidi"/>
          <w:snapToGrid w:val="0"/>
          <w:kern w:val="22"/>
          <w:lang w:val="en-GB" w:eastAsia="en-CA"/>
        </w:rPr>
        <w:tab/>
        <w:t>Members of the Informal Advisory Group will be selected through a formal nomination process based on the above criteria. The Executive Secretary, in consultation with the co-chairs of the Informal Advisory Group, may invite additional experts knowledgeable in specific issues or thematic areas to be discussed at relevant meetings of the Informal Advisory Group, ensuring a balance of experts on matters related to the Convention. The members will serve in their personal capacity and not as representatives of a government, organization or other entity.</w:t>
      </w:r>
    </w:p>
    <w:p w14:paraId="791B28A9"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lang w:val="en-GB" w:eastAsia="en-CA"/>
        </w:rPr>
      </w:pPr>
      <w:r w:rsidRPr="00B7059E">
        <w:rPr>
          <w:rFonts w:asciiTheme="majorBidi" w:hAnsiTheme="majorBidi" w:cstheme="majorBidi"/>
          <w:snapToGrid w:val="0"/>
          <w:kern w:val="22"/>
          <w:lang w:val="en-GB" w:eastAsia="en-CA"/>
        </w:rPr>
        <w:t>9</w:t>
      </w:r>
      <w:r w:rsidRPr="00B7059E">
        <w:rPr>
          <w:rFonts w:asciiTheme="majorBidi" w:hAnsiTheme="majorBidi" w:cstheme="majorBidi"/>
          <w:snapToGrid w:val="0"/>
          <w:kern w:val="22"/>
          <w:lang w:val="en-GB" w:eastAsia="en-CA"/>
        </w:rPr>
        <w:tab/>
        <w:t>Members of the Informal Advisory Group will serve for a term of two years, with a possibility of renewal for one additional two</w:t>
      </w:r>
      <w:r w:rsidRPr="00B7059E">
        <w:rPr>
          <w:rFonts w:asciiTheme="majorBidi" w:hAnsiTheme="majorBidi" w:cstheme="majorBidi"/>
          <w:lang w:val="en-GB" w:eastAsia="en-CA"/>
        </w:rPr>
        <w:t>-</w:t>
      </w:r>
      <w:r w:rsidRPr="00B7059E">
        <w:rPr>
          <w:rFonts w:asciiTheme="majorBidi" w:hAnsiTheme="majorBidi" w:cstheme="majorBidi"/>
          <w:snapToGrid w:val="0"/>
          <w:kern w:val="22"/>
          <w:lang w:val="en-GB" w:eastAsia="en-CA"/>
        </w:rPr>
        <w:t>year term.</w:t>
      </w:r>
    </w:p>
    <w:p w14:paraId="21F3C319" w14:textId="77777777" w:rsidR="008C379F" w:rsidRPr="00981752" w:rsidRDefault="008C379F" w:rsidP="00606510">
      <w:pPr>
        <w:pStyle w:val="heading2notforTOC"/>
        <w:outlineLvl w:val="9"/>
        <w:rPr>
          <w:rFonts w:asciiTheme="majorBidi" w:hAnsiTheme="majorBidi" w:cstheme="majorBidi"/>
          <w:b/>
          <w:i w:val="0"/>
          <w:iCs w:val="0"/>
          <w:snapToGrid w:val="0"/>
          <w:szCs w:val="22"/>
        </w:rPr>
      </w:pPr>
      <w:bookmarkStart w:id="118" w:name="_Toc57214917"/>
      <w:r w:rsidRPr="00981752">
        <w:rPr>
          <w:rFonts w:asciiTheme="majorBidi" w:hAnsiTheme="majorBidi" w:cstheme="majorBidi"/>
          <w:b/>
          <w:i w:val="0"/>
          <w:iCs w:val="0"/>
          <w:snapToGrid w:val="0"/>
          <w:szCs w:val="22"/>
        </w:rPr>
        <w:t>D.</w:t>
      </w:r>
      <w:r w:rsidRPr="00981752">
        <w:rPr>
          <w:rFonts w:asciiTheme="majorBidi" w:hAnsiTheme="majorBidi" w:cstheme="majorBidi"/>
          <w:b/>
          <w:i w:val="0"/>
          <w:iCs w:val="0"/>
          <w:snapToGrid w:val="0"/>
          <w:szCs w:val="22"/>
        </w:rPr>
        <w:tab/>
        <w:t>Modus operandi</w:t>
      </w:r>
      <w:bookmarkEnd w:id="118"/>
    </w:p>
    <w:p w14:paraId="1F90588C"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lang w:val="en-GB" w:eastAsia="en-CA"/>
        </w:rPr>
      </w:pPr>
      <w:r w:rsidRPr="00B7059E">
        <w:rPr>
          <w:rFonts w:asciiTheme="majorBidi" w:hAnsiTheme="majorBidi" w:cstheme="majorBidi"/>
          <w:snapToGrid w:val="0"/>
          <w:kern w:val="22"/>
          <w:lang w:val="en-GB" w:eastAsia="en-CA"/>
        </w:rPr>
        <w:t>10.</w:t>
      </w:r>
      <w:r w:rsidRPr="00B7059E">
        <w:rPr>
          <w:rFonts w:asciiTheme="majorBidi" w:hAnsiTheme="majorBidi" w:cstheme="majorBidi"/>
          <w:snapToGrid w:val="0"/>
          <w:kern w:val="22"/>
          <w:lang w:val="en-GB" w:eastAsia="en-CA"/>
        </w:rPr>
        <w:tab/>
        <w:t xml:space="preserve">The Informal Advisory Group will meet at least once per year, subject to the availability </w:t>
      </w:r>
      <w:r w:rsidRPr="00F712D6">
        <w:rPr>
          <w:rFonts w:asciiTheme="majorBidi" w:hAnsiTheme="majorBidi" w:cstheme="majorBidi"/>
          <w:snapToGrid w:val="0"/>
          <w:kern w:val="22"/>
          <w:lang w:val="en-GB" w:eastAsia="en-CA"/>
        </w:rPr>
        <w:t>of resources,</w:t>
      </w:r>
      <w:r w:rsidRPr="00B7059E">
        <w:rPr>
          <w:rFonts w:asciiTheme="majorBidi" w:hAnsiTheme="majorBidi" w:cstheme="majorBidi"/>
          <w:snapToGrid w:val="0"/>
          <w:kern w:val="22"/>
          <w:lang w:val="en-GB" w:eastAsia="en-CA"/>
        </w:rPr>
        <w:t xml:space="preserve"> wherever possible in the margins of other meetings. The frequency of meetings may be adjusted by the members as the need arises. The</w:t>
      </w:r>
      <w:r>
        <w:rPr>
          <w:rFonts w:asciiTheme="majorBidi" w:hAnsiTheme="majorBidi" w:cstheme="majorBidi"/>
          <w:snapToGrid w:val="0"/>
          <w:kern w:val="22"/>
          <w:lang w:val="en-GB" w:eastAsia="en-CA"/>
        </w:rPr>
        <w:t xml:space="preserve"> Informal</w:t>
      </w:r>
      <w:r w:rsidRPr="00B7059E">
        <w:rPr>
          <w:rFonts w:asciiTheme="majorBidi" w:hAnsiTheme="majorBidi" w:cstheme="majorBidi"/>
          <w:snapToGrid w:val="0"/>
          <w:kern w:val="22"/>
          <w:lang w:val="en-GB" w:eastAsia="en-CA"/>
        </w:rPr>
        <w:t xml:space="preserve"> Advisory Group may work face-to-face or remotely via electronic means, as appropriate.</w:t>
      </w:r>
    </w:p>
    <w:p w14:paraId="7FA1AAC1" w14:textId="77777777" w:rsidR="008C379F" w:rsidRPr="00B7059E" w:rsidRDefault="008C379F" w:rsidP="00B64EEF">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lang w:val="en-GB"/>
        </w:rPr>
      </w:pPr>
      <w:r w:rsidRPr="00B7059E">
        <w:rPr>
          <w:rFonts w:asciiTheme="majorBidi" w:hAnsiTheme="majorBidi" w:cstheme="majorBidi"/>
          <w:snapToGrid w:val="0"/>
          <w:kern w:val="22"/>
          <w:lang w:val="en-GB" w:eastAsia="en-CA"/>
        </w:rPr>
        <w:t>11.</w:t>
      </w:r>
      <w:r w:rsidRPr="00B7059E">
        <w:rPr>
          <w:rFonts w:asciiTheme="majorBidi" w:hAnsiTheme="majorBidi" w:cstheme="majorBidi"/>
          <w:snapToGrid w:val="0"/>
          <w:kern w:val="22"/>
          <w:lang w:val="en-GB" w:eastAsia="en-CA"/>
        </w:rPr>
        <w:tab/>
        <w:t>The Informal Advisory Group may, as appropriate, establish subcommittees to support it in addressing specific issues or thematic areas and co-opt relevant experts to assist.</w:t>
      </w:r>
    </w:p>
    <w:p w14:paraId="78209B48"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kern w:val="22"/>
          <w:lang w:val="en-GB" w:eastAsia="en-CA"/>
        </w:rPr>
      </w:pPr>
      <w:r w:rsidRPr="00B7059E">
        <w:rPr>
          <w:rFonts w:asciiTheme="majorBidi" w:hAnsiTheme="majorBidi" w:cstheme="majorBidi"/>
          <w:snapToGrid w:val="0"/>
          <w:kern w:val="22"/>
          <w:lang w:val="en-GB" w:eastAsia="en-CA"/>
        </w:rPr>
        <w:t>12.</w:t>
      </w:r>
      <w:r w:rsidRPr="00B7059E">
        <w:rPr>
          <w:rFonts w:asciiTheme="majorBidi" w:hAnsiTheme="majorBidi" w:cstheme="majorBidi"/>
          <w:snapToGrid w:val="0"/>
          <w:kern w:val="22"/>
          <w:lang w:val="en-GB" w:eastAsia="en-CA"/>
        </w:rPr>
        <w:tab/>
        <w:t xml:space="preserve">The Informal Advisory Group members shall not receive any honorarium, fee or other remuneration from the United Nations. However, costs </w:t>
      </w:r>
      <w:r w:rsidRPr="00B320FB">
        <w:rPr>
          <w:rFonts w:asciiTheme="majorBidi" w:hAnsiTheme="majorBidi" w:cstheme="majorBidi"/>
          <w:snapToGrid w:val="0"/>
          <w:kern w:val="22"/>
          <w:lang w:val="en-GB" w:eastAsia="en-CA"/>
        </w:rPr>
        <w:t>for</w:t>
      </w:r>
      <w:r w:rsidRPr="00B7059E">
        <w:rPr>
          <w:rFonts w:asciiTheme="majorBidi" w:hAnsiTheme="majorBidi" w:cstheme="majorBidi"/>
          <w:snapToGrid w:val="0"/>
          <w:kern w:val="22"/>
          <w:lang w:val="en-GB" w:eastAsia="en-CA"/>
        </w:rPr>
        <w:t xml:space="preserve"> the participation of members </w:t>
      </w:r>
      <w:r>
        <w:rPr>
          <w:rFonts w:asciiTheme="majorBidi" w:hAnsiTheme="majorBidi" w:cstheme="majorBidi"/>
          <w:snapToGrid w:val="0"/>
          <w:kern w:val="22"/>
          <w:lang w:val="en-GB" w:eastAsia="en-CA"/>
        </w:rPr>
        <w:t xml:space="preserve">of the Informal </w:t>
      </w:r>
      <w:r w:rsidRPr="00B7059E">
        <w:rPr>
          <w:rFonts w:asciiTheme="majorBidi" w:hAnsiTheme="majorBidi" w:cstheme="majorBidi"/>
          <w:snapToGrid w:val="0"/>
          <w:kern w:val="22"/>
          <w:lang w:val="en-GB" w:eastAsia="en-CA"/>
        </w:rPr>
        <w:t>Advisory Group nominated by developing country Parties and Parties with economies in transition will be covered, in line with the rules and regulations of the United Nations.</w:t>
      </w:r>
    </w:p>
    <w:p w14:paraId="15F20C06"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snapToGrid w:val="0"/>
          <w:spacing w:val="-2"/>
          <w:kern w:val="22"/>
          <w:lang w:val="en-GB" w:eastAsia="en-CA"/>
        </w:rPr>
      </w:pPr>
      <w:r w:rsidRPr="00B7059E">
        <w:rPr>
          <w:rFonts w:asciiTheme="majorBidi" w:hAnsiTheme="majorBidi" w:cstheme="majorBidi"/>
          <w:snapToGrid w:val="0"/>
          <w:spacing w:val="-2"/>
          <w:kern w:val="22"/>
          <w:lang w:val="en-GB" w:eastAsia="en-CA"/>
        </w:rPr>
        <w:t>13.</w:t>
      </w:r>
      <w:r w:rsidRPr="00B7059E">
        <w:rPr>
          <w:rFonts w:asciiTheme="majorBidi" w:hAnsiTheme="majorBidi" w:cstheme="majorBidi"/>
          <w:snapToGrid w:val="0"/>
          <w:spacing w:val="-2"/>
          <w:kern w:val="22"/>
          <w:lang w:val="en-GB" w:eastAsia="en-CA"/>
        </w:rPr>
        <w:tab/>
        <w:t>The Informal Advisory Group will elect two co-chairs and a rapporteur to serve for a two-year period.</w:t>
      </w:r>
    </w:p>
    <w:p w14:paraId="01C40731" w14:textId="77777777" w:rsidR="008C379F" w:rsidRPr="00B7059E" w:rsidRDefault="008C379F" w:rsidP="00A30041">
      <w:pPr>
        <w:pStyle w:val="CBD-Para"/>
        <w:keepLines w:val="0"/>
        <w:numPr>
          <w:ilvl w:val="0"/>
          <w:numId w:val="0"/>
        </w:numPr>
        <w:suppressLineNumbers/>
        <w:tabs>
          <w:tab w:val="left" w:pos="720"/>
        </w:tabs>
        <w:suppressAutoHyphens/>
        <w:kinsoku w:val="0"/>
        <w:overflowPunct w:val="0"/>
        <w:autoSpaceDE w:val="0"/>
        <w:autoSpaceDN w:val="0"/>
        <w:adjustRightInd w:val="0"/>
        <w:snapToGrid w:val="0"/>
        <w:rPr>
          <w:rFonts w:asciiTheme="majorBidi" w:hAnsiTheme="majorBidi" w:cstheme="majorBidi"/>
          <w:kern w:val="22"/>
          <w:lang w:val="en-GB"/>
        </w:rPr>
      </w:pPr>
      <w:r w:rsidRPr="00B7059E">
        <w:rPr>
          <w:rFonts w:asciiTheme="majorBidi" w:hAnsiTheme="majorBidi" w:cstheme="majorBidi"/>
          <w:snapToGrid w:val="0"/>
          <w:kern w:val="22"/>
          <w:lang w:val="en-GB"/>
        </w:rPr>
        <w:t>14.</w:t>
      </w:r>
      <w:r w:rsidRPr="00B7059E">
        <w:rPr>
          <w:rFonts w:asciiTheme="majorBidi" w:hAnsiTheme="majorBidi" w:cstheme="majorBidi"/>
          <w:snapToGrid w:val="0"/>
          <w:kern w:val="22"/>
          <w:lang w:val="en-GB"/>
        </w:rPr>
        <w:tab/>
      </w:r>
      <w:r w:rsidRPr="00B7059E">
        <w:rPr>
          <w:rFonts w:asciiTheme="majorBidi" w:hAnsiTheme="majorBidi" w:cstheme="majorBidi"/>
          <w:snapToGrid w:val="0"/>
          <w:kern w:val="22"/>
          <w:lang w:val="en-GB" w:eastAsia="en-CA"/>
        </w:rPr>
        <w:t>The working language of the Informal Advisory Group will be English.</w:t>
      </w:r>
    </w:p>
    <w:p w14:paraId="1457E25F" w14:textId="77777777" w:rsidR="0000159D" w:rsidRDefault="0000159D" w:rsidP="00541EA7">
      <w:pPr>
        <w:jc w:val="center"/>
        <w:sectPr w:rsidR="0000159D" w:rsidSect="00441700">
          <w:footnotePr>
            <w:numRestart w:val="eachSect"/>
          </w:footnotePr>
          <w:pgSz w:w="12240" w:h="15840"/>
          <w:pgMar w:top="567" w:right="1440" w:bottom="1134" w:left="1440" w:header="709" w:footer="709" w:gutter="0"/>
          <w:cols w:space="708"/>
          <w:docGrid w:linePitch="360"/>
        </w:sectPr>
      </w:pPr>
    </w:p>
    <w:p w14:paraId="03E4E3B8" w14:textId="77777777" w:rsidR="0000159D" w:rsidRPr="00EE2CAF" w:rsidRDefault="0000159D" w:rsidP="00B15E4F">
      <w:pPr>
        <w:pStyle w:val="decision"/>
        <w:spacing w:before="0"/>
        <w:rPr>
          <w:caps/>
        </w:rPr>
      </w:pPr>
      <w:bookmarkStart w:id="119" w:name="_Toc150438807"/>
      <w:bookmarkStart w:id="120" w:name="_Toc150670507"/>
      <w:bookmarkStart w:id="121" w:name="_Toc150670617"/>
      <w:bookmarkStart w:id="122" w:name="_Toc150761119"/>
      <w:r>
        <w:lastRenderedPageBreak/>
        <w:t>15/9.</w:t>
      </w:r>
      <w:r>
        <w:tab/>
        <w:t>Digital sequence information on genetic resources</w:t>
      </w:r>
      <w:bookmarkEnd w:id="119"/>
      <w:bookmarkEnd w:id="120"/>
      <w:bookmarkEnd w:id="121"/>
      <w:bookmarkEnd w:id="122"/>
    </w:p>
    <w:p w14:paraId="7F00C389" w14:textId="77777777" w:rsidR="0000159D" w:rsidRPr="00EE2CAF" w:rsidRDefault="0000159D" w:rsidP="00EE2CAF">
      <w:pPr>
        <w:spacing w:before="120" w:after="120"/>
        <w:ind w:firstLine="720"/>
        <w:rPr>
          <w:rFonts w:asciiTheme="majorBidi" w:hAnsiTheme="majorBidi" w:cstheme="majorBidi"/>
          <w:i/>
        </w:rPr>
      </w:pPr>
      <w:r w:rsidRPr="00EE2CAF">
        <w:rPr>
          <w:rFonts w:asciiTheme="majorBidi" w:hAnsiTheme="majorBidi" w:cstheme="majorBidi"/>
          <w:i/>
        </w:rPr>
        <w:t>The Conference of the Parties,</w:t>
      </w:r>
    </w:p>
    <w:p w14:paraId="5B5A59BA" w14:textId="77777777" w:rsidR="0000159D" w:rsidRPr="00EE2CAF" w:rsidRDefault="0000159D" w:rsidP="00EE2CAF">
      <w:pPr>
        <w:spacing w:before="120" w:after="120"/>
        <w:rPr>
          <w:rFonts w:asciiTheme="majorBidi" w:hAnsiTheme="majorBidi" w:cstheme="majorBidi"/>
        </w:rPr>
      </w:pPr>
      <w:r w:rsidRPr="00EE2CAF">
        <w:rPr>
          <w:rFonts w:asciiTheme="majorBidi" w:hAnsiTheme="majorBidi" w:cstheme="majorBidi"/>
        </w:rPr>
        <w:tab/>
      </w:r>
      <w:r w:rsidRPr="00EE2CAF">
        <w:rPr>
          <w:rFonts w:asciiTheme="majorBidi" w:hAnsiTheme="majorBidi" w:cstheme="majorBidi"/>
          <w:i/>
        </w:rPr>
        <w:t>Recalling</w:t>
      </w:r>
      <w:r w:rsidRPr="00EE2CAF">
        <w:rPr>
          <w:rFonts w:asciiTheme="majorBidi" w:hAnsiTheme="majorBidi" w:cstheme="majorBidi"/>
        </w:rPr>
        <w:t xml:space="preserve"> that </w:t>
      </w:r>
      <w:r w:rsidRPr="00863800">
        <w:rPr>
          <w:rFonts w:asciiTheme="majorBidi" w:hAnsiTheme="majorBidi" w:cstheme="majorBidi"/>
        </w:rPr>
        <w:t>the Convention on Biological Diversity and the Nagoya Protocol and other access and benefit-sharing instruments provide the legal framework for access to genetic resources and the fair and equitable sharing of the benefits</w:t>
      </w:r>
      <w:r w:rsidRPr="00EE2CAF">
        <w:rPr>
          <w:rFonts w:asciiTheme="majorBidi" w:hAnsiTheme="majorBidi" w:cstheme="majorBidi"/>
        </w:rPr>
        <w:t xml:space="preserve"> arising from their utilization, </w:t>
      </w:r>
    </w:p>
    <w:p w14:paraId="34311142" w14:textId="77777777" w:rsidR="0000159D" w:rsidRPr="00EE2CAF" w:rsidRDefault="0000159D" w:rsidP="00EE2CAF">
      <w:pPr>
        <w:spacing w:before="120" w:after="120"/>
        <w:ind w:firstLine="720"/>
        <w:rPr>
          <w:rFonts w:asciiTheme="majorBidi" w:hAnsiTheme="majorBidi" w:cstheme="majorBidi"/>
        </w:rPr>
      </w:pPr>
      <w:r w:rsidRPr="00EE2CAF">
        <w:rPr>
          <w:rFonts w:asciiTheme="majorBidi" w:hAnsiTheme="majorBidi" w:cstheme="majorBidi"/>
          <w:i/>
        </w:rPr>
        <w:t>Recalling</w:t>
      </w:r>
      <w:r w:rsidRPr="00EE2CAF">
        <w:rPr>
          <w:rFonts w:asciiTheme="majorBidi" w:hAnsiTheme="majorBidi" w:cstheme="majorBidi"/>
        </w:rPr>
        <w:t xml:space="preserve"> </w:t>
      </w:r>
      <w:r>
        <w:rPr>
          <w:rFonts w:asciiTheme="majorBidi" w:hAnsiTheme="majorBidi" w:cstheme="majorBidi"/>
          <w:i/>
          <w:iCs/>
        </w:rPr>
        <w:t xml:space="preserve">also </w:t>
      </w:r>
      <w:r w:rsidRPr="00EE2CAF">
        <w:rPr>
          <w:rFonts w:asciiTheme="majorBidi" w:hAnsiTheme="majorBidi" w:cstheme="majorBidi"/>
        </w:rPr>
        <w:t>decision 14/20,</w:t>
      </w:r>
    </w:p>
    <w:p w14:paraId="596FDEE7" w14:textId="77777777" w:rsidR="0000159D" w:rsidRPr="00EE2CAF" w:rsidRDefault="0000159D" w:rsidP="00EE2CAF">
      <w:pPr>
        <w:spacing w:before="120" w:after="120"/>
        <w:rPr>
          <w:rFonts w:asciiTheme="majorBidi" w:hAnsiTheme="majorBidi" w:cstheme="majorBidi"/>
        </w:rPr>
      </w:pPr>
      <w:r w:rsidRPr="00EE2CAF">
        <w:rPr>
          <w:rFonts w:asciiTheme="majorBidi" w:hAnsiTheme="majorBidi" w:cstheme="majorBidi"/>
          <w:i/>
        </w:rPr>
        <w:tab/>
        <w:t>Noting</w:t>
      </w:r>
      <w:r w:rsidRPr="00EE2CAF">
        <w:rPr>
          <w:rFonts w:asciiTheme="majorBidi" w:hAnsiTheme="majorBidi" w:cstheme="majorBidi"/>
        </w:rPr>
        <w:t xml:space="preserve"> the outcomes of the science- and policy-based process on digital sequence information on genetic resources established in decision 14/20,</w:t>
      </w:r>
      <w:r w:rsidRPr="00610646">
        <w:rPr>
          <w:rStyle w:val="FootnoteReference"/>
        </w:rPr>
        <w:footnoteReference w:id="83"/>
      </w:r>
      <w:r w:rsidRPr="00EE2CAF">
        <w:rPr>
          <w:rFonts w:asciiTheme="majorBidi" w:hAnsiTheme="majorBidi" w:cstheme="majorBidi"/>
        </w:rPr>
        <w:t xml:space="preserve"> </w:t>
      </w:r>
    </w:p>
    <w:p w14:paraId="33C71A29" w14:textId="77777777" w:rsidR="0000159D" w:rsidRPr="00EE2CAF" w:rsidRDefault="0000159D" w:rsidP="00EE2CAF">
      <w:pPr>
        <w:spacing w:before="120" w:after="120"/>
        <w:ind w:firstLine="720"/>
        <w:rPr>
          <w:rFonts w:asciiTheme="majorBidi" w:hAnsiTheme="majorBidi" w:cstheme="majorBidi"/>
        </w:rPr>
      </w:pPr>
      <w:r w:rsidRPr="00EE2CAF">
        <w:rPr>
          <w:rFonts w:asciiTheme="majorBidi" w:hAnsiTheme="majorBidi" w:cstheme="majorBidi"/>
          <w:i/>
        </w:rPr>
        <w:t>Noting also</w:t>
      </w:r>
      <w:r w:rsidRPr="00EE2CAF">
        <w:rPr>
          <w:rFonts w:asciiTheme="majorBidi" w:hAnsiTheme="majorBidi" w:cstheme="majorBidi"/>
        </w:rPr>
        <w:t xml:space="preserve"> the Informal Co-Chairs’ Advisory Group on digital sequence information on genetic resources established by the Co-Chairs of the Open-</w:t>
      </w:r>
      <w:r>
        <w:rPr>
          <w:rFonts w:asciiTheme="majorBidi" w:hAnsiTheme="majorBidi" w:cstheme="majorBidi"/>
        </w:rPr>
        <w:t>e</w:t>
      </w:r>
      <w:r w:rsidRPr="00EE2CAF">
        <w:rPr>
          <w:rFonts w:asciiTheme="majorBidi" w:hAnsiTheme="majorBidi" w:cstheme="majorBidi"/>
        </w:rPr>
        <w:t>nded Working Group on the Post-2020 Global Biodiversity Framework and the Executive Secretary, and the work on digital sequence information on genetic resources undertaken by the Advisory Group, including consideration of policy options,</w:t>
      </w:r>
      <w:r w:rsidRPr="00610646">
        <w:rPr>
          <w:rStyle w:val="FootnoteReference"/>
        </w:rPr>
        <w:footnoteReference w:id="84"/>
      </w:r>
    </w:p>
    <w:p w14:paraId="7843735A" w14:textId="77777777" w:rsidR="0000159D" w:rsidRPr="00EE2CAF" w:rsidRDefault="0000159D" w:rsidP="00EE2CAF">
      <w:pPr>
        <w:spacing w:before="120" w:after="120"/>
        <w:ind w:firstLine="720"/>
        <w:rPr>
          <w:rFonts w:asciiTheme="majorBidi" w:hAnsiTheme="majorBidi" w:cstheme="majorBidi"/>
        </w:rPr>
      </w:pPr>
      <w:bookmarkStart w:id="123" w:name="OLE_LINK3"/>
      <w:r>
        <w:rPr>
          <w:rFonts w:asciiTheme="majorBidi" w:hAnsiTheme="majorBidi" w:cstheme="majorBidi"/>
          <w:i/>
        </w:rPr>
        <w:t>N</w:t>
      </w:r>
      <w:r w:rsidRPr="00EE2CAF">
        <w:rPr>
          <w:rFonts w:asciiTheme="majorBidi" w:hAnsiTheme="majorBidi" w:cstheme="majorBidi"/>
          <w:i/>
        </w:rPr>
        <w:t>oting</w:t>
      </w:r>
      <w:r>
        <w:rPr>
          <w:rFonts w:asciiTheme="majorBidi" w:hAnsiTheme="majorBidi" w:cstheme="majorBidi"/>
          <w:i/>
        </w:rPr>
        <w:t xml:space="preserve"> further</w:t>
      </w:r>
      <w:r w:rsidRPr="00EE2CAF">
        <w:rPr>
          <w:rFonts w:asciiTheme="majorBidi" w:hAnsiTheme="majorBidi" w:cstheme="majorBidi"/>
          <w:i/>
        </w:rPr>
        <w:t xml:space="preserve"> </w:t>
      </w:r>
      <w:r w:rsidRPr="00EE2CAF">
        <w:rPr>
          <w:rFonts w:asciiTheme="majorBidi" w:hAnsiTheme="majorBidi" w:cstheme="majorBidi"/>
        </w:rPr>
        <w:t xml:space="preserve">the work of the </w:t>
      </w:r>
      <w:bookmarkStart w:id="124" w:name="_Hlk126164447"/>
      <w:r w:rsidRPr="00EE2CAF">
        <w:rPr>
          <w:rFonts w:asciiTheme="majorBidi" w:hAnsiTheme="majorBidi" w:cstheme="majorBidi"/>
        </w:rPr>
        <w:t>Open-</w:t>
      </w:r>
      <w:r>
        <w:rPr>
          <w:rFonts w:asciiTheme="majorBidi" w:hAnsiTheme="majorBidi" w:cstheme="majorBidi"/>
        </w:rPr>
        <w:t>e</w:t>
      </w:r>
      <w:r w:rsidRPr="00EE2CAF">
        <w:rPr>
          <w:rFonts w:asciiTheme="majorBidi" w:hAnsiTheme="majorBidi" w:cstheme="majorBidi"/>
        </w:rPr>
        <w:t xml:space="preserve">nded Working Group on the </w:t>
      </w:r>
      <w:r>
        <w:rPr>
          <w:rFonts w:asciiTheme="majorBidi" w:hAnsiTheme="majorBidi" w:cstheme="majorBidi"/>
        </w:rPr>
        <w:t>P</w:t>
      </w:r>
      <w:r w:rsidRPr="00EE2CAF">
        <w:rPr>
          <w:rFonts w:asciiTheme="majorBidi" w:hAnsiTheme="majorBidi" w:cstheme="majorBidi"/>
        </w:rPr>
        <w:t>ost-2020 Global Biodiversity Framework</w:t>
      </w:r>
      <w:bookmarkEnd w:id="124"/>
      <w:r w:rsidRPr="00EE2CAF">
        <w:rPr>
          <w:rFonts w:asciiTheme="majorBidi" w:hAnsiTheme="majorBidi" w:cstheme="majorBidi"/>
        </w:rPr>
        <w:t>,</w:t>
      </w:r>
      <w:r w:rsidRPr="00610646">
        <w:rPr>
          <w:rStyle w:val="FootnoteReference"/>
        </w:rPr>
        <w:footnoteReference w:id="85"/>
      </w:r>
      <w:r w:rsidRPr="00EE2CAF">
        <w:rPr>
          <w:rFonts w:asciiTheme="majorBidi" w:hAnsiTheme="majorBidi" w:cstheme="majorBidi"/>
        </w:rPr>
        <w:t xml:space="preserve"> </w:t>
      </w:r>
      <w:r>
        <w:rPr>
          <w:rFonts w:asciiTheme="majorBidi" w:hAnsiTheme="majorBidi" w:cstheme="majorBidi"/>
        </w:rPr>
        <w:t>and</w:t>
      </w:r>
      <w:r w:rsidRPr="00EE2CAF">
        <w:rPr>
          <w:rFonts w:asciiTheme="majorBidi" w:hAnsiTheme="majorBidi" w:cstheme="majorBidi"/>
        </w:rPr>
        <w:t xml:space="preserve"> the information in the note by the Executive Secretary on digital sequence information on genetic resources,</w:t>
      </w:r>
      <w:r w:rsidRPr="007938B5">
        <w:rPr>
          <w:rFonts w:asciiTheme="majorBidi" w:hAnsiTheme="majorBidi" w:cstheme="majorBidi"/>
        </w:rPr>
        <w:t xml:space="preserve"> </w:t>
      </w:r>
      <w:bookmarkEnd w:id="123"/>
      <w:r w:rsidRPr="00610646">
        <w:rPr>
          <w:rStyle w:val="FootnoteReference"/>
        </w:rPr>
        <w:footnoteReference w:id="86"/>
      </w:r>
    </w:p>
    <w:p w14:paraId="4EAD4971" w14:textId="77777777" w:rsidR="0000159D" w:rsidRPr="00EE2CAF" w:rsidRDefault="0000159D" w:rsidP="00EE2CAF">
      <w:pPr>
        <w:spacing w:before="120" w:after="120"/>
        <w:ind w:firstLine="720"/>
        <w:rPr>
          <w:rFonts w:asciiTheme="majorBidi" w:hAnsiTheme="majorBidi" w:cstheme="majorBidi"/>
        </w:rPr>
      </w:pPr>
      <w:r w:rsidRPr="00EE2CAF">
        <w:rPr>
          <w:rFonts w:asciiTheme="majorBidi" w:hAnsiTheme="majorBidi" w:cstheme="majorBidi"/>
          <w:i/>
          <w:iCs/>
        </w:rPr>
        <w:t>Recognizing</w:t>
      </w:r>
      <w:r w:rsidRPr="00EE2CAF">
        <w:rPr>
          <w:rFonts w:asciiTheme="majorBidi" w:hAnsiTheme="majorBidi" w:cstheme="majorBidi"/>
        </w:rPr>
        <w:t xml:space="preserve"> that there are divergent views on digital sequence information on genetic resources </w:t>
      </w:r>
      <w:r>
        <w:rPr>
          <w:rFonts w:asciiTheme="majorBidi" w:hAnsiTheme="majorBidi" w:cstheme="majorBidi"/>
        </w:rPr>
        <w:t>with regard to its scope under</w:t>
      </w:r>
      <w:r w:rsidRPr="00EE2CAF">
        <w:rPr>
          <w:rFonts w:asciiTheme="majorBidi" w:hAnsiTheme="majorBidi" w:cstheme="majorBidi"/>
        </w:rPr>
        <w:t xml:space="preserve"> the Convention on Biological Diversity,</w:t>
      </w:r>
    </w:p>
    <w:p w14:paraId="68E756BB" w14:textId="77777777" w:rsidR="0000159D" w:rsidRPr="00EE2CAF" w:rsidRDefault="0000159D" w:rsidP="00EE2CAF">
      <w:pPr>
        <w:spacing w:before="120" w:after="120"/>
        <w:ind w:firstLine="720"/>
        <w:rPr>
          <w:rFonts w:asciiTheme="majorBidi" w:hAnsiTheme="majorBidi" w:cstheme="majorBidi"/>
        </w:rPr>
      </w:pPr>
      <w:r>
        <w:rPr>
          <w:rFonts w:asciiTheme="majorBidi" w:hAnsiTheme="majorBidi" w:cstheme="majorBidi"/>
          <w:i/>
        </w:rPr>
        <w:t>R</w:t>
      </w:r>
      <w:r w:rsidRPr="00EE2CAF">
        <w:rPr>
          <w:rFonts w:asciiTheme="majorBidi" w:hAnsiTheme="majorBidi" w:cstheme="majorBidi"/>
          <w:i/>
        </w:rPr>
        <w:t>ecognizing</w:t>
      </w:r>
      <w:r w:rsidRPr="00EE2CAF">
        <w:rPr>
          <w:rFonts w:asciiTheme="majorBidi" w:hAnsiTheme="majorBidi" w:cstheme="majorBidi"/>
        </w:rPr>
        <w:t xml:space="preserve"> </w:t>
      </w:r>
      <w:r>
        <w:rPr>
          <w:rFonts w:asciiTheme="majorBidi" w:hAnsiTheme="majorBidi" w:cstheme="majorBidi"/>
          <w:i/>
        </w:rPr>
        <w:t>also</w:t>
      </w:r>
      <w:r w:rsidRPr="0081017C">
        <w:rPr>
          <w:rFonts w:asciiTheme="majorBidi" w:hAnsiTheme="majorBidi"/>
          <w:i/>
        </w:rPr>
        <w:t xml:space="preserve"> </w:t>
      </w:r>
      <w:r w:rsidRPr="00EE2CAF">
        <w:rPr>
          <w:rFonts w:asciiTheme="majorBidi" w:hAnsiTheme="majorBidi" w:cstheme="majorBidi"/>
        </w:rPr>
        <w:t>that digital sequence information on genetic resources is under consideration in other United Nations bodies and instruments,</w:t>
      </w:r>
    </w:p>
    <w:p w14:paraId="0DF7263E" w14:textId="77777777" w:rsidR="0000159D" w:rsidRPr="00EE2CAF" w:rsidRDefault="0000159D" w:rsidP="00EE2CAF">
      <w:pPr>
        <w:spacing w:before="120" w:after="120"/>
        <w:ind w:firstLine="720"/>
        <w:rPr>
          <w:rFonts w:asciiTheme="majorBidi" w:hAnsiTheme="majorBidi" w:cstheme="majorBidi"/>
        </w:rPr>
      </w:pPr>
      <w:r>
        <w:rPr>
          <w:rFonts w:asciiTheme="majorBidi" w:hAnsiTheme="majorBidi" w:cstheme="majorBidi"/>
          <w:i/>
        </w:rPr>
        <w:t>R</w:t>
      </w:r>
      <w:r w:rsidRPr="00EE2CAF">
        <w:rPr>
          <w:rFonts w:asciiTheme="majorBidi" w:hAnsiTheme="majorBidi" w:cstheme="majorBidi"/>
          <w:i/>
        </w:rPr>
        <w:t>ecognizing</w:t>
      </w:r>
      <w:r>
        <w:rPr>
          <w:rFonts w:asciiTheme="majorBidi" w:hAnsiTheme="majorBidi" w:cstheme="majorBidi"/>
          <w:i/>
        </w:rPr>
        <w:t xml:space="preserve"> further</w:t>
      </w:r>
      <w:r w:rsidRPr="00EE2CAF">
        <w:rPr>
          <w:rFonts w:asciiTheme="majorBidi" w:hAnsiTheme="majorBidi" w:cstheme="majorBidi"/>
          <w:i/>
        </w:rPr>
        <w:t xml:space="preserve"> </w:t>
      </w:r>
      <w:r w:rsidRPr="00EE2CAF">
        <w:rPr>
          <w:rFonts w:asciiTheme="majorBidi" w:hAnsiTheme="majorBidi" w:cstheme="majorBidi"/>
        </w:rPr>
        <w:t xml:space="preserve">that any solution for the fair and equitable sharing of benefits from the use of digital sequence information on genetic resources should be mutually supportive of and adaptable to other instruments and fora while </w:t>
      </w:r>
      <w:r w:rsidRPr="00B7637D">
        <w:rPr>
          <w:rFonts w:asciiTheme="majorBidi" w:hAnsiTheme="majorBidi"/>
          <w:iCs/>
        </w:rPr>
        <w:t>recognizing</w:t>
      </w:r>
      <w:r w:rsidRPr="00EE2CAF">
        <w:rPr>
          <w:rFonts w:asciiTheme="majorBidi" w:hAnsiTheme="majorBidi" w:cstheme="majorBidi"/>
        </w:rPr>
        <w:t xml:space="preserve"> </w:t>
      </w:r>
      <w:r>
        <w:rPr>
          <w:rFonts w:asciiTheme="majorBidi" w:hAnsiTheme="majorBidi" w:cstheme="majorBidi"/>
        </w:rPr>
        <w:t>that other fora</w:t>
      </w:r>
      <w:r w:rsidRPr="00EE2CAF">
        <w:rPr>
          <w:rFonts w:asciiTheme="majorBidi" w:hAnsiTheme="majorBidi" w:cstheme="majorBidi"/>
        </w:rPr>
        <w:t xml:space="preserve"> may develop </w:t>
      </w:r>
      <w:r>
        <w:rPr>
          <w:rFonts w:asciiTheme="majorBidi" w:hAnsiTheme="majorBidi" w:cstheme="majorBidi"/>
        </w:rPr>
        <w:t>specialized</w:t>
      </w:r>
      <w:r w:rsidRPr="00EE2CAF">
        <w:rPr>
          <w:rFonts w:asciiTheme="majorBidi" w:hAnsiTheme="majorBidi" w:cstheme="majorBidi"/>
        </w:rPr>
        <w:t xml:space="preserve"> approaches,</w:t>
      </w:r>
    </w:p>
    <w:p w14:paraId="5D82D7FC" w14:textId="77777777" w:rsidR="0000159D" w:rsidRPr="00EE2CAF" w:rsidRDefault="0000159D" w:rsidP="00EE2CAF">
      <w:pPr>
        <w:spacing w:before="120" w:after="120"/>
        <w:ind w:firstLine="720"/>
        <w:rPr>
          <w:rFonts w:asciiTheme="majorBidi" w:hAnsiTheme="majorBidi" w:cstheme="majorBidi"/>
        </w:rPr>
      </w:pPr>
      <w:r w:rsidRPr="00EE2CAF">
        <w:rPr>
          <w:rFonts w:asciiTheme="majorBidi" w:hAnsiTheme="majorBidi" w:cstheme="majorBidi"/>
          <w:i/>
        </w:rPr>
        <w:t>Acknowledging</w:t>
      </w:r>
      <w:r w:rsidRPr="00EE2CAF">
        <w:rPr>
          <w:rFonts w:asciiTheme="majorBidi" w:hAnsiTheme="majorBidi" w:cstheme="majorBidi"/>
        </w:rPr>
        <w:t xml:space="preserve"> that</w:t>
      </w:r>
      <w:r>
        <w:rPr>
          <w:rFonts w:asciiTheme="majorBidi" w:hAnsiTheme="majorBidi" w:cstheme="majorBidi"/>
        </w:rPr>
        <w:t xml:space="preserve"> the</w:t>
      </w:r>
      <w:r w:rsidRPr="00EE2CAF">
        <w:rPr>
          <w:rFonts w:asciiTheme="majorBidi" w:hAnsiTheme="majorBidi" w:cstheme="majorBidi"/>
        </w:rPr>
        <w:t xml:space="preserve"> generation of, access to, and use of digital sequence information on genetic resources</w:t>
      </w:r>
      <w:r>
        <w:rPr>
          <w:rFonts w:asciiTheme="majorBidi" w:hAnsiTheme="majorBidi" w:cstheme="majorBidi"/>
        </w:rPr>
        <w:t xml:space="preserve"> together</w:t>
      </w:r>
      <w:r w:rsidRPr="00EE2CAF">
        <w:rPr>
          <w:rFonts w:asciiTheme="majorBidi" w:hAnsiTheme="majorBidi" w:cstheme="majorBidi"/>
        </w:rPr>
        <w:t xml:space="preserve"> with the fair and equitable sharing of benefits arising from </w:t>
      </w:r>
      <w:r>
        <w:rPr>
          <w:rFonts w:asciiTheme="majorBidi" w:hAnsiTheme="majorBidi" w:cstheme="majorBidi"/>
        </w:rPr>
        <w:t>its</w:t>
      </w:r>
      <w:r w:rsidRPr="00EE2CAF">
        <w:rPr>
          <w:rFonts w:asciiTheme="majorBidi" w:hAnsiTheme="majorBidi" w:cstheme="majorBidi"/>
        </w:rPr>
        <w:t xml:space="preserve"> use </w:t>
      </w:r>
      <w:r>
        <w:rPr>
          <w:rFonts w:asciiTheme="majorBidi" w:hAnsiTheme="majorBidi" w:cstheme="majorBidi"/>
        </w:rPr>
        <w:t xml:space="preserve">would </w:t>
      </w:r>
      <w:r w:rsidRPr="00EE2CAF">
        <w:rPr>
          <w:rFonts w:asciiTheme="majorBidi" w:hAnsiTheme="majorBidi" w:cstheme="majorBidi"/>
        </w:rPr>
        <w:t>support research and innovation</w:t>
      </w:r>
      <w:r>
        <w:rPr>
          <w:rFonts w:asciiTheme="majorBidi" w:hAnsiTheme="majorBidi" w:cstheme="majorBidi"/>
        </w:rPr>
        <w:t xml:space="preserve"> </w:t>
      </w:r>
      <w:r w:rsidRPr="00EE2CAF">
        <w:rPr>
          <w:rFonts w:asciiTheme="majorBidi" w:hAnsiTheme="majorBidi" w:cstheme="majorBidi"/>
        </w:rPr>
        <w:t xml:space="preserve">and contribute to achieving the three objectives of the Convention and sustainable development, </w:t>
      </w:r>
    </w:p>
    <w:p w14:paraId="7FA4D8FA" w14:textId="77777777" w:rsidR="0000159D" w:rsidRPr="00EE2CAF" w:rsidRDefault="0000159D" w:rsidP="00EE2CAF">
      <w:pPr>
        <w:spacing w:before="120" w:after="120"/>
        <w:ind w:firstLine="720"/>
        <w:rPr>
          <w:rFonts w:asciiTheme="majorBidi" w:hAnsiTheme="majorBidi" w:cstheme="majorBidi"/>
        </w:rPr>
      </w:pPr>
      <w:r w:rsidRPr="00EE2CAF">
        <w:rPr>
          <w:rFonts w:asciiTheme="majorBidi" w:hAnsiTheme="majorBidi" w:cstheme="majorBidi"/>
          <w:i/>
        </w:rPr>
        <w:t xml:space="preserve">Emphasizing </w:t>
      </w:r>
      <w:r w:rsidRPr="00EE2CAF">
        <w:rPr>
          <w:rFonts w:asciiTheme="majorBidi" w:hAnsiTheme="majorBidi" w:cstheme="majorBidi"/>
        </w:rPr>
        <w:t>the importance of capacity-building and development, technology transfer and technical and scientific cooperation to support generation of, access to, and use of digital sequence information on genetic resources,</w:t>
      </w:r>
    </w:p>
    <w:p w14:paraId="7224E761" w14:textId="77777777" w:rsidR="0000159D" w:rsidRPr="00EE2CAF" w:rsidRDefault="0000159D" w:rsidP="00EE2CAF">
      <w:pPr>
        <w:spacing w:before="120" w:after="120"/>
        <w:ind w:firstLine="720"/>
        <w:rPr>
          <w:rFonts w:asciiTheme="majorBidi" w:hAnsiTheme="majorBidi" w:cstheme="majorBidi"/>
        </w:rPr>
      </w:pPr>
      <w:r w:rsidRPr="00EE2CAF">
        <w:rPr>
          <w:rFonts w:asciiTheme="majorBidi" w:hAnsiTheme="majorBidi" w:cstheme="majorBidi"/>
          <w:i/>
        </w:rPr>
        <w:t xml:space="preserve">Recognizing </w:t>
      </w:r>
      <w:r w:rsidRPr="00EE2CAF">
        <w:rPr>
          <w:rFonts w:asciiTheme="majorBidi" w:hAnsiTheme="majorBidi" w:cstheme="majorBidi"/>
        </w:rPr>
        <w:t xml:space="preserve">the importance of digital sequence information on genetic resources for the </w:t>
      </w:r>
      <w:r>
        <w:rPr>
          <w:rFonts w:asciiTheme="majorBidi" w:hAnsiTheme="majorBidi" w:cstheme="majorBidi"/>
        </w:rPr>
        <w:t>Kunming</w:t>
      </w:r>
      <w:r>
        <w:rPr>
          <w:rFonts w:asciiTheme="majorBidi" w:hAnsiTheme="majorBidi" w:cstheme="majorBidi"/>
        </w:rPr>
        <w:noBreakHyphen/>
        <w:t>Montreal</w:t>
      </w:r>
      <w:r w:rsidRPr="00EE2CAF">
        <w:rPr>
          <w:rFonts w:asciiTheme="majorBidi" w:hAnsiTheme="majorBidi" w:cstheme="majorBidi"/>
        </w:rPr>
        <w:t xml:space="preserve"> </w:t>
      </w:r>
      <w:r>
        <w:rPr>
          <w:rFonts w:asciiTheme="majorBidi" w:hAnsiTheme="majorBidi" w:cstheme="majorBidi"/>
        </w:rPr>
        <w:t>G</w:t>
      </w:r>
      <w:r w:rsidRPr="00EE2CAF">
        <w:rPr>
          <w:rFonts w:asciiTheme="majorBidi" w:hAnsiTheme="majorBidi" w:cstheme="majorBidi"/>
        </w:rPr>
        <w:t xml:space="preserve">lobal </w:t>
      </w:r>
      <w:r>
        <w:rPr>
          <w:rFonts w:asciiTheme="majorBidi" w:hAnsiTheme="majorBidi" w:cstheme="majorBidi"/>
        </w:rPr>
        <w:t>B</w:t>
      </w:r>
      <w:r w:rsidRPr="00EE2CAF">
        <w:rPr>
          <w:rFonts w:asciiTheme="majorBidi" w:hAnsiTheme="majorBidi" w:cstheme="majorBidi"/>
        </w:rPr>
        <w:t xml:space="preserve">iodiversity </w:t>
      </w:r>
      <w:r>
        <w:rPr>
          <w:rFonts w:asciiTheme="majorBidi" w:hAnsiTheme="majorBidi" w:cstheme="majorBidi"/>
        </w:rPr>
        <w:t>F</w:t>
      </w:r>
      <w:r w:rsidRPr="00EE2CAF">
        <w:rPr>
          <w:rFonts w:asciiTheme="majorBidi" w:hAnsiTheme="majorBidi" w:cstheme="majorBidi"/>
        </w:rPr>
        <w:t>ramework,</w:t>
      </w:r>
      <w:r w:rsidRPr="00610646">
        <w:rPr>
          <w:rStyle w:val="FootnoteReference"/>
        </w:rPr>
        <w:footnoteReference w:id="87"/>
      </w:r>
    </w:p>
    <w:p w14:paraId="0CCD581F" w14:textId="77777777" w:rsidR="0000159D" w:rsidRPr="00EE2CAF" w:rsidRDefault="0000159D" w:rsidP="00EE2CAF">
      <w:pPr>
        <w:spacing w:before="120" w:after="120"/>
        <w:rPr>
          <w:rFonts w:asciiTheme="majorBidi" w:hAnsiTheme="majorBidi" w:cstheme="majorBidi"/>
        </w:rPr>
      </w:pPr>
      <w:r w:rsidRPr="00EE2CAF">
        <w:rPr>
          <w:rFonts w:asciiTheme="majorBidi" w:hAnsiTheme="majorBidi" w:cstheme="majorBidi"/>
        </w:rPr>
        <w:tab/>
      </w:r>
      <w:r>
        <w:rPr>
          <w:rFonts w:asciiTheme="majorBidi" w:hAnsiTheme="majorBidi" w:cstheme="majorBidi"/>
          <w:i/>
          <w:iCs/>
        </w:rPr>
        <w:t>R</w:t>
      </w:r>
      <w:r w:rsidRPr="00EE2CAF">
        <w:rPr>
          <w:rFonts w:asciiTheme="majorBidi" w:hAnsiTheme="majorBidi" w:cstheme="majorBidi"/>
          <w:i/>
        </w:rPr>
        <w:t>ecognizing</w:t>
      </w:r>
      <w:r w:rsidRPr="00EE2CAF">
        <w:rPr>
          <w:rFonts w:asciiTheme="majorBidi" w:hAnsiTheme="majorBidi" w:cstheme="majorBidi"/>
        </w:rPr>
        <w:t xml:space="preserve"> </w:t>
      </w:r>
      <w:r>
        <w:rPr>
          <w:rFonts w:asciiTheme="majorBidi" w:hAnsiTheme="majorBidi" w:cstheme="majorBidi"/>
          <w:i/>
        </w:rPr>
        <w:t>also</w:t>
      </w:r>
      <w:r w:rsidRPr="0081017C">
        <w:rPr>
          <w:rFonts w:asciiTheme="majorBidi" w:hAnsiTheme="majorBidi"/>
          <w:i/>
        </w:rPr>
        <w:t xml:space="preserve"> </w:t>
      </w:r>
      <w:r w:rsidRPr="00EE2CAF">
        <w:rPr>
          <w:rFonts w:asciiTheme="majorBidi" w:hAnsiTheme="majorBidi" w:cstheme="majorBidi"/>
        </w:rPr>
        <w:t>that a solution for benefit-sharing from the use of digital sequence information on genetic resources is also a wide-ranging solution for the mobilization of resources to support the conservation and sustainable use of biological diversity,</w:t>
      </w:r>
    </w:p>
    <w:p w14:paraId="3CBA55AF" w14:textId="77777777" w:rsidR="0000159D" w:rsidRPr="00EE2CAF" w:rsidRDefault="0000159D" w:rsidP="00EE2CAF">
      <w:pPr>
        <w:spacing w:before="120" w:after="120"/>
        <w:ind w:firstLine="720"/>
        <w:rPr>
          <w:rFonts w:asciiTheme="majorBidi" w:hAnsiTheme="majorBidi" w:cstheme="majorBidi"/>
          <w:i/>
        </w:rPr>
      </w:pPr>
      <w:r>
        <w:rPr>
          <w:rFonts w:asciiTheme="majorBidi" w:hAnsiTheme="majorBidi" w:cstheme="majorBidi"/>
          <w:i/>
          <w:iCs/>
        </w:rPr>
        <w:t>R</w:t>
      </w:r>
      <w:r w:rsidRPr="00EE2CAF">
        <w:rPr>
          <w:rFonts w:asciiTheme="majorBidi" w:hAnsiTheme="majorBidi" w:cstheme="majorBidi"/>
          <w:i/>
          <w:iCs/>
        </w:rPr>
        <w:t>ecognizing</w:t>
      </w:r>
      <w:r>
        <w:rPr>
          <w:rFonts w:asciiTheme="majorBidi" w:hAnsiTheme="majorBidi" w:cstheme="majorBidi"/>
          <w:i/>
          <w:iCs/>
        </w:rPr>
        <w:t xml:space="preserve"> further</w:t>
      </w:r>
      <w:r w:rsidRPr="00EE2CAF">
        <w:rPr>
          <w:rFonts w:asciiTheme="majorBidi" w:hAnsiTheme="majorBidi" w:cstheme="majorBidi"/>
        </w:rPr>
        <w:t xml:space="preserve"> the value of depositing data in public databases</w:t>
      </w:r>
      <w:r w:rsidRPr="00627E86">
        <w:rPr>
          <w:rFonts w:asciiTheme="majorBidi" w:hAnsiTheme="majorBidi" w:cstheme="majorBidi"/>
          <w:iCs/>
        </w:rPr>
        <w:t>,</w:t>
      </w:r>
    </w:p>
    <w:p w14:paraId="5375EBCC" w14:textId="77777777" w:rsidR="0000159D" w:rsidRPr="00EE2CAF" w:rsidRDefault="0000159D" w:rsidP="00441D54">
      <w:pPr>
        <w:spacing w:before="120" w:after="120"/>
        <w:ind w:firstLine="720"/>
        <w:rPr>
          <w:rFonts w:asciiTheme="majorBidi" w:hAnsiTheme="majorBidi" w:cstheme="majorBidi"/>
        </w:rPr>
      </w:pPr>
      <w:r w:rsidRPr="00EE2CAF">
        <w:rPr>
          <w:rFonts w:asciiTheme="majorBidi" w:hAnsiTheme="majorBidi" w:cstheme="majorBidi"/>
          <w:i/>
        </w:rPr>
        <w:t>Welcoming</w:t>
      </w:r>
      <w:r w:rsidRPr="00EE2CAF">
        <w:rPr>
          <w:rFonts w:asciiTheme="majorBidi" w:hAnsiTheme="majorBidi" w:cstheme="majorBidi"/>
        </w:rPr>
        <w:t xml:space="preserve"> the efforts of databases, including the International Nucleotide Sequence Database Collaboration, to encourage the tagging of records with information on geographical origin,</w:t>
      </w:r>
    </w:p>
    <w:p w14:paraId="6DE3C70D" w14:textId="77777777" w:rsidR="0000159D" w:rsidRPr="00EE2CAF" w:rsidRDefault="0000159D" w:rsidP="00441D54">
      <w:pPr>
        <w:spacing w:before="120" w:after="120"/>
        <w:ind w:firstLine="720"/>
        <w:rPr>
          <w:rFonts w:asciiTheme="majorBidi" w:hAnsiTheme="majorBidi" w:cstheme="majorBidi"/>
        </w:rPr>
      </w:pPr>
      <w:r>
        <w:rPr>
          <w:rFonts w:asciiTheme="majorBidi" w:hAnsiTheme="majorBidi" w:cstheme="majorBidi"/>
          <w:i/>
          <w:iCs/>
        </w:rPr>
        <w:lastRenderedPageBreak/>
        <w:t>Acknowledging</w:t>
      </w:r>
      <w:r w:rsidRPr="00EE2CAF">
        <w:rPr>
          <w:rFonts w:asciiTheme="majorBidi" w:hAnsiTheme="majorBidi" w:cstheme="majorBidi"/>
        </w:rPr>
        <w:t xml:space="preserve"> the FAIR</w:t>
      </w:r>
      <w:r w:rsidRPr="00610646">
        <w:rPr>
          <w:rStyle w:val="FootnoteReference"/>
        </w:rPr>
        <w:footnoteReference w:id="88"/>
      </w:r>
      <w:r w:rsidRPr="00EE2CAF">
        <w:rPr>
          <w:rFonts w:asciiTheme="majorBidi" w:hAnsiTheme="majorBidi" w:cstheme="majorBidi"/>
        </w:rPr>
        <w:t xml:space="preserve"> and CARE</w:t>
      </w:r>
      <w:r w:rsidRPr="00610646">
        <w:rPr>
          <w:rStyle w:val="FootnoteReference"/>
        </w:rPr>
        <w:footnoteReference w:id="89"/>
      </w:r>
      <w:r w:rsidRPr="00EE2CAF">
        <w:rPr>
          <w:rFonts w:asciiTheme="majorBidi" w:hAnsiTheme="majorBidi" w:cstheme="majorBidi"/>
        </w:rPr>
        <w:t xml:space="preserve"> principles, the framework for data governance provided by the Organisation for Economic Co-operation and Development </w:t>
      </w:r>
      <w:r>
        <w:rPr>
          <w:rFonts w:asciiTheme="majorBidi" w:hAnsiTheme="majorBidi" w:cstheme="majorBidi"/>
        </w:rPr>
        <w:t>“R</w:t>
      </w:r>
      <w:r w:rsidRPr="00EE2CAF">
        <w:rPr>
          <w:rFonts w:asciiTheme="majorBidi" w:hAnsiTheme="majorBidi" w:cstheme="majorBidi"/>
        </w:rPr>
        <w:t xml:space="preserve">ecommendation on </w:t>
      </w:r>
      <w:r>
        <w:rPr>
          <w:rFonts w:asciiTheme="majorBidi" w:hAnsiTheme="majorBidi" w:cstheme="majorBidi"/>
        </w:rPr>
        <w:t>E</w:t>
      </w:r>
      <w:r w:rsidRPr="00EE2CAF">
        <w:rPr>
          <w:rFonts w:asciiTheme="majorBidi" w:hAnsiTheme="majorBidi" w:cstheme="majorBidi"/>
        </w:rPr>
        <w:t xml:space="preserve">nhancing </w:t>
      </w:r>
      <w:r>
        <w:rPr>
          <w:rFonts w:asciiTheme="majorBidi" w:hAnsiTheme="majorBidi" w:cstheme="majorBidi"/>
        </w:rPr>
        <w:t>A</w:t>
      </w:r>
      <w:r w:rsidRPr="00EE2CAF">
        <w:rPr>
          <w:rFonts w:asciiTheme="majorBidi" w:hAnsiTheme="majorBidi" w:cstheme="majorBidi"/>
        </w:rPr>
        <w:t xml:space="preserve">ccess to and </w:t>
      </w:r>
      <w:r>
        <w:rPr>
          <w:rFonts w:asciiTheme="majorBidi" w:hAnsiTheme="majorBidi" w:cstheme="majorBidi"/>
        </w:rPr>
        <w:t>S</w:t>
      </w:r>
      <w:r w:rsidRPr="00EE2CAF">
        <w:rPr>
          <w:rFonts w:asciiTheme="majorBidi" w:hAnsiTheme="majorBidi" w:cstheme="majorBidi"/>
        </w:rPr>
        <w:t xml:space="preserve">haring of </w:t>
      </w:r>
      <w:r>
        <w:rPr>
          <w:rFonts w:asciiTheme="majorBidi" w:hAnsiTheme="majorBidi" w:cstheme="majorBidi"/>
        </w:rPr>
        <w:t>D</w:t>
      </w:r>
      <w:r w:rsidRPr="00EE2CAF">
        <w:rPr>
          <w:rFonts w:asciiTheme="majorBidi" w:hAnsiTheme="majorBidi" w:cstheme="majorBidi"/>
        </w:rPr>
        <w:t>ata</w:t>
      </w:r>
      <w:r>
        <w:rPr>
          <w:rFonts w:asciiTheme="majorBidi" w:hAnsiTheme="majorBidi" w:cstheme="majorBidi"/>
        </w:rPr>
        <w:t>”</w:t>
      </w:r>
      <w:r w:rsidRPr="00EE2CAF">
        <w:rPr>
          <w:rFonts w:asciiTheme="majorBidi" w:hAnsiTheme="majorBidi" w:cstheme="majorBidi"/>
        </w:rPr>
        <w:t>,</w:t>
      </w:r>
      <w:r w:rsidRPr="00610646">
        <w:rPr>
          <w:rStyle w:val="FootnoteReference"/>
        </w:rPr>
        <w:footnoteReference w:id="90"/>
      </w:r>
      <w:r w:rsidRPr="00EE2CAF">
        <w:rPr>
          <w:rFonts w:asciiTheme="majorBidi" w:hAnsiTheme="majorBidi" w:cstheme="majorBidi"/>
        </w:rPr>
        <w:t xml:space="preserve"> and the recommendations set out in the United Nations Educational, Scientific and Cultural Organization </w:t>
      </w:r>
      <w:r>
        <w:rPr>
          <w:rFonts w:asciiTheme="majorBidi" w:hAnsiTheme="majorBidi" w:cstheme="majorBidi"/>
        </w:rPr>
        <w:t>“</w:t>
      </w:r>
      <w:r w:rsidRPr="00EE2CAF">
        <w:rPr>
          <w:rFonts w:asciiTheme="majorBidi" w:hAnsiTheme="majorBidi" w:cstheme="majorBidi"/>
        </w:rPr>
        <w:t>Recommendation on Open Science</w:t>
      </w:r>
      <w:r>
        <w:rPr>
          <w:rFonts w:asciiTheme="majorBidi" w:hAnsiTheme="majorBidi" w:cstheme="majorBidi"/>
        </w:rPr>
        <w:t>”</w:t>
      </w:r>
      <w:r w:rsidRPr="00EE2CAF">
        <w:rPr>
          <w:rFonts w:asciiTheme="majorBidi" w:hAnsiTheme="majorBidi" w:cstheme="majorBidi"/>
        </w:rPr>
        <w:t>,</w:t>
      </w:r>
      <w:r w:rsidRPr="007938B5">
        <w:rPr>
          <w:rFonts w:asciiTheme="majorBidi" w:hAnsiTheme="majorBidi" w:cstheme="majorBidi"/>
        </w:rPr>
        <w:t xml:space="preserve"> </w:t>
      </w:r>
      <w:r w:rsidRPr="00610646">
        <w:rPr>
          <w:rStyle w:val="FootnoteReference"/>
        </w:rPr>
        <w:footnoteReference w:id="91"/>
      </w:r>
    </w:p>
    <w:p w14:paraId="565824AC" w14:textId="77777777" w:rsidR="0000159D" w:rsidRPr="00EE2CAF" w:rsidRDefault="0000159D" w:rsidP="00441D54">
      <w:pPr>
        <w:spacing w:before="120" w:after="120"/>
        <w:ind w:firstLine="720"/>
        <w:rPr>
          <w:rFonts w:asciiTheme="majorBidi" w:hAnsiTheme="majorBidi" w:cstheme="majorBidi"/>
        </w:rPr>
      </w:pPr>
      <w:r w:rsidRPr="00EE2CAF">
        <w:rPr>
          <w:rFonts w:asciiTheme="majorBidi" w:hAnsiTheme="majorBidi" w:cstheme="majorBidi"/>
          <w:i/>
        </w:rPr>
        <w:t xml:space="preserve">Recognizing </w:t>
      </w:r>
      <w:r w:rsidRPr="00EE2CAF">
        <w:rPr>
          <w:rFonts w:asciiTheme="majorBidi" w:hAnsiTheme="majorBidi" w:cstheme="majorBidi"/>
        </w:rPr>
        <w:t>that a solution on benefit-sharing from the use of digital sequence information on genetic resources may include innovative revenue generation measures,</w:t>
      </w:r>
    </w:p>
    <w:p w14:paraId="0E83CA81" w14:textId="77777777" w:rsidR="0000159D" w:rsidRPr="00EE2CAF" w:rsidRDefault="0000159D" w:rsidP="00441D54">
      <w:pPr>
        <w:spacing w:before="120" w:after="120"/>
        <w:ind w:firstLine="720"/>
        <w:rPr>
          <w:rFonts w:asciiTheme="majorBidi" w:hAnsiTheme="majorBidi" w:cstheme="majorBidi"/>
        </w:rPr>
      </w:pPr>
      <w:r w:rsidRPr="00EE2CAF">
        <w:rPr>
          <w:rFonts w:asciiTheme="majorBidi" w:hAnsiTheme="majorBidi" w:cstheme="majorBidi"/>
          <w:i/>
        </w:rPr>
        <w:t>Noting</w:t>
      </w:r>
      <w:r w:rsidRPr="00EE2CAF">
        <w:rPr>
          <w:rFonts w:asciiTheme="majorBidi" w:hAnsiTheme="majorBidi" w:cstheme="majorBidi"/>
        </w:rPr>
        <w:t xml:space="preserve"> that the differences between public and private databases should be considered in the </w:t>
      </w:r>
      <w:r w:rsidRPr="001F5FAD">
        <w:rPr>
          <w:rFonts w:asciiTheme="majorBidi" w:hAnsiTheme="majorBidi" w:cstheme="majorBidi"/>
        </w:rPr>
        <w:t>development of a solution on benefit-sharing from the use of digital sequence information on genetic resources,</w:t>
      </w:r>
    </w:p>
    <w:p w14:paraId="70FC7F8B" w14:textId="77777777" w:rsidR="0000159D" w:rsidRPr="00EE2CAF" w:rsidRDefault="0000159D" w:rsidP="00441D54">
      <w:pPr>
        <w:spacing w:before="120" w:after="120"/>
        <w:ind w:firstLine="720"/>
        <w:rPr>
          <w:rFonts w:asciiTheme="majorBidi" w:hAnsiTheme="majorBidi" w:cstheme="majorBidi"/>
        </w:rPr>
      </w:pPr>
      <w:r w:rsidRPr="00EE2CAF">
        <w:rPr>
          <w:rFonts w:asciiTheme="majorBidi" w:hAnsiTheme="majorBidi" w:cstheme="majorBidi"/>
          <w:i/>
        </w:rPr>
        <w:t>Recognizing</w:t>
      </w:r>
      <w:r w:rsidRPr="00EE2CAF">
        <w:rPr>
          <w:rFonts w:asciiTheme="majorBidi" w:hAnsiTheme="majorBidi" w:cstheme="majorBidi"/>
        </w:rPr>
        <w:t xml:space="preserve"> </w:t>
      </w:r>
      <w:r>
        <w:rPr>
          <w:rFonts w:asciiTheme="majorBidi" w:hAnsiTheme="majorBidi" w:cstheme="majorBidi"/>
        </w:rPr>
        <w:t>the</w:t>
      </w:r>
      <w:r w:rsidRPr="00EE2CAF">
        <w:rPr>
          <w:rFonts w:asciiTheme="majorBidi" w:hAnsiTheme="majorBidi" w:cstheme="majorBidi"/>
        </w:rPr>
        <w:t xml:space="preserve"> different understandings of the concept and scope of digital sequence information on genetic resources, and the range of views regarding the need to define such concept and scope, </w:t>
      </w:r>
    </w:p>
    <w:p w14:paraId="21B5D8AE" w14:textId="77777777" w:rsidR="0000159D" w:rsidRPr="00EE2CAF" w:rsidRDefault="0000159D" w:rsidP="00441D54">
      <w:pPr>
        <w:spacing w:before="120" w:after="120"/>
        <w:ind w:firstLine="720"/>
        <w:rPr>
          <w:rFonts w:asciiTheme="majorBidi" w:hAnsiTheme="majorBidi" w:cstheme="majorBidi"/>
        </w:rPr>
      </w:pPr>
      <w:r w:rsidRPr="00EE2CAF">
        <w:rPr>
          <w:rFonts w:asciiTheme="majorBidi" w:hAnsiTheme="majorBidi" w:cstheme="majorBidi"/>
        </w:rPr>
        <w:t>1.</w:t>
      </w:r>
      <w:r w:rsidRPr="00EE2CAF">
        <w:rPr>
          <w:rFonts w:asciiTheme="majorBidi" w:hAnsiTheme="majorBidi" w:cstheme="majorBidi"/>
        </w:rPr>
        <w:tab/>
      </w:r>
      <w:r w:rsidRPr="00EE2CAF">
        <w:rPr>
          <w:rFonts w:asciiTheme="majorBidi" w:hAnsiTheme="majorBidi" w:cstheme="majorBidi"/>
          <w:i/>
          <w:iCs/>
        </w:rPr>
        <w:t xml:space="preserve">Agrees </w:t>
      </w:r>
      <w:r w:rsidRPr="0081017C">
        <w:rPr>
          <w:rFonts w:asciiTheme="majorBidi" w:hAnsiTheme="majorBidi"/>
        </w:rPr>
        <w:t>on</w:t>
      </w:r>
      <w:r w:rsidRPr="00EE2CAF">
        <w:rPr>
          <w:rFonts w:asciiTheme="majorBidi" w:hAnsiTheme="majorBidi" w:cstheme="majorBidi"/>
          <w:i/>
          <w:iCs/>
        </w:rPr>
        <w:t xml:space="preserve"> </w:t>
      </w:r>
      <w:r w:rsidRPr="00EE2CAF">
        <w:rPr>
          <w:rFonts w:asciiTheme="majorBidi" w:hAnsiTheme="majorBidi" w:cstheme="majorBidi"/>
        </w:rPr>
        <w:t xml:space="preserve">the continuing use of the term </w:t>
      </w:r>
      <w:r>
        <w:rPr>
          <w:rFonts w:asciiTheme="majorBidi" w:hAnsiTheme="majorBidi" w:cstheme="majorBidi"/>
          <w:lang w:val="en-US"/>
        </w:rPr>
        <w:t>“</w:t>
      </w:r>
      <w:r w:rsidRPr="00EE2CAF">
        <w:rPr>
          <w:rFonts w:asciiTheme="majorBidi" w:hAnsiTheme="majorBidi" w:cstheme="majorBidi"/>
        </w:rPr>
        <w:t>digital sequence information</w:t>
      </w:r>
      <w:r>
        <w:rPr>
          <w:rFonts w:asciiTheme="majorBidi" w:hAnsiTheme="majorBidi" w:cstheme="majorBidi"/>
        </w:rPr>
        <w:t xml:space="preserve">” </w:t>
      </w:r>
      <w:r w:rsidRPr="00EE2CAF">
        <w:rPr>
          <w:rFonts w:asciiTheme="majorBidi" w:hAnsiTheme="majorBidi" w:cstheme="majorBidi"/>
        </w:rPr>
        <w:t>for further discussion</w:t>
      </w:r>
      <w:r>
        <w:rPr>
          <w:rFonts w:asciiTheme="majorBidi" w:hAnsiTheme="majorBidi" w:cstheme="majorBidi"/>
        </w:rPr>
        <w:t>s</w:t>
      </w:r>
      <w:r w:rsidRPr="00E659BA">
        <w:rPr>
          <w:rFonts w:asciiTheme="majorBidi" w:hAnsiTheme="majorBidi" w:cstheme="majorBidi"/>
        </w:rPr>
        <w:t>;</w:t>
      </w:r>
    </w:p>
    <w:p w14:paraId="58465550"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2.</w:t>
      </w:r>
      <w:r w:rsidRPr="00EE2CAF">
        <w:rPr>
          <w:rFonts w:asciiTheme="majorBidi" w:hAnsiTheme="majorBidi" w:cstheme="majorBidi"/>
        </w:rPr>
        <w:tab/>
      </w:r>
      <w:r w:rsidRPr="00EE2CAF">
        <w:rPr>
          <w:rFonts w:asciiTheme="majorBidi" w:hAnsiTheme="majorBidi" w:cstheme="majorBidi"/>
          <w:i/>
          <w:iCs/>
        </w:rPr>
        <w:t>A</w:t>
      </w:r>
      <w:r>
        <w:rPr>
          <w:rFonts w:asciiTheme="majorBidi" w:hAnsiTheme="majorBidi" w:cstheme="majorBidi"/>
          <w:i/>
          <w:iCs/>
        </w:rPr>
        <w:t>lso a</w:t>
      </w:r>
      <w:r w:rsidRPr="00EE2CAF">
        <w:rPr>
          <w:rFonts w:asciiTheme="majorBidi" w:hAnsiTheme="majorBidi" w:cstheme="majorBidi"/>
          <w:i/>
          <w:iCs/>
        </w:rPr>
        <w:t>grees</w:t>
      </w:r>
      <w:r w:rsidRPr="00EE2CAF">
        <w:rPr>
          <w:rFonts w:asciiTheme="majorBidi" w:hAnsiTheme="majorBidi" w:cstheme="majorBidi"/>
        </w:rPr>
        <w:t xml:space="preserve"> that the benefits from the use of digital sequence information on genetic resources should be shared fairly and equitably;</w:t>
      </w:r>
    </w:p>
    <w:p w14:paraId="1D43D08E"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3.</w:t>
      </w:r>
      <w:r w:rsidRPr="00EE2CAF">
        <w:rPr>
          <w:rFonts w:asciiTheme="majorBidi" w:hAnsiTheme="majorBidi" w:cstheme="majorBidi"/>
        </w:rPr>
        <w:tab/>
      </w:r>
      <w:r w:rsidRPr="00EE2CAF">
        <w:rPr>
          <w:rFonts w:asciiTheme="majorBidi" w:hAnsiTheme="majorBidi" w:cstheme="majorBidi"/>
          <w:i/>
          <w:iCs/>
        </w:rPr>
        <w:t>Considers</w:t>
      </w:r>
      <w:r w:rsidRPr="0081017C">
        <w:rPr>
          <w:rFonts w:asciiTheme="majorBidi" w:hAnsiTheme="majorBidi"/>
        </w:rPr>
        <w:t xml:space="preserve"> </w:t>
      </w:r>
      <w:r w:rsidRPr="00EE2CAF">
        <w:rPr>
          <w:rFonts w:asciiTheme="majorBidi" w:hAnsiTheme="majorBidi" w:cstheme="majorBidi"/>
        </w:rPr>
        <w:t xml:space="preserve">that the distribution of digital sequence information on genetic resources and distinctive practices in </w:t>
      </w:r>
      <w:r>
        <w:rPr>
          <w:rFonts w:asciiTheme="majorBidi" w:hAnsiTheme="majorBidi" w:cstheme="majorBidi"/>
        </w:rPr>
        <w:t>its</w:t>
      </w:r>
      <w:r w:rsidRPr="00EE2CAF">
        <w:rPr>
          <w:rFonts w:asciiTheme="majorBidi" w:hAnsiTheme="majorBidi" w:cstheme="majorBidi"/>
        </w:rPr>
        <w:t xml:space="preserve"> use require a distinctive solution for benefit-sharing;</w:t>
      </w:r>
    </w:p>
    <w:p w14:paraId="4DA4A00B" w14:textId="77777777" w:rsidR="0000159D" w:rsidRPr="00EE2CAF" w:rsidRDefault="0000159D" w:rsidP="00441D54">
      <w:pPr>
        <w:spacing w:before="120" w:after="120"/>
        <w:ind w:firstLine="720"/>
        <w:rPr>
          <w:rFonts w:asciiTheme="majorBidi" w:hAnsiTheme="majorBidi" w:cstheme="majorBidi"/>
        </w:rPr>
      </w:pPr>
      <w:r w:rsidRPr="00EE2CAF">
        <w:rPr>
          <w:rFonts w:asciiTheme="majorBidi" w:hAnsiTheme="majorBidi" w:cstheme="majorBidi"/>
        </w:rPr>
        <w:t>4.</w:t>
      </w:r>
      <w:r w:rsidRPr="00EE2CAF">
        <w:rPr>
          <w:rFonts w:asciiTheme="majorBidi" w:hAnsiTheme="majorBidi" w:cstheme="majorBidi"/>
        </w:rPr>
        <w:tab/>
      </w:r>
      <w:r w:rsidRPr="00EE2CAF">
        <w:rPr>
          <w:rFonts w:asciiTheme="majorBidi" w:hAnsiTheme="majorBidi" w:cstheme="majorBidi"/>
          <w:i/>
          <w:iCs/>
        </w:rPr>
        <w:t xml:space="preserve">Encourages </w:t>
      </w:r>
      <w:r w:rsidRPr="00EE2CAF">
        <w:rPr>
          <w:rFonts w:asciiTheme="majorBidi" w:hAnsiTheme="majorBidi" w:cstheme="majorBidi"/>
        </w:rPr>
        <w:t>the depositing of more digital sequence information on genetic resources, with appropriate information on geographical origin and other relevant metadata</w:t>
      </w:r>
      <w:r>
        <w:rPr>
          <w:rFonts w:asciiTheme="majorBidi" w:hAnsiTheme="majorBidi" w:cstheme="majorBidi"/>
        </w:rPr>
        <w:t xml:space="preserve">, </w:t>
      </w:r>
      <w:r w:rsidRPr="00EE2CAF">
        <w:rPr>
          <w:rFonts w:asciiTheme="majorBidi" w:hAnsiTheme="majorBidi" w:cstheme="majorBidi"/>
        </w:rPr>
        <w:t>in public databases;</w:t>
      </w:r>
    </w:p>
    <w:p w14:paraId="3F9C9246"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5.</w:t>
      </w:r>
      <w:r w:rsidRPr="00EE2CAF">
        <w:rPr>
          <w:rFonts w:asciiTheme="majorBidi" w:hAnsiTheme="majorBidi" w:cstheme="majorBidi"/>
        </w:rPr>
        <w:tab/>
      </w:r>
      <w:r w:rsidRPr="00EE2CAF">
        <w:rPr>
          <w:rFonts w:asciiTheme="majorBidi" w:hAnsiTheme="majorBidi" w:cstheme="majorBidi"/>
          <w:i/>
          <w:iCs/>
        </w:rPr>
        <w:t xml:space="preserve">Recognizes </w:t>
      </w:r>
      <w:r w:rsidRPr="00EE2CAF">
        <w:rPr>
          <w:rFonts w:asciiTheme="majorBidi" w:hAnsiTheme="majorBidi" w:cstheme="majorBidi"/>
        </w:rPr>
        <w:t>that tracking and tracing of all digital sequence information on genetic resources is not practical</w:t>
      </w:r>
      <w:r w:rsidRPr="00BB45B8">
        <w:rPr>
          <w:rFonts w:asciiTheme="majorBidi" w:hAnsiTheme="majorBidi" w:cstheme="majorBidi"/>
        </w:rPr>
        <w:t>;</w:t>
      </w:r>
    </w:p>
    <w:p w14:paraId="74A45DD2"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6.</w:t>
      </w:r>
      <w:r w:rsidRPr="00EE2CAF">
        <w:rPr>
          <w:rFonts w:asciiTheme="majorBidi" w:hAnsiTheme="majorBidi" w:cstheme="majorBidi"/>
        </w:rPr>
        <w:tab/>
      </w:r>
      <w:r>
        <w:rPr>
          <w:rFonts w:asciiTheme="majorBidi" w:hAnsiTheme="majorBidi" w:cstheme="majorBidi"/>
          <w:i/>
          <w:iCs/>
        </w:rPr>
        <w:t>Also r</w:t>
      </w:r>
      <w:r w:rsidRPr="00EE2CAF">
        <w:rPr>
          <w:rFonts w:asciiTheme="majorBidi" w:hAnsiTheme="majorBidi" w:cstheme="majorBidi"/>
          <w:i/>
        </w:rPr>
        <w:t>ecognizes</w:t>
      </w:r>
      <w:r w:rsidRPr="00EE2CAF">
        <w:rPr>
          <w:rFonts w:asciiTheme="majorBidi" w:hAnsiTheme="majorBidi" w:cstheme="majorBidi"/>
          <w:iCs/>
        </w:rPr>
        <w:t xml:space="preserve"> that a multilateral approach on the sharing of the benefits arising from the use of </w:t>
      </w:r>
      <w:r w:rsidRPr="00EE2CAF">
        <w:rPr>
          <w:rFonts w:asciiTheme="majorBidi" w:hAnsiTheme="majorBidi" w:cstheme="majorBidi"/>
        </w:rPr>
        <w:t xml:space="preserve">digital sequence information on genetic resources </w:t>
      </w:r>
      <w:r w:rsidRPr="00EE2CAF">
        <w:rPr>
          <w:rFonts w:asciiTheme="majorBidi" w:hAnsiTheme="majorBidi" w:cstheme="majorBidi"/>
          <w:iCs/>
        </w:rPr>
        <w:t xml:space="preserve">has the potential to meet the criteria identified in </w:t>
      </w:r>
      <w:r w:rsidRPr="00F665BD">
        <w:rPr>
          <w:rFonts w:asciiTheme="majorBidi" w:hAnsiTheme="majorBidi" w:cstheme="majorBidi"/>
        </w:rPr>
        <w:t>paragraph</w:t>
      </w:r>
      <w:r w:rsidRPr="00F665BD">
        <w:rPr>
          <w:rFonts w:asciiTheme="majorBidi" w:hAnsiTheme="majorBidi" w:cstheme="majorBidi"/>
          <w:iCs/>
        </w:rPr>
        <w:t xml:space="preserve"> </w:t>
      </w:r>
      <w:r w:rsidRPr="00F665BD">
        <w:rPr>
          <w:rFonts w:asciiTheme="majorBidi" w:hAnsiTheme="majorBidi" w:cstheme="majorBidi"/>
        </w:rPr>
        <w:t>9</w:t>
      </w:r>
      <w:r>
        <w:rPr>
          <w:rFonts w:asciiTheme="majorBidi" w:hAnsiTheme="majorBidi" w:cstheme="majorBidi"/>
        </w:rPr>
        <w:t xml:space="preserve"> of the present decision</w:t>
      </w:r>
      <w:r w:rsidRPr="00F665BD">
        <w:rPr>
          <w:rFonts w:asciiTheme="majorBidi" w:hAnsiTheme="majorBidi" w:cstheme="majorBidi"/>
          <w:iCs/>
        </w:rPr>
        <w:t>;</w:t>
      </w:r>
    </w:p>
    <w:p w14:paraId="60B02BB0"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7.</w:t>
      </w:r>
      <w:r w:rsidRPr="00EE2CAF">
        <w:rPr>
          <w:rFonts w:asciiTheme="majorBidi" w:hAnsiTheme="majorBidi" w:cstheme="majorBidi"/>
        </w:rPr>
        <w:tab/>
      </w:r>
      <w:r>
        <w:rPr>
          <w:rFonts w:asciiTheme="majorBidi" w:hAnsiTheme="majorBidi" w:cstheme="majorBidi"/>
          <w:i/>
        </w:rPr>
        <w:t>Further</w:t>
      </w:r>
      <w:r w:rsidRPr="00EE2CAF">
        <w:rPr>
          <w:rFonts w:asciiTheme="majorBidi" w:hAnsiTheme="majorBidi" w:cstheme="majorBidi"/>
          <w:i/>
        </w:rPr>
        <w:t xml:space="preserve"> recognizes</w:t>
      </w:r>
      <w:r w:rsidRPr="00EE2CAF">
        <w:rPr>
          <w:rFonts w:asciiTheme="majorBidi" w:hAnsiTheme="majorBidi" w:cstheme="majorBidi"/>
          <w:iCs/>
        </w:rPr>
        <w:t xml:space="preserve"> that in the course of further analysis, exceptions to </w:t>
      </w:r>
      <w:r w:rsidRPr="00EE2CAF">
        <w:rPr>
          <w:rFonts w:asciiTheme="majorBidi" w:hAnsiTheme="majorBidi" w:cstheme="majorBidi"/>
        </w:rPr>
        <w:t>paragraph</w:t>
      </w:r>
      <w:r w:rsidRPr="00EE2CAF">
        <w:rPr>
          <w:rFonts w:asciiTheme="majorBidi" w:hAnsiTheme="majorBidi" w:cstheme="majorBidi"/>
          <w:iCs/>
        </w:rPr>
        <w:t xml:space="preserve"> 6 </w:t>
      </w:r>
      <w:r>
        <w:rPr>
          <w:rFonts w:asciiTheme="majorBidi" w:hAnsiTheme="majorBidi" w:cstheme="majorBidi"/>
          <w:iCs/>
        </w:rPr>
        <w:t xml:space="preserve">above </w:t>
      </w:r>
      <w:r w:rsidRPr="00EE2CAF">
        <w:rPr>
          <w:rFonts w:asciiTheme="majorBidi" w:hAnsiTheme="majorBidi" w:cstheme="majorBidi"/>
          <w:iCs/>
        </w:rPr>
        <w:t xml:space="preserve">may be identified; </w:t>
      </w:r>
    </w:p>
    <w:p w14:paraId="6188D614"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8.</w:t>
      </w:r>
      <w:r w:rsidRPr="00EE2CAF">
        <w:rPr>
          <w:rFonts w:asciiTheme="majorBidi" w:hAnsiTheme="majorBidi" w:cstheme="majorBidi"/>
        </w:rPr>
        <w:tab/>
      </w:r>
      <w:r>
        <w:rPr>
          <w:rFonts w:asciiTheme="majorBidi" w:hAnsiTheme="majorBidi" w:cstheme="majorBidi"/>
          <w:i/>
          <w:iCs/>
        </w:rPr>
        <w:t>Agrees</w:t>
      </w:r>
      <w:r w:rsidRPr="00EE2CAF">
        <w:rPr>
          <w:rFonts w:asciiTheme="majorBidi" w:hAnsiTheme="majorBidi" w:cstheme="majorBidi"/>
        </w:rPr>
        <w:t xml:space="preserve"> to develop a solution for the sharing of benefits arising from the use of digital sequence information on genetic resources;</w:t>
      </w:r>
    </w:p>
    <w:p w14:paraId="5989A09F"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9.</w:t>
      </w:r>
      <w:r w:rsidRPr="00EE2CAF">
        <w:rPr>
          <w:rFonts w:asciiTheme="majorBidi" w:hAnsiTheme="majorBidi" w:cstheme="majorBidi"/>
        </w:rPr>
        <w:tab/>
      </w:r>
      <w:r w:rsidRPr="0095262A">
        <w:rPr>
          <w:rFonts w:asciiTheme="majorBidi" w:hAnsiTheme="majorBidi" w:cstheme="majorBidi"/>
          <w:i/>
          <w:iCs/>
        </w:rPr>
        <w:t>Also agrees</w:t>
      </w:r>
      <w:r w:rsidRPr="00EE2CAF">
        <w:rPr>
          <w:rFonts w:asciiTheme="majorBidi" w:hAnsiTheme="majorBidi" w:cstheme="majorBidi"/>
        </w:rPr>
        <w:t xml:space="preserve"> </w:t>
      </w:r>
      <w:r w:rsidRPr="008F37D2">
        <w:rPr>
          <w:rFonts w:asciiTheme="majorBidi" w:hAnsiTheme="majorBidi" w:cstheme="majorBidi"/>
        </w:rPr>
        <w:t>that a solution for fair and equitable benefit-sharing on digital sequence information on genetic resources should, inter alia:</w:t>
      </w:r>
      <w:r w:rsidRPr="00EE2CAF">
        <w:rPr>
          <w:rFonts w:asciiTheme="majorBidi" w:hAnsiTheme="majorBidi" w:cstheme="majorBidi"/>
        </w:rPr>
        <w:t xml:space="preserve"> </w:t>
      </w:r>
    </w:p>
    <w:p w14:paraId="0FE3C80F"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(a)</w:t>
      </w:r>
      <w:r w:rsidRPr="00EE2CAF">
        <w:rPr>
          <w:rFonts w:asciiTheme="majorBidi" w:hAnsiTheme="majorBidi" w:cstheme="majorBidi"/>
        </w:rPr>
        <w:tab/>
        <w:t xml:space="preserve">Be efficient, feasible and practical; </w:t>
      </w:r>
    </w:p>
    <w:p w14:paraId="307EA830"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(b)</w:t>
      </w:r>
      <w:r w:rsidRPr="00EE2CAF">
        <w:rPr>
          <w:rFonts w:asciiTheme="majorBidi" w:hAnsiTheme="majorBidi" w:cstheme="majorBidi"/>
        </w:rPr>
        <w:tab/>
        <w:t xml:space="preserve">Generate more benefits, including both monetary and non-monetary, than costs; </w:t>
      </w:r>
    </w:p>
    <w:p w14:paraId="060710E2"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(c)</w:t>
      </w:r>
      <w:r w:rsidRPr="00EE2CAF">
        <w:rPr>
          <w:rFonts w:asciiTheme="majorBidi" w:hAnsiTheme="majorBidi" w:cstheme="majorBidi"/>
        </w:rPr>
        <w:tab/>
        <w:t xml:space="preserve">Be effective; </w:t>
      </w:r>
    </w:p>
    <w:p w14:paraId="581F609A"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(d)</w:t>
      </w:r>
      <w:r w:rsidRPr="00EE2CAF">
        <w:rPr>
          <w:rFonts w:asciiTheme="majorBidi" w:hAnsiTheme="majorBidi" w:cstheme="majorBidi"/>
        </w:rPr>
        <w:tab/>
        <w:t xml:space="preserve">Provide certainty and legal clarity for providers and users of digital sequence information on genetic resources; </w:t>
      </w:r>
    </w:p>
    <w:p w14:paraId="46C9DE1E"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(e)</w:t>
      </w:r>
      <w:r w:rsidRPr="00EE2CAF">
        <w:rPr>
          <w:rFonts w:asciiTheme="majorBidi" w:hAnsiTheme="majorBidi" w:cstheme="majorBidi"/>
        </w:rPr>
        <w:tab/>
        <w:t xml:space="preserve">Not hinder research and innovation; </w:t>
      </w:r>
    </w:p>
    <w:p w14:paraId="495B0D80"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(f)</w:t>
      </w:r>
      <w:r w:rsidRPr="00EE2CAF">
        <w:rPr>
          <w:rFonts w:asciiTheme="majorBidi" w:hAnsiTheme="majorBidi" w:cstheme="majorBidi"/>
        </w:rPr>
        <w:tab/>
        <w:t xml:space="preserve">Be consistent with open access to data; </w:t>
      </w:r>
    </w:p>
    <w:p w14:paraId="4521B0DB"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(g)</w:t>
      </w:r>
      <w:r w:rsidRPr="00EE2CAF">
        <w:rPr>
          <w:rFonts w:asciiTheme="majorBidi" w:hAnsiTheme="majorBidi" w:cstheme="majorBidi"/>
        </w:rPr>
        <w:tab/>
        <w:t xml:space="preserve">Not be incompatible with international legal obligations; </w:t>
      </w:r>
    </w:p>
    <w:p w14:paraId="388A94BB"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lastRenderedPageBreak/>
        <w:t>(h)</w:t>
      </w:r>
      <w:r w:rsidRPr="00EE2CAF">
        <w:rPr>
          <w:rFonts w:asciiTheme="majorBidi" w:hAnsiTheme="majorBidi" w:cstheme="majorBidi"/>
        </w:rPr>
        <w:tab/>
        <w:t xml:space="preserve">Be mutually supportive of other access and benefit-sharing instruments; </w:t>
      </w:r>
    </w:p>
    <w:p w14:paraId="3778953D"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(i)</w:t>
      </w:r>
      <w:r w:rsidRPr="00EE2CAF">
        <w:rPr>
          <w:rFonts w:asciiTheme="majorBidi" w:hAnsiTheme="majorBidi" w:cstheme="majorBidi"/>
        </w:rPr>
        <w:tab/>
        <w:t>Take into account the rights of indigenous peoples and local communities, including with respect to the traditional knowledge associated with genetic resources that they hold;</w:t>
      </w:r>
    </w:p>
    <w:p w14:paraId="28020DB1"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10.</w:t>
      </w:r>
      <w:r w:rsidRPr="00EE2CAF">
        <w:rPr>
          <w:rFonts w:asciiTheme="majorBidi" w:hAnsiTheme="majorBidi" w:cstheme="majorBidi"/>
        </w:rPr>
        <w:tab/>
      </w:r>
      <w:r w:rsidRPr="00EE2CAF">
        <w:rPr>
          <w:rFonts w:asciiTheme="majorBidi" w:hAnsiTheme="majorBidi" w:cstheme="majorBidi"/>
          <w:i/>
          <w:iCs/>
        </w:rPr>
        <w:t>Recognizes</w:t>
      </w:r>
      <w:r w:rsidRPr="00EE2CAF">
        <w:rPr>
          <w:rFonts w:asciiTheme="majorBidi" w:hAnsiTheme="majorBidi" w:cstheme="majorBidi"/>
        </w:rPr>
        <w:t xml:space="preserve"> that the monetary and non-monetary benefits arising from the use of digital sequence information on genetic resources should, in particular, be used to support conservation and sustainable use of </w:t>
      </w:r>
      <w:r>
        <w:rPr>
          <w:rFonts w:asciiTheme="majorBidi" w:hAnsiTheme="majorBidi" w:cstheme="majorBidi"/>
        </w:rPr>
        <w:t>biological diversity</w:t>
      </w:r>
      <w:r w:rsidRPr="00EE2CAF">
        <w:rPr>
          <w:rFonts w:asciiTheme="majorBidi" w:hAnsiTheme="majorBidi" w:cstheme="majorBidi"/>
        </w:rPr>
        <w:t xml:space="preserve"> and</w:t>
      </w:r>
      <w:r>
        <w:rPr>
          <w:rFonts w:asciiTheme="majorBidi" w:hAnsiTheme="majorBidi" w:cstheme="majorBidi"/>
        </w:rPr>
        <w:t>,</w:t>
      </w:r>
      <w:r w:rsidRPr="00EE2CAF">
        <w:rPr>
          <w:rFonts w:asciiTheme="majorBidi" w:hAnsiTheme="majorBidi" w:cstheme="majorBidi"/>
        </w:rPr>
        <w:t xml:space="preserve"> inter alia</w:t>
      </w:r>
      <w:r>
        <w:rPr>
          <w:rFonts w:asciiTheme="majorBidi" w:hAnsiTheme="majorBidi" w:cstheme="majorBidi"/>
        </w:rPr>
        <w:t>,</w:t>
      </w:r>
      <w:r w:rsidRPr="00EE2CAF">
        <w:rPr>
          <w:rFonts w:asciiTheme="majorBidi" w:hAnsiTheme="majorBidi" w:cstheme="majorBidi"/>
        </w:rPr>
        <w:t xml:space="preserve"> benefit indigenous peoples and local communities;</w:t>
      </w:r>
    </w:p>
    <w:p w14:paraId="71D4128B" w14:textId="77777777" w:rsidR="0000159D" w:rsidRPr="00EE2CAF" w:rsidRDefault="0000159D" w:rsidP="00441D54">
      <w:pPr>
        <w:spacing w:before="120" w:after="120"/>
        <w:ind w:firstLine="709"/>
        <w:rPr>
          <w:rFonts w:asciiTheme="majorBidi" w:hAnsiTheme="majorBidi" w:cstheme="majorBidi"/>
          <w:i/>
        </w:rPr>
      </w:pPr>
      <w:r w:rsidRPr="00EE2CAF">
        <w:rPr>
          <w:rFonts w:asciiTheme="majorBidi" w:hAnsiTheme="majorBidi" w:cstheme="majorBidi"/>
        </w:rPr>
        <w:t>11.</w:t>
      </w:r>
      <w:r w:rsidRPr="00EE2CAF">
        <w:rPr>
          <w:rFonts w:asciiTheme="majorBidi" w:hAnsiTheme="majorBidi" w:cstheme="majorBidi"/>
        </w:rPr>
        <w:tab/>
      </w:r>
      <w:r w:rsidRPr="00EE2CAF">
        <w:rPr>
          <w:rFonts w:asciiTheme="majorBidi" w:hAnsiTheme="majorBidi" w:cstheme="majorBidi"/>
          <w:i/>
          <w:iCs/>
        </w:rPr>
        <w:t>Agrees</w:t>
      </w:r>
      <w:r w:rsidRPr="00EE2CAF">
        <w:rPr>
          <w:rFonts w:asciiTheme="majorBidi" w:hAnsiTheme="majorBidi" w:cstheme="majorBidi"/>
          <w:i/>
        </w:rPr>
        <w:t xml:space="preserve"> </w:t>
      </w:r>
      <w:r w:rsidRPr="00EE2CAF">
        <w:rPr>
          <w:rFonts w:asciiTheme="majorBidi" w:hAnsiTheme="majorBidi" w:cstheme="majorBidi"/>
        </w:rPr>
        <w:t xml:space="preserve">that the approach to fair and equitable benefit-sharing </w:t>
      </w:r>
      <w:r w:rsidRPr="00C45697">
        <w:rPr>
          <w:rFonts w:asciiTheme="majorBidi" w:hAnsiTheme="majorBidi" w:cstheme="majorBidi"/>
        </w:rPr>
        <w:t>from</w:t>
      </w:r>
      <w:r w:rsidRPr="00EE2CAF">
        <w:rPr>
          <w:rFonts w:asciiTheme="majorBidi" w:hAnsiTheme="majorBidi" w:cstheme="majorBidi"/>
        </w:rPr>
        <w:t xml:space="preserve"> the use of digital sequence information on genetic resources </w:t>
      </w:r>
      <w:r>
        <w:rPr>
          <w:rFonts w:asciiTheme="majorBidi" w:hAnsiTheme="majorBidi" w:cstheme="majorBidi"/>
        </w:rPr>
        <w:t xml:space="preserve">set out in the present decision </w:t>
      </w:r>
      <w:r w:rsidRPr="00EE2CAF">
        <w:rPr>
          <w:rFonts w:asciiTheme="majorBidi" w:hAnsiTheme="majorBidi" w:cstheme="majorBidi"/>
        </w:rPr>
        <w:t>does not affect existing rights and obligations under the Convention and the Nagoya Protocol, including, as applicable, those related to traditional knowledge and the rights of indigenous peoples and local communities, and is without prejudice to national access and benefit-sharing measures;</w:t>
      </w:r>
    </w:p>
    <w:p w14:paraId="6FD85721" w14:textId="77777777" w:rsidR="0000159D" w:rsidRPr="00EE2CAF" w:rsidRDefault="0000159D" w:rsidP="00441D54">
      <w:pPr>
        <w:spacing w:before="120" w:after="120"/>
        <w:ind w:firstLine="709"/>
        <w:rPr>
          <w:rFonts w:asciiTheme="majorBidi" w:hAnsiTheme="majorBidi" w:cstheme="majorBidi"/>
          <w:i/>
        </w:rPr>
      </w:pPr>
      <w:r w:rsidRPr="00832305">
        <w:rPr>
          <w:rFonts w:asciiTheme="majorBidi" w:hAnsiTheme="majorBidi" w:cstheme="majorBidi"/>
        </w:rPr>
        <w:t>12.</w:t>
      </w:r>
      <w:r w:rsidRPr="00832305">
        <w:rPr>
          <w:rFonts w:asciiTheme="majorBidi" w:hAnsiTheme="majorBidi" w:cstheme="majorBidi"/>
        </w:rPr>
        <w:tab/>
      </w:r>
      <w:r w:rsidRPr="00832305">
        <w:rPr>
          <w:rFonts w:asciiTheme="majorBidi" w:hAnsiTheme="majorBidi" w:cstheme="majorBidi"/>
          <w:i/>
          <w:iCs/>
        </w:rPr>
        <w:t>Welcomes</w:t>
      </w:r>
      <w:r w:rsidRPr="00832305">
        <w:rPr>
          <w:rFonts w:asciiTheme="majorBidi" w:hAnsiTheme="majorBidi" w:cstheme="majorBidi"/>
          <w:i/>
        </w:rPr>
        <w:t xml:space="preserve"> </w:t>
      </w:r>
      <w:r w:rsidRPr="00832305">
        <w:rPr>
          <w:rFonts w:asciiTheme="majorBidi" w:hAnsiTheme="majorBidi" w:cstheme="majorBidi"/>
        </w:rPr>
        <w:t>section I of the Kunming-Montreal Global Biodiversity Framework, the long-term strategic framework for capacity-building and development,</w:t>
      </w:r>
      <w:r w:rsidRPr="00610646">
        <w:rPr>
          <w:rStyle w:val="FootnoteReference"/>
        </w:rPr>
        <w:footnoteReference w:id="92"/>
      </w:r>
      <w:r w:rsidRPr="00832305">
        <w:rPr>
          <w:rFonts w:asciiTheme="majorBidi" w:hAnsiTheme="majorBidi" w:cstheme="majorBidi"/>
        </w:rPr>
        <w:t xml:space="preserve"> and the strengthening of technical and scientific cooperation in support of the Kunming-Montreal Global Biodiversity Framework;</w:t>
      </w:r>
    </w:p>
    <w:p w14:paraId="599377E9" w14:textId="77777777" w:rsidR="0000159D" w:rsidRDefault="0000159D" w:rsidP="00441D54">
      <w:pPr>
        <w:spacing w:before="120" w:after="120"/>
        <w:ind w:firstLine="709"/>
        <w:rPr>
          <w:rFonts w:asciiTheme="majorBidi" w:hAnsiTheme="majorBidi" w:cstheme="majorBidi"/>
        </w:rPr>
      </w:pPr>
      <w:r w:rsidRPr="00EE2CAF">
        <w:rPr>
          <w:rFonts w:asciiTheme="majorBidi" w:hAnsiTheme="majorBidi" w:cstheme="majorBidi"/>
        </w:rPr>
        <w:t>13</w:t>
      </w:r>
      <w:r w:rsidRPr="0010295D">
        <w:rPr>
          <w:rFonts w:asciiTheme="majorBidi" w:hAnsiTheme="majorBidi" w:cstheme="majorBidi"/>
        </w:rPr>
        <w:t>.</w:t>
      </w:r>
      <w:r w:rsidRPr="0010295D">
        <w:rPr>
          <w:rFonts w:asciiTheme="majorBidi" w:hAnsiTheme="majorBidi" w:cstheme="majorBidi"/>
        </w:rPr>
        <w:tab/>
      </w:r>
      <w:r w:rsidRPr="0010295D">
        <w:rPr>
          <w:rFonts w:asciiTheme="majorBidi" w:hAnsiTheme="majorBidi" w:cstheme="majorBidi"/>
          <w:i/>
          <w:iCs/>
        </w:rPr>
        <w:t>Calls</w:t>
      </w:r>
      <w:r w:rsidRPr="0010295D">
        <w:rPr>
          <w:rFonts w:asciiTheme="majorBidi" w:hAnsiTheme="majorBidi" w:cstheme="majorBidi"/>
        </w:rPr>
        <w:t xml:space="preserve"> </w:t>
      </w:r>
      <w:r w:rsidRPr="0010295D">
        <w:rPr>
          <w:rFonts w:asciiTheme="majorBidi" w:hAnsiTheme="majorBidi" w:cstheme="majorBidi"/>
          <w:i/>
          <w:iCs/>
        </w:rPr>
        <w:t>for</w:t>
      </w:r>
      <w:r w:rsidRPr="0010295D">
        <w:rPr>
          <w:rFonts w:asciiTheme="majorBidi" w:hAnsiTheme="majorBidi" w:cstheme="majorBidi"/>
        </w:rPr>
        <w:t xml:space="preserve"> specific and targeted capacity-building and development, technology transfer, according to </w:t>
      </w:r>
      <w:r>
        <w:rPr>
          <w:rFonts w:asciiTheme="majorBidi" w:hAnsiTheme="majorBidi" w:cstheme="majorBidi"/>
        </w:rPr>
        <w:t>A</w:t>
      </w:r>
      <w:r w:rsidRPr="0010295D">
        <w:rPr>
          <w:rFonts w:asciiTheme="majorBidi" w:hAnsiTheme="majorBidi" w:cstheme="majorBidi"/>
        </w:rPr>
        <w:t xml:space="preserve">rticle 16, and technical and scientific cooperation, according to </w:t>
      </w:r>
      <w:r>
        <w:rPr>
          <w:rFonts w:asciiTheme="majorBidi" w:hAnsiTheme="majorBidi" w:cstheme="majorBidi"/>
        </w:rPr>
        <w:t>A</w:t>
      </w:r>
      <w:r w:rsidRPr="0010295D">
        <w:rPr>
          <w:rFonts w:asciiTheme="majorBidi" w:hAnsiTheme="majorBidi" w:cstheme="majorBidi"/>
        </w:rPr>
        <w:t>rticle 18 and, as appropriate, support for developing countries, in particular the least developed countries and small islands developing States among them, and</w:t>
      </w:r>
      <w:r w:rsidRPr="00EE2CAF">
        <w:rPr>
          <w:rFonts w:asciiTheme="majorBidi" w:hAnsiTheme="majorBidi" w:cstheme="majorBidi"/>
        </w:rPr>
        <w:t xml:space="preserve"> Parties with economies in transition, to generate</w:t>
      </w:r>
      <w:r>
        <w:rPr>
          <w:rFonts w:asciiTheme="majorBidi" w:hAnsiTheme="majorBidi" w:cstheme="majorBidi"/>
        </w:rPr>
        <w:t>,</w:t>
      </w:r>
      <w:r w:rsidRPr="00EE2CAF">
        <w:rPr>
          <w:rFonts w:asciiTheme="majorBidi" w:hAnsiTheme="majorBidi" w:cstheme="majorBidi"/>
        </w:rPr>
        <w:t xml:space="preserve"> access</w:t>
      </w:r>
      <w:r>
        <w:rPr>
          <w:rFonts w:asciiTheme="majorBidi" w:hAnsiTheme="majorBidi" w:cstheme="majorBidi"/>
        </w:rPr>
        <w:t xml:space="preserve"> and</w:t>
      </w:r>
      <w:r w:rsidRPr="00EE2CAF">
        <w:rPr>
          <w:rFonts w:asciiTheme="majorBidi" w:hAnsiTheme="majorBidi" w:cstheme="majorBidi"/>
        </w:rPr>
        <w:t xml:space="preserve"> use digital sequence information on genetic resources for research and innovation, taking into account</w:t>
      </w:r>
      <w:r>
        <w:rPr>
          <w:rFonts w:asciiTheme="majorBidi" w:hAnsiTheme="majorBidi" w:cstheme="majorBidi"/>
        </w:rPr>
        <w:t xml:space="preserve"> the key areas for potential capacity-building and modalities for capacity-building activities as identified by the Ad Hoc Technical Expert Group on D</w:t>
      </w:r>
      <w:r w:rsidRPr="00EE2CAF">
        <w:rPr>
          <w:rFonts w:asciiTheme="majorBidi" w:hAnsiTheme="majorBidi" w:cstheme="majorBidi"/>
        </w:rPr>
        <w:t xml:space="preserve">igital </w:t>
      </w:r>
      <w:r>
        <w:rPr>
          <w:rFonts w:asciiTheme="majorBidi" w:hAnsiTheme="majorBidi" w:cstheme="majorBidi"/>
        </w:rPr>
        <w:t>S</w:t>
      </w:r>
      <w:r w:rsidRPr="00EE2CAF">
        <w:rPr>
          <w:rFonts w:asciiTheme="majorBidi" w:hAnsiTheme="majorBidi" w:cstheme="majorBidi"/>
        </w:rPr>
        <w:t xml:space="preserve">equence </w:t>
      </w:r>
      <w:r>
        <w:rPr>
          <w:rFonts w:asciiTheme="majorBidi" w:hAnsiTheme="majorBidi" w:cstheme="majorBidi"/>
        </w:rPr>
        <w:t>I</w:t>
      </w:r>
      <w:r w:rsidRPr="00EE2CAF">
        <w:rPr>
          <w:rFonts w:asciiTheme="majorBidi" w:hAnsiTheme="majorBidi" w:cstheme="majorBidi"/>
        </w:rPr>
        <w:t xml:space="preserve">nformation on </w:t>
      </w:r>
      <w:r>
        <w:rPr>
          <w:rFonts w:asciiTheme="majorBidi" w:hAnsiTheme="majorBidi" w:cstheme="majorBidi"/>
        </w:rPr>
        <w:t>G</w:t>
      </w:r>
      <w:r w:rsidRPr="00EE2CAF">
        <w:rPr>
          <w:rFonts w:asciiTheme="majorBidi" w:hAnsiTheme="majorBidi" w:cstheme="majorBidi"/>
        </w:rPr>
        <w:t xml:space="preserve">enetic </w:t>
      </w:r>
      <w:r>
        <w:rPr>
          <w:rFonts w:asciiTheme="majorBidi" w:hAnsiTheme="majorBidi" w:cstheme="majorBidi"/>
        </w:rPr>
        <w:t>R</w:t>
      </w:r>
      <w:r w:rsidRPr="00EE2CAF">
        <w:rPr>
          <w:rFonts w:asciiTheme="majorBidi" w:hAnsiTheme="majorBidi" w:cstheme="majorBidi"/>
        </w:rPr>
        <w:t>esources</w:t>
      </w:r>
      <w:r>
        <w:rPr>
          <w:rFonts w:asciiTheme="majorBidi" w:hAnsiTheme="majorBidi" w:cstheme="majorBidi"/>
        </w:rPr>
        <w:t>;</w:t>
      </w:r>
      <w:r w:rsidRPr="00610646">
        <w:rPr>
          <w:rStyle w:val="FootnoteReference"/>
        </w:rPr>
        <w:footnoteReference w:id="93"/>
      </w:r>
      <w:r w:rsidRPr="00EE2CAF">
        <w:rPr>
          <w:rFonts w:asciiTheme="majorBidi" w:hAnsiTheme="majorBidi" w:cstheme="majorBidi"/>
        </w:rPr>
        <w:t xml:space="preserve"> </w:t>
      </w:r>
    </w:p>
    <w:p w14:paraId="096C0748" w14:textId="77777777" w:rsidR="0000159D" w:rsidRPr="00CC3D3D" w:rsidRDefault="0000159D" w:rsidP="00441D54">
      <w:pPr>
        <w:spacing w:before="120" w:after="120"/>
        <w:ind w:firstLine="709"/>
        <w:rPr>
          <w:rFonts w:asciiTheme="majorBidi" w:hAnsiTheme="majorBidi" w:cstheme="majorBidi"/>
        </w:rPr>
      </w:pPr>
      <w:r>
        <w:rPr>
          <w:rFonts w:asciiTheme="majorBidi" w:hAnsiTheme="majorBidi" w:cstheme="majorBidi"/>
        </w:rPr>
        <w:t xml:space="preserve">14. </w:t>
      </w:r>
      <w:r>
        <w:rPr>
          <w:rFonts w:asciiTheme="majorBidi" w:hAnsiTheme="majorBidi" w:cstheme="majorBidi"/>
        </w:rPr>
        <w:tab/>
      </w:r>
      <w:r w:rsidRPr="003875E5">
        <w:rPr>
          <w:rFonts w:asciiTheme="majorBidi" w:hAnsiTheme="majorBidi" w:cstheme="majorBidi"/>
          <w:i/>
          <w:iCs/>
        </w:rPr>
        <w:t>Encourages</w:t>
      </w:r>
      <w:r>
        <w:rPr>
          <w:rFonts w:asciiTheme="majorBidi" w:hAnsiTheme="majorBidi" w:cstheme="majorBidi"/>
        </w:rPr>
        <w:t xml:space="preserve"> P</w:t>
      </w:r>
      <w:r w:rsidRPr="00EE2CAF">
        <w:rPr>
          <w:rFonts w:asciiTheme="majorBidi" w:hAnsiTheme="majorBidi" w:cstheme="majorBidi"/>
        </w:rPr>
        <w:t xml:space="preserve">arties </w:t>
      </w:r>
      <w:r>
        <w:rPr>
          <w:rFonts w:asciiTheme="majorBidi" w:hAnsiTheme="majorBidi" w:cstheme="majorBidi"/>
        </w:rPr>
        <w:t>to</w:t>
      </w:r>
      <w:r w:rsidRPr="00EE2CAF">
        <w:rPr>
          <w:rFonts w:asciiTheme="majorBidi" w:hAnsiTheme="majorBidi" w:cstheme="majorBidi"/>
        </w:rPr>
        <w:t xml:space="preserve"> support the capacity needs and priorities, as appropriate, of indigenous peoples and local communities and relevant stakeholders, as identified by them, emphasizing the capacity needs and priorities of women; </w:t>
      </w:r>
    </w:p>
    <w:p w14:paraId="105FFC46" w14:textId="77777777" w:rsidR="0000159D" w:rsidRPr="00EE2CAF" w:rsidRDefault="0000159D" w:rsidP="00441D54">
      <w:pPr>
        <w:spacing w:before="120" w:after="120"/>
        <w:ind w:firstLine="709"/>
        <w:rPr>
          <w:rFonts w:asciiTheme="majorBidi" w:hAnsiTheme="majorBidi" w:cstheme="majorBidi"/>
          <w:i/>
        </w:rPr>
      </w:pPr>
      <w:r w:rsidRPr="00EE2CAF">
        <w:rPr>
          <w:rFonts w:asciiTheme="majorBidi" w:hAnsiTheme="majorBidi" w:cstheme="majorBidi"/>
        </w:rPr>
        <w:t>1</w:t>
      </w:r>
      <w:r>
        <w:rPr>
          <w:rFonts w:asciiTheme="majorBidi" w:hAnsiTheme="majorBidi" w:cstheme="majorBidi"/>
        </w:rPr>
        <w:t>5</w:t>
      </w:r>
      <w:r w:rsidRPr="00EE2CAF">
        <w:rPr>
          <w:rFonts w:asciiTheme="majorBidi" w:hAnsiTheme="majorBidi" w:cstheme="majorBidi"/>
        </w:rPr>
        <w:t>.</w:t>
      </w:r>
      <w:r w:rsidRPr="00EE2CAF">
        <w:rPr>
          <w:rFonts w:asciiTheme="majorBidi" w:hAnsiTheme="majorBidi" w:cstheme="majorBidi"/>
        </w:rPr>
        <w:tab/>
      </w:r>
      <w:r w:rsidRPr="00EE2CAF">
        <w:rPr>
          <w:rFonts w:asciiTheme="majorBidi" w:hAnsiTheme="majorBidi" w:cstheme="majorBidi"/>
          <w:i/>
          <w:iCs/>
        </w:rPr>
        <w:t>Recalls</w:t>
      </w:r>
      <w:r w:rsidRPr="00EE2CAF">
        <w:rPr>
          <w:rFonts w:asciiTheme="majorBidi" w:hAnsiTheme="majorBidi" w:cstheme="majorBidi"/>
          <w:i/>
        </w:rPr>
        <w:t xml:space="preserve"> </w:t>
      </w:r>
      <w:r w:rsidRPr="00EE2CAF">
        <w:rPr>
          <w:rFonts w:asciiTheme="majorBidi" w:hAnsiTheme="majorBidi" w:cstheme="majorBidi"/>
        </w:rPr>
        <w:t>the proposed policy options for a solution on benefit-sharing from the use of digital sequence information on genetic resources as contained in the annex to recommendation 5/2</w:t>
      </w:r>
      <w:r>
        <w:rPr>
          <w:rFonts w:asciiTheme="majorBidi" w:hAnsiTheme="majorBidi" w:cstheme="majorBidi"/>
        </w:rPr>
        <w:t xml:space="preserve"> of the Open-ended Working Group on the Post-2020 Global Biodiversity Framework</w:t>
      </w:r>
      <w:r w:rsidRPr="00EE2CAF">
        <w:rPr>
          <w:rFonts w:asciiTheme="majorBidi" w:hAnsiTheme="majorBidi" w:cstheme="majorBidi"/>
        </w:rPr>
        <w:t>;</w:t>
      </w:r>
    </w:p>
    <w:p w14:paraId="4D5DB5DD" w14:textId="77777777" w:rsidR="0000159D" w:rsidRPr="00EE2CAF" w:rsidRDefault="0000159D" w:rsidP="00441D54">
      <w:pPr>
        <w:spacing w:before="120" w:after="120"/>
        <w:ind w:firstLine="709"/>
        <w:rPr>
          <w:rFonts w:asciiTheme="majorBidi" w:hAnsiTheme="majorBidi" w:cstheme="majorBidi"/>
          <w:i/>
          <w:iCs/>
        </w:rPr>
      </w:pPr>
      <w:r w:rsidRPr="00EE2CAF">
        <w:rPr>
          <w:rFonts w:asciiTheme="majorBidi" w:hAnsiTheme="majorBidi" w:cstheme="majorBidi"/>
          <w:iCs/>
        </w:rPr>
        <w:t>1</w:t>
      </w:r>
      <w:r>
        <w:rPr>
          <w:rFonts w:asciiTheme="majorBidi" w:hAnsiTheme="majorBidi" w:cstheme="majorBidi"/>
          <w:iCs/>
        </w:rPr>
        <w:t>6</w:t>
      </w:r>
      <w:r w:rsidRPr="00EE2CAF">
        <w:rPr>
          <w:rFonts w:asciiTheme="majorBidi" w:hAnsiTheme="majorBidi" w:cstheme="majorBidi"/>
          <w:iCs/>
        </w:rPr>
        <w:t>.</w:t>
      </w:r>
      <w:r w:rsidRPr="00EE2CAF">
        <w:rPr>
          <w:rFonts w:asciiTheme="majorBidi" w:hAnsiTheme="majorBidi" w:cstheme="majorBidi"/>
          <w:iCs/>
        </w:rPr>
        <w:tab/>
      </w:r>
      <w:r w:rsidRPr="00EE2CAF">
        <w:rPr>
          <w:rFonts w:asciiTheme="majorBidi" w:hAnsiTheme="majorBidi" w:cstheme="majorBidi"/>
          <w:i/>
          <w:iCs/>
        </w:rPr>
        <w:t>Decides</w:t>
      </w:r>
      <w:r w:rsidRPr="00EE2CAF">
        <w:rPr>
          <w:rFonts w:asciiTheme="majorBidi" w:hAnsiTheme="majorBidi" w:cstheme="majorBidi"/>
        </w:rPr>
        <w:t xml:space="preserve"> to establish, as part of the </w:t>
      </w:r>
      <w:r>
        <w:rPr>
          <w:rFonts w:asciiTheme="majorBidi" w:hAnsiTheme="majorBidi" w:cstheme="majorBidi"/>
        </w:rPr>
        <w:t>Kunming-Montreal</w:t>
      </w:r>
      <w:r w:rsidRPr="00EE2CAF">
        <w:rPr>
          <w:rFonts w:asciiTheme="majorBidi" w:hAnsiTheme="majorBidi" w:cstheme="majorBidi"/>
        </w:rPr>
        <w:t xml:space="preserve"> </w:t>
      </w:r>
      <w:r>
        <w:rPr>
          <w:rFonts w:asciiTheme="majorBidi" w:hAnsiTheme="majorBidi" w:cstheme="majorBidi"/>
        </w:rPr>
        <w:t>G</w:t>
      </w:r>
      <w:r w:rsidRPr="00EE2CAF">
        <w:rPr>
          <w:rFonts w:asciiTheme="majorBidi" w:hAnsiTheme="majorBidi" w:cstheme="majorBidi"/>
        </w:rPr>
        <w:t xml:space="preserve">lobal </w:t>
      </w:r>
      <w:r>
        <w:rPr>
          <w:rFonts w:asciiTheme="majorBidi" w:hAnsiTheme="majorBidi" w:cstheme="majorBidi"/>
        </w:rPr>
        <w:t>B</w:t>
      </w:r>
      <w:r w:rsidRPr="00EE2CAF">
        <w:rPr>
          <w:rFonts w:asciiTheme="majorBidi" w:hAnsiTheme="majorBidi" w:cstheme="majorBidi"/>
        </w:rPr>
        <w:t xml:space="preserve">iodiversity </w:t>
      </w:r>
      <w:r>
        <w:rPr>
          <w:rFonts w:asciiTheme="majorBidi" w:hAnsiTheme="majorBidi" w:cstheme="majorBidi"/>
        </w:rPr>
        <w:t>F</w:t>
      </w:r>
      <w:r w:rsidRPr="00EE2CAF">
        <w:rPr>
          <w:rFonts w:asciiTheme="majorBidi" w:hAnsiTheme="majorBidi" w:cstheme="majorBidi"/>
        </w:rPr>
        <w:t xml:space="preserve">ramework, a </w:t>
      </w:r>
      <w:r>
        <w:rPr>
          <w:rFonts w:asciiTheme="majorBidi" w:hAnsiTheme="majorBidi" w:cstheme="majorBidi"/>
        </w:rPr>
        <w:t>multilateral</w:t>
      </w:r>
      <w:r w:rsidRPr="00EE2CAF">
        <w:rPr>
          <w:rFonts w:asciiTheme="majorBidi" w:hAnsiTheme="majorBidi" w:cstheme="majorBidi"/>
        </w:rPr>
        <w:t xml:space="preserve"> mechanism for benefit</w:t>
      </w:r>
      <w:r>
        <w:rPr>
          <w:rFonts w:asciiTheme="majorBidi" w:hAnsiTheme="majorBidi" w:cstheme="majorBidi"/>
        </w:rPr>
        <w:t>-</w:t>
      </w:r>
      <w:r w:rsidRPr="00EE2CAF">
        <w:rPr>
          <w:rFonts w:asciiTheme="majorBidi" w:hAnsiTheme="majorBidi" w:cstheme="majorBidi"/>
        </w:rPr>
        <w:t xml:space="preserve">sharing from the use of digital sequence information on </w:t>
      </w:r>
      <w:r w:rsidRPr="00FD2290">
        <w:rPr>
          <w:rFonts w:asciiTheme="majorBidi" w:hAnsiTheme="majorBidi" w:cstheme="majorBidi"/>
        </w:rPr>
        <w:t xml:space="preserve">genetic resources, including a </w:t>
      </w:r>
      <w:r>
        <w:rPr>
          <w:rFonts w:asciiTheme="majorBidi" w:hAnsiTheme="majorBidi" w:cstheme="majorBidi"/>
        </w:rPr>
        <w:t>global</w:t>
      </w:r>
      <w:r w:rsidRPr="00FD2290">
        <w:rPr>
          <w:rFonts w:asciiTheme="majorBidi" w:hAnsiTheme="majorBidi" w:cstheme="majorBidi"/>
        </w:rPr>
        <w:t xml:space="preserve"> fund</w:t>
      </w:r>
      <w:r>
        <w:rPr>
          <w:rFonts w:asciiTheme="majorBidi" w:hAnsiTheme="majorBidi" w:cstheme="majorBidi"/>
        </w:rPr>
        <w:t>;</w:t>
      </w:r>
      <w:r w:rsidRPr="00610646">
        <w:rPr>
          <w:rStyle w:val="FootnoteReference"/>
        </w:rPr>
        <w:footnoteReference w:id="94"/>
      </w:r>
    </w:p>
    <w:p w14:paraId="1F16AE1D"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1</w:t>
      </w:r>
      <w:r>
        <w:rPr>
          <w:rFonts w:asciiTheme="majorBidi" w:hAnsiTheme="majorBidi" w:cstheme="majorBidi"/>
        </w:rPr>
        <w:t>7</w:t>
      </w:r>
      <w:r w:rsidRPr="00EE2CAF">
        <w:rPr>
          <w:rFonts w:asciiTheme="majorBidi" w:hAnsiTheme="majorBidi" w:cstheme="majorBidi"/>
        </w:rPr>
        <w:t>.</w:t>
      </w:r>
      <w:r w:rsidRPr="00EE2CAF">
        <w:rPr>
          <w:rFonts w:asciiTheme="majorBidi" w:hAnsiTheme="majorBidi" w:cstheme="majorBidi"/>
        </w:rPr>
        <w:tab/>
      </w:r>
      <w:r w:rsidRPr="0081017C">
        <w:rPr>
          <w:rFonts w:asciiTheme="majorBidi" w:hAnsiTheme="majorBidi"/>
          <w:i/>
        </w:rPr>
        <w:t>Also decides</w:t>
      </w:r>
      <w:r w:rsidRPr="00EE2CAF">
        <w:rPr>
          <w:rFonts w:asciiTheme="majorBidi" w:hAnsiTheme="majorBidi" w:cstheme="majorBidi"/>
        </w:rPr>
        <w:t xml:space="preserve"> to establish a fair, transparent, inclusive, participatory and time-bound process to further develop and </w:t>
      </w:r>
      <w:r>
        <w:rPr>
          <w:rFonts w:asciiTheme="majorBidi" w:hAnsiTheme="majorBidi" w:cstheme="majorBidi"/>
        </w:rPr>
        <w:t>operationalize the</w:t>
      </w:r>
      <w:r w:rsidRPr="00EE2CAF">
        <w:rPr>
          <w:rFonts w:asciiTheme="majorBidi" w:hAnsiTheme="majorBidi" w:cstheme="majorBidi"/>
        </w:rPr>
        <w:t xml:space="preserve"> mechanism, as outlined in paragraphs </w:t>
      </w:r>
      <w:r>
        <w:rPr>
          <w:rFonts w:asciiTheme="majorBidi" w:hAnsiTheme="majorBidi" w:cstheme="majorBidi"/>
        </w:rPr>
        <w:t>18 and 20</w:t>
      </w:r>
      <w:r w:rsidRPr="00EE2CAF">
        <w:rPr>
          <w:rFonts w:asciiTheme="majorBidi" w:hAnsiTheme="majorBidi" w:cstheme="majorBidi"/>
        </w:rPr>
        <w:t xml:space="preserve"> to </w:t>
      </w:r>
      <w:r>
        <w:rPr>
          <w:rFonts w:asciiTheme="majorBidi" w:hAnsiTheme="majorBidi" w:cstheme="majorBidi"/>
        </w:rPr>
        <w:t>22</w:t>
      </w:r>
      <w:r w:rsidRPr="00EE2CAF">
        <w:rPr>
          <w:rFonts w:asciiTheme="majorBidi" w:hAnsiTheme="majorBidi" w:cstheme="majorBidi"/>
        </w:rPr>
        <w:t xml:space="preserve"> below, to be finalized at </w:t>
      </w:r>
      <w:r>
        <w:rPr>
          <w:rFonts w:asciiTheme="majorBidi" w:hAnsiTheme="majorBidi" w:cstheme="majorBidi"/>
        </w:rPr>
        <w:t>the sixteenth meeting of the Conference of the Parties</w:t>
      </w:r>
      <w:r w:rsidRPr="00EE2CAF">
        <w:rPr>
          <w:rFonts w:asciiTheme="majorBidi" w:hAnsiTheme="majorBidi" w:cstheme="majorBidi"/>
        </w:rPr>
        <w:t>;</w:t>
      </w:r>
    </w:p>
    <w:p w14:paraId="4422454F"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1</w:t>
      </w:r>
      <w:r>
        <w:rPr>
          <w:rFonts w:asciiTheme="majorBidi" w:hAnsiTheme="majorBidi" w:cstheme="majorBidi"/>
        </w:rPr>
        <w:t>8</w:t>
      </w:r>
      <w:r w:rsidRPr="00EE2CAF">
        <w:rPr>
          <w:rFonts w:asciiTheme="majorBidi" w:hAnsiTheme="majorBidi" w:cstheme="majorBidi"/>
        </w:rPr>
        <w:t>.</w:t>
      </w:r>
      <w:r w:rsidRPr="00EE2CAF">
        <w:rPr>
          <w:rFonts w:asciiTheme="majorBidi" w:hAnsiTheme="majorBidi" w:cstheme="majorBidi"/>
        </w:rPr>
        <w:tab/>
      </w:r>
      <w:r w:rsidRPr="00EE2CAF">
        <w:rPr>
          <w:rFonts w:asciiTheme="majorBidi" w:hAnsiTheme="majorBidi" w:cstheme="majorBidi"/>
          <w:i/>
          <w:iCs/>
        </w:rPr>
        <w:t xml:space="preserve">Establishes </w:t>
      </w:r>
      <w:r w:rsidRPr="00EE2CAF">
        <w:rPr>
          <w:rFonts w:asciiTheme="majorBidi" w:hAnsiTheme="majorBidi" w:cstheme="majorBidi"/>
        </w:rPr>
        <w:t xml:space="preserve">an </w:t>
      </w:r>
      <w:r>
        <w:rPr>
          <w:rFonts w:asciiTheme="majorBidi" w:hAnsiTheme="majorBidi" w:cstheme="majorBidi"/>
        </w:rPr>
        <w:t>a</w:t>
      </w:r>
      <w:r w:rsidRPr="00EE2CAF">
        <w:rPr>
          <w:rFonts w:asciiTheme="majorBidi" w:hAnsiTheme="majorBidi" w:cstheme="majorBidi"/>
        </w:rPr>
        <w:t xml:space="preserve">d </w:t>
      </w:r>
      <w:r>
        <w:rPr>
          <w:rFonts w:asciiTheme="majorBidi" w:hAnsiTheme="majorBidi" w:cstheme="majorBidi"/>
        </w:rPr>
        <w:t>h</w:t>
      </w:r>
      <w:r w:rsidRPr="00EE2CAF">
        <w:rPr>
          <w:rFonts w:asciiTheme="majorBidi" w:hAnsiTheme="majorBidi" w:cstheme="majorBidi"/>
        </w:rPr>
        <w:t xml:space="preserve">oc </w:t>
      </w:r>
      <w:r>
        <w:rPr>
          <w:rFonts w:asciiTheme="majorBidi" w:hAnsiTheme="majorBidi" w:cstheme="majorBidi"/>
        </w:rPr>
        <w:t>o</w:t>
      </w:r>
      <w:r w:rsidRPr="00EE2CAF">
        <w:rPr>
          <w:rFonts w:asciiTheme="majorBidi" w:hAnsiTheme="majorBidi" w:cstheme="majorBidi"/>
        </w:rPr>
        <w:t>pen-</w:t>
      </w:r>
      <w:r>
        <w:rPr>
          <w:rFonts w:asciiTheme="majorBidi" w:hAnsiTheme="majorBidi" w:cstheme="majorBidi"/>
        </w:rPr>
        <w:t>e</w:t>
      </w:r>
      <w:r w:rsidRPr="00EE2CAF">
        <w:rPr>
          <w:rFonts w:asciiTheme="majorBidi" w:hAnsiTheme="majorBidi" w:cstheme="majorBidi"/>
        </w:rPr>
        <w:t xml:space="preserve">nded </w:t>
      </w:r>
      <w:r>
        <w:rPr>
          <w:rFonts w:asciiTheme="majorBidi" w:hAnsiTheme="majorBidi" w:cstheme="majorBidi"/>
        </w:rPr>
        <w:t>w</w:t>
      </w:r>
      <w:r w:rsidRPr="00EE2CAF">
        <w:rPr>
          <w:rFonts w:asciiTheme="majorBidi" w:hAnsiTheme="majorBidi" w:cstheme="majorBidi"/>
        </w:rPr>
        <w:t xml:space="preserve">orking </w:t>
      </w:r>
      <w:r>
        <w:rPr>
          <w:rFonts w:asciiTheme="majorBidi" w:hAnsiTheme="majorBidi" w:cstheme="majorBidi"/>
        </w:rPr>
        <w:t>g</w:t>
      </w:r>
      <w:r w:rsidRPr="00EE2CAF">
        <w:rPr>
          <w:rFonts w:asciiTheme="majorBidi" w:hAnsiTheme="majorBidi" w:cstheme="majorBidi"/>
        </w:rPr>
        <w:t xml:space="preserve">roup on </w:t>
      </w:r>
      <w:r>
        <w:rPr>
          <w:rFonts w:asciiTheme="majorBidi" w:hAnsiTheme="majorBidi" w:cstheme="majorBidi"/>
        </w:rPr>
        <w:t xml:space="preserve">benefit-sharing from the use of digital sequence information on genetic resources </w:t>
      </w:r>
      <w:r w:rsidRPr="00EE2CAF">
        <w:rPr>
          <w:rFonts w:asciiTheme="majorBidi" w:hAnsiTheme="majorBidi" w:cstheme="majorBidi"/>
        </w:rPr>
        <w:t xml:space="preserve">to undertake further development of the </w:t>
      </w:r>
      <w:r>
        <w:rPr>
          <w:rFonts w:asciiTheme="majorBidi" w:hAnsiTheme="majorBidi" w:cstheme="majorBidi"/>
        </w:rPr>
        <w:t>multilateral</w:t>
      </w:r>
      <w:r w:rsidRPr="00EE2CAF">
        <w:rPr>
          <w:rFonts w:asciiTheme="majorBidi" w:hAnsiTheme="majorBidi" w:cstheme="majorBidi"/>
        </w:rPr>
        <w:t xml:space="preserve"> mechanism, including the elements identified in </w:t>
      </w:r>
      <w:r>
        <w:rPr>
          <w:rFonts w:asciiTheme="majorBidi" w:hAnsiTheme="majorBidi" w:cstheme="majorBidi"/>
        </w:rPr>
        <w:t>the a</w:t>
      </w:r>
      <w:r w:rsidRPr="00EE2CAF">
        <w:rPr>
          <w:rFonts w:asciiTheme="majorBidi" w:hAnsiTheme="majorBidi" w:cstheme="majorBidi"/>
        </w:rPr>
        <w:t>nnex</w:t>
      </w:r>
      <w:r>
        <w:rPr>
          <w:rFonts w:asciiTheme="majorBidi" w:hAnsiTheme="majorBidi" w:cstheme="majorBidi"/>
        </w:rPr>
        <w:t>, and to make recommendations to the Conference of the Parties at its sixteenth meeting</w:t>
      </w:r>
      <w:r w:rsidRPr="00EE2CAF">
        <w:rPr>
          <w:rFonts w:asciiTheme="majorBidi" w:hAnsiTheme="majorBidi" w:cstheme="majorBidi"/>
        </w:rPr>
        <w:t>;</w:t>
      </w:r>
    </w:p>
    <w:p w14:paraId="71C9B912" w14:textId="77777777" w:rsidR="0000159D" w:rsidRPr="00EE2CAF" w:rsidRDefault="0000159D" w:rsidP="00441D54">
      <w:pPr>
        <w:spacing w:before="120" w:after="120"/>
        <w:ind w:firstLine="709"/>
        <w:rPr>
          <w:rFonts w:asciiTheme="majorBidi" w:hAnsiTheme="majorBidi" w:cstheme="majorBidi"/>
        </w:rPr>
      </w:pPr>
      <w:r w:rsidRPr="00EE2CAF">
        <w:rPr>
          <w:rFonts w:asciiTheme="majorBidi" w:hAnsiTheme="majorBidi" w:cstheme="majorBidi"/>
        </w:rPr>
        <w:t>1</w:t>
      </w:r>
      <w:r>
        <w:rPr>
          <w:rFonts w:asciiTheme="majorBidi" w:hAnsiTheme="majorBidi" w:cstheme="majorBidi"/>
        </w:rPr>
        <w:t>9</w:t>
      </w:r>
      <w:r w:rsidRPr="00EE2CAF">
        <w:rPr>
          <w:rFonts w:asciiTheme="majorBidi" w:hAnsiTheme="majorBidi" w:cstheme="majorBidi"/>
        </w:rPr>
        <w:t>.</w:t>
      </w:r>
      <w:r w:rsidRPr="00EE2CAF">
        <w:rPr>
          <w:rFonts w:asciiTheme="majorBidi" w:hAnsiTheme="majorBidi" w:cstheme="majorBidi"/>
        </w:rPr>
        <w:tab/>
      </w:r>
      <w:r>
        <w:rPr>
          <w:rFonts w:asciiTheme="majorBidi" w:hAnsiTheme="majorBidi" w:cstheme="majorBidi"/>
          <w:i/>
          <w:iCs/>
        </w:rPr>
        <w:t>D</w:t>
      </w:r>
      <w:r w:rsidRPr="00EE2CAF">
        <w:rPr>
          <w:rFonts w:asciiTheme="majorBidi" w:hAnsiTheme="majorBidi" w:cstheme="majorBidi"/>
          <w:i/>
          <w:iCs/>
        </w:rPr>
        <w:t>ecides</w:t>
      </w:r>
      <w:r w:rsidRPr="00EE2CAF">
        <w:rPr>
          <w:rFonts w:asciiTheme="majorBidi" w:hAnsiTheme="majorBidi" w:cstheme="majorBidi"/>
        </w:rPr>
        <w:t xml:space="preserve"> to review the effectiveness of the </w:t>
      </w:r>
      <w:r>
        <w:rPr>
          <w:rFonts w:asciiTheme="majorBidi" w:hAnsiTheme="majorBidi" w:cstheme="majorBidi"/>
        </w:rPr>
        <w:t>multilateral</w:t>
      </w:r>
      <w:r w:rsidRPr="00EE2CAF">
        <w:rPr>
          <w:rFonts w:asciiTheme="majorBidi" w:hAnsiTheme="majorBidi" w:cstheme="majorBidi"/>
        </w:rPr>
        <w:t xml:space="preserve"> mechanism at </w:t>
      </w:r>
      <w:r>
        <w:rPr>
          <w:rFonts w:asciiTheme="majorBidi" w:hAnsiTheme="majorBidi" w:cstheme="majorBidi"/>
        </w:rPr>
        <w:t>the eighteenth meeting of the Conference of the Parties</w:t>
      </w:r>
      <w:r w:rsidRPr="00EE2CAF">
        <w:rPr>
          <w:rFonts w:asciiTheme="majorBidi" w:hAnsiTheme="majorBidi" w:cstheme="majorBidi"/>
        </w:rPr>
        <w:t>, including, inter alia, the criteria laid out in paragraph</w:t>
      </w:r>
      <w:r>
        <w:rPr>
          <w:rFonts w:asciiTheme="majorBidi" w:hAnsiTheme="majorBidi" w:cstheme="majorBidi"/>
        </w:rPr>
        <w:t>s</w:t>
      </w:r>
      <w:r w:rsidRPr="00EE2CAF">
        <w:rPr>
          <w:rFonts w:asciiTheme="majorBidi" w:hAnsiTheme="majorBidi" w:cstheme="majorBidi"/>
        </w:rPr>
        <w:t xml:space="preserve"> 9 and 10</w:t>
      </w:r>
      <w:r>
        <w:rPr>
          <w:rFonts w:asciiTheme="majorBidi" w:hAnsiTheme="majorBidi" w:cstheme="majorBidi"/>
        </w:rPr>
        <w:t xml:space="preserve"> of the present decision</w:t>
      </w:r>
      <w:r w:rsidRPr="00EE2CAF">
        <w:rPr>
          <w:rFonts w:asciiTheme="majorBidi" w:hAnsiTheme="majorBidi" w:cstheme="majorBidi"/>
        </w:rPr>
        <w:t>;</w:t>
      </w:r>
    </w:p>
    <w:p w14:paraId="62CDCB6B" w14:textId="77777777" w:rsidR="0000159D" w:rsidRPr="00EE2CAF" w:rsidRDefault="0000159D" w:rsidP="00441D54">
      <w:pPr>
        <w:spacing w:before="120" w:after="120"/>
        <w:ind w:firstLine="709"/>
        <w:rPr>
          <w:rFonts w:asciiTheme="majorBidi" w:hAnsiTheme="majorBidi" w:cstheme="majorBidi"/>
        </w:rPr>
      </w:pPr>
      <w:r>
        <w:rPr>
          <w:rFonts w:asciiTheme="majorBidi" w:hAnsiTheme="majorBidi" w:cstheme="majorBidi"/>
        </w:rPr>
        <w:lastRenderedPageBreak/>
        <w:t>20</w:t>
      </w:r>
      <w:r w:rsidRPr="00EE2CAF">
        <w:rPr>
          <w:rFonts w:asciiTheme="majorBidi" w:hAnsiTheme="majorBidi" w:cstheme="majorBidi"/>
        </w:rPr>
        <w:t>.</w:t>
      </w:r>
      <w:r w:rsidRPr="00EE2CAF">
        <w:rPr>
          <w:rFonts w:asciiTheme="majorBidi" w:hAnsiTheme="majorBidi" w:cstheme="majorBidi"/>
        </w:rPr>
        <w:tab/>
      </w:r>
      <w:r w:rsidRPr="00EE2CAF">
        <w:rPr>
          <w:rFonts w:asciiTheme="majorBidi" w:hAnsiTheme="majorBidi" w:cstheme="majorBidi"/>
          <w:i/>
        </w:rPr>
        <w:t>Invites</w:t>
      </w:r>
      <w:r w:rsidRPr="00EE2CAF">
        <w:rPr>
          <w:rFonts w:asciiTheme="majorBidi" w:hAnsiTheme="majorBidi" w:cstheme="majorBidi"/>
        </w:rPr>
        <w:t xml:space="preserve"> Parties, other Governments, indigenous people and local communities and relevant organizations to submit views on the issues set out in </w:t>
      </w:r>
      <w:r>
        <w:rPr>
          <w:rFonts w:asciiTheme="majorBidi" w:hAnsiTheme="majorBidi" w:cstheme="majorBidi"/>
        </w:rPr>
        <w:t>the a</w:t>
      </w:r>
      <w:r w:rsidRPr="00EE2CAF">
        <w:rPr>
          <w:rFonts w:asciiTheme="majorBidi" w:hAnsiTheme="majorBidi" w:cstheme="majorBidi"/>
        </w:rPr>
        <w:t>nnex</w:t>
      </w:r>
      <w:r>
        <w:rPr>
          <w:rFonts w:asciiTheme="majorBidi" w:hAnsiTheme="majorBidi" w:cstheme="majorBidi"/>
        </w:rPr>
        <w:t xml:space="preserve"> to the present decision</w:t>
      </w:r>
      <w:r w:rsidRPr="00EE2CAF">
        <w:rPr>
          <w:rFonts w:asciiTheme="majorBidi" w:hAnsiTheme="majorBidi" w:cstheme="majorBidi"/>
        </w:rPr>
        <w:t>;</w:t>
      </w:r>
    </w:p>
    <w:p w14:paraId="0C01A6A9" w14:textId="77777777" w:rsidR="0000159D" w:rsidRPr="00EE2CAF" w:rsidRDefault="0000159D" w:rsidP="00441D54">
      <w:pPr>
        <w:spacing w:before="120" w:after="120"/>
        <w:ind w:firstLine="709"/>
        <w:rPr>
          <w:rFonts w:asciiTheme="majorBidi" w:hAnsiTheme="majorBidi" w:cstheme="majorBidi"/>
        </w:rPr>
      </w:pPr>
      <w:r>
        <w:rPr>
          <w:rFonts w:asciiTheme="majorBidi" w:hAnsiTheme="majorBidi" w:cstheme="majorBidi"/>
        </w:rPr>
        <w:t>21</w:t>
      </w:r>
      <w:r w:rsidRPr="00EE2CAF">
        <w:rPr>
          <w:rFonts w:asciiTheme="majorBidi" w:hAnsiTheme="majorBidi" w:cstheme="majorBidi"/>
        </w:rPr>
        <w:t>.</w:t>
      </w:r>
      <w:r w:rsidRPr="00EE2CAF">
        <w:rPr>
          <w:rFonts w:asciiTheme="majorBidi" w:hAnsiTheme="majorBidi" w:cstheme="majorBidi"/>
        </w:rPr>
        <w:tab/>
      </w:r>
      <w:r w:rsidRPr="00EE2CAF">
        <w:rPr>
          <w:rFonts w:asciiTheme="majorBidi" w:hAnsiTheme="majorBidi" w:cstheme="majorBidi"/>
          <w:i/>
        </w:rPr>
        <w:t>Requests</w:t>
      </w:r>
      <w:r w:rsidRPr="00EE2CAF">
        <w:rPr>
          <w:rFonts w:asciiTheme="majorBidi" w:hAnsiTheme="majorBidi" w:cstheme="majorBidi"/>
        </w:rPr>
        <w:t xml:space="preserve"> the Executive Secretary to </w:t>
      </w:r>
      <w:r w:rsidRPr="007B77DE">
        <w:rPr>
          <w:rFonts w:asciiTheme="majorBidi" w:hAnsiTheme="majorBidi" w:cstheme="majorBidi"/>
        </w:rPr>
        <w:t xml:space="preserve">compile and synthesize the views submitted pursuant to paragraph 20 above and make them available to the </w:t>
      </w:r>
      <w:r>
        <w:rPr>
          <w:rFonts w:asciiTheme="majorBidi" w:hAnsiTheme="majorBidi" w:cstheme="majorBidi"/>
        </w:rPr>
        <w:t>A</w:t>
      </w:r>
      <w:r w:rsidRPr="007B77DE">
        <w:rPr>
          <w:rFonts w:asciiTheme="majorBidi" w:hAnsiTheme="majorBidi" w:cstheme="majorBidi"/>
        </w:rPr>
        <w:t xml:space="preserve">d </w:t>
      </w:r>
      <w:r>
        <w:rPr>
          <w:rFonts w:asciiTheme="majorBidi" w:hAnsiTheme="majorBidi" w:cstheme="majorBidi"/>
        </w:rPr>
        <w:t>H</w:t>
      </w:r>
      <w:r w:rsidRPr="007B77DE">
        <w:rPr>
          <w:rFonts w:asciiTheme="majorBidi" w:hAnsiTheme="majorBidi" w:cstheme="majorBidi"/>
        </w:rPr>
        <w:t xml:space="preserve">oc </w:t>
      </w:r>
      <w:r>
        <w:rPr>
          <w:rFonts w:asciiTheme="majorBidi" w:hAnsiTheme="majorBidi" w:cstheme="majorBidi"/>
        </w:rPr>
        <w:t>O</w:t>
      </w:r>
      <w:r w:rsidRPr="007B77DE">
        <w:rPr>
          <w:rFonts w:asciiTheme="majorBidi" w:hAnsiTheme="majorBidi" w:cstheme="majorBidi"/>
        </w:rPr>
        <w:t xml:space="preserve">pen-ended </w:t>
      </w:r>
      <w:r>
        <w:rPr>
          <w:rFonts w:asciiTheme="majorBidi" w:hAnsiTheme="majorBidi" w:cstheme="majorBidi"/>
        </w:rPr>
        <w:t>W</w:t>
      </w:r>
      <w:r w:rsidRPr="007B77DE">
        <w:rPr>
          <w:rFonts w:asciiTheme="majorBidi" w:hAnsiTheme="majorBidi" w:cstheme="majorBidi"/>
        </w:rPr>
        <w:t xml:space="preserve">orking </w:t>
      </w:r>
      <w:r>
        <w:rPr>
          <w:rFonts w:asciiTheme="majorBidi" w:hAnsiTheme="majorBidi" w:cstheme="majorBidi"/>
        </w:rPr>
        <w:t>G</w:t>
      </w:r>
      <w:r w:rsidRPr="007B77DE">
        <w:rPr>
          <w:rFonts w:asciiTheme="majorBidi" w:hAnsiTheme="majorBidi" w:cstheme="majorBidi"/>
        </w:rPr>
        <w:t xml:space="preserve">roup </w:t>
      </w:r>
      <w:r w:rsidRPr="00EE2CAF">
        <w:rPr>
          <w:rFonts w:asciiTheme="majorBidi" w:hAnsiTheme="majorBidi" w:cstheme="majorBidi"/>
        </w:rPr>
        <w:t xml:space="preserve">on </w:t>
      </w:r>
      <w:r>
        <w:rPr>
          <w:rFonts w:asciiTheme="majorBidi" w:hAnsiTheme="majorBidi" w:cstheme="majorBidi"/>
        </w:rPr>
        <w:t>Benefit-sharing from the Use of Digital Sequence Information on Genetic Resources</w:t>
      </w:r>
      <w:r w:rsidRPr="00FB5314">
        <w:rPr>
          <w:rFonts w:asciiTheme="majorBidi" w:hAnsiTheme="majorBidi" w:cstheme="majorBidi"/>
        </w:rPr>
        <w:t>;</w:t>
      </w:r>
    </w:p>
    <w:p w14:paraId="36634C41" w14:textId="77777777" w:rsidR="0000159D" w:rsidRPr="00EE2CAF" w:rsidRDefault="0000159D" w:rsidP="00441D54">
      <w:pPr>
        <w:spacing w:before="120" w:after="120"/>
        <w:ind w:firstLine="709"/>
        <w:rPr>
          <w:rFonts w:asciiTheme="majorBidi" w:hAnsiTheme="majorBidi" w:cstheme="majorBidi"/>
        </w:rPr>
      </w:pPr>
      <w:r>
        <w:rPr>
          <w:rFonts w:asciiTheme="majorBidi" w:hAnsiTheme="majorBidi" w:cstheme="majorBidi"/>
        </w:rPr>
        <w:t>22</w:t>
      </w:r>
      <w:r w:rsidRPr="00EE2CAF">
        <w:rPr>
          <w:rFonts w:asciiTheme="majorBidi" w:hAnsiTheme="majorBidi" w:cstheme="majorBidi"/>
        </w:rPr>
        <w:t>.</w:t>
      </w:r>
      <w:r w:rsidRPr="00EE2CAF">
        <w:rPr>
          <w:rFonts w:asciiTheme="majorBidi" w:hAnsiTheme="majorBidi" w:cstheme="majorBidi"/>
        </w:rPr>
        <w:tab/>
      </w:r>
      <w:r>
        <w:rPr>
          <w:rFonts w:asciiTheme="majorBidi" w:hAnsiTheme="majorBidi" w:cstheme="majorBidi"/>
          <w:i/>
        </w:rPr>
        <w:t>Also r</w:t>
      </w:r>
      <w:r w:rsidRPr="00EE2CAF">
        <w:rPr>
          <w:rFonts w:asciiTheme="majorBidi" w:hAnsiTheme="majorBidi" w:cstheme="majorBidi"/>
          <w:i/>
        </w:rPr>
        <w:t>equests</w:t>
      </w:r>
      <w:r w:rsidRPr="00EE2CAF">
        <w:rPr>
          <w:rFonts w:asciiTheme="majorBidi" w:hAnsiTheme="majorBidi" w:cstheme="majorBidi"/>
        </w:rPr>
        <w:t xml:space="preserve"> the Executive Secretary, subject to the availability of resources, to</w:t>
      </w:r>
      <w:r>
        <w:rPr>
          <w:rFonts w:asciiTheme="majorBidi" w:hAnsiTheme="majorBidi" w:cstheme="majorBidi"/>
        </w:rPr>
        <w:t>:</w:t>
      </w:r>
      <w:r w:rsidRPr="00EE2CAF">
        <w:rPr>
          <w:rFonts w:asciiTheme="majorBidi" w:hAnsiTheme="majorBidi" w:cstheme="majorBidi"/>
        </w:rPr>
        <w:t xml:space="preserve"> </w:t>
      </w:r>
    </w:p>
    <w:p w14:paraId="1A712F8F" w14:textId="77777777" w:rsidR="0000159D" w:rsidRPr="00EE2CAF" w:rsidRDefault="0000159D">
      <w:pPr>
        <w:spacing w:before="120" w:after="120"/>
        <w:ind w:firstLine="709"/>
        <w:rPr>
          <w:rFonts w:asciiTheme="majorBidi" w:hAnsiTheme="majorBidi" w:cstheme="majorBidi"/>
        </w:rPr>
      </w:pPr>
      <w:r w:rsidRPr="00EE2CAF">
        <w:rPr>
          <w:rFonts w:asciiTheme="majorBidi" w:hAnsiTheme="majorBidi" w:cstheme="majorBidi"/>
        </w:rPr>
        <w:t>(a)</w:t>
      </w:r>
      <w:r w:rsidRPr="00EE2CAF">
        <w:rPr>
          <w:rFonts w:asciiTheme="majorBidi" w:hAnsiTheme="majorBidi" w:cstheme="majorBidi"/>
        </w:rPr>
        <w:tab/>
      </w:r>
      <w:r>
        <w:rPr>
          <w:rFonts w:asciiTheme="majorBidi" w:hAnsiTheme="majorBidi" w:cstheme="majorBidi"/>
        </w:rPr>
        <w:t>Compile</w:t>
      </w:r>
      <w:r w:rsidRPr="00EE2CAF">
        <w:rPr>
          <w:rFonts w:asciiTheme="majorBidi" w:hAnsiTheme="majorBidi" w:cstheme="majorBidi"/>
        </w:rPr>
        <w:t xml:space="preserve"> lessons learned from other international funding mechanisms, such as the Benefit</w:t>
      </w:r>
      <w:r>
        <w:rPr>
          <w:rFonts w:asciiTheme="majorBidi" w:hAnsiTheme="majorBidi" w:cstheme="majorBidi"/>
        </w:rPr>
        <w:noBreakHyphen/>
        <w:t>s</w:t>
      </w:r>
      <w:r w:rsidRPr="00EE2CAF">
        <w:rPr>
          <w:rFonts w:asciiTheme="majorBidi" w:hAnsiTheme="majorBidi" w:cstheme="majorBidi"/>
        </w:rPr>
        <w:t>haring Fund of the International Treaty on Plant Genetic Resources for Food and Agriculture, the World Health Organization Pandemic Influenza Preparedness Framework, and the Small Grants Programme of the Global Environment Facility;</w:t>
      </w:r>
    </w:p>
    <w:p w14:paraId="033A418B" w14:textId="77777777" w:rsidR="0000159D" w:rsidRPr="00EE2CAF" w:rsidRDefault="0000159D" w:rsidP="00441D54">
      <w:pPr>
        <w:spacing w:before="120" w:after="120"/>
        <w:ind w:firstLine="720"/>
        <w:rPr>
          <w:rFonts w:asciiTheme="majorBidi" w:hAnsiTheme="majorBidi" w:cstheme="majorBidi"/>
        </w:rPr>
      </w:pPr>
      <w:r w:rsidRPr="00EE2CAF">
        <w:rPr>
          <w:rFonts w:asciiTheme="majorBidi" w:hAnsiTheme="majorBidi" w:cstheme="majorBidi"/>
        </w:rPr>
        <w:t>(b)</w:t>
      </w:r>
      <w:r w:rsidRPr="00EE2CAF">
        <w:rPr>
          <w:rFonts w:asciiTheme="majorBidi" w:hAnsiTheme="majorBidi" w:cstheme="majorBidi"/>
        </w:rPr>
        <w:tab/>
      </w:r>
      <w:r>
        <w:rPr>
          <w:rFonts w:asciiTheme="majorBidi" w:hAnsiTheme="majorBidi" w:cstheme="majorBidi"/>
        </w:rPr>
        <w:t>C</w:t>
      </w:r>
      <w:r w:rsidRPr="00EE2CAF">
        <w:rPr>
          <w:rFonts w:asciiTheme="majorBidi" w:hAnsiTheme="majorBidi" w:cstheme="majorBidi"/>
        </w:rPr>
        <w:t xml:space="preserve">ommission a study to analyse and model the extent to which a </w:t>
      </w:r>
      <w:r>
        <w:rPr>
          <w:rFonts w:asciiTheme="majorBidi" w:hAnsiTheme="majorBidi" w:cstheme="majorBidi"/>
        </w:rPr>
        <w:t>multilateral</w:t>
      </w:r>
      <w:r w:rsidRPr="00EE2CAF">
        <w:rPr>
          <w:rFonts w:asciiTheme="majorBidi" w:hAnsiTheme="majorBidi" w:cstheme="majorBidi"/>
        </w:rPr>
        <w:t xml:space="preserve"> mechanism for </w:t>
      </w:r>
      <w:r w:rsidRPr="00D1064D">
        <w:rPr>
          <w:rFonts w:asciiTheme="majorBidi" w:hAnsiTheme="majorBidi" w:cstheme="majorBidi"/>
        </w:rPr>
        <w:t xml:space="preserve">benefit-sharing from the use of digital sequence information on genetic resources, and any other options the </w:t>
      </w:r>
      <w:r>
        <w:rPr>
          <w:rFonts w:asciiTheme="majorBidi" w:hAnsiTheme="majorBidi" w:cstheme="majorBidi"/>
        </w:rPr>
        <w:t>A</w:t>
      </w:r>
      <w:r w:rsidRPr="00D1064D">
        <w:rPr>
          <w:rFonts w:asciiTheme="majorBidi" w:hAnsiTheme="majorBidi" w:cstheme="majorBidi"/>
        </w:rPr>
        <w:t>d</w:t>
      </w:r>
      <w:r>
        <w:rPr>
          <w:rFonts w:asciiTheme="majorBidi" w:hAnsiTheme="majorBidi" w:cstheme="majorBidi"/>
        </w:rPr>
        <w:t xml:space="preserve"> H</w:t>
      </w:r>
      <w:r w:rsidRPr="00D1064D">
        <w:rPr>
          <w:rFonts w:asciiTheme="majorBidi" w:hAnsiTheme="majorBidi" w:cstheme="majorBidi"/>
        </w:rPr>
        <w:t xml:space="preserve">oc </w:t>
      </w:r>
      <w:r>
        <w:rPr>
          <w:rFonts w:asciiTheme="majorBidi" w:hAnsiTheme="majorBidi" w:cstheme="majorBidi"/>
        </w:rPr>
        <w:t>O</w:t>
      </w:r>
      <w:r w:rsidRPr="00D1064D">
        <w:rPr>
          <w:rFonts w:asciiTheme="majorBidi" w:hAnsiTheme="majorBidi" w:cstheme="majorBidi"/>
        </w:rPr>
        <w:t xml:space="preserve">pen-ended </w:t>
      </w:r>
      <w:r>
        <w:rPr>
          <w:rFonts w:asciiTheme="majorBidi" w:hAnsiTheme="majorBidi" w:cstheme="majorBidi"/>
        </w:rPr>
        <w:t>W</w:t>
      </w:r>
      <w:r w:rsidRPr="00D1064D">
        <w:rPr>
          <w:rFonts w:asciiTheme="majorBidi" w:hAnsiTheme="majorBidi" w:cstheme="majorBidi"/>
        </w:rPr>
        <w:t xml:space="preserve">orking </w:t>
      </w:r>
      <w:r>
        <w:rPr>
          <w:rFonts w:asciiTheme="majorBidi" w:hAnsiTheme="majorBidi" w:cstheme="majorBidi"/>
        </w:rPr>
        <w:t>G</w:t>
      </w:r>
      <w:r w:rsidRPr="00D1064D">
        <w:rPr>
          <w:rFonts w:asciiTheme="majorBidi" w:hAnsiTheme="majorBidi" w:cstheme="majorBidi"/>
        </w:rPr>
        <w:t>roup may</w:t>
      </w:r>
      <w:r w:rsidRPr="00EE2CAF">
        <w:rPr>
          <w:rFonts w:asciiTheme="majorBidi" w:hAnsiTheme="majorBidi" w:cstheme="majorBidi"/>
        </w:rPr>
        <w:t xml:space="preserve"> decide, meets the criteria in paragraphs 9 and 10 of th</w:t>
      </w:r>
      <w:r>
        <w:rPr>
          <w:rFonts w:asciiTheme="majorBidi" w:hAnsiTheme="majorBidi" w:cstheme="majorBidi"/>
        </w:rPr>
        <w:t>e present</w:t>
      </w:r>
      <w:r w:rsidRPr="00EE2CAF">
        <w:rPr>
          <w:rFonts w:asciiTheme="majorBidi" w:hAnsiTheme="majorBidi" w:cstheme="majorBidi"/>
        </w:rPr>
        <w:t xml:space="preserve"> decision;</w:t>
      </w:r>
    </w:p>
    <w:p w14:paraId="6CF114A3" w14:textId="77777777" w:rsidR="0000159D" w:rsidRPr="0081017C" w:rsidRDefault="0000159D" w:rsidP="00B15E4F">
      <w:pPr>
        <w:spacing w:before="120"/>
        <w:ind w:firstLine="720"/>
        <w:rPr>
          <w:rFonts w:asciiTheme="majorBidi" w:hAnsiTheme="majorBidi" w:cstheme="majorBidi"/>
        </w:rPr>
      </w:pPr>
      <w:r w:rsidRPr="00EE2CAF">
        <w:rPr>
          <w:rFonts w:asciiTheme="majorBidi" w:hAnsiTheme="majorBidi" w:cstheme="majorBidi"/>
        </w:rPr>
        <w:t>(</w:t>
      </w:r>
      <w:r>
        <w:rPr>
          <w:rFonts w:asciiTheme="majorBidi" w:hAnsiTheme="majorBidi" w:cstheme="majorBidi"/>
        </w:rPr>
        <w:t>c</w:t>
      </w:r>
      <w:r w:rsidRPr="00EE2CAF">
        <w:rPr>
          <w:rFonts w:asciiTheme="majorBidi" w:hAnsiTheme="majorBidi" w:cstheme="majorBidi"/>
        </w:rPr>
        <w:t>)</w:t>
      </w:r>
      <w:r w:rsidRPr="00EE2CAF">
        <w:rPr>
          <w:rFonts w:asciiTheme="majorBidi" w:hAnsiTheme="majorBidi" w:cstheme="majorBidi"/>
        </w:rPr>
        <w:tab/>
      </w:r>
      <w:r>
        <w:rPr>
          <w:rFonts w:asciiTheme="majorBidi" w:hAnsiTheme="majorBidi" w:cstheme="majorBidi"/>
        </w:rPr>
        <w:t xml:space="preserve">Commission a study on the options for revenue-generating measures at different points along the value chain, the feasibility of their implementation and their costs relative to their potential revenue. </w:t>
      </w:r>
    </w:p>
    <w:p w14:paraId="77B19252" w14:textId="77777777" w:rsidR="0000159D" w:rsidRPr="00EE2CAF" w:rsidRDefault="0000159D" w:rsidP="00E663EF">
      <w:pPr>
        <w:keepNext/>
        <w:keepLines/>
        <w:spacing w:after="120"/>
        <w:jc w:val="center"/>
        <w:rPr>
          <w:rFonts w:asciiTheme="majorBidi" w:hAnsiTheme="majorBidi" w:cstheme="majorBidi"/>
          <w:i/>
        </w:rPr>
      </w:pPr>
      <w:r w:rsidRPr="00EE2CAF">
        <w:rPr>
          <w:rFonts w:asciiTheme="majorBidi" w:hAnsiTheme="majorBidi" w:cstheme="majorBidi"/>
          <w:i/>
        </w:rPr>
        <w:t>Annex</w:t>
      </w:r>
    </w:p>
    <w:p w14:paraId="7247544A" w14:textId="77777777" w:rsidR="0000159D" w:rsidRPr="00B7637D" w:rsidRDefault="0000159D" w:rsidP="00B15E4F">
      <w:pPr>
        <w:keepNext/>
        <w:keepLines/>
        <w:spacing w:after="120"/>
        <w:jc w:val="center"/>
        <w:rPr>
          <w:rFonts w:asciiTheme="majorBidi" w:hAnsiTheme="majorBidi" w:cstheme="majorBidi"/>
          <w:b/>
          <w:bCs/>
        </w:rPr>
      </w:pPr>
      <w:r w:rsidRPr="00506941">
        <w:rPr>
          <w:rFonts w:asciiTheme="majorBidi" w:hAnsiTheme="majorBidi" w:cstheme="majorBidi"/>
          <w:b/>
          <w:bCs/>
        </w:rPr>
        <w:t>ISSUES FOR FURTHER CONSIDERATION</w:t>
      </w:r>
    </w:p>
    <w:p w14:paraId="35798881" w14:textId="77777777" w:rsidR="0000159D" w:rsidRPr="00EE2CAF" w:rsidRDefault="0000159D" w:rsidP="00E663EF">
      <w:pPr>
        <w:keepNext/>
        <w:keepLines/>
        <w:spacing w:after="120"/>
        <w:ind w:firstLine="709"/>
        <w:rPr>
          <w:rFonts w:asciiTheme="majorBidi" w:hAnsiTheme="majorBidi" w:cstheme="majorBidi"/>
        </w:rPr>
      </w:pPr>
      <w:r w:rsidRPr="00EE2CAF">
        <w:rPr>
          <w:rFonts w:asciiTheme="majorBidi" w:hAnsiTheme="majorBidi" w:cstheme="majorBidi"/>
        </w:rPr>
        <w:t>(a)</w:t>
      </w:r>
      <w:r w:rsidRPr="00EE2CAF">
        <w:rPr>
          <w:rFonts w:asciiTheme="majorBidi" w:hAnsiTheme="majorBidi" w:cstheme="majorBidi"/>
        </w:rPr>
        <w:tab/>
        <w:t>Governance of the fund;</w:t>
      </w:r>
    </w:p>
    <w:p w14:paraId="12768CD1" w14:textId="77777777" w:rsidR="0000159D" w:rsidRPr="00EE2CAF" w:rsidRDefault="0000159D" w:rsidP="00E663EF">
      <w:pPr>
        <w:keepNext/>
        <w:keepLines/>
        <w:spacing w:after="120"/>
        <w:ind w:firstLine="709"/>
        <w:rPr>
          <w:rFonts w:asciiTheme="majorBidi" w:hAnsiTheme="majorBidi" w:cstheme="majorBidi"/>
        </w:rPr>
      </w:pPr>
      <w:r w:rsidRPr="00EE2CAF">
        <w:rPr>
          <w:rFonts w:asciiTheme="majorBidi" w:hAnsiTheme="majorBidi" w:cstheme="majorBidi"/>
        </w:rPr>
        <w:t>(b)</w:t>
      </w:r>
      <w:r w:rsidRPr="00EE2CAF">
        <w:rPr>
          <w:rFonts w:asciiTheme="majorBidi" w:hAnsiTheme="majorBidi" w:cstheme="majorBidi"/>
        </w:rPr>
        <w:tab/>
        <w:t>Triggering points for benefit-sharing;</w:t>
      </w:r>
    </w:p>
    <w:p w14:paraId="6904DA22" w14:textId="77777777" w:rsidR="0000159D" w:rsidRPr="00EE2CAF" w:rsidRDefault="0000159D" w:rsidP="00E663EF">
      <w:pPr>
        <w:keepNext/>
        <w:keepLines/>
        <w:spacing w:after="120"/>
        <w:ind w:firstLine="709"/>
        <w:rPr>
          <w:rFonts w:asciiTheme="majorBidi" w:hAnsiTheme="majorBidi" w:cstheme="majorBidi"/>
        </w:rPr>
      </w:pPr>
      <w:r w:rsidRPr="00EE2CAF">
        <w:rPr>
          <w:rFonts w:asciiTheme="majorBidi" w:hAnsiTheme="majorBidi" w:cstheme="majorBidi"/>
        </w:rPr>
        <w:t>(c)</w:t>
      </w:r>
      <w:r w:rsidRPr="00EE2CAF">
        <w:rPr>
          <w:rFonts w:asciiTheme="majorBidi" w:hAnsiTheme="majorBidi" w:cstheme="majorBidi"/>
        </w:rPr>
        <w:tab/>
        <w:t>Contributions to the fund;</w:t>
      </w:r>
    </w:p>
    <w:p w14:paraId="7A312AA2" w14:textId="77777777" w:rsidR="0000159D" w:rsidRDefault="0000159D" w:rsidP="00E663EF">
      <w:pPr>
        <w:spacing w:after="120"/>
        <w:ind w:firstLine="709"/>
        <w:rPr>
          <w:rFonts w:asciiTheme="majorBidi" w:hAnsiTheme="majorBidi" w:cstheme="majorBidi"/>
        </w:rPr>
      </w:pPr>
      <w:r w:rsidRPr="00EE2CAF">
        <w:rPr>
          <w:rFonts w:asciiTheme="majorBidi" w:hAnsiTheme="majorBidi" w:cstheme="majorBidi"/>
        </w:rPr>
        <w:t>(d)</w:t>
      </w:r>
      <w:r w:rsidRPr="00EE2CAF">
        <w:rPr>
          <w:rFonts w:asciiTheme="majorBidi" w:hAnsiTheme="majorBidi" w:cstheme="majorBidi"/>
        </w:rPr>
        <w:tab/>
        <w:t>Potential to voluntarily extend the multilateral</w:t>
      </w:r>
      <w:r>
        <w:rPr>
          <w:rFonts w:asciiTheme="majorBidi" w:hAnsiTheme="majorBidi" w:cstheme="majorBidi"/>
        </w:rPr>
        <w:t xml:space="preserve"> mechanism</w:t>
      </w:r>
      <w:r w:rsidRPr="00EE2CAF">
        <w:rPr>
          <w:rFonts w:asciiTheme="majorBidi" w:hAnsiTheme="majorBidi" w:cstheme="majorBidi"/>
        </w:rPr>
        <w:t xml:space="preserve"> to genetic resources</w:t>
      </w:r>
      <w:r>
        <w:rPr>
          <w:rFonts w:asciiTheme="majorBidi" w:hAnsiTheme="majorBidi" w:cstheme="majorBidi"/>
        </w:rPr>
        <w:t xml:space="preserve"> or biological diversity</w:t>
      </w:r>
      <w:r w:rsidRPr="00EE2CAF">
        <w:rPr>
          <w:rFonts w:asciiTheme="majorBidi" w:hAnsiTheme="majorBidi" w:cstheme="majorBidi"/>
        </w:rPr>
        <w:t>;</w:t>
      </w:r>
    </w:p>
    <w:p w14:paraId="4B3D725A" w14:textId="77777777" w:rsidR="0000159D" w:rsidRPr="00EE2CAF" w:rsidRDefault="0000159D" w:rsidP="00E663EF">
      <w:pPr>
        <w:spacing w:after="120"/>
        <w:ind w:firstLine="709"/>
        <w:rPr>
          <w:rFonts w:asciiTheme="majorBidi" w:hAnsiTheme="majorBidi" w:cstheme="majorBidi"/>
        </w:rPr>
      </w:pPr>
      <w:r>
        <w:rPr>
          <w:rFonts w:asciiTheme="majorBidi" w:hAnsiTheme="majorBidi" w:cstheme="majorBidi"/>
        </w:rPr>
        <w:t>(e)</w:t>
      </w:r>
      <w:r>
        <w:rPr>
          <w:rFonts w:asciiTheme="majorBidi" w:hAnsiTheme="majorBidi" w:cstheme="majorBidi"/>
        </w:rPr>
        <w:tab/>
      </w:r>
      <w:r w:rsidRPr="00EE2CAF">
        <w:rPr>
          <w:rFonts w:asciiTheme="majorBidi" w:hAnsiTheme="majorBidi" w:cstheme="majorBidi"/>
        </w:rPr>
        <w:t>Disbursement of monetary benefits, including information on geographical origin as one of the criteria;</w:t>
      </w:r>
    </w:p>
    <w:p w14:paraId="0F58B6F2" w14:textId="77777777" w:rsidR="0000159D" w:rsidRDefault="0000159D" w:rsidP="00E663EF">
      <w:pPr>
        <w:spacing w:after="120"/>
        <w:ind w:firstLine="709"/>
        <w:rPr>
          <w:rFonts w:asciiTheme="majorBidi" w:hAnsiTheme="majorBidi" w:cstheme="majorBidi"/>
        </w:rPr>
      </w:pPr>
      <w:r w:rsidRPr="00EE2CAF">
        <w:rPr>
          <w:rFonts w:asciiTheme="majorBidi" w:hAnsiTheme="majorBidi" w:cstheme="majorBidi"/>
        </w:rPr>
        <w:t>(</w:t>
      </w:r>
      <w:r>
        <w:rPr>
          <w:rFonts w:asciiTheme="majorBidi" w:hAnsiTheme="majorBidi" w:cstheme="majorBidi"/>
        </w:rPr>
        <w:t>f</w:t>
      </w:r>
      <w:r w:rsidRPr="00EE2CAF">
        <w:rPr>
          <w:rFonts w:asciiTheme="majorBidi" w:hAnsiTheme="majorBidi" w:cstheme="majorBidi"/>
        </w:rPr>
        <w:t>)</w:t>
      </w:r>
      <w:r w:rsidRPr="00EE2CAF">
        <w:rPr>
          <w:rFonts w:asciiTheme="majorBidi" w:hAnsiTheme="majorBidi" w:cstheme="majorBidi"/>
        </w:rPr>
        <w:tab/>
        <w:t>Non-monetary benefit-sharing, including information on geographical origin as one of the criteria;</w:t>
      </w:r>
    </w:p>
    <w:p w14:paraId="596F29FE" w14:textId="77777777" w:rsidR="0000159D" w:rsidRPr="00EE2CAF" w:rsidRDefault="0000159D" w:rsidP="00E663EF">
      <w:pPr>
        <w:spacing w:after="120"/>
        <w:ind w:firstLine="709"/>
        <w:rPr>
          <w:rFonts w:asciiTheme="majorBidi" w:hAnsiTheme="majorBidi" w:cstheme="majorBidi"/>
        </w:rPr>
      </w:pPr>
      <w:r>
        <w:rPr>
          <w:rFonts w:asciiTheme="majorBidi" w:hAnsiTheme="majorBidi" w:cstheme="majorBidi"/>
        </w:rPr>
        <w:t>(g)</w:t>
      </w:r>
      <w:r>
        <w:rPr>
          <w:rFonts w:asciiTheme="majorBidi" w:hAnsiTheme="majorBidi" w:cstheme="majorBidi"/>
        </w:rPr>
        <w:tab/>
        <w:t>Other policy options for the sharing of benefits from the use of digital sequence information on genetic resources, including as identified through further analysis, as referred to in paragraphs 6 and 7 of the present decision;</w:t>
      </w:r>
    </w:p>
    <w:p w14:paraId="18AAEB70" w14:textId="77777777" w:rsidR="0000159D" w:rsidRPr="00EE2CAF" w:rsidRDefault="0000159D" w:rsidP="00E663EF">
      <w:pPr>
        <w:spacing w:after="120"/>
        <w:ind w:firstLine="709"/>
        <w:rPr>
          <w:rFonts w:asciiTheme="majorBidi" w:hAnsiTheme="majorBidi" w:cstheme="majorBidi"/>
        </w:rPr>
      </w:pPr>
      <w:r w:rsidRPr="00EE2CAF">
        <w:rPr>
          <w:rFonts w:asciiTheme="majorBidi" w:hAnsiTheme="majorBidi" w:cstheme="majorBidi"/>
        </w:rPr>
        <w:t>(</w:t>
      </w:r>
      <w:r>
        <w:rPr>
          <w:rFonts w:asciiTheme="majorBidi" w:hAnsiTheme="majorBidi" w:cstheme="majorBidi"/>
        </w:rPr>
        <w:t>h</w:t>
      </w:r>
      <w:r w:rsidRPr="00EE2CAF">
        <w:rPr>
          <w:rFonts w:asciiTheme="majorBidi" w:hAnsiTheme="majorBidi" w:cstheme="majorBidi"/>
        </w:rPr>
        <w:t>)</w:t>
      </w:r>
      <w:r w:rsidRPr="00EE2CAF">
        <w:rPr>
          <w:rFonts w:asciiTheme="majorBidi" w:hAnsiTheme="majorBidi" w:cstheme="majorBidi"/>
        </w:rPr>
        <w:tab/>
        <w:t>Capacity development and technology transfer;</w:t>
      </w:r>
    </w:p>
    <w:p w14:paraId="7016EC52" w14:textId="77777777" w:rsidR="0000159D" w:rsidRPr="00EE2CAF" w:rsidRDefault="0000159D" w:rsidP="00E663EF">
      <w:pPr>
        <w:spacing w:after="120"/>
        <w:ind w:firstLine="709"/>
        <w:rPr>
          <w:rFonts w:asciiTheme="majorBidi" w:hAnsiTheme="majorBidi" w:cstheme="majorBidi"/>
        </w:rPr>
      </w:pPr>
      <w:r w:rsidRPr="00EE2CAF">
        <w:rPr>
          <w:rFonts w:asciiTheme="majorBidi" w:hAnsiTheme="majorBidi" w:cstheme="majorBidi"/>
        </w:rPr>
        <w:t>(</w:t>
      </w:r>
      <w:r>
        <w:rPr>
          <w:rFonts w:asciiTheme="majorBidi" w:hAnsiTheme="majorBidi" w:cstheme="majorBidi"/>
        </w:rPr>
        <w:t>i</w:t>
      </w:r>
      <w:r w:rsidRPr="00EE2CAF">
        <w:rPr>
          <w:rFonts w:asciiTheme="majorBidi" w:hAnsiTheme="majorBidi" w:cstheme="majorBidi"/>
        </w:rPr>
        <w:t>)</w:t>
      </w:r>
      <w:r w:rsidRPr="00EE2CAF">
        <w:rPr>
          <w:rFonts w:asciiTheme="majorBidi" w:hAnsiTheme="majorBidi" w:cstheme="majorBidi"/>
        </w:rPr>
        <w:tab/>
        <w:t>Monitoring and evaluation and review of effectiveness;</w:t>
      </w:r>
    </w:p>
    <w:p w14:paraId="3A74EE51" w14:textId="77777777" w:rsidR="0000159D" w:rsidRPr="001F3AC6" w:rsidRDefault="0000159D" w:rsidP="00E663EF">
      <w:pPr>
        <w:spacing w:after="120"/>
        <w:ind w:firstLine="709"/>
        <w:rPr>
          <w:rFonts w:asciiTheme="majorBidi" w:hAnsiTheme="majorBidi" w:cstheme="majorBidi"/>
        </w:rPr>
      </w:pPr>
      <w:r w:rsidRPr="00EE2CAF">
        <w:rPr>
          <w:rFonts w:asciiTheme="majorBidi" w:hAnsiTheme="majorBidi" w:cstheme="majorBidi"/>
        </w:rPr>
        <w:t>(</w:t>
      </w:r>
      <w:r>
        <w:rPr>
          <w:rFonts w:asciiTheme="majorBidi" w:hAnsiTheme="majorBidi" w:cstheme="majorBidi"/>
        </w:rPr>
        <w:t>j</w:t>
      </w:r>
      <w:r w:rsidRPr="00EE2CAF">
        <w:rPr>
          <w:rFonts w:asciiTheme="majorBidi" w:hAnsiTheme="majorBidi" w:cstheme="majorBidi"/>
        </w:rPr>
        <w:t>)</w:t>
      </w:r>
      <w:r w:rsidRPr="00EE2CAF">
        <w:rPr>
          <w:rFonts w:asciiTheme="majorBidi" w:hAnsiTheme="majorBidi" w:cstheme="majorBidi"/>
        </w:rPr>
        <w:tab/>
        <w:t>Adaptability of the mechanism to other resource mobilization instruments or funds</w:t>
      </w:r>
      <w:r>
        <w:rPr>
          <w:rFonts w:asciiTheme="majorBidi" w:hAnsiTheme="majorBidi" w:cstheme="majorBidi"/>
        </w:rPr>
        <w:t>;</w:t>
      </w:r>
    </w:p>
    <w:p w14:paraId="32E75BE3" w14:textId="77777777" w:rsidR="0000159D" w:rsidRDefault="0000159D" w:rsidP="00E663EF">
      <w:pPr>
        <w:spacing w:after="120"/>
        <w:ind w:firstLine="709"/>
        <w:rPr>
          <w:rFonts w:asciiTheme="majorBidi" w:hAnsiTheme="majorBidi" w:cstheme="majorBidi"/>
        </w:rPr>
      </w:pPr>
      <w:r>
        <w:rPr>
          <w:rFonts w:asciiTheme="majorBidi" w:hAnsiTheme="majorBidi" w:cstheme="majorBidi"/>
        </w:rPr>
        <w:t>(k)</w:t>
      </w:r>
      <w:r>
        <w:rPr>
          <w:rFonts w:asciiTheme="majorBidi" w:hAnsiTheme="majorBidi" w:cstheme="majorBidi"/>
        </w:rPr>
        <w:tab/>
        <w:t>Interface between n</w:t>
      </w:r>
      <w:r w:rsidRPr="00EE2CAF">
        <w:rPr>
          <w:rFonts w:asciiTheme="majorBidi" w:hAnsiTheme="majorBidi" w:cstheme="majorBidi"/>
        </w:rPr>
        <w:t>ational systems</w:t>
      </w:r>
      <w:r>
        <w:rPr>
          <w:rFonts w:asciiTheme="majorBidi" w:hAnsiTheme="majorBidi" w:cstheme="majorBidi"/>
        </w:rPr>
        <w:t xml:space="preserve"> and the multilateral mechanism on benefit-sharing</w:t>
      </w:r>
      <w:r w:rsidRPr="00EE2CAF">
        <w:rPr>
          <w:rFonts w:asciiTheme="majorBidi" w:hAnsiTheme="majorBidi" w:cstheme="majorBidi"/>
        </w:rPr>
        <w:t>;</w:t>
      </w:r>
    </w:p>
    <w:p w14:paraId="70BCF1B9" w14:textId="77777777" w:rsidR="0000159D" w:rsidRPr="00EE2CAF" w:rsidRDefault="0000159D" w:rsidP="00E663EF">
      <w:pPr>
        <w:spacing w:after="120"/>
        <w:ind w:firstLine="709"/>
        <w:rPr>
          <w:rFonts w:asciiTheme="majorBidi" w:hAnsiTheme="majorBidi" w:cstheme="majorBidi"/>
        </w:rPr>
      </w:pPr>
      <w:r w:rsidRPr="00EE2CAF">
        <w:rPr>
          <w:rFonts w:asciiTheme="majorBidi" w:hAnsiTheme="majorBidi" w:cstheme="majorBidi"/>
        </w:rPr>
        <w:t>(</w:t>
      </w:r>
      <w:r>
        <w:rPr>
          <w:rFonts w:asciiTheme="majorBidi" w:hAnsiTheme="majorBidi" w:cstheme="majorBidi"/>
        </w:rPr>
        <w:t>l</w:t>
      </w:r>
      <w:r w:rsidRPr="00EE2CAF">
        <w:rPr>
          <w:rFonts w:asciiTheme="majorBidi" w:hAnsiTheme="majorBidi" w:cstheme="majorBidi"/>
        </w:rPr>
        <w:t>)</w:t>
      </w:r>
      <w:r w:rsidRPr="00EE2CAF">
        <w:rPr>
          <w:rFonts w:asciiTheme="majorBidi" w:hAnsiTheme="majorBidi" w:cstheme="majorBidi"/>
        </w:rPr>
        <w:tab/>
        <w:t>Relationship with the Nagoya Protocol;</w:t>
      </w:r>
    </w:p>
    <w:p w14:paraId="1B923361" w14:textId="77777777" w:rsidR="0000159D" w:rsidRPr="00EE2CAF" w:rsidRDefault="0000159D" w:rsidP="00E663EF">
      <w:pPr>
        <w:spacing w:after="120"/>
        <w:ind w:firstLine="709"/>
        <w:rPr>
          <w:rFonts w:asciiTheme="majorBidi" w:hAnsiTheme="majorBidi" w:cstheme="majorBidi"/>
        </w:rPr>
      </w:pPr>
      <w:r w:rsidRPr="00EE2CAF">
        <w:rPr>
          <w:rFonts w:asciiTheme="majorBidi" w:hAnsiTheme="majorBidi" w:cstheme="majorBidi"/>
        </w:rPr>
        <w:t>(</w:t>
      </w:r>
      <w:r>
        <w:rPr>
          <w:rFonts w:asciiTheme="majorBidi" w:hAnsiTheme="majorBidi" w:cstheme="majorBidi"/>
        </w:rPr>
        <w:t>m</w:t>
      </w:r>
      <w:r w:rsidRPr="00EE2CAF">
        <w:rPr>
          <w:rFonts w:asciiTheme="majorBidi" w:hAnsiTheme="majorBidi" w:cstheme="majorBidi"/>
        </w:rPr>
        <w:t>)</w:t>
      </w:r>
      <w:r w:rsidRPr="00EE2CAF">
        <w:rPr>
          <w:rFonts w:asciiTheme="majorBidi" w:hAnsiTheme="majorBidi" w:cstheme="majorBidi"/>
        </w:rPr>
        <w:tab/>
        <w:t>Role, rights and interests of indigenous peoples and local communities, including associated traditional knowledge;</w:t>
      </w:r>
    </w:p>
    <w:p w14:paraId="52C9DCBD" w14:textId="77777777" w:rsidR="0000159D" w:rsidRPr="00EE2CAF" w:rsidRDefault="0000159D" w:rsidP="00E663EF">
      <w:pPr>
        <w:spacing w:after="120"/>
        <w:ind w:firstLine="709"/>
        <w:rPr>
          <w:rFonts w:asciiTheme="majorBidi" w:hAnsiTheme="majorBidi" w:cstheme="majorBidi"/>
        </w:rPr>
      </w:pPr>
      <w:r w:rsidRPr="00EE2CAF">
        <w:rPr>
          <w:rFonts w:asciiTheme="majorBidi" w:hAnsiTheme="majorBidi" w:cstheme="majorBidi"/>
        </w:rPr>
        <w:t>(</w:t>
      </w:r>
      <w:r>
        <w:rPr>
          <w:rFonts w:asciiTheme="majorBidi" w:hAnsiTheme="majorBidi" w:cstheme="majorBidi"/>
        </w:rPr>
        <w:t>n</w:t>
      </w:r>
      <w:r w:rsidRPr="00EE2CAF">
        <w:rPr>
          <w:rFonts w:asciiTheme="majorBidi" w:hAnsiTheme="majorBidi" w:cstheme="majorBidi"/>
        </w:rPr>
        <w:t>)</w:t>
      </w:r>
      <w:r w:rsidRPr="00EE2CAF">
        <w:rPr>
          <w:rFonts w:asciiTheme="majorBidi" w:hAnsiTheme="majorBidi" w:cstheme="majorBidi"/>
        </w:rPr>
        <w:tab/>
        <w:t>Role and interests of industry and academia;</w:t>
      </w:r>
    </w:p>
    <w:p w14:paraId="252629F6" w14:textId="77777777" w:rsidR="0000159D" w:rsidRPr="00EE2CAF" w:rsidRDefault="0000159D" w:rsidP="00E663EF">
      <w:pPr>
        <w:spacing w:after="120"/>
        <w:ind w:firstLine="709"/>
        <w:rPr>
          <w:rFonts w:asciiTheme="majorBidi" w:hAnsiTheme="majorBidi" w:cstheme="majorBidi"/>
        </w:rPr>
      </w:pPr>
      <w:r w:rsidRPr="00EE2CAF">
        <w:rPr>
          <w:rFonts w:asciiTheme="majorBidi" w:hAnsiTheme="majorBidi" w:cstheme="majorBidi"/>
        </w:rPr>
        <w:t>(</w:t>
      </w:r>
      <w:r>
        <w:rPr>
          <w:rFonts w:asciiTheme="majorBidi" w:hAnsiTheme="majorBidi" w:cstheme="majorBidi"/>
        </w:rPr>
        <w:t>o</w:t>
      </w:r>
      <w:r w:rsidRPr="00EE2CAF">
        <w:rPr>
          <w:rFonts w:asciiTheme="majorBidi" w:hAnsiTheme="majorBidi" w:cstheme="majorBidi"/>
        </w:rPr>
        <w:t>)</w:t>
      </w:r>
      <w:r w:rsidRPr="00EE2CAF">
        <w:rPr>
          <w:rFonts w:asciiTheme="majorBidi" w:hAnsiTheme="majorBidi" w:cstheme="majorBidi"/>
        </w:rPr>
        <w:tab/>
      </w:r>
      <w:r>
        <w:rPr>
          <w:rFonts w:asciiTheme="majorBidi" w:hAnsiTheme="majorBidi" w:cstheme="majorBidi"/>
        </w:rPr>
        <w:t>Linkages between r</w:t>
      </w:r>
      <w:r w:rsidRPr="00EE2CAF">
        <w:rPr>
          <w:rFonts w:asciiTheme="majorBidi" w:hAnsiTheme="majorBidi" w:cstheme="majorBidi"/>
        </w:rPr>
        <w:t>esearch and technology</w:t>
      </w:r>
      <w:r>
        <w:rPr>
          <w:rFonts w:asciiTheme="majorBidi" w:hAnsiTheme="majorBidi" w:cstheme="majorBidi"/>
        </w:rPr>
        <w:t xml:space="preserve"> and the multilateral mechanism on benefit</w:t>
      </w:r>
      <w:r>
        <w:rPr>
          <w:rFonts w:asciiTheme="majorBidi" w:hAnsiTheme="majorBidi" w:cstheme="majorBidi"/>
        </w:rPr>
        <w:noBreakHyphen/>
        <w:t>sharing</w:t>
      </w:r>
      <w:r w:rsidRPr="00EE2CAF">
        <w:rPr>
          <w:rFonts w:asciiTheme="majorBidi" w:hAnsiTheme="majorBidi" w:cstheme="majorBidi"/>
        </w:rPr>
        <w:t>;</w:t>
      </w:r>
    </w:p>
    <w:p w14:paraId="44247A0A" w14:textId="77777777" w:rsidR="0000159D" w:rsidRPr="00EE2CAF" w:rsidRDefault="0000159D" w:rsidP="00B15E4F">
      <w:pPr>
        <w:ind w:firstLine="709"/>
        <w:rPr>
          <w:rFonts w:asciiTheme="majorBidi" w:hAnsiTheme="majorBidi" w:cstheme="majorBidi"/>
        </w:rPr>
      </w:pPr>
      <w:r w:rsidRPr="00EE2CAF">
        <w:rPr>
          <w:rFonts w:asciiTheme="majorBidi" w:hAnsiTheme="majorBidi" w:cstheme="majorBidi"/>
        </w:rPr>
        <w:lastRenderedPageBreak/>
        <w:t>(</w:t>
      </w:r>
      <w:r>
        <w:rPr>
          <w:rFonts w:asciiTheme="majorBidi" w:hAnsiTheme="majorBidi" w:cstheme="majorBidi"/>
        </w:rPr>
        <w:t>p</w:t>
      </w:r>
      <w:r w:rsidRPr="00EE2CAF">
        <w:rPr>
          <w:rFonts w:asciiTheme="majorBidi" w:hAnsiTheme="majorBidi" w:cstheme="majorBidi"/>
        </w:rPr>
        <w:t>)</w:t>
      </w:r>
      <w:r>
        <w:rPr>
          <w:rFonts w:asciiTheme="majorBidi" w:hAnsiTheme="majorBidi" w:cstheme="majorBidi"/>
        </w:rPr>
        <w:tab/>
      </w:r>
      <w:r w:rsidRPr="00EE2CAF">
        <w:rPr>
          <w:rFonts w:asciiTheme="majorBidi" w:hAnsiTheme="majorBidi" w:cstheme="majorBidi"/>
        </w:rPr>
        <w:t>Principles of data governance</w:t>
      </w:r>
      <w:r>
        <w:rPr>
          <w:rFonts w:asciiTheme="majorBidi" w:hAnsiTheme="majorBidi" w:cstheme="majorBidi"/>
        </w:rPr>
        <w:t>.</w:t>
      </w:r>
    </w:p>
    <w:p w14:paraId="466AA9E6" w14:textId="77777777" w:rsidR="0000159D" w:rsidRPr="00EE2CAF" w:rsidRDefault="0000159D" w:rsidP="00EE2CAF">
      <w:pPr>
        <w:pStyle w:val="ListParagraph"/>
        <w:ind w:left="0"/>
        <w:rPr>
          <w:rFonts w:asciiTheme="majorBidi" w:hAnsiTheme="majorBidi" w:cstheme="majorBidi"/>
          <w:lang w:val="en-CA"/>
        </w:rPr>
      </w:pPr>
    </w:p>
    <w:p w14:paraId="1FFA88F2" w14:textId="77777777" w:rsidR="00FE6115" w:rsidRDefault="00FE6115" w:rsidP="0000159D">
      <w:pPr>
        <w:jc w:val="center"/>
        <w:rPr>
          <w:rFonts w:asciiTheme="majorBidi" w:hAnsiTheme="majorBidi" w:cstheme="majorBidi"/>
        </w:rPr>
        <w:sectPr w:rsidR="00FE6115" w:rsidSect="00441700">
          <w:footnotePr>
            <w:numRestart w:val="eachSect"/>
          </w:footnotePr>
          <w:pgSz w:w="12240" w:h="15840"/>
          <w:pgMar w:top="567" w:right="1440" w:bottom="1134" w:left="1440" w:header="709" w:footer="709" w:gutter="0"/>
          <w:cols w:space="708"/>
          <w:docGrid w:linePitch="360"/>
        </w:sectPr>
      </w:pPr>
    </w:p>
    <w:p w14:paraId="054E1F9F" w14:textId="77777777" w:rsidR="00FE6115" w:rsidRPr="00F17B24" w:rsidRDefault="00FE6115" w:rsidP="008049CC">
      <w:pPr>
        <w:pStyle w:val="decision"/>
        <w:ind w:left="1134" w:right="429" w:hanging="850"/>
        <w:jc w:val="left"/>
        <w:rPr>
          <w:rFonts w:ascii="Segoe UI" w:hAnsi="Segoe UI" w:cs="Segoe UI"/>
          <w:b w:val="0"/>
          <w:bCs/>
          <w:sz w:val="18"/>
          <w:szCs w:val="18"/>
          <w:lang w:val="en-US" w:eastAsia="zh-CN"/>
        </w:rPr>
      </w:pPr>
      <w:bookmarkStart w:id="125" w:name="_Toc150438808"/>
      <w:bookmarkStart w:id="126" w:name="_Toc150670508"/>
      <w:bookmarkStart w:id="127" w:name="_Toc150670618"/>
      <w:bookmarkStart w:id="128" w:name="_Toc150761120"/>
      <w:r w:rsidRPr="00F17B24">
        <w:rPr>
          <w:rStyle w:val="Heading2Char"/>
          <w:rFonts w:eastAsia="Malgun Gothic"/>
          <w:b/>
          <w:bCs w:val="0"/>
        </w:rPr>
        <w:lastRenderedPageBreak/>
        <w:t>15/10.</w:t>
      </w:r>
      <w:r w:rsidRPr="00F17B24">
        <w:rPr>
          <w:rStyle w:val="Heading2Char"/>
          <w:rFonts w:eastAsia="Malgun Gothic"/>
          <w:b/>
          <w:bCs w:val="0"/>
        </w:rPr>
        <w:tab/>
        <w:t>Development of a new programme of work and institutional arrangements on Article 8(j) and other provisions of the Convention related to indigenous peoples and local communities</w:t>
      </w:r>
      <w:bookmarkEnd w:id="125"/>
      <w:bookmarkEnd w:id="126"/>
      <w:bookmarkEnd w:id="127"/>
      <w:bookmarkEnd w:id="128"/>
    </w:p>
    <w:p w14:paraId="211FC1C6" w14:textId="77777777" w:rsidR="00FE6115" w:rsidRPr="00A46DF0" w:rsidRDefault="00FE6115" w:rsidP="0048113D">
      <w:pPr>
        <w:keepNext/>
        <w:suppressLineNumbers/>
        <w:suppressAutoHyphens/>
        <w:spacing w:before="240" w:after="120"/>
        <w:ind w:firstLine="720"/>
        <w:rPr>
          <w:i/>
          <w:kern w:val="22"/>
          <w:szCs w:val="22"/>
        </w:rPr>
      </w:pPr>
      <w:r w:rsidRPr="00A46DF0">
        <w:rPr>
          <w:i/>
          <w:kern w:val="22"/>
          <w:szCs w:val="22"/>
        </w:rPr>
        <w:t>The Conference of the Parties,</w:t>
      </w:r>
    </w:p>
    <w:p w14:paraId="5A598672" w14:textId="77777777" w:rsidR="00FE6115" w:rsidRDefault="00FE6115" w:rsidP="00190177">
      <w:pPr>
        <w:suppressLineNumbers/>
        <w:suppressAutoHyphens/>
        <w:spacing w:before="120" w:after="120"/>
        <w:ind w:firstLine="720"/>
        <w:rPr>
          <w:kern w:val="22"/>
          <w:szCs w:val="22"/>
        </w:rPr>
      </w:pPr>
      <w:r w:rsidRPr="00A46DF0">
        <w:rPr>
          <w:i/>
          <w:kern w:val="22"/>
          <w:szCs w:val="22"/>
        </w:rPr>
        <w:t>Recalling</w:t>
      </w:r>
      <w:r w:rsidRPr="00A46DF0">
        <w:rPr>
          <w:kern w:val="22"/>
          <w:szCs w:val="22"/>
        </w:rPr>
        <w:t xml:space="preserve"> decision V/16, in which it established the programme of work on Article 8(j) and related provisions, and decision X/43,</w:t>
      </w:r>
      <w:r w:rsidRPr="00610646">
        <w:rPr>
          <w:rStyle w:val="FootnoteReference"/>
        </w:rPr>
        <w:footnoteReference w:id="95"/>
      </w:r>
      <w:r w:rsidRPr="00A46DF0">
        <w:rPr>
          <w:kern w:val="22"/>
          <w:szCs w:val="22"/>
        </w:rPr>
        <w:t xml:space="preserve"> in which it revised the multi-year programme of work for 2010</w:t>
      </w:r>
      <w:r>
        <w:rPr>
          <w:kern w:val="22"/>
          <w:szCs w:val="22"/>
        </w:rPr>
        <w:t>–</w:t>
      </w:r>
      <w:r w:rsidRPr="00A46DF0">
        <w:rPr>
          <w:kern w:val="22"/>
          <w:szCs w:val="22"/>
        </w:rPr>
        <w:t>2020,</w:t>
      </w:r>
    </w:p>
    <w:p w14:paraId="3787A220" w14:textId="77777777" w:rsidR="00FE6115" w:rsidRPr="00E7482C" w:rsidRDefault="00FE6115" w:rsidP="00190177">
      <w:pPr>
        <w:suppressLineNumbers/>
        <w:suppressAutoHyphens/>
        <w:spacing w:before="120" w:after="120"/>
        <w:ind w:firstLine="720"/>
        <w:rPr>
          <w:kern w:val="22"/>
          <w:szCs w:val="22"/>
        </w:rPr>
      </w:pPr>
      <w:r>
        <w:rPr>
          <w:i/>
          <w:iCs/>
          <w:kern w:val="22"/>
          <w:szCs w:val="22"/>
        </w:rPr>
        <w:t>R</w:t>
      </w:r>
      <w:r w:rsidRPr="002C6284">
        <w:rPr>
          <w:i/>
          <w:kern w:val="22"/>
          <w:szCs w:val="22"/>
        </w:rPr>
        <w:t>ecalling</w:t>
      </w:r>
      <w:r>
        <w:rPr>
          <w:i/>
          <w:kern w:val="22"/>
          <w:szCs w:val="22"/>
        </w:rPr>
        <w:t xml:space="preserve"> also</w:t>
      </w:r>
      <w:r w:rsidRPr="002929A4">
        <w:rPr>
          <w:kern w:val="22"/>
          <w:szCs w:val="22"/>
        </w:rPr>
        <w:t xml:space="preserve"> decision 14/17,</w:t>
      </w:r>
    </w:p>
    <w:p w14:paraId="69636FE0" w14:textId="77777777" w:rsidR="00FE6115" w:rsidRPr="00A46DF0" w:rsidRDefault="00FE6115" w:rsidP="00190177">
      <w:pPr>
        <w:suppressLineNumbers/>
        <w:suppressAutoHyphens/>
        <w:spacing w:before="120" w:after="120"/>
        <w:ind w:firstLine="720"/>
        <w:rPr>
          <w:kern w:val="22"/>
          <w:szCs w:val="22"/>
        </w:rPr>
      </w:pPr>
      <w:r w:rsidRPr="00A46DF0">
        <w:rPr>
          <w:i/>
          <w:smallCaps/>
          <w:kern w:val="22"/>
          <w:szCs w:val="22"/>
        </w:rPr>
        <w:t>R</w:t>
      </w:r>
      <w:r w:rsidRPr="00A46DF0">
        <w:rPr>
          <w:i/>
          <w:kern w:val="22"/>
          <w:szCs w:val="22"/>
        </w:rPr>
        <w:t>ecognizing</w:t>
      </w:r>
      <w:r w:rsidRPr="00A46DF0">
        <w:rPr>
          <w:kern w:val="22"/>
          <w:szCs w:val="22"/>
        </w:rPr>
        <w:t xml:space="preserve"> the need for a more holistic, forward-looking and integrated programme of work, taking into account the Sustainable Development Goals,</w:t>
      </w:r>
      <w:r w:rsidRPr="00610646">
        <w:rPr>
          <w:rStyle w:val="FootnoteReference"/>
        </w:rPr>
        <w:footnoteReference w:id="96"/>
      </w:r>
      <w:r w:rsidRPr="00A46DF0">
        <w:rPr>
          <w:kern w:val="22"/>
          <w:szCs w:val="22"/>
        </w:rPr>
        <w:t xml:space="preserve"> the Paris Agreement</w:t>
      </w:r>
      <w:r w:rsidRPr="00610646">
        <w:rPr>
          <w:rStyle w:val="FootnoteReference"/>
        </w:rPr>
        <w:footnoteReference w:id="97"/>
      </w:r>
      <w:r w:rsidRPr="00A46DF0">
        <w:rPr>
          <w:kern w:val="22"/>
          <w:szCs w:val="22"/>
        </w:rPr>
        <w:t xml:space="preserve"> and the post-2020 arrangements for the Convention,</w:t>
      </w:r>
    </w:p>
    <w:p w14:paraId="26C7E4CE" w14:textId="77777777" w:rsidR="00FE6115" w:rsidRPr="00A46DF0" w:rsidRDefault="00FE6115" w:rsidP="00190177">
      <w:pPr>
        <w:suppressLineNumbers/>
        <w:suppressAutoHyphens/>
        <w:spacing w:before="120" w:after="120"/>
        <w:ind w:firstLine="720"/>
        <w:rPr>
          <w:kern w:val="22"/>
          <w:szCs w:val="22"/>
        </w:rPr>
      </w:pPr>
      <w:r w:rsidRPr="00A46DF0">
        <w:rPr>
          <w:i/>
          <w:kern w:val="22"/>
          <w:szCs w:val="22"/>
        </w:rPr>
        <w:t xml:space="preserve">Building </w:t>
      </w:r>
      <w:r w:rsidRPr="00A46DF0">
        <w:rPr>
          <w:kern w:val="22"/>
          <w:szCs w:val="22"/>
        </w:rPr>
        <w:t>on the composite report on the status and trends of traditional knowledge and the voluntary guidelines, standards and other tools already developed by the Ad Hoc Open-ended Inter-sessional Working Group on Article 8(j) and Related Provisions and adopted by the Conference of the Parties,</w:t>
      </w:r>
      <w:r w:rsidRPr="00610646">
        <w:rPr>
          <w:rStyle w:val="FootnoteReference"/>
        </w:rPr>
        <w:footnoteReference w:id="98"/>
      </w:r>
    </w:p>
    <w:p w14:paraId="5DA1730C" w14:textId="77777777" w:rsidR="00FE6115" w:rsidRPr="002C6284" w:rsidRDefault="00FE6115" w:rsidP="00190177">
      <w:pPr>
        <w:suppressLineNumbers/>
        <w:suppressAutoHyphens/>
        <w:spacing w:before="120" w:after="120"/>
        <w:ind w:firstLine="720"/>
        <w:rPr>
          <w:kern w:val="22"/>
          <w:szCs w:val="22"/>
          <w:lang w:val="en-US"/>
        </w:rPr>
      </w:pPr>
      <w:r w:rsidRPr="00A46DF0">
        <w:rPr>
          <w:i/>
          <w:kern w:val="22"/>
          <w:szCs w:val="22"/>
        </w:rPr>
        <w:t>Emphasizing</w:t>
      </w:r>
      <w:r w:rsidRPr="00A46DF0">
        <w:rPr>
          <w:kern w:val="22"/>
          <w:szCs w:val="22"/>
        </w:rPr>
        <w:t xml:space="preserve"> the need for the effective implementation in accordance with national legislation and circumstances and international obligations, as appropriate, of the voluntary guidelines and standards related to Article 8(j) and related provisions at the national level</w:t>
      </w:r>
      <w:r>
        <w:rPr>
          <w:kern w:val="22"/>
          <w:szCs w:val="22"/>
        </w:rPr>
        <w:t>,</w:t>
      </w:r>
      <w:r w:rsidRPr="00A46DF0">
        <w:rPr>
          <w:kern w:val="22"/>
          <w:szCs w:val="22"/>
        </w:rPr>
        <w:t xml:space="preserve"> in order to build on the progress made towards Aichi Biodiversity Target 18 of the Strategic Plan for Biodiversity 2011</w:t>
      </w:r>
      <w:r>
        <w:rPr>
          <w:kern w:val="22"/>
          <w:szCs w:val="22"/>
        </w:rPr>
        <w:t>–</w:t>
      </w:r>
      <w:r w:rsidRPr="00A46DF0">
        <w:rPr>
          <w:kern w:val="22"/>
          <w:szCs w:val="22"/>
        </w:rPr>
        <w:t xml:space="preserve">2020, and to contribute to the corresponding elements in the </w:t>
      </w:r>
      <w:r>
        <w:rPr>
          <w:kern w:val="22"/>
          <w:szCs w:val="22"/>
        </w:rPr>
        <w:t>Kunming-Montreal Global Biodiversity Framework</w:t>
      </w:r>
      <w:r w:rsidRPr="00A46DF0">
        <w:rPr>
          <w:kern w:val="22"/>
          <w:szCs w:val="22"/>
        </w:rPr>
        <w:t>,</w:t>
      </w:r>
      <w:r>
        <w:rPr>
          <w:kern w:val="22"/>
          <w:szCs w:val="22"/>
        </w:rPr>
        <w:t xml:space="preserve"> </w:t>
      </w:r>
    </w:p>
    <w:p w14:paraId="15C786C0" w14:textId="77777777" w:rsidR="00FE6115" w:rsidRPr="00A46DF0" w:rsidRDefault="00FE6115" w:rsidP="00190177">
      <w:pPr>
        <w:suppressLineNumbers/>
        <w:suppressAutoHyphens/>
        <w:spacing w:before="120" w:after="120"/>
        <w:ind w:firstLine="720"/>
        <w:rPr>
          <w:kern w:val="22"/>
          <w:szCs w:val="22"/>
        </w:rPr>
      </w:pPr>
      <w:r w:rsidRPr="00A46DF0">
        <w:rPr>
          <w:kern w:val="22"/>
          <w:szCs w:val="22"/>
        </w:rPr>
        <w:t>1.</w:t>
      </w:r>
      <w:r w:rsidRPr="00A46DF0">
        <w:rPr>
          <w:i/>
          <w:kern w:val="22"/>
          <w:szCs w:val="22"/>
        </w:rPr>
        <w:tab/>
        <w:t>Decides</w:t>
      </w:r>
      <w:r w:rsidRPr="00A46DF0">
        <w:rPr>
          <w:kern w:val="22"/>
          <w:szCs w:val="22"/>
        </w:rPr>
        <w:t xml:space="preserve"> to develop a new programme of work on Article 8(j) and other provisions of the Convention related to indigenous peoples and local communities aligned with the </w:t>
      </w:r>
      <w:r>
        <w:rPr>
          <w:kern w:val="22"/>
          <w:szCs w:val="22"/>
        </w:rPr>
        <w:t>Kunming-Montreal Global Biodiversity Framework</w:t>
      </w:r>
      <w:r w:rsidRPr="00A46DF0">
        <w:rPr>
          <w:kern w:val="22"/>
          <w:szCs w:val="22"/>
        </w:rPr>
        <w:t>, with the full and effective participation of indigenous peoples and local communities, on the basis of annex</w:t>
      </w:r>
      <w:r>
        <w:rPr>
          <w:kern w:val="22"/>
          <w:szCs w:val="22"/>
        </w:rPr>
        <w:t>es</w:t>
      </w:r>
      <w:r w:rsidRPr="00A46DF0">
        <w:rPr>
          <w:kern w:val="22"/>
          <w:szCs w:val="22"/>
        </w:rPr>
        <w:t xml:space="preserve"> I and II</w:t>
      </w:r>
      <w:r w:rsidRPr="00610646">
        <w:rPr>
          <w:rStyle w:val="FootnoteReference"/>
          <w:rFonts w:eastAsiaTheme="majorEastAsia"/>
        </w:rPr>
        <w:footnoteReference w:id="99"/>
      </w:r>
      <w:r w:rsidRPr="00A46DF0">
        <w:rPr>
          <w:kern w:val="22"/>
          <w:szCs w:val="22"/>
        </w:rPr>
        <w:t xml:space="preserve"> to the present decision;</w:t>
      </w:r>
    </w:p>
    <w:p w14:paraId="2289431A" w14:textId="77777777" w:rsidR="00FE6115" w:rsidRPr="00A46DF0" w:rsidRDefault="00FE6115" w:rsidP="00190177">
      <w:pPr>
        <w:suppressLineNumbers/>
        <w:suppressAutoHyphens/>
        <w:spacing w:before="120" w:after="120"/>
        <w:ind w:firstLine="720"/>
        <w:rPr>
          <w:kern w:val="22"/>
          <w:szCs w:val="22"/>
        </w:rPr>
      </w:pPr>
      <w:r w:rsidRPr="00A46DF0">
        <w:rPr>
          <w:kern w:val="22"/>
          <w:szCs w:val="22"/>
        </w:rPr>
        <w:t>2.</w:t>
      </w:r>
      <w:r w:rsidRPr="00A46DF0">
        <w:rPr>
          <w:i/>
          <w:kern w:val="22"/>
          <w:szCs w:val="22"/>
        </w:rPr>
        <w:tab/>
        <w:t>Also decides</w:t>
      </w:r>
      <w:r w:rsidRPr="00A46DF0">
        <w:rPr>
          <w:kern w:val="22"/>
          <w:szCs w:val="22"/>
        </w:rPr>
        <w:t xml:space="preserve"> to keep under review the programme of work on Article 8(j) and related provisions</w:t>
      </w:r>
      <w:r>
        <w:rPr>
          <w:kern w:val="22"/>
          <w:szCs w:val="22"/>
        </w:rPr>
        <w:t>,</w:t>
      </w:r>
      <w:r w:rsidRPr="00A46DF0">
        <w:rPr>
          <w:kern w:val="22"/>
          <w:szCs w:val="22"/>
        </w:rPr>
        <w:t xml:space="preserve"> as needed, and </w:t>
      </w:r>
      <w:r>
        <w:rPr>
          <w:kern w:val="22"/>
          <w:szCs w:val="22"/>
        </w:rPr>
        <w:t xml:space="preserve">to </w:t>
      </w:r>
      <w:r w:rsidRPr="00A46DF0">
        <w:rPr>
          <w:kern w:val="22"/>
          <w:szCs w:val="22"/>
        </w:rPr>
        <w:t xml:space="preserve">reprioritize elements and tasks in order to ensure a programme of work supportive of a human rights approach and coherent with the priorities of the </w:t>
      </w:r>
      <w:r>
        <w:rPr>
          <w:kern w:val="22"/>
          <w:szCs w:val="22"/>
        </w:rPr>
        <w:t>Kunming-Montreal Global Biodiversity F</w:t>
      </w:r>
      <w:r w:rsidRPr="00A46DF0">
        <w:rPr>
          <w:kern w:val="22"/>
          <w:szCs w:val="22"/>
        </w:rPr>
        <w:t xml:space="preserve">ramework, </w:t>
      </w:r>
      <w:r>
        <w:rPr>
          <w:kern w:val="22"/>
          <w:szCs w:val="22"/>
        </w:rPr>
        <w:t xml:space="preserve">and one </w:t>
      </w:r>
      <w:r w:rsidRPr="00C91A1D">
        <w:rPr>
          <w:kern w:val="22"/>
          <w:szCs w:val="22"/>
        </w:rPr>
        <w:t>which takes into account</w:t>
      </w:r>
      <w:r w:rsidRPr="00A46DF0">
        <w:rPr>
          <w:kern w:val="22"/>
          <w:szCs w:val="22"/>
        </w:rPr>
        <w:t xml:space="preserve"> developments in other relevant international forums and organizations;</w:t>
      </w:r>
    </w:p>
    <w:p w14:paraId="06DFFDA3" w14:textId="77777777" w:rsidR="00FE6115" w:rsidRPr="003B78A8" w:rsidRDefault="00FE6115" w:rsidP="00190177">
      <w:pPr>
        <w:suppressLineNumbers/>
        <w:suppressAutoHyphens/>
        <w:spacing w:before="120" w:after="120"/>
        <w:ind w:firstLine="720"/>
        <w:rPr>
          <w:kern w:val="22"/>
          <w:szCs w:val="22"/>
        </w:rPr>
      </w:pPr>
      <w:r w:rsidRPr="00A46DF0">
        <w:rPr>
          <w:kern w:val="22"/>
          <w:szCs w:val="22"/>
        </w:rPr>
        <w:t>3.</w:t>
      </w:r>
      <w:r w:rsidRPr="00A46DF0">
        <w:rPr>
          <w:i/>
          <w:kern w:val="22"/>
          <w:szCs w:val="22"/>
        </w:rPr>
        <w:tab/>
        <w:t xml:space="preserve">Encourages </w:t>
      </w:r>
      <w:r w:rsidRPr="00A46DF0">
        <w:rPr>
          <w:kern w:val="22"/>
          <w:szCs w:val="22"/>
        </w:rPr>
        <w:t>Parties, according to national legislation</w:t>
      </w:r>
      <w:r>
        <w:rPr>
          <w:kern w:val="22"/>
          <w:szCs w:val="22"/>
        </w:rPr>
        <w:t xml:space="preserve"> and international obligations</w:t>
      </w:r>
      <w:r w:rsidRPr="00A46DF0">
        <w:rPr>
          <w:kern w:val="22"/>
          <w:szCs w:val="22"/>
        </w:rPr>
        <w:t>, to increase efforts to facilitate the full and effective participation of indigenous peoples and local communities as on-the-ground partners in the implementation of the Convention, including by recognizing, supporting and valuing their customary laws, collective actions</w:t>
      </w:r>
      <w:r>
        <w:rPr>
          <w:kern w:val="22"/>
          <w:szCs w:val="22"/>
        </w:rPr>
        <w:t>, cosmocentric worldviews and diverse values</w:t>
      </w:r>
      <w:r w:rsidRPr="00A46DF0">
        <w:rPr>
          <w:kern w:val="22"/>
          <w:szCs w:val="22"/>
        </w:rPr>
        <w:t xml:space="preserve">, </w:t>
      </w:r>
      <w:r w:rsidRPr="00ED6535">
        <w:rPr>
          <w:kern w:val="22"/>
          <w:szCs w:val="22"/>
        </w:rPr>
        <w:t>including the efforts</w:t>
      </w:r>
      <w:r w:rsidRPr="00A46DF0">
        <w:rPr>
          <w:kern w:val="22"/>
          <w:szCs w:val="22"/>
        </w:rPr>
        <w:t xml:space="preserve"> </w:t>
      </w:r>
      <w:r>
        <w:rPr>
          <w:kern w:val="22"/>
          <w:szCs w:val="22"/>
        </w:rPr>
        <w:t xml:space="preserve">of indigenous peoples and local communities </w:t>
      </w:r>
      <w:r w:rsidRPr="00171E3D">
        <w:rPr>
          <w:kern w:val="22"/>
          <w:szCs w:val="22"/>
        </w:rPr>
        <w:t>to protect and conserve lands and waters that they traditionally occupy or use towards the goals of the Convention,</w:t>
      </w:r>
      <w:r w:rsidRPr="00A46DF0">
        <w:rPr>
          <w:kern w:val="22"/>
          <w:szCs w:val="22"/>
        </w:rPr>
        <w:t xml:space="preserve"> and engaging them, as appropriate, in the preparation of national reports, in the revision and implementation of national biodiversity </w:t>
      </w:r>
      <w:r w:rsidRPr="003B78A8">
        <w:rPr>
          <w:kern w:val="22"/>
          <w:szCs w:val="22"/>
        </w:rPr>
        <w:t>strategies and action plans, and in the process for implementing the Kunming-Montreal Global Biodiversity Framework;</w:t>
      </w:r>
    </w:p>
    <w:p w14:paraId="5A120ABD" w14:textId="77777777" w:rsidR="00FE6115" w:rsidRPr="00A46DF0" w:rsidRDefault="00FE6115" w:rsidP="00190177">
      <w:pPr>
        <w:suppressLineNumbers/>
        <w:suppressAutoHyphens/>
        <w:spacing w:before="120" w:after="120"/>
        <w:ind w:firstLine="720"/>
        <w:rPr>
          <w:kern w:val="22"/>
          <w:szCs w:val="22"/>
        </w:rPr>
      </w:pPr>
      <w:r w:rsidRPr="003B78A8">
        <w:rPr>
          <w:kern w:val="22"/>
          <w:szCs w:val="22"/>
        </w:rPr>
        <w:lastRenderedPageBreak/>
        <w:t>4</w:t>
      </w:r>
      <w:r w:rsidRPr="003B78A8">
        <w:rPr>
          <w:i/>
          <w:kern w:val="22"/>
          <w:szCs w:val="22"/>
        </w:rPr>
        <w:t>.</w:t>
      </w:r>
      <w:r w:rsidRPr="003B78A8">
        <w:rPr>
          <w:i/>
          <w:kern w:val="22"/>
          <w:szCs w:val="22"/>
        </w:rPr>
        <w:tab/>
        <w:t>Requests</w:t>
      </w:r>
      <w:r w:rsidRPr="003B78A8">
        <w:rPr>
          <w:kern w:val="22"/>
          <w:szCs w:val="22"/>
        </w:rPr>
        <w:t xml:space="preserve"> Parties and other Governments to report on the implementation of the current programme of work on Article 8(j) and </w:t>
      </w:r>
      <w:r>
        <w:rPr>
          <w:kern w:val="22"/>
          <w:szCs w:val="22"/>
        </w:rPr>
        <w:t>related</w:t>
      </w:r>
      <w:r w:rsidRPr="003B78A8">
        <w:rPr>
          <w:kern w:val="22"/>
          <w:szCs w:val="22"/>
        </w:rPr>
        <w:t xml:space="preserve"> provisions</w:t>
      </w:r>
      <w:r>
        <w:rPr>
          <w:kern w:val="22"/>
          <w:szCs w:val="22"/>
        </w:rPr>
        <w:t>, and once adopted, of the new programme of work on Article 8(j) and other provisions</w:t>
      </w:r>
      <w:r w:rsidRPr="003B78A8">
        <w:rPr>
          <w:kern w:val="22"/>
          <w:szCs w:val="22"/>
        </w:rPr>
        <w:t xml:space="preserve"> of the Convention related to indigenous peoples and local communities, as well as on the application of the various voluntary guidelines and standards developed under the aegis of the Ad Hoc Open-ended Inter-sessional Working Group on Article 8(j) and Related Provisions and adopted by the Conference of the Parties, as appropriate, through national reports, and to relevant subsidiary bodies, in order to determine progress made;</w:t>
      </w:r>
    </w:p>
    <w:p w14:paraId="0132DB2B" w14:textId="77777777" w:rsidR="00FE6115" w:rsidRPr="00E7482C" w:rsidRDefault="00FE6115" w:rsidP="00190177">
      <w:pPr>
        <w:suppressLineNumbers/>
        <w:pBdr>
          <w:top w:val="nil"/>
          <w:left w:val="nil"/>
          <w:bottom w:val="nil"/>
          <w:right w:val="nil"/>
          <w:between w:val="nil"/>
        </w:pBdr>
        <w:suppressAutoHyphens/>
        <w:spacing w:before="120" w:after="120"/>
        <w:ind w:firstLine="720"/>
        <w:rPr>
          <w:kern w:val="22"/>
          <w:szCs w:val="22"/>
        </w:rPr>
      </w:pPr>
      <w:r w:rsidRPr="00E7482C">
        <w:rPr>
          <w:kern w:val="22"/>
          <w:szCs w:val="22"/>
        </w:rPr>
        <w:t>5</w:t>
      </w:r>
      <w:r w:rsidRPr="00E7482C">
        <w:rPr>
          <w:i/>
          <w:kern w:val="22"/>
          <w:szCs w:val="22"/>
        </w:rPr>
        <w:t>.</w:t>
      </w:r>
      <w:r w:rsidRPr="00E7482C">
        <w:rPr>
          <w:i/>
          <w:kern w:val="22"/>
          <w:szCs w:val="22"/>
        </w:rPr>
        <w:tab/>
        <w:t>Invites</w:t>
      </w:r>
      <w:r w:rsidRPr="00E7482C">
        <w:rPr>
          <w:b/>
          <w:i/>
          <w:kern w:val="22"/>
          <w:szCs w:val="22"/>
        </w:rPr>
        <w:t xml:space="preserve"> </w:t>
      </w:r>
      <w:r w:rsidRPr="00E7482C">
        <w:rPr>
          <w:kern w:val="22"/>
          <w:szCs w:val="22"/>
        </w:rPr>
        <w:t>Parties, as per decision X/40 B, paragraph 7,</w:t>
      </w:r>
      <w:r w:rsidRPr="00E7482C">
        <w:rPr>
          <w:i/>
          <w:kern w:val="22"/>
          <w:szCs w:val="22"/>
        </w:rPr>
        <w:t xml:space="preserve"> </w:t>
      </w:r>
      <w:r w:rsidRPr="00E7482C">
        <w:rPr>
          <w:kern w:val="22"/>
          <w:szCs w:val="22"/>
        </w:rPr>
        <w:t xml:space="preserve">to consider designating </w:t>
      </w:r>
      <w:r w:rsidRPr="00A46DF0">
        <w:rPr>
          <w:kern w:val="22"/>
          <w:szCs w:val="22"/>
        </w:rPr>
        <w:t>n</w:t>
      </w:r>
      <w:r w:rsidRPr="00E7482C">
        <w:rPr>
          <w:kern w:val="22"/>
          <w:szCs w:val="22"/>
        </w:rPr>
        <w:t xml:space="preserve">ational </w:t>
      </w:r>
      <w:r w:rsidRPr="00A46DF0">
        <w:rPr>
          <w:kern w:val="22"/>
          <w:szCs w:val="22"/>
        </w:rPr>
        <w:t>f</w:t>
      </w:r>
      <w:r w:rsidRPr="00E7482C">
        <w:rPr>
          <w:kern w:val="22"/>
          <w:szCs w:val="22"/>
        </w:rPr>
        <w:t xml:space="preserve">ocal </w:t>
      </w:r>
      <w:r w:rsidRPr="00A46DF0">
        <w:rPr>
          <w:kern w:val="22"/>
          <w:szCs w:val="22"/>
        </w:rPr>
        <w:t>p</w:t>
      </w:r>
      <w:r w:rsidRPr="00E7482C">
        <w:rPr>
          <w:kern w:val="22"/>
          <w:szCs w:val="22"/>
        </w:rPr>
        <w:t xml:space="preserve">oints for Article 8(j) and related provisions in support of existing </w:t>
      </w:r>
      <w:r w:rsidRPr="00A46DF0">
        <w:rPr>
          <w:kern w:val="22"/>
          <w:szCs w:val="22"/>
        </w:rPr>
        <w:t>n</w:t>
      </w:r>
      <w:r w:rsidRPr="00E7482C">
        <w:rPr>
          <w:kern w:val="22"/>
          <w:szCs w:val="22"/>
        </w:rPr>
        <w:t xml:space="preserve">ational </w:t>
      </w:r>
      <w:r w:rsidRPr="00A46DF0">
        <w:rPr>
          <w:kern w:val="22"/>
          <w:szCs w:val="22"/>
        </w:rPr>
        <w:t>f</w:t>
      </w:r>
      <w:r w:rsidRPr="00E7482C">
        <w:rPr>
          <w:kern w:val="22"/>
          <w:szCs w:val="22"/>
        </w:rPr>
        <w:t xml:space="preserve">ocal </w:t>
      </w:r>
      <w:r w:rsidRPr="00A46DF0">
        <w:rPr>
          <w:kern w:val="22"/>
          <w:szCs w:val="22"/>
        </w:rPr>
        <w:t>p</w:t>
      </w:r>
      <w:r w:rsidRPr="00E7482C">
        <w:rPr>
          <w:kern w:val="22"/>
          <w:szCs w:val="22"/>
        </w:rPr>
        <w:t xml:space="preserve">oints, to facilitate and disseminate culturally appropriate communications with indigenous peoples and local community organizations, and to promote the effective development and implementation of the </w:t>
      </w:r>
      <w:r w:rsidRPr="00A46DF0">
        <w:rPr>
          <w:kern w:val="22"/>
          <w:szCs w:val="22"/>
        </w:rPr>
        <w:t>p</w:t>
      </w:r>
      <w:r w:rsidRPr="00E7482C">
        <w:rPr>
          <w:kern w:val="22"/>
          <w:szCs w:val="22"/>
        </w:rPr>
        <w:t xml:space="preserve">rogramme of </w:t>
      </w:r>
      <w:r w:rsidRPr="00A46DF0">
        <w:rPr>
          <w:kern w:val="22"/>
          <w:szCs w:val="22"/>
        </w:rPr>
        <w:t>w</w:t>
      </w:r>
      <w:r w:rsidRPr="00E7482C">
        <w:rPr>
          <w:kern w:val="22"/>
          <w:szCs w:val="22"/>
        </w:rPr>
        <w:t>ork on Article 8(j) and related provisions</w:t>
      </w:r>
      <w:r w:rsidRPr="00A46DF0">
        <w:rPr>
          <w:kern w:val="22"/>
          <w:szCs w:val="22"/>
        </w:rPr>
        <w:t>;</w:t>
      </w:r>
      <w:r w:rsidRPr="00610646">
        <w:rPr>
          <w:rStyle w:val="FootnoteReference"/>
        </w:rPr>
        <w:footnoteReference w:id="100"/>
      </w:r>
    </w:p>
    <w:p w14:paraId="170EA052" w14:textId="77777777" w:rsidR="00FE6115" w:rsidRPr="00E7482C" w:rsidRDefault="00FE6115" w:rsidP="00190177">
      <w:pPr>
        <w:suppressLineNumbers/>
        <w:pBdr>
          <w:top w:val="nil"/>
          <w:left w:val="nil"/>
          <w:bottom w:val="nil"/>
          <w:right w:val="nil"/>
          <w:between w:val="nil"/>
        </w:pBdr>
        <w:suppressAutoHyphens/>
        <w:spacing w:before="120" w:after="120"/>
        <w:ind w:firstLine="720"/>
        <w:rPr>
          <w:kern w:val="22"/>
          <w:szCs w:val="22"/>
        </w:rPr>
      </w:pPr>
      <w:r w:rsidRPr="00E7482C">
        <w:rPr>
          <w:kern w:val="22"/>
          <w:szCs w:val="22"/>
        </w:rPr>
        <w:t>6.</w:t>
      </w:r>
      <w:r w:rsidRPr="00E7482C">
        <w:rPr>
          <w:i/>
          <w:kern w:val="22"/>
          <w:szCs w:val="22"/>
        </w:rPr>
        <w:tab/>
        <w:t>Requests</w:t>
      </w:r>
      <w:r w:rsidRPr="00E7482C">
        <w:rPr>
          <w:kern w:val="22"/>
          <w:szCs w:val="22"/>
        </w:rPr>
        <w:t xml:space="preserve"> the Executive Secretary, subject to the availability of resources, </w:t>
      </w:r>
      <w:r w:rsidRPr="00E7482C" w:rsidDel="00353E2F">
        <w:rPr>
          <w:kern w:val="22"/>
          <w:szCs w:val="22"/>
        </w:rPr>
        <w:t xml:space="preserve">to </w:t>
      </w:r>
      <w:r w:rsidRPr="00E7482C">
        <w:rPr>
          <w:kern w:val="22"/>
          <w:szCs w:val="22"/>
        </w:rPr>
        <w:t xml:space="preserve">strengthen and support the network of national focal points </w:t>
      </w:r>
      <w:r>
        <w:rPr>
          <w:kern w:val="22"/>
          <w:szCs w:val="22"/>
        </w:rPr>
        <w:t>for Article 8(j) and related provisions</w:t>
      </w:r>
      <w:r w:rsidRPr="00E7482C">
        <w:rPr>
          <w:kern w:val="22"/>
          <w:szCs w:val="22"/>
        </w:rPr>
        <w:t xml:space="preserve">, </w:t>
      </w:r>
      <w:r>
        <w:rPr>
          <w:kern w:val="22"/>
          <w:szCs w:val="22"/>
        </w:rPr>
        <w:t xml:space="preserve">as well as of the national focal points to the Convention on Biological Diversity, </w:t>
      </w:r>
      <w:r w:rsidRPr="00E7482C">
        <w:rPr>
          <w:kern w:val="22"/>
          <w:szCs w:val="22"/>
        </w:rPr>
        <w:t xml:space="preserve">enabling them to play a key role at the national level in such areas as (a) national and subnational arrangements for the full and effective participation of </w:t>
      </w:r>
      <w:r w:rsidRPr="00A46DF0">
        <w:rPr>
          <w:kern w:val="22"/>
          <w:szCs w:val="22"/>
        </w:rPr>
        <w:t>indigenous peoples and local communities</w:t>
      </w:r>
      <w:r w:rsidRPr="00E7482C">
        <w:rPr>
          <w:kern w:val="22"/>
          <w:szCs w:val="22"/>
        </w:rPr>
        <w:t>, (b) national arrangements for the protection, preservation and promotion of traditional knowledge and customary sustainable use, with the</w:t>
      </w:r>
      <w:r>
        <w:rPr>
          <w:kern w:val="22"/>
          <w:szCs w:val="22"/>
        </w:rPr>
        <w:t xml:space="preserve"> </w:t>
      </w:r>
      <w:r w:rsidRPr="00E7482C">
        <w:rPr>
          <w:kern w:val="22"/>
          <w:szCs w:val="22"/>
        </w:rPr>
        <w:t>free, prior and informed consent</w:t>
      </w:r>
      <w:r w:rsidRPr="00610646">
        <w:rPr>
          <w:rStyle w:val="FootnoteReference"/>
        </w:rPr>
        <w:footnoteReference w:id="101"/>
      </w:r>
      <w:r>
        <w:rPr>
          <w:kern w:val="22"/>
          <w:szCs w:val="22"/>
        </w:rPr>
        <w:t xml:space="preserve"> </w:t>
      </w:r>
      <w:r w:rsidRPr="00E7482C">
        <w:rPr>
          <w:kern w:val="22"/>
          <w:szCs w:val="22"/>
        </w:rPr>
        <w:t xml:space="preserve">of the holders of that knowledge, (c) facilitating </w:t>
      </w:r>
      <w:r w:rsidRPr="00A46DF0">
        <w:rPr>
          <w:kern w:val="22"/>
          <w:szCs w:val="22"/>
        </w:rPr>
        <w:t xml:space="preserve">the </w:t>
      </w:r>
      <w:r w:rsidRPr="00E7482C">
        <w:rPr>
          <w:kern w:val="22"/>
          <w:szCs w:val="22"/>
        </w:rPr>
        <w:t xml:space="preserve">input of </w:t>
      </w:r>
      <w:r w:rsidRPr="00A46DF0">
        <w:rPr>
          <w:kern w:val="22"/>
          <w:szCs w:val="22"/>
        </w:rPr>
        <w:t>indigenous peoples and local communities</w:t>
      </w:r>
      <w:r w:rsidRPr="00E7482C">
        <w:rPr>
          <w:kern w:val="22"/>
          <w:szCs w:val="22"/>
        </w:rPr>
        <w:t xml:space="preserve"> into the drafting of national reports, and (d) promoting capacity</w:t>
      </w:r>
      <w:r w:rsidRPr="00E7482C">
        <w:rPr>
          <w:kern w:val="22"/>
          <w:szCs w:val="22"/>
        </w:rPr>
        <w:noBreakHyphen/>
        <w:t xml:space="preserve">building </w:t>
      </w:r>
      <w:r>
        <w:rPr>
          <w:kern w:val="22"/>
          <w:szCs w:val="22"/>
        </w:rPr>
        <w:t xml:space="preserve">and development </w:t>
      </w:r>
      <w:r w:rsidRPr="00E7482C">
        <w:rPr>
          <w:kern w:val="22"/>
          <w:szCs w:val="22"/>
        </w:rPr>
        <w:t>for indigenous peoples and local communities at the national and local levels, on issues related to the Convention;</w:t>
      </w:r>
    </w:p>
    <w:p w14:paraId="272916E6" w14:textId="77777777" w:rsidR="00FE6115" w:rsidRPr="00A46DF0" w:rsidRDefault="00FE6115" w:rsidP="00190177">
      <w:pPr>
        <w:suppressLineNumbers/>
        <w:suppressAutoHyphens/>
        <w:spacing w:before="120" w:after="120"/>
        <w:ind w:firstLine="720"/>
        <w:rPr>
          <w:kern w:val="22"/>
          <w:szCs w:val="22"/>
        </w:rPr>
      </w:pPr>
      <w:bookmarkStart w:id="129" w:name="_Hlk21611670"/>
      <w:r w:rsidRPr="00A46DF0">
        <w:rPr>
          <w:kern w:val="22"/>
          <w:szCs w:val="22"/>
        </w:rPr>
        <w:t>7.</w:t>
      </w:r>
      <w:r w:rsidRPr="00A46DF0">
        <w:rPr>
          <w:kern w:val="22"/>
          <w:szCs w:val="22"/>
        </w:rPr>
        <w:tab/>
      </w:r>
      <w:r w:rsidRPr="008D51D8">
        <w:rPr>
          <w:i/>
          <w:kern w:val="22"/>
          <w:szCs w:val="22"/>
        </w:rPr>
        <w:t>R</w:t>
      </w:r>
      <w:r w:rsidRPr="002C6284">
        <w:rPr>
          <w:i/>
          <w:kern w:val="22"/>
          <w:szCs w:val="22"/>
        </w:rPr>
        <w:t>equests</w:t>
      </w:r>
      <w:r w:rsidRPr="008D51D8">
        <w:rPr>
          <w:kern w:val="22"/>
          <w:szCs w:val="22"/>
        </w:rPr>
        <w:t xml:space="preserve"> the Executive Secretary to convene </w:t>
      </w:r>
      <w:r w:rsidRPr="00527575">
        <w:rPr>
          <w:kern w:val="22"/>
          <w:szCs w:val="22"/>
        </w:rPr>
        <w:t xml:space="preserve">an ad hoc technical expert group on indigenous peoples and local communities, and the </w:t>
      </w:r>
      <w:r w:rsidRPr="002C6284">
        <w:rPr>
          <w:kern w:val="22"/>
          <w:szCs w:val="22"/>
        </w:rPr>
        <w:t>Kunming-Montreal</w:t>
      </w:r>
      <w:r w:rsidRPr="00527575">
        <w:rPr>
          <w:kern w:val="22"/>
          <w:szCs w:val="22"/>
        </w:rPr>
        <w:t xml:space="preserve"> </w:t>
      </w:r>
      <w:r w:rsidRPr="002C6284">
        <w:rPr>
          <w:kern w:val="22"/>
          <w:szCs w:val="22"/>
        </w:rPr>
        <w:t>G</w:t>
      </w:r>
      <w:r w:rsidRPr="00527575">
        <w:rPr>
          <w:kern w:val="22"/>
          <w:szCs w:val="22"/>
        </w:rPr>
        <w:t xml:space="preserve">lobal </w:t>
      </w:r>
      <w:r w:rsidRPr="002C6284">
        <w:rPr>
          <w:kern w:val="22"/>
          <w:szCs w:val="22"/>
        </w:rPr>
        <w:t>B</w:t>
      </w:r>
      <w:r w:rsidRPr="00527575">
        <w:rPr>
          <w:kern w:val="22"/>
          <w:szCs w:val="22"/>
        </w:rPr>
        <w:t xml:space="preserve">iodiversity </w:t>
      </w:r>
      <w:r w:rsidRPr="002C6284">
        <w:rPr>
          <w:kern w:val="22"/>
          <w:szCs w:val="22"/>
        </w:rPr>
        <w:t>F</w:t>
      </w:r>
      <w:r w:rsidRPr="00527575">
        <w:rPr>
          <w:kern w:val="22"/>
          <w:szCs w:val="22"/>
        </w:rPr>
        <w:t>ramework</w:t>
      </w:r>
      <w:r w:rsidRPr="008D51D8">
        <w:rPr>
          <w:kern w:val="22"/>
          <w:szCs w:val="22"/>
        </w:rPr>
        <w:t>, subject to availability of financial resources, which should meet prior to the twelfth meeting of the Ad Hoc Open-ended Inter-sessional Working Group on Article 8(j) and Related Provisions, with terms of reference as contained in annex III to the present decision, to provide advice on the further elaboration of the new programme of work on, and the possible institutional arrangements for</w:t>
      </w:r>
      <w:r>
        <w:rPr>
          <w:kern w:val="22"/>
          <w:szCs w:val="22"/>
        </w:rPr>
        <w:t>,</w:t>
      </w:r>
      <w:r w:rsidRPr="008D51D8">
        <w:rPr>
          <w:kern w:val="22"/>
          <w:szCs w:val="22"/>
        </w:rPr>
        <w:t xml:space="preserve"> Article 8(j) and other provisions of the Convention related</w:t>
      </w:r>
      <w:r>
        <w:rPr>
          <w:kern w:val="22"/>
          <w:szCs w:val="22"/>
        </w:rPr>
        <w:t xml:space="preserve"> to indigenous peoples and local communities, including the future modus operandi for the implementation of Article 8(j), considering the possible establishment of a subsidiary body, continuing the working group, or other arrangements</w:t>
      </w:r>
      <w:r w:rsidRPr="00A46DF0">
        <w:rPr>
          <w:kern w:val="22"/>
          <w:szCs w:val="22"/>
        </w:rPr>
        <w:t>;</w:t>
      </w:r>
    </w:p>
    <w:p w14:paraId="6E6041DE" w14:textId="77777777" w:rsidR="00FE6115" w:rsidRPr="00281BA5" w:rsidRDefault="00FE6115" w:rsidP="00190177">
      <w:pPr>
        <w:keepNext/>
        <w:suppressLineNumbers/>
        <w:suppressAutoHyphens/>
        <w:spacing w:before="120" w:after="120"/>
        <w:ind w:firstLine="720"/>
        <w:rPr>
          <w:kern w:val="22"/>
          <w:szCs w:val="22"/>
        </w:rPr>
      </w:pPr>
      <w:r w:rsidRPr="00A46DF0">
        <w:rPr>
          <w:kern w:val="22"/>
          <w:szCs w:val="22"/>
        </w:rPr>
        <w:t>8.</w:t>
      </w:r>
      <w:r w:rsidRPr="00A46DF0">
        <w:rPr>
          <w:kern w:val="22"/>
          <w:szCs w:val="22"/>
        </w:rPr>
        <w:tab/>
      </w:r>
      <w:r w:rsidRPr="00A46DF0">
        <w:rPr>
          <w:i/>
          <w:kern w:val="22"/>
          <w:szCs w:val="22"/>
        </w:rPr>
        <w:t>Requests</w:t>
      </w:r>
      <w:r w:rsidRPr="00A46DF0">
        <w:rPr>
          <w:kern w:val="22"/>
          <w:szCs w:val="22"/>
        </w:rPr>
        <w:t xml:space="preserve"> the Executive Secretary, in consultation with relevant organizations, to support the work of </w:t>
      </w:r>
      <w:r w:rsidRPr="00281BA5">
        <w:rPr>
          <w:kern w:val="22"/>
          <w:szCs w:val="22"/>
        </w:rPr>
        <w:t>the Ad Hoc Technical Expert Group as outlined in paragraph 7;</w:t>
      </w:r>
    </w:p>
    <w:p w14:paraId="7DCBCEB4" w14:textId="77777777" w:rsidR="00FE6115" w:rsidRPr="00A46DF0" w:rsidRDefault="00FE6115" w:rsidP="00190177">
      <w:pPr>
        <w:keepNext/>
        <w:suppressLineNumbers/>
        <w:suppressAutoHyphens/>
        <w:spacing w:before="120" w:after="120"/>
        <w:ind w:firstLine="720"/>
        <w:rPr>
          <w:kern w:val="22"/>
          <w:szCs w:val="22"/>
        </w:rPr>
      </w:pPr>
      <w:r w:rsidRPr="00281BA5">
        <w:rPr>
          <w:kern w:val="22"/>
          <w:szCs w:val="22"/>
        </w:rPr>
        <w:t>9.</w:t>
      </w:r>
      <w:r w:rsidRPr="00281BA5">
        <w:rPr>
          <w:kern w:val="22"/>
          <w:szCs w:val="22"/>
        </w:rPr>
        <w:tab/>
      </w:r>
      <w:r w:rsidRPr="00281BA5">
        <w:rPr>
          <w:i/>
          <w:kern w:val="22"/>
          <w:szCs w:val="22"/>
        </w:rPr>
        <w:t>Decides</w:t>
      </w:r>
      <w:r w:rsidRPr="00281BA5">
        <w:rPr>
          <w:kern w:val="22"/>
          <w:szCs w:val="22"/>
        </w:rPr>
        <w:t xml:space="preserve"> </w:t>
      </w:r>
      <w:r w:rsidRPr="00C05A30">
        <w:rPr>
          <w:kern w:val="22"/>
          <w:szCs w:val="22"/>
        </w:rPr>
        <w:t>to continue</w:t>
      </w:r>
      <w:r w:rsidRPr="00281BA5">
        <w:rPr>
          <w:kern w:val="22"/>
          <w:szCs w:val="22"/>
        </w:rPr>
        <w:t xml:space="preserve"> the </w:t>
      </w:r>
      <w:r w:rsidRPr="00281BA5">
        <w:rPr>
          <w:rFonts w:eastAsia="Batang"/>
          <w:kern w:val="22"/>
          <w:szCs w:val="22"/>
          <w:lang w:eastAsia="ko-KR"/>
        </w:rPr>
        <w:t>Ad Hoc Open-ended Working Group on Article 8(j) and Related Provisions</w:t>
      </w:r>
      <w:r w:rsidRPr="00281BA5">
        <w:rPr>
          <w:kern w:val="22"/>
          <w:szCs w:val="22"/>
        </w:rPr>
        <w:t xml:space="preserve"> until the sixteenth meeting of the Conference of the Parties with the intention to subsequently decide on institutional arrangements</w:t>
      </w:r>
      <w:r>
        <w:rPr>
          <w:kern w:val="22"/>
          <w:szCs w:val="22"/>
        </w:rPr>
        <w:t xml:space="preserve"> and future modus </w:t>
      </w:r>
      <w:r w:rsidRPr="008D51D8">
        <w:rPr>
          <w:kern w:val="22"/>
          <w:szCs w:val="22"/>
        </w:rPr>
        <w:t>operandi for Article 8(j) and other provisions of the Convention related to indigenous peoples and local communities at the sixteenth meeting of the Conference of the Parties;</w:t>
      </w:r>
    </w:p>
    <w:bookmarkEnd w:id="129"/>
    <w:p w14:paraId="550793FC" w14:textId="02943A25" w:rsidR="00FE6115" w:rsidRPr="00A46DF0" w:rsidRDefault="00FE6115" w:rsidP="008049CC">
      <w:pPr>
        <w:suppressLineNumbers/>
        <w:suppressAutoHyphens/>
        <w:spacing w:before="120" w:after="120"/>
        <w:ind w:firstLine="720"/>
        <w:rPr>
          <w:kern w:val="22"/>
          <w:szCs w:val="22"/>
        </w:rPr>
      </w:pPr>
      <w:r w:rsidRPr="00A46DF0">
        <w:rPr>
          <w:kern w:val="22"/>
          <w:szCs w:val="22"/>
        </w:rPr>
        <w:t>10.</w:t>
      </w:r>
      <w:r w:rsidRPr="00A46DF0">
        <w:rPr>
          <w:kern w:val="22"/>
          <w:szCs w:val="22"/>
        </w:rPr>
        <w:tab/>
      </w:r>
      <w:r w:rsidRPr="00A46DF0">
        <w:rPr>
          <w:i/>
          <w:kern w:val="22"/>
          <w:szCs w:val="22"/>
        </w:rPr>
        <w:t>Requests</w:t>
      </w:r>
      <w:r w:rsidRPr="00A46DF0">
        <w:rPr>
          <w:kern w:val="22"/>
          <w:szCs w:val="22"/>
        </w:rPr>
        <w:t xml:space="preserve"> the Ad Hoc Open-ended Working Group on Article 8(j) and Related Provisions</w:t>
      </w:r>
      <w:r>
        <w:rPr>
          <w:kern w:val="22"/>
          <w:szCs w:val="22"/>
        </w:rPr>
        <w:t>,</w:t>
      </w:r>
      <w:r w:rsidRPr="00A46DF0">
        <w:rPr>
          <w:kern w:val="22"/>
          <w:szCs w:val="22"/>
        </w:rPr>
        <w:t xml:space="preserve"> at its twelfth meeting</w:t>
      </w:r>
      <w:r>
        <w:rPr>
          <w:kern w:val="22"/>
          <w:szCs w:val="22"/>
        </w:rPr>
        <w:t>,</w:t>
      </w:r>
      <w:r w:rsidRPr="00A46DF0">
        <w:rPr>
          <w:kern w:val="22"/>
          <w:szCs w:val="22"/>
        </w:rPr>
        <w:t xml:space="preserve"> to further elaborate the </w:t>
      </w:r>
      <w:r w:rsidRPr="00981B0C">
        <w:rPr>
          <w:kern w:val="22"/>
          <w:szCs w:val="22"/>
        </w:rPr>
        <w:t>new</w:t>
      </w:r>
      <w:r w:rsidRPr="00A46DF0">
        <w:rPr>
          <w:kern w:val="22"/>
          <w:szCs w:val="22"/>
        </w:rPr>
        <w:t xml:space="preserve"> programme of work on Article 8(j) and other provisions of the Convention related to indigenous peoples and local communities, taking into account the recommendations of the </w:t>
      </w:r>
      <w:r>
        <w:rPr>
          <w:kern w:val="22"/>
          <w:szCs w:val="22"/>
        </w:rPr>
        <w:t>A</w:t>
      </w:r>
      <w:r w:rsidRPr="00A46DF0">
        <w:rPr>
          <w:kern w:val="22"/>
          <w:szCs w:val="22"/>
        </w:rPr>
        <w:t xml:space="preserve">d </w:t>
      </w:r>
      <w:r>
        <w:rPr>
          <w:kern w:val="22"/>
          <w:szCs w:val="22"/>
        </w:rPr>
        <w:t>H</w:t>
      </w:r>
      <w:r w:rsidRPr="00A46DF0">
        <w:rPr>
          <w:kern w:val="22"/>
          <w:szCs w:val="22"/>
        </w:rPr>
        <w:t xml:space="preserve">oc </w:t>
      </w:r>
      <w:r>
        <w:rPr>
          <w:kern w:val="22"/>
          <w:szCs w:val="22"/>
        </w:rPr>
        <w:t>T</w:t>
      </w:r>
      <w:r w:rsidRPr="00A46DF0">
        <w:rPr>
          <w:kern w:val="22"/>
          <w:szCs w:val="22"/>
        </w:rPr>
        <w:t xml:space="preserve">echnical </w:t>
      </w:r>
      <w:r>
        <w:rPr>
          <w:kern w:val="22"/>
          <w:szCs w:val="22"/>
        </w:rPr>
        <w:t>E</w:t>
      </w:r>
      <w:r w:rsidRPr="00A46DF0">
        <w:rPr>
          <w:kern w:val="22"/>
          <w:szCs w:val="22"/>
        </w:rPr>
        <w:t xml:space="preserve">xpert </w:t>
      </w:r>
      <w:r>
        <w:rPr>
          <w:kern w:val="22"/>
          <w:szCs w:val="22"/>
        </w:rPr>
        <w:t>G</w:t>
      </w:r>
      <w:r w:rsidRPr="00A46DF0">
        <w:rPr>
          <w:kern w:val="22"/>
          <w:szCs w:val="22"/>
        </w:rPr>
        <w:t>roup</w:t>
      </w:r>
      <w:r>
        <w:rPr>
          <w:kern w:val="22"/>
          <w:szCs w:val="22"/>
        </w:rPr>
        <w:t>, for consideration by the Conference of Parties</w:t>
      </w:r>
      <w:r w:rsidRPr="00BD4862">
        <w:rPr>
          <w:kern w:val="22"/>
          <w:szCs w:val="22"/>
        </w:rPr>
        <w:t xml:space="preserve"> </w:t>
      </w:r>
      <w:r>
        <w:rPr>
          <w:kern w:val="22"/>
          <w:szCs w:val="22"/>
        </w:rPr>
        <w:t>at its sixteenth meeting</w:t>
      </w:r>
      <w:r w:rsidRPr="00A46DF0">
        <w:rPr>
          <w:kern w:val="22"/>
          <w:szCs w:val="22"/>
        </w:rPr>
        <w:t>.</w:t>
      </w:r>
    </w:p>
    <w:p w14:paraId="064C06E4" w14:textId="77777777" w:rsidR="00FE6115" w:rsidRPr="002C6284" w:rsidRDefault="00FE6115" w:rsidP="008049CC">
      <w:pPr>
        <w:keepNext/>
        <w:keepLines/>
        <w:suppressLineNumbers/>
        <w:suppressAutoHyphens/>
        <w:jc w:val="center"/>
        <w:rPr>
          <w:i/>
          <w:kern w:val="22"/>
          <w:szCs w:val="22"/>
        </w:rPr>
      </w:pPr>
      <w:bookmarkStart w:id="130" w:name="_Toc118354977"/>
      <w:r w:rsidRPr="002C6284">
        <w:rPr>
          <w:i/>
          <w:kern w:val="22"/>
          <w:szCs w:val="22"/>
        </w:rPr>
        <w:lastRenderedPageBreak/>
        <w:t>Annex I</w:t>
      </w:r>
      <w:bookmarkEnd w:id="130"/>
    </w:p>
    <w:p w14:paraId="2DB1191E" w14:textId="77777777" w:rsidR="00FE6115" w:rsidRPr="002C6284" w:rsidRDefault="00FE6115" w:rsidP="00D04C80">
      <w:pPr>
        <w:pStyle w:val="HEADINGNOTFORTOC"/>
        <w:keepLines/>
        <w:spacing w:before="120"/>
        <w:outlineLvl w:val="9"/>
        <w:rPr>
          <w:bCs/>
          <w:szCs w:val="22"/>
        </w:rPr>
      </w:pPr>
      <w:bookmarkStart w:id="131" w:name="_Toc118354978"/>
      <w:r w:rsidRPr="002C6284">
        <w:rPr>
          <w:szCs w:val="22"/>
        </w:rPr>
        <w:t xml:space="preserve">Draft objectives, general principles, and elements </w:t>
      </w:r>
      <w:sdt>
        <w:sdtPr>
          <w:rPr>
            <w:szCs w:val="22"/>
          </w:rPr>
          <w:tag w:val="goog_rdk_187"/>
          <w:id w:val="1469787831"/>
        </w:sdtPr>
        <w:sdtContent>
          <w:r w:rsidRPr="002C6284">
            <w:rPr>
              <w:szCs w:val="22"/>
            </w:rPr>
            <w:t xml:space="preserve">of work </w:t>
          </w:r>
        </w:sdtContent>
      </w:sdt>
      <w:r w:rsidRPr="002C6284">
        <w:rPr>
          <w:szCs w:val="22"/>
        </w:rPr>
        <w:t>for the new programme of work on Article 8(j) and other provisions of the Convention related to indigenous peoples and local communities</w:t>
      </w:r>
      <w:r w:rsidRPr="002C6284">
        <w:rPr>
          <w:bCs/>
          <w:szCs w:val="22"/>
        </w:rPr>
        <w:t xml:space="preserve"> 2020</w:t>
      </w:r>
      <w:r w:rsidRPr="002C6284">
        <w:rPr>
          <w:bCs/>
          <w:szCs w:val="22"/>
        </w:rPr>
        <w:noBreakHyphen/>
        <w:t>2050</w:t>
      </w:r>
      <w:bookmarkEnd w:id="131"/>
    </w:p>
    <w:p w14:paraId="7E1D67E4" w14:textId="77777777" w:rsidR="00FE6115" w:rsidRPr="002C6284" w:rsidRDefault="00FE6115" w:rsidP="00190177">
      <w:pPr>
        <w:keepNext/>
        <w:suppressLineNumbers/>
        <w:tabs>
          <w:tab w:val="left" w:pos="426"/>
        </w:tabs>
        <w:suppressAutoHyphens/>
        <w:spacing w:before="120" w:after="120"/>
        <w:jc w:val="center"/>
        <w:rPr>
          <w:b/>
          <w:kern w:val="22"/>
          <w:szCs w:val="22"/>
        </w:rPr>
      </w:pPr>
      <w:r w:rsidRPr="002C6284">
        <w:rPr>
          <w:b/>
          <w:kern w:val="22"/>
          <w:szCs w:val="22"/>
        </w:rPr>
        <w:t>I.</w:t>
      </w:r>
      <w:r w:rsidRPr="002C6284">
        <w:rPr>
          <w:b/>
          <w:kern w:val="22"/>
          <w:szCs w:val="22"/>
        </w:rPr>
        <w:tab/>
        <w:t>OBJECTIVE</w:t>
      </w:r>
    </w:p>
    <w:p w14:paraId="4927876B" w14:textId="77777777" w:rsidR="00FE6115" w:rsidRPr="002C6284" w:rsidRDefault="00FE6115" w:rsidP="00190177">
      <w:pPr>
        <w:suppressLineNumbers/>
        <w:suppressAutoHyphens/>
        <w:spacing w:before="120" w:after="120"/>
        <w:rPr>
          <w:kern w:val="22"/>
          <w:szCs w:val="22"/>
        </w:rPr>
      </w:pPr>
      <w:r w:rsidRPr="002C6284">
        <w:rPr>
          <w:kern w:val="22"/>
          <w:szCs w:val="22"/>
        </w:rPr>
        <w:t>1.</w:t>
      </w:r>
      <w:r w:rsidRPr="002C6284">
        <w:rPr>
          <w:kern w:val="22"/>
          <w:szCs w:val="22"/>
        </w:rPr>
        <w:tab/>
        <w:t>The objective of this programme of work is to promote, within the framework of the Convention, a just implementation of Article 8(j) and related provisions at the local, national, regional and international levels and to ensure the full and effective participation of indigenous peoples and local communities at all stages and levels of its implementation, ensuring an ongoing recognition of the unique association that indigenous peoples and local communities have with the Convention and its Protocols.</w:t>
      </w:r>
    </w:p>
    <w:p w14:paraId="0C82FBCD" w14:textId="77777777" w:rsidR="00FE6115" w:rsidRPr="002C6284" w:rsidRDefault="00FE6115" w:rsidP="00190177">
      <w:pPr>
        <w:pStyle w:val="ListParagraph"/>
        <w:keepNext/>
        <w:suppressLineNumbers/>
        <w:tabs>
          <w:tab w:val="left" w:pos="426"/>
        </w:tabs>
        <w:suppressAutoHyphens/>
        <w:spacing w:before="120" w:after="120"/>
        <w:ind w:left="0"/>
        <w:contextualSpacing w:val="0"/>
        <w:jc w:val="center"/>
        <w:rPr>
          <w:b/>
          <w:kern w:val="22"/>
          <w:szCs w:val="22"/>
        </w:rPr>
      </w:pPr>
      <w:r w:rsidRPr="002C6284">
        <w:rPr>
          <w:b/>
          <w:kern w:val="22"/>
          <w:szCs w:val="22"/>
        </w:rPr>
        <w:t>II.</w:t>
      </w:r>
      <w:r w:rsidRPr="002C6284">
        <w:rPr>
          <w:b/>
          <w:kern w:val="22"/>
          <w:szCs w:val="22"/>
        </w:rPr>
        <w:tab/>
        <w:t>GENERAL PRINCIPLES</w:t>
      </w:r>
    </w:p>
    <w:p w14:paraId="1802987B" w14:textId="77777777" w:rsidR="00FE6115" w:rsidRPr="002C6284" w:rsidRDefault="00FE6115" w:rsidP="00190177">
      <w:pPr>
        <w:suppressLineNumbers/>
        <w:suppressAutoHyphens/>
        <w:spacing w:before="120" w:after="120"/>
        <w:rPr>
          <w:kern w:val="22"/>
          <w:szCs w:val="22"/>
        </w:rPr>
      </w:pPr>
      <w:r w:rsidRPr="002C6284">
        <w:rPr>
          <w:kern w:val="22"/>
          <w:szCs w:val="22"/>
        </w:rPr>
        <w:t>2.</w:t>
      </w:r>
      <w:r w:rsidRPr="002C6284">
        <w:rPr>
          <w:kern w:val="22"/>
          <w:szCs w:val="22"/>
        </w:rPr>
        <w:tab/>
        <w:t>Full and effective participation of indigenous peoples and local communities in all stages of the identification and implementation of the elements of the programme of work. Full and effective participation of women and girls from indigenous peoples and local communities in all activities of the programme of work.</w:t>
      </w:r>
    </w:p>
    <w:p w14:paraId="36A05238" w14:textId="77777777" w:rsidR="00FE6115" w:rsidRPr="002C6284" w:rsidRDefault="00FE6115" w:rsidP="00190177">
      <w:pPr>
        <w:suppressLineNumbers/>
        <w:suppressAutoHyphens/>
        <w:spacing w:before="120" w:after="120"/>
        <w:rPr>
          <w:kern w:val="22"/>
          <w:szCs w:val="22"/>
        </w:rPr>
      </w:pPr>
      <w:r w:rsidRPr="002C6284">
        <w:rPr>
          <w:kern w:val="22"/>
          <w:szCs w:val="22"/>
        </w:rPr>
        <w:t>3.</w:t>
      </w:r>
      <w:r w:rsidRPr="002C6284">
        <w:rPr>
          <w:kern w:val="22"/>
          <w:szCs w:val="22"/>
        </w:rPr>
        <w:tab/>
        <w:t xml:space="preserve">Traditional knowledge, innovations and practices should be valued, given the same respect and considered as useful and necessary as other forms of knowledge. </w:t>
      </w:r>
      <w:r w:rsidRPr="002C6284">
        <w:rPr>
          <w:bCs/>
          <w:kern w:val="22"/>
          <w:szCs w:val="22"/>
        </w:rPr>
        <w:t>Genuine collaborations and co-production of knowledge in ways that respect the knowledge generation processes and the integrity of each knowledge system should be promoted. The inclusion of knowledge from the diversity of knowledge systems and practices should be mainstreamed in the development and implementation of biodiversity policies.</w:t>
      </w:r>
    </w:p>
    <w:p w14:paraId="3F7EF646" w14:textId="77777777" w:rsidR="00FE6115" w:rsidRPr="002C6284" w:rsidRDefault="00FE6115" w:rsidP="00190177">
      <w:pPr>
        <w:suppressLineNumbers/>
        <w:suppressAutoHyphens/>
        <w:spacing w:before="120" w:after="120"/>
        <w:rPr>
          <w:kern w:val="22"/>
          <w:szCs w:val="22"/>
        </w:rPr>
      </w:pPr>
      <w:r w:rsidRPr="002C6284">
        <w:rPr>
          <w:kern w:val="22"/>
          <w:szCs w:val="22"/>
        </w:rPr>
        <w:t>4.</w:t>
      </w:r>
      <w:r w:rsidRPr="002C6284">
        <w:rPr>
          <w:kern w:val="22"/>
          <w:szCs w:val="22"/>
        </w:rPr>
        <w:tab/>
        <w:t>A</w:t>
      </w:r>
      <w:r>
        <w:rPr>
          <w:kern w:val="22"/>
          <w:szCs w:val="22"/>
        </w:rPr>
        <w:t>n</w:t>
      </w:r>
      <w:r w:rsidRPr="002C6284">
        <w:rPr>
          <w:kern w:val="22"/>
          <w:szCs w:val="22"/>
        </w:rPr>
        <w:t xml:space="preserve"> holistic approach consistent with the spiritual and cultural values and customary practices of the indigenous peoples and local communities </w:t>
      </w:r>
      <w:r w:rsidRPr="002C6284">
        <w:rPr>
          <w:bCs/>
          <w:kern w:val="22"/>
          <w:szCs w:val="22"/>
        </w:rPr>
        <w:t>recognizing the connection to their territories</w:t>
      </w:r>
      <w:r w:rsidRPr="002C6284">
        <w:rPr>
          <w:kern w:val="22"/>
          <w:szCs w:val="22"/>
        </w:rPr>
        <w:t xml:space="preserve"> and their rights, in accordance with relevant national legislation, to have control over their traditional knowledge, innovations and practices.</w:t>
      </w:r>
    </w:p>
    <w:p w14:paraId="04BAC3A9" w14:textId="77777777" w:rsidR="00FE6115" w:rsidRPr="002C6284" w:rsidRDefault="00FE6115" w:rsidP="00190177">
      <w:pPr>
        <w:suppressLineNumbers/>
        <w:suppressAutoHyphens/>
        <w:spacing w:before="120" w:after="120"/>
        <w:rPr>
          <w:kern w:val="22"/>
          <w:szCs w:val="22"/>
        </w:rPr>
      </w:pPr>
      <w:r w:rsidRPr="002C6284">
        <w:rPr>
          <w:kern w:val="22"/>
          <w:szCs w:val="22"/>
        </w:rPr>
        <w:t>5.</w:t>
      </w:r>
      <w:r w:rsidRPr="002C6284">
        <w:rPr>
          <w:kern w:val="22"/>
          <w:szCs w:val="22"/>
        </w:rPr>
        <w:tab/>
        <w:t>The ecosystem approach is a strategy for the integrated management of land, water and living resources that promotes conservation and sustainable use of biological diversity in an equitable way.</w:t>
      </w:r>
    </w:p>
    <w:p w14:paraId="0BF0D0E9" w14:textId="77777777" w:rsidR="00FE6115" w:rsidRPr="002C6284" w:rsidRDefault="00FE6115" w:rsidP="00190177">
      <w:pPr>
        <w:suppressLineNumbers/>
        <w:suppressAutoHyphens/>
        <w:spacing w:before="120" w:after="120"/>
        <w:rPr>
          <w:kern w:val="22"/>
          <w:szCs w:val="22"/>
        </w:rPr>
      </w:pPr>
      <w:r w:rsidRPr="002C6284">
        <w:rPr>
          <w:kern w:val="22"/>
          <w:szCs w:val="22"/>
        </w:rPr>
        <w:t>6.</w:t>
      </w:r>
      <w:r w:rsidRPr="002C6284">
        <w:rPr>
          <w:kern w:val="22"/>
          <w:szCs w:val="22"/>
        </w:rPr>
        <w:tab/>
        <w:t>Access to traditional knowledge, innovations and practices held by indigenous peoples and local communities should be subject to free, prior and informed consent</w:t>
      </w:r>
      <w:r w:rsidRPr="00610646">
        <w:rPr>
          <w:rStyle w:val="FootnoteReference"/>
        </w:rPr>
        <w:footnoteReference w:id="102"/>
      </w:r>
      <w:r w:rsidRPr="002C6284">
        <w:rPr>
          <w:kern w:val="22"/>
          <w:szCs w:val="22"/>
        </w:rPr>
        <w:t xml:space="preserve"> of indigenous peoples and local communities, depending on national circumstances, and on a fair and equitable sharing of benefits arising from the use and application of such knowledge, innovations and practise based on mutually agreed terms and in accordance with domestic law.</w:t>
      </w:r>
    </w:p>
    <w:p w14:paraId="7A51E072" w14:textId="77777777" w:rsidR="00D04C80" w:rsidRDefault="00FE6115" w:rsidP="002C6284">
      <w:pPr>
        <w:suppressLineNumbers/>
        <w:suppressAutoHyphens/>
        <w:spacing w:before="120" w:after="120"/>
        <w:rPr>
          <w:kern w:val="22"/>
          <w:szCs w:val="22"/>
        </w:rPr>
      </w:pPr>
      <w:r w:rsidRPr="002C6284">
        <w:rPr>
          <w:kern w:val="22"/>
          <w:szCs w:val="22"/>
        </w:rPr>
        <w:t>7.</w:t>
      </w:r>
      <w:r w:rsidRPr="002C6284">
        <w:rPr>
          <w:kern w:val="22"/>
          <w:szCs w:val="22"/>
        </w:rPr>
        <w:tab/>
        <w:t>The implementation of the new programme of work on Article 8(j) will be monitored continuously through the indicators for status and trends in traditional knowledge,</w:t>
      </w:r>
      <w:r w:rsidRPr="00610646">
        <w:rPr>
          <w:rStyle w:val="FootnoteReference"/>
          <w:rFonts w:eastAsiaTheme="majorEastAsia"/>
        </w:rPr>
        <w:footnoteReference w:id="103"/>
      </w:r>
      <w:r w:rsidRPr="002C6284">
        <w:rPr>
          <w:kern w:val="22"/>
          <w:szCs w:val="22"/>
        </w:rPr>
        <w:t xml:space="preserve"> adopted under the earlier programme of work, and their further operationalization will also be continued under the renewed joint programme of work on the links between biological and cultural diversity,</w:t>
      </w:r>
      <w:r w:rsidRPr="00610646">
        <w:rPr>
          <w:rStyle w:val="FootnoteReference"/>
        </w:rPr>
        <w:footnoteReference w:id="104"/>
      </w:r>
      <w:r w:rsidRPr="002C6284">
        <w:rPr>
          <w:kern w:val="22"/>
          <w:szCs w:val="22"/>
        </w:rPr>
        <w:t xml:space="preserve"> including in partnership with the United Nations Educational, Scientific and Cultural Organization, Food and Agriculture Organization of the United Nations (FAO),and other relevant bodies.</w:t>
      </w:r>
      <w:bookmarkStart w:id="132" w:name="_heading=h.2et92p0" w:colFirst="0" w:colLast="0"/>
      <w:bookmarkStart w:id="133" w:name="_Toc118354979"/>
      <w:bookmarkEnd w:id="132"/>
    </w:p>
    <w:p w14:paraId="688BD4E0" w14:textId="77777777" w:rsidR="00FE6115" w:rsidRPr="002C6284" w:rsidRDefault="00FE6115" w:rsidP="00D04C80">
      <w:pPr>
        <w:keepNext/>
        <w:suppressLineNumbers/>
        <w:suppressAutoHyphens/>
        <w:spacing w:before="240"/>
        <w:jc w:val="center"/>
        <w:rPr>
          <w:i/>
          <w:smallCaps/>
          <w:kern w:val="22"/>
          <w:szCs w:val="22"/>
        </w:rPr>
      </w:pPr>
      <w:r w:rsidRPr="002C6284">
        <w:rPr>
          <w:i/>
          <w:smallCaps/>
          <w:kern w:val="22"/>
          <w:szCs w:val="22"/>
        </w:rPr>
        <w:lastRenderedPageBreak/>
        <w:t>A</w:t>
      </w:r>
      <w:r w:rsidRPr="002C6284">
        <w:rPr>
          <w:i/>
          <w:kern w:val="22"/>
          <w:szCs w:val="22"/>
        </w:rPr>
        <w:t>nnex II</w:t>
      </w:r>
      <w:bookmarkEnd w:id="133"/>
    </w:p>
    <w:p w14:paraId="577295E0" w14:textId="77777777" w:rsidR="00FE6115" w:rsidRPr="002C6284" w:rsidRDefault="00FE6115" w:rsidP="00D04C80">
      <w:pPr>
        <w:pStyle w:val="HEADINGNOTFORTOC"/>
        <w:outlineLvl w:val="9"/>
        <w:rPr>
          <w:szCs w:val="22"/>
        </w:rPr>
      </w:pPr>
      <w:bookmarkStart w:id="134" w:name="_Toc118354980"/>
      <w:r w:rsidRPr="002C6284">
        <w:rPr>
          <w:szCs w:val="22"/>
        </w:rPr>
        <w:t>Draft possible elements of the new programme of work on Article 8(j) and other provisions of the Convention related to indigenous peoples and local communities</w:t>
      </w:r>
      <w:bookmarkEnd w:id="134"/>
    </w:p>
    <w:p w14:paraId="61EC9FEB" w14:textId="231A404C" w:rsidR="00FE6115" w:rsidRPr="008E3266" w:rsidRDefault="008E3266" w:rsidP="008E3266">
      <w:pPr>
        <w:pStyle w:val="BodyText"/>
        <w:jc w:val="center"/>
        <w:rPr>
          <w:b/>
          <w:bCs/>
          <w:snapToGrid w:val="0"/>
        </w:rPr>
      </w:pPr>
      <w:r w:rsidRPr="008E3266">
        <w:rPr>
          <w:b/>
          <w:bCs/>
          <w:snapToGrid w:val="0"/>
        </w:rPr>
        <w:t>I.</w:t>
      </w:r>
      <w:r w:rsidRPr="008E3266">
        <w:rPr>
          <w:b/>
          <w:bCs/>
          <w:snapToGrid w:val="0"/>
        </w:rPr>
        <w:tab/>
        <w:t>SUSTAINABLE USE</w:t>
      </w:r>
    </w:p>
    <w:p w14:paraId="4DBFE9A4" w14:textId="77777777" w:rsidR="00FE6115" w:rsidRPr="002C6284" w:rsidRDefault="00FE6115" w:rsidP="00190177">
      <w:pPr>
        <w:suppressLineNumbers/>
        <w:suppressAutoHyphens/>
        <w:spacing w:before="120" w:after="120"/>
        <w:rPr>
          <w:i/>
          <w:kern w:val="22"/>
          <w:szCs w:val="22"/>
        </w:rPr>
      </w:pPr>
      <w:r w:rsidRPr="002C6284">
        <w:rPr>
          <w:i/>
          <w:kern w:val="22"/>
          <w:szCs w:val="22"/>
        </w:rPr>
        <w:t>[To promote the sustainable use of biological diversity, including the customary sustainable use of wildlife and traditional food production practices and agriculture systems</w:t>
      </w:r>
    </w:p>
    <w:p w14:paraId="5673084D" w14:textId="77777777" w:rsidR="00FE6115" w:rsidRPr="002C6284" w:rsidRDefault="00FE6115" w:rsidP="00190177">
      <w:pPr>
        <w:suppressLineNumbers/>
        <w:suppressAutoHyphens/>
        <w:spacing w:before="120" w:after="120"/>
        <w:ind w:hanging="2"/>
        <w:jc w:val="left"/>
        <w:rPr>
          <w:kern w:val="22"/>
          <w:szCs w:val="22"/>
        </w:rPr>
      </w:pPr>
      <w:r w:rsidRPr="002C6284">
        <w:rPr>
          <w:kern w:val="22"/>
          <w:szCs w:val="22"/>
        </w:rPr>
        <w:t>Suggested activities:</w:t>
      </w:r>
    </w:p>
    <w:p w14:paraId="16125601" w14:textId="77777777" w:rsidR="00FE6115" w:rsidRPr="002C6284" w:rsidRDefault="00FE6115" w:rsidP="00190177">
      <w:pPr>
        <w:suppressLineNumbers/>
        <w:suppressAutoHyphens/>
        <w:spacing w:before="120" w:after="120"/>
        <w:ind w:left="426" w:hanging="426"/>
        <w:rPr>
          <w:rFonts w:eastAsia="Calibri"/>
          <w:kern w:val="22"/>
          <w:szCs w:val="22"/>
        </w:rPr>
      </w:pPr>
      <w:r w:rsidRPr="002C6284">
        <w:rPr>
          <w:kern w:val="22"/>
          <w:szCs w:val="22"/>
        </w:rPr>
        <w:t>1.1</w:t>
      </w:r>
      <w:r w:rsidRPr="002C6284">
        <w:rPr>
          <w:rFonts w:eastAsia="Calibri"/>
          <w:kern w:val="22"/>
          <w:szCs w:val="22"/>
        </w:rPr>
        <w:tab/>
        <w:t>Develop voluntary guidelines to incorporate customary sustainable use practices or policies, with the full and effective participation of indigenous peoples and local communities</w:t>
      </w:r>
      <w:r>
        <w:rPr>
          <w:rFonts w:eastAsia="Calibri"/>
          <w:kern w:val="22"/>
          <w:szCs w:val="22"/>
        </w:rPr>
        <w:t>,</w:t>
      </w:r>
      <w:r w:rsidRPr="002C6284">
        <w:rPr>
          <w:rFonts w:eastAsia="Calibri"/>
          <w:kern w:val="22"/>
          <w:szCs w:val="22"/>
        </w:rPr>
        <w:t xml:space="preserve"> as appropriate, into national biodiversity strategies and action plans.</w:t>
      </w:r>
    </w:p>
    <w:p w14:paraId="587A2AA5" w14:textId="77777777" w:rsidR="00FE6115" w:rsidRPr="002C6284" w:rsidRDefault="00FE6115" w:rsidP="00190177">
      <w:pPr>
        <w:suppressLineNumbers/>
        <w:suppressAutoHyphens/>
        <w:spacing w:before="120" w:after="120"/>
        <w:ind w:left="426" w:hanging="426"/>
        <w:rPr>
          <w:rFonts w:eastAsia="Calibri"/>
          <w:kern w:val="22"/>
          <w:szCs w:val="22"/>
        </w:rPr>
      </w:pPr>
      <w:r w:rsidRPr="002C6284">
        <w:rPr>
          <w:kern w:val="22"/>
          <w:szCs w:val="22"/>
        </w:rPr>
        <w:t>1.2</w:t>
      </w:r>
      <w:r w:rsidRPr="002C6284">
        <w:rPr>
          <w:kern w:val="22"/>
          <w:szCs w:val="22"/>
        </w:rPr>
        <w:tab/>
        <w:t>Develop voluntary guidelines to p</w:t>
      </w:r>
      <w:r w:rsidRPr="002C6284">
        <w:rPr>
          <w:rFonts w:eastAsia="Calibri"/>
          <w:kern w:val="22"/>
          <w:szCs w:val="22"/>
        </w:rPr>
        <w:t>romote and strengthen community-based initiatives that support and contribute to the implementation of Article 10(c) and enhance customary sustainable use of biological diversity.</w:t>
      </w:r>
    </w:p>
    <w:p w14:paraId="61C2E451"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1.3</w:t>
      </w:r>
      <w:r w:rsidRPr="002C6284">
        <w:rPr>
          <w:rFonts w:eastAsia="Calibri"/>
          <w:kern w:val="22"/>
          <w:szCs w:val="22"/>
        </w:rPr>
        <w:tab/>
        <w:t xml:space="preserve">Identify </w:t>
      </w:r>
      <w:r w:rsidRPr="002C6284">
        <w:rPr>
          <w:kern w:val="22"/>
          <w:szCs w:val="22"/>
        </w:rPr>
        <w:t xml:space="preserve">and promote </w:t>
      </w:r>
      <w:r w:rsidRPr="002C6284">
        <w:rPr>
          <w:rFonts w:eastAsia="Calibri"/>
          <w:kern w:val="22"/>
          <w:szCs w:val="22"/>
        </w:rPr>
        <w:t>best practices (e.g. case studies, mechanisms, legislation and other appropriate initiatives).</w:t>
      </w:r>
    </w:p>
    <w:p w14:paraId="0CBDD23E"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1.4.</w:t>
      </w:r>
      <w:r w:rsidRPr="002C6284">
        <w:rPr>
          <w:kern w:val="22"/>
          <w:szCs w:val="22"/>
        </w:rPr>
        <w:tab/>
        <w:t>Develop proposals to support indigenous peoples and local communities in on-farm and in situ conservation.</w:t>
      </w:r>
    </w:p>
    <w:p w14:paraId="69374DB1"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1.5</w:t>
      </w:r>
      <w:r w:rsidRPr="002C6284">
        <w:rPr>
          <w:kern w:val="22"/>
          <w:szCs w:val="22"/>
        </w:rPr>
        <w:tab/>
        <w:t>Develop communication, education and public awareness materials on the value and contributions of indigenous, local and traditional food systems, and on these systems and their products and their advantages for human health and biodiversity.</w:t>
      </w:r>
    </w:p>
    <w:p w14:paraId="09AC6FD9"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1.6</w:t>
      </w:r>
      <w:r w:rsidRPr="002C6284">
        <w:rPr>
          <w:kern w:val="22"/>
          <w:szCs w:val="22"/>
        </w:rPr>
        <w:tab/>
        <w:t>In accordance with national legislation and international obligations, encourage indigenous peoples and local communities to register their existing practices with the appropriate international mechanisms and initiatives, such as the Globally Important Agricultural Heritage Systems (GIAHS) of the Food and Agriculture Organization of the United Nations (FAO), as well as the programmes implemented by the United Nations Educational, Scientific and Cultural Organization (UNESCO), and the Satoyama Initiative, to assist in transmission to future generations in appropriate and respectful ways.</w:t>
      </w:r>
    </w:p>
    <w:p w14:paraId="374B8491"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1.7</w:t>
      </w:r>
      <w:r w:rsidRPr="002C6284">
        <w:rPr>
          <w:kern w:val="22"/>
          <w:szCs w:val="22"/>
        </w:rPr>
        <w:tab/>
        <w:t>Develop guidance to promote indigenous concepts of diverse agroforestry systems in areas adjacent to protected areas.]</w:t>
      </w:r>
    </w:p>
    <w:p w14:paraId="67297302" w14:textId="77777777" w:rsidR="00FE6115" w:rsidRPr="002C6284" w:rsidRDefault="00FE6115" w:rsidP="00190177">
      <w:pPr>
        <w:keepNext/>
        <w:spacing w:before="120" w:after="120"/>
        <w:ind w:right="289"/>
        <w:jc w:val="center"/>
        <w:rPr>
          <w:rFonts w:ascii="Times New Roman Bold" w:hAnsi="Times New Roman Bold" w:cs="Times New Roman Bold"/>
          <w:b/>
          <w:bCs/>
          <w:caps/>
          <w:snapToGrid w:val="0"/>
          <w:szCs w:val="22"/>
        </w:rPr>
      </w:pPr>
      <w:r w:rsidRPr="002C6284">
        <w:rPr>
          <w:rFonts w:ascii="Times New Roman Bold" w:hAnsi="Times New Roman Bold" w:cs="Times New Roman Bold"/>
          <w:b/>
          <w:bCs/>
          <w:caps/>
          <w:snapToGrid w:val="0"/>
          <w:szCs w:val="22"/>
        </w:rPr>
        <w:t>II.</w:t>
      </w:r>
      <w:r w:rsidRPr="002C6284">
        <w:rPr>
          <w:rFonts w:ascii="Times New Roman Bold" w:hAnsi="Times New Roman Bold" w:cs="Times New Roman Bold"/>
          <w:b/>
          <w:bCs/>
          <w:caps/>
          <w:snapToGrid w:val="0"/>
          <w:szCs w:val="22"/>
        </w:rPr>
        <w:tab/>
        <w:t>Conservation and restoration</w:t>
      </w:r>
    </w:p>
    <w:p w14:paraId="3C2E06BE" w14:textId="77777777" w:rsidR="00FE6115" w:rsidRPr="002C6284" w:rsidRDefault="00FE6115" w:rsidP="00190177">
      <w:pPr>
        <w:suppressLineNumbers/>
        <w:suppressAutoHyphens/>
        <w:spacing w:before="120" w:after="120"/>
        <w:rPr>
          <w:i/>
          <w:kern w:val="22"/>
          <w:szCs w:val="22"/>
        </w:rPr>
      </w:pPr>
      <w:r w:rsidRPr="002C6284">
        <w:rPr>
          <w:i/>
          <w:kern w:val="22"/>
          <w:szCs w:val="22"/>
        </w:rPr>
        <w:t>[To promote and support the conservation, protection and restoration of biological diversity by indigenous peoples and local communities</w:t>
      </w:r>
    </w:p>
    <w:p w14:paraId="4CC579E5" w14:textId="77777777" w:rsidR="00FE6115" w:rsidRPr="002C6284" w:rsidRDefault="00FE6115" w:rsidP="00190177">
      <w:pPr>
        <w:suppressLineNumbers/>
        <w:suppressAutoHyphens/>
        <w:spacing w:before="120" w:after="120"/>
        <w:ind w:hanging="2"/>
        <w:jc w:val="left"/>
        <w:rPr>
          <w:kern w:val="22"/>
          <w:szCs w:val="22"/>
        </w:rPr>
      </w:pPr>
      <w:r w:rsidRPr="002C6284">
        <w:rPr>
          <w:kern w:val="22"/>
          <w:szCs w:val="22"/>
        </w:rPr>
        <w:t>Suggested activities:</w:t>
      </w:r>
    </w:p>
    <w:p w14:paraId="4EE21BFC" w14:textId="77777777" w:rsidR="00FE6115" w:rsidRPr="002C6284" w:rsidRDefault="00FE6115" w:rsidP="00190177">
      <w:pPr>
        <w:suppressLineNumbers/>
        <w:suppressAutoHyphens/>
        <w:spacing w:before="120" w:after="120"/>
        <w:ind w:left="425" w:hanging="425"/>
        <w:rPr>
          <w:kern w:val="22"/>
          <w:szCs w:val="22"/>
        </w:rPr>
      </w:pPr>
      <w:r w:rsidRPr="002C6284">
        <w:rPr>
          <w:kern w:val="22"/>
          <w:szCs w:val="22"/>
        </w:rPr>
        <w:t>2.1</w:t>
      </w:r>
      <w:r w:rsidRPr="002C6284">
        <w:rPr>
          <w:kern w:val="22"/>
          <w:szCs w:val="22"/>
        </w:rPr>
        <w:tab/>
        <w:t>Develop voluntary guidelines, with the full and effective participation of indigenous peoples and local communities to strengthen the policy framework for community-based conservation, protection and restoration practices led by indigenous peoples and local communities, such as indigenous and community conserved areas (ICCAs) or traditional sacred sites.</w:t>
      </w:r>
    </w:p>
    <w:p w14:paraId="53586B90" w14:textId="77777777" w:rsidR="00FE6115" w:rsidRPr="002C6284" w:rsidRDefault="00FE6115" w:rsidP="00190177">
      <w:pPr>
        <w:suppressLineNumbers/>
        <w:suppressAutoHyphens/>
        <w:spacing w:before="120" w:after="120"/>
        <w:ind w:left="425" w:hanging="425"/>
        <w:rPr>
          <w:kern w:val="22"/>
          <w:szCs w:val="22"/>
        </w:rPr>
      </w:pPr>
      <w:r w:rsidRPr="002C6284">
        <w:rPr>
          <w:kern w:val="22"/>
          <w:szCs w:val="22"/>
        </w:rPr>
        <w:t>2.2</w:t>
      </w:r>
      <w:r w:rsidRPr="002C6284">
        <w:rPr>
          <w:kern w:val="22"/>
          <w:szCs w:val="22"/>
        </w:rPr>
        <w:tab/>
        <w:t>Develop voluntary guidelines to facilitate, as appropriate, the integration of ICCAs into national networks of protected areas by appropriately recognizing ICCA territories and strive for the full and effective participation of indigenous peoples and local communities in protected area management.</w:t>
      </w:r>
    </w:p>
    <w:p w14:paraId="02234510" w14:textId="77777777" w:rsidR="00FE6115" w:rsidRPr="002C6284" w:rsidRDefault="00FE6115" w:rsidP="00190177">
      <w:pPr>
        <w:suppressLineNumbers/>
        <w:suppressAutoHyphens/>
        <w:spacing w:before="120" w:after="120"/>
        <w:ind w:left="425" w:hanging="425"/>
        <w:rPr>
          <w:kern w:val="22"/>
          <w:szCs w:val="22"/>
        </w:rPr>
      </w:pPr>
      <w:r w:rsidRPr="002C6284">
        <w:rPr>
          <w:kern w:val="22"/>
          <w:szCs w:val="22"/>
        </w:rPr>
        <w:t>2.3</w:t>
      </w:r>
      <w:r w:rsidRPr="002C6284">
        <w:rPr>
          <w:kern w:val="22"/>
          <w:szCs w:val="22"/>
        </w:rPr>
        <w:tab/>
        <w:t>Develop voluntary guidelines to promote and support, subject to national legislation, traditional land</w:t>
      </w:r>
      <w:r>
        <w:rPr>
          <w:kern w:val="22"/>
          <w:szCs w:val="22"/>
        </w:rPr>
        <w:noBreakHyphen/>
      </w:r>
      <w:r w:rsidRPr="002C6284">
        <w:rPr>
          <w:kern w:val="22"/>
          <w:szCs w:val="22"/>
        </w:rPr>
        <w:t xml:space="preserve">use change and land tenure by indigenous peoples and local communities and identify and </w:t>
      </w:r>
      <w:r w:rsidRPr="002C6284">
        <w:rPr>
          <w:kern w:val="22"/>
          <w:szCs w:val="22"/>
        </w:rPr>
        <w:lastRenderedPageBreak/>
        <w:t>promote best practices (e.g. case studies, mechanisms, legislation and other appropriate initiatives) and their implementation.</w:t>
      </w:r>
    </w:p>
    <w:p w14:paraId="1E1D30CF" w14:textId="77777777" w:rsidR="00FE6115" w:rsidRPr="002C6284" w:rsidRDefault="00FE6115" w:rsidP="00190177">
      <w:pPr>
        <w:suppressLineNumbers/>
        <w:suppressAutoHyphens/>
        <w:spacing w:before="120" w:after="120"/>
        <w:ind w:left="425" w:hanging="425"/>
        <w:rPr>
          <w:kern w:val="22"/>
          <w:szCs w:val="22"/>
        </w:rPr>
      </w:pPr>
      <w:r w:rsidRPr="002C6284">
        <w:rPr>
          <w:kern w:val="22"/>
          <w:szCs w:val="22"/>
        </w:rPr>
        <w:t>2.4</w:t>
      </w:r>
      <w:r w:rsidRPr="002C6284">
        <w:rPr>
          <w:kern w:val="22"/>
          <w:szCs w:val="22"/>
        </w:rPr>
        <w:tab/>
        <w:t>Promote indigenous peoples and local communities without formal access to land to partner in the conservation, protection and restoration of biodiversity.</w:t>
      </w:r>
    </w:p>
    <w:p w14:paraId="60E63F4E" w14:textId="6611D7FC" w:rsidR="00FE6115" w:rsidRPr="002C6284" w:rsidRDefault="00FE6115" w:rsidP="00190177">
      <w:pPr>
        <w:suppressLineNumbers/>
        <w:suppressAutoHyphens/>
        <w:spacing w:before="120" w:after="120"/>
        <w:ind w:left="425" w:hanging="425"/>
        <w:rPr>
          <w:kern w:val="22"/>
          <w:szCs w:val="22"/>
        </w:rPr>
      </w:pPr>
      <w:r w:rsidRPr="002C6284">
        <w:rPr>
          <w:kern w:val="22"/>
          <w:szCs w:val="22"/>
        </w:rPr>
        <w:t>2.5</w:t>
      </w:r>
      <w:r w:rsidRPr="002C6284">
        <w:rPr>
          <w:kern w:val="22"/>
          <w:szCs w:val="22"/>
        </w:rPr>
        <w:tab/>
        <w:t xml:space="preserve">Develop voluntary guidelines to operationalize the indicator on </w:t>
      </w:r>
      <w:hyperlink r:id="rId24" w:history="1">
        <w:r w:rsidRPr="002C6284">
          <w:rPr>
            <w:kern w:val="22"/>
            <w:szCs w:val="22"/>
            <w:lang w:eastAsia="en-GB"/>
          </w:rPr>
          <w:t>land-use change and land tenure</w:t>
        </w:r>
        <w:r w:rsidRPr="00610646">
          <w:rPr>
            <w:rStyle w:val="FootnoteReference"/>
            <w:rFonts w:eastAsiaTheme="majorEastAsia"/>
          </w:rPr>
          <w:footnoteReference w:id="105"/>
        </w:r>
        <w:r w:rsidRPr="002C6284">
          <w:rPr>
            <w:kern w:val="22"/>
            <w:szCs w:val="22"/>
            <w:lang w:eastAsia="en-GB"/>
          </w:rPr>
          <w:t xml:space="preserve"> in the lands and waters of indigenous peoples and local communities</w:t>
        </w:r>
      </w:hyperlink>
      <w:r w:rsidRPr="002C6284">
        <w:rPr>
          <w:kern w:val="22"/>
          <w:szCs w:val="22"/>
        </w:rPr>
        <w:t>, traditionally used or occupied as appropriate, including by mapping existing ICCAs, documenting legislation and recognition of indigenous peoples land tenure rights and collective actions of indigenous peoples and local communities contributing to the protection of biodiversity, and report on progress made.]</w:t>
      </w:r>
    </w:p>
    <w:p w14:paraId="7C177676" w14:textId="77777777" w:rsidR="00FE6115" w:rsidRPr="002C6284" w:rsidRDefault="00FE6115" w:rsidP="00190177">
      <w:pPr>
        <w:keepNext/>
        <w:spacing w:before="120" w:after="120"/>
        <w:ind w:right="289"/>
        <w:jc w:val="center"/>
        <w:rPr>
          <w:rFonts w:ascii="Times New Roman Bold" w:hAnsi="Times New Roman Bold" w:cs="Times New Roman Bold"/>
          <w:b/>
          <w:bCs/>
          <w:caps/>
          <w:snapToGrid w:val="0"/>
          <w:szCs w:val="22"/>
        </w:rPr>
      </w:pPr>
      <w:r w:rsidRPr="002C6284">
        <w:rPr>
          <w:rFonts w:ascii="Times New Roman Bold" w:hAnsi="Times New Roman Bold" w:cs="Times New Roman Bold"/>
          <w:b/>
          <w:bCs/>
          <w:caps/>
          <w:snapToGrid w:val="0"/>
          <w:szCs w:val="22"/>
        </w:rPr>
        <w:t>III.</w:t>
      </w:r>
      <w:r w:rsidRPr="002C6284">
        <w:rPr>
          <w:rFonts w:ascii="Times New Roman Bold" w:hAnsi="Times New Roman Bold" w:cs="Times New Roman Bold"/>
          <w:b/>
          <w:bCs/>
          <w:caps/>
          <w:snapToGrid w:val="0"/>
          <w:szCs w:val="22"/>
        </w:rPr>
        <w:tab/>
        <w:t>Sharing of benefits from genetic resources</w:t>
      </w:r>
    </w:p>
    <w:p w14:paraId="2B2898FC" w14:textId="77777777" w:rsidR="00FE6115" w:rsidRPr="002C6284" w:rsidRDefault="00FE6115" w:rsidP="00190177">
      <w:pPr>
        <w:suppressLineNumbers/>
        <w:suppressAutoHyphens/>
        <w:spacing w:before="120" w:after="120"/>
        <w:rPr>
          <w:i/>
          <w:kern w:val="22"/>
          <w:szCs w:val="22"/>
        </w:rPr>
      </w:pPr>
      <w:r w:rsidRPr="002C6284">
        <w:rPr>
          <w:i/>
          <w:kern w:val="22"/>
          <w:szCs w:val="22"/>
        </w:rPr>
        <w:t>[To promote the fair and equitable sharing of benefits arising from the use of genetic resources associated with traditional knowledge</w:t>
      </w:r>
    </w:p>
    <w:p w14:paraId="4F81C8CC" w14:textId="77777777" w:rsidR="00FE6115" w:rsidRPr="002C6284" w:rsidRDefault="00FE6115" w:rsidP="00190177">
      <w:pPr>
        <w:suppressLineNumbers/>
        <w:suppressAutoHyphens/>
        <w:spacing w:before="120" w:after="120"/>
        <w:ind w:hanging="2"/>
        <w:jc w:val="left"/>
        <w:rPr>
          <w:kern w:val="22"/>
          <w:szCs w:val="22"/>
        </w:rPr>
      </w:pPr>
      <w:r w:rsidRPr="002C6284">
        <w:rPr>
          <w:kern w:val="22"/>
          <w:szCs w:val="22"/>
        </w:rPr>
        <w:t>Suggested activities:</w:t>
      </w:r>
    </w:p>
    <w:p w14:paraId="41011E5D"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3.1</w:t>
      </w:r>
      <w:r w:rsidRPr="002C6284">
        <w:rPr>
          <w:kern w:val="22"/>
          <w:szCs w:val="22"/>
        </w:rPr>
        <w:tab/>
        <w:t>Develop voluntary guidelines and mechanisms to support Parties</w:t>
      </w:r>
      <w:r>
        <w:rPr>
          <w:kern w:val="22"/>
          <w:szCs w:val="22"/>
        </w:rPr>
        <w:t>,</w:t>
      </w:r>
      <w:r w:rsidRPr="002C6284">
        <w:rPr>
          <w:kern w:val="22"/>
          <w:szCs w:val="22"/>
        </w:rPr>
        <w:t xml:space="preserve"> as appropriate, in the implementation of the Nagoya Protocol on Access to Genetic Resources and the Fair and Equitable Sharing of Benefits Arising from their Utilization to the Convention on Biological Diversity, regarding the traditional knowledge of indigenous peoples and local communities through capacity-building (regarding prior and informed consent (PIC), mutually agreed terms (MAT), and equitable sharing of benefits and biocultural community protocols</w:t>
      </w:r>
      <w:r>
        <w:rPr>
          <w:kern w:val="22"/>
          <w:szCs w:val="22"/>
        </w:rPr>
        <w:t>,</w:t>
      </w:r>
      <w:r w:rsidRPr="002C6284">
        <w:rPr>
          <w:kern w:val="22"/>
          <w:szCs w:val="22"/>
        </w:rPr>
        <w:t xml:space="preserve"> as well as through legal, policy, or technical assistance, in accordance with national legislation.</w:t>
      </w:r>
    </w:p>
    <w:p w14:paraId="62F6B0F9"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3.2</w:t>
      </w:r>
      <w:r w:rsidRPr="002C6284">
        <w:rPr>
          <w:kern w:val="22"/>
          <w:szCs w:val="22"/>
        </w:rPr>
        <w:tab/>
        <w:t xml:space="preserve">Promote and strengthen programmes aimed at </w:t>
      </w:r>
      <w:r w:rsidRPr="002C6284">
        <w:rPr>
          <w:kern w:val="22"/>
          <w:szCs w:val="22"/>
          <w:lang w:val="en-US"/>
        </w:rPr>
        <w:t>valorization</w:t>
      </w:r>
      <w:r w:rsidRPr="002C6284">
        <w:rPr>
          <w:kern w:val="22"/>
          <w:szCs w:val="22"/>
        </w:rPr>
        <w:t xml:space="preserve"> of genetic resources associated with traditional knowledge.</w:t>
      </w:r>
    </w:p>
    <w:p w14:paraId="2CF01C78"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3.3</w:t>
      </w:r>
      <w:r w:rsidRPr="002C6284">
        <w:rPr>
          <w:kern w:val="22"/>
          <w:szCs w:val="22"/>
        </w:rPr>
        <w:tab/>
        <w:t>Promote and support programmes aimed at ensuring the development of databanks/databases on the use of genetic resources associated with traditional knowledge.</w:t>
      </w:r>
    </w:p>
    <w:p w14:paraId="12810389"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3.4</w:t>
      </w:r>
      <w:r w:rsidRPr="002C6284">
        <w:rPr>
          <w:kern w:val="22"/>
          <w:szCs w:val="22"/>
        </w:rPr>
        <w:tab/>
        <w:t>Promote programmes that encourage collaboration and partnerships between indigenous peoples and local communities and the users of genetic resources associated with traditional knowledge.</w:t>
      </w:r>
    </w:p>
    <w:p w14:paraId="7A714D5F"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3.5</w:t>
      </w:r>
      <w:r w:rsidRPr="002C6284">
        <w:rPr>
          <w:kern w:val="22"/>
          <w:szCs w:val="22"/>
        </w:rPr>
        <w:tab/>
        <w:t xml:space="preserve">Identify opportunities for capacity development for indigenous peoples and local communities and for dialogue with external stakeholders, taking into account the cultural and organizational contexts, and adjusted to </w:t>
      </w:r>
      <w:r w:rsidRPr="002C6284">
        <w:rPr>
          <w:iCs/>
          <w:kern w:val="22"/>
          <w:szCs w:val="22"/>
        </w:rPr>
        <w:t>sui generis</w:t>
      </w:r>
      <w:r w:rsidRPr="002C6284">
        <w:rPr>
          <w:kern w:val="22"/>
          <w:szCs w:val="22"/>
        </w:rPr>
        <w:t xml:space="preserve"> governance structures.</w:t>
      </w:r>
    </w:p>
    <w:p w14:paraId="67B234F6"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3.6</w:t>
      </w:r>
      <w:r w:rsidRPr="002C6284">
        <w:rPr>
          <w:kern w:val="22"/>
          <w:szCs w:val="22"/>
        </w:rPr>
        <w:tab/>
        <w:t>Identify opportunities for capacity development for indigenous peoples and local communities, and create platforms for information exchange between indigenous peoples and local communities and Parties, as well as for dialogue with external stakeholders.]</w:t>
      </w:r>
    </w:p>
    <w:p w14:paraId="3AA6C085" w14:textId="77777777" w:rsidR="00FE6115" w:rsidRPr="002C6284" w:rsidRDefault="00FE6115" w:rsidP="00190177">
      <w:pPr>
        <w:keepNext/>
        <w:spacing w:before="120" w:after="120"/>
        <w:ind w:right="289"/>
        <w:jc w:val="center"/>
        <w:rPr>
          <w:rFonts w:ascii="Times New Roman Bold" w:hAnsi="Times New Roman Bold" w:cs="Times New Roman Bold"/>
          <w:b/>
          <w:bCs/>
          <w:caps/>
          <w:snapToGrid w:val="0"/>
          <w:szCs w:val="22"/>
        </w:rPr>
      </w:pPr>
      <w:r w:rsidRPr="002C6284">
        <w:rPr>
          <w:rFonts w:ascii="Times New Roman Bold" w:hAnsi="Times New Roman Bold" w:cs="Times New Roman Bold"/>
          <w:b/>
          <w:bCs/>
          <w:caps/>
          <w:snapToGrid w:val="0"/>
          <w:szCs w:val="22"/>
        </w:rPr>
        <w:t>IV.</w:t>
      </w:r>
      <w:r w:rsidRPr="002C6284">
        <w:rPr>
          <w:rFonts w:ascii="Times New Roman Bold" w:hAnsi="Times New Roman Bold" w:cs="Times New Roman Bold"/>
          <w:b/>
          <w:bCs/>
          <w:caps/>
          <w:snapToGrid w:val="0"/>
          <w:szCs w:val="22"/>
        </w:rPr>
        <w:tab/>
        <w:t>Knowledge and culture</w:t>
      </w:r>
    </w:p>
    <w:p w14:paraId="2A349186" w14:textId="77777777" w:rsidR="00FE6115" w:rsidRPr="002C6284" w:rsidRDefault="00FE6115" w:rsidP="00190177">
      <w:pPr>
        <w:suppressLineNumbers/>
        <w:suppressAutoHyphens/>
        <w:spacing w:before="120" w:after="120"/>
        <w:rPr>
          <w:i/>
          <w:kern w:val="22"/>
          <w:szCs w:val="22"/>
        </w:rPr>
      </w:pPr>
      <w:r w:rsidRPr="002C6284">
        <w:rPr>
          <w:i/>
          <w:kern w:val="22"/>
          <w:szCs w:val="22"/>
        </w:rPr>
        <w:t>[To support the transmission of traditional knowledge and ensure that traditional knowledge and other knowledge systems are valued equally</w:t>
      </w:r>
    </w:p>
    <w:p w14:paraId="3DBF880A" w14:textId="77777777" w:rsidR="00FE6115" w:rsidRPr="002C6284" w:rsidRDefault="00FE6115" w:rsidP="00190177">
      <w:pPr>
        <w:suppressLineNumbers/>
        <w:suppressAutoHyphens/>
        <w:spacing w:before="120" w:after="120"/>
        <w:jc w:val="left"/>
        <w:rPr>
          <w:kern w:val="22"/>
          <w:szCs w:val="22"/>
        </w:rPr>
      </w:pPr>
      <w:r w:rsidRPr="002C6284">
        <w:rPr>
          <w:kern w:val="22"/>
          <w:szCs w:val="22"/>
        </w:rPr>
        <w:t>Suggested activities:</w:t>
      </w:r>
    </w:p>
    <w:p w14:paraId="77D2B09C"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4.1</w:t>
      </w:r>
      <w:r w:rsidRPr="002C6284">
        <w:rPr>
          <w:kern w:val="22"/>
          <w:szCs w:val="22"/>
        </w:rPr>
        <w:tab/>
        <w:t xml:space="preserve">Develop proposals to support indigenous peoples and local communities, to strengthen the transmission and use of traditional knowledge, including by enabling them to explore collection, recording, documentation, storage and ways and means for the dissemination of indigenous and local knowledge, through secure indigenous knowledge systems’ documentation centres, and strengthen the use and transmission of traditional knowledge to future generations, including for the goals of the Convention and to contribute to other international processes, with “prior and informed consent”, </w:t>
      </w:r>
      <w:r w:rsidRPr="002C6284">
        <w:rPr>
          <w:kern w:val="22"/>
          <w:szCs w:val="22"/>
        </w:rPr>
        <w:lastRenderedPageBreak/>
        <w:t>“free, prior and informed consent”, or “approval and involvement” of indigenous peoples and local communities depending on national circumstances.</w:t>
      </w:r>
    </w:p>
    <w:p w14:paraId="68CE4DBA"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4.2</w:t>
      </w:r>
      <w:r w:rsidRPr="002C6284">
        <w:rPr>
          <w:kern w:val="22"/>
          <w:szCs w:val="22"/>
        </w:rPr>
        <w:tab/>
        <w:t>Promote the Joint Programme of Work on the Links Between Biological and Cultural Diversity (nature and cultures).</w:t>
      </w:r>
      <w:r w:rsidRPr="00610646">
        <w:rPr>
          <w:rStyle w:val="FootnoteReference"/>
        </w:rPr>
        <w:footnoteReference w:id="106"/>
      </w:r>
    </w:p>
    <w:p w14:paraId="4D88B88E"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4.3</w:t>
      </w:r>
      <w:r w:rsidRPr="002C6284">
        <w:rPr>
          <w:kern w:val="22"/>
          <w:szCs w:val="22"/>
        </w:rPr>
        <w:tab/>
        <w:t>Promote the inclusion of traditional knowledge and indigenous and local knowledge systems as equally valid in the work of the Subsidiary Body on Scientific, Technical and Technological Advice.</w:t>
      </w:r>
    </w:p>
    <w:p w14:paraId="111CED37"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4.4</w:t>
      </w:r>
      <w:r w:rsidRPr="002C6284">
        <w:rPr>
          <w:kern w:val="22"/>
          <w:szCs w:val="22"/>
        </w:rPr>
        <w:tab/>
        <w:t>Develop voluntary guidelines to promote the mainstreaming of inclusion of traditional knowledge, as an equally valid part of the broader mainstreaming of biodiversity across society and sectors of production, as well as other relevant global processes, including the Sustainable Development Goals.]</w:t>
      </w:r>
    </w:p>
    <w:p w14:paraId="1DC5115A" w14:textId="77777777" w:rsidR="00FE6115" w:rsidRPr="002C6284" w:rsidRDefault="00FE6115" w:rsidP="00190177">
      <w:pPr>
        <w:keepNext/>
        <w:spacing w:before="120" w:after="120"/>
        <w:ind w:left="1418" w:right="289" w:hanging="709"/>
        <w:jc w:val="left"/>
        <w:rPr>
          <w:rFonts w:ascii="Times New Roman Bold" w:hAnsi="Times New Roman Bold" w:cs="Times New Roman Bold"/>
          <w:b/>
          <w:bCs/>
          <w:caps/>
          <w:snapToGrid w:val="0"/>
          <w:szCs w:val="22"/>
        </w:rPr>
      </w:pPr>
      <w:r w:rsidRPr="002C6284">
        <w:rPr>
          <w:rFonts w:ascii="Times New Roman Bold" w:hAnsi="Times New Roman Bold" w:cs="Times New Roman Bold"/>
          <w:b/>
          <w:bCs/>
          <w:caps/>
          <w:snapToGrid w:val="0"/>
          <w:szCs w:val="22"/>
        </w:rPr>
        <w:t>V.</w:t>
      </w:r>
      <w:r w:rsidRPr="002C6284">
        <w:rPr>
          <w:rFonts w:ascii="Times New Roman Bold" w:hAnsi="Times New Roman Bold" w:cs="Times New Roman Bold"/>
          <w:b/>
          <w:bCs/>
          <w:caps/>
          <w:snapToGrid w:val="0"/>
          <w:szCs w:val="22"/>
        </w:rPr>
        <w:tab/>
        <w:t>Protection of indigenous peoples and local communities and traditional knowledge innovations and practices, including through application of guidelines and standards, and further advancement of Article 8(j) and related provisions</w:t>
      </w:r>
    </w:p>
    <w:p w14:paraId="2C377048"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[5.1</w:t>
      </w:r>
      <w:r w:rsidRPr="002C6284">
        <w:rPr>
          <w:kern w:val="22"/>
          <w:szCs w:val="22"/>
        </w:rPr>
        <w:tab/>
        <w:t>In accordance with national legislation and with the full and effective participation of indigenous peoples and local communities</w:t>
      </w:r>
      <w:r>
        <w:rPr>
          <w:kern w:val="22"/>
          <w:szCs w:val="22"/>
        </w:rPr>
        <w:t>,</w:t>
      </w:r>
      <w:r w:rsidRPr="002C6284">
        <w:rPr>
          <w:kern w:val="22"/>
          <w:szCs w:val="22"/>
        </w:rPr>
        <w:t xml:space="preserve"> promote the application and monitoring of the following:</w:t>
      </w:r>
    </w:p>
    <w:p w14:paraId="65DB31AD" w14:textId="77777777" w:rsidR="00FE6115" w:rsidRPr="002C6284" w:rsidRDefault="00FE6115" w:rsidP="00190177">
      <w:pPr>
        <w:suppressLineNumbers/>
        <w:suppressAutoHyphens/>
        <w:spacing w:before="120" w:after="120"/>
        <w:ind w:left="992" w:hanging="425"/>
        <w:rPr>
          <w:kern w:val="22"/>
          <w:szCs w:val="22"/>
        </w:rPr>
      </w:pPr>
      <w:r w:rsidRPr="002C6284">
        <w:rPr>
          <w:kern w:val="22"/>
          <w:szCs w:val="22"/>
        </w:rPr>
        <w:t>(a)</w:t>
      </w:r>
      <w:r w:rsidRPr="002C6284">
        <w:rPr>
          <w:kern w:val="22"/>
          <w:szCs w:val="22"/>
        </w:rPr>
        <w:tab/>
        <w:t>The Akwé: Kon Voluntary Guidelines for the conduct of cultural, environmental and social impact assessments regarding developments proposed to take place on, or which are likely to impact on, sacred sites and lands and waters traditionally occupied or used by indigenous and local communities;</w:t>
      </w:r>
      <w:r w:rsidRPr="00610646">
        <w:rPr>
          <w:rStyle w:val="FootnoteReference"/>
        </w:rPr>
        <w:footnoteReference w:id="107"/>
      </w:r>
    </w:p>
    <w:p w14:paraId="250DAA8B" w14:textId="77777777" w:rsidR="00FE6115" w:rsidRPr="002C6284" w:rsidRDefault="00FE6115" w:rsidP="00190177">
      <w:pPr>
        <w:suppressLineNumbers/>
        <w:suppressAutoHyphens/>
        <w:spacing w:before="120" w:after="120"/>
        <w:ind w:left="992" w:hanging="425"/>
        <w:rPr>
          <w:kern w:val="22"/>
          <w:szCs w:val="22"/>
        </w:rPr>
      </w:pPr>
      <w:r w:rsidRPr="002C6284">
        <w:rPr>
          <w:kern w:val="22"/>
          <w:szCs w:val="22"/>
        </w:rPr>
        <w:t>(b)</w:t>
      </w:r>
      <w:r w:rsidRPr="002C6284">
        <w:rPr>
          <w:kern w:val="22"/>
          <w:szCs w:val="22"/>
        </w:rPr>
        <w:tab/>
        <w:t>The Tkarihwaié: ri Code of Ethical Conduct to Ensure Respect for the Cultural and Intellectual Heritage of Indigenous and Local Communities;</w:t>
      </w:r>
      <w:r w:rsidRPr="00610646">
        <w:rPr>
          <w:rStyle w:val="FootnoteReference"/>
        </w:rPr>
        <w:footnoteReference w:id="108"/>
      </w:r>
    </w:p>
    <w:p w14:paraId="1854512B" w14:textId="77777777" w:rsidR="00FE6115" w:rsidRPr="002C6284" w:rsidRDefault="00FE6115" w:rsidP="00190177">
      <w:pPr>
        <w:suppressLineNumbers/>
        <w:suppressAutoHyphens/>
        <w:spacing w:before="120" w:after="120"/>
        <w:ind w:left="992" w:hanging="425"/>
        <w:rPr>
          <w:kern w:val="22"/>
          <w:szCs w:val="22"/>
        </w:rPr>
      </w:pPr>
      <w:r w:rsidRPr="002C6284">
        <w:rPr>
          <w:kern w:val="22"/>
          <w:szCs w:val="22"/>
        </w:rPr>
        <w:t>(c)</w:t>
      </w:r>
      <w:r w:rsidRPr="002C6284">
        <w:rPr>
          <w:kern w:val="22"/>
          <w:szCs w:val="22"/>
        </w:rPr>
        <w:tab/>
        <w:t>The Global Plan of Action on the Customary Sustainable Use of Biological Diversity;</w:t>
      </w:r>
      <w:r w:rsidRPr="00610646">
        <w:rPr>
          <w:rStyle w:val="FootnoteReference"/>
        </w:rPr>
        <w:footnoteReference w:id="109"/>
      </w:r>
    </w:p>
    <w:p w14:paraId="75BA9AB6" w14:textId="77777777" w:rsidR="00FE6115" w:rsidRPr="002C6284" w:rsidRDefault="00FE6115" w:rsidP="00190177">
      <w:pPr>
        <w:suppressLineNumbers/>
        <w:suppressAutoHyphens/>
        <w:spacing w:before="120" w:after="120"/>
        <w:ind w:left="992" w:hanging="425"/>
        <w:rPr>
          <w:kern w:val="22"/>
          <w:szCs w:val="22"/>
        </w:rPr>
      </w:pPr>
      <w:r w:rsidRPr="002C6284">
        <w:rPr>
          <w:kern w:val="22"/>
          <w:szCs w:val="22"/>
        </w:rPr>
        <w:t>(d)</w:t>
      </w:r>
      <w:r w:rsidRPr="002C6284">
        <w:rPr>
          <w:kern w:val="22"/>
          <w:szCs w:val="22"/>
        </w:rPr>
        <w:tab/>
        <w:t>The Mo’otz kuxtal</w:t>
      </w:r>
      <w:r w:rsidRPr="00610646">
        <w:rPr>
          <w:rStyle w:val="FootnoteReference"/>
        </w:rPr>
        <w:footnoteReference w:id="110"/>
      </w:r>
      <w:r w:rsidRPr="002C6284">
        <w:rPr>
          <w:smallCaps/>
          <w:kern w:val="22"/>
          <w:szCs w:val="22"/>
        </w:rPr>
        <w:t xml:space="preserve"> </w:t>
      </w:r>
      <w:r w:rsidRPr="002C6284">
        <w:rPr>
          <w:kern w:val="22"/>
          <w:szCs w:val="22"/>
        </w:rPr>
        <w:t>Voluntary Guidelines</w:t>
      </w:r>
      <w:r w:rsidRPr="002C6284">
        <w:rPr>
          <w:smallCaps/>
          <w:kern w:val="22"/>
          <w:szCs w:val="22"/>
        </w:rPr>
        <w:t xml:space="preserve"> </w:t>
      </w:r>
      <w:r w:rsidRPr="002C6284">
        <w:rPr>
          <w:kern w:val="22"/>
          <w:szCs w:val="22"/>
        </w:rPr>
        <w:t>for the development of mechanisms, legislation, or other appropriate initiatives to ensure the “prior and informed consent”, “free, prior and informed consent” or “approval and involvement”, depending on national circumstances, of indigenous peoples and local communities</w:t>
      </w:r>
      <w:r w:rsidRPr="00610646">
        <w:rPr>
          <w:rStyle w:val="FootnoteReference"/>
        </w:rPr>
        <w:footnoteReference w:id="111"/>
      </w:r>
      <w:r w:rsidRPr="002C6284">
        <w:rPr>
          <w:kern w:val="22"/>
          <w:szCs w:val="22"/>
        </w:rPr>
        <w:t xml:space="preserve"> for accessing their knowledge, innovations and practices, for fair and equitable sharing of benefits</w:t>
      </w:r>
      <w:r w:rsidRPr="002C6284">
        <w:rPr>
          <w:smallCaps/>
          <w:kern w:val="22"/>
          <w:szCs w:val="22"/>
        </w:rPr>
        <w:t xml:space="preserve"> </w:t>
      </w:r>
      <w:r w:rsidRPr="002C6284">
        <w:rPr>
          <w:kern w:val="22"/>
          <w:szCs w:val="22"/>
        </w:rPr>
        <w:t>arising from the use of their knowledge, innovations and</w:t>
      </w:r>
      <w:r w:rsidRPr="002C6284">
        <w:rPr>
          <w:smallCaps/>
          <w:kern w:val="22"/>
          <w:szCs w:val="22"/>
        </w:rPr>
        <w:t xml:space="preserve"> </w:t>
      </w:r>
      <w:r w:rsidRPr="002C6284">
        <w:rPr>
          <w:kern w:val="22"/>
          <w:szCs w:val="22"/>
        </w:rPr>
        <w:t>practices relevant for the conservation and sustainable use</w:t>
      </w:r>
      <w:r w:rsidRPr="002C6284">
        <w:rPr>
          <w:smallCaps/>
          <w:kern w:val="22"/>
          <w:szCs w:val="22"/>
        </w:rPr>
        <w:t xml:space="preserve"> </w:t>
      </w:r>
      <w:r w:rsidRPr="002C6284">
        <w:rPr>
          <w:kern w:val="22"/>
          <w:szCs w:val="22"/>
        </w:rPr>
        <w:t>of</w:t>
      </w:r>
      <w:r w:rsidRPr="002C6284">
        <w:rPr>
          <w:smallCaps/>
          <w:kern w:val="22"/>
          <w:szCs w:val="22"/>
        </w:rPr>
        <w:t xml:space="preserve"> </w:t>
      </w:r>
      <w:r w:rsidRPr="002C6284">
        <w:rPr>
          <w:kern w:val="22"/>
          <w:szCs w:val="22"/>
        </w:rPr>
        <w:t>biological diversity, and for reporting and preventing unlawful</w:t>
      </w:r>
      <w:r w:rsidRPr="002C6284">
        <w:rPr>
          <w:smallCaps/>
          <w:kern w:val="22"/>
          <w:szCs w:val="22"/>
        </w:rPr>
        <w:t xml:space="preserve"> </w:t>
      </w:r>
      <w:r w:rsidRPr="002C6284">
        <w:rPr>
          <w:kern w:val="22"/>
          <w:szCs w:val="22"/>
        </w:rPr>
        <w:t>appropriation of traditional knowledge;</w:t>
      </w:r>
      <w:r w:rsidRPr="00610646">
        <w:rPr>
          <w:rStyle w:val="FootnoteReference"/>
        </w:rPr>
        <w:footnoteReference w:id="112"/>
      </w:r>
    </w:p>
    <w:p w14:paraId="12CE2BE2" w14:textId="77777777" w:rsidR="00FE6115" w:rsidRPr="002C6284" w:rsidRDefault="00FE6115" w:rsidP="00190177">
      <w:pPr>
        <w:suppressLineNumbers/>
        <w:suppressAutoHyphens/>
        <w:spacing w:before="120" w:after="120"/>
        <w:ind w:left="992" w:hanging="425"/>
        <w:rPr>
          <w:kern w:val="22"/>
          <w:szCs w:val="22"/>
        </w:rPr>
      </w:pPr>
      <w:r w:rsidRPr="002C6284">
        <w:rPr>
          <w:kern w:val="22"/>
          <w:szCs w:val="22"/>
        </w:rPr>
        <w:t>(e)</w:t>
      </w:r>
      <w:r w:rsidRPr="002C6284">
        <w:rPr>
          <w:kern w:val="22"/>
          <w:szCs w:val="22"/>
        </w:rPr>
        <w:tab/>
        <w:t>The Rutzolijirisaxik Voluntary Guidelines for the Repatriation of Traditional Knowledge Relevant for the Conservation and Sustainable Use of Biological Diversity.</w:t>
      </w:r>
      <w:r w:rsidRPr="00610646">
        <w:rPr>
          <w:rStyle w:val="FootnoteReference"/>
        </w:rPr>
        <w:footnoteReference w:id="113"/>
      </w:r>
    </w:p>
    <w:p w14:paraId="0A764902" w14:textId="77777777" w:rsidR="00FE6115" w:rsidRPr="002C6284" w:rsidRDefault="00FE6115" w:rsidP="00190177">
      <w:pPr>
        <w:suppressLineNumbers/>
        <w:suppressAutoHyphens/>
        <w:spacing w:before="120" w:after="120"/>
        <w:ind w:left="425"/>
        <w:rPr>
          <w:kern w:val="22"/>
          <w:szCs w:val="22"/>
        </w:rPr>
      </w:pPr>
      <w:r w:rsidRPr="002C6284">
        <w:rPr>
          <w:kern w:val="22"/>
          <w:szCs w:val="22"/>
        </w:rPr>
        <w:lastRenderedPageBreak/>
        <w:t>Consider the promotion of other principles, standards and guidelines within the context of the Convention on Biological Diversity.</w:t>
      </w:r>
    </w:p>
    <w:p w14:paraId="76DB8546"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5.2</w:t>
      </w:r>
      <w:r w:rsidRPr="002C6284">
        <w:rPr>
          <w:kern w:val="22"/>
          <w:szCs w:val="22"/>
        </w:rPr>
        <w:tab/>
        <w:t>Promote the implementation of the Gender Plan of Action, as appropriate, emphasizing the effective participation of indigenous peoples and local communities, and taking into account the special role of gender in the generation, transmission and protection of traditional knowledge, in accordance with national realities, circumstances and capacities.</w:t>
      </w:r>
      <w:r w:rsidRPr="00610646">
        <w:rPr>
          <w:rStyle w:val="FootnoteReference"/>
          <w:rFonts w:eastAsiaTheme="majorEastAsia"/>
        </w:rPr>
        <w:footnoteReference w:id="114"/>
      </w:r>
    </w:p>
    <w:p w14:paraId="5E94CD6E"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5.3</w:t>
      </w:r>
      <w:r w:rsidRPr="002C6284">
        <w:rPr>
          <w:kern w:val="22"/>
          <w:szCs w:val="22"/>
        </w:rPr>
        <w:tab/>
        <w:t>Explore, in collaboration with the United Nations Inter-Agency Support Group on Indigenous Peoples’ Issues and appropriate agencies, ways to recognize, support and promote, as appropriate, traditional land tenure and secure land tenure for indigenous peoples and local communities.</w:t>
      </w:r>
      <w:r w:rsidRPr="00610646">
        <w:rPr>
          <w:rStyle w:val="FootnoteReference"/>
        </w:rPr>
        <w:footnoteReference w:id="115"/>
      </w:r>
    </w:p>
    <w:p w14:paraId="0D99F0AC"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5.4</w:t>
      </w:r>
      <w:r w:rsidRPr="002C6284">
        <w:rPr>
          <w:kern w:val="22"/>
          <w:szCs w:val="22"/>
        </w:rPr>
        <w:tab/>
        <w:t>Explore, in collaboration with the United Nations Inter-Agency Support Group on Indigenous Peoples’ Issues and appropriate agencies, ways to promote a human rights-based approach in conservation efforts.</w:t>
      </w:r>
    </w:p>
    <w:p w14:paraId="65B2A5B0"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 xml:space="preserve">5.5 </w:t>
      </w:r>
      <w:r w:rsidRPr="002C6284">
        <w:rPr>
          <w:kern w:val="22"/>
          <w:szCs w:val="22"/>
        </w:rPr>
        <w:tab/>
        <w:t>Explore, in collaboration with the United Nations Inter-Agency Support Group on Indigenous Peoples’ Issues and appropriate agencies, ways to protect environmental defenders from arbitrary persecution, through appropriate mechanisms at the national and international levels.</w:t>
      </w:r>
      <w:r w:rsidRPr="00610646">
        <w:rPr>
          <w:rStyle w:val="FootnoteReference"/>
        </w:rPr>
        <w:footnoteReference w:id="116"/>
      </w:r>
    </w:p>
    <w:p w14:paraId="118B3B6A" w14:textId="77777777" w:rsidR="00FE6115" w:rsidRPr="002C6284" w:rsidRDefault="00FE6115" w:rsidP="00190177">
      <w:pPr>
        <w:suppressLineNumbers/>
        <w:suppressAutoHyphens/>
        <w:spacing w:before="120" w:after="120"/>
        <w:ind w:left="426" w:hanging="426"/>
        <w:rPr>
          <w:spacing w:val="-2"/>
          <w:kern w:val="22"/>
          <w:szCs w:val="22"/>
        </w:rPr>
      </w:pPr>
      <w:r w:rsidRPr="002C6284">
        <w:rPr>
          <w:spacing w:val="-2"/>
          <w:kern w:val="22"/>
          <w:szCs w:val="22"/>
        </w:rPr>
        <w:t>5.6</w:t>
      </w:r>
      <w:r w:rsidRPr="002C6284">
        <w:rPr>
          <w:spacing w:val="-2"/>
          <w:kern w:val="22"/>
          <w:szCs w:val="22"/>
        </w:rPr>
        <w:tab/>
        <w:t>Building on the guidelines and standards</w:t>
      </w:r>
      <w:r w:rsidRPr="00610646">
        <w:rPr>
          <w:rStyle w:val="FootnoteReference"/>
          <w:rFonts w:eastAsiaTheme="majorEastAsia"/>
        </w:rPr>
        <w:footnoteReference w:id="117"/>
      </w:r>
      <w:r w:rsidRPr="002C6284">
        <w:rPr>
          <w:spacing w:val="-2"/>
          <w:kern w:val="22"/>
          <w:szCs w:val="22"/>
        </w:rPr>
        <w:t xml:space="preserve"> aimed at the national level, the previous work on sui generis systems, and taking into account the safeguards framework, the Ad Hoc Open-ended Working Group on  Article 8(j) and Related Provisions, to develop a comprehensive safeguards framework (decisions XII/3 and 14/15) for indigenous peoples and local communities and the promotion and management of their traditional knowledge, innovations and practices related to the conservation of biological diversity and the sustainable use of its components with the effective participation of indigenous peoples and local communities.]</w:t>
      </w:r>
    </w:p>
    <w:p w14:paraId="25730942" w14:textId="77777777" w:rsidR="00FE6115" w:rsidRPr="002C6284" w:rsidRDefault="00FE6115" w:rsidP="00190177">
      <w:pPr>
        <w:keepNext/>
        <w:spacing w:before="120" w:after="120"/>
        <w:ind w:left="1134" w:right="289" w:hanging="708"/>
        <w:jc w:val="left"/>
        <w:rPr>
          <w:rFonts w:ascii="Times New Roman Bold" w:hAnsi="Times New Roman Bold" w:cs="Times New Roman Bold"/>
          <w:b/>
          <w:bCs/>
          <w:caps/>
          <w:snapToGrid w:val="0"/>
          <w:szCs w:val="22"/>
        </w:rPr>
      </w:pPr>
      <w:r w:rsidRPr="002C6284">
        <w:rPr>
          <w:rFonts w:ascii="Times New Roman Bold" w:hAnsi="Times New Roman Bold" w:cs="Times New Roman Bold"/>
          <w:b/>
          <w:bCs/>
          <w:caps/>
          <w:snapToGrid w:val="0"/>
          <w:szCs w:val="22"/>
        </w:rPr>
        <w:t>VI.</w:t>
      </w:r>
      <w:r w:rsidRPr="002C6284">
        <w:rPr>
          <w:rFonts w:ascii="Times New Roman Bold" w:hAnsi="Times New Roman Bold" w:cs="Times New Roman Bold"/>
          <w:b/>
          <w:bCs/>
          <w:caps/>
          <w:snapToGrid w:val="0"/>
          <w:szCs w:val="22"/>
        </w:rPr>
        <w:tab/>
        <w:t>Full and effective participation of indigenous peoples and local communities</w:t>
      </w:r>
    </w:p>
    <w:p w14:paraId="4936E1D9"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[6.1</w:t>
      </w:r>
      <w:r w:rsidRPr="002C6284">
        <w:rPr>
          <w:kern w:val="22"/>
          <w:szCs w:val="22"/>
        </w:rPr>
        <w:tab/>
        <w:t>Facilitate the full and effective participation of indigenous peoples and local communities in the work of the Convention on Biological Diversity, regarding their traditional knowledge, innovations and practices relevant for the conservation and sustainable use of biological diversity including through implementing the enhanced participation mechanisms used by the Ad Hoc Open-ended Working Group on Article 8(j) and Related Provisions</w:t>
      </w:r>
      <w:r>
        <w:rPr>
          <w:kern w:val="22"/>
          <w:szCs w:val="22"/>
        </w:rPr>
        <w:t>,</w:t>
      </w:r>
      <w:r w:rsidRPr="002C6284">
        <w:rPr>
          <w:kern w:val="22"/>
          <w:szCs w:val="22"/>
        </w:rPr>
        <w:t xml:space="preserve"> and by maintaining the voluntary funding mechanism to support their effective participation in meetings held under the Convention and its Protocols.</w:t>
      </w:r>
    </w:p>
    <w:p w14:paraId="59831680"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6.2</w:t>
      </w:r>
      <w:r w:rsidRPr="002C6284">
        <w:rPr>
          <w:kern w:val="22"/>
          <w:szCs w:val="22"/>
        </w:rPr>
        <w:tab/>
        <w:t>Parties, according to the national legislation, to promote full and effective participation and engagement of indigenous peoples and local communities in the development of national reports, and in the development, revision and implementation of national biodiversity strategies and action plans (NBSAPs), and to strengthen partnerships with indigenous peoples and local communities, recognizing their collective actions, for implementation of the Convention.</w:t>
      </w:r>
    </w:p>
    <w:p w14:paraId="15031015"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6.3</w:t>
      </w:r>
      <w:r w:rsidRPr="002C6284">
        <w:rPr>
          <w:kern w:val="22"/>
          <w:szCs w:val="22"/>
        </w:rPr>
        <w:tab/>
        <w:t xml:space="preserve">Collaborate with other relevant global processes, including but not limited to the United Nations Permanent Forum on Indigenous Issues (UNPFII), the United Nations Expert Mechanism on the Rights of Indigenous Peoples (EMRIP), the World Intellectual Property Organization (WIPO), the United Nations Educational, Scientific and Cultural Organization (UNESCO), the Intergovernmental Science-Policy Platform on Biodiversity and Ecosystem Services (IPBES), the Intergovernmental Panel on Climate Change (IPCC), and the United Nations Framework Convention on Climate Change </w:t>
      </w:r>
      <w:r w:rsidRPr="002C6284">
        <w:rPr>
          <w:kern w:val="22"/>
          <w:szCs w:val="22"/>
        </w:rPr>
        <w:lastRenderedPageBreak/>
        <w:t>(UNFCCC) with its recently established Local Communities and Indigenous Peoples Platform, as well as the International Union for Conservation of Nature (IUCN).</w:t>
      </w:r>
    </w:p>
    <w:p w14:paraId="318CB877" w14:textId="1C1F7BFF" w:rsidR="00FE6115" w:rsidRPr="002C6284" w:rsidRDefault="00FE6115" w:rsidP="00190177">
      <w:pPr>
        <w:suppressLineNumbers/>
        <w:suppressAutoHyphens/>
        <w:spacing w:before="120" w:after="120"/>
        <w:ind w:left="426" w:hanging="426"/>
        <w:rPr>
          <w:spacing w:val="-4"/>
          <w:kern w:val="22"/>
          <w:szCs w:val="22"/>
        </w:rPr>
      </w:pPr>
      <w:r w:rsidRPr="002C6284">
        <w:rPr>
          <w:spacing w:val="-4"/>
          <w:kern w:val="22"/>
          <w:szCs w:val="22"/>
        </w:rPr>
        <w:t>6.4</w:t>
      </w:r>
      <w:r w:rsidRPr="002C6284">
        <w:rPr>
          <w:spacing w:val="-4"/>
          <w:kern w:val="22"/>
          <w:szCs w:val="22"/>
        </w:rPr>
        <w:tab/>
        <w:t>Report to the Secretary-General of the United Nations on matters falling within the mandate of the Convention on Biological Diversity in accordance with the</w:t>
      </w:r>
      <w:r w:rsidRPr="002C6284">
        <w:rPr>
          <w:rStyle w:val="Hyperlink"/>
          <w:color w:val="3366FF"/>
          <w:spacing w:val="-4"/>
          <w:kern w:val="22"/>
          <w:sz w:val="22"/>
          <w:szCs w:val="22"/>
        </w:rPr>
        <w:t xml:space="preserve"> </w:t>
      </w:r>
      <w:hyperlink r:id="rId25" w:history="1">
        <w:r w:rsidRPr="002C6284">
          <w:rPr>
            <w:rStyle w:val="Hyperlink"/>
            <w:color w:val="3366FF"/>
            <w:spacing w:val="-4"/>
            <w:kern w:val="22"/>
            <w:sz w:val="22"/>
            <w:szCs w:val="22"/>
          </w:rPr>
          <w:t>System-Wide Action Plan for ensuring a coherent approach to achieving the ends of the United Nations Declaration on the Rights of Indigenous Peoples</w:t>
        </w:r>
      </w:hyperlink>
      <w:r w:rsidRPr="002C6284">
        <w:rPr>
          <w:rStyle w:val="Hyperlink"/>
          <w:color w:val="3366FF"/>
          <w:spacing w:val="-4"/>
          <w:kern w:val="22"/>
          <w:sz w:val="22"/>
          <w:szCs w:val="22"/>
        </w:rPr>
        <w:t xml:space="preserve"> (</w:t>
      </w:r>
      <w:hyperlink r:id="rId26" w:history="1">
        <w:r w:rsidRPr="002C6284">
          <w:rPr>
            <w:rStyle w:val="Hyperlink"/>
            <w:spacing w:val="-4"/>
            <w:kern w:val="22"/>
            <w:sz w:val="22"/>
            <w:szCs w:val="22"/>
          </w:rPr>
          <w:t>E/C.19/2016/5</w:t>
        </w:r>
      </w:hyperlink>
      <w:r w:rsidRPr="002C6284">
        <w:rPr>
          <w:rStyle w:val="Hyperlink"/>
          <w:color w:val="3366FF"/>
          <w:spacing w:val="-4"/>
          <w:kern w:val="22"/>
          <w:sz w:val="22"/>
          <w:szCs w:val="22"/>
        </w:rPr>
        <w:t>)</w:t>
      </w:r>
      <w:r w:rsidRPr="002C6284">
        <w:rPr>
          <w:spacing w:val="-4"/>
          <w:kern w:val="22"/>
          <w:szCs w:val="22"/>
        </w:rPr>
        <w:t>.</w:t>
      </w:r>
    </w:p>
    <w:p w14:paraId="7E8D87F7" w14:textId="27BDEF06" w:rsidR="00FE6115" w:rsidRPr="002C6284" w:rsidRDefault="00FE6115" w:rsidP="00190177">
      <w:pPr>
        <w:suppressLineNumbers/>
        <w:suppressAutoHyphens/>
        <w:spacing w:before="120" w:after="120"/>
        <w:ind w:left="426" w:hanging="426"/>
        <w:rPr>
          <w:kern w:val="22"/>
          <w:szCs w:val="22"/>
        </w:rPr>
      </w:pPr>
      <w:r w:rsidRPr="002C6284">
        <w:rPr>
          <w:kern w:val="22"/>
          <w:szCs w:val="22"/>
        </w:rPr>
        <w:t>6.5</w:t>
      </w:r>
      <w:r w:rsidRPr="002C6284">
        <w:rPr>
          <w:kern w:val="22"/>
          <w:szCs w:val="22"/>
        </w:rPr>
        <w:tab/>
        <w:t xml:space="preserve">Explore, in collaboration with Parties and indigenous peoples and local communities and other engaged actors, how the methodological guidance for identifying, monitoring and assessing the contribution of the collective actions of indigenous peoples and local communities, through the resource mobilization reporting framework, can best be applied, including the use of qualitative values and methods as requested by the Conference of the Parties in </w:t>
      </w:r>
      <w:hyperlink r:id="rId27" w:history="1">
        <w:r w:rsidRPr="002C6284">
          <w:rPr>
            <w:rStyle w:val="Hyperlink"/>
            <w:color w:val="3366FF"/>
            <w:kern w:val="22"/>
            <w:sz w:val="22"/>
            <w:szCs w:val="22"/>
          </w:rPr>
          <w:t>decision 14/16</w:t>
        </w:r>
      </w:hyperlink>
      <w:r w:rsidRPr="002C6284">
        <w:rPr>
          <w:kern w:val="22"/>
          <w:szCs w:val="22"/>
        </w:rPr>
        <w:t>;</w:t>
      </w:r>
    </w:p>
    <w:p w14:paraId="16A60DA9" w14:textId="77777777" w:rsidR="00FE6115" w:rsidRPr="002C6284" w:rsidRDefault="00FE6115" w:rsidP="00190177">
      <w:pPr>
        <w:suppressLineNumbers/>
        <w:suppressAutoHyphens/>
        <w:spacing w:before="120" w:after="120"/>
        <w:ind w:left="426" w:hanging="426"/>
        <w:rPr>
          <w:kern w:val="22"/>
          <w:szCs w:val="22"/>
        </w:rPr>
      </w:pPr>
      <w:r w:rsidRPr="002C6284">
        <w:rPr>
          <w:kern w:val="22"/>
          <w:szCs w:val="22"/>
        </w:rPr>
        <w:t>6.6</w:t>
      </w:r>
      <w:r w:rsidRPr="002C6284">
        <w:rPr>
          <w:kern w:val="22"/>
          <w:szCs w:val="22"/>
        </w:rPr>
        <w:tab/>
        <w:t>Explore ways and means, partnerships and opportunities to mobilize financial resources for on-the-ground implementation of the Convention by indigenous peoples and local communities, as well as to contribute to other international processes.]</w:t>
      </w:r>
    </w:p>
    <w:p w14:paraId="33E67121" w14:textId="77777777" w:rsidR="00FE6115" w:rsidRPr="002C6284" w:rsidRDefault="00FE6115" w:rsidP="00471DDC">
      <w:pPr>
        <w:keepNext/>
        <w:keepLines/>
        <w:suppressLineNumbers/>
        <w:suppressAutoHyphens/>
        <w:spacing w:after="120"/>
        <w:jc w:val="center"/>
        <w:rPr>
          <w:i/>
          <w:kern w:val="22"/>
          <w:szCs w:val="22"/>
        </w:rPr>
      </w:pPr>
      <w:bookmarkStart w:id="135" w:name="_Toc118354981"/>
      <w:r w:rsidRPr="002C6284">
        <w:rPr>
          <w:i/>
          <w:kern w:val="22"/>
          <w:szCs w:val="22"/>
        </w:rPr>
        <w:t>Annex III</w:t>
      </w:r>
      <w:bookmarkEnd w:id="135"/>
    </w:p>
    <w:p w14:paraId="2A8EBEC1" w14:textId="77777777" w:rsidR="00FE6115" w:rsidRPr="002C6284" w:rsidRDefault="00FE6115" w:rsidP="00D60F7C">
      <w:pPr>
        <w:keepNext/>
        <w:keepLines/>
        <w:suppressLineNumbers/>
        <w:suppressAutoHyphens/>
        <w:spacing w:before="120" w:after="120"/>
        <w:jc w:val="center"/>
        <w:rPr>
          <w:rFonts w:ascii="Times New Roman Bold" w:hAnsi="Times New Roman Bold"/>
          <w:b/>
          <w:caps/>
          <w:kern w:val="22"/>
          <w:szCs w:val="22"/>
        </w:rPr>
      </w:pPr>
      <w:bookmarkStart w:id="136" w:name="_Toc118354982"/>
      <w:r w:rsidRPr="002C6284">
        <w:rPr>
          <w:rFonts w:ascii="Times New Roman Bold" w:hAnsi="Times New Roman Bold"/>
          <w:b/>
          <w:caps/>
          <w:kern w:val="22"/>
          <w:szCs w:val="22"/>
          <w:lang w:eastAsia="x-none"/>
        </w:rPr>
        <w:t xml:space="preserve">Terms of reference for the Ad Hoc Technical Expert Group on </w:t>
      </w:r>
      <w:r w:rsidRPr="002C6284">
        <w:rPr>
          <w:rFonts w:ascii="Times New Roman Bold" w:hAnsi="Times New Roman Bold"/>
          <w:b/>
          <w:caps/>
          <w:kern w:val="22"/>
          <w:szCs w:val="22"/>
          <w:lang w:val="en-US"/>
        </w:rPr>
        <w:t xml:space="preserve">the </w:t>
      </w:r>
      <w:r w:rsidRPr="002C6284">
        <w:rPr>
          <w:rFonts w:ascii="Times New Roman Bold" w:hAnsi="Times New Roman Bold"/>
          <w:b/>
          <w:caps/>
          <w:kern w:val="22"/>
          <w:szCs w:val="22"/>
        </w:rPr>
        <w:t>New Programme of Work and Institutional Arrangements on Article</w:t>
      </w:r>
      <w:r w:rsidRPr="002C6284">
        <w:rPr>
          <w:rFonts w:ascii="Times New Roman Bold" w:hAnsi="Times New Roman Bold" w:hint="eastAsia"/>
          <w:b/>
          <w:caps/>
          <w:kern w:val="22"/>
          <w:szCs w:val="22"/>
        </w:rPr>
        <w:t> </w:t>
      </w:r>
      <w:r w:rsidRPr="002C6284">
        <w:rPr>
          <w:rFonts w:ascii="Times New Roman Bold" w:hAnsi="Times New Roman Bold"/>
          <w:b/>
          <w:caps/>
          <w:kern w:val="22"/>
          <w:szCs w:val="22"/>
        </w:rPr>
        <w:t>8(j) and</w:t>
      </w:r>
      <w:r w:rsidRPr="002C6284">
        <w:rPr>
          <w:rFonts w:ascii="Times New Roman Bold" w:hAnsi="Times New Roman Bold" w:hint="eastAsia"/>
          <w:b/>
          <w:caps/>
          <w:kern w:val="22"/>
          <w:szCs w:val="22"/>
        </w:rPr>
        <w:t> </w:t>
      </w:r>
      <w:r>
        <w:rPr>
          <w:rFonts w:ascii="Times New Roman Bold" w:hAnsi="Times New Roman Bold"/>
          <w:b/>
          <w:caps/>
          <w:kern w:val="22"/>
          <w:szCs w:val="22"/>
        </w:rPr>
        <w:t>OTHER PROVISIONS OF THE CONVENTION RELATED TO</w:t>
      </w:r>
      <w:r w:rsidRPr="002C6284">
        <w:rPr>
          <w:rFonts w:ascii="Times New Roman Bold" w:hAnsi="Times New Roman Bold"/>
          <w:b/>
          <w:caps/>
          <w:kern w:val="22"/>
          <w:szCs w:val="22"/>
        </w:rPr>
        <w:t xml:space="preserve"> </w:t>
      </w:r>
      <w:r>
        <w:rPr>
          <w:rFonts w:ascii="Times New Roman Bold" w:hAnsi="Times New Roman Bold"/>
          <w:b/>
          <w:caps/>
          <w:kern w:val="22"/>
          <w:szCs w:val="22"/>
        </w:rPr>
        <w:t>INDIGENOUS PEOPLES AND LOCAL COMMUNITIES</w:t>
      </w:r>
      <w:r w:rsidRPr="002C6284">
        <w:rPr>
          <w:rFonts w:ascii="Times New Roman Bold" w:hAnsi="Times New Roman Bold"/>
          <w:b/>
          <w:caps/>
          <w:kern w:val="22"/>
          <w:szCs w:val="22"/>
        </w:rPr>
        <w:t xml:space="preserve"> </w:t>
      </w:r>
      <w:bookmarkEnd w:id="136"/>
    </w:p>
    <w:p w14:paraId="4138BBB1" w14:textId="77777777" w:rsidR="00FE6115" w:rsidRPr="002C6284" w:rsidRDefault="00FE6115" w:rsidP="00190177">
      <w:pPr>
        <w:suppressLineNumbers/>
        <w:suppressAutoHyphens/>
        <w:spacing w:before="120" w:after="120"/>
        <w:rPr>
          <w:caps/>
          <w:kern w:val="22"/>
          <w:szCs w:val="22"/>
        </w:rPr>
      </w:pPr>
      <w:r w:rsidRPr="002C6284">
        <w:rPr>
          <w:kern w:val="22"/>
          <w:szCs w:val="22"/>
          <w:lang w:eastAsia="x-none"/>
        </w:rPr>
        <w:t>1.</w:t>
      </w:r>
      <w:r w:rsidRPr="002C6284">
        <w:rPr>
          <w:kern w:val="22"/>
          <w:szCs w:val="22"/>
          <w:lang w:eastAsia="x-none"/>
        </w:rPr>
        <w:tab/>
        <w:t xml:space="preserve">The </w:t>
      </w:r>
      <w:r w:rsidRPr="008F6437">
        <w:rPr>
          <w:kern w:val="22"/>
          <w:szCs w:val="22"/>
          <w:lang w:eastAsia="x-none"/>
        </w:rPr>
        <w:t>A</w:t>
      </w:r>
      <w:r w:rsidRPr="002C6284">
        <w:rPr>
          <w:kern w:val="22"/>
          <w:szCs w:val="22"/>
          <w:lang w:eastAsia="x-none"/>
        </w:rPr>
        <w:t xml:space="preserve">d </w:t>
      </w:r>
      <w:r w:rsidRPr="008F6437">
        <w:rPr>
          <w:kern w:val="22"/>
          <w:szCs w:val="22"/>
          <w:lang w:eastAsia="x-none"/>
        </w:rPr>
        <w:t>H</w:t>
      </w:r>
      <w:r w:rsidRPr="002C6284">
        <w:rPr>
          <w:kern w:val="22"/>
          <w:szCs w:val="22"/>
          <w:lang w:eastAsia="x-none"/>
        </w:rPr>
        <w:t xml:space="preserve">oc </w:t>
      </w:r>
      <w:r w:rsidRPr="008F6437">
        <w:rPr>
          <w:kern w:val="22"/>
          <w:szCs w:val="22"/>
          <w:lang w:eastAsia="x-none"/>
        </w:rPr>
        <w:t>T</w:t>
      </w:r>
      <w:r w:rsidRPr="002C6284">
        <w:rPr>
          <w:kern w:val="22"/>
          <w:szCs w:val="22"/>
          <w:lang w:eastAsia="x-none"/>
        </w:rPr>
        <w:t xml:space="preserve">echnical </w:t>
      </w:r>
      <w:r w:rsidRPr="008F6437">
        <w:rPr>
          <w:kern w:val="22"/>
          <w:szCs w:val="22"/>
          <w:lang w:eastAsia="x-none"/>
        </w:rPr>
        <w:t>E</w:t>
      </w:r>
      <w:r w:rsidRPr="002C6284">
        <w:rPr>
          <w:kern w:val="22"/>
          <w:szCs w:val="22"/>
          <w:lang w:eastAsia="x-none"/>
        </w:rPr>
        <w:t xml:space="preserve">xpert </w:t>
      </w:r>
      <w:r w:rsidRPr="008F6437">
        <w:rPr>
          <w:kern w:val="22"/>
          <w:szCs w:val="22"/>
          <w:lang w:eastAsia="x-none"/>
        </w:rPr>
        <w:t>G</w:t>
      </w:r>
      <w:r w:rsidRPr="002C6284">
        <w:rPr>
          <w:kern w:val="22"/>
          <w:szCs w:val="22"/>
          <w:lang w:eastAsia="x-none"/>
        </w:rPr>
        <w:t xml:space="preserve">roup on </w:t>
      </w:r>
      <w:r w:rsidRPr="002C6284">
        <w:rPr>
          <w:kern w:val="22"/>
          <w:szCs w:val="22"/>
        </w:rPr>
        <w:t xml:space="preserve">the </w:t>
      </w:r>
      <w:r w:rsidRPr="008F6437">
        <w:rPr>
          <w:kern w:val="22"/>
          <w:szCs w:val="22"/>
        </w:rPr>
        <w:t>N</w:t>
      </w:r>
      <w:r w:rsidRPr="002C6284">
        <w:rPr>
          <w:kern w:val="22"/>
          <w:szCs w:val="22"/>
        </w:rPr>
        <w:t xml:space="preserve">ew </w:t>
      </w:r>
      <w:r w:rsidRPr="008F6437">
        <w:rPr>
          <w:kern w:val="22"/>
          <w:szCs w:val="22"/>
        </w:rPr>
        <w:t>P</w:t>
      </w:r>
      <w:r w:rsidRPr="002C6284">
        <w:rPr>
          <w:kern w:val="22"/>
          <w:szCs w:val="22"/>
        </w:rPr>
        <w:t xml:space="preserve">rogramme of </w:t>
      </w:r>
      <w:r w:rsidRPr="008F6437">
        <w:rPr>
          <w:kern w:val="22"/>
          <w:szCs w:val="22"/>
        </w:rPr>
        <w:t>W</w:t>
      </w:r>
      <w:r w:rsidRPr="002C6284">
        <w:rPr>
          <w:kern w:val="22"/>
          <w:szCs w:val="22"/>
        </w:rPr>
        <w:t xml:space="preserve">ork and </w:t>
      </w:r>
      <w:r w:rsidRPr="003B4FF0">
        <w:rPr>
          <w:kern w:val="22"/>
          <w:szCs w:val="22"/>
        </w:rPr>
        <w:t>I</w:t>
      </w:r>
      <w:r w:rsidRPr="002C6284">
        <w:rPr>
          <w:kern w:val="22"/>
          <w:szCs w:val="22"/>
        </w:rPr>
        <w:t xml:space="preserve">nstitutional </w:t>
      </w:r>
      <w:r w:rsidRPr="003B4FF0">
        <w:rPr>
          <w:kern w:val="22"/>
          <w:szCs w:val="22"/>
        </w:rPr>
        <w:t>A</w:t>
      </w:r>
      <w:r w:rsidRPr="002C6284">
        <w:rPr>
          <w:kern w:val="22"/>
          <w:szCs w:val="22"/>
        </w:rPr>
        <w:t xml:space="preserve">rrangements on Article 8(j) and Other </w:t>
      </w:r>
      <w:r w:rsidRPr="003B4FF0">
        <w:rPr>
          <w:kern w:val="22"/>
          <w:szCs w:val="22"/>
        </w:rPr>
        <w:t xml:space="preserve">Provisions </w:t>
      </w:r>
      <w:r w:rsidRPr="002C6284">
        <w:rPr>
          <w:kern w:val="22"/>
          <w:szCs w:val="22"/>
        </w:rPr>
        <w:t>of the Convention R</w:t>
      </w:r>
      <w:r w:rsidRPr="002C6284">
        <w:rPr>
          <w:kern w:val="22"/>
          <w:szCs w:val="22"/>
          <w:lang w:eastAsia="x-none"/>
        </w:rPr>
        <w:t>elated to Indigenous Peoples and Local Communities shall:</w:t>
      </w:r>
    </w:p>
    <w:p w14:paraId="38855D61" w14:textId="77777777" w:rsidR="00FE6115" w:rsidRPr="002C6284" w:rsidRDefault="00FE6115" w:rsidP="00190177">
      <w:pPr>
        <w:suppressLineNumbers/>
        <w:suppressAutoHyphens/>
        <w:kinsoku w:val="0"/>
        <w:overflowPunct w:val="0"/>
        <w:autoSpaceDE w:val="0"/>
        <w:autoSpaceDN w:val="0"/>
        <w:snapToGrid w:val="0"/>
        <w:spacing w:before="120" w:after="120"/>
        <w:ind w:firstLine="720"/>
        <w:rPr>
          <w:kern w:val="22"/>
          <w:szCs w:val="22"/>
          <w:lang w:val="en-US"/>
        </w:rPr>
      </w:pPr>
      <w:r w:rsidRPr="002C6284">
        <w:rPr>
          <w:kern w:val="22"/>
          <w:szCs w:val="22"/>
        </w:rPr>
        <w:t>(a)</w:t>
      </w:r>
      <w:r w:rsidRPr="002C6284">
        <w:rPr>
          <w:kern w:val="22"/>
          <w:szCs w:val="22"/>
        </w:rPr>
        <w:tab/>
        <w:t xml:space="preserve">Further elaborate possible elements, tasks and actors of a new programme of work on Article 8(j) and other provisions related to indigenous peoples and local communities based on </w:t>
      </w:r>
      <w:r w:rsidRPr="002C6284">
        <w:rPr>
          <w:kern w:val="22"/>
          <w:szCs w:val="22"/>
          <w:lang w:val="en-US"/>
        </w:rPr>
        <w:t xml:space="preserve">annexes I and II </w:t>
      </w:r>
      <w:r>
        <w:rPr>
          <w:kern w:val="22"/>
          <w:szCs w:val="22"/>
          <w:lang w:val="en-US"/>
        </w:rPr>
        <w:t>to</w:t>
      </w:r>
      <w:r w:rsidRPr="002C6284">
        <w:rPr>
          <w:kern w:val="22"/>
          <w:szCs w:val="22"/>
          <w:lang w:val="en-US"/>
        </w:rPr>
        <w:t xml:space="preserve"> the present </w:t>
      </w:r>
      <w:r>
        <w:rPr>
          <w:kern w:val="22"/>
          <w:szCs w:val="22"/>
          <w:lang w:val="en-US"/>
        </w:rPr>
        <w:t>decision</w:t>
      </w:r>
      <w:r w:rsidRPr="002C6284">
        <w:rPr>
          <w:kern w:val="22"/>
          <w:szCs w:val="22"/>
          <w:lang w:val="en-US"/>
        </w:rPr>
        <w:t>, as well as the results of the peer review referred to in recommendation 11/2 of the Ad Hoc Open-ended Working Group on Article 8(j) and Related Provisions</w:t>
      </w:r>
      <w:r>
        <w:rPr>
          <w:kern w:val="22"/>
          <w:szCs w:val="22"/>
          <w:lang w:val="en-US"/>
        </w:rPr>
        <w:t>,</w:t>
      </w:r>
      <w:r w:rsidRPr="002C6284">
        <w:rPr>
          <w:kern w:val="22"/>
          <w:szCs w:val="22"/>
          <w:lang w:val="en-US"/>
        </w:rPr>
        <w:t xml:space="preserve"> ensuring alignment with the </w:t>
      </w:r>
      <w:r>
        <w:rPr>
          <w:kern w:val="22"/>
          <w:szCs w:val="22"/>
          <w:lang w:val="en-US"/>
        </w:rPr>
        <w:t>Kunming-Montreal Global Biodiversity Framework</w:t>
      </w:r>
      <w:r w:rsidRPr="002C6284">
        <w:rPr>
          <w:kern w:val="22"/>
          <w:szCs w:val="22"/>
          <w:lang w:val="en-US"/>
        </w:rPr>
        <w:t>;</w:t>
      </w:r>
    </w:p>
    <w:p w14:paraId="6F5C112D" w14:textId="77777777" w:rsidR="00FE6115" w:rsidRPr="002C6284" w:rsidRDefault="00FE6115" w:rsidP="00190177">
      <w:pPr>
        <w:suppressLineNumbers/>
        <w:suppressAutoHyphens/>
        <w:kinsoku w:val="0"/>
        <w:overflowPunct w:val="0"/>
        <w:autoSpaceDE w:val="0"/>
        <w:autoSpaceDN w:val="0"/>
        <w:snapToGrid w:val="0"/>
        <w:spacing w:before="120" w:after="120"/>
        <w:ind w:firstLine="720"/>
        <w:rPr>
          <w:kern w:val="22"/>
          <w:szCs w:val="22"/>
        </w:rPr>
      </w:pPr>
      <w:r w:rsidRPr="002C6284">
        <w:rPr>
          <w:kern w:val="22"/>
          <w:szCs w:val="22"/>
          <w:lang w:eastAsia="x-none"/>
        </w:rPr>
        <w:t>(b)</w:t>
      </w:r>
      <w:r w:rsidRPr="002C6284">
        <w:rPr>
          <w:kern w:val="22"/>
          <w:szCs w:val="22"/>
          <w:lang w:eastAsia="x-none"/>
        </w:rPr>
        <w:tab/>
        <w:t xml:space="preserve">Elaborate options for </w:t>
      </w:r>
      <w:r w:rsidRPr="002C6284">
        <w:rPr>
          <w:kern w:val="22"/>
          <w:szCs w:val="22"/>
        </w:rPr>
        <w:t>institutional arrangements and their modus operandi that would allow for the full and effective participation of indigenous peoples and local communities in the work of the Convention, including but not limited to those options contained in paragraph 9 of decision 14/17, including information on legal, organizational and financial implications of each option</w:t>
      </w:r>
      <w:r>
        <w:rPr>
          <w:kern w:val="22"/>
          <w:szCs w:val="22"/>
        </w:rPr>
        <w:t>,</w:t>
      </w:r>
      <w:r w:rsidRPr="002C6284">
        <w:rPr>
          <w:kern w:val="22"/>
          <w:szCs w:val="22"/>
        </w:rPr>
        <w:t xml:space="preserve"> and taking into consideration the rules of procedure of the Convention;</w:t>
      </w:r>
    </w:p>
    <w:p w14:paraId="3A0BDB5E" w14:textId="77777777" w:rsidR="00FE6115" w:rsidRPr="002C6284" w:rsidRDefault="00FE6115" w:rsidP="00190177">
      <w:pPr>
        <w:suppressLineNumbers/>
        <w:suppressAutoHyphens/>
        <w:kinsoku w:val="0"/>
        <w:overflowPunct w:val="0"/>
        <w:autoSpaceDE w:val="0"/>
        <w:autoSpaceDN w:val="0"/>
        <w:snapToGrid w:val="0"/>
        <w:spacing w:before="120" w:after="120"/>
        <w:ind w:firstLine="720"/>
        <w:rPr>
          <w:snapToGrid w:val="0"/>
          <w:kern w:val="22"/>
          <w:szCs w:val="22"/>
        </w:rPr>
      </w:pPr>
      <w:r w:rsidRPr="002C6284">
        <w:rPr>
          <w:snapToGrid w:val="0"/>
          <w:kern w:val="22"/>
          <w:szCs w:val="22"/>
          <w:lang w:eastAsia="x-none"/>
        </w:rPr>
        <w:t>(c)</w:t>
      </w:r>
      <w:r w:rsidRPr="002C6284">
        <w:rPr>
          <w:snapToGrid w:val="0"/>
          <w:kern w:val="22"/>
          <w:szCs w:val="22"/>
          <w:lang w:eastAsia="x-none"/>
        </w:rPr>
        <w:tab/>
      </w:r>
      <w:r w:rsidRPr="002C6284">
        <w:rPr>
          <w:snapToGrid w:val="0"/>
          <w:kern w:val="22"/>
          <w:szCs w:val="22"/>
        </w:rPr>
        <w:t>Prepare a report on the outcomes of its work for consideration by</w:t>
      </w:r>
      <w:r w:rsidRPr="002C6284">
        <w:rPr>
          <w:snapToGrid w:val="0"/>
          <w:kern w:val="22"/>
          <w:szCs w:val="22"/>
          <w:lang w:val="en-US"/>
        </w:rPr>
        <w:t xml:space="preserve"> the Ad Hoc Open-ended Working Group on Article 8(j) and Related Provisions of the Convention on Biological Diversity at its twelfth meeting.</w:t>
      </w:r>
    </w:p>
    <w:p w14:paraId="73EB6DE7" w14:textId="77777777" w:rsidR="00FE6115" w:rsidRPr="002C6284" w:rsidRDefault="00FE6115" w:rsidP="00190177">
      <w:pPr>
        <w:suppressLineNumbers/>
        <w:suppressAutoHyphens/>
        <w:spacing w:before="120" w:after="120"/>
        <w:rPr>
          <w:kern w:val="22"/>
          <w:szCs w:val="22"/>
          <w:lang w:val="en-US"/>
        </w:rPr>
      </w:pPr>
      <w:r w:rsidRPr="002C6284">
        <w:rPr>
          <w:kern w:val="22"/>
          <w:szCs w:val="22"/>
          <w:lang w:eastAsia="x-none"/>
        </w:rPr>
        <w:t>2.</w:t>
      </w:r>
      <w:r w:rsidRPr="002C6284">
        <w:rPr>
          <w:kern w:val="22"/>
          <w:szCs w:val="22"/>
          <w:lang w:eastAsia="x-none"/>
        </w:rPr>
        <w:tab/>
        <w:t xml:space="preserve">The </w:t>
      </w:r>
      <w:r>
        <w:rPr>
          <w:kern w:val="22"/>
          <w:szCs w:val="22"/>
          <w:lang w:eastAsia="x-none"/>
        </w:rPr>
        <w:t>A</w:t>
      </w:r>
      <w:r w:rsidRPr="002C6284">
        <w:rPr>
          <w:kern w:val="22"/>
          <w:szCs w:val="22"/>
          <w:lang w:eastAsia="x-none"/>
        </w:rPr>
        <w:t xml:space="preserve">d </w:t>
      </w:r>
      <w:r>
        <w:rPr>
          <w:kern w:val="22"/>
          <w:szCs w:val="22"/>
          <w:lang w:eastAsia="x-none"/>
        </w:rPr>
        <w:t>H</w:t>
      </w:r>
      <w:r w:rsidRPr="002C6284">
        <w:rPr>
          <w:kern w:val="22"/>
          <w:szCs w:val="22"/>
          <w:lang w:eastAsia="x-none"/>
        </w:rPr>
        <w:t xml:space="preserve">oc </w:t>
      </w:r>
      <w:r>
        <w:rPr>
          <w:kern w:val="22"/>
          <w:szCs w:val="22"/>
          <w:lang w:eastAsia="x-none"/>
        </w:rPr>
        <w:t>T</w:t>
      </w:r>
      <w:r w:rsidRPr="002C6284">
        <w:rPr>
          <w:kern w:val="22"/>
          <w:szCs w:val="22"/>
          <w:lang w:eastAsia="x-none"/>
        </w:rPr>
        <w:t xml:space="preserve">echnical </w:t>
      </w:r>
      <w:r>
        <w:rPr>
          <w:kern w:val="22"/>
          <w:szCs w:val="22"/>
          <w:lang w:eastAsia="x-none"/>
        </w:rPr>
        <w:t>E</w:t>
      </w:r>
      <w:r w:rsidRPr="002C6284">
        <w:rPr>
          <w:kern w:val="22"/>
          <w:szCs w:val="22"/>
          <w:lang w:eastAsia="x-none"/>
        </w:rPr>
        <w:t xml:space="preserve">xpert </w:t>
      </w:r>
      <w:r>
        <w:rPr>
          <w:kern w:val="22"/>
          <w:szCs w:val="22"/>
          <w:lang w:eastAsia="x-none"/>
        </w:rPr>
        <w:t>G</w:t>
      </w:r>
      <w:r w:rsidRPr="002C6284">
        <w:rPr>
          <w:kern w:val="22"/>
          <w:szCs w:val="22"/>
          <w:lang w:eastAsia="x-none"/>
        </w:rPr>
        <w:t xml:space="preserve">roup </w:t>
      </w:r>
      <w:r w:rsidRPr="002C6284">
        <w:rPr>
          <w:kern w:val="22"/>
          <w:szCs w:val="22"/>
        </w:rPr>
        <w:t xml:space="preserve">will be constituted according to the modus operandi of the Subsidiary Body on Scientific, Technical and Technological Advice, adjusted to ensure full participation </w:t>
      </w:r>
      <w:r w:rsidRPr="002C6284">
        <w:rPr>
          <w:kern w:val="22"/>
          <w:szCs w:val="22"/>
          <w:lang w:val="en-US"/>
        </w:rPr>
        <w:t xml:space="preserve">of indigenous peoples and local communities respectively, including three experts </w:t>
      </w:r>
      <w:r w:rsidRPr="002C6284">
        <w:rPr>
          <w:kern w:val="22"/>
          <w:szCs w:val="22"/>
        </w:rPr>
        <w:t>per region</w:t>
      </w:r>
      <w:r w:rsidRPr="002C6284">
        <w:rPr>
          <w:kern w:val="22"/>
          <w:szCs w:val="22"/>
          <w:lang w:val="en-US"/>
        </w:rPr>
        <w:t xml:space="preserve"> nominated by</w:t>
      </w:r>
      <w:r w:rsidRPr="002C6284">
        <w:rPr>
          <w:kern w:val="22"/>
          <w:szCs w:val="22"/>
        </w:rPr>
        <w:t xml:space="preserve"> </w:t>
      </w:r>
      <w:r w:rsidRPr="002C6284">
        <w:rPr>
          <w:kern w:val="22"/>
          <w:szCs w:val="22"/>
          <w:lang w:val="en-US"/>
        </w:rPr>
        <w:t>P</w:t>
      </w:r>
      <w:r w:rsidRPr="002C6284">
        <w:rPr>
          <w:kern w:val="22"/>
          <w:szCs w:val="22"/>
        </w:rPr>
        <w:t>arties</w:t>
      </w:r>
      <w:r w:rsidRPr="002C6284">
        <w:rPr>
          <w:kern w:val="22"/>
          <w:szCs w:val="22"/>
          <w:lang w:val="en-US"/>
        </w:rPr>
        <w:t xml:space="preserve">, two representatives of indigenous peoples and local communities from each of the seven sociocultural regions recognized by the United Nations Permanent Forum on Indigenous Issues, as well no more than six other </w:t>
      </w:r>
      <w:r w:rsidRPr="002C6284">
        <w:rPr>
          <w:kern w:val="22"/>
          <w:szCs w:val="22"/>
        </w:rPr>
        <w:t>organizations</w:t>
      </w:r>
      <w:r w:rsidRPr="002C6284">
        <w:rPr>
          <w:kern w:val="22"/>
          <w:szCs w:val="22"/>
          <w:lang w:val="en-US"/>
        </w:rPr>
        <w:t>.</w:t>
      </w:r>
    </w:p>
    <w:p w14:paraId="29E41F12" w14:textId="77777777" w:rsidR="00FE6115" w:rsidRPr="002C6284" w:rsidRDefault="00FE6115" w:rsidP="00F6586C">
      <w:pPr>
        <w:pStyle w:val="Para1"/>
        <w:numPr>
          <w:ilvl w:val="0"/>
          <w:numId w:val="0"/>
        </w:numPr>
        <w:rPr>
          <w:lang w:val="en-US"/>
        </w:rPr>
      </w:pPr>
    </w:p>
    <w:p w14:paraId="59C17AAB" w14:textId="77777777" w:rsidR="00FE6115" w:rsidRDefault="00FE6115" w:rsidP="00562979">
      <w:pPr>
        <w:jc w:val="center"/>
        <w:sectPr w:rsidR="00FE6115" w:rsidSect="00441700">
          <w:footnotePr>
            <w:numRestart w:val="eachSect"/>
          </w:footnotePr>
          <w:pgSz w:w="12240" w:h="15840"/>
          <w:pgMar w:top="567" w:right="1440" w:bottom="1134" w:left="1440" w:header="709" w:footer="709" w:gutter="0"/>
          <w:cols w:space="708"/>
          <w:docGrid w:linePitch="360"/>
        </w:sectPr>
      </w:pPr>
    </w:p>
    <w:p w14:paraId="0C54655D" w14:textId="77777777" w:rsidR="00FE6115" w:rsidRPr="00D60F7C" w:rsidRDefault="00FE6115" w:rsidP="00D60F7C">
      <w:pPr>
        <w:pStyle w:val="decision"/>
        <w:rPr>
          <w:b w:val="0"/>
          <w:bCs/>
          <w:caps/>
        </w:rPr>
      </w:pPr>
      <w:bookmarkStart w:id="137" w:name="_Toc150438809"/>
      <w:bookmarkStart w:id="138" w:name="_Toc150670509"/>
      <w:bookmarkStart w:id="139" w:name="_Toc150670619"/>
      <w:bookmarkStart w:id="140" w:name="_Toc150761121"/>
      <w:r w:rsidRPr="00D60F7C">
        <w:rPr>
          <w:rStyle w:val="Heading2Char"/>
          <w:rFonts w:eastAsia="Malgun Gothic"/>
          <w:b/>
          <w:bCs w:val="0"/>
        </w:rPr>
        <w:lastRenderedPageBreak/>
        <w:t>15/11.</w:t>
      </w:r>
      <w:r w:rsidRPr="00D60F7C">
        <w:rPr>
          <w:rStyle w:val="Heading2Char"/>
          <w:rFonts w:eastAsia="Malgun Gothic"/>
          <w:b/>
          <w:bCs w:val="0"/>
        </w:rPr>
        <w:tab/>
        <w:t>Gender Plan of Action</w:t>
      </w:r>
      <w:bookmarkEnd w:id="137"/>
      <w:bookmarkEnd w:id="138"/>
      <w:bookmarkEnd w:id="139"/>
      <w:bookmarkEnd w:id="140"/>
      <w:r w:rsidRPr="00D60F7C">
        <w:rPr>
          <w:b w:val="0"/>
          <w:bCs/>
          <w:caps/>
        </w:rPr>
        <w:t xml:space="preserve"> </w:t>
      </w:r>
    </w:p>
    <w:p w14:paraId="1CC152FD" w14:textId="77777777" w:rsidR="00FE6115" w:rsidRPr="0000011D" w:rsidRDefault="00FE6115" w:rsidP="00737611">
      <w:pPr>
        <w:keepNext/>
        <w:suppressLineNumbers/>
        <w:suppressAutoHyphens/>
        <w:kinsoku w:val="0"/>
        <w:overflowPunct w:val="0"/>
        <w:autoSpaceDE w:val="0"/>
        <w:autoSpaceDN w:val="0"/>
        <w:adjustRightInd w:val="0"/>
        <w:snapToGrid w:val="0"/>
        <w:spacing w:before="120" w:after="120"/>
        <w:ind w:firstLine="720"/>
        <w:rPr>
          <w:kern w:val="22"/>
          <w:szCs w:val="22"/>
        </w:rPr>
      </w:pPr>
      <w:r w:rsidRPr="0000011D">
        <w:rPr>
          <w:i/>
          <w:iCs/>
          <w:kern w:val="22"/>
          <w:szCs w:val="22"/>
        </w:rPr>
        <w:t>The Conference of the Parties,</w:t>
      </w:r>
    </w:p>
    <w:p w14:paraId="3F998236" w14:textId="77777777" w:rsidR="00FE6115" w:rsidRPr="0000011D" w:rsidRDefault="00FE6115" w:rsidP="00737611">
      <w:pPr>
        <w:suppressLineNumbers/>
        <w:suppressAutoHyphens/>
        <w:kinsoku w:val="0"/>
        <w:overflowPunct w:val="0"/>
        <w:autoSpaceDE w:val="0"/>
        <w:autoSpaceDN w:val="0"/>
        <w:adjustRightInd w:val="0"/>
        <w:snapToGrid w:val="0"/>
        <w:spacing w:before="120" w:after="120"/>
        <w:ind w:firstLine="720"/>
        <w:rPr>
          <w:kern w:val="22"/>
          <w:szCs w:val="22"/>
        </w:rPr>
      </w:pPr>
      <w:r w:rsidRPr="0000011D">
        <w:rPr>
          <w:i/>
          <w:iCs/>
          <w:kern w:val="22"/>
          <w:szCs w:val="22"/>
        </w:rPr>
        <w:t>Recalling</w:t>
      </w:r>
      <w:r w:rsidRPr="0000011D">
        <w:rPr>
          <w:kern w:val="22"/>
          <w:szCs w:val="22"/>
        </w:rPr>
        <w:t xml:space="preserve"> decisions XII/7 and IX/24, welcoming earlier versions of a gender plan of action for the Convention,</w:t>
      </w:r>
    </w:p>
    <w:p w14:paraId="7F252456" w14:textId="77777777" w:rsidR="00FE6115" w:rsidRDefault="00FE6115" w:rsidP="00A73205">
      <w:pPr>
        <w:suppressLineNumbers/>
        <w:suppressAutoHyphens/>
        <w:kinsoku w:val="0"/>
        <w:overflowPunct w:val="0"/>
        <w:autoSpaceDE w:val="0"/>
        <w:autoSpaceDN w:val="0"/>
        <w:adjustRightInd w:val="0"/>
        <w:snapToGrid w:val="0"/>
        <w:spacing w:before="120" w:after="120"/>
        <w:ind w:firstLine="720"/>
        <w:rPr>
          <w:kern w:val="22"/>
          <w:szCs w:val="22"/>
        </w:rPr>
      </w:pPr>
      <w:r w:rsidRPr="0000011D">
        <w:rPr>
          <w:i/>
          <w:iCs/>
          <w:kern w:val="22"/>
          <w:szCs w:val="22"/>
        </w:rPr>
        <w:t>Recognizing</w:t>
      </w:r>
      <w:r w:rsidRPr="008C2F31">
        <w:rPr>
          <w:i/>
          <w:iCs/>
          <w:kern w:val="22"/>
          <w:szCs w:val="22"/>
        </w:rPr>
        <w:t xml:space="preserve"> </w:t>
      </w:r>
      <w:r w:rsidRPr="004D2547">
        <w:rPr>
          <w:kern w:val="22"/>
          <w:szCs w:val="22"/>
        </w:rPr>
        <w:t xml:space="preserve">the importance of advancing efforts to achieve gender equality and women’s and girl’s empowerment to ensure the effective implementation of the </w:t>
      </w:r>
      <w:r>
        <w:rPr>
          <w:kern w:val="22"/>
          <w:szCs w:val="22"/>
        </w:rPr>
        <w:t>Kunming-Montreal</w:t>
      </w:r>
      <w:r w:rsidRPr="004D2547">
        <w:rPr>
          <w:kern w:val="22"/>
          <w:szCs w:val="22"/>
        </w:rPr>
        <w:t xml:space="preserve"> </w:t>
      </w:r>
      <w:r>
        <w:rPr>
          <w:kern w:val="22"/>
          <w:szCs w:val="22"/>
        </w:rPr>
        <w:t>G</w:t>
      </w:r>
      <w:r w:rsidRPr="004D2547">
        <w:rPr>
          <w:kern w:val="22"/>
          <w:szCs w:val="22"/>
        </w:rPr>
        <w:t xml:space="preserve">lobal </w:t>
      </w:r>
      <w:r>
        <w:rPr>
          <w:kern w:val="22"/>
          <w:szCs w:val="22"/>
        </w:rPr>
        <w:t>B</w:t>
      </w:r>
      <w:r w:rsidRPr="004D2547">
        <w:rPr>
          <w:kern w:val="22"/>
          <w:szCs w:val="22"/>
        </w:rPr>
        <w:t xml:space="preserve">iodiversity </w:t>
      </w:r>
      <w:r>
        <w:rPr>
          <w:kern w:val="22"/>
          <w:szCs w:val="22"/>
        </w:rPr>
        <w:t>F</w:t>
      </w:r>
      <w:r w:rsidRPr="004D2547">
        <w:rPr>
          <w:kern w:val="22"/>
          <w:szCs w:val="22"/>
        </w:rPr>
        <w:t>ramework,</w:t>
      </w:r>
      <w:r w:rsidRPr="00610646">
        <w:rPr>
          <w:rStyle w:val="FootnoteReference"/>
        </w:rPr>
        <w:footnoteReference w:id="118"/>
      </w:r>
    </w:p>
    <w:p w14:paraId="4EEFE576" w14:textId="77777777" w:rsidR="00FE6115" w:rsidRPr="0000011D" w:rsidRDefault="00FE6115" w:rsidP="00E42F7E">
      <w:pPr>
        <w:suppressLineNumbers/>
        <w:suppressAutoHyphens/>
        <w:kinsoku w:val="0"/>
        <w:overflowPunct w:val="0"/>
        <w:autoSpaceDE w:val="0"/>
        <w:autoSpaceDN w:val="0"/>
        <w:adjustRightInd w:val="0"/>
        <w:snapToGrid w:val="0"/>
        <w:spacing w:before="120" w:after="120"/>
        <w:ind w:firstLine="720"/>
        <w:rPr>
          <w:kern w:val="22"/>
          <w:szCs w:val="22"/>
        </w:rPr>
      </w:pPr>
      <w:r>
        <w:rPr>
          <w:i/>
          <w:iCs/>
          <w:kern w:val="22"/>
          <w:szCs w:val="22"/>
        </w:rPr>
        <w:t>R</w:t>
      </w:r>
      <w:r w:rsidRPr="0000011D">
        <w:rPr>
          <w:i/>
          <w:iCs/>
          <w:kern w:val="22"/>
          <w:szCs w:val="22"/>
        </w:rPr>
        <w:t>ecognizing</w:t>
      </w:r>
      <w:r>
        <w:rPr>
          <w:i/>
          <w:iCs/>
          <w:kern w:val="22"/>
          <w:szCs w:val="22"/>
        </w:rPr>
        <w:t xml:space="preserve"> also</w:t>
      </w:r>
      <w:r w:rsidRPr="0000011D">
        <w:rPr>
          <w:kern w:val="22"/>
          <w:szCs w:val="22"/>
        </w:rPr>
        <w:t xml:space="preserve"> that the full and effective participation and leadership of women in all aspects </w:t>
      </w:r>
      <w:r w:rsidRPr="00D35581">
        <w:rPr>
          <w:kern w:val="22"/>
          <w:szCs w:val="22"/>
        </w:rPr>
        <w:t xml:space="preserve">of </w:t>
      </w:r>
      <w:r w:rsidRPr="003530CF">
        <w:rPr>
          <w:kern w:val="22"/>
          <w:szCs w:val="22"/>
        </w:rPr>
        <w:t>C</w:t>
      </w:r>
      <w:r w:rsidRPr="001D19D0">
        <w:rPr>
          <w:kern w:val="22"/>
          <w:szCs w:val="22"/>
        </w:rPr>
        <w:t>onvention processes, particularly</w:t>
      </w:r>
      <w:r w:rsidRPr="0000011D">
        <w:rPr>
          <w:kern w:val="22"/>
          <w:szCs w:val="22"/>
        </w:rPr>
        <w:t xml:space="preserve"> in policy and action at national and local levels, is vital for achieving long-term biodiversity goals and the 2050 Vision of </w:t>
      </w:r>
      <w:r>
        <w:rPr>
          <w:kern w:val="22"/>
          <w:szCs w:val="22"/>
        </w:rPr>
        <w:t>l</w:t>
      </w:r>
      <w:r w:rsidRPr="0000011D">
        <w:rPr>
          <w:kern w:val="22"/>
          <w:szCs w:val="22"/>
        </w:rPr>
        <w:t xml:space="preserve">iving in </w:t>
      </w:r>
      <w:r>
        <w:rPr>
          <w:kern w:val="22"/>
          <w:szCs w:val="22"/>
        </w:rPr>
        <w:t>h</w:t>
      </w:r>
      <w:r w:rsidRPr="0000011D">
        <w:rPr>
          <w:kern w:val="22"/>
          <w:szCs w:val="22"/>
        </w:rPr>
        <w:t xml:space="preserve">armony with </w:t>
      </w:r>
      <w:r>
        <w:rPr>
          <w:kern w:val="22"/>
          <w:szCs w:val="22"/>
        </w:rPr>
        <w:t>n</w:t>
      </w:r>
      <w:r w:rsidRPr="0000011D">
        <w:rPr>
          <w:kern w:val="22"/>
          <w:szCs w:val="22"/>
        </w:rPr>
        <w:t>ature,</w:t>
      </w:r>
    </w:p>
    <w:p w14:paraId="6442C132" w14:textId="77777777" w:rsidR="00FE6115" w:rsidRPr="0000011D" w:rsidRDefault="00FE6115" w:rsidP="00737611">
      <w:pPr>
        <w:suppressLineNumbers/>
        <w:suppressAutoHyphens/>
        <w:kinsoku w:val="0"/>
        <w:overflowPunct w:val="0"/>
        <w:autoSpaceDE w:val="0"/>
        <w:autoSpaceDN w:val="0"/>
        <w:spacing w:before="120" w:after="120"/>
        <w:ind w:firstLine="720"/>
        <w:rPr>
          <w:kern w:val="22"/>
          <w:szCs w:val="22"/>
        </w:rPr>
      </w:pPr>
      <w:r w:rsidRPr="0000011D">
        <w:rPr>
          <w:kern w:val="22"/>
          <w:szCs w:val="22"/>
        </w:rPr>
        <w:t>1.</w:t>
      </w:r>
      <w:r w:rsidRPr="0000011D">
        <w:rPr>
          <w:kern w:val="22"/>
          <w:szCs w:val="22"/>
        </w:rPr>
        <w:tab/>
      </w:r>
      <w:r w:rsidRPr="0000011D">
        <w:rPr>
          <w:i/>
          <w:iCs/>
          <w:kern w:val="22"/>
          <w:szCs w:val="22"/>
        </w:rPr>
        <w:t>Adopts</w:t>
      </w:r>
      <w:r w:rsidRPr="0000011D">
        <w:rPr>
          <w:kern w:val="22"/>
          <w:szCs w:val="22"/>
        </w:rPr>
        <w:t xml:space="preserve"> the </w:t>
      </w:r>
      <w:r>
        <w:rPr>
          <w:kern w:val="22"/>
          <w:szCs w:val="22"/>
        </w:rPr>
        <w:t>G</w:t>
      </w:r>
      <w:r w:rsidRPr="0000011D">
        <w:rPr>
          <w:kern w:val="22"/>
          <w:szCs w:val="22"/>
        </w:rPr>
        <w:t xml:space="preserve">ender </w:t>
      </w:r>
      <w:r>
        <w:rPr>
          <w:kern w:val="22"/>
          <w:szCs w:val="22"/>
        </w:rPr>
        <w:t>P</w:t>
      </w:r>
      <w:r w:rsidRPr="0000011D">
        <w:rPr>
          <w:kern w:val="22"/>
          <w:szCs w:val="22"/>
        </w:rPr>
        <w:t xml:space="preserve">lan of </w:t>
      </w:r>
      <w:r>
        <w:rPr>
          <w:kern w:val="22"/>
          <w:szCs w:val="22"/>
        </w:rPr>
        <w:t>A</w:t>
      </w:r>
      <w:r w:rsidRPr="0000011D">
        <w:rPr>
          <w:kern w:val="22"/>
          <w:szCs w:val="22"/>
        </w:rPr>
        <w:t>ction</w:t>
      </w:r>
      <w:r>
        <w:rPr>
          <w:kern w:val="22"/>
          <w:szCs w:val="22"/>
        </w:rPr>
        <w:t xml:space="preserve"> contained in the annex to the present decision</w:t>
      </w:r>
      <w:r w:rsidRPr="0000011D">
        <w:rPr>
          <w:kern w:val="22"/>
          <w:szCs w:val="22"/>
        </w:rPr>
        <w:t>;</w:t>
      </w:r>
    </w:p>
    <w:p w14:paraId="6FFA997E" w14:textId="77777777" w:rsidR="00FE6115" w:rsidRPr="0000011D" w:rsidRDefault="00FE6115" w:rsidP="00737611">
      <w:pPr>
        <w:suppressLineNumbers/>
        <w:suppressAutoHyphens/>
        <w:kinsoku w:val="0"/>
        <w:overflowPunct w:val="0"/>
        <w:autoSpaceDE w:val="0"/>
        <w:autoSpaceDN w:val="0"/>
        <w:spacing w:before="120" w:after="120"/>
        <w:ind w:firstLine="720"/>
        <w:rPr>
          <w:kern w:val="22"/>
          <w:szCs w:val="22"/>
        </w:rPr>
      </w:pPr>
      <w:r w:rsidRPr="00BD4AAD">
        <w:rPr>
          <w:kern w:val="22"/>
          <w:szCs w:val="22"/>
        </w:rPr>
        <w:t>2.</w:t>
      </w:r>
      <w:r w:rsidRPr="00BD4AAD">
        <w:rPr>
          <w:kern w:val="22"/>
          <w:szCs w:val="22"/>
        </w:rPr>
        <w:tab/>
      </w:r>
      <w:r w:rsidRPr="00580600">
        <w:rPr>
          <w:i/>
          <w:iCs/>
          <w:kern w:val="22"/>
          <w:szCs w:val="22"/>
        </w:rPr>
        <w:t>Urges</w:t>
      </w:r>
      <w:r w:rsidRPr="00580600">
        <w:rPr>
          <w:kern w:val="22"/>
          <w:szCs w:val="22"/>
        </w:rPr>
        <w:t xml:space="preserve"> </w:t>
      </w:r>
      <w:r w:rsidRPr="00BD4AAD">
        <w:rPr>
          <w:kern w:val="22"/>
          <w:szCs w:val="22"/>
        </w:rPr>
        <w:t xml:space="preserve">Parties, </w:t>
      </w:r>
      <w:r>
        <w:rPr>
          <w:kern w:val="22"/>
          <w:szCs w:val="22"/>
        </w:rPr>
        <w:t xml:space="preserve">and </w:t>
      </w:r>
      <w:r w:rsidRPr="001D19D0">
        <w:rPr>
          <w:kern w:val="22"/>
          <w:szCs w:val="22"/>
        </w:rPr>
        <w:t>invites</w:t>
      </w:r>
      <w:r>
        <w:rPr>
          <w:b/>
          <w:bCs/>
          <w:i/>
          <w:iCs/>
          <w:kern w:val="22"/>
          <w:szCs w:val="22"/>
        </w:rPr>
        <w:t xml:space="preserve"> </w:t>
      </w:r>
      <w:r w:rsidRPr="00BD4AAD">
        <w:rPr>
          <w:kern w:val="22"/>
          <w:szCs w:val="22"/>
        </w:rPr>
        <w:t>other Governments</w:t>
      </w:r>
      <w:r w:rsidRPr="006E07A1">
        <w:rPr>
          <w:kern w:val="22"/>
          <w:szCs w:val="22"/>
        </w:rPr>
        <w:t xml:space="preserve">, </w:t>
      </w:r>
      <w:r w:rsidRPr="00580600">
        <w:rPr>
          <w:kern w:val="22"/>
          <w:szCs w:val="22"/>
        </w:rPr>
        <w:t>subnational governments, cities and other local authorities,</w:t>
      </w:r>
      <w:r w:rsidRPr="00BD4AAD">
        <w:rPr>
          <w:kern w:val="22"/>
          <w:szCs w:val="22"/>
        </w:rPr>
        <w:t xml:space="preserve"> and relevant organizations to </w:t>
      </w:r>
      <w:r w:rsidRPr="006A0037">
        <w:rPr>
          <w:kern w:val="22"/>
          <w:szCs w:val="22"/>
        </w:rPr>
        <w:t>implement</w:t>
      </w:r>
      <w:r w:rsidRPr="00BD4AAD">
        <w:rPr>
          <w:kern w:val="22"/>
          <w:szCs w:val="22"/>
        </w:rPr>
        <w:t xml:space="preserve"> the </w:t>
      </w:r>
      <w:r>
        <w:rPr>
          <w:kern w:val="22"/>
          <w:szCs w:val="22"/>
        </w:rPr>
        <w:t>G</w:t>
      </w:r>
      <w:r w:rsidRPr="00BD4AAD">
        <w:rPr>
          <w:kern w:val="22"/>
          <w:szCs w:val="22"/>
        </w:rPr>
        <w:t xml:space="preserve">ender </w:t>
      </w:r>
      <w:r>
        <w:rPr>
          <w:kern w:val="22"/>
          <w:szCs w:val="22"/>
        </w:rPr>
        <w:t>P</w:t>
      </w:r>
      <w:r w:rsidRPr="00BD4AAD">
        <w:rPr>
          <w:kern w:val="22"/>
          <w:szCs w:val="22"/>
        </w:rPr>
        <w:t xml:space="preserve">lan of </w:t>
      </w:r>
      <w:r>
        <w:rPr>
          <w:kern w:val="22"/>
          <w:szCs w:val="22"/>
        </w:rPr>
        <w:t>A</w:t>
      </w:r>
      <w:r w:rsidRPr="00BD4AAD">
        <w:rPr>
          <w:kern w:val="22"/>
          <w:szCs w:val="22"/>
        </w:rPr>
        <w:t xml:space="preserve">ction to support and advance </w:t>
      </w:r>
      <w:r w:rsidRPr="00E5660A">
        <w:rPr>
          <w:kern w:val="22"/>
          <w:szCs w:val="22"/>
        </w:rPr>
        <w:t>gender mainstreaming and</w:t>
      </w:r>
      <w:r w:rsidRPr="00BD4AAD">
        <w:rPr>
          <w:kern w:val="22"/>
          <w:szCs w:val="22"/>
        </w:rPr>
        <w:t xml:space="preserve"> gender responsive</w:t>
      </w:r>
      <w:r>
        <w:rPr>
          <w:kern w:val="22"/>
          <w:szCs w:val="22"/>
        </w:rPr>
        <w:t xml:space="preserve"> </w:t>
      </w:r>
      <w:r w:rsidRPr="00BD4AAD">
        <w:rPr>
          <w:kern w:val="22"/>
          <w:szCs w:val="22"/>
        </w:rPr>
        <w:t xml:space="preserve">implementation of the </w:t>
      </w:r>
      <w:r>
        <w:rPr>
          <w:kern w:val="22"/>
          <w:szCs w:val="22"/>
        </w:rPr>
        <w:t>Kunming-Montreal</w:t>
      </w:r>
      <w:r w:rsidRPr="004D2547">
        <w:rPr>
          <w:kern w:val="22"/>
          <w:szCs w:val="22"/>
        </w:rPr>
        <w:t xml:space="preserve"> </w:t>
      </w:r>
      <w:r>
        <w:rPr>
          <w:kern w:val="22"/>
          <w:szCs w:val="22"/>
        </w:rPr>
        <w:t>G</w:t>
      </w:r>
      <w:r w:rsidRPr="00BD4AAD">
        <w:rPr>
          <w:kern w:val="22"/>
          <w:szCs w:val="22"/>
        </w:rPr>
        <w:t xml:space="preserve">lobal </w:t>
      </w:r>
      <w:r>
        <w:rPr>
          <w:kern w:val="22"/>
          <w:szCs w:val="22"/>
        </w:rPr>
        <w:t>B</w:t>
      </w:r>
      <w:r w:rsidRPr="00BD4AAD">
        <w:rPr>
          <w:kern w:val="22"/>
          <w:szCs w:val="22"/>
        </w:rPr>
        <w:t xml:space="preserve">iodiversity </w:t>
      </w:r>
      <w:r>
        <w:rPr>
          <w:kern w:val="22"/>
          <w:szCs w:val="22"/>
        </w:rPr>
        <w:t>F</w:t>
      </w:r>
      <w:r w:rsidRPr="00BD4AAD">
        <w:rPr>
          <w:kern w:val="22"/>
          <w:szCs w:val="22"/>
        </w:rPr>
        <w:t>ramework;</w:t>
      </w:r>
    </w:p>
    <w:p w14:paraId="7BDF5A0D" w14:textId="77777777" w:rsidR="00FE6115" w:rsidRPr="0000011D" w:rsidRDefault="00FE6115" w:rsidP="00737611">
      <w:pPr>
        <w:suppressLineNumbers/>
        <w:suppressAutoHyphens/>
        <w:kinsoku w:val="0"/>
        <w:overflowPunct w:val="0"/>
        <w:autoSpaceDE w:val="0"/>
        <w:autoSpaceDN w:val="0"/>
        <w:spacing w:before="120" w:after="120"/>
        <w:ind w:firstLine="720"/>
        <w:rPr>
          <w:kern w:val="22"/>
          <w:szCs w:val="22"/>
        </w:rPr>
      </w:pPr>
      <w:r w:rsidRPr="0000011D">
        <w:rPr>
          <w:kern w:val="22"/>
          <w:szCs w:val="22"/>
        </w:rPr>
        <w:t>3.</w:t>
      </w:r>
      <w:r w:rsidRPr="0000011D">
        <w:rPr>
          <w:kern w:val="22"/>
          <w:szCs w:val="22"/>
        </w:rPr>
        <w:tab/>
      </w:r>
      <w:r>
        <w:rPr>
          <w:i/>
          <w:iCs/>
          <w:kern w:val="22"/>
          <w:szCs w:val="22"/>
        </w:rPr>
        <w:t>I</w:t>
      </w:r>
      <w:r w:rsidRPr="0000011D">
        <w:rPr>
          <w:i/>
          <w:iCs/>
          <w:kern w:val="22"/>
          <w:szCs w:val="22"/>
        </w:rPr>
        <w:t>nvites</w:t>
      </w:r>
      <w:r w:rsidRPr="0000011D">
        <w:rPr>
          <w:kern w:val="22"/>
          <w:szCs w:val="22"/>
        </w:rPr>
        <w:t xml:space="preserve"> relevant organizations of the United Nations family and other international organizations and initiatives to support coherent gender responsive implementation of the </w:t>
      </w:r>
      <w:r>
        <w:rPr>
          <w:kern w:val="22"/>
          <w:szCs w:val="22"/>
        </w:rPr>
        <w:t>Kunming</w:t>
      </w:r>
      <w:r>
        <w:rPr>
          <w:kern w:val="22"/>
          <w:szCs w:val="22"/>
        </w:rPr>
        <w:noBreakHyphen/>
        <w:t>Montreal</w:t>
      </w:r>
      <w:r w:rsidRPr="004D2547">
        <w:rPr>
          <w:kern w:val="22"/>
          <w:szCs w:val="22"/>
        </w:rPr>
        <w:t xml:space="preserve"> </w:t>
      </w:r>
      <w:r>
        <w:rPr>
          <w:kern w:val="22"/>
          <w:szCs w:val="22"/>
        </w:rPr>
        <w:t>G</w:t>
      </w:r>
      <w:r w:rsidRPr="0000011D">
        <w:rPr>
          <w:kern w:val="22"/>
          <w:szCs w:val="22"/>
        </w:rPr>
        <w:t xml:space="preserve">lobal </w:t>
      </w:r>
      <w:r>
        <w:rPr>
          <w:kern w:val="22"/>
          <w:szCs w:val="22"/>
        </w:rPr>
        <w:t>B</w:t>
      </w:r>
      <w:r w:rsidRPr="0000011D">
        <w:rPr>
          <w:kern w:val="22"/>
          <w:szCs w:val="22"/>
        </w:rPr>
        <w:t xml:space="preserve">iodiversity </w:t>
      </w:r>
      <w:r>
        <w:rPr>
          <w:kern w:val="22"/>
          <w:szCs w:val="22"/>
        </w:rPr>
        <w:t>F</w:t>
      </w:r>
      <w:r w:rsidRPr="0000011D">
        <w:rPr>
          <w:kern w:val="22"/>
          <w:szCs w:val="22"/>
        </w:rPr>
        <w:t>ramework, through identifying synergies and drawing on relevant experience from related processes;</w:t>
      </w:r>
    </w:p>
    <w:p w14:paraId="428E987D" w14:textId="77777777" w:rsidR="00FE6115" w:rsidRDefault="00FE6115" w:rsidP="00737611">
      <w:pPr>
        <w:suppressLineNumbers/>
        <w:suppressAutoHyphens/>
        <w:kinsoku w:val="0"/>
        <w:overflowPunct w:val="0"/>
        <w:autoSpaceDE w:val="0"/>
        <w:autoSpaceDN w:val="0"/>
        <w:spacing w:before="120" w:after="120"/>
        <w:ind w:firstLine="720"/>
        <w:rPr>
          <w:kern w:val="22"/>
          <w:szCs w:val="22"/>
        </w:rPr>
      </w:pPr>
      <w:r w:rsidRPr="0000011D">
        <w:rPr>
          <w:kern w:val="22"/>
          <w:szCs w:val="22"/>
        </w:rPr>
        <w:t>4.</w:t>
      </w:r>
      <w:r w:rsidRPr="0000011D">
        <w:rPr>
          <w:i/>
          <w:iCs/>
          <w:kern w:val="22"/>
          <w:szCs w:val="22"/>
        </w:rPr>
        <w:tab/>
        <w:t>Urges</w:t>
      </w:r>
      <w:r>
        <w:rPr>
          <w:b/>
          <w:bCs/>
          <w:i/>
          <w:iCs/>
          <w:kern w:val="22"/>
          <w:szCs w:val="22"/>
        </w:rPr>
        <w:t xml:space="preserve"> </w:t>
      </w:r>
      <w:r w:rsidRPr="0000011D">
        <w:rPr>
          <w:kern w:val="22"/>
          <w:szCs w:val="22"/>
        </w:rPr>
        <w:t xml:space="preserve">Parties and </w:t>
      </w:r>
      <w:r w:rsidRPr="001D19D0">
        <w:rPr>
          <w:kern w:val="22"/>
          <w:szCs w:val="22"/>
        </w:rPr>
        <w:t>invites</w:t>
      </w:r>
      <w:r>
        <w:rPr>
          <w:kern w:val="22"/>
          <w:szCs w:val="22"/>
        </w:rPr>
        <w:t xml:space="preserve"> </w:t>
      </w:r>
      <w:r w:rsidRPr="008C605D">
        <w:rPr>
          <w:kern w:val="22"/>
          <w:szCs w:val="22"/>
        </w:rPr>
        <w:t>where appropriate</w:t>
      </w:r>
      <w:r>
        <w:rPr>
          <w:kern w:val="22"/>
          <w:szCs w:val="22"/>
        </w:rPr>
        <w:t>,</w:t>
      </w:r>
      <w:r w:rsidRPr="0000011D">
        <w:rPr>
          <w:i/>
          <w:iCs/>
          <w:kern w:val="22"/>
          <w:szCs w:val="22"/>
        </w:rPr>
        <w:t xml:space="preserve"> </w:t>
      </w:r>
      <w:r w:rsidRPr="0000011D">
        <w:rPr>
          <w:kern w:val="22"/>
          <w:szCs w:val="22"/>
        </w:rPr>
        <w:t xml:space="preserve">relevant organizations to </w:t>
      </w:r>
      <w:r w:rsidRPr="008C605D">
        <w:rPr>
          <w:kern w:val="22"/>
          <w:szCs w:val="22"/>
        </w:rPr>
        <w:t>incorporate</w:t>
      </w:r>
      <w:r>
        <w:rPr>
          <w:kern w:val="22"/>
          <w:szCs w:val="22"/>
        </w:rPr>
        <w:t xml:space="preserve"> </w:t>
      </w:r>
      <w:r w:rsidRPr="0000011D">
        <w:rPr>
          <w:kern w:val="22"/>
          <w:szCs w:val="22"/>
        </w:rPr>
        <w:t xml:space="preserve">the </w:t>
      </w:r>
      <w:r>
        <w:rPr>
          <w:kern w:val="22"/>
          <w:szCs w:val="22"/>
        </w:rPr>
        <w:t>G</w:t>
      </w:r>
      <w:r w:rsidRPr="0000011D">
        <w:rPr>
          <w:kern w:val="22"/>
          <w:szCs w:val="22"/>
        </w:rPr>
        <w:t xml:space="preserve">ender </w:t>
      </w:r>
      <w:r>
        <w:rPr>
          <w:kern w:val="22"/>
          <w:szCs w:val="22"/>
        </w:rPr>
        <w:t>P</w:t>
      </w:r>
      <w:r w:rsidRPr="0000011D">
        <w:rPr>
          <w:kern w:val="22"/>
          <w:szCs w:val="22"/>
        </w:rPr>
        <w:t xml:space="preserve">lan of </w:t>
      </w:r>
      <w:r>
        <w:rPr>
          <w:kern w:val="22"/>
          <w:szCs w:val="22"/>
        </w:rPr>
        <w:t>A</w:t>
      </w:r>
      <w:r w:rsidRPr="0000011D">
        <w:rPr>
          <w:kern w:val="22"/>
          <w:szCs w:val="22"/>
        </w:rPr>
        <w:t>ction in national biodiversity strategies and action plans, and to include gender</w:t>
      </w:r>
      <w:r>
        <w:rPr>
          <w:kern w:val="22"/>
          <w:szCs w:val="22"/>
        </w:rPr>
        <w:noBreakHyphen/>
      </w:r>
      <w:r w:rsidRPr="0000011D">
        <w:rPr>
          <w:kern w:val="22"/>
          <w:szCs w:val="22"/>
        </w:rPr>
        <w:t>specific indicators in the development of national indicators, collecting data disaggregated by sex, age and other demographic factors</w:t>
      </w:r>
      <w:r>
        <w:rPr>
          <w:kern w:val="22"/>
          <w:szCs w:val="22"/>
        </w:rPr>
        <w:t xml:space="preserve"> and gender indicators</w:t>
      </w:r>
      <w:r w:rsidRPr="0000011D">
        <w:rPr>
          <w:kern w:val="22"/>
          <w:szCs w:val="22"/>
        </w:rPr>
        <w:t>, where possible;</w:t>
      </w:r>
      <w:r>
        <w:rPr>
          <w:kern w:val="22"/>
          <w:szCs w:val="22"/>
        </w:rPr>
        <w:t xml:space="preserve"> </w:t>
      </w:r>
    </w:p>
    <w:p w14:paraId="737CBF4F" w14:textId="77777777" w:rsidR="00FE6115" w:rsidRPr="00F177A2" w:rsidRDefault="00FE6115" w:rsidP="00737611">
      <w:pPr>
        <w:suppressLineNumbers/>
        <w:suppressAutoHyphens/>
        <w:kinsoku w:val="0"/>
        <w:overflowPunct w:val="0"/>
        <w:autoSpaceDE w:val="0"/>
        <w:autoSpaceDN w:val="0"/>
        <w:spacing w:before="120" w:after="120"/>
        <w:ind w:firstLine="720"/>
        <w:rPr>
          <w:kern w:val="22"/>
          <w:szCs w:val="22"/>
          <w:lang w:val="en-US"/>
        </w:rPr>
      </w:pPr>
      <w:r>
        <w:rPr>
          <w:kern w:val="22"/>
          <w:szCs w:val="22"/>
          <w:lang w:val="en-US"/>
        </w:rPr>
        <w:t>5</w:t>
      </w:r>
      <w:r w:rsidRPr="00F177A2">
        <w:rPr>
          <w:kern w:val="22"/>
          <w:szCs w:val="22"/>
          <w:lang w:val="en-US"/>
        </w:rPr>
        <w:t>.</w:t>
      </w:r>
      <w:r>
        <w:rPr>
          <w:i/>
          <w:iCs/>
          <w:kern w:val="22"/>
          <w:szCs w:val="22"/>
          <w:lang w:val="en-US"/>
        </w:rPr>
        <w:tab/>
      </w:r>
      <w:r w:rsidRPr="00565516">
        <w:rPr>
          <w:i/>
          <w:iCs/>
          <w:kern w:val="22"/>
          <w:szCs w:val="22"/>
          <w:lang w:val="en-US"/>
        </w:rPr>
        <w:t>Invites</w:t>
      </w:r>
      <w:r w:rsidRPr="00F177A2">
        <w:rPr>
          <w:kern w:val="22"/>
          <w:szCs w:val="22"/>
          <w:lang w:val="en-US"/>
        </w:rPr>
        <w:t xml:space="preserve"> Parties to implement the </w:t>
      </w:r>
      <w:r>
        <w:rPr>
          <w:kern w:val="22"/>
          <w:szCs w:val="22"/>
          <w:lang w:val="en-US"/>
        </w:rPr>
        <w:t>G</w:t>
      </w:r>
      <w:r w:rsidRPr="00F177A2">
        <w:rPr>
          <w:kern w:val="22"/>
          <w:szCs w:val="22"/>
          <w:lang w:val="en-US"/>
        </w:rPr>
        <w:t xml:space="preserve">ender </w:t>
      </w:r>
      <w:r>
        <w:rPr>
          <w:kern w:val="22"/>
          <w:szCs w:val="22"/>
          <w:lang w:val="en-US"/>
        </w:rPr>
        <w:t>P</w:t>
      </w:r>
      <w:r w:rsidRPr="00F177A2">
        <w:rPr>
          <w:kern w:val="22"/>
          <w:szCs w:val="22"/>
          <w:lang w:val="en-US"/>
        </w:rPr>
        <w:t xml:space="preserve">lan of </w:t>
      </w:r>
      <w:r>
        <w:rPr>
          <w:kern w:val="22"/>
          <w:szCs w:val="22"/>
          <w:lang w:val="en-US"/>
        </w:rPr>
        <w:t>A</w:t>
      </w:r>
      <w:r w:rsidRPr="00F177A2">
        <w:rPr>
          <w:kern w:val="22"/>
          <w:szCs w:val="22"/>
          <w:lang w:val="en-US"/>
        </w:rPr>
        <w:t>ction in synergy with gender plans or strategies developed under other relevant multilateral environmental agreements or related multilateral processes, as appropriate;</w:t>
      </w:r>
    </w:p>
    <w:p w14:paraId="13C439FB" w14:textId="77777777" w:rsidR="00FE6115" w:rsidRPr="0000011D" w:rsidRDefault="00FE6115" w:rsidP="00737611">
      <w:pPr>
        <w:spacing w:before="120" w:after="120"/>
        <w:ind w:firstLine="720"/>
        <w:rPr>
          <w:kern w:val="22"/>
          <w:szCs w:val="22"/>
        </w:rPr>
      </w:pPr>
      <w:r>
        <w:rPr>
          <w:kern w:val="22"/>
          <w:szCs w:val="22"/>
        </w:rPr>
        <w:t>6</w:t>
      </w:r>
      <w:r w:rsidRPr="0000011D">
        <w:rPr>
          <w:kern w:val="22"/>
          <w:szCs w:val="22"/>
        </w:rPr>
        <w:t>.</w:t>
      </w:r>
      <w:r w:rsidRPr="0000011D">
        <w:rPr>
          <w:i/>
          <w:iCs/>
          <w:kern w:val="22"/>
          <w:szCs w:val="22"/>
        </w:rPr>
        <w:tab/>
      </w:r>
      <w:r w:rsidRPr="00C326CF">
        <w:rPr>
          <w:i/>
          <w:iCs/>
          <w:kern w:val="22"/>
          <w:szCs w:val="22"/>
        </w:rPr>
        <w:t>Encourages</w:t>
      </w:r>
      <w:r w:rsidRPr="00C326CF">
        <w:rPr>
          <w:kern w:val="22"/>
          <w:szCs w:val="22"/>
        </w:rPr>
        <w:t xml:space="preserve"> </w:t>
      </w:r>
      <w:r w:rsidRPr="0000011D">
        <w:rPr>
          <w:kern w:val="22"/>
          <w:szCs w:val="22"/>
        </w:rPr>
        <w:t xml:space="preserve">Parties to submit information </w:t>
      </w:r>
      <w:r w:rsidRPr="00C91C9F">
        <w:rPr>
          <w:kern w:val="22"/>
          <w:szCs w:val="22"/>
        </w:rPr>
        <w:t>on efforts and steps taken</w:t>
      </w:r>
      <w:r w:rsidRPr="0000011D">
        <w:rPr>
          <w:kern w:val="22"/>
          <w:szCs w:val="22"/>
        </w:rPr>
        <w:t xml:space="preserve"> to implement the </w:t>
      </w:r>
      <w:r>
        <w:rPr>
          <w:kern w:val="22"/>
          <w:szCs w:val="22"/>
        </w:rPr>
        <w:t>G</w:t>
      </w:r>
      <w:r w:rsidRPr="0000011D">
        <w:rPr>
          <w:kern w:val="22"/>
          <w:szCs w:val="22"/>
        </w:rPr>
        <w:t xml:space="preserve">ender </w:t>
      </w:r>
      <w:r>
        <w:rPr>
          <w:kern w:val="22"/>
          <w:szCs w:val="22"/>
        </w:rPr>
        <w:t>P</w:t>
      </w:r>
      <w:r w:rsidRPr="0000011D">
        <w:rPr>
          <w:kern w:val="22"/>
          <w:szCs w:val="22"/>
        </w:rPr>
        <w:t xml:space="preserve">lan of </w:t>
      </w:r>
      <w:r>
        <w:rPr>
          <w:kern w:val="22"/>
          <w:szCs w:val="22"/>
        </w:rPr>
        <w:t>A</w:t>
      </w:r>
      <w:r w:rsidRPr="0000011D">
        <w:rPr>
          <w:kern w:val="22"/>
          <w:szCs w:val="22"/>
        </w:rPr>
        <w:t>ction in their national reporting, including sex-disaggregated data;</w:t>
      </w:r>
    </w:p>
    <w:p w14:paraId="69F10475" w14:textId="77777777" w:rsidR="00FE6115" w:rsidRPr="0000011D" w:rsidRDefault="00FE6115" w:rsidP="00737611">
      <w:pPr>
        <w:spacing w:before="120" w:after="120"/>
        <w:ind w:firstLine="720"/>
        <w:rPr>
          <w:kern w:val="22"/>
          <w:szCs w:val="22"/>
        </w:rPr>
      </w:pPr>
      <w:r>
        <w:rPr>
          <w:kern w:val="22"/>
          <w:szCs w:val="22"/>
        </w:rPr>
        <w:t>7</w:t>
      </w:r>
      <w:r w:rsidRPr="0000011D">
        <w:rPr>
          <w:kern w:val="22"/>
          <w:szCs w:val="22"/>
        </w:rPr>
        <w:t>.</w:t>
      </w:r>
      <w:r w:rsidRPr="0000011D">
        <w:rPr>
          <w:i/>
          <w:iCs/>
          <w:kern w:val="22"/>
          <w:szCs w:val="22"/>
        </w:rPr>
        <w:tab/>
      </w:r>
      <w:r>
        <w:rPr>
          <w:i/>
          <w:iCs/>
          <w:kern w:val="22"/>
          <w:szCs w:val="22"/>
        </w:rPr>
        <w:t>Also e</w:t>
      </w:r>
      <w:r w:rsidRPr="0000011D">
        <w:rPr>
          <w:i/>
          <w:iCs/>
          <w:kern w:val="22"/>
          <w:szCs w:val="22"/>
        </w:rPr>
        <w:t xml:space="preserve">ncourages </w:t>
      </w:r>
      <w:r w:rsidRPr="0000011D">
        <w:rPr>
          <w:kern w:val="22"/>
          <w:szCs w:val="22"/>
        </w:rPr>
        <w:t>Parties to appoint and provide support for a national gender and biodiversity focal point for biodiversity negotiations, implementation and monitoring;</w:t>
      </w:r>
    </w:p>
    <w:p w14:paraId="5E44F822" w14:textId="77777777" w:rsidR="00FE6115" w:rsidRPr="0000011D" w:rsidRDefault="00FE6115" w:rsidP="00737611">
      <w:pPr>
        <w:spacing w:before="120" w:after="120"/>
        <w:ind w:firstLine="720"/>
        <w:rPr>
          <w:kern w:val="22"/>
          <w:szCs w:val="22"/>
        </w:rPr>
      </w:pPr>
      <w:r>
        <w:rPr>
          <w:kern w:val="22"/>
          <w:szCs w:val="22"/>
        </w:rPr>
        <w:t>8</w:t>
      </w:r>
      <w:r w:rsidRPr="0000011D">
        <w:rPr>
          <w:kern w:val="22"/>
          <w:szCs w:val="22"/>
        </w:rPr>
        <w:t>.</w:t>
      </w:r>
      <w:r w:rsidRPr="0000011D">
        <w:rPr>
          <w:i/>
          <w:iCs/>
          <w:kern w:val="22"/>
          <w:szCs w:val="22"/>
        </w:rPr>
        <w:tab/>
        <w:t xml:space="preserve">Requests </w:t>
      </w:r>
      <w:r w:rsidRPr="0000011D">
        <w:rPr>
          <w:kern w:val="22"/>
          <w:szCs w:val="22"/>
        </w:rPr>
        <w:t>the Executive Secretary, in collaboration with Parties</w:t>
      </w:r>
      <w:r>
        <w:rPr>
          <w:kern w:val="22"/>
          <w:szCs w:val="22"/>
        </w:rPr>
        <w:t xml:space="preserve">, indigenous peoples and local communities, </w:t>
      </w:r>
      <w:r w:rsidRPr="0062610F">
        <w:rPr>
          <w:kern w:val="22"/>
          <w:szCs w:val="22"/>
        </w:rPr>
        <w:t>women’s and youth</w:t>
      </w:r>
      <w:r>
        <w:rPr>
          <w:kern w:val="22"/>
          <w:szCs w:val="22"/>
        </w:rPr>
        <w:t xml:space="preserve"> organizations, </w:t>
      </w:r>
      <w:r w:rsidRPr="0000011D">
        <w:rPr>
          <w:kern w:val="22"/>
          <w:szCs w:val="22"/>
        </w:rPr>
        <w:t xml:space="preserve">and other relevant </w:t>
      </w:r>
      <w:r w:rsidRPr="00C326CF">
        <w:rPr>
          <w:kern w:val="22"/>
          <w:szCs w:val="22"/>
        </w:rPr>
        <w:t>stakeholders,</w:t>
      </w:r>
      <w:r w:rsidRPr="0000011D">
        <w:rPr>
          <w:kern w:val="22"/>
          <w:szCs w:val="22"/>
        </w:rPr>
        <w:t xml:space="preserve"> to facilitate outreach and capacity</w:t>
      </w:r>
      <w:r w:rsidRPr="0000011D">
        <w:rPr>
          <w:kern w:val="22"/>
          <w:szCs w:val="22"/>
        </w:rPr>
        <w:noBreakHyphen/>
        <w:t xml:space="preserve">building </w:t>
      </w:r>
      <w:r w:rsidRPr="00DF4F16">
        <w:rPr>
          <w:kern w:val="22"/>
          <w:szCs w:val="22"/>
        </w:rPr>
        <w:t>and development</w:t>
      </w:r>
      <w:r>
        <w:rPr>
          <w:kern w:val="22"/>
          <w:szCs w:val="22"/>
        </w:rPr>
        <w:t xml:space="preserve"> </w:t>
      </w:r>
      <w:r w:rsidRPr="0000011D">
        <w:rPr>
          <w:kern w:val="22"/>
          <w:szCs w:val="22"/>
        </w:rPr>
        <w:t>activities with a view to exchang</w:t>
      </w:r>
      <w:r w:rsidRPr="00425D43">
        <w:rPr>
          <w:kern w:val="22"/>
          <w:szCs w:val="22"/>
        </w:rPr>
        <w:t>ing</w:t>
      </w:r>
      <w:r w:rsidRPr="0000011D">
        <w:rPr>
          <w:kern w:val="22"/>
          <w:szCs w:val="22"/>
        </w:rPr>
        <w:t xml:space="preserve"> experiences, good practices, and lessons learned, to support the implementation of the </w:t>
      </w:r>
      <w:r>
        <w:rPr>
          <w:kern w:val="22"/>
          <w:szCs w:val="22"/>
        </w:rPr>
        <w:t>G</w:t>
      </w:r>
      <w:r w:rsidRPr="0000011D">
        <w:rPr>
          <w:kern w:val="22"/>
          <w:szCs w:val="22"/>
        </w:rPr>
        <w:t xml:space="preserve">ender </w:t>
      </w:r>
      <w:r>
        <w:rPr>
          <w:kern w:val="22"/>
          <w:szCs w:val="22"/>
        </w:rPr>
        <w:t>P</w:t>
      </w:r>
      <w:r w:rsidRPr="0000011D">
        <w:rPr>
          <w:kern w:val="22"/>
          <w:szCs w:val="22"/>
        </w:rPr>
        <w:t xml:space="preserve">lan of </w:t>
      </w:r>
      <w:r>
        <w:rPr>
          <w:kern w:val="22"/>
          <w:szCs w:val="22"/>
        </w:rPr>
        <w:t>A</w:t>
      </w:r>
      <w:r w:rsidRPr="0000011D">
        <w:rPr>
          <w:kern w:val="22"/>
          <w:szCs w:val="22"/>
        </w:rPr>
        <w:t>ction;</w:t>
      </w:r>
    </w:p>
    <w:p w14:paraId="16F02551" w14:textId="77777777" w:rsidR="00FE6115" w:rsidRPr="0000011D" w:rsidRDefault="00FE6115" w:rsidP="00737611">
      <w:pPr>
        <w:spacing w:before="120" w:after="120"/>
        <w:ind w:firstLine="720"/>
        <w:rPr>
          <w:i/>
          <w:iCs/>
          <w:kern w:val="22"/>
          <w:szCs w:val="22"/>
        </w:rPr>
      </w:pPr>
      <w:r>
        <w:rPr>
          <w:kern w:val="22"/>
          <w:szCs w:val="22"/>
        </w:rPr>
        <w:t>9</w:t>
      </w:r>
      <w:r w:rsidRPr="0000011D">
        <w:rPr>
          <w:kern w:val="22"/>
          <w:szCs w:val="22"/>
        </w:rPr>
        <w:t>.</w:t>
      </w:r>
      <w:r w:rsidRPr="0000011D">
        <w:rPr>
          <w:i/>
          <w:iCs/>
          <w:kern w:val="22"/>
          <w:szCs w:val="22"/>
        </w:rPr>
        <w:tab/>
        <w:t>Also requests</w:t>
      </w:r>
      <w:r w:rsidRPr="0000011D">
        <w:rPr>
          <w:kern w:val="22"/>
          <w:szCs w:val="22"/>
        </w:rPr>
        <w:t xml:space="preserve"> the Executive Secretary, based inter alia on the information received pursuant to paragraph </w:t>
      </w:r>
      <w:r>
        <w:rPr>
          <w:kern w:val="22"/>
          <w:szCs w:val="22"/>
        </w:rPr>
        <w:t>6</w:t>
      </w:r>
      <w:r w:rsidRPr="0000011D">
        <w:rPr>
          <w:kern w:val="22"/>
          <w:szCs w:val="22"/>
        </w:rPr>
        <w:t xml:space="preserve"> above and with the support of relevant partners, to undertake a mid-term review of implementation of the </w:t>
      </w:r>
      <w:r>
        <w:rPr>
          <w:kern w:val="22"/>
          <w:szCs w:val="22"/>
        </w:rPr>
        <w:t>G</w:t>
      </w:r>
      <w:r w:rsidRPr="0000011D">
        <w:rPr>
          <w:kern w:val="22"/>
          <w:szCs w:val="22"/>
        </w:rPr>
        <w:t xml:space="preserve">ender </w:t>
      </w:r>
      <w:r>
        <w:rPr>
          <w:kern w:val="22"/>
          <w:szCs w:val="22"/>
        </w:rPr>
        <w:t>P</w:t>
      </w:r>
      <w:r w:rsidRPr="0000011D">
        <w:rPr>
          <w:kern w:val="22"/>
          <w:szCs w:val="22"/>
        </w:rPr>
        <w:t xml:space="preserve">lan of </w:t>
      </w:r>
      <w:r>
        <w:rPr>
          <w:kern w:val="22"/>
          <w:szCs w:val="22"/>
        </w:rPr>
        <w:t>A</w:t>
      </w:r>
      <w:r w:rsidRPr="0000011D">
        <w:rPr>
          <w:kern w:val="22"/>
          <w:szCs w:val="22"/>
        </w:rPr>
        <w:t>ction,</w:t>
      </w:r>
      <w:r>
        <w:rPr>
          <w:kern w:val="22"/>
          <w:szCs w:val="22"/>
        </w:rPr>
        <w:t xml:space="preserve"> </w:t>
      </w:r>
      <w:r w:rsidRPr="0000011D">
        <w:rPr>
          <w:kern w:val="22"/>
          <w:szCs w:val="22"/>
        </w:rPr>
        <w:t xml:space="preserve">identifying progress, lessons learned, and further work to be undertaken for consideration </w:t>
      </w:r>
      <w:r w:rsidRPr="00425D43">
        <w:rPr>
          <w:kern w:val="22"/>
          <w:szCs w:val="22"/>
        </w:rPr>
        <w:t>by</w:t>
      </w:r>
      <w:r w:rsidRPr="0000011D">
        <w:rPr>
          <w:kern w:val="22"/>
          <w:szCs w:val="22"/>
        </w:rPr>
        <w:t xml:space="preserve"> the Subsidiary Body on Implementation at </w:t>
      </w:r>
      <w:r>
        <w:rPr>
          <w:kern w:val="22"/>
          <w:szCs w:val="22"/>
        </w:rPr>
        <w:t xml:space="preserve">a </w:t>
      </w:r>
      <w:r w:rsidRPr="0000011D">
        <w:rPr>
          <w:kern w:val="22"/>
          <w:szCs w:val="22"/>
        </w:rPr>
        <w:t>meeting</w:t>
      </w:r>
      <w:r>
        <w:rPr>
          <w:kern w:val="22"/>
          <w:szCs w:val="22"/>
        </w:rPr>
        <w:t xml:space="preserve"> held before the seventeenth meeting of the Conference of the Parties</w:t>
      </w:r>
      <w:r w:rsidRPr="0000011D">
        <w:rPr>
          <w:kern w:val="22"/>
          <w:szCs w:val="22"/>
        </w:rPr>
        <w:t>;</w:t>
      </w:r>
    </w:p>
    <w:p w14:paraId="15D45CA9" w14:textId="77777777" w:rsidR="00FE6115" w:rsidRPr="0000011D" w:rsidRDefault="00FE6115" w:rsidP="00737611">
      <w:pPr>
        <w:spacing w:before="120" w:after="120"/>
        <w:ind w:firstLine="720"/>
        <w:rPr>
          <w:kern w:val="22"/>
          <w:szCs w:val="22"/>
        </w:rPr>
      </w:pPr>
      <w:r>
        <w:rPr>
          <w:kern w:val="22"/>
          <w:szCs w:val="22"/>
        </w:rPr>
        <w:t>10</w:t>
      </w:r>
      <w:r w:rsidRPr="00560086">
        <w:rPr>
          <w:kern w:val="22"/>
          <w:szCs w:val="22"/>
        </w:rPr>
        <w:t>.</w:t>
      </w:r>
      <w:r w:rsidRPr="0000011D">
        <w:rPr>
          <w:i/>
          <w:iCs/>
          <w:kern w:val="22"/>
          <w:szCs w:val="22"/>
        </w:rPr>
        <w:tab/>
      </w:r>
      <w:r w:rsidRPr="00BE422A">
        <w:rPr>
          <w:i/>
          <w:iCs/>
          <w:kern w:val="22"/>
          <w:szCs w:val="22"/>
        </w:rPr>
        <w:t>Invites</w:t>
      </w:r>
      <w:r>
        <w:rPr>
          <w:b/>
          <w:bCs/>
          <w:i/>
          <w:iCs/>
          <w:kern w:val="22"/>
          <w:szCs w:val="22"/>
        </w:rPr>
        <w:t xml:space="preserve"> </w:t>
      </w:r>
      <w:r w:rsidRPr="00BC10D7">
        <w:rPr>
          <w:kern w:val="22"/>
          <w:szCs w:val="22"/>
        </w:rPr>
        <w:t>the</w:t>
      </w:r>
      <w:r>
        <w:rPr>
          <w:i/>
          <w:iCs/>
          <w:kern w:val="22"/>
          <w:szCs w:val="22"/>
        </w:rPr>
        <w:t xml:space="preserve"> </w:t>
      </w:r>
      <w:r w:rsidRPr="00BE422A">
        <w:rPr>
          <w:kern w:val="22"/>
          <w:szCs w:val="22"/>
        </w:rPr>
        <w:t>Global Environment Facility</w:t>
      </w:r>
      <w:r w:rsidRPr="00BC10D7">
        <w:rPr>
          <w:kern w:val="22"/>
          <w:szCs w:val="22"/>
        </w:rPr>
        <w:t xml:space="preserve"> </w:t>
      </w:r>
      <w:r>
        <w:rPr>
          <w:kern w:val="22"/>
          <w:szCs w:val="22"/>
        </w:rPr>
        <w:t xml:space="preserve">and </w:t>
      </w:r>
      <w:r w:rsidRPr="00BE422A">
        <w:rPr>
          <w:kern w:val="22"/>
          <w:szCs w:val="22"/>
        </w:rPr>
        <w:t>relevant bilateral and multilateral funding organizations to provide technical and financial support</w:t>
      </w:r>
      <w:r>
        <w:rPr>
          <w:kern w:val="22"/>
          <w:szCs w:val="22"/>
        </w:rPr>
        <w:t>,</w:t>
      </w:r>
      <w:r w:rsidRPr="00BE422A">
        <w:rPr>
          <w:kern w:val="22"/>
          <w:szCs w:val="22"/>
        </w:rPr>
        <w:t xml:space="preserve"> as well as capacity</w:t>
      </w:r>
      <w:r w:rsidRPr="00560086">
        <w:rPr>
          <w:kern w:val="22"/>
          <w:szCs w:val="22"/>
        </w:rPr>
        <w:noBreakHyphen/>
        <w:t>building</w:t>
      </w:r>
      <w:r w:rsidRPr="000A455C">
        <w:rPr>
          <w:kern w:val="22"/>
          <w:szCs w:val="22"/>
        </w:rPr>
        <w:t xml:space="preserve"> </w:t>
      </w:r>
      <w:r w:rsidRPr="00BC10D7">
        <w:rPr>
          <w:kern w:val="22"/>
          <w:szCs w:val="22"/>
        </w:rPr>
        <w:t>and development</w:t>
      </w:r>
      <w:r w:rsidRPr="00BE422A">
        <w:rPr>
          <w:kern w:val="22"/>
          <w:szCs w:val="22"/>
        </w:rPr>
        <w:t xml:space="preserve">, for implementation of the </w:t>
      </w:r>
      <w:r>
        <w:rPr>
          <w:kern w:val="22"/>
          <w:szCs w:val="22"/>
        </w:rPr>
        <w:t>G</w:t>
      </w:r>
      <w:r w:rsidRPr="00BE422A">
        <w:rPr>
          <w:kern w:val="22"/>
          <w:szCs w:val="22"/>
        </w:rPr>
        <w:t xml:space="preserve">ender </w:t>
      </w:r>
      <w:r>
        <w:rPr>
          <w:kern w:val="22"/>
          <w:szCs w:val="22"/>
        </w:rPr>
        <w:t>P</w:t>
      </w:r>
      <w:r w:rsidRPr="00BE422A">
        <w:rPr>
          <w:kern w:val="22"/>
          <w:szCs w:val="22"/>
        </w:rPr>
        <w:t xml:space="preserve">lan of </w:t>
      </w:r>
      <w:r>
        <w:rPr>
          <w:kern w:val="22"/>
          <w:szCs w:val="22"/>
        </w:rPr>
        <w:t>A</w:t>
      </w:r>
      <w:r w:rsidRPr="00BE422A">
        <w:rPr>
          <w:kern w:val="22"/>
          <w:szCs w:val="22"/>
        </w:rPr>
        <w:t>ction;</w:t>
      </w:r>
    </w:p>
    <w:p w14:paraId="0EF376C5" w14:textId="4D478D1C" w:rsidR="00FE6115" w:rsidRPr="00281F65" w:rsidRDefault="00FE6115" w:rsidP="00737611">
      <w:pPr>
        <w:spacing w:before="120" w:after="120"/>
        <w:ind w:firstLine="720"/>
        <w:rPr>
          <w:szCs w:val="22"/>
        </w:rPr>
      </w:pPr>
      <w:r w:rsidRPr="00CD5383">
        <w:rPr>
          <w:szCs w:val="22"/>
        </w:rPr>
        <w:lastRenderedPageBreak/>
        <w:t>1</w:t>
      </w:r>
      <w:r>
        <w:rPr>
          <w:szCs w:val="22"/>
        </w:rPr>
        <w:t>1</w:t>
      </w:r>
      <w:r w:rsidRPr="00CD5383">
        <w:rPr>
          <w:szCs w:val="22"/>
        </w:rPr>
        <w:t>.</w:t>
      </w:r>
      <w:r>
        <w:rPr>
          <w:i/>
          <w:iCs/>
          <w:szCs w:val="22"/>
        </w:rPr>
        <w:tab/>
        <w:t>Encourages</w:t>
      </w:r>
      <w:r w:rsidRPr="00565516">
        <w:rPr>
          <w:szCs w:val="22"/>
        </w:rPr>
        <w:t xml:space="preserve"> Parties</w:t>
      </w:r>
      <w:r w:rsidRPr="00281F65">
        <w:rPr>
          <w:szCs w:val="22"/>
        </w:rPr>
        <w:t xml:space="preserve"> to increase representation of women in their delegations to meetings</w:t>
      </w:r>
      <w:r>
        <w:rPr>
          <w:szCs w:val="22"/>
        </w:rPr>
        <w:t xml:space="preserve"> of the Convention on Biological Diversity</w:t>
      </w:r>
      <w:r w:rsidRPr="00281F65">
        <w:rPr>
          <w:szCs w:val="22"/>
        </w:rPr>
        <w:t xml:space="preserve">, with a view to achieving gender </w:t>
      </w:r>
      <w:r>
        <w:rPr>
          <w:szCs w:val="22"/>
        </w:rPr>
        <w:t>equality</w:t>
      </w:r>
      <w:r w:rsidRPr="00281F65">
        <w:rPr>
          <w:szCs w:val="22"/>
        </w:rPr>
        <w:t xml:space="preserve">, including through requests for support for participation </w:t>
      </w:r>
      <w:r w:rsidRPr="00565516">
        <w:rPr>
          <w:szCs w:val="22"/>
        </w:rPr>
        <w:t>through</w:t>
      </w:r>
      <w:r w:rsidRPr="00281F65">
        <w:rPr>
          <w:szCs w:val="22"/>
        </w:rPr>
        <w:t xml:space="preserve"> the </w:t>
      </w:r>
      <w:r w:rsidRPr="00CD5383">
        <w:rPr>
          <w:szCs w:val="22"/>
        </w:rPr>
        <w:t>Special Voluntary Trust Fund (BZ),</w:t>
      </w:r>
      <w:r w:rsidRPr="00281F65">
        <w:rPr>
          <w:szCs w:val="22"/>
        </w:rPr>
        <w:t xml:space="preserve"> </w:t>
      </w:r>
      <w:r>
        <w:rPr>
          <w:szCs w:val="22"/>
        </w:rPr>
        <w:t>where</w:t>
      </w:r>
      <w:r w:rsidRPr="00281F65">
        <w:rPr>
          <w:szCs w:val="22"/>
        </w:rPr>
        <w:t xml:space="preserve"> applicable; </w:t>
      </w:r>
    </w:p>
    <w:p w14:paraId="2D201FF6" w14:textId="77777777" w:rsidR="00FE6115" w:rsidRPr="0000011D" w:rsidRDefault="00FE6115" w:rsidP="00737611">
      <w:pPr>
        <w:suppressLineNumbers/>
        <w:suppressAutoHyphens/>
        <w:kinsoku w:val="0"/>
        <w:overflowPunct w:val="0"/>
        <w:autoSpaceDE w:val="0"/>
        <w:autoSpaceDN w:val="0"/>
        <w:spacing w:before="120" w:after="120"/>
        <w:ind w:firstLine="720"/>
        <w:rPr>
          <w:kern w:val="22"/>
          <w:szCs w:val="22"/>
        </w:rPr>
      </w:pPr>
      <w:r w:rsidRPr="0000011D">
        <w:rPr>
          <w:kern w:val="22"/>
          <w:szCs w:val="22"/>
        </w:rPr>
        <w:t>1</w:t>
      </w:r>
      <w:r>
        <w:rPr>
          <w:kern w:val="22"/>
          <w:szCs w:val="22"/>
        </w:rPr>
        <w:t>2</w:t>
      </w:r>
      <w:r w:rsidRPr="0000011D">
        <w:rPr>
          <w:kern w:val="22"/>
          <w:szCs w:val="22"/>
        </w:rPr>
        <w:t>.</w:t>
      </w:r>
      <w:r w:rsidRPr="0000011D">
        <w:rPr>
          <w:kern w:val="22"/>
          <w:szCs w:val="22"/>
        </w:rPr>
        <w:tab/>
      </w:r>
      <w:r>
        <w:rPr>
          <w:i/>
          <w:iCs/>
          <w:kern w:val="22"/>
          <w:szCs w:val="22"/>
        </w:rPr>
        <w:t>I</w:t>
      </w:r>
      <w:r w:rsidRPr="0000011D">
        <w:rPr>
          <w:i/>
          <w:iCs/>
          <w:kern w:val="22"/>
          <w:szCs w:val="22"/>
        </w:rPr>
        <w:t xml:space="preserve">nvites </w:t>
      </w:r>
      <w:r w:rsidRPr="0000011D">
        <w:rPr>
          <w:kern w:val="22"/>
          <w:szCs w:val="22"/>
        </w:rPr>
        <w:t>Parties, and relevant public and private entities,</w:t>
      </w:r>
      <w:r>
        <w:rPr>
          <w:kern w:val="22"/>
          <w:szCs w:val="22"/>
        </w:rPr>
        <w:t xml:space="preserve"> </w:t>
      </w:r>
      <w:r w:rsidRPr="0000011D">
        <w:rPr>
          <w:kern w:val="22"/>
          <w:szCs w:val="22"/>
        </w:rPr>
        <w:t>to increase the gender responsiveness</w:t>
      </w:r>
      <w:r>
        <w:rPr>
          <w:kern w:val="22"/>
          <w:szCs w:val="22"/>
        </w:rPr>
        <w:t xml:space="preserve"> </w:t>
      </w:r>
      <w:r w:rsidRPr="0000011D">
        <w:rPr>
          <w:kern w:val="22"/>
          <w:szCs w:val="22"/>
        </w:rPr>
        <w:t xml:space="preserve">of biodiversity capacity-building </w:t>
      </w:r>
      <w:r w:rsidRPr="00DE393E">
        <w:rPr>
          <w:kern w:val="22"/>
          <w:szCs w:val="22"/>
        </w:rPr>
        <w:t>and development</w:t>
      </w:r>
      <w:r>
        <w:rPr>
          <w:kern w:val="22"/>
          <w:szCs w:val="22"/>
        </w:rPr>
        <w:t xml:space="preserve">, technical and scientific cooperation and </w:t>
      </w:r>
      <w:r w:rsidRPr="00DE393E">
        <w:rPr>
          <w:kern w:val="22"/>
          <w:szCs w:val="22"/>
        </w:rPr>
        <w:t>technology transfer,</w:t>
      </w:r>
      <w:r w:rsidRPr="0000011D">
        <w:rPr>
          <w:kern w:val="22"/>
          <w:szCs w:val="22"/>
        </w:rPr>
        <w:t xml:space="preserve"> provision of financial resources</w:t>
      </w:r>
      <w:r>
        <w:rPr>
          <w:kern w:val="22"/>
          <w:szCs w:val="22"/>
        </w:rPr>
        <w:t xml:space="preserve">, </w:t>
      </w:r>
      <w:r w:rsidRPr="0000011D">
        <w:rPr>
          <w:kern w:val="22"/>
          <w:szCs w:val="22"/>
        </w:rPr>
        <w:t xml:space="preserve">and other means of implementation, with </w:t>
      </w:r>
      <w:r w:rsidRPr="001D19D0">
        <w:rPr>
          <w:kern w:val="22"/>
          <w:szCs w:val="22"/>
        </w:rPr>
        <w:t>the aim of strengthening the support</w:t>
      </w:r>
      <w:r w:rsidRPr="0000011D">
        <w:rPr>
          <w:kern w:val="22"/>
          <w:szCs w:val="22"/>
        </w:rPr>
        <w:t xml:space="preserve"> for </w:t>
      </w:r>
      <w:r>
        <w:rPr>
          <w:kern w:val="22"/>
          <w:szCs w:val="22"/>
        </w:rPr>
        <w:t xml:space="preserve">the </w:t>
      </w:r>
      <w:r w:rsidRPr="0000011D">
        <w:rPr>
          <w:kern w:val="22"/>
          <w:szCs w:val="22"/>
        </w:rPr>
        <w:t>full and effective participation</w:t>
      </w:r>
      <w:r>
        <w:rPr>
          <w:kern w:val="22"/>
          <w:szCs w:val="22"/>
        </w:rPr>
        <w:t xml:space="preserve"> of </w:t>
      </w:r>
      <w:r w:rsidRPr="0000011D">
        <w:rPr>
          <w:kern w:val="22"/>
          <w:szCs w:val="22"/>
        </w:rPr>
        <w:t xml:space="preserve">women </w:t>
      </w:r>
      <w:r w:rsidRPr="00DE393E">
        <w:rPr>
          <w:kern w:val="22"/>
          <w:szCs w:val="22"/>
        </w:rPr>
        <w:t>and girl</w:t>
      </w:r>
      <w:r>
        <w:rPr>
          <w:kern w:val="22"/>
          <w:szCs w:val="22"/>
        </w:rPr>
        <w:t>s</w:t>
      </w:r>
      <w:r w:rsidRPr="0000011D">
        <w:rPr>
          <w:kern w:val="22"/>
          <w:szCs w:val="22"/>
        </w:rPr>
        <w:t>.</w:t>
      </w:r>
    </w:p>
    <w:p w14:paraId="1FF9FC80" w14:textId="77777777" w:rsidR="00FE6115" w:rsidRPr="006E07A1" w:rsidRDefault="00FE6115" w:rsidP="00790F2A">
      <w:pPr>
        <w:spacing w:before="120" w:after="120"/>
        <w:jc w:val="center"/>
        <w:rPr>
          <w:b/>
          <w:i/>
          <w:iCs/>
          <w:szCs w:val="22"/>
        </w:rPr>
      </w:pPr>
      <w:r w:rsidRPr="006E07A1">
        <w:rPr>
          <w:i/>
          <w:iCs/>
          <w:szCs w:val="22"/>
        </w:rPr>
        <w:t>Annex</w:t>
      </w:r>
    </w:p>
    <w:p w14:paraId="54588EF1" w14:textId="77777777" w:rsidR="00FE6115" w:rsidRPr="006E07A1" w:rsidRDefault="00FE6115" w:rsidP="00265970">
      <w:pPr>
        <w:spacing w:before="120" w:after="120"/>
        <w:jc w:val="center"/>
        <w:rPr>
          <w:rFonts w:eastAsia="Malgun Gothic"/>
          <w:b/>
          <w:bCs/>
          <w:szCs w:val="22"/>
        </w:rPr>
      </w:pPr>
      <w:r w:rsidRPr="006E07A1">
        <w:rPr>
          <w:b/>
          <w:bCs/>
          <w:szCs w:val="22"/>
        </w:rPr>
        <w:t>GENDER PLAN OF ACTION (2023-2030)</w:t>
      </w:r>
    </w:p>
    <w:p w14:paraId="6470A896" w14:textId="77777777" w:rsidR="00FE6115" w:rsidRPr="006E07A1" w:rsidRDefault="00FE6115" w:rsidP="003F10F8">
      <w:pPr>
        <w:keepNext/>
        <w:tabs>
          <w:tab w:val="left" w:pos="567"/>
        </w:tabs>
        <w:spacing w:before="120" w:after="120"/>
        <w:ind w:right="289"/>
        <w:jc w:val="center"/>
        <w:rPr>
          <w:b/>
          <w:bCs/>
          <w:snapToGrid w:val="0"/>
          <w:szCs w:val="22"/>
        </w:rPr>
      </w:pPr>
      <w:r w:rsidRPr="006E07A1">
        <w:rPr>
          <w:b/>
          <w:bCs/>
          <w:snapToGrid w:val="0"/>
          <w:szCs w:val="22"/>
        </w:rPr>
        <w:t>I.</w:t>
      </w:r>
      <w:r w:rsidRPr="006E07A1">
        <w:rPr>
          <w:b/>
          <w:bCs/>
          <w:snapToGrid w:val="0"/>
          <w:szCs w:val="22"/>
        </w:rPr>
        <w:tab/>
        <w:t>PURPOSE</w:t>
      </w:r>
    </w:p>
    <w:p w14:paraId="5100780E" w14:textId="2E212F19" w:rsidR="00FE6115" w:rsidRPr="006E07A1" w:rsidRDefault="00FE6115" w:rsidP="00737611">
      <w:pPr>
        <w:pStyle w:val="Para1"/>
        <w:suppressLineNumbers/>
        <w:shd w:val="clear" w:color="auto" w:fill="FFFFFF" w:themeFill="background1"/>
        <w:tabs>
          <w:tab w:val="left" w:pos="0"/>
        </w:tabs>
        <w:suppressAutoHyphens/>
        <w:kinsoku w:val="0"/>
        <w:adjustRightInd w:val="0"/>
        <w:rPr>
          <w:rFonts w:eastAsia="Malgun Gothic"/>
        </w:rPr>
      </w:pPr>
      <w:r w:rsidRPr="006E07A1">
        <w:t xml:space="preserve">The purpose of the </w:t>
      </w:r>
      <w:r>
        <w:t>G</w:t>
      </w:r>
      <w:r w:rsidRPr="006E07A1">
        <w:t xml:space="preserve">ender </w:t>
      </w:r>
      <w:r>
        <w:t>P</w:t>
      </w:r>
      <w:r w:rsidRPr="006E07A1">
        <w:t xml:space="preserve">lan of </w:t>
      </w:r>
      <w:r>
        <w:t>A</w:t>
      </w:r>
      <w:r w:rsidRPr="006E07A1">
        <w:t>ction is to support and promote the gender responsive</w:t>
      </w:r>
      <w:r w:rsidRPr="006E07A1">
        <w:rPr>
          <w:strike/>
        </w:rPr>
        <w:t xml:space="preserve"> </w:t>
      </w:r>
      <w:r w:rsidRPr="006E07A1">
        <w:t xml:space="preserve">implementation of the </w:t>
      </w:r>
      <w:r>
        <w:t>Kunming-Montreal</w:t>
      </w:r>
      <w:r w:rsidRPr="006E07A1">
        <w:t xml:space="preserve"> </w:t>
      </w:r>
      <w:r>
        <w:t>G</w:t>
      </w:r>
      <w:r w:rsidRPr="006E07A1">
        <w:t xml:space="preserve">lobal </w:t>
      </w:r>
      <w:r>
        <w:t>B</w:t>
      </w:r>
      <w:r w:rsidRPr="006E07A1">
        <w:t xml:space="preserve">iodiversity </w:t>
      </w:r>
      <w:r>
        <w:t>F</w:t>
      </w:r>
      <w:r w:rsidRPr="006E07A1">
        <w:t xml:space="preserve">ramework. The </w:t>
      </w:r>
      <w:r>
        <w:t>P</w:t>
      </w:r>
      <w:r w:rsidRPr="006E07A1">
        <w:t xml:space="preserve">lan </w:t>
      </w:r>
      <w:r>
        <w:t xml:space="preserve">of Action </w:t>
      </w:r>
      <w:r w:rsidRPr="006E07A1">
        <w:t xml:space="preserve">will also support a gender responsive approach to applying the implementation mechanisms associated with the </w:t>
      </w:r>
      <w:r>
        <w:t>F</w:t>
      </w:r>
      <w:r w:rsidRPr="006E07A1">
        <w:t>ramework.</w:t>
      </w:r>
    </w:p>
    <w:p w14:paraId="1A0A8AB4" w14:textId="77777777" w:rsidR="00FE6115" w:rsidRPr="006E07A1" w:rsidRDefault="00FE6115" w:rsidP="003F10F8">
      <w:pPr>
        <w:keepNext/>
        <w:tabs>
          <w:tab w:val="left" w:pos="567"/>
        </w:tabs>
        <w:spacing w:before="120" w:after="120"/>
        <w:ind w:right="289"/>
        <w:jc w:val="center"/>
        <w:rPr>
          <w:b/>
          <w:bCs/>
          <w:snapToGrid w:val="0"/>
          <w:szCs w:val="22"/>
        </w:rPr>
      </w:pPr>
      <w:r w:rsidRPr="006E07A1">
        <w:rPr>
          <w:b/>
          <w:bCs/>
          <w:snapToGrid w:val="0"/>
          <w:szCs w:val="22"/>
        </w:rPr>
        <w:t>II.</w:t>
      </w:r>
      <w:r w:rsidRPr="006E07A1">
        <w:rPr>
          <w:b/>
          <w:bCs/>
          <w:snapToGrid w:val="0"/>
          <w:szCs w:val="22"/>
        </w:rPr>
        <w:tab/>
        <w:t>MODALITIES</w:t>
      </w:r>
    </w:p>
    <w:p w14:paraId="2177D829" w14:textId="7A24F171" w:rsidR="00FE6115" w:rsidRPr="006E07A1" w:rsidRDefault="00FE6115" w:rsidP="00737611">
      <w:pPr>
        <w:pStyle w:val="Para1"/>
        <w:suppressLineNumbers/>
        <w:shd w:val="clear" w:color="auto" w:fill="FFFFFF" w:themeFill="background1"/>
        <w:tabs>
          <w:tab w:val="left" w:pos="0"/>
        </w:tabs>
        <w:suppressAutoHyphens/>
        <w:kinsoku w:val="0"/>
        <w:adjustRightInd w:val="0"/>
      </w:pPr>
      <w:r w:rsidRPr="006E07A1">
        <w:rPr>
          <w:rFonts w:eastAsiaTheme="minorHAnsi"/>
        </w:rPr>
        <w:t xml:space="preserve">The implementation of the </w:t>
      </w:r>
      <w:r>
        <w:rPr>
          <w:rFonts w:eastAsiaTheme="minorHAnsi"/>
        </w:rPr>
        <w:t>G</w:t>
      </w:r>
      <w:r w:rsidRPr="006E07A1">
        <w:rPr>
          <w:rFonts w:eastAsiaTheme="minorHAnsi"/>
        </w:rPr>
        <w:t xml:space="preserve">ender </w:t>
      </w:r>
      <w:r>
        <w:rPr>
          <w:rFonts w:eastAsiaTheme="minorHAnsi"/>
        </w:rPr>
        <w:t>P</w:t>
      </w:r>
      <w:r w:rsidRPr="006E07A1">
        <w:rPr>
          <w:rFonts w:eastAsiaTheme="minorHAnsi"/>
        </w:rPr>
        <w:t xml:space="preserve">lan of </w:t>
      </w:r>
      <w:r>
        <w:rPr>
          <w:rFonts w:eastAsiaTheme="minorHAnsi"/>
        </w:rPr>
        <w:t>A</w:t>
      </w:r>
      <w:r w:rsidRPr="006E07A1">
        <w:rPr>
          <w:rFonts w:eastAsiaTheme="minorHAnsi"/>
        </w:rPr>
        <w:t>ction and its proposed expected outcomes, objectives, and actions,</w:t>
      </w:r>
      <w:r w:rsidRPr="00610646">
        <w:rPr>
          <w:rStyle w:val="FootnoteReference"/>
          <w:rFonts w:eastAsiaTheme="minorHAnsi"/>
        </w:rPr>
        <w:footnoteReference w:id="119"/>
      </w:r>
      <w:r w:rsidRPr="006E07A1">
        <w:rPr>
          <w:rFonts w:eastAsiaTheme="minorHAnsi"/>
        </w:rPr>
        <w:t xml:space="preserve"> are based on the following modalities:</w:t>
      </w:r>
    </w:p>
    <w:p w14:paraId="0DAC5C4A" w14:textId="77777777" w:rsidR="00FE6115" w:rsidRPr="006E07A1" w:rsidRDefault="00FE6115" w:rsidP="003F10F8">
      <w:pPr>
        <w:pStyle w:val="Para1"/>
        <w:numPr>
          <w:ilvl w:val="0"/>
          <w:numId w:val="0"/>
        </w:numPr>
        <w:suppressLineNumbers/>
        <w:suppressAutoHyphens/>
        <w:kinsoku w:val="0"/>
        <w:adjustRightInd w:val="0"/>
        <w:ind w:firstLine="709"/>
        <w:rPr>
          <w:rFonts w:eastAsiaTheme="minorHAnsi"/>
          <w:b/>
          <w:bCs/>
        </w:rPr>
      </w:pPr>
      <w:r w:rsidRPr="006E07A1">
        <w:rPr>
          <w:rFonts w:eastAsiaTheme="minorHAnsi"/>
        </w:rPr>
        <w:t>(a)</w:t>
      </w:r>
      <w:r w:rsidRPr="006E07A1">
        <w:rPr>
          <w:rFonts w:eastAsiaTheme="minorHAnsi"/>
        </w:rPr>
        <w:tab/>
        <w:t xml:space="preserve">Maximizing synergies between gender equality and the conservation, sustainable use and the fair and equitable sharing of benefits arising </w:t>
      </w:r>
      <w:r>
        <w:rPr>
          <w:rFonts w:eastAsiaTheme="minorHAnsi"/>
        </w:rPr>
        <w:t>from</w:t>
      </w:r>
      <w:r w:rsidRPr="006E07A1">
        <w:rPr>
          <w:rFonts w:eastAsiaTheme="minorHAnsi"/>
        </w:rPr>
        <w:t xml:space="preserve"> the utilization of genetic resources</w:t>
      </w:r>
      <w:r>
        <w:rPr>
          <w:rFonts w:eastAsiaTheme="minorHAnsi"/>
        </w:rPr>
        <w:t>,</w:t>
      </w:r>
      <w:r w:rsidRPr="006E07A1">
        <w:rPr>
          <w:rFonts w:eastAsiaTheme="minorHAnsi"/>
          <w:b/>
          <w:bCs/>
        </w:rPr>
        <w:t xml:space="preserve"> </w:t>
      </w:r>
      <w:r w:rsidRPr="006E07A1">
        <w:rPr>
          <w:rFonts w:eastAsiaTheme="minorHAnsi"/>
        </w:rPr>
        <w:t>considering</w:t>
      </w:r>
      <w:r w:rsidRPr="006E07A1">
        <w:rPr>
          <w:rFonts w:eastAsiaTheme="minorHAnsi"/>
          <w:b/>
          <w:bCs/>
        </w:rPr>
        <w:t xml:space="preserve"> </w:t>
      </w:r>
      <w:r w:rsidRPr="006E07A1">
        <w:rPr>
          <w:rFonts w:eastAsiaTheme="minorHAnsi"/>
        </w:rPr>
        <w:t>also the consequences of climate change and land and sea</w:t>
      </w:r>
      <w:r w:rsidRPr="006E07A1">
        <w:rPr>
          <w:rFonts w:eastAsiaTheme="minorHAnsi"/>
        </w:rPr>
        <w:noBreakHyphen/>
        <w:t xml:space="preserve">use change as drivers of biodiversity loss. </w:t>
      </w:r>
      <w:r w:rsidRPr="006E07A1">
        <w:t xml:space="preserve">Recognizing the links between gender equality and key environmental concerns, the implementation of the </w:t>
      </w:r>
      <w:r>
        <w:t>G</w:t>
      </w:r>
      <w:r w:rsidRPr="006E07A1">
        <w:t xml:space="preserve">ender </w:t>
      </w:r>
      <w:r>
        <w:t>P</w:t>
      </w:r>
      <w:r w:rsidRPr="006E07A1">
        <w:t xml:space="preserve">lan of </w:t>
      </w:r>
      <w:r>
        <w:t>A</w:t>
      </w:r>
      <w:r w:rsidRPr="006E07A1">
        <w:t xml:space="preserve">ction aims to mainstream gender equality and contribute to maximizing synergies between these areas, towards meeting shared objectives and supporting the implementation of the </w:t>
      </w:r>
      <w:r>
        <w:t>Kunming</w:t>
      </w:r>
      <w:r>
        <w:noBreakHyphen/>
        <w:t>Montreal</w:t>
      </w:r>
      <w:r w:rsidRPr="006A227D">
        <w:t xml:space="preserve"> </w:t>
      </w:r>
      <w:r>
        <w:t>G</w:t>
      </w:r>
      <w:r w:rsidRPr="006E07A1">
        <w:t xml:space="preserve">lobal </w:t>
      </w:r>
      <w:r>
        <w:t>B</w:t>
      </w:r>
      <w:r w:rsidRPr="006E07A1">
        <w:t xml:space="preserve">iodiversity </w:t>
      </w:r>
      <w:r>
        <w:t>F</w:t>
      </w:r>
      <w:r w:rsidRPr="006E07A1">
        <w:t>ramework;</w:t>
      </w:r>
    </w:p>
    <w:p w14:paraId="285D299F" w14:textId="77777777" w:rsidR="00FE6115" w:rsidRPr="006E07A1" w:rsidRDefault="00FE6115" w:rsidP="003F10F8">
      <w:pPr>
        <w:pStyle w:val="Para1"/>
        <w:numPr>
          <w:ilvl w:val="0"/>
          <w:numId w:val="0"/>
        </w:numPr>
        <w:suppressLineNumbers/>
        <w:suppressAutoHyphens/>
        <w:kinsoku w:val="0"/>
        <w:adjustRightInd w:val="0"/>
        <w:ind w:firstLine="709"/>
      </w:pPr>
      <w:r w:rsidRPr="006E07A1">
        <w:t xml:space="preserve">(b) </w:t>
      </w:r>
      <w:r w:rsidRPr="006E07A1">
        <w:tab/>
        <w:t xml:space="preserve">Ensuring coherence and coordination with the 2030 Agenda for Sustainable Development. The 2030 Agenda for Sustainable Development and its Sustainable Development Goals include gender equality as both a standalone goal and critical cross-cutting component, and emphasize the indivisibility of the different goals and targets. The </w:t>
      </w:r>
      <w:r>
        <w:t>G</w:t>
      </w:r>
      <w:r w:rsidRPr="006E07A1">
        <w:t xml:space="preserve">ender </w:t>
      </w:r>
      <w:r>
        <w:t>P</w:t>
      </w:r>
      <w:r w:rsidRPr="006E07A1">
        <w:t xml:space="preserve">lan of </w:t>
      </w:r>
      <w:r>
        <w:t>A</w:t>
      </w:r>
      <w:r w:rsidRPr="006E07A1">
        <w:t xml:space="preserve">ction is intended to complement and support the implementation of the different Sustainable Development Goals, in line with the biodiversity agenda and the implementation of the </w:t>
      </w:r>
      <w:r>
        <w:t>Kunming-Montreal</w:t>
      </w:r>
      <w:r w:rsidRPr="006A227D">
        <w:t xml:space="preserve"> </w:t>
      </w:r>
      <w:r>
        <w:t>G</w:t>
      </w:r>
      <w:r w:rsidRPr="006E07A1">
        <w:t xml:space="preserve">lobal </w:t>
      </w:r>
      <w:r>
        <w:t>B</w:t>
      </w:r>
      <w:r w:rsidRPr="006E07A1">
        <w:t xml:space="preserve">iodiversity </w:t>
      </w:r>
      <w:r>
        <w:t>F</w:t>
      </w:r>
      <w:r w:rsidRPr="006E07A1">
        <w:t xml:space="preserve">ramework;  </w:t>
      </w:r>
    </w:p>
    <w:p w14:paraId="19128F15" w14:textId="77777777" w:rsidR="00FE6115" w:rsidRPr="006E07A1" w:rsidRDefault="00FE6115" w:rsidP="003F10F8">
      <w:pPr>
        <w:pStyle w:val="Para1"/>
        <w:numPr>
          <w:ilvl w:val="0"/>
          <w:numId w:val="0"/>
        </w:numPr>
        <w:ind w:firstLine="709"/>
      </w:pPr>
      <w:r w:rsidRPr="006E07A1">
        <w:t>(c)</w:t>
      </w:r>
      <w:r w:rsidRPr="006E07A1">
        <w:tab/>
        <w:t xml:space="preserve">Applying a human rights-based approach to advancing gender equality in the conservation and sustainable use of biodiversity and the fair and equitable sharing of benefits arising </w:t>
      </w:r>
      <w:r>
        <w:t>from</w:t>
      </w:r>
      <w:r w:rsidRPr="006E07A1">
        <w:t xml:space="preserve"> the utilization of genetic resources, and noting that </w:t>
      </w:r>
      <w:r>
        <w:t>r</w:t>
      </w:r>
      <w:r w:rsidRPr="006E07A1">
        <w:t xml:space="preserve">esolution A/RES/76/300 adopted by the United Nations General Assembly </w:t>
      </w:r>
      <w:r w:rsidRPr="006E07A1">
        <w:rPr>
          <w:iCs/>
        </w:rPr>
        <w:t>recognized</w:t>
      </w:r>
      <w:r w:rsidRPr="006E07A1">
        <w:rPr>
          <w:i/>
          <w:iCs/>
        </w:rPr>
        <w:t xml:space="preserve"> </w:t>
      </w:r>
      <w:r w:rsidRPr="006E07A1">
        <w:t>the right to a clean, healthy and sustainable environment as a human right. International human rights instruments and mechanisms, including the Convention for the Elimination of All Forms of Discrimination Against Women</w:t>
      </w:r>
      <w:r>
        <w:t>,</w:t>
      </w:r>
      <w:r w:rsidRPr="006E07A1">
        <w:t xml:space="preserve"> and the committee of experts it establishes, offer critical guidance for gender responsive environmental action that benefits both people and planet;</w:t>
      </w:r>
    </w:p>
    <w:p w14:paraId="7807D5B1" w14:textId="77777777" w:rsidR="00FE6115" w:rsidRPr="006E07A1" w:rsidRDefault="00FE6115" w:rsidP="003F10F8">
      <w:pPr>
        <w:pStyle w:val="Para1"/>
        <w:numPr>
          <w:ilvl w:val="0"/>
          <w:numId w:val="0"/>
        </w:numPr>
        <w:suppressLineNumbers/>
        <w:suppressAutoHyphens/>
        <w:kinsoku w:val="0"/>
        <w:adjustRightInd w:val="0"/>
        <w:ind w:firstLine="709"/>
      </w:pPr>
      <w:r w:rsidRPr="006E07A1">
        <w:t>(d)</w:t>
      </w:r>
      <w:r w:rsidRPr="006E07A1">
        <w:tab/>
        <w:t>Addressing the intersecting ways in which gender inequalities may be amplified for all women and girls. Women and men</w:t>
      </w:r>
      <w:r>
        <w:t>,</w:t>
      </w:r>
      <w:r w:rsidRPr="006E07A1">
        <w:t xml:space="preserve"> and boys and girls around the world experience marginalization in different, multiple and intersecting ways depending on their ethnicity, social status, caste, age, and environment, among other factors. Recognizing the structural barriers and power imbalances that hamper inclusiveness of the whole of society, the implementation of the </w:t>
      </w:r>
      <w:r>
        <w:t>G</w:t>
      </w:r>
      <w:r w:rsidRPr="006E07A1">
        <w:t xml:space="preserve">ender </w:t>
      </w:r>
      <w:r>
        <w:t>P</w:t>
      </w:r>
      <w:r w:rsidRPr="006E07A1">
        <w:t xml:space="preserve">lan of </w:t>
      </w:r>
      <w:r>
        <w:t>A</w:t>
      </w:r>
      <w:r w:rsidRPr="006E07A1">
        <w:t xml:space="preserve">ction will take an intersectional approach, prioritizing the needs and interests of all women and girls, with particular attention </w:t>
      </w:r>
      <w:r w:rsidRPr="006E07A1">
        <w:lastRenderedPageBreak/>
        <w:t xml:space="preserve">to those facing all forms of discrimination. The implementation of the </w:t>
      </w:r>
      <w:r>
        <w:t>G</w:t>
      </w:r>
      <w:r w:rsidRPr="006E07A1">
        <w:t xml:space="preserve">ender </w:t>
      </w:r>
      <w:r>
        <w:t>P</w:t>
      </w:r>
      <w:r w:rsidRPr="006E07A1">
        <w:t xml:space="preserve">lan of </w:t>
      </w:r>
      <w:r>
        <w:t>A</w:t>
      </w:r>
      <w:r w:rsidRPr="006E07A1">
        <w:t>ction will also seek to ensure the engagement of men and boys, to ensure a collaborative and supportive approach towards achieving gender equality in the conservation and sustainable use of biodiversity and the fair and equitable sharing of benefits arising out of the utilization of genetic resources;</w:t>
      </w:r>
    </w:p>
    <w:p w14:paraId="5F9DE8ED" w14:textId="77777777" w:rsidR="00FE6115" w:rsidRPr="006E07A1" w:rsidRDefault="00FE6115" w:rsidP="003F10F8">
      <w:pPr>
        <w:pStyle w:val="Para1"/>
        <w:numPr>
          <w:ilvl w:val="0"/>
          <w:numId w:val="0"/>
        </w:numPr>
        <w:suppressLineNumbers/>
        <w:suppressAutoHyphens/>
        <w:kinsoku w:val="0"/>
        <w:adjustRightInd w:val="0"/>
        <w:ind w:firstLine="709"/>
      </w:pPr>
      <w:r w:rsidRPr="006E07A1">
        <w:t>(e)</w:t>
      </w:r>
      <w:r w:rsidRPr="006E07A1">
        <w:tab/>
        <w:t>Ensuring meaningful and effective engagement and empowerment of women and girls from indigenous peoples and local communities. Indigenous women and girls</w:t>
      </w:r>
      <w:r>
        <w:t>,</w:t>
      </w:r>
      <w:r w:rsidRPr="006E07A1">
        <w:t xml:space="preserve"> and those from local communities</w:t>
      </w:r>
      <w:r>
        <w:t>,</w:t>
      </w:r>
      <w:r w:rsidRPr="006E07A1">
        <w:t xml:space="preserve"> are integrally involved in the conservation and sustainable use of biodiversity, and yet continue to face discrimination and remain marginalized in decision-making processes, access and ownership over resources including land. As such, it is proposed that implementation of the </w:t>
      </w:r>
      <w:r>
        <w:t>G</w:t>
      </w:r>
      <w:r w:rsidRPr="006E07A1">
        <w:t xml:space="preserve">ender </w:t>
      </w:r>
      <w:r>
        <w:t>P</w:t>
      </w:r>
      <w:r w:rsidRPr="006E07A1">
        <w:t xml:space="preserve">lan of </w:t>
      </w:r>
      <w:r>
        <w:t>A</w:t>
      </w:r>
      <w:r w:rsidRPr="006E07A1">
        <w:t xml:space="preserve">ction include a focus on empowering and supporting the meaningful, informed and effective engagement of women and girls from indigenous peoples and local communities to address their rights, needs and interests, and to recognize and value their traditional knowledge, innovations, practices, technologies and cultures and their related rights in support of the conservation and sustainable use of biodiversity, and in the fair and equitable sharing of benefits. </w:t>
      </w:r>
    </w:p>
    <w:p w14:paraId="47FDAF3A" w14:textId="12342914" w:rsidR="00FE6115" w:rsidRPr="006E07A1" w:rsidRDefault="00FE6115" w:rsidP="00737611">
      <w:pPr>
        <w:pStyle w:val="Para1"/>
        <w:suppressLineNumbers/>
        <w:suppressAutoHyphens/>
        <w:kinsoku w:val="0"/>
        <w:adjustRightInd w:val="0"/>
        <w:ind w:firstLine="16"/>
      </w:pPr>
      <w:r w:rsidRPr="006E07A1">
        <w:t xml:space="preserve">The </w:t>
      </w:r>
      <w:r>
        <w:t>G</w:t>
      </w:r>
      <w:r w:rsidRPr="006E07A1">
        <w:t xml:space="preserve">ender </w:t>
      </w:r>
      <w:r>
        <w:t>P</w:t>
      </w:r>
      <w:r w:rsidRPr="006E07A1">
        <w:t xml:space="preserve">lan of </w:t>
      </w:r>
      <w:r>
        <w:t>A</w:t>
      </w:r>
      <w:r w:rsidRPr="006E07A1">
        <w:t>ction includes a focus on supporting the effective engagement of women and girls from indigenous peoples and local communities, and those facing all forms of discrimination, in all actions.  The references to “women and girls” in the expected outcomes, objectives and actions should thus be understood to include all women and girls, including from indigenous peoples and local communities and those facing all forms of discrimination. When consulting women and girls from indigenous peoples and local communities</w:t>
      </w:r>
      <w:r>
        <w:t>,</w:t>
      </w:r>
      <w:r w:rsidRPr="006E07A1">
        <w:t xml:space="preserve"> it should be done under the principle of free, prior and informed consent.</w:t>
      </w:r>
    </w:p>
    <w:p w14:paraId="6A3829D2" w14:textId="77777777" w:rsidR="00FE6115" w:rsidRPr="006E07A1" w:rsidRDefault="00FE6115" w:rsidP="00F758A6">
      <w:pPr>
        <w:keepNext/>
        <w:tabs>
          <w:tab w:val="left" w:pos="567"/>
        </w:tabs>
        <w:spacing w:before="120" w:after="120"/>
        <w:ind w:right="289"/>
        <w:jc w:val="center"/>
        <w:rPr>
          <w:b/>
          <w:bCs/>
          <w:snapToGrid w:val="0"/>
          <w:szCs w:val="22"/>
        </w:rPr>
      </w:pPr>
      <w:r w:rsidRPr="006E07A1">
        <w:rPr>
          <w:b/>
          <w:bCs/>
          <w:snapToGrid w:val="0"/>
          <w:szCs w:val="22"/>
        </w:rPr>
        <w:t>III.</w:t>
      </w:r>
      <w:r w:rsidRPr="006E07A1">
        <w:rPr>
          <w:b/>
          <w:bCs/>
          <w:snapToGrid w:val="0"/>
          <w:szCs w:val="22"/>
        </w:rPr>
        <w:tab/>
        <w:t>EXPECTED OUTCOMES AND OBJECTIVES</w:t>
      </w:r>
    </w:p>
    <w:p w14:paraId="07A950C2" w14:textId="23F6B7E8" w:rsidR="00FE6115" w:rsidRPr="006E07A1" w:rsidRDefault="00FE6115" w:rsidP="00737611">
      <w:pPr>
        <w:pStyle w:val="Para1"/>
        <w:suppressLineNumbers/>
        <w:shd w:val="clear" w:color="auto" w:fill="FFFFFF" w:themeFill="background1"/>
        <w:tabs>
          <w:tab w:val="left" w:pos="0"/>
        </w:tabs>
        <w:suppressAutoHyphens/>
        <w:kinsoku w:val="0"/>
        <w:adjustRightInd w:val="0"/>
        <w:rPr>
          <w:rFonts w:eastAsia="Malgun Gothic"/>
        </w:rPr>
      </w:pPr>
      <w:r w:rsidRPr="006E07A1">
        <w:rPr>
          <w:rFonts w:eastAsia="Malgun Gothic"/>
        </w:rPr>
        <w:t xml:space="preserve">The </w:t>
      </w:r>
      <w:r>
        <w:rPr>
          <w:rFonts w:eastAsia="Malgun Gothic"/>
        </w:rPr>
        <w:t>G</w:t>
      </w:r>
      <w:r w:rsidRPr="006E07A1">
        <w:rPr>
          <w:rFonts w:eastAsia="Malgun Gothic"/>
        </w:rPr>
        <w:t xml:space="preserve">ender </w:t>
      </w:r>
      <w:r>
        <w:rPr>
          <w:rFonts w:eastAsia="Malgun Gothic"/>
        </w:rPr>
        <w:t>P</w:t>
      </w:r>
      <w:r w:rsidRPr="006E07A1">
        <w:rPr>
          <w:rFonts w:eastAsia="Malgun Gothic"/>
        </w:rPr>
        <w:t xml:space="preserve">lan of </w:t>
      </w:r>
      <w:r>
        <w:rPr>
          <w:rFonts w:eastAsia="Malgun Gothic"/>
        </w:rPr>
        <w:t>A</w:t>
      </w:r>
      <w:r w:rsidRPr="006E07A1">
        <w:rPr>
          <w:rFonts w:eastAsia="Malgun Gothic"/>
        </w:rPr>
        <w:t xml:space="preserve">ction contains three expected outcomes, under which are grouped a series of indicative objectives and actions and associated deliverables and timelines, as provided in the table below. The expected outcomes, objectives and actions of the </w:t>
      </w:r>
      <w:r>
        <w:rPr>
          <w:rFonts w:eastAsia="Malgun Gothic"/>
        </w:rPr>
        <w:t>P</w:t>
      </w:r>
      <w:r w:rsidRPr="006E07A1">
        <w:rPr>
          <w:rFonts w:eastAsia="Malgun Gothic"/>
        </w:rPr>
        <w:t xml:space="preserve">lan of </w:t>
      </w:r>
      <w:r>
        <w:rPr>
          <w:rFonts w:eastAsia="Malgun Gothic"/>
        </w:rPr>
        <w:t>A</w:t>
      </w:r>
      <w:r w:rsidRPr="006E07A1">
        <w:rPr>
          <w:rFonts w:eastAsia="Malgun Gothic"/>
        </w:rPr>
        <w:t xml:space="preserve">ction are put forward with the aim of supporting the achievement of all the goals and targets of the </w:t>
      </w:r>
      <w:r>
        <w:t>Kunming-Montreal</w:t>
      </w:r>
      <w:r w:rsidRPr="006A227D">
        <w:t xml:space="preserve"> </w:t>
      </w:r>
      <w:r>
        <w:rPr>
          <w:rFonts w:eastAsia="Malgun Gothic"/>
        </w:rPr>
        <w:t>G</w:t>
      </w:r>
      <w:r w:rsidRPr="006E07A1">
        <w:rPr>
          <w:rFonts w:eastAsia="Malgun Gothic"/>
        </w:rPr>
        <w:t xml:space="preserve">lobal </w:t>
      </w:r>
      <w:r>
        <w:rPr>
          <w:rFonts w:eastAsia="Malgun Gothic"/>
        </w:rPr>
        <w:t>B</w:t>
      </w:r>
      <w:r w:rsidRPr="006E07A1">
        <w:rPr>
          <w:rFonts w:eastAsia="Malgun Gothic"/>
        </w:rPr>
        <w:t xml:space="preserve">iodiversity </w:t>
      </w:r>
      <w:r>
        <w:rPr>
          <w:rFonts w:eastAsia="Malgun Gothic"/>
        </w:rPr>
        <w:t>F</w:t>
      </w:r>
      <w:r w:rsidRPr="006E07A1">
        <w:rPr>
          <w:rFonts w:eastAsia="Malgun Gothic"/>
        </w:rPr>
        <w:t>ramework in a gender responsive manner, recognizing that effective action on biodiversity requires all members of society to be fully engaged.</w:t>
      </w:r>
      <w:r w:rsidRPr="00610646">
        <w:rPr>
          <w:rStyle w:val="FootnoteReference"/>
          <w:rFonts w:eastAsia="Malgun Gothic"/>
        </w:rPr>
        <w:footnoteReference w:id="120"/>
      </w:r>
    </w:p>
    <w:p w14:paraId="058BD26F" w14:textId="61573F59" w:rsidR="00FE6115" w:rsidRPr="006E07A1" w:rsidRDefault="00FE6115" w:rsidP="00737611">
      <w:pPr>
        <w:pStyle w:val="Para1"/>
        <w:suppressLineNumbers/>
        <w:shd w:val="clear" w:color="auto" w:fill="FFFFFF" w:themeFill="background1"/>
        <w:tabs>
          <w:tab w:val="left" w:pos="0"/>
        </w:tabs>
        <w:suppressAutoHyphens/>
        <w:kinsoku w:val="0"/>
        <w:adjustRightInd w:val="0"/>
        <w:rPr>
          <w:rFonts w:eastAsia="Malgun Gothic"/>
        </w:rPr>
      </w:pPr>
      <w:r w:rsidRPr="006E07A1">
        <w:rPr>
          <w:rFonts w:eastAsia="Malgun Gothic"/>
        </w:rPr>
        <w:t>The indicative actions are intended to guide efforts to achieve the objectives of the plan, through a variety of measures directed at developing capacity and knowledge, preparing and applying guidance and relevant recommendations, fostering engagement, and facilitating and strengthening financing, among others. These actions are proposed as areas for which particular attention is needed, recognizing that other actions may be required both to complement and further define the efforts to achieve the associated objectives at national, subnational, as well as regional and international levels. Possible deliverables and proposed timelines are put forward to guide the implementation of the different actions.</w:t>
      </w:r>
    </w:p>
    <w:p w14:paraId="6014A964" w14:textId="5B9FCC05" w:rsidR="00FE6115" w:rsidRDefault="00FE6115" w:rsidP="00737611">
      <w:pPr>
        <w:pStyle w:val="Para1"/>
        <w:suppressLineNumbers/>
        <w:shd w:val="clear" w:color="auto" w:fill="FFFFFF" w:themeFill="background1"/>
        <w:tabs>
          <w:tab w:val="left" w:pos="0"/>
        </w:tabs>
        <w:suppressAutoHyphens/>
        <w:kinsoku w:val="0"/>
        <w:adjustRightInd w:val="0"/>
      </w:pPr>
      <w:r w:rsidRPr="006E07A1">
        <w:rPr>
          <w:rFonts w:eastAsia="Malgun Gothic"/>
        </w:rPr>
        <w:t xml:space="preserve">The process for developing a gender plan of action is based on the understanding that all relevant actors have a role to play in implementing the Convention and supporting the objectives of gender mainstreaming. Taking a gender-responsive approach to the implementation of the </w:t>
      </w:r>
      <w:r>
        <w:t>Kunming-Montreal</w:t>
      </w:r>
      <w:r w:rsidRPr="006A227D">
        <w:t xml:space="preserve"> </w:t>
      </w:r>
      <w:r>
        <w:t>G</w:t>
      </w:r>
      <w:r w:rsidRPr="006A227D">
        <w:t xml:space="preserve">lobal </w:t>
      </w:r>
      <w:r>
        <w:t>B</w:t>
      </w:r>
      <w:r w:rsidRPr="006A227D">
        <w:t xml:space="preserve">iodiversity </w:t>
      </w:r>
      <w:r>
        <w:t>F</w:t>
      </w:r>
      <w:r w:rsidRPr="006A227D">
        <w:t>ramework</w:t>
      </w:r>
      <w:r w:rsidRPr="006E07A1">
        <w:rPr>
          <w:rFonts w:eastAsia="Malgun Gothic"/>
        </w:rPr>
        <w:t xml:space="preserve"> and </w:t>
      </w:r>
      <w:r>
        <w:rPr>
          <w:rFonts w:eastAsia="Malgun Gothic"/>
        </w:rPr>
        <w:t xml:space="preserve">of </w:t>
      </w:r>
      <w:r w:rsidRPr="006E07A1">
        <w:rPr>
          <w:rFonts w:eastAsia="Malgun Gothic"/>
        </w:rPr>
        <w:t>the Convention entails a participatory</w:t>
      </w:r>
      <w:r>
        <w:rPr>
          <w:rFonts w:eastAsia="Malgun Gothic"/>
        </w:rPr>
        <w:t xml:space="preserve"> and</w:t>
      </w:r>
      <w:r w:rsidRPr="006E07A1">
        <w:rPr>
          <w:rFonts w:eastAsia="Malgun Gothic"/>
        </w:rPr>
        <w:t xml:space="preserve"> inclusive process. As such, Parties, together with subnational </w:t>
      </w:r>
      <w:r w:rsidRPr="006E07A1">
        <w:t xml:space="preserve">governments, cities and other local authorities, international and United Nations system entities, indigenous peoples and local communities, women’s groups, youth, the private sector and other relevant stakeholders are invited to support the effective implementation of the </w:t>
      </w:r>
      <w:r>
        <w:t>Kunming-Montreal</w:t>
      </w:r>
      <w:r w:rsidRPr="006A227D">
        <w:t xml:space="preserve"> </w:t>
      </w:r>
      <w:r>
        <w:t>G</w:t>
      </w:r>
      <w:r w:rsidRPr="006E07A1">
        <w:t xml:space="preserve">lobal </w:t>
      </w:r>
      <w:r>
        <w:t>B</w:t>
      </w:r>
      <w:r w:rsidRPr="006E07A1">
        <w:t xml:space="preserve">iodiversity </w:t>
      </w:r>
      <w:r>
        <w:t>F</w:t>
      </w:r>
      <w:r w:rsidRPr="006E07A1">
        <w:t xml:space="preserve">ramework, including the </w:t>
      </w:r>
      <w:r>
        <w:t>G</w:t>
      </w:r>
      <w:r w:rsidRPr="006E07A1">
        <w:t xml:space="preserve">ender </w:t>
      </w:r>
      <w:r>
        <w:t>P</w:t>
      </w:r>
      <w:r w:rsidRPr="006E07A1">
        <w:t xml:space="preserve">lan of </w:t>
      </w:r>
      <w:r>
        <w:t>A</w:t>
      </w:r>
      <w:r w:rsidRPr="006E07A1">
        <w:t>ction.</w:t>
      </w:r>
    </w:p>
    <w:p w14:paraId="12B75602" w14:textId="77777777" w:rsidR="002305F2" w:rsidRPr="006E07A1" w:rsidRDefault="002305F2" w:rsidP="002305F2">
      <w:pPr>
        <w:pStyle w:val="Para1"/>
        <w:numPr>
          <w:ilvl w:val="0"/>
          <w:numId w:val="0"/>
        </w:numPr>
        <w:suppressLineNumbers/>
        <w:shd w:val="clear" w:color="auto" w:fill="FFFFFF" w:themeFill="background1"/>
        <w:tabs>
          <w:tab w:val="left" w:pos="0"/>
        </w:tabs>
        <w:suppressAutoHyphens/>
        <w:kinsoku w:val="0"/>
        <w:adjustRightInd w:val="0"/>
      </w:pPr>
    </w:p>
    <w:p w14:paraId="13B33C98" w14:textId="77777777" w:rsidR="00FE6115" w:rsidRPr="00187CE1" w:rsidRDefault="00FE6115" w:rsidP="00737611">
      <w:pPr>
        <w:pStyle w:val="Para1"/>
        <w:suppressLineNumbers/>
        <w:shd w:val="clear" w:color="auto" w:fill="FFFFFF" w:themeFill="background1"/>
        <w:tabs>
          <w:tab w:val="left" w:pos="0"/>
        </w:tabs>
        <w:suppressAutoHyphens/>
        <w:kinsoku w:val="0"/>
        <w:adjustRightInd w:val="0"/>
        <w:sectPr w:rsidR="00FE6115" w:rsidRPr="00187CE1" w:rsidSect="00410EE1">
          <w:headerReference w:type="even" r:id="rId28"/>
          <w:headerReference w:type="default" r:id="rId29"/>
          <w:footnotePr>
            <w:numRestart w:val="eachSect"/>
          </w:footnotePr>
          <w:pgSz w:w="12240" w:h="15840"/>
          <w:pgMar w:top="567" w:right="1440" w:bottom="1134" w:left="1440" w:header="709" w:footer="709" w:gutter="0"/>
          <w:cols w:space="708"/>
          <w:docGrid w:linePitch="360"/>
        </w:sectPr>
      </w:pPr>
    </w:p>
    <w:p w14:paraId="5E284FD6" w14:textId="77777777" w:rsidR="00FE6115" w:rsidRPr="006E07A1" w:rsidRDefault="00FE6115" w:rsidP="00982FED">
      <w:pPr>
        <w:keepNext/>
        <w:spacing w:before="120" w:after="120"/>
        <w:ind w:right="289"/>
        <w:jc w:val="center"/>
        <w:rPr>
          <w:b/>
          <w:bCs/>
          <w:snapToGrid w:val="0"/>
          <w:szCs w:val="22"/>
        </w:rPr>
      </w:pPr>
      <w:bookmarkStart w:id="141" w:name="_Toc118354974"/>
      <w:r w:rsidRPr="006E07A1">
        <w:rPr>
          <w:b/>
          <w:bCs/>
          <w:snapToGrid w:val="0"/>
          <w:szCs w:val="22"/>
        </w:rPr>
        <w:lastRenderedPageBreak/>
        <w:t>GENDER PLAN OF ACTION: OBJECTIVES, ACTIONS, DELIVERABLES, TIMELINES AND ACTORS</w:t>
      </w:r>
      <w:bookmarkEnd w:id="141"/>
    </w:p>
    <w:tbl>
      <w:tblPr>
        <w:tblStyle w:val="TableGrid1"/>
        <w:tblW w:w="4965" w:type="pct"/>
        <w:tblLayout w:type="fixed"/>
        <w:tblLook w:val="04A0" w:firstRow="1" w:lastRow="0" w:firstColumn="1" w:lastColumn="0" w:noHBand="0" w:noVBand="1"/>
      </w:tblPr>
      <w:tblGrid>
        <w:gridCol w:w="3258"/>
        <w:gridCol w:w="4394"/>
        <w:gridCol w:w="3117"/>
        <w:gridCol w:w="1276"/>
        <w:gridCol w:w="1985"/>
      </w:tblGrid>
      <w:tr w:rsidR="00FE6115" w:rsidRPr="00F26E42" w14:paraId="51902279" w14:textId="77777777" w:rsidTr="006E07A1">
        <w:trPr>
          <w:tblHeader/>
        </w:trPr>
        <w:tc>
          <w:tcPr>
            <w:tcW w:w="3257" w:type="dxa"/>
            <w:tcBorders>
              <w:top w:val="single" w:sz="12" w:space="0" w:color="auto"/>
            </w:tcBorders>
            <w:shd w:val="clear" w:color="auto" w:fill="D9D9D9" w:themeFill="background1" w:themeFillShade="D9"/>
          </w:tcPr>
          <w:p w14:paraId="4B8B9C8F" w14:textId="77777777" w:rsidR="00FE6115" w:rsidRPr="006E07A1" w:rsidRDefault="00FE6115" w:rsidP="005F0753">
            <w:pPr>
              <w:suppressLineNumbers/>
              <w:suppressAutoHyphens/>
              <w:kinsoku w:val="0"/>
              <w:overflowPunct w:val="0"/>
              <w:autoSpaceDE w:val="0"/>
              <w:autoSpaceDN w:val="0"/>
              <w:adjustRightInd w:val="0"/>
              <w:snapToGrid w:val="0"/>
              <w:jc w:val="center"/>
              <w:rPr>
                <w:rFonts w:ascii="Times New Roman Bold" w:hAnsi="Times New Roman Bold" w:cs="Times New Roman Bold"/>
                <w:b/>
                <w:bCs/>
                <w:kern w:val="22"/>
                <w:szCs w:val="21"/>
              </w:rPr>
            </w:pPr>
            <w:r w:rsidRPr="006E07A1">
              <w:rPr>
                <w:rFonts w:ascii="Times New Roman Bold" w:hAnsi="Times New Roman Bold" w:cs="Times New Roman Bold"/>
                <w:b/>
                <w:bCs/>
                <w:kern w:val="22"/>
                <w:szCs w:val="21"/>
              </w:rPr>
              <w:t>Objectives</w:t>
            </w:r>
          </w:p>
        </w:tc>
        <w:tc>
          <w:tcPr>
            <w:tcW w:w="4394" w:type="dxa"/>
            <w:tcBorders>
              <w:top w:val="single" w:sz="12" w:space="0" w:color="auto"/>
            </w:tcBorders>
            <w:shd w:val="clear" w:color="auto" w:fill="D9D9D9" w:themeFill="background1" w:themeFillShade="D9"/>
          </w:tcPr>
          <w:p w14:paraId="4601EF4B" w14:textId="77777777" w:rsidR="00FE6115" w:rsidRPr="006E07A1" w:rsidRDefault="00FE6115" w:rsidP="005F0753">
            <w:pPr>
              <w:suppressLineNumbers/>
              <w:suppressAutoHyphens/>
              <w:kinsoku w:val="0"/>
              <w:overflowPunct w:val="0"/>
              <w:autoSpaceDE w:val="0"/>
              <w:autoSpaceDN w:val="0"/>
              <w:adjustRightInd w:val="0"/>
              <w:snapToGrid w:val="0"/>
              <w:jc w:val="center"/>
              <w:rPr>
                <w:rFonts w:ascii="Times New Roman Bold" w:hAnsi="Times New Roman Bold" w:cs="Times New Roman Bold"/>
                <w:b/>
                <w:bCs/>
                <w:kern w:val="22"/>
                <w:szCs w:val="21"/>
              </w:rPr>
            </w:pPr>
            <w:r w:rsidRPr="006E07A1">
              <w:rPr>
                <w:rFonts w:ascii="Times New Roman Bold" w:hAnsi="Times New Roman Bold" w:cs="Times New Roman Bold"/>
                <w:b/>
                <w:bCs/>
                <w:kern w:val="22"/>
                <w:szCs w:val="21"/>
              </w:rPr>
              <w:t>Indicative actions</w:t>
            </w:r>
          </w:p>
        </w:tc>
        <w:tc>
          <w:tcPr>
            <w:tcW w:w="3117" w:type="dxa"/>
            <w:tcBorders>
              <w:top w:val="single" w:sz="12" w:space="0" w:color="auto"/>
            </w:tcBorders>
            <w:shd w:val="clear" w:color="auto" w:fill="D9D9D9" w:themeFill="background1" w:themeFillShade="D9"/>
          </w:tcPr>
          <w:p w14:paraId="5345E5D0" w14:textId="77777777" w:rsidR="00FE6115" w:rsidRPr="006E07A1" w:rsidRDefault="00FE6115" w:rsidP="005F0753">
            <w:pPr>
              <w:suppressLineNumbers/>
              <w:suppressAutoHyphens/>
              <w:kinsoku w:val="0"/>
              <w:overflowPunct w:val="0"/>
              <w:autoSpaceDE w:val="0"/>
              <w:autoSpaceDN w:val="0"/>
              <w:adjustRightInd w:val="0"/>
              <w:snapToGrid w:val="0"/>
              <w:jc w:val="center"/>
              <w:rPr>
                <w:rFonts w:ascii="Times New Roman Bold" w:hAnsi="Times New Roman Bold" w:cs="Times New Roman Bold"/>
                <w:b/>
                <w:bCs/>
                <w:kern w:val="22"/>
                <w:szCs w:val="21"/>
              </w:rPr>
            </w:pPr>
            <w:r w:rsidRPr="006E07A1">
              <w:rPr>
                <w:rFonts w:ascii="Times New Roman Bold" w:hAnsi="Times New Roman Bold" w:cs="Times New Roman Bold"/>
                <w:b/>
                <w:bCs/>
                <w:kern w:val="22"/>
                <w:szCs w:val="21"/>
              </w:rPr>
              <w:t>Possible deliverables</w:t>
            </w:r>
          </w:p>
        </w:tc>
        <w:tc>
          <w:tcPr>
            <w:tcW w:w="1276" w:type="dxa"/>
            <w:tcBorders>
              <w:top w:val="single" w:sz="12" w:space="0" w:color="auto"/>
            </w:tcBorders>
            <w:shd w:val="clear" w:color="auto" w:fill="D9D9D9" w:themeFill="background1" w:themeFillShade="D9"/>
          </w:tcPr>
          <w:p w14:paraId="3B8E4709" w14:textId="77777777" w:rsidR="00FE6115" w:rsidRPr="006E07A1" w:rsidRDefault="00FE6115" w:rsidP="006E07A1">
            <w:pPr>
              <w:suppressLineNumbers/>
              <w:suppressAutoHyphens/>
              <w:kinsoku w:val="0"/>
              <w:overflowPunct w:val="0"/>
              <w:autoSpaceDE w:val="0"/>
              <w:autoSpaceDN w:val="0"/>
              <w:adjustRightInd w:val="0"/>
              <w:snapToGrid w:val="0"/>
              <w:rPr>
                <w:rFonts w:ascii="Times New Roman Bold" w:hAnsi="Times New Roman Bold" w:cs="Times New Roman Bold"/>
                <w:b/>
                <w:bCs/>
                <w:kern w:val="22"/>
                <w:szCs w:val="21"/>
              </w:rPr>
            </w:pPr>
            <w:r w:rsidRPr="006E07A1">
              <w:rPr>
                <w:rFonts w:ascii="Times New Roman Bold" w:hAnsi="Times New Roman Bold" w:cs="Times New Roman Bold"/>
                <w:b/>
                <w:bCs/>
                <w:kern w:val="22"/>
                <w:szCs w:val="21"/>
              </w:rPr>
              <w:t>Proposed timelines</w:t>
            </w:r>
          </w:p>
        </w:tc>
        <w:tc>
          <w:tcPr>
            <w:tcW w:w="1985" w:type="dxa"/>
            <w:tcBorders>
              <w:top w:val="single" w:sz="12" w:space="0" w:color="auto"/>
            </w:tcBorders>
            <w:shd w:val="clear" w:color="auto" w:fill="D9D9D9" w:themeFill="background1" w:themeFillShade="D9"/>
          </w:tcPr>
          <w:p w14:paraId="5C480261" w14:textId="77777777" w:rsidR="00FE6115" w:rsidRPr="006E07A1" w:rsidRDefault="00FE6115" w:rsidP="006E07A1">
            <w:pPr>
              <w:suppressLineNumbers/>
              <w:suppressAutoHyphens/>
              <w:kinsoku w:val="0"/>
              <w:overflowPunct w:val="0"/>
              <w:autoSpaceDE w:val="0"/>
              <w:autoSpaceDN w:val="0"/>
              <w:adjustRightInd w:val="0"/>
              <w:snapToGrid w:val="0"/>
              <w:rPr>
                <w:rFonts w:ascii="Times New Roman Bold" w:hAnsi="Times New Roman Bold" w:cs="Times New Roman Bold"/>
                <w:b/>
                <w:bCs/>
                <w:kern w:val="22"/>
                <w:szCs w:val="21"/>
              </w:rPr>
            </w:pPr>
            <w:r w:rsidRPr="006E07A1">
              <w:rPr>
                <w:rFonts w:ascii="Times New Roman Bold" w:hAnsi="Times New Roman Bold" w:cs="Times New Roman Bold"/>
                <w:b/>
                <w:bCs/>
                <w:kern w:val="22"/>
                <w:szCs w:val="21"/>
              </w:rPr>
              <w:t>Responsible actors</w:t>
            </w:r>
          </w:p>
        </w:tc>
      </w:tr>
      <w:tr w:rsidR="00FE6115" w:rsidRPr="00187CE1" w14:paraId="5F2CEDB4" w14:textId="77777777" w:rsidTr="006E07A1">
        <w:trPr>
          <w:trHeight w:val="398"/>
        </w:trPr>
        <w:tc>
          <w:tcPr>
            <w:tcW w:w="14029" w:type="dxa"/>
            <w:gridSpan w:val="5"/>
          </w:tcPr>
          <w:p w14:paraId="218750A1" w14:textId="77777777" w:rsidR="00FE6115" w:rsidRPr="006E07A1" w:rsidRDefault="00FE6115" w:rsidP="005F0753">
            <w:pPr>
              <w:suppressLineNumbers/>
              <w:suppressAutoHyphens/>
              <w:kinsoku w:val="0"/>
              <w:overflowPunct w:val="0"/>
              <w:autoSpaceDE w:val="0"/>
              <w:autoSpaceDN w:val="0"/>
              <w:adjustRightInd w:val="0"/>
              <w:snapToGrid w:val="0"/>
              <w:rPr>
                <w:kern w:val="22"/>
              </w:rPr>
            </w:pPr>
            <w:r w:rsidRPr="006E07A1">
              <w:rPr>
                <w:b/>
                <w:bCs/>
                <w:kern w:val="22"/>
              </w:rPr>
              <w:t>Expected outcome 1</w:t>
            </w:r>
            <w:r w:rsidRPr="006E07A1">
              <w:rPr>
                <w:kern w:val="22"/>
              </w:rPr>
              <w:t>: All people in particular all women and girls, have equal opportunity and capacity to contribute to the three objectives of the Convention</w:t>
            </w:r>
          </w:p>
        </w:tc>
      </w:tr>
      <w:tr w:rsidR="00FE6115" w:rsidRPr="00187CE1" w14:paraId="562B72F1" w14:textId="77777777" w:rsidTr="006E07A1">
        <w:tc>
          <w:tcPr>
            <w:tcW w:w="3257" w:type="dxa"/>
            <w:vMerge w:val="restart"/>
          </w:tcPr>
          <w:p w14:paraId="59A7FB97"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1.1 Increase all women and girls’ </w:t>
            </w:r>
            <w:r w:rsidRPr="006E07A1">
              <w:t>rights to ownership and control over land and access to natural resources and to water,</w:t>
            </w:r>
            <w:r w:rsidRPr="006E07A1">
              <w:rPr>
                <w:kern w:val="22"/>
              </w:rPr>
              <w:t xml:space="preserve"> to support the conservation and sustainable use of biodiversity</w:t>
            </w:r>
          </w:p>
          <w:p w14:paraId="1C6BAA99" w14:textId="77777777" w:rsidR="00FE6115" w:rsidRPr="006E07A1" w:rsidRDefault="00FE6115" w:rsidP="006E07A1">
            <w:pPr>
              <w:tabs>
                <w:tab w:val="left" w:pos="2030"/>
              </w:tabs>
              <w:jc w:val="left"/>
            </w:pPr>
          </w:p>
        </w:tc>
        <w:tc>
          <w:tcPr>
            <w:tcW w:w="4394" w:type="dxa"/>
          </w:tcPr>
          <w:p w14:paraId="697C61C8" w14:textId="77777777" w:rsidR="00FE6115" w:rsidRPr="006E07A1" w:rsidRDefault="00FE6115" w:rsidP="006E07A1">
            <w:pPr>
              <w:pStyle w:val="ListParagraph"/>
              <w:suppressLineNumbers/>
              <w:suppressAutoHyphens/>
              <w:kinsoku w:val="0"/>
              <w:overflowPunct w:val="0"/>
              <w:autoSpaceDE w:val="0"/>
              <w:autoSpaceDN w:val="0"/>
              <w:adjustRightInd w:val="0"/>
              <w:snapToGrid w:val="0"/>
              <w:spacing w:before="60" w:after="60"/>
              <w:ind w:left="32"/>
              <w:jc w:val="left"/>
              <w:rPr>
                <w:kern w:val="22"/>
              </w:rPr>
            </w:pPr>
            <w:r>
              <w:rPr>
                <w:kern w:val="22"/>
              </w:rPr>
              <w:t xml:space="preserve">1.1.1 </w:t>
            </w:r>
            <w:r w:rsidRPr="006E07A1">
              <w:rPr>
                <w:kern w:val="22"/>
              </w:rPr>
              <w:t>Compile baseline data and research on the relationship between conservation interventions, sustainable use and all women and girls’</w:t>
            </w:r>
            <w:r w:rsidRPr="006E07A1">
              <w:t xml:space="preserve"> rights to ownership and control over land and access to natural resources and to water, </w:t>
            </w:r>
            <w:r w:rsidRPr="006E07A1">
              <w:rPr>
                <w:kern w:val="22"/>
              </w:rPr>
              <w:t>and prepare guidance for national-level action</w:t>
            </w:r>
          </w:p>
          <w:p w14:paraId="63C02A51"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p>
        </w:tc>
        <w:tc>
          <w:tcPr>
            <w:tcW w:w="3117" w:type="dxa"/>
          </w:tcPr>
          <w:p w14:paraId="5E245E82" w14:textId="77777777" w:rsidR="00FE6115" w:rsidRPr="006E07A1" w:rsidRDefault="00FE6115" w:rsidP="008F4A01">
            <w:pPr>
              <w:spacing w:before="60" w:after="60"/>
              <w:jc w:val="left"/>
              <w:rPr>
                <w:rFonts w:eastAsia="Montserrat"/>
                <w:kern w:val="22"/>
              </w:rPr>
            </w:pPr>
            <w:r w:rsidRPr="006E07A1">
              <w:rPr>
                <w:rFonts w:eastAsia="Montserrat"/>
                <w:kern w:val="22"/>
              </w:rPr>
              <w:t xml:space="preserve">Baseline data, research and guidance on all women and girls’ </w:t>
            </w:r>
            <w:r w:rsidRPr="006E07A1">
              <w:t>rights to ownership and control over land and access to natural resources and to water</w:t>
            </w:r>
            <w:r w:rsidRPr="006E07A1">
              <w:rPr>
                <w:kern w:val="22"/>
              </w:rPr>
              <w:t xml:space="preserve"> </w:t>
            </w:r>
            <w:r w:rsidRPr="006E07A1">
              <w:rPr>
                <w:rFonts w:eastAsia="Montserrat"/>
                <w:kern w:val="22"/>
              </w:rPr>
              <w:t>in the context of biodiversity conservation and sustainable use made available to Parties for SBI</w:t>
            </w:r>
            <w:r>
              <w:rPr>
                <w:rFonts w:eastAsia="Montserrat"/>
                <w:kern w:val="22"/>
              </w:rPr>
              <w:noBreakHyphen/>
            </w:r>
            <w:r w:rsidRPr="006E07A1">
              <w:rPr>
                <w:rFonts w:eastAsia="Montserrat"/>
                <w:kern w:val="22"/>
              </w:rPr>
              <w:t xml:space="preserve">4 </w:t>
            </w:r>
          </w:p>
        </w:tc>
        <w:tc>
          <w:tcPr>
            <w:tcW w:w="1276" w:type="dxa"/>
          </w:tcPr>
          <w:p w14:paraId="344A8F72" w14:textId="77777777" w:rsidR="00FE6115" w:rsidRPr="006E07A1" w:rsidRDefault="00FE6115" w:rsidP="006E07A1">
            <w:pPr>
              <w:spacing w:before="60" w:after="60"/>
              <w:jc w:val="left"/>
              <w:rPr>
                <w:rFonts w:eastAsia="Montserrat"/>
                <w:kern w:val="22"/>
              </w:rPr>
            </w:pPr>
            <w:r w:rsidRPr="006E07A1">
              <w:rPr>
                <w:rFonts w:eastAsia="Montserrat"/>
                <w:i/>
                <w:iCs/>
                <w:kern w:val="22"/>
              </w:rPr>
              <w:t>Timeframe:</w:t>
            </w:r>
            <w:r w:rsidRPr="006E07A1">
              <w:rPr>
                <w:rFonts w:eastAsia="Montserrat"/>
                <w:kern w:val="22"/>
              </w:rPr>
              <w:t xml:space="preserve"> </w:t>
            </w:r>
          </w:p>
          <w:p w14:paraId="2B6DE9AC" w14:textId="77777777" w:rsidR="00FE6115" w:rsidRPr="006E07A1" w:rsidRDefault="00FE6115" w:rsidP="006E07A1">
            <w:pPr>
              <w:spacing w:before="60" w:after="60"/>
              <w:jc w:val="left"/>
              <w:rPr>
                <w:i/>
                <w:iCs/>
                <w:kern w:val="22"/>
              </w:rPr>
            </w:pPr>
            <w:r w:rsidRPr="006E07A1">
              <w:rPr>
                <w:rFonts w:eastAsia="Montserrat"/>
                <w:kern w:val="22"/>
              </w:rPr>
              <w:t>2024</w:t>
            </w:r>
          </w:p>
        </w:tc>
        <w:tc>
          <w:tcPr>
            <w:tcW w:w="1985" w:type="dxa"/>
          </w:tcPr>
          <w:p w14:paraId="32AA3C7C"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Secretariat, relevant organizations </w:t>
            </w:r>
          </w:p>
          <w:p w14:paraId="47DF2216"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Contributing:</w:t>
            </w:r>
            <w:r w:rsidRPr="006E07A1">
              <w:rPr>
                <w:kern w:val="22"/>
              </w:rPr>
              <w:t xml:space="preserve"> Parties</w:t>
            </w:r>
          </w:p>
        </w:tc>
      </w:tr>
      <w:tr w:rsidR="00FE6115" w:rsidRPr="00187CE1" w14:paraId="70EC361A" w14:textId="77777777" w:rsidTr="006E07A1">
        <w:tc>
          <w:tcPr>
            <w:tcW w:w="3257" w:type="dxa"/>
            <w:vMerge/>
          </w:tcPr>
          <w:p w14:paraId="5BE5764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p>
        </w:tc>
        <w:tc>
          <w:tcPr>
            <w:tcW w:w="4394" w:type="dxa"/>
          </w:tcPr>
          <w:p w14:paraId="0CF806EC"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1.1.2</w:t>
            </w:r>
            <w:r>
              <w:rPr>
                <w:kern w:val="22"/>
              </w:rPr>
              <w:tab/>
            </w:r>
            <w:r w:rsidRPr="006E07A1">
              <w:rPr>
                <w:kern w:val="22"/>
              </w:rPr>
              <w:t>Take measures to update national legislation so that all women and girls have equitable access to ownership and control over biological resources, as well as land and waters</w:t>
            </w:r>
          </w:p>
        </w:tc>
        <w:tc>
          <w:tcPr>
            <w:tcW w:w="3117" w:type="dxa"/>
          </w:tcPr>
          <w:p w14:paraId="222E3FE3" w14:textId="77777777" w:rsidR="00FE6115" w:rsidRPr="006E07A1" w:rsidRDefault="00FE6115" w:rsidP="008F4A01">
            <w:pPr>
              <w:spacing w:before="60" w:after="60"/>
              <w:jc w:val="left"/>
              <w:rPr>
                <w:rFonts w:eastAsia="Montserrat"/>
                <w:kern w:val="22"/>
              </w:rPr>
            </w:pPr>
            <w:r w:rsidRPr="006E07A1">
              <w:rPr>
                <w:rFonts w:eastAsia="Montserrat"/>
                <w:kern w:val="22"/>
              </w:rPr>
              <w:t xml:space="preserve">Created or updated legislation that provides equal rights of access, ownership and control of land and waters for women and men </w:t>
            </w:r>
          </w:p>
        </w:tc>
        <w:tc>
          <w:tcPr>
            <w:tcW w:w="1276" w:type="dxa"/>
          </w:tcPr>
          <w:p w14:paraId="6355AB20" w14:textId="77777777" w:rsidR="00FE6115" w:rsidRPr="006E07A1" w:rsidRDefault="00FE6115" w:rsidP="006E07A1">
            <w:pPr>
              <w:spacing w:before="60" w:after="60"/>
              <w:jc w:val="left"/>
              <w:rPr>
                <w:rFonts w:eastAsia="Montserrat"/>
                <w:kern w:val="22"/>
              </w:rPr>
            </w:pPr>
            <w:r w:rsidRPr="006E07A1">
              <w:rPr>
                <w:rFonts w:eastAsia="Montserrat"/>
                <w:i/>
                <w:iCs/>
                <w:kern w:val="22"/>
              </w:rPr>
              <w:t>Timeframe:</w:t>
            </w:r>
            <w:r w:rsidRPr="006E07A1">
              <w:rPr>
                <w:rFonts w:eastAsia="Montserrat"/>
                <w:kern w:val="22"/>
              </w:rPr>
              <w:t xml:space="preserve"> </w:t>
            </w:r>
          </w:p>
          <w:p w14:paraId="6892C549" w14:textId="77777777" w:rsidR="00FE6115" w:rsidRPr="006E07A1" w:rsidRDefault="00FE6115" w:rsidP="006E07A1">
            <w:pPr>
              <w:spacing w:before="60" w:after="60"/>
              <w:jc w:val="left"/>
              <w:rPr>
                <w:rFonts w:eastAsia="Montserrat"/>
                <w:i/>
                <w:iCs/>
                <w:kern w:val="22"/>
              </w:rPr>
            </w:pPr>
            <w:r w:rsidRPr="006E07A1">
              <w:rPr>
                <w:rFonts w:eastAsia="Montserrat"/>
                <w:kern w:val="22"/>
              </w:rPr>
              <w:t>2030</w:t>
            </w:r>
          </w:p>
        </w:tc>
        <w:tc>
          <w:tcPr>
            <w:tcW w:w="1985" w:type="dxa"/>
          </w:tcPr>
          <w:p w14:paraId="61A7797A"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Leading:</w:t>
            </w:r>
            <w:r w:rsidRPr="006E07A1">
              <w:rPr>
                <w:kern w:val="22"/>
              </w:rPr>
              <w:t xml:space="preserve"> Parties, relevant organizations</w:t>
            </w:r>
          </w:p>
        </w:tc>
      </w:tr>
      <w:tr w:rsidR="00FE6115" w:rsidRPr="00187CE1" w14:paraId="7EA3F6EA" w14:textId="77777777" w:rsidTr="006E07A1">
        <w:tc>
          <w:tcPr>
            <w:tcW w:w="3257" w:type="dxa"/>
            <w:vMerge/>
          </w:tcPr>
          <w:p w14:paraId="30E47C28"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p>
        </w:tc>
        <w:tc>
          <w:tcPr>
            <w:tcW w:w="4394" w:type="dxa"/>
          </w:tcPr>
          <w:p w14:paraId="487BD5FC"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rPr>
            </w:pPr>
            <w:r>
              <w:rPr>
                <w:rFonts w:asciiTheme="majorBidi" w:hAnsiTheme="majorBidi" w:cstheme="majorBidi"/>
                <w:kern w:val="22"/>
              </w:rPr>
              <w:t>1.1.3</w:t>
            </w:r>
            <w:r>
              <w:rPr>
                <w:rFonts w:asciiTheme="majorBidi" w:hAnsiTheme="majorBidi" w:cstheme="majorBidi"/>
                <w:kern w:val="22"/>
              </w:rPr>
              <w:tab/>
            </w:r>
            <w:r w:rsidRPr="006E07A1">
              <w:rPr>
                <w:rFonts w:asciiTheme="majorBidi" w:hAnsiTheme="majorBidi" w:cstheme="majorBidi"/>
                <w:kern w:val="22"/>
              </w:rPr>
              <w:t>Support women’s organizations and networks to have equal opportunities to lead or participate in decision-making on policies relating to the three objectives of the Convention, including related to</w:t>
            </w:r>
            <w:r w:rsidRPr="006E07A1">
              <w:t xml:space="preserve"> </w:t>
            </w:r>
            <w:r w:rsidRPr="006E07A1">
              <w:rPr>
                <w:rFonts w:asciiTheme="majorBidi" w:hAnsiTheme="majorBidi" w:cstheme="majorBidi"/>
                <w:kern w:val="22"/>
              </w:rPr>
              <w:t>land and waters, land tenure and property reforms through inter alia, consultation of women, in accordance with national law, and the provision of financial support</w:t>
            </w:r>
          </w:p>
        </w:tc>
        <w:tc>
          <w:tcPr>
            <w:tcW w:w="3117" w:type="dxa"/>
          </w:tcPr>
          <w:p w14:paraId="51CCFB03" w14:textId="77777777" w:rsidR="00FE6115" w:rsidRPr="006E07A1" w:rsidRDefault="00FE6115" w:rsidP="008F4A01">
            <w:pPr>
              <w:suppressLineNumbers/>
              <w:suppressAutoHyphens/>
              <w:kinsoku w:val="0"/>
              <w:overflowPunct w:val="0"/>
              <w:autoSpaceDE w:val="0"/>
              <w:autoSpaceDN w:val="0"/>
              <w:adjustRightInd w:val="0"/>
              <w:snapToGrid w:val="0"/>
              <w:spacing w:before="60" w:after="60"/>
              <w:jc w:val="left"/>
              <w:rPr>
                <w:kern w:val="22"/>
              </w:rPr>
            </w:pPr>
            <w:r w:rsidRPr="006E07A1">
              <w:rPr>
                <w:kern w:val="22"/>
              </w:rPr>
              <w:t>Consultations that included effective engagement of women and girls’ organizations/networks; Financial and other relevant support provided to women and girls’ organizations/networks to strengthen their capacity</w:t>
            </w:r>
          </w:p>
        </w:tc>
        <w:tc>
          <w:tcPr>
            <w:tcW w:w="1276" w:type="dxa"/>
          </w:tcPr>
          <w:p w14:paraId="3FC69375" w14:textId="77777777" w:rsidR="00FE6115" w:rsidRPr="006E07A1" w:rsidRDefault="00FE6115" w:rsidP="006E07A1">
            <w:pPr>
              <w:spacing w:before="60" w:after="60"/>
              <w:jc w:val="left"/>
              <w:rPr>
                <w:rFonts w:eastAsia="Montserrat"/>
                <w:kern w:val="22"/>
              </w:rPr>
            </w:pPr>
            <w:r w:rsidRPr="006E07A1">
              <w:rPr>
                <w:rFonts w:eastAsia="Montserrat"/>
                <w:i/>
                <w:iCs/>
                <w:kern w:val="22"/>
              </w:rPr>
              <w:t>Timeframe:</w:t>
            </w:r>
            <w:r w:rsidRPr="006E07A1">
              <w:rPr>
                <w:rFonts w:eastAsia="Montserrat"/>
                <w:kern w:val="22"/>
              </w:rPr>
              <w:t xml:space="preserve"> </w:t>
            </w:r>
          </w:p>
          <w:p w14:paraId="4013C286"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rFonts w:eastAsia="Montserrat"/>
                <w:kern w:val="22"/>
              </w:rPr>
              <w:t>2030</w:t>
            </w:r>
          </w:p>
        </w:tc>
        <w:tc>
          <w:tcPr>
            <w:tcW w:w="1985" w:type="dxa"/>
          </w:tcPr>
          <w:p w14:paraId="511A7269"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b/>
                <w:bCs/>
                <w:kern w:val="22"/>
              </w:rPr>
            </w:pPr>
            <w:r w:rsidRPr="006E07A1">
              <w:rPr>
                <w:i/>
                <w:iCs/>
                <w:kern w:val="22"/>
              </w:rPr>
              <w:t>Leading:</w:t>
            </w:r>
            <w:r w:rsidRPr="006E07A1">
              <w:rPr>
                <w:kern w:val="22"/>
              </w:rPr>
              <w:t xml:space="preserve"> Parties, relevant organizations</w:t>
            </w:r>
          </w:p>
        </w:tc>
      </w:tr>
      <w:tr w:rsidR="00FE6115" w:rsidRPr="00187CE1" w14:paraId="08014FA9" w14:textId="77777777" w:rsidTr="006E07A1">
        <w:tc>
          <w:tcPr>
            <w:tcW w:w="3257" w:type="dxa"/>
            <w:vMerge w:val="restart"/>
          </w:tcPr>
          <w:p w14:paraId="734467DD" w14:textId="77777777" w:rsidR="00FE6115" w:rsidRPr="006E07A1" w:rsidRDefault="00FE6115" w:rsidP="00801DF1">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1.2 Ensure equal access for all women and girls to resources, services and technologies to support their engagement in the governance, conservation and sustainable use of biodiversity </w:t>
            </w:r>
            <w:r w:rsidRPr="006E07A1">
              <w:rPr>
                <w:kern w:val="22"/>
              </w:rPr>
              <w:lastRenderedPageBreak/>
              <w:t>(including financial services, credit, education, training and relevant information among others)</w:t>
            </w:r>
          </w:p>
        </w:tc>
        <w:tc>
          <w:tcPr>
            <w:tcW w:w="4394" w:type="dxa"/>
          </w:tcPr>
          <w:p w14:paraId="2251890A" w14:textId="77777777" w:rsidR="00FE6115" w:rsidRPr="006E07A1" w:rsidRDefault="00FE6115" w:rsidP="00801DF1">
            <w:pPr>
              <w:suppressLineNumbers/>
              <w:suppressAutoHyphens/>
              <w:kinsoku w:val="0"/>
              <w:overflowPunct w:val="0"/>
              <w:autoSpaceDE w:val="0"/>
              <w:autoSpaceDN w:val="0"/>
              <w:adjustRightInd w:val="0"/>
              <w:snapToGrid w:val="0"/>
              <w:spacing w:before="60" w:after="60"/>
              <w:jc w:val="left"/>
              <w:rPr>
                <w:kern w:val="22"/>
                <w:highlight w:val="yellow"/>
              </w:rPr>
            </w:pPr>
            <w:r>
              <w:rPr>
                <w:kern w:val="22"/>
              </w:rPr>
              <w:lastRenderedPageBreak/>
              <w:t>1.2.1</w:t>
            </w:r>
            <w:r>
              <w:rPr>
                <w:kern w:val="22"/>
              </w:rPr>
              <w:tab/>
            </w:r>
            <w:r w:rsidRPr="006E07A1">
              <w:rPr>
                <w:kern w:val="22"/>
              </w:rPr>
              <w:t>Conduct participatory assessments with baselines to identify gender gaps and effective measures to enable equal access to resources, services and technologies relevant for the governance, conservation and sustainable use of biodiversity</w:t>
            </w:r>
          </w:p>
        </w:tc>
        <w:tc>
          <w:tcPr>
            <w:tcW w:w="3117" w:type="dxa"/>
          </w:tcPr>
          <w:p w14:paraId="2D0312EF" w14:textId="77777777" w:rsidR="00FE6115" w:rsidRPr="006E07A1" w:rsidRDefault="00FE6115" w:rsidP="00801DF1">
            <w:pPr>
              <w:suppressLineNumbers/>
              <w:suppressAutoHyphens/>
              <w:kinsoku w:val="0"/>
              <w:overflowPunct w:val="0"/>
              <w:autoSpaceDE w:val="0"/>
              <w:autoSpaceDN w:val="0"/>
              <w:adjustRightInd w:val="0"/>
              <w:snapToGrid w:val="0"/>
              <w:spacing w:before="60" w:after="60"/>
              <w:jc w:val="left"/>
              <w:rPr>
                <w:kern w:val="22"/>
              </w:rPr>
            </w:pPr>
            <w:r w:rsidRPr="006E07A1">
              <w:rPr>
                <w:kern w:val="22"/>
              </w:rPr>
              <w:t>Assessments undertaken and compilation shared through side events and on webpages of the Convention</w:t>
            </w:r>
          </w:p>
        </w:tc>
        <w:tc>
          <w:tcPr>
            <w:tcW w:w="1276" w:type="dxa"/>
          </w:tcPr>
          <w:p w14:paraId="69FA2D8B" w14:textId="77777777" w:rsidR="00FE6115" w:rsidRPr="006E07A1" w:rsidRDefault="00FE6115" w:rsidP="006E07A1">
            <w:pPr>
              <w:spacing w:before="60" w:after="60"/>
              <w:jc w:val="left"/>
              <w:rPr>
                <w:i/>
                <w:iCs/>
                <w:kern w:val="22"/>
              </w:rPr>
            </w:pPr>
            <w:r w:rsidRPr="006E07A1">
              <w:rPr>
                <w:rFonts w:eastAsia="Montserrat"/>
                <w:i/>
                <w:iCs/>
                <w:kern w:val="22"/>
              </w:rPr>
              <w:t>Timeframe:</w:t>
            </w:r>
            <w:r w:rsidRPr="006E07A1">
              <w:rPr>
                <w:rFonts w:eastAsia="Montserrat"/>
                <w:kern w:val="22"/>
              </w:rPr>
              <w:t xml:space="preserve">  2026</w:t>
            </w:r>
          </w:p>
        </w:tc>
        <w:tc>
          <w:tcPr>
            <w:tcW w:w="1985" w:type="dxa"/>
          </w:tcPr>
          <w:p w14:paraId="3DB21BB7"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 relevant organizations </w:t>
            </w:r>
          </w:p>
          <w:p w14:paraId="74DE1CBC"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Contributing:</w:t>
            </w:r>
            <w:r w:rsidRPr="006E07A1">
              <w:rPr>
                <w:kern w:val="22"/>
              </w:rPr>
              <w:t xml:space="preserve"> Secretariat</w:t>
            </w:r>
          </w:p>
        </w:tc>
      </w:tr>
      <w:tr w:rsidR="00FE6115" w:rsidRPr="00187CE1" w14:paraId="0E39DB02" w14:textId="77777777" w:rsidTr="006E07A1">
        <w:tc>
          <w:tcPr>
            <w:tcW w:w="3257" w:type="dxa"/>
            <w:vMerge/>
          </w:tcPr>
          <w:p w14:paraId="3559C782" w14:textId="77777777" w:rsidR="00FE6115" w:rsidRPr="006E07A1" w:rsidRDefault="00FE6115" w:rsidP="00801DF1">
            <w:pPr>
              <w:suppressLineNumbers/>
              <w:suppressAutoHyphens/>
              <w:kinsoku w:val="0"/>
              <w:overflowPunct w:val="0"/>
              <w:autoSpaceDE w:val="0"/>
              <w:autoSpaceDN w:val="0"/>
              <w:adjustRightInd w:val="0"/>
              <w:snapToGrid w:val="0"/>
              <w:spacing w:before="60" w:after="60"/>
              <w:jc w:val="left"/>
              <w:rPr>
                <w:kern w:val="22"/>
              </w:rPr>
            </w:pPr>
          </w:p>
        </w:tc>
        <w:tc>
          <w:tcPr>
            <w:tcW w:w="4394" w:type="dxa"/>
          </w:tcPr>
          <w:p w14:paraId="50479A25" w14:textId="77777777" w:rsidR="00FE6115" w:rsidRPr="006E07A1" w:rsidRDefault="00FE6115" w:rsidP="00801DF1">
            <w:pPr>
              <w:suppressLineNumbers/>
              <w:suppressAutoHyphens/>
              <w:kinsoku w:val="0"/>
              <w:overflowPunct w:val="0"/>
              <w:autoSpaceDE w:val="0"/>
              <w:autoSpaceDN w:val="0"/>
              <w:adjustRightInd w:val="0"/>
              <w:snapToGrid w:val="0"/>
              <w:spacing w:before="60" w:after="60"/>
              <w:jc w:val="left"/>
              <w:rPr>
                <w:kern w:val="22"/>
              </w:rPr>
            </w:pPr>
            <w:r>
              <w:rPr>
                <w:kern w:val="22"/>
              </w:rPr>
              <w:t>1.2.2</w:t>
            </w:r>
            <w:r>
              <w:rPr>
                <w:kern w:val="22"/>
              </w:rPr>
              <w:tab/>
            </w:r>
            <w:r w:rsidRPr="006E07A1">
              <w:rPr>
                <w:kern w:val="22"/>
              </w:rPr>
              <w:t>Take targeted measures to facilitate equal access of women to financial services and credit, and of all women and girls to education, training, information, among other relevant resources, services and technologies relevant for their engagement in the governance, conservation and sustainable use of biodiversity and the fair and equitable sharing of benefits arising out of the utilization of genetic resources</w:t>
            </w:r>
          </w:p>
        </w:tc>
        <w:tc>
          <w:tcPr>
            <w:tcW w:w="3117" w:type="dxa"/>
          </w:tcPr>
          <w:p w14:paraId="65F16810" w14:textId="77777777" w:rsidR="00FE6115" w:rsidRPr="006E07A1" w:rsidRDefault="00FE6115" w:rsidP="00801DF1">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Initiatives/programmes established or enhanced to facilitate equal access of women to financial services and credit, and of all women and girls to training, information and other relevant measures </w:t>
            </w:r>
          </w:p>
        </w:tc>
        <w:tc>
          <w:tcPr>
            <w:tcW w:w="1276" w:type="dxa"/>
          </w:tcPr>
          <w:p w14:paraId="793219DB" w14:textId="77777777" w:rsidR="00FE6115" w:rsidRPr="006E07A1" w:rsidRDefault="00FE6115" w:rsidP="006E07A1">
            <w:pPr>
              <w:spacing w:before="60" w:after="60"/>
              <w:jc w:val="left"/>
              <w:rPr>
                <w:rFonts w:eastAsia="Montserrat"/>
                <w:kern w:val="22"/>
              </w:rPr>
            </w:pPr>
            <w:r w:rsidRPr="006E07A1">
              <w:rPr>
                <w:rFonts w:eastAsia="Montserrat"/>
                <w:i/>
                <w:iCs/>
                <w:kern w:val="22"/>
              </w:rPr>
              <w:t>Timeframe:</w:t>
            </w:r>
            <w:r w:rsidRPr="006E07A1">
              <w:rPr>
                <w:rFonts w:eastAsia="Montserrat"/>
                <w:kern w:val="22"/>
              </w:rPr>
              <w:t xml:space="preserve"> 2030</w:t>
            </w:r>
          </w:p>
        </w:tc>
        <w:tc>
          <w:tcPr>
            <w:tcW w:w="1985" w:type="dxa"/>
          </w:tcPr>
          <w:p w14:paraId="1216E3E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 relevant organizations</w:t>
            </w:r>
          </w:p>
          <w:p w14:paraId="13325D81"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Contributing:</w:t>
            </w:r>
            <w:r w:rsidRPr="006E07A1">
              <w:rPr>
                <w:kern w:val="22"/>
              </w:rPr>
              <w:t xml:space="preserve"> Secretariat</w:t>
            </w:r>
          </w:p>
        </w:tc>
      </w:tr>
      <w:tr w:rsidR="00FE6115" w:rsidRPr="00187CE1" w14:paraId="49AE559F" w14:textId="77777777" w:rsidTr="006E07A1">
        <w:tc>
          <w:tcPr>
            <w:tcW w:w="3257" w:type="dxa"/>
          </w:tcPr>
          <w:p w14:paraId="5C939798" w14:textId="77777777" w:rsidR="00FE6115" w:rsidRPr="006E07A1" w:rsidRDefault="00FE6115" w:rsidP="00801DF1">
            <w:pPr>
              <w:suppressLineNumbers/>
              <w:suppressAutoHyphens/>
              <w:kinsoku w:val="0"/>
              <w:overflowPunct w:val="0"/>
              <w:autoSpaceDE w:val="0"/>
              <w:autoSpaceDN w:val="0"/>
              <w:adjustRightInd w:val="0"/>
              <w:snapToGrid w:val="0"/>
              <w:spacing w:before="60" w:after="60"/>
              <w:jc w:val="left"/>
              <w:rPr>
                <w:kern w:val="22"/>
              </w:rPr>
            </w:pPr>
          </w:p>
        </w:tc>
        <w:tc>
          <w:tcPr>
            <w:tcW w:w="4394" w:type="dxa"/>
          </w:tcPr>
          <w:p w14:paraId="252B8114" w14:textId="77777777" w:rsidR="00FE6115" w:rsidRPr="006E07A1" w:rsidRDefault="00FE6115" w:rsidP="00801DF1">
            <w:pPr>
              <w:spacing w:before="60" w:after="60"/>
              <w:jc w:val="left"/>
              <w:rPr>
                <w:rFonts w:asciiTheme="majorBidi" w:hAnsiTheme="majorBidi" w:cstheme="majorBidi"/>
                <w:lang w:val="en-US"/>
              </w:rPr>
            </w:pPr>
            <w:r>
              <w:rPr>
                <w:rFonts w:asciiTheme="majorBidi" w:hAnsiTheme="majorBidi" w:cstheme="majorBidi"/>
                <w:lang w:val="en-US"/>
              </w:rPr>
              <w:t>1.2.3</w:t>
            </w:r>
            <w:r>
              <w:rPr>
                <w:rFonts w:asciiTheme="majorBidi" w:hAnsiTheme="majorBidi" w:cstheme="majorBidi"/>
                <w:lang w:val="en-US"/>
              </w:rPr>
              <w:tab/>
            </w:r>
            <w:r w:rsidRPr="006E07A1">
              <w:rPr>
                <w:rFonts w:asciiTheme="majorBidi" w:hAnsiTheme="majorBidi" w:cstheme="majorBidi"/>
                <w:lang w:val="en-US"/>
              </w:rPr>
              <w:t>Take specific measures to respect, preserve and maintain the traditional knowledge, innovations and practices of all women and girls from indigenous peoples and local communities, as well as their corresponding rights relevant to the conservation and sustainable use of biological diversity</w:t>
            </w:r>
          </w:p>
        </w:tc>
        <w:tc>
          <w:tcPr>
            <w:tcW w:w="3117" w:type="dxa"/>
          </w:tcPr>
          <w:p w14:paraId="1103B476" w14:textId="77777777" w:rsidR="00FE6115" w:rsidRPr="006E07A1" w:rsidRDefault="00FE6115" w:rsidP="00801DF1">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rPr>
            </w:pPr>
            <w:r w:rsidRPr="006E07A1">
              <w:rPr>
                <w:rFonts w:asciiTheme="majorBidi" w:hAnsiTheme="majorBidi" w:cstheme="majorBidi"/>
                <w:kern w:val="22"/>
              </w:rPr>
              <w:t>Assessment and case studies undertaken on specific measures and policies to respect, preserve and maintain traditional knowledge, innovations and practices of all women and girls from indigenous peoples and local communities</w:t>
            </w:r>
          </w:p>
        </w:tc>
        <w:tc>
          <w:tcPr>
            <w:tcW w:w="1276" w:type="dxa"/>
          </w:tcPr>
          <w:p w14:paraId="562EBE53" w14:textId="77777777" w:rsidR="00FE6115" w:rsidRPr="006E07A1" w:rsidRDefault="00FE6115" w:rsidP="006E07A1">
            <w:pPr>
              <w:spacing w:before="60" w:after="60"/>
              <w:ind w:left="-102"/>
              <w:jc w:val="left"/>
              <w:rPr>
                <w:kern w:val="22"/>
              </w:rPr>
            </w:pPr>
            <w:r w:rsidRPr="006E07A1">
              <w:rPr>
                <w:i/>
                <w:iCs/>
                <w:kern w:val="22"/>
              </w:rPr>
              <w:t>Timeframe:</w:t>
            </w:r>
            <w:r w:rsidRPr="006E07A1">
              <w:rPr>
                <w:kern w:val="22"/>
              </w:rPr>
              <w:t xml:space="preserve"> </w:t>
            </w:r>
          </w:p>
          <w:p w14:paraId="5A485D7A" w14:textId="77777777" w:rsidR="00FE6115" w:rsidRPr="006E07A1" w:rsidRDefault="00FE6115" w:rsidP="006E07A1">
            <w:pPr>
              <w:spacing w:before="60" w:after="60"/>
              <w:jc w:val="left"/>
              <w:rPr>
                <w:rFonts w:eastAsia="Montserrat"/>
                <w:i/>
                <w:iCs/>
                <w:kern w:val="22"/>
              </w:rPr>
            </w:pPr>
            <w:r w:rsidRPr="006E07A1">
              <w:rPr>
                <w:kern w:val="22"/>
              </w:rPr>
              <w:t xml:space="preserve">2030 </w:t>
            </w:r>
          </w:p>
        </w:tc>
        <w:tc>
          <w:tcPr>
            <w:tcW w:w="1985" w:type="dxa"/>
          </w:tcPr>
          <w:p w14:paraId="2536FDAB" w14:textId="77777777" w:rsidR="00FE6115" w:rsidRPr="006E07A1" w:rsidRDefault="00FE6115" w:rsidP="00801DF1">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rPr>
            </w:pPr>
            <w:r w:rsidRPr="006E07A1">
              <w:rPr>
                <w:rFonts w:asciiTheme="majorBidi" w:hAnsiTheme="majorBidi" w:cstheme="majorBidi"/>
                <w:i/>
                <w:iCs/>
                <w:kern w:val="22"/>
              </w:rPr>
              <w:t xml:space="preserve">Leading: </w:t>
            </w:r>
            <w:r w:rsidRPr="006E07A1">
              <w:rPr>
                <w:rFonts w:asciiTheme="majorBidi" w:hAnsiTheme="majorBidi" w:cstheme="majorBidi"/>
                <w:kern w:val="22"/>
              </w:rPr>
              <w:t xml:space="preserve">Parties, </w:t>
            </w:r>
            <w:r>
              <w:rPr>
                <w:rFonts w:asciiTheme="majorBidi" w:hAnsiTheme="majorBidi" w:cstheme="majorBidi"/>
                <w:kern w:val="22"/>
              </w:rPr>
              <w:t>indigenous peoples and local communities</w:t>
            </w:r>
            <w:r w:rsidRPr="006E07A1">
              <w:rPr>
                <w:rFonts w:asciiTheme="majorBidi" w:hAnsiTheme="majorBidi" w:cstheme="majorBidi"/>
                <w:kern w:val="22"/>
              </w:rPr>
              <w:t xml:space="preserve">, relevant organizations, the research community, Secretariat </w:t>
            </w:r>
          </w:p>
        </w:tc>
      </w:tr>
      <w:tr w:rsidR="00FE6115" w:rsidRPr="00187CE1" w14:paraId="65E1F945" w14:textId="77777777" w:rsidTr="006E07A1">
        <w:tc>
          <w:tcPr>
            <w:tcW w:w="3257" w:type="dxa"/>
          </w:tcPr>
          <w:p w14:paraId="4017A00F"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kern w:val="22"/>
              </w:rPr>
              <w:t>1.3 Ensure gender equitable access in relation to access and benefit</w:t>
            </w:r>
            <w:r w:rsidRPr="006E07A1">
              <w:rPr>
                <w:kern w:val="22"/>
              </w:rPr>
              <w:noBreakHyphen/>
              <w:t xml:space="preserve">sharing instruments, as appropriate </w:t>
            </w:r>
          </w:p>
        </w:tc>
        <w:tc>
          <w:tcPr>
            <w:tcW w:w="4394" w:type="dxa"/>
          </w:tcPr>
          <w:p w14:paraId="65643D7B"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Pr>
                <w:kern w:val="22"/>
              </w:rPr>
              <w:t>1.3.1</w:t>
            </w:r>
            <w:r>
              <w:rPr>
                <w:kern w:val="22"/>
              </w:rPr>
              <w:tab/>
            </w:r>
            <w:r w:rsidRPr="006E07A1">
              <w:rPr>
                <w:kern w:val="22"/>
              </w:rPr>
              <w:t xml:space="preserve">Develop, test and promote relevant methodologies to mainstream gender perspectives in access and benefit-sharing instruments, as appropriate  </w:t>
            </w:r>
          </w:p>
        </w:tc>
        <w:tc>
          <w:tcPr>
            <w:tcW w:w="3117" w:type="dxa"/>
          </w:tcPr>
          <w:p w14:paraId="51979650"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kern w:val="22"/>
              </w:rPr>
              <w:t>Guidance on mainstreaming gender equality in relation to access and benefit</w:t>
            </w:r>
            <w:r w:rsidRPr="006E07A1">
              <w:rPr>
                <w:kern w:val="22"/>
              </w:rPr>
              <w:noBreakHyphen/>
              <w:t>sharing instruments made available to Parties</w:t>
            </w:r>
          </w:p>
        </w:tc>
        <w:tc>
          <w:tcPr>
            <w:tcW w:w="1276" w:type="dxa"/>
          </w:tcPr>
          <w:p w14:paraId="3F6E53DA"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Timeframe:</w:t>
            </w:r>
            <w:r w:rsidRPr="006E07A1">
              <w:rPr>
                <w:kern w:val="22"/>
              </w:rPr>
              <w:t xml:space="preserve"> 2026</w:t>
            </w:r>
          </w:p>
        </w:tc>
        <w:tc>
          <w:tcPr>
            <w:tcW w:w="1985" w:type="dxa"/>
          </w:tcPr>
          <w:p w14:paraId="0693B567"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Relevant organizations, the research community, Secretariat</w:t>
            </w:r>
          </w:p>
          <w:p w14:paraId="6BA2F6C6"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Contributing:</w:t>
            </w:r>
            <w:r w:rsidRPr="006E07A1">
              <w:rPr>
                <w:kern w:val="22"/>
              </w:rPr>
              <w:t xml:space="preserve"> Parties</w:t>
            </w:r>
          </w:p>
        </w:tc>
      </w:tr>
      <w:tr w:rsidR="00FE6115" w:rsidRPr="00187CE1" w14:paraId="647D7297" w14:textId="77777777" w:rsidTr="006E07A1">
        <w:tc>
          <w:tcPr>
            <w:tcW w:w="3257" w:type="dxa"/>
            <w:vMerge w:val="restart"/>
          </w:tcPr>
          <w:p w14:paraId="2924C946"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rFonts w:asciiTheme="majorBidi" w:hAnsiTheme="majorBidi" w:cstheme="majorBidi"/>
                <w:kern w:val="22"/>
              </w:rPr>
            </w:pPr>
            <w:r w:rsidRPr="006E07A1">
              <w:rPr>
                <w:rFonts w:asciiTheme="majorBidi" w:hAnsiTheme="majorBidi" w:cstheme="majorBidi"/>
                <w:kern w:val="22"/>
              </w:rPr>
              <w:t>1.4</w:t>
            </w:r>
            <w:r w:rsidRPr="006E07A1">
              <w:rPr>
                <w:kern w:val="22"/>
              </w:rPr>
              <w:t xml:space="preserve"> </w:t>
            </w:r>
            <w:r w:rsidRPr="006E07A1">
              <w:rPr>
                <w:rFonts w:asciiTheme="majorBidi" w:hAnsiTheme="majorBidi" w:cstheme="majorBidi"/>
                <w:kern w:val="22"/>
              </w:rPr>
              <w:t xml:space="preserve">Promote women’s empowerment and entrepreneurial opportunities in biodiversity-based supply chains and sectors, </w:t>
            </w:r>
            <w:bookmarkStart w:id="142" w:name="_Hlk98869728"/>
            <w:r w:rsidRPr="006E07A1">
              <w:rPr>
                <w:rFonts w:asciiTheme="majorBidi" w:hAnsiTheme="majorBidi" w:cstheme="majorBidi"/>
                <w:kern w:val="22"/>
              </w:rPr>
              <w:t xml:space="preserve">that support sustainable </w:t>
            </w:r>
            <w:r w:rsidRPr="006E07A1">
              <w:rPr>
                <w:rFonts w:asciiTheme="majorBidi" w:hAnsiTheme="majorBidi" w:cstheme="majorBidi"/>
                <w:kern w:val="22"/>
              </w:rPr>
              <w:lastRenderedPageBreak/>
              <w:t>management and production practices</w:t>
            </w:r>
            <w:bookmarkEnd w:id="142"/>
          </w:p>
          <w:p w14:paraId="034A49EA"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p>
        </w:tc>
        <w:tc>
          <w:tcPr>
            <w:tcW w:w="4394" w:type="dxa"/>
          </w:tcPr>
          <w:p w14:paraId="5402546C"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Pr>
                <w:kern w:val="22"/>
              </w:rPr>
              <w:lastRenderedPageBreak/>
              <w:t>1.4.1</w:t>
            </w:r>
            <w:r>
              <w:rPr>
                <w:kern w:val="22"/>
              </w:rPr>
              <w:tab/>
            </w:r>
            <w:r w:rsidRPr="006E07A1">
              <w:rPr>
                <w:kern w:val="22"/>
              </w:rPr>
              <w:t xml:space="preserve">Conduct assessments on </w:t>
            </w:r>
            <w:r w:rsidRPr="006E07A1">
              <w:rPr>
                <w:color w:val="000000"/>
                <w:kern w:val="22"/>
              </w:rPr>
              <w:t>gender roles across biodiversity-based supply chains and sectors to determine gende</w:t>
            </w:r>
            <w:r w:rsidRPr="006E07A1">
              <w:rPr>
                <w:kern w:val="22"/>
              </w:rPr>
              <w:t xml:space="preserve">r gaps </w:t>
            </w:r>
            <w:r w:rsidRPr="006E07A1">
              <w:rPr>
                <w:rFonts w:asciiTheme="majorBidi" w:hAnsiTheme="majorBidi" w:cstheme="majorBidi"/>
              </w:rPr>
              <w:t>and make use of assessments already undertaken in this regard</w:t>
            </w:r>
            <w:r w:rsidRPr="006E07A1" w:rsidDel="00CF6857">
              <w:rPr>
                <w:kern w:val="22"/>
              </w:rPr>
              <w:t xml:space="preserve"> </w:t>
            </w:r>
          </w:p>
        </w:tc>
        <w:tc>
          <w:tcPr>
            <w:tcW w:w="3117" w:type="dxa"/>
          </w:tcPr>
          <w:p w14:paraId="786D98D6"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kern w:val="22"/>
              </w:rPr>
              <w:t>Assessments and case studies inform decision</w:t>
            </w:r>
            <w:r>
              <w:rPr>
                <w:kern w:val="22"/>
              </w:rPr>
              <w:noBreakHyphen/>
            </w:r>
            <w:r w:rsidRPr="006E07A1">
              <w:rPr>
                <w:kern w:val="22"/>
              </w:rPr>
              <w:t>making and are shared through webinars and side events</w:t>
            </w:r>
          </w:p>
        </w:tc>
        <w:tc>
          <w:tcPr>
            <w:tcW w:w="1276" w:type="dxa"/>
          </w:tcPr>
          <w:p w14:paraId="1F8D4646"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Timeframe:</w:t>
            </w:r>
          </w:p>
          <w:p w14:paraId="09CDC114"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i/>
                <w:iCs/>
                <w:kern w:val="22"/>
              </w:rPr>
            </w:pPr>
            <w:r w:rsidRPr="006E07A1">
              <w:rPr>
                <w:kern w:val="22"/>
              </w:rPr>
              <w:t>2026</w:t>
            </w:r>
          </w:p>
        </w:tc>
        <w:tc>
          <w:tcPr>
            <w:tcW w:w="1985" w:type="dxa"/>
          </w:tcPr>
          <w:p w14:paraId="3574C0FB"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Private sector, Parties, relevant organizations</w:t>
            </w:r>
          </w:p>
          <w:p w14:paraId="5B1C372C"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Contributing:</w:t>
            </w:r>
            <w:r w:rsidRPr="006E07A1">
              <w:rPr>
                <w:kern w:val="22"/>
              </w:rPr>
              <w:t xml:space="preserve"> Secretariat</w:t>
            </w:r>
          </w:p>
        </w:tc>
      </w:tr>
      <w:tr w:rsidR="00FE6115" w:rsidRPr="00187CE1" w14:paraId="1950C573" w14:textId="77777777" w:rsidTr="006E07A1">
        <w:tc>
          <w:tcPr>
            <w:tcW w:w="3257" w:type="dxa"/>
            <w:vMerge/>
          </w:tcPr>
          <w:p w14:paraId="3BA2025E" w14:textId="77777777" w:rsidR="00FE6115" w:rsidRPr="006E07A1" w:rsidRDefault="00FE6115" w:rsidP="005F0753">
            <w:pPr>
              <w:suppressLineNumbers/>
              <w:suppressAutoHyphens/>
              <w:kinsoku w:val="0"/>
              <w:overflowPunct w:val="0"/>
              <w:autoSpaceDE w:val="0"/>
              <w:autoSpaceDN w:val="0"/>
              <w:adjustRightInd w:val="0"/>
              <w:snapToGrid w:val="0"/>
              <w:jc w:val="left"/>
              <w:rPr>
                <w:kern w:val="22"/>
              </w:rPr>
            </w:pPr>
          </w:p>
        </w:tc>
        <w:tc>
          <w:tcPr>
            <w:tcW w:w="4394" w:type="dxa"/>
          </w:tcPr>
          <w:p w14:paraId="51419F1F" w14:textId="77777777" w:rsidR="00FE6115" w:rsidRPr="006E07A1" w:rsidRDefault="00FE6115" w:rsidP="005F0753">
            <w:pPr>
              <w:suppressLineNumbers/>
              <w:suppressAutoHyphens/>
              <w:kinsoku w:val="0"/>
              <w:overflowPunct w:val="0"/>
              <w:autoSpaceDE w:val="0"/>
              <w:autoSpaceDN w:val="0"/>
              <w:adjustRightInd w:val="0"/>
              <w:snapToGrid w:val="0"/>
              <w:jc w:val="left"/>
              <w:rPr>
                <w:kern w:val="22"/>
              </w:rPr>
            </w:pPr>
            <w:r>
              <w:rPr>
                <w:kern w:val="22"/>
              </w:rPr>
              <w:t>1.4.2</w:t>
            </w:r>
            <w:r>
              <w:rPr>
                <w:kern w:val="22"/>
              </w:rPr>
              <w:tab/>
            </w:r>
            <w:r w:rsidRPr="006E07A1">
              <w:rPr>
                <w:kern w:val="22"/>
              </w:rPr>
              <w:t>Implement supportive interventions to promote women’s empowerment and entrepreneurial opportunities in biodiversity-based supply chains and sectors that support sustainable management and production practices</w:t>
            </w:r>
          </w:p>
          <w:p w14:paraId="5D825355" w14:textId="77777777" w:rsidR="00FE6115" w:rsidRPr="006E07A1" w:rsidRDefault="00FE6115" w:rsidP="005F0753">
            <w:pPr>
              <w:suppressLineNumbers/>
              <w:suppressAutoHyphens/>
              <w:kinsoku w:val="0"/>
              <w:overflowPunct w:val="0"/>
              <w:autoSpaceDE w:val="0"/>
              <w:autoSpaceDN w:val="0"/>
              <w:adjustRightInd w:val="0"/>
              <w:snapToGrid w:val="0"/>
              <w:jc w:val="left"/>
              <w:rPr>
                <w:kern w:val="22"/>
              </w:rPr>
            </w:pPr>
          </w:p>
        </w:tc>
        <w:tc>
          <w:tcPr>
            <w:tcW w:w="3117" w:type="dxa"/>
          </w:tcPr>
          <w:p w14:paraId="6BC3D35F" w14:textId="77777777" w:rsidR="00FE6115" w:rsidRPr="006E07A1" w:rsidRDefault="00FE6115" w:rsidP="005F0753">
            <w:pPr>
              <w:suppressLineNumbers/>
              <w:suppressAutoHyphens/>
              <w:kinsoku w:val="0"/>
              <w:overflowPunct w:val="0"/>
              <w:autoSpaceDE w:val="0"/>
              <w:autoSpaceDN w:val="0"/>
              <w:adjustRightInd w:val="0"/>
              <w:snapToGrid w:val="0"/>
              <w:jc w:val="left"/>
              <w:rPr>
                <w:strike/>
                <w:kern w:val="22"/>
              </w:rPr>
            </w:pPr>
            <w:r w:rsidRPr="006E07A1">
              <w:rPr>
                <w:rFonts w:asciiTheme="majorBidi" w:hAnsiTheme="majorBidi" w:cstheme="majorBidi"/>
                <w:kern w:val="22"/>
              </w:rPr>
              <w:t>Capacity</w:t>
            </w:r>
            <w:r w:rsidRPr="006E07A1">
              <w:rPr>
                <w:rFonts w:asciiTheme="majorBidi" w:hAnsiTheme="majorBidi" w:cstheme="majorBidi"/>
                <w:kern w:val="22"/>
              </w:rPr>
              <w:noBreakHyphen/>
              <w:t>building and development workshops and training sessions carried out for women focused on empowerment and entrepreneurial opportunities relevant to biodiversity-based supply chains and sectors</w:t>
            </w:r>
          </w:p>
        </w:tc>
        <w:tc>
          <w:tcPr>
            <w:tcW w:w="1276" w:type="dxa"/>
          </w:tcPr>
          <w:p w14:paraId="5290C824" w14:textId="77777777" w:rsidR="00FE6115" w:rsidRPr="006E07A1" w:rsidRDefault="00FE6115" w:rsidP="005F0753">
            <w:pPr>
              <w:suppressLineNumbers/>
              <w:suppressAutoHyphens/>
              <w:kinsoku w:val="0"/>
              <w:overflowPunct w:val="0"/>
              <w:autoSpaceDE w:val="0"/>
              <w:autoSpaceDN w:val="0"/>
              <w:adjustRightInd w:val="0"/>
              <w:snapToGrid w:val="0"/>
              <w:spacing w:after="60"/>
              <w:jc w:val="left"/>
              <w:rPr>
                <w:i/>
                <w:iCs/>
                <w:kern w:val="22"/>
              </w:rPr>
            </w:pPr>
            <w:r w:rsidRPr="006E07A1">
              <w:rPr>
                <w:i/>
                <w:iCs/>
                <w:kern w:val="22"/>
              </w:rPr>
              <w:t>Timeframe:</w:t>
            </w:r>
          </w:p>
          <w:p w14:paraId="175AE4D2" w14:textId="77777777" w:rsidR="00FE6115" w:rsidRPr="006E07A1" w:rsidRDefault="00FE6115" w:rsidP="005F0753">
            <w:pPr>
              <w:suppressLineNumbers/>
              <w:suppressAutoHyphens/>
              <w:kinsoku w:val="0"/>
              <w:overflowPunct w:val="0"/>
              <w:autoSpaceDE w:val="0"/>
              <w:autoSpaceDN w:val="0"/>
              <w:adjustRightInd w:val="0"/>
              <w:snapToGrid w:val="0"/>
              <w:spacing w:after="60"/>
              <w:jc w:val="left"/>
              <w:rPr>
                <w:rFonts w:asciiTheme="majorBidi" w:hAnsiTheme="majorBidi" w:cstheme="majorBidi"/>
                <w:kern w:val="22"/>
              </w:rPr>
            </w:pPr>
            <w:r w:rsidRPr="006E07A1">
              <w:rPr>
                <w:rFonts w:asciiTheme="majorBidi" w:hAnsiTheme="majorBidi" w:cstheme="majorBidi"/>
                <w:kern w:val="22"/>
              </w:rPr>
              <w:t>Ongoing</w:t>
            </w:r>
          </w:p>
        </w:tc>
        <w:tc>
          <w:tcPr>
            <w:tcW w:w="1985" w:type="dxa"/>
          </w:tcPr>
          <w:p w14:paraId="15091AAB" w14:textId="77777777" w:rsidR="00FE6115" w:rsidRPr="006E07A1" w:rsidRDefault="00FE6115" w:rsidP="005F0753">
            <w:pPr>
              <w:suppressLineNumbers/>
              <w:suppressAutoHyphens/>
              <w:kinsoku w:val="0"/>
              <w:overflowPunct w:val="0"/>
              <w:autoSpaceDE w:val="0"/>
              <w:autoSpaceDN w:val="0"/>
              <w:adjustRightInd w:val="0"/>
              <w:snapToGrid w:val="0"/>
              <w:jc w:val="left"/>
              <w:rPr>
                <w:rFonts w:asciiTheme="majorBidi" w:hAnsiTheme="majorBidi" w:cstheme="majorBidi"/>
                <w:i/>
                <w:iCs/>
                <w:strike/>
                <w:kern w:val="22"/>
              </w:rPr>
            </w:pPr>
            <w:r w:rsidRPr="006E07A1">
              <w:rPr>
                <w:rFonts w:asciiTheme="majorBidi" w:hAnsiTheme="majorBidi" w:cstheme="majorBidi"/>
                <w:i/>
                <w:iCs/>
                <w:kern w:val="22"/>
              </w:rPr>
              <w:t>Leading:</w:t>
            </w:r>
            <w:r w:rsidRPr="006E07A1">
              <w:rPr>
                <w:rFonts w:asciiTheme="majorBidi" w:hAnsiTheme="majorBidi" w:cstheme="majorBidi"/>
                <w:kern w:val="22"/>
              </w:rPr>
              <w:t xml:space="preserve"> Private sector, Parties, relevant organizations</w:t>
            </w:r>
          </w:p>
        </w:tc>
      </w:tr>
      <w:tr w:rsidR="00FE6115" w:rsidRPr="00187CE1" w14:paraId="0C53A642" w14:textId="77777777" w:rsidTr="006E07A1">
        <w:tc>
          <w:tcPr>
            <w:tcW w:w="3257" w:type="dxa"/>
          </w:tcPr>
          <w:p w14:paraId="4AB39083"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kern w:val="22"/>
              </w:rPr>
              <w:t>1.5 Identify and eliminate, prevent and respond to all forms of gender-based discrimination and violence</w:t>
            </w:r>
            <w:r>
              <w:rPr>
                <w:kern w:val="22"/>
              </w:rPr>
              <w:t>,</w:t>
            </w:r>
            <w:r w:rsidRPr="006E07A1">
              <w:rPr>
                <w:kern w:val="22"/>
              </w:rPr>
              <w:t xml:space="preserve"> in particular in relation to control, ownership and access to sustainable use and conservation of biodiversity, including protecting women environmental human rights defenders and park rangers</w:t>
            </w:r>
          </w:p>
        </w:tc>
        <w:tc>
          <w:tcPr>
            <w:tcW w:w="4394" w:type="dxa"/>
          </w:tcPr>
          <w:p w14:paraId="65BBD338"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Pr>
                <w:kern w:val="22"/>
              </w:rPr>
              <w:t>1.5.1</w:t>
            </w:r>
            <w:r>
              <w:rPr>
                <w:kern w:val="22"/>
              </w:rPr>
              <w:tab/>
            </w:r>
            <w:r w:rsidRPr="006E07A1">
              <w:rPr>
                <w:kern w:val="22"/>
              </w:rPr>
              <w:t>Develop and deploy data, tools and strategies to understand and address gender-based violence and biodiversity linkages, including with a focus on the protection of women environmental human rights defenders, to support biodiversity policy and programming development and implementation</w:t>
            </w:r>
          </w:p>
        </w:tc>
        <w:tc>
          <w:tcPr>
            <w:tcW w:w="3117" w:type="dxa"/>
          </w:tcPr>
          <w:p w14:paraId="71A2FF2E" w14:textId="77777777" w:rsidR="00FE6115" w:rsidRPr="006E07A1" w:rsidRDefault="00FE6115" w:rsidP="005F0753">
            <w:pPr>
              <w:spacing w:before="60" w:after="60"/>
              <w:jc w:val="left"/>
              <w:rPr>
                <w:kern w:val="22"/>
              </w:rPr>
            </w:pPr>
            <w:r w:rsidRPr="006E07A1">
              <w:rPr>
                <w:color w:val="000000"/>
                <w:kern w:val="22"/>
                <w:lang w:eastAsia="zh-CN"/>
              </w:rPr>
              <w:t>Data and/or knowledge products, campaigns, tools, webinars, on the links between gender-based violence and biodiversity, produced and made available to Parties and stakeholders</w:t>
            </w:r>
          </w:p>
        </w:tc>
        <w:tc>
          <w:tcPr>
            <w:tcW w:w="1276" w:type="dxa"/>
          </w:tcPr>
          <w:p w14:paraId="152480DF"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rFonts w:eastAsia="Montserrat"/>
                <w:i/>
                <w:iCs/>
                <w:kern w:val="22"/>
              </w:rPr>
            </w:pPr>
            <w:r w:rsidRPr="006E07A1">
              <w:rPr>
                <w:rFonts w:eastAsia="Montserrat"/>
                <w:i/>
                <w:iCs/>
                <w:kern w:val="22"/>
              </w:rPr>
              <w:t>Timeframe:</w:t>
            </w:r>
          </w:p>
          <w:p w14:paraId="3470B9EA"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i/>
                <w:iCs/>
                <w:kern w:val="22"/>
              </w:rPr>
            </w:pPr>
            <w:r w:rsidRPr="006E07A1">
              <w:rPr>
                <w:rFonts w:eastAsia="Montserrat"/>
                <w:kern w:val="22"/>
              </w:rPr>
              <w:t>2026</w:t>
            </w:r>
          </w:p>
        </w:tc>
        <w:tc>
          <w:tcPr>
            <w:tcW w:w="1985" w:type="dxa"/>
          </w:tcPr>
          <w:p w14:paraId="639903BF"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Relevant organizations, Secretariat</w:t>
            </w:r>
          </w:p>
          <w:p w14:paraId="0031AA01"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Contributing:</w:t>
            </w:r>
            <w:r w:rsidRPr="006E07A1">
              <w:rPr>
                <w:kern w:val="22"/>
              </w:rPr>
              <w:t xml:space="preserve">  Parties</w:t>
            </w:r>
          </w:p>
        </w:tc>
      </w:tr>
      <w:tr w:rsidR="00FE6115" w:rsidRPr="00187CE1" w14:paraId="641AFA26" w14:textId="77777777" w:rsidTr="006E07A1">
        <w:tc>
          <w:tcPr>
            <w:tcW w:w="3257" w:type="dxa"/>
          </w:tcPr>
          <w:p w14:paraId="001DE6CF"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kern w:val="22"/>
              </w:rPr>
            </w:pPr>
          </w:p>
        </w:tc>
        <w:tc>
          <w:tcPr>
            <w:tcW w:w="4394" w:type="dxa"/>
          </w:tcPr>
          <w:p w14:paraId="162C30DD"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rFonts w:asciiTheme="majorBidi" w:eastAsia="Arial" w:hAnsiTheme="majorBidi" w:cstheme="majorBidi"/>
                <w:color w:val="000000"/>
              </w:rPr>
              <w:t>1.5.2.</w:t>
            </w:r>
            <w:r>
              <w:rPr>
                <w:rFonts w:asciiTheme="majorBidi" w:eastAsia="Arial" w:hAnsiTheme="majorBidi" w:cstheme="majorBidi"/>
                <w:color w:val="000000"/>
              </w:rPr>
              <w:tab/>
            </w:r>
            <w:r w:rsidRPr="006E07A1">
              <w:rPr>
                <w:rFonts w:asciiTheme="majorBidi" w:eastAsia="Arial" w:hAnsiTheme="majorBidi" w:cstheme="majorBidi"/>
                <w:color w:val="000000"/>
              </w:rPr>
              <w:t>Effective measures are taken to</w:t>
            </w:r>
            <w:r w:rsidRPr="006E07A1">
              <w:rPr>
                <w:rFonts w:asciiTheme="majorBidi" w:eastAsia="Arial" w:hAnsiTheme="majorBidi" w:cstheme="majorBidi"/>
                <w:b/>
                <w:bCs/>
                <w:color w:val="000000"/>
              </w:rPr>
              <w:t xml:space="preserve"> </w:t>
            </w:r>
            <w:r w:rsidRPr="006E07A1">
              <w:rPr>
                <w:kern w:val="22"/>
              </w:rPr>
              <w:t>eliminate, prevent and respond to all forms of gender-based discrimination and violence</w:t>
            </w:r>
            <w:r>
              <w:rPr>
                <w:kern w:val="22"/>
              </w:rPr>
              <w:t>,</w:t>
            </w:r>
            <w:r w:rsidRPr="006E07A1">
              <w:rPr>
                <w:kern w:val="22"/>
              </w:rPr>
              <w:t xml:space="preserve"> in particular in relation to control, ownership and access to sustainable use and conservation of biodiversity, including protecting women environmental human rights defenders and park rangers</w:t>
            </w:r>
            <w:r w:rsidRPr="006E07A1">
              <w:rPr>
                <w:b/>
                <w:bCs/>
                <w:kern w:val="22"/>
              </w:rPr>
              <w:t xml:space="preserve"> </w:t>
            </w:r>
          </w:p>
        </w:tc>
        <w:tc>
          <w:tcPr>
            <w:tcW w:w="3117" w:type="dxa"/>
          </w:tcPr>
          <w:p w14:paraId="385B562C" w14:textId="77777777" w:rsidR="00FE6115" w:rsidRPr="006E07A1" w:rsidRDefault="00FE6115" w:rsidP="005F0753">
            <w:pPr>
              <w:spacing w:before="60" w:after="60"/>
              <w:jc w:val="left"/>
              <w:rPr>
                <w:color w:val="000000"/>
                <w:kern w:val="22"/>
                <w:highlight w:val="yellow"/>
                <w:lang w:eastAsia="zh-CN"/>
              </w:rPr>
            </w:pPr>
            <w:r w:rsidRPr="006E07A1">
              <w:rPr>
                <w:rFonts w:asciiTheme="majorBidi" w:hAnsiTheme="majorBidi" w:cstheme="majorBidi"/>
                <w:color w:val="000000"/>
                <w:kern w:val="22"/>
                <w:lang w:eastAsia="zh-CN"/>
              </w:rPr>
              <w:t>Case studies are compiled and shared on implementing measures to eliminate, prevent and respond to all forms of gender-based discrimination and violence related to control, ownership, and access to sustainable use and conservation of biodiversity, including protecting women environmental human rights defenders and park rangers</w:t>
            </w:r>
            <w:r w:rsidRPr="006E07A1">
              <w:rPr>
                <w:color w:val="000000"/>
                <w:kern w:val="22"/>
                <w:highlight w:val="yellow"/>
                <w:lang w:eastAsia="zh-CN"/>
              </w:rPr>
              <w:t xml:space="preserve">   </w:t>
            </w:r>
          </w:p>
        </w:tc>
        <w:tc>
          <w:tcPr>
            <w:tcW w:w="1276" w:type="dxa"/>
          </w:tcPr>
          <w:p w14:paraId="2305A6AA" w14:textId="77777777" w:rsidR="00FE6115" w:rsidRPr="006E07A1" w:rsidRDefault="00FE6115" w:rsidP="006E07A1">
            <w:pPr>
              <w:suppressLineNumbers/>
              <w:suppressAutoHyphens/>
              <w:kinsoku w:val="0"/>
              <w:overflowPunct w:val="0"/>
              <w:autoSpaceDE w:val="0"/>
              <w:autoSpaceDN w:val="0"/>
              <w:adjustRightInd w:val="0"/>
              <w:snapToGrid w:val="0"/>
              <w:spacing w:before="60" w:after="60"/>
              <w:rPr>
                <w:rFonts w:eastAsia="Montserrat"/>
                <w:i/>
                <w:iCs/>
                <w:kern w:val="22"/>
              </w:rPr>
            </w:pPr>
            <w:r w:rsidRPr="006E07A1">
              <w:rPr>
                <w:rFonts w:eastAsia="Montserrat"/>
                <w:i/>
                <w:iCs/>
                <w:kern w:val="22"/>
              </w:rPr>
              <w:t>Timeframe:</w:t>
            </w:r>
          </w:p>
          <w:p w14:paraId="2AD79B28"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rFonts w:eastAsia="Montserrat"/>
                <w:i/>
                <w:iCs/>
                <w:kern w:val="22"/>
              </w:rPr>
            </w:pPr>
            <w:r w:rsidRPr="006E07A1">
              <w:rPr>
                <w:rFonts w:eastAsia="Montserrat"/>
                <w:kern w:val="22"/>
              </w:rPr>
              <w:t>2026</w:t>
            </w:r>
          </w:p>
        </w:tc>
        <w:tc>
          <w:tcPr>
            <w:tcW w:w="1985" w:type="dxa"/>
          </w:tcPr>
          <w:p w14:paraId="2C680761"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rFonts w:asciiTheme="majorBidi" w:hAnsiTheme="majorBidi" w:cstheme="majorBidi"/>
                <w:i/>
                <w:iCs/>
                <w:kern w:val="22"/>
              </w:rPr>
            </w:pPr>
            <w:r w:rsidRPr="006E07A1">
              <w:rPr>
                <w:rFonts w:asciiTheme="majorBidi" w:hAnsiTheme="majorBidi" w:cstheme="majorBidi"/>
                <w:i/>
                <w:iCs/>
                <w:kern w:val="22"/>
              </w:rPr>
              <w:t>Leading:</w:t>
            </w:r>
          </w:p>
          <w:p w14:paraId="2DEFD068" w14:textId="77777777" w:rsidR="00FE6115" w:rsidRPr="006E07A1" w:rsidRDefault="00FE6115" w:rsidP="005F0753">
            <w:pPr>
              <w:suppressLineNumbers/>
              <w:suppressAutoHyphens/>
              <w:kinsoku w:val="0"/>
              <w:overflowPunct w:val="0"/>
              <w:autoSpaceDE w:val="0"/>
              <w:autoSpaceDN w:val="0"/>
              <w:adjustRightInd w:val="0"/>
              <w:snapToGrid w:val="0"/>
              <w:jc w:val="left"/>
              <w:rPr>
                <w:rFonts w:asciiTheme="majorBidi" w:hAnsiTheme="majorBidi" w:cstheme="majorBidi"/>
                <w:kern w:val="22"/>
              </w:rPr>
            </w:pPr>
            <w:r w:rsidRPr="006E07A1">
              <w:rPr>
                <w:rFonts w:asciiTheme="majorBidi" w:hAnsiTheme="majorBidi" w:cstheme="majorBidi"/>
                <w:kern w:val="22"/>
              </w:rPr>
              <w:t>Parties, relevant organizations, the research community</w:t>
            </w:r>
          </w:p>
        </w:tc>
      </w:tr>
      <w:tr w:rsidR="00FE6115" w:rsidRPr="00187CE1" w14:paraId="3E4C71B2" w14:textId="77777777" w:rsidTr="006E07A1">
        <w:tc>
          <w:tcPr>
            <w:tcW w:w="14029" w:type="dxa"/>
            <w:gridSpan w:val="5"/>
            <w:tcBorders>
              <w:top w:val="single" w:sz="12" w:space="0" w:color="auto"/>
            </w:tcBorders>
            <w:shd w:val="clear" w:color="auto" w:fill="FFFFFF" w:themeFill="background1"/>
          </w:tcPr>
          <w:p w14:paraId="79FB71DF" w14:textId="77777777" w:rsidR="00FE6115" w:rsidRPr="006E07A1" w:rsidRDefault="00FE6115" w:rsidP="005F0753">
            <w:pPr>
              <w:keepNext/>
              <w:suppressLineNumbers/>
              <w:suppressAutoHyphens/>
              <w:kinsoku w:val="0"/>
              <w:overflowPunct w:val="0"/>
              <w:autoSpaceDE w:val="0"/>
              <w:autoSpaceDN w:val="0"/>
              <w:adjustRightInd w:val="0"/>
              <w:snapToGrid w:val="0"/>
              <w:spacing w:before="60" w:after="60"/>
              <w:jc w:val="left"/>
              <w:rPr>
                <w:kern w:val="22"/>
              </w:rPr>
            </w:pPr>
            <w:r w:rsidRPr="006E07A1">
              <w:rPr>
                <w:b/>
                <w:bCs/>
                <w:kern w:val="22"/>
              </w:rPr>
              <w:lastRenderedPageBreak/>
              <w:t>Expected outcome 2</w:t>
            </w:r>
            <w:r w:rsidRPr="006E07A1">
              <w:rPr>
                <w:kern w:val="22"/>
              </w:rPr>
              <w:t>: Biodiversity policy, planning and programming decisions address equally the perspectives, interests, needs and human rights</w:t>
            </w:r>
            <w:r w:rsidRPr="006E07A1">
              <w:rPr>
                <w:rFonts w:asciiTheme="majorBidi" w:hAnsiTheme="majorBidi" w:cstheme="majorBidi"/>
                <w:kern w:val="22"/>
              </w:rPr>
              <w:t xml:space="preserve"> of all people, in particular of all women and girls</w:t>
            </w:r>
          </w:p>
        </w:tc>
      </w:tr>
      <w:tr w:rsidR="00FE6115" w:rsidRPr="00187CE1" w14:paraId="45C39212" w14:textId="77777777" w:rsidTr="006E07A1">
        <w:tc>
          <w:tcPr>
            <w:tcW w:w="3257" w:type="dxa"/>
            <w:vMerge w:val="restart"/>
          </w:tcPr>
          <w:p w14:paraId="15B292E8"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2.1 Increase opportunities and strengthen the meaningful and effective participation and leadership of women at all levels of action, engagement and decision-making related to the three objectives of the Convention</w:t>
            </w:r>
            <w:r w:rsidRPr="006E07A1">
              <w:rPr>
                <w:b/>
                <w:bCs/>
                <w:kern w:val="22"/>
              </w:rPr>
              <w:t xml:space="preserve"> </w:t>
            </w:r>
          </w:p>
        </w:tc>
        <w:tc>
          <w:tcPr>
            <w:tcW w:w="4394" w:type="dxa"/>
          </w:tcPr>
          <w:p w14:paraId="7EBA8E91"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2.1.1</w:t>
            </w:r>
            <w:r>
              <w:rPr>
                <w:kern w:val="22"/>
              </w:rPr>
              <w:tab/>
            </w:r>
            <w:r w:rsidRPr="006E07A1">
              <w:rPr>
                <w:kern w:val="22"/>
              </w:rPr>
              <w:t>Convene an expert group meeting</w:t>
            </w:r>
            <w:r w:rsidRPr="006E07A1">
              <w:rPr>
                <w:rFonts w:asciiTheme="majorBidi" w:eastAsia="Arial" w:hAnsiTheme="majorBidi" w:cstheme="majorBidi"/>
                <w:color w:val="000000"/>
              </w:rPr>
              <w:t xml:space="preserve">, including women environmental human rights defenders, </w:t>
            </w:r>
            <w:r w:rsidRPr="006E07A1">
              <w:rPr>
                <w:kern w:val="22"/>
              </w:rPr>
              <w:t xml:space="preserve">to develop guidance and recommendations to </w:t>
            </w:r>
            <w:r w:rsidRPr="006E07A1">
              <w:rPr>
                <w:rFonts w:asciiTheme="majorBidi" w:eastAsia="Arial" w:hAnsiTheme="majorBidi" w:cstheme="majorBidi"/>
                <w:color w:val="000000"/>
              </w:rPr>
              <w:t>aimed at eliminating gender disparities in the participation and leadership of women and decision-making related to</w:t>
            </w:r>
            <w:r w:rsidRPr="006E07A1">
              <w:rPr>
                <w:kern w:val="22"/>
              </w:rPr>
              <w:t xml:space="preserve"> the three objectives of the Convention</w:t>
            </w:r>
          </w:p>
        </w:tc>
        <w:tc>
          <w:tcPr>
            <w:tcW w:w="3117" w:type="dxa"/>
          </w:tcPr>
          <w:p w14:paraId="55FC4B08" w14:textId="77777777" w:rsidR="00FE6115" w:rsidRPr="006E07A1" w:rsidRDefault="00FE6115" w:rsidP="00DB3AED">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Report of Expert Group meeting and recommendations made available to Parties and stakeholders </w:t>
            </w:r>
          </w:p>
        </w:tc>
        <w:tc>
          <w:tcPr>
            <w:tcW w:w="1276" w:type="dxa"/>
          </w:tcPr>
          <w:p w14:paraId="4AD76392"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Timeframe:</w:t>
            </w:r>
            <w:r w:rsidRPr="006E07A1">
              <w:rPr>
                <w:kern w:val="22"/>
              </w:rPr>
              <w:t xml:space="preserve"> 2024</w:t>
            </w:r>
          </w:p>
        </w:tc>
        <w:tc>
          <w:tcPr>
            <w:tcW w:w="1985" w:type="dxa"/>
          </w:tcPr>
          <w:p w14:paraId="4413C6EF"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Secretariat, relevant organizations, Parties</w:t>
            </w:r>
          </w:p>
        </w:tc>
      </w:tr>
      <w:tr w:rsidR="00FE6115" w:rsidRPr="00187CE1" w14:paraId="64735375" w14:textId="77777777" w:rsidTr="006E07A1">
        <w:tc>
          <w:tcPr>
            <w:tcW w:w="3257" w:type="dxa"/>
            <w:vMerge/>
          </w:tcPr>
          <w:p w14:paraId="7AC78ECF"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p>
        </w:tc>
        <w:tc>
          <w:tcPr>
            <w:tcW w:w="4394" w:type="dxa"/>
          </w:tcPr>
          <w:p w14:paraId="54BE85F9"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2.1.2</w:t>
            </w:r>
            <w:r>
              <w:rPr>
                <w:kern w:val="22"/>
              </w:rPr>
              <w:tab/>
            </w:r>
            <w:r w:rsidRPr="006E07A1">
              <w:rPr>
                <w:kern w:val="22"/>
              </w:rPr>
              <w:t xml:space="preserve">Apply guidance and recommendations to ensure </w:t>
            </w:r>
            <w:r>
              <w:rPr>
                <w:kern w:val="22"/>
              </w:rPr>
              <w:t>the</w:t>
            </w:r>
            <w:r w:rsidRPr="006E07A1">
              <w:rPr>
                <w:kern w:val="22"/>
              </w:rPr>
              <w:t xml:space="preserve"> informed and effective participation and equal leadership </w:t>
            </w:r>
            <w:r>
              <w:rPr>
                <w:kern w:val="22"/>
              </w:rPr>
              <w:t xml:space="preserve">of women </w:t>
            </w:r>
            <w:r w:rsidRPr="006E07A1">
              <w:rPr>
                <w:kern w:val="22"/>
              </w:rPr>
              <w:t xml:space="preserve">in governance bodies at all levels related to the three objectives of the Convention </w:t>
            </w:r>
          </w:p>
        </w:tc>
        <w:tc>
          <w:tcPr>
            <w:tcW w:w="3117" w:type="dxa"/>
          </w:tcPr>
          <w:p w14:paraId="2C267527" w14:textId="77777777" w:rsidR="00FE6115" w:rsidRPr="006E07A1" w:rsidRDefault="00FE6115" w:rsidP="00DB3AED">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Data/information on women’s participation and leadership in biodiversity-related governance bodies </w:t>
            </w:r>
            <w:r>
              <w:rPr>
                <w:kern w:val="22"/>
              </w:rPr>
              <w:t>is</w:t>
            </w:r>
            <w:r w:rsidRPr="006E07A1">
              <w:rPr>
                <w:kern w:val="22"/>
              </w:rPr>
              <w:t xml:space="preserve"> included in national reports under the Convention on Biological Diversity</w:t>
            </w:r>
          </w:p>
        </w:tc>
        <w:tc>
          <w:tcPr>
            <w:tcW w:w="1276" w:type="dxa"/>
          </w:tcPr>
          <w:p w14:paraId="5A692EE2"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Timeframe:</w:t>
            </w:r>
            <w:r w:rsidRPr="006E07A1">
              <w:rPr>
                <w:kern w:val="22"/>
              </w:rPr>
              <w:t xml:space="preserve"> 2026</w:t>
            </w:r>
          </w:p>
        </w:tc>
        <w:tc>
          <w:tcPr>
            <w:tcW w:w="1985" w:type="dxa"/>
          </w:tcPr>
          <w:p w14:paraId="10388C84"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Leading:</w:t>
            </w:r>
            <w:r w:rsidRPr="006E07A1">
              <w:rPr>
                <w:kern w:val="22"/>
              </w:rPr>
              <w:t xml:space="preserve"> Parties, relevant organizations</w:t>
            </w:r>
          </w:p>
        </w:tc>
      </w:tr>
      <w:tr w:rsidR="00FE6115" w:rsidRPr="00187CE1" w14:paraId="4AFFE98B" w14:textId="77777777" w:rsidTr="006E07A1">
        <w:tc>
          <w:tcPr>
            <w:tcW w:w="3257" w:type="dxa"/>
            <w:vMerge w:val="restart"/>
          </w:tcPr>
          <w:p w14:paraId="37558F7D"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2.2 Enhance the meaningful and effective participation and leadership of women in processes under the Convention on Biological Diversity, including through the engagement of women’s groups and women delegates</w:t>
            </w:r>
          </w:p>
        </w:tc>
        <w:tc>
          <w:tcPr>
            <w:tcW w:w="4394" w:type="dxa"/>
          </w:tcPr>
          <w:p w14:paraId="686E7C09"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2.2.1</w:t>
            </w:r>
            <w:r>
              <w:rPr>
                <w:kern w:val="22"/>
              </w:rPr>
              <w:tab/>
            </w:r>
            <w:r w:rsidRPr="006E07A1">
              <w:rPr>
                <w:kern w:val="22"/>
              </w:rPr>
              <w:t>Support capacity development in leadership, negotiation and facilitation for women delegates, including through webinars and in</w:t>
            </w:r>
            <w:r>
              <w:rPr>
                <w:kern w:val="22"/>
              </w:rPr>
              <w:noBreakHyphen/>
            </w:r>
            <w:r w:rsidRPr="006E07A1">
              <w:rPr>
                <w:kern w:val="22"/>
              </w:rPr>
              <w:t>session training, through remote and in</w:t>
            </w:r>
            <w:r>
              <w:rPr>
                <w:kern w:val="22"/>
              </w:rPr>
              <w:noBreakHyphen/>
            </w:r>
            <w:r w:rsidRPr="006E07A1">
              <w:rPr>
                <w:kern w:val="22"/>
              </w:rPr>
              <w:t>person modalities</w:t>
            </w:r>
          </w:p>
        </w:tc>
        <w:tc>
          <w:tcPr>
            <w:tcW w:w="3117" w:type="dxa"/>
          </w:tcPr>
          <w:p w14:paraId="71994600"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Webinars, in-session training, active engagement of representatives in the Friends of Gender Equality Group under the Convention on Biological Diversity</w:t>
            </w:r>
          </w:p>
        </w:tc>
        <w:tc>
          <w:tcPr>
            <w:tcW w:w="1276" w:type="dxa"/>
          </w:tcPr>
          <w:p w14:paraId="201F5AF3"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 xml:space="preserve">Timeframe: </w:t>
            </w:r>
            <w:r w:rsidRPr="006E07A1">
              <w:rPr>
                <w:kern w:val="22"/>
              </w:rPr>
              <w:t>2026</w:t>
            </w:r>
          </w:p>
        </w:tc>
        <w:tc>
          <w:tcPr>
            <w:tcW w:w="1985" w:type="dxa"/>
          </w:tcPr>
          <w:p w14:paraId="6DF0D3F2"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Secretariat, relevant organizations</w:t>
            </w:r>
          </w:p>
        </w:tc>
      </w:tr>
      <w:tr w:rsidR="00FE6115" w:rsidRPr="00187CE1" w14:paraId="748820BE" w14:textId="77777777" w:rsidTr="006E07A1">
        <w:tc>
          <w:tcPr>
            <w:tcW w:w="3257" w:type="dxa"/>
            <w:vMerge/>
          </w:tcPr>
          <w:p w14:paraId="56AF526F"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kern w:val="22"/>
              </w:rPr>
            </w:pPr>
          </w:p>
        </w:tc>
        <w:tc>
          <w:tcPr>
            <w:tcW w:w="4394" w:type="dxa"/>
          </w:tcPr>
          <w:p w14:paraId="1EFA5D78"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2.2.2</w:t>
            </w:r>
            <w:r>
              <w:rPr>
                <w:kern w:val="22"/>
              </w:rPr>
              <w:tab/>
            </w:r>
            <w:r w:rsidRPr="006E07A1">
              <w:rPr>
                <w:kern w:val="22"/>
              </w:rPr>
              <w:t>Ensure gender expertise included in all advisory and expert bodies under the Convention on Biological Diversity</w:t>
            </w:r>
          </w:p>
        </w:tc>
        <w:tc>
          <w:tcPr>
            <w:tcW w:w="3117" w:type="dxa"/>
          </w:tcPr>
          <w:p w14:paraId="05E082B7"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Gender experts/women’s group representatives are included in all advisory and expert bodies/meetings under the Convention on Biological Diversity</w:t>
            </w:r>
          </w:p>
        </w:tc>
        <w:tc>
          <w:tcPr>
            <w:tcW w:w="1276" w:type="dxa"/>
          </w:tcPr>
          <w:p w14:paraId="110349DA"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 xml:space="preserve">Timeframe: </w:t>
            </w:r>
            <w:r w:rsidRPr="006E07A1">
              <w:rPr>
                <w:kern w:val="22"/>
              </w:rPr>
              <w:t>2026</w:t>
            </w:r>
          </w:p>
        </w:tc>
        <w:tc>
          <w:tcPr>
            <w:tcW w:w="1985" w:type="dxa"/>
          </w:tcPr>
          <w:p w14:paraId="4634D97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Secretariat</w:t>
            </w:r>
          </w:p>
        </w:tc>
      </w:tr>
      <w:tr w:rsidR="00FE6115" w:rsidRPr="00187CE1" w14:paraId="073F4214" w14:textId="77777777" w:rsidTr="006E07A1">
        <w:tc>
          <w:tcPr>
            <w:tcW w:w="3257" w:type="dxa"/>
            <w:vMerge/>
          </w:tcPr>
          <w:p w14:paraId="255D09CB"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kern w:val="22"/>
              </w:rPr>
            </w:pPr>
          </w:p>
        </w:tc>
        <w:tc>
          <w:tcPr>
            <w:tcW w:w="4394" w:type="dxa"/>
          </w:tcPr>
          <w:p w14:paraId="7D4D7274"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2.2.3</w:t>
            </w:r>
            <w:r>
              <w:rPr>
                <w:kern w:val="22"/>
              </w:rPr>
              <w:tab/>
            </w:r>
            <w:r w:rsidRPr="006E07A1">
              <w:rPr>
                <w:kern w:val="22"/>
              </w:rPr>
              <w:t xml:space="preserve">Undertake assessments to determine measures to enable women’s meaningful, informed and effective participation in the new </w:t>
            </w:r>
            <w:r w:rsidRPr="006E07A1">
              <w:rPr>
                <w:kern w:val="22"/>
              </w:rPr>
              <w:lastRenderedPageBreak/>
              <w:t>programme of work on Article 8(j) and analyse gender considerations to be addressed in this work programme</w:t>
            </w:r>
          </w:p>
        </w:tc>
        <w:tc>
          <w:tcPr>
            <w:tcW w:w="3117" w:type="dxa"/>
          </w:tcPr>
          <w:p w14:paraId="1F2CD7CF"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lastRenderedPageBreak/>
              <w:t xml:space="preserve">Measures to enable women’s meaningful, informed and effective participation and </w:t>
            </w:r>
            <w:r w:rsidRPr="006E07A1">
              <w:rPr>
                <w:kern w:val="22"/>
              </w:rPr>
              <w:lastRenderedPageBreak/>
              <w:t>gender considerations are incorporated in the new programme of work on Article 8(j)</w:t>
            </w:r>
          </w:p>
        </w:tc>
        <w:tc>
          <w:tcPr>
            <w:tcW w:w="1276" w:type="dxa"/>
          </w:tcPr>
          <w:p w14:paraId="165FE9D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lastRenderedPageBreak/>
              <w:t xml:space="preserve">Timeframe: </w:t>
            </w:r>
            <w:r w:rsidRPr="006E07A1">
              <w:rPr>
                <w:kern w:val="22"/>
              </w:rPr>
              <w:t>2024</w:t>
            </w:r>
          </w:p>
        </w:tc>
        <w:tc>
          <w:tcPr>
            <w:tcW w:w="1985" w:type="dxa"/>
          </w:tcPr>
          <w:p w14:paraId="789B3F3C"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 xml:space="preserve">Leading: </w:t>
            </w:r>
            <w:r w:rsidRPr="006E07A1">
              <w:rPr>
                <w:kern w:val="22"/>
              </w:rPr>
              <w:t xml:space="preserve">Indigenous peoples and local </w:t>
            </w:r>
            <w:r w:rsidRPr="006E07A1">
              <w:rPr>
                <w:kern w:val="22"/>
              </w:rPr>
              <w:lastRenderedPageBreak/>
              <w:t>communities, Parties, relevant organizations</w:t>
            </w:r>
          </w:p>
          <w:p w14:paraId="76D5E857"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Contributing:</w:t>
            </w:r>
            <w:r w:rsidRPr="006E07A1">
              <w:rPr>
                <w:kern w:val="22"/>
              </w:rPr>
              <w:t xml:space="preserve"> Secretariat</w:t>
            </w:r>
          </w:p>
        </w:tc>
      </w:tr>
      <w:tr w:rsidR="00FE6115" w:rsidRPr="00187CE1" w14:paraId="3AB60AFD" w14:textId="77777777" w:rsidTr="006E07A1">
        <w:tc>
          <w:tcPr>
            <w:tcW w:w="3257" w:type="dxa"/>
            <w:vMerge w:val="restart"/>
          </w:tcPr>
          <w:p w14:paraId="20D69F1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lastRenderedPageBreak/>
              <w:t>2.3 Integrate human rights and gender equality considerations into national biodiversity strategies and action plans (NBSAPs)</w:t>
            </w:r>
          </w:p>
        </w:tc>
        <w:tc>
          <w:tcPr>
            <w:tcW w:w="4394" w:type="dxa"/>
          </w:tcPr>
          <w:p w14:paraId="64A29E3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2.3.1</w:t>
            </w:r>
            <w:r>
              <w:rPr>
                <w:kern w:val="22"/>
              </w:rPr>
              <w:tab/>
            </w:r>
            <w:r w:rsidRPr="006E07A1">
              <w:rPr>
                <w:kern w:val="22"/>
              </w:rPr>
              <w:t>Provide capacity-building and development opportunities for governments at all levels and other relevant stakeholders on gender responsive development, planning, implementation, budgeting, monitoring, evaluation and reporting of NBSAPs</w:t>
            </w:r>
          </w:p>
        </w:tc>
        <w:tc>
          <w:tcPr>
            <w:tcW w:w="3117" w:type="dxa"/>
          </w:tcPr>
          <w:p w14:paraId="4D9D2BF4"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Capacity</w:t>
            </w:r>
            <w:r w:rsidRPr="006E07A1">
              <w:rPr>
                <w:b/>
                <w:bCs/>
                <w:kern w:val="22"/>
              </w:rPr>
              <w:t>-</w:t>
            </w:r>
            <w:r w:rsidRPr="006E07A1">
              <w:rPr>
                <w:kern w:val="22"/>
              </w:rPr>
              <w:t>building and development initiatives undertaken, templates, guides and toolkits developed</w:t>
            </w:r>
          </w:p>
        </w:tc>
        <w:tc>
          <w:tcPr>
            <w:tcW w:w="1276" w:type="dxa"/>
          </w:tcPr>
          <w:p w14:paraId="21AC0669"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Timeframe:</w:t>
            </w:r>
          </w:p>
          <w:p w14:paraId="5F7EAAA8" w14:textId="3A8D524B"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Ongoing</w:t>
            </w:r>
            <w:r w:rsidR="00745C34">
              <w:rPr>
                <w:rStyle w:val="FootnoteReference"/>
                <w:kern w:val="22"/>
              </w:rPr>
              <w:footnoteReference w:customMarkFollows="1" w:id="121"/>
              <w:t>4</w:t>
            </w:r>
          </w:p>
          <w:p w14:paraId="1965D7EF"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p>
        </w:tc>
        <w:tc>
          <w:tcPr>
            <w:tcW w:w="1985" w:type="dxa"/>
          </w:tcPr>
          <w:p w14:paraId="7319AAB0"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Relevant organizations, Parties, Secretariat</w:t>
            </w:r>
          </w:p>
        </w:tc>
      </w:tr>
      <w:tr w:rsidR="00FE6115" w:rsidRPr="00187CE1" w14:paraId="0AA044C5" w14:textId="77777777" w:rsidTr="006E07A1">
        <w:tc>
          <w:tcPr>
            <w:tcW w:w="3257" w:type="dxa"/>
            <w:vMerge/>
          </w:tcPr>
          <w:p w14:paraId="74D058DC"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p>
        </w:tc>
        <w:tc>
          <w:tcPr>
            <w:tcW w:w="4394" w:type="dxa"/>
          </w:tcPr>
          <w:p w14:paraId="77EDDEAA"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2.3.2</w:t>
            </w:r>
            <w:r>
              <w:rPr>
                <w:kern w:val="22"/>
              </w:rPr>
              <w:tab/>
            </w:r>
            <w:r w:rsidRPr="006E07A1">
              <w:rPr>
                <w:kern w:val="22"/>
              </w:rPr>
              <w:t>Appoint national gender-biodiversity focal points to support knowledge exchange, sharing experiences and best practices, peer-to-peer learning, mentoring and coaching</w:t>
            </w:r>
          </w:p>
        </w:tc>
        <w:tc>
          <w:tcPr>
            <w:tcW w:w="3117" w:type="dxa"/>
          </w:tcPr>
          <w:p w14:paraId="7B840B94"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National gender-biodiversity focal points nominated, learning activities conducted, recommendations for support prepared, and an awareness raising/knowledge sharing plan developed</w:t>
            </w:r>
          </w:p>
        </w:tc>
        <w:tc>
          <w:tcPr>
            <w:tcW w:w="1276" w:type="dxa"/>
          </w:tcPr>
          <w:p w14:paraId="13BD154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 xml:space="preserve">Timeframe: </w:t>
            </w:r>
          </w:p>
          <w:p w14:paraId="57E6A0B5"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kern w:val="22"/>
              </w:rPr>
              <w:t>2024</w:t>
            </w:r>
          </w:p>
        </w:tc>
        <w:tc>
          <w:tcPr>
            <w:tcW w:w="1985" w:type="dxa"/>
          </w:tcPr>
          <w:p w14:paraId="45B01E04"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w:t>
            </w:r>
          </w:p>
          <w:p w14:paraId="107C4643"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Contributing:</w:t>
            </w:r>
            <w:r w:rsidRPr="006E07A1">
              <w:rPr>
                <w:kern w:val="22"/>
              </w:rPr>
              <w:t xml:space="preserve"> Secretariat, relevant organizations</w:t>
            </w:r>
          </w:p>
        </w:tc>
      </w:tr>
      <w:tr w:rsidR="00FE6115" w:rsidRPr="00187CE1" w14:paraId="2B7D33F2" w14:textId="77777777" w:rsidTr="006E07A1">
        <w:tc>
          <w:tcPr>
            <w:tcW w:w="3257" w:type="dxa"/>
            <w:vMerge/>
          </w:tcPr>
          <w:p w14:paraId="417AF788"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kern w:val="22"/>
              </w:rPr>
            </w:pPr>
          </w:p>
        </w:tc>
        <w:tc>
          <w:tcPr>
            <w:tcW w:w="4394" w:type="dxa"/>
          </w:tcPr>
          <w:p w14:paraId="2576FE90"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2.3.3</w:t>
            </w:r>
            <w:r>
              <w:rPr>
                <w:kern w:val="22"/>
              </w:rPr>
              <w:tab/>
            </w:r>
            <w:r w:rsidRPr="006E07A1">
              <w:rPr>
                <w:kern w:val="22"/>
              </w:rPr>
              <w:t>Engage all relevant stakeholders, particularly women’s groups, gender institutions and gender experts</w:t>
            </w:r>
            <w:r>
              <w:rPr>
                <w:kern w:val="22"/>
              </w:rPr>
              <w:t>,</w:t>
            </w:r>
            <w:r w:rsidRPr="006E07A1">
              <w:rPr>
                <w:kern w:val="22"/>
              </w:rPr>
              <w:t xml:space="preserve"> and indigenous peoples and local communities, in the process of developing and updating NBSAPs and related biodiversity policies, plans, and strategies at all levels</w:t>
            </w:r>
          </w:p>
        </w:tc>
        <w:tc>
          <w:tcPr>
            <w:tcW w:w="3117" w:type="dxa"/>
          </w:tcPr>
          <w:p w14:paraId="6110B234"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Gender responsive NBSAPs</w:t>
            </w:r>
          </w:p>
        </w:tc>
        <w:tc>
          <w:tcPr>
            <w:tcW w:w="1276" w:type="dxa"/>
          </w:tcPr>
          <w:p w14:paraId="58915133"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Timeframe:</w:t>
            </w:r>
          </w:p>
          <w:p w14:paraId="59E50956"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kern w:val="22"/>
              </w:rPr>
              <w:t>2026</w:t>
            </w:r>
          </w:p>
        </w:tc>
        <w:tc>
          <w:tcPr>
            <w:tcW w:w="1985" w:type="dxa"/>
          </w:tcPr>
          <w:p w14:paraId="42A41317"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 relevant organizations</w:t>
            </w:r>
          </w:p>
        </w:tc>
      </w:tr>
      <w:tr w:rsidR="00FE6115" w:rsidRPr="00187CE1" w14:paraId="64FBCC09" w14:textId="77777777" w:rsidTr="006E07A1">
        <w:tc>
          <w:tcPr>
            <w:tcW w:w="14029" w:type="dxa"/>
            <w:gridSpan w:val="5"/>
            <w:tcBorders>
              <w:top w:val="single" w:sz="12" w:space="0" w:color="auto"/>
            </w:tcBorders>
            <w:shd w:val="clear" w:color="auto" w:fill="FFFFFF" w:themeFill="background1"/>
          </w:tcPr>
          <w:p w14:paraId="7D3E958A"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kern w:val="22"/>
              </w:rPr>
            </w:pPr>
            <w:r w:rsidRPr="006E07A1">
              <w:rPr>
                <w:b/>
                <w:bCs/>
                <w:kern w:val="22"/>
              </w:rPr>
              <w:t>Expected outcome 3</w:t>
            </w:r>
            <w:r w:rsidRPr="006E07A1">
              <w:rPr>
                <w:kern w:val="22"/>
              </w:rPr>
              <w:t xml:space="preserve">: Enabling conditions are created to ensure gender responsive implementation of the </w:t>
            </w:r>
            <w:r>
              <w:rPr>
                <w:kern w:val="22"/>
              </w:rPr>
              <w:t>Kunming-Montreal</w:t>
            </w:r>
            <w:r w:rsidRPr="006E07A1">
              <w:rPr>
                <w:kern w:val="22"/>
              </w:rPr>
              <w:t xml:space="preserve"> </w:t>
            </w:r>
            <w:r>
              <w:rPr>
                <w:kern w:val="22"/>
              </w:rPr>
              <w:t>G</w:t>
            </w:r>
            <w:r w:rsidRPr="006E07A1">
              <w:rPr>
                <w:kern w:val="22"/>
              </w:rPr>
              <w:t xml:space="preserve">lobal </w:t>
            </w:r>
            <w:r>
              <w:rPr>
                <w:kern w:val="22"/>
              </w:rPr>
              <w:t>B</w:t>
            </w:r>
            <w:r w:rsidRPr="006E07A1">
              <w:rPr>
                <w:kern w:val="22"/>
              </w:rPr>
              <w:t xml:space="preserve">iodiversity </w:t>
            </w:r>
            <w:r>
              <w:rPr>
                <w:kern w:val="22"/>
              </w:rPr>
              <w:t>F</w:t>
            </w:r>
            <w:r w:rsidRPr="006E07A1">
              <w:rPr>
                <w:kern w:val="22"/>
              </w:rPr>
              <w:t>ramework</w:t>
            </w:r>
          </w:p>
        </w:tc>
      </w:tr>
      <w:tr w:rsidR="00FE6115" w:rsidRPr="00187CE1" w14:paraId="60431133" w14:textId="77777777" w:rsidTr="006E07A1">
        <w:tc>
          <w:tcPr>
            <w:tcW w:w="3257" w:type="dxa"/>
            <w:vMerge w:val="restart"/>
          </w:tcPr>
          <w:p w14:paraId="2ACF6DAE"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3.1 Develop national capacity to produce and use gender and biodiversity data, including </w:t>
            </w:r>
            <w:r w:rsidRPr="006E07A1">
              <w:rPr>
                <w:kern w:val="22"/>
              </w:rPr>
              <w:lastRenderedPageBreak/>
              <w:t>relevant data disaggregation (e.g. sex, age, ethnicity and other demographic factors)</w:t>
            </w:r>
          </w:p>
        </w:tc>
        <w:tc>
          <w:tcPr>
            <w:tcW w:w="4394" w:type="dxa"/>
          </w:tcPr>
          <w:p w14:paraId="72AF8213"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lastRenderedPageBreak/>
              <w:t>3.1.1</w:t>
            </w:r>
            <w:r>
              <w:rPr>
                <w:kern w:val="22"/>
              </w:rPr>
              <w:tab/>
            </w:r>
            <w:r w:rsidRPr="006E07A1">
              <w:rPr>
                <w:kern w:val="22"/>
              </w:rPr>
              <w:t>Build knowledge and capacity of national statistical offices to ensure the systematic collection of sex</w:t>
            </w:r>
            <w:r>
              <w:rPr>
                <w:kern w:val="22"/>
              </w:rPr>
              <w:t>-</w:t>
            </w:r>
            <w:r w:rsidRPr="006E07A1">
              <w:rPr>
                <w:kern w:val="22"/>
              </w:rPr>
              <w:t xml:space="preserve">disaggregated </w:t>
            </w:r>
            <w:r w:rsidRPr="006E07A1">
              <w:rPr>
                <w:kern w:val="22"/>
              </w:rPr>
              <w:lastRenderedPageBreak/>
              <w:t>biodiversity data and the development and use of relevant gender-specific indicators</w:t>
            </w:r>
          </w:p>
        </w:tc>
        <w:tc>
          <w:tcPr>
            <w:tcW w:w="3117" w:type="dxa"/>
          </w:tcPr>
          <w:p w14:paraId="521E193F"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lastRenderedPageBreak/>
              <w:t xml:space="preserve">Training tools developed and capacity development support </w:t>
            </w:r>
            <w:r w:rsidRPr="006E07A1">
              <w:rPr>
                <w:kern w:val="22"/>
              </w:rPr>
              <w:lastRenderedPageBreak/>
              <w:t xml:space="preserve">provided, available data disaggregated by sex  </w:t>
            </w:r>
          </w:p>
        </w:tc>
        <w:tc>
          <w:tcPr>
            <w:tcW w:w="1276" w:type="dxa"/>
          </w:tcPr>
          <w:p w14:paraId="67BB79F3"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lastRenderedPageBreak/>
              <w:t>Timeframe:</w:t>
            </w:r>
          </w:p>
          <w:p w14:paraId="1E4246F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kern w:val="22"/>
              </w:rPr>
              <w:t>2026</w:t>
            </w:r>
          </w:p>
        </w:tc>
        <w:tc>
          <w:tcPr>
            <w:tcW w:w="1985" w:type="dxa"/>
          </w:tcPr>
          <w:p w14:paraId="6FA9CDA4"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 relevant organizations</w:t>
            </w:r>
          </w:p>
        </w:tc>
      </w:tr>
      <w:tr w:rsidR="00FE6115" w:rsidRPr="00187CE1" w14:paraId="7F3E96C6" w14:textId="77777777" w:rsidTr="006E07A1">
        <w:tc>
          <w:tcPr>
            <w:tcW w:w="3257" w:type="dxa"/>
            <w:vMerge/>
          </w:tcPr>
          <w:p w14:paraId="07F7BEDA"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b/>
                <w:bCs/>
                <w:kern w:val="22"/>
              </w:rPr>
            </w:pPr>
          </w:p>
        </w:tc>
        <w:tc>
          <w:tcPr>
            <w:tcW w:w="4394" w:type="dxa"/>
          </w:tcPr>
          <w:p w14:paraId="46616532"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3.1.2</w:t>
            </w:r>
            <w:r>
              <w:rPr>
                <w:kern w:val="22"/>
              </w:rPr>
              <w:tab/>
            </w:r>
            <w:r w:rsidRPr="006E07A1">
              <w:rPr>
                <w:kern w:val="22"/>
              </w:rPr>
              <w:t>Share sample indicators, data, best practices and relevant guidance on developing and monitoring data disaggregated by sex and other demographic factors, per sector</w:t>
            </w:r>
          </w:p>
        </w:tc>
        <w:tc>
          <w:tcPr>
            <w:tcW w:w="3117" w:type="dxa"/>
          </w:tcPr>
          <w:p w14:paraId="21740B41"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Webinars, in-session workshops, prepare report highlighting best practices</w:t>
            </w:r>
          </w:p>
        </w:tc>
        <w:tc>
          <w:tcPr>
            <w:tcW w:w="1276" w:type="dxa"/>
          </w:tcPr>
          <w:p w14:paraId="7BE07927"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Timeframe:</w:t>
            </w:r>
            <w:r w:rsidRPr="006E07A1">
              <w:rPr>
                <w:kern w:val="22"/>
              </w:rPr>
              <w:t xml:space="preserve"> 2026</w:t>
            </w:r>
          </w:p>
        </w:tc>
        <w:tc>
          <w:tcPr>
            <w:tcW w:w="1985" w:type="dxa"/>
          </w:tcPr>
          <w:p w14:paraId="6D94C460"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 Secretariat, relevant organizations</w:t>
            </w:r>
          </w:p>
        </w:tc>
      </w:tr>
      <w:tr w:rsidR="00FE6115" w:rsidRPr="00187CE1" w14:paraId="6FEE0D6A" w14:textId="77777777" w:rsidTr="006E07A1">
        <w:tc>
          <w:tcPr>
            <w:tcW w:w="3257" w:type="dxa"/>
          </w:tcPr>
          <w:p w14:paraId="1F2B2C88"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3.2 Strengthen the evidence base, understanding and analysis of the gender-related impacts of the implementation of the </w:t>
            </w:r>
            <w:r>
              <w:rPr>
                <w:kern w:val="22"/>
              </w:rPr>
              <w:t>Kunming-Montreal</w:t>
            </w:r>
            <w:r w:rsidRPr="006A227D">
              <w:rPr>
                <w:kern w:val="22"/>
              </w:rPr>
              <w:t xml:space="preserve"> </w:t>
            </w:r>
            <w:r>
              <w:rPr>
                <w:kern w:val="22"/>
              </w:rPr>
              <w:t>G</w:t>
            </w:r>
            <w:r w:rsidRPr="006A227D">
              <w:rPr>
                <w:kern w:val="22"/>
              </w:rPr>
              <w:t xml:space="preserve">lobal </w:t>
            </w:r>
            <w:r>
              <w:rPr>
                <w:kern w:val="22"/>
              </w:rPr>
              <w:t>B</w:t>
            </w:r>
            <w:r w:rsidRPr="006A227D">
              <w:rPr>
                <w:kern w:val="22"/>
              </w:rPr>
              <w:t xml:space="preserve">iodiversity </w:t>
            </w:r>
            <w:r>
              <w:rPr>
                <w:kern w:val="22"/>
              </w:rPr>
              <w:t>F</w:t>
            </w:r>
            <w:r w:rsidRPr="006A227D">
              <w:rPr>
                <w:kern w:val="22"/>
              </w:rPr>
              <w:t xml:space="preserve">ramework </w:t>
            </w:r>
            <w:r w:rsidRPr="006E07A1">
              <w:rPr>
                <w:kern w:val="22"/>
              </w:rPr>
              <w:t>and the role of all women and girls as agents of change in achieving its goals and targets, including insights from traditional knowledge of all women and girls from indigenous peoples and local communities</w:t>
            </w:r>
          </w:p>
        </w:tc>
        <w:tc>
          <w:tcPr>
            <w:tcW w:w="4394" w:type="dxa"/>
          </w:tcPr>
          <w:p w14:paraId="565827F5"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3.2.1</w:t>
            </w:r>
            <w:r>
              <w:rPr>
                <w:kern w:val="22"/>
              </w:rPr>
              <w:tab/>
            </w:r>
            <w:r w:rsidRPr="006E07A1">
              <w:rPr>
                <w:kern w:val="22"/>
              </w:rPr>
              <w:t xml:space="preserve">Undertake research and analysis, and collect and apply information and data, including gender-differentiated traditional knowledge, on the gender-differentiated impacts of the implementation of the </w:t>
            </w:r>
            <w:r>
              <w:rPr>
                <w:kern w:val="22"/>
              </w:rPr>
              <w:t>Kunming-Montreal</w:t>
            </w:r>
            <w:r w:rsidRPr="006E07A1">
              <w:rPr>
                <w:kern w:val="22"/>
              </w:rPr>
              <w:t xml:space="preserve"> </w:t>
            </w:r>
            <w:r>
              <w:rPr>
                <w:kern w:val="22"/>
              </w:rPr>
              <w:t>G</w:t>
            </w:r>
            <w:r w:rsidRPr="006E07A1">
              <w:rPr>
                <w:kern w:val="22"/>
              </w:rPr>
              <w:t xml:space="preserve">lobal </w:t>
            </w:r>
            <w:r>
              <w:rPr>
                <w:kern w:val="22"/>
              </w:rPr>
              <w:t>B</w:t>
            </w:r>
            <w:r w:rsidRPr="006E07A1">
              <w:rPr>
                <w:kern w:val="22"/>
              </w:rPr>
              <w:t xml:space="preserve">iodiversity </w:t>
            </w:r>
            <w:r>
              <w:rPr>
                <w:kern w:val="22"/>
              </w:rPr>
              <w:t>F</w:t>
            </w:r>
            <w:r w:rsidRPr="006E07A1">
              <w:rPr>
                <w:kern w:val="22"/>
              </w:rPr>
              <w:t>ramework and the role of all women and girls as agents of change</w:t>
            </w:r>
          </w:p>
        </w:tc>
        <w:tc>
          <w:tcPr>
            <w:tcW w:w="3117" w:type="dxa"/>
          </w:tcPr>
          <w:p w14:paraId="0F01D7F2"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Information materials, available data sources/databases, reports and compilation documents shared through webinars, side</w:t>
            </w:r>
            <w:r>
              <w:rPr>
                <w:kern w:val="22"/>
              </w:rPr>
              <w:t>-</w:t>
            </w:r>
            <w:r w:rsidRPr="006E07A1">
              <w:rPr>
                <w:kern w:val="22"/>
              </w:rPr>
              <w:t>events at meetings of Convention bodies, social media and the web</w:t>
            </w:r>
            <w:r w:rsidRPr="00176D05">
              <w:rPr>
                <w:kern w:val="22"/>
              </w:rPr>
              <w:t>site</w:t>
            </w:r>
            <w:r w:rsidRPr="006E07A1">
              <w:rPr>
                <w:kern w:val="22"/>
              </w:rPr>
              <w:t xml:space="preserve"> of the Convention</w:t>
            </w:r>
          </w:p>
        </w:tc>
        <w:tc>
          <w:tcPr>
            <w:tcW w:w="1276" w:type="dxa"/>
          </w:tcPr>
          <w:p w14:paraId="54C60EA4"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i/>
                <w:iCs/>
                <w:kern w:val="22"/>
              </w:rPr>
            </w:pPr>
            <w:r w:rsidRPr="006E07A1">
              <w:rPr>
                <w:i/>
                <w:iCs/>
                <w:kern w:val="22"/>
              </w:rPr>
              <w:t>Timeframe:</w:t>
            </w:r>
            <w:r w:rsidRPr="006E07A1">
              <w:rPr>
                <w:kern w:val="22"/>
              </w:rPr>
              <w:t xml:space="preserve"> 2026</w:t>
            </w:r>
          </w:p>
        </w:tc>
        <w:tc>
          <w:tcPr>
            <w:tcW w:w="1985" w:type="dxa"/>
          </w:tcPr>
          <w:p w14:paraId="4D2C9E77"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kern w:val="22"/>
              </w:rPr>
            </w:pPr>
            <w:r w:rsidRPr="006E07A1">
              <w:rPr>
                <w:i/>
                <w:iCs/>
                <w:kern w:val="22"/>
              </w:rPr>
              <w:t>Leading:</w:t>
            </w:r>
            <w:r w:rsidRPr="006E07A1">
              <w:rPr>
                <w:kern w:val="22"/>
              </w:rPr>
              <w:t xml:space="preserve"> Parties, relevant organizations</w:t>
            </w:r>
          </w:p>
          <w:p w14:paraId="43C822DB"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kern w:val="22"/>
              </w:rPr>
            </w:pPr>
            <w:r w:rsidRPr="006E07A1">
              <w:rPr>
                <w:i/>
                <w:iCs/>
                <w:kern w:val="22"/>
              </w:rPr>
              <w:t>Contributing:</w:t>
            </w:r>
            <w:r w:rsidRPr="006E07A1">
              <w:rPr>
                <w:kern w:val="22"/>
              </w:rPr>
              <w:t xml:space="preserve"> Secretariat</w:t>
            </w:r>
          </w:p>
        </w:tc>
      </w:tr>
      <w:tr w:rsidR="00FE6115" w:rsidRPr="00187CE1" w14:paraId="7A3AA419" w14:textId="77777777" w:rsidTr="006E07A1">
        <w:tc>
          <w:tcPr>
            <w:tcW w:w="3257" w:type="dxa"/>
          </w:tcPr>
          <w:p w14:paraId="1A857DE4"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3.3 Support access to information and public participation of women and girls’ organizations, networks, leaders and gender experts in the resourcing, implementation, monitoring and reporting on the </w:t>
            </w:r>
            <w:r>
              <w:rPr>
                <w:kern w:val="22"/>
              </w:rPr>
              <w:t>Kunming-Montreal</w:t>
            </w:r>
            <w:r w:rsidRPr="006A227D">
              <w:rPr>
                <w:kern w:val="22"/>
              </w:rPr>
              <w:t xml:space="preserve"> </w:t>
            </w:r>
            <w:r>
              <w:rPr>
                <w:kern w:val="22"/>
              </w:rPr>
              <w:t>G</w:t>
            </w:r>
            <w:r w:rsidRPr="006A227D">
              <w:rPr>
                <w:kern w:val="22"/>
              </w:rPr>
              <w:t xml:space="preserve">lobal </w:t>
            </w:r>
            <w:r>
              <w:rPr>
                <w:kern w:val="22"/>
              </w:rPr>
              <w:t>B</w:t>
            </w:r>
            <w:r w:rsidRPr="006A227D">
              <w:rPr>
                <w:kern w:val="22"/>
              </w:rPr>
              <w:t xml:space="preserve">iodiversity </w:t>
            </w:r>
            <w:r>
              <w:rPr>
                <w:kern w:val="22"/>
              </w:rPr>
              <w:t>F</w:t>
            </w:r>
            <w:r w:rsidRPr="006A227D">
              <w:rPr>
                <w:kern w:val="22"/>
              </w:rPr>
              <w:t>ramework</w:t>
            </w:r>
          </w:p>
        </w:tc>
        <w:tc>
          <w:tcPr>
            <w:tcW w:w="4394" w:type="dxa"/>
          </w:tcPr>
          <w:p w14:paraId="0E3B5A57"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3.3.1</w:t>
            </w:r>
            <w:r>
              <w:rPr>
                <w:kern w:val="22"/>
              </w:rPr>
              <w:tab/>
            </w:r>
            <w:r w:rsidRPr="006E07A1">
              <w:rPr>
                <w:kern w:val="22"/>
              </w:rPr>
              <w:t xml:space="preserve">Organize capacity-building and development workshops and prepare guidelines to enhance the capacity of women and girls’ organizations, networks and gender experts to support planning, implementation and reporting on </w:t>
            </w:r>
            <w:r>
              <w:rPr>
                <w:kern w:val="22"/>
              </w:rPr>
              <w:t>NBSAPs</w:t>
            </w:r>
            <w:r w:rsidRPr="006E07A1">
              <w:rPr>
                <w:kern w:val="22"/>
              </w:rPr>
              <w:t xml:space="preserve"> and related activities, including integration of gender considerations into all biodiversity programming at all levels</w:t>
            </w:r>
          </w:p>
        </w:tc>
        <w:tc>
          <w:tcPr>
            <w:tcW w:w="3117" w:type="dxa"/>
          </w:tcPr>
          <w:p w14:paraId="16056C29"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Capacity-building and development workshops undertaken, and guidelines prepared</w:t>
            </w:r>
          </w:p>
          <w:p w14:paraId="69132F58" w14:textId="77777777" w:rsidR="00FE6115" w:rsidRPr="006E07A1" w:rsidRDefault="00FE6115" w:rsidP="00DB2426">
            <w:pPr>
              <w:suppressLineNumbers/>
              <w:suppressAutoHyphens/>
              <w:kinsoku w:val="0"/>
              <w:overflowPunct w:val="0"/>
              <w:autoSpaceDE w:val="0"/>
              <w:autoSpaceDN w:val="0"/>
              <w:adjustRightInd w:val="0"/>
              <w:snapToGrid w:val="0"/>
              <w:spacing w:before="60" w:after="60"/>
              <w:jc w:val="left"/>
              <w:rPr>
                <w:kern w:val="22"/>
              </w:rPr>
            </w:pPr>
            <w:r w:rsidRPr="006E07A1">
              <w:rPr>
                <w:kern w:val="22"/>
              </w:rPr>
              <w:t>Reporting on capacity</w:t>
            </w:r>
            <w:r w:rsidRPr="006E07A1">
              <w:rPr>
                <w:kern w:val="22"/>
              </w:rPr>
              <w:noBreakHyphen/>
              <w:t>building and development initiatives and engagement of women’s organizations, networks and gender experts included in national reports under the Convention on Biological Diversity</w:t>
            </w:r>
          </w:p>
        </w:tc>
        <w:tc>
          <w:tcPr>
            <w:tcW w:w="1276" w:type="dxa"/>
          </w:tcPr>
          <w:p w14:paraId="200C23A1"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Timeframe: 2026</w:t>
            </w:r>
          </w:p>
          <w:p w14:paraId="0CBF971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p>
          <w:p w14:paraId="2D14A274" w14:textId="77777777" w:rsidR="00FE6115" w:rsidRPr="006E07A1" w:rsidRDefault="00FE6115" w:rsidP="006E07A1">
            <w:pPr>
              <w:suppressLineNumbers/>
              <w:suppressAutoHyphens/>
              <w:kinsoku w:val="0"/>
              <w:overflowPunct w:val="0"/>
              <w:autoSpaceDE w:val="0"/>
              <w:autoSpaceDN w:val="0"/>
              <w:adjustRightInd w:val="0"/>
              <w:snapToGrid w:val="0"/>
              <w:spacing w:before="360" w:after="60"/>
              <w:jc w:val="left"/>
              <w:rPr>
                <w:kern w:val="22"/>
              </w:rPr>
            </w:pPr>
            <w:r w:rsidRPr="006E07A1">
              <w:rPr>
                <w:kern w:val="22"/>
              </w:rPr>
              <w:t>Timeframe: 2030</w:t>
            </w:r>
          </w:p>
        </w:tc>
        <w:tc>
          <w:tcPr>
            <w:tcW w:w="1985" w:type="dxa"/>
          </w:tcPr>
          <w:p w14:paraId="0BA90619" w14:textId="77777777" w:rsidR="00FE6115" w:rsidRPr="006E07A1" w:rsidRDefault="00FE6115" w:rsidP="006E07A1">
            <w:pPr>
              <w:suppressLineNumbers/>
              <w:suppressAutoHyphens/>
              <w:kinsoku w:val="0"/>
              <w:overflowPunct w:val="0"/>
              <w:autoSpaceDE w:val="0"/>
              <w:autoSpaceDN w:val="0"/>
              <w:adjustRightInd w:val="0"/>
              <w:snapToGrid w:val="0"/>
              <w:jc w:val="left"/>
              <w:rPr>
                <w:kern w:val="22"/>
              </w:rPr>
            </w:pPr>
            <w:r w:rsidRPr="006E07A1">
              <w:rPr>
                <w:i/>
                <w:iCs/>
                <w:kern w:val="22"/>
              </w:rPr>
              <w:t>Leading:</w:t>
            </w:r>
            <w:r w:rsidRPr="006E07A1">
              <w:rPr>
                <w:kern w:val="22"/>
              </w:rPr>
              <w:t xml:space="preserve"> Secretariat, relevant organizations </w:t>
            </w:r>
          </w:p>
          <w:p w14:paraId="6E5BAB45" w14:textId="77777777" w:rsidR="00FE6115" w:rsidRPr="006E07A1" w:rsidRDefault="00FE6115" w:rsidP="006E07A1">
            <w:pPr>
              <w:suppressLineNumbers/>
              <w:suppressAutoHyphens/>
              <w:kinsoku w:val="0"/>
              <w:overflowPunct w:val="0"/>
              <w:autoSpaceDE w:val="0"/>
              <w:autoSpaceDN w:val="0"/>
              <w:adjustRightInd w:val="0"/>
              <w:snapToGrid w:val="0"/>
              <w:jc w:val="left"/>
              <w:rPr>
                <w:i/>
                <w:iCs/>
                <w:kern w:val="22"/>
              </w:rPr>
            </w:pPr>
            <w:r w:rsidRPr="006E07A1">
              <w:rPr>
                <w:i/>
                <w:iCs/>
                <w:kern w:val="22"/>
              </w:rPr>
              <w:t>Contributing:</w:t>
            </w:r>
            <w:r w:rsidRPr="006E07A1">
              <w:rPr>
                <w:kern w:val="22"/>
              </w:rPr>
              <w:t xml:space="preserve"> Parties</w:t>
            </w:r>
          </w:p>
          <w:p w14:paraId="4DC66D20"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 relevant organizations</w:t>
            </w:r>
          </w:p>
          <w:p w14:paraId="50555697" w14:textId="77777777" w:rsidR="00FE6115" w:rsidRPr="006E07A1" w:rsidRDefault="00FE6115" w:rsidP="006E07A1">
            <w:pPr>
              <w:suppressLineNumbers/>
              <w:suppressAutoHyphens/>
              <w:kinsoku w:val="0"/>
              <w:overflowPunct w:val="0"/>
              <w:autoSpaceDE w:val="0"/>
              <w:autoSpaceDN w:val="0"/>
              <w:adjustRightInd w:val="0"/>
              <w:snapToGrid w:val="0"/>
              <w:spacing w:before="60"/>
              <w:jc w:val="left"/>
              <w:rPr>
                <w:i/>
                <w:iCs/>
                <w:kern w:val="22"/>
              </w:rPr>
            </w:pPr>
            <w:r w:rsidRPr="006E07A1">
              <w:rPr>
                <w:i/>
                <w:iCs/>
                <w:kern w:val="22"/>
              </w:rPr>
              <w:t>Contributing:</w:t>
            </w:r>
          </w:p>
          <w:p w14:paraId="74E7C342" w14:textId="77777777" w:rsidR="00FE6115" w:rsidRPr="006E07A1" w:rsidRDefault="00FE6115" w:rsidP="006E07A1">
            <w:pPr>
              <w:suppressLineNumbers/>
              <w:suppressAutoHyphens/>
              <w:kinsoku w:val="0"/>
              <w:overflowPunct w:val="0"/>
              <w:autoSpaceDE w:val="0"/>
              <w:autoSpaceDN w:val="0"/>
              <w:adjustRightInd w:val="0"/>
              <w:snapToGrid w:val="0"/>
              <w:spacing w:after="60"/>
              <w:jc w:val="left"/>
              <w:rPr>
                <w:kern w:val="22"/>
              </w:rPr>
            </w:pPr>
            <w:r w:rsidRPr="006E07A1">
              <w:rPr>
                <w:kern w:val="22"/>
              </w:rPr>
              <w:t>Secretariat</w:t>
            </w:r>
          </w:p>
        </w:tc>
      </w:tr>
      <w:tr w:rsidR="00FE6115" w:rsidRPr="00187CE1" w14:paraId="749AA5E7" w14:textId="77777777" w:rsidTr="006E07A1">
        <w:tc>
          <w:tcPr>
            <w:tcW w:w="3257" w:type="dxa"/>
            <w:vMerge w:val="restart"/>
          </w:tcPr>
          <w:p w14:paraId="36B64D4A"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3.4 Ensure coherent gender responsive implementation of the </w:t>
            </w:r>
            <w:r>
              <w:rPr>
                <w:kern w:val="22"/>
              </w:rPr>
              <w:lastRenderedPageBreak/>
              <w:t>Kunming-Montreal</w:t>
            </w:r>
            <w:r w:rsidRPr="006A227D">
              <w:rPr>
                <w:kern w:val="22"/>
              </w:rPr>
              <w:t xml:space="preserve"> </w:t>
            </w:r>
            <w:r>
              <w:rPr>
                <w:kern w:val="22"/>
              </w:rPr>
              <w:t>G</w:t>
            </w:r>
            <w:r w:rsidRPr="006A227D">
              <w:rPr>
                <w:kern w:val="22"/>
              </w:rPr>
              <w:t xml:space="preserve">lobal </w:t>
            </w:r>
            <w:r>
              <w:rPr>
                <w:kern w:val="22"/>
              </w:rPr>
              <w:t>B</w:t>
            </w:r>
            <w:r w:rsidRPr="006A227D">
              <w:rPr>
                <w:kern w:val="22"/>
              </w:rPr>
              <w:t xml:space="preserve">iodiversity </w:t>
            </w:r>
            <w:r>
              <w:rPr>
                <w:kern w:val="22"/>
              </w:rPr>
              <w:t>F</w:t>
            </w:r>
            <w:r w:rsidRPr="006A227D">
              <w:rPr>
                <w:kern w:val="22"/>
              </w:rPr>
              <w:t>ramework</w:t>
            </w:r>
            <w:r w:rsidRPr="006E07A1">
              <w:rPr>
                <w:kern w:val="22"/>
              </w:rPr>
              <w:t xml:space="preserve"> through identifying synergies and drawing on relevant experience from related United Nations and international processes </w:t>
            </w:r>
          </w:p>
        </w:tc>
        <w:tc>
          <w:tcPr>
            <w:tcW w:w="4394" w:type="dxa"/>
          </w:tcPr>
          <w:p w14:paraId="0ABFF39E"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lastRenderedPageBreak/>
              <w:t>3.4.1</w:t>
            </w:r>
            <w:r>
              <w:rPr>
                <w:kern w:val="22"/>
              </w:rPr>
              <w:tab/>
            </w:r>
            <w:r w:rsidRPr="006E07A1">
              <w:rPr>
                <w:kern w:val="22"/>
              </w:rPr>
              <w:t xml:space="preserve">Promote gender-biodiversity linkages in relevant tools, information and activities of </w:t>
            </w:r>
            <w:r w:rsidRPr="006E07A1">
              <w:rPr>
                <w:kern w:val="22"/>
              </w:rPr>
              <w:lastRenderedPageBreak/>
              <w:t xml:space="preserve">United Nations and international processes, and undertake joint activities with </w:t>
            </w:r>
            <w:r>
              <w:rPr>
                <w:kern w:val="22"/>
              </w:rPr>
              <w:t xml:space="preserve">the </w:t>
            </w:r>
            <w:r w:rsidRPr="006E07A1">
              <w:rPr>
                <w:kern w:val="22"/>
              </w:rPr>
              <w:t>Rio conventions, United Nations and international gender partners</w:t>
            </w:r>
          </w:p>
        </w:tc>
        <w:tc>
          <w:tcPr>
            <w:tcW w:w="3117" w:type="dxa"/>
          </w:tcPr>
          <w:p w14:paraId="00F19ED0" w14:textId="77777777" w:rsidR="00FE6115" w:rsidRPr="006E07A1" w:rsidRDefault="00FE6115" w:rsidP="00DB2426">
            <w:pPr>
              <w:suppressLineNumbers/>
              <w:suppressAutoHyphens/>
              <w:kinsoku w:val="0"/>
              <w:overflowPunct w:val="0"/>
              <w:autoSpaceDE w:val="0"/>
              <w:autoSpaceDN w:val="0"/>
              <w:adjustRightInd w:val="0"/>
              <w:snapToGrid w:val="0"/>
              <w:spacing w:before="60" w:after="60"/>
              <w:jc w:val="left"/>
              <w:rPr>
                <w:kern w:val="22"/>
              </w:rPr>
            </w:pPr>
            <w:r w:rsidRPr="006E07A1">
              <w:rPr>
                <w:kern w:val="22"/>
              </w:rPr>
              <w:lastRenderedPageBreak/>
              <w:t xml:space="preserve">Relevant linkages with United Nations and international </w:t>
            </w:r>
            <w:r w:rsidRPr="006E07A1">
              <w:rPr>
                <w:kern w:val="22"/>
              </w:rPr>
              <w:lastRenderedPageBreak/>
              <w:t>processes promoted, joint activities, including high-level events at major international meetings</w:t>
            </w:r>
          </w:p>
        </w:tc>
        <w:tc>
          <w:tcPr>
            <w:tcW w:w="1276" w:type="dxa"/>
          </w:tcPr>
          <w:p w14:paraId="50663DB2"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lastRenderedPageBreak/>
              <w:t>Timeframe:</w:t>
            </w:r>
            <w:r w:rsidRPr="006E07A1">
              <w:rPr>
                <w:kern w:val="22"/>
              </w:rPr>
              <w:t xml:space="preserve"> 2030</w:t>
            </w:r>
          </w:p>
        </w:tc>
        <w:tc>
          <w:tcPr>
            <w:tcW w:w="1985" w:type="dxa"/>
          </w:tcPr>
          <w:p w14:paraId="7D59AEFA"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Secretariat, United </w:t>
            </w:r>
            <w:r w:rsidRPr="006E07A1">
              <w:rPr>
                <w:kern w:val="22"/>
              </w:rPr>
              <w:lastRenderedPageBreak/>
              <w:t>Nations and international partners</w:t>
            </w:r>
          </w:p>
        </w:tc>
      </w:tr>
      <w:tr w:rsidR="00FE6115" w:rsidRPr="00187CE1" w14:paraId="44DAA6BB" w14:textId="77777777" w:rsidTr="006E07A1">
        <w:tc>
          <w:tcPr>
            <w:tcW w:w="3257" w:type="dxa"/>
            <w:vMerge/>
          </w:tcPr>
          <w:p w14:paraId="6BDB7D23"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p>
        </w:tc>
        <w:tc>
          <w:tcPr>
            <w:tcW w:w="4394" w:type="dxa"/>
          </w:tcPr>
          <w:p w14:paraId="5E5C890C"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3.4.2</w:t>
            </w:r>
            <w:r>
              <w:rPr>
                <w:kern w:val="22"/>
              </w:rPr>
              <w:tab/>
            </w:r>
            <w:r w:rsidRPr="006E07A1">
              <w:rPr>
                <w:kern w:val="22"/>
              </w:rPr>
              <w:t xml:space="preserve">Establish coordination mechanisms among women and girls’ organizations/networks, ministries or other institutions </w:t>
            </w:r>
            <w:r w:rsidRPr="006E07A1">
              <w:rPr>
                <w:rFonts w:asciiTheme="majorBidi" w:hAnsiTheme="majorBidi" w:cstheme="majorBidi"/>
                <w:kern w:val="22"/>
              </w:rPr>
              <w:t>responsible for gender and those responsible for the environment, relevant focal points, and local partners to strengthen coherent program</w:t>
            </w:r>
            <w:r w:rsidRPr="006E07A1">
              <w:rPr>
                <w:kern w:val="22"/>
              </w:rPr>
              <w:t>ming on gender and biodiversity-related issues</w:t>
            </w:r>
          </w:p>
        </w:tc>
        <w:tc>
          <w:tcPr>
            <w:tcW w:w="3117" w:type="dxa"/>
          </w:tcPr>
          <w:p w14:paraId="1F026967" w14:textId="77777777" w:rsidR="00FE6115" w:rsidRPr="006E07A1" w:rsidRDefault="00FE6115" w:rsidP="00DB2426">
            <w:pPr>
              <w:suppressLineNumbers/>
              <w:suppressAutoHyphens/>
              <w:kinsoku w:val="0"/>
              <w:overflowPunct w:val="0"/>
              <w:autoSpaceDE w:val="0"/>
              <w:autoSpaceDN w:val="0"/>
              <w:adjustRightInd w:val="0"/>
              <w:snapToGrid w:val="0"/>
              <w:spacing w:before="60" w:after="60"/>
              <w:jc w:val="left"/>
              <w:rPr>
                <w:kern w:val="22"/>
              </w:rPr>
            </w:pPr>
            <w:r w:rsidRPr="006E07A1">
              <w:rPr>
                <w:kern w:val="22"/>
              </w:rPr>
              <w:t>National-level gender-biodiversity/environment working groups/coordination mechanisms established, reports on progress provided; In-session workshop / side event to exchange experiences and discuss gaps, challenges</w:t>
            </w:r>
          </w:p>
        </w:tc>
        <w:tc>
          <w:tcPr>
            <w:tcW w:w="1276" w:type="dxa"/>
          </w:tcPr>
          <w:p w14:paraId="3A92584E"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Timeframe:</w:t>
            </w:r>
            <w:r w:rsidRPr="006E07A1">
              <w:rPr>
                <w:kern w:val="22"/>
              </w:rPr>
              <w:t xml:space="preserve"> 2026</w:t>
            </w:r>
          </w:p>
        </w:tc>
        <w:tc>
          <w:tcPr>
            <w:tcW w:w="1985" w:type="dxa"/>
          </w:tcPr>
          <w:p w14:paraId="1B52718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Leading:</w:t>
            </w:r>
            <w:r w:rsidRPr="006E07A1">
              <w:rPr>
                <w:kern w:val="22"/>
              </w:rPr>
              <w:t xml:space="preserve"> Parties, relevant organizations</w:t>
            </w:r>
          </w:p>
        </w:tc>
      </w:tr>
      <w:tr w:rsidR="00FE6115" w:rsidRPr="00187CE1" w14:paraId="41C8C92B" w14:textId="77777777" w:rsidTr="006E07A1">
        <w:tc>
          <w:tcPr>
            <w:tcW w:w="3257" w:type="dxa"/>
            <w:vMerge w:val="restart"/>
          </w:tcPr>
          <w:p w14:paraId="133B277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3.5 Ensure that national reports and submissions under the Convention on Biological Diversity provide information on the implementation of the </w:t>
            </w:r>
            <w:r>
              <w:rPr>
                <w:kern w:val="22"/>
              </w:rPr>
              <w:t>G</w:t>
            </w:r>
            <w:r w:rsidRPr="006E07A1">
              <w:rPr>
                <w:kern w:val="22"/>
              </w:rPr>
              <w:t xml:space="preserve">ender </w:t>
            </w:r>
            <w:r>
              <w:rPr>
                <w:kern w:val="22"/>
              </w:rPr>
              <w:t>P</w:t>
            </w:r>
            <w:r w:rsidRPr="006E07A1">
              <w:rPr>
                <w:kern w:val="22"/>
              </w:rPr>
              <w:t xml:space="preserve">lan of </w:t>
            </w:r>
            <w:r>
              <w:rPr>
                <w:kern w:val="22"/>
              </w:rPr>
              <w:t>A</w:t>
            </w:r>
            <w:r w:rsidRPr="006E07A1">
              <w:rPr>
                <w:kern w:val="22"/>
              </w:rPr>
              <w:t xml:space="preserve">ction and gender-responsive implementation of the </w:t>
            </w:r>
            <w:r>
              <w:rPr>
                <w:kern w:val="22"/>
              </w:rPr>
              <w:t>Kunming-Montreal</w:t>
            </w:r>
            <w:r w:rsidRPr="006A227D">
              <w:rPr>
                <w:kern w:val="22"/>
              </w:rPr>
              <w:t xml:space="preserve"> </w:t>
            </w:r>
            <w:r>
              <w:rPr>
                <w:kern w:val="22"/>
              </w:rPr>
              <w:t>G</w:t>
            </w:r>
            <w:r w:rsidRPr="006A227D">
              <w:rPr>
                <w:kern w:val="22"/>
              </w:rPr>
              <w:t xml:space="preserve">lobal </w:t>
            </w:r>
            <w:r>
              <w:rPr>
                <w:kern w:val="22"/>
              </w:rPr>
              <w:t>B</w:t>
            </w:r>
            <w:r w:rsidRPr="006A227D">
              <w:rPr>
                <w:kern w:val="22"/>
              </w:rPr>
              <w:t xml:space="preserve">iodiversity </w:t>
            </w:r>
            <w:r>
              <w:rPr>
                <w:kern w:val="22"/>
              </w:rPr>
              <w:t>F</w:t>
            </w:r>
            <w:r w:rsidRPr="006A227D">
              <w:rPr>
                <w:kern w:val="22"/>
              </w:rPr>
              <w:t>ramework</w:t>
            </w:r>
          </w:p>
        </w:tc>
        <w:tc>
          <w:tcPr>
            <w:tcW w:w="4394" w:type="dxa"/>
          </w:tcPr>
          <w:p w14:paraId="5F666177"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3.5.1</w:t>
            </w:r>
            <w:r>
              <w:rPr>
                <w:kern w:val="22"/>
              </w:rPr>
              <w:tab/>
            </w:r>
            <w:r w:rsidRPr="006E07A1">
              <w:rPr>
                <w:kern w:val="22"/>
              </w:rPr>
              <w:t>Identify and compile best practices, lessons learned and gaps in gender responsive implementation, monitoring and reporting, with the engagement of women’s organizations and networks, and gender experts</w:t>
            </w:r>
          </w:p>
        </w:tc>
        <w:tc>
          <w:tcPr>
            <w:tcW w:w="3117" w:type="dxa"/>
          </w:tcPr>
          <w:p w14:paraId="75B5EC84" w14:textId="77777777" w:rsidR="00FE6115" w:rsidRPr="006E07A1" w:rsidRDefault="00FE6115" w:rsidP="00DB2426">
            <w:pPr>
              <w:suppressLineNumbers/>
              <w:suppressAutoHyphens/>
              <w:kinsoku w:val="0"/>
              <w:overflowPunct w:val="0"/>
              <w:autoSpaceDE w:val="0"/>
              <w:autoSpaceDN w:val="0"/>
              <w:adjustRightInd w:val="0"/>
              <w:snapToGrid w:val="0"/>
              <w:spacing w:before="60" w:after="60"/>
              <w:jc w:val="left"/>
              <w:rPr>
                <w:kern w:val="22"/>
              </w:rPr>
            </w:pPr>
            <w:r w:rsidRPr="006E07A1">
              <w:rPr>
                <w:kern w:val="22"/>
              </w:rPr>
              <w:t>Best practices, lessons learned and identified gaps presented in in-session meetings or side events and shared on the website of the Convention on Biological Diversity</w:t>
            </w:r>
          </w:p>
        </w:tc>
        <w:tc>
          <w:tcPr>
            <w:tcW w:w="1276" w:type="dxa"/>
          </w:tcPr>
          <w:p w14:paraId="5F3F7F6F"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Timeframe:</w:t>
            </w:r>
            <w:r w:rsidRPr="006E07A1">
              <w:rPr>
                <w:kern w:val="22"/>
              </w:rPr>
              <w:t xml:space="preserve"> 2026</w:t>
            </w:r>
          </w:p>
        </w:tc>
        <w:tc>
          <w:tcPr>
            <w:tcW w:w="1985" w:type="dxa"/>
          </w:tcPr>
          <w:p w14:paraId="2208AC5A"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 women’s groups/</w:t>
            </w:r>
            <w:r>
              <w:rPr>
                <w:kern w:val="22"/>
              </w:rPr>
              <w:t xml:space="preserve"> </w:t>
            </w:r>
            <w:r w:rsidRPr="006E07A1">
              <w:rPr>
                <w:kern w:val="22"/>
              </w:rPr>
              <w:t>networks, relevant organizations, Secretariat</w:t>
            </w:r>
          </w:p>
        </w:tc>
      </w:tr>
      <w:tr w:rsidR="00FE6115" w:rsidRPr="00187CE1" w14:paraId="378A1451" w14:textId="77777777" w:rsidTr="006E07A1">
        <w:tc>
          <w:tcPr>
            <w:tcW w:w="3257" w:type="dxa"/>
            <w:vMerge/>
          </w:tcPr>
          <w:p w14:paraId="4EDA539B"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p>
        </w:tc>
        <w:tc>
          <w:tcPr>
            <w:tcW w:w="4394" w:type="dxa"/>
          </w:tcPr>
          <w:p w14:paraId="28C64B1C"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3.5.2</w:t>
            </w:r>
            <w:r>
              <w:rPr>
                <w:kern w:val="22"/>
              </w:rPr>
              <w:tab/>
            </w:r>
            <w:r w:rsidRPr="006E07A1">
              <w:rPr>
                <w:kern w:val="22"/>
              </w:rPr>
              <w:t xml:space="preserve">Use gender-specific indicators and data disaggregated by sex in reporting on progress towards implementation of the goals and targets of the </w:t>
            </w:r>
            <w:r>
              <w:rPr>
                <w:kern w:val="22"/>
              </w:rPr>
              <w:t>Kunming-Montreal</w:t>
            </w:r>
            <w:r w:rsidRPr="006A227D">
              <w:rPr>
                <w:kern w:val="22"/>
              </w:rPr>
              <w:t xml:space="preserve"> </w:t>
            </w:r>
            <w:r>
              <w:rPr>
                <w:kern w:val="22"/>
              </w:rPr>
              <w:t>G</w:t>
            </w:r>
            <w:r w:rsidRPr="006A227D">
              <w:rPr>
                <w:kern w:val="22"/>
              </w:rPr>
              <w:t xml:space="preserve">lobal </w:t>
            </w:r>
            <w:r>
              <w:rPr>
                <w:kern w:val="22"/>
              </w:rPr>
              <w:t>B</w:t>
            </w:r>
            <w:r w:rsidRPr="006A227D">
              <w:rPr>
                <w:kern w:val="22"/>
              </w:rPr>
              <w:t xml:space="preserve">iodiversity </w:t>
            </w:r>
            <w:r>
              <w:rPr>
                <w:kern w:val="22"/>
              </w:rPr>
              <w:t>F</w:t>
            </w:r>
            <w:r w:rsidRPr="006A227D">
              <w:rPr>
                <w:kern w:val="22"/>
              </w:rPr>
              <w:t>ramework</w:t>
            </w:r>
            <w:r w:rsidRPr="006E07A1">
              <w:rPr>
                <w:kern w:val="22"/>
              </w:rPr>
              <w:t xml:space="preserve">, and report on progress in implementation of the </w:t>
            </w:r>
            <w:r>
              <w:rPr>
                <w:kern w:val="22"/>
              </w:rPr>
              <w:t>G</w:t>
            </w:r>
            <w:r w:rsidRPr="006E07A1">
              <w:rPr>
                <w:kern w:val="22"/>
              </w:rPr>
              <w:t xml:space="preserve">ender </w:t>
            </w:r>
            <w:r>
              <w:rPr>
                <w:kern w:val="22"/>
              </w:rPr>
              <w:t>P</w:t>
            </w:r>
            <w:r w:rsidRPr="006E07A1">
              <w:rPr>
                <w:kern w:val="22"/>
              </w:rPr>
              <w:t xml:space="preserve">lan of </w:t>
            </w:r>
            <w:r>
              <w:rPr>
                <w:kern w:val="22"/>
              </w:rPr>
              <w:t>A</w:t>
            </w:r>
            <w:r w:rsidRPr="006E07A1">
              <w:rPr>
                <w:kern w:val="22"/>
              </w:rPr>
              <w:t>ction</w:t>
            </w:r>
          </w:p>
        </w:tc>
        <w:tc>
          <w:tcPr>
            <w:tcW w:w="3117" w:type="dxa"/>
          </w:tcPr>
          <w:p w14:paraId="5A3C36EE" w14:textId="77777777" w:rsidR="00FE6115" w:rsidRPr="006E07A1" w:rsidRDefault="00FE6115" w:rsidP="00DB2426">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National reports under the Convention on Biological Diversity include reporting on implementation of the </w:t>
            </w:r>
            <w:r>
              <w:rPr>
                <w:kern w:val="22"/>
              </w:rPr>
              <w:t>G</w:t>
            </w:r>
            <w:r w:rsidRPr="006E07A1">
              <w:rPr>
                <w:kern w:val="22"/>
              </w:rPr>
              <w:t xml:space="preserve">ender </w:t>
            </w:r>
            <w:r>
              <w:rPr>
                <w:kern w:val="22"/>
              </w:rPr>
              <w:t>P</w:t>
            </w:r>
            <w:r w:rsidRPr="006E07A1">
              <w:rPr>
                <w:kern w:val="22"/>
              </w:rPr>
              <w:t xml:space="preserve">lan of </w:t>
            </w:r>
            <w:r>
              <w:rPr>
                <w:kern w:val="22"/>
              </w:rPr>
              <w:t>A</w:t>
            </w:r>
            <w:r w:rsidRPr="006E07A1">
              <w:rPr>
                <w:kern w:val="22"/>
              </w:rPr>
              <w:t>ction and include gender-specific indicators and sex-disaggregated data</w:t>
            </w:r>
          </w:p>
        </w:tc>
        <w:tc>
          <w:tcPr>
            <w:tcW w:w="1276" w:type="dxa"/>
          </w:tcPr>
          <w:p w14:paraId="5314266C"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t>Timeframe:</w:t>
            </w:r>
            <w:r w:rsidRPr="006E07A1">
              <w:rPr>
                <w:kern w:val="22"/>
              </w:rPr>
              <w:t xml:space="preserve"> 2030</w:t>
            </w:r>
          </w:p>
        </w:tc>
        <w:tc>
          <w:tcPr>
            <w:tcW w:w="1985" w:type="dxa"/>
          </w:tcPr>
          <w:p w14:paraId="4712CE88"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w:t>
            </w:r>
          </w:p>
        </w:tc>
      </w:tr>
      <w:tr w:rsidR="00FE6115" w:rsidRPr="00187CE1" w14:paraId="265FADBC" w14:textId="77777777" w:rsidTr="006E07A1">
        <w:tc>
          <w:tcPr>
            <w:tcW w:w="3257" w:type="dxa"/>
            <w:vMerge/>
          </w:tcPr>
          <w:p w14:paraId="473A4A42"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p>
        </w:tc>
        <w:tc>
          <w:tcPr>
            <w:tcW w:w="4394" w:type="dxa"/>
          </w:tcPr>
          <w:p w14:paraId="223F8FDC"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3.5.3</w:t>
            </w:r>
            <w:r>
              <w:rPr>
                <w:kern w:val="22"/>
              </w:rPr>
              <w:tab/>
            </w:r>
            <w:r w:rsidRPr="006E07A1">
              <w:rPr>
                <w:kern w:val="22"/>
              </w:rPr>
              <w:t>Integrate reporting on women’s and girl’s contributions to the conservation and sustainable use of biodiversity, and on the mainstreaming of gender considerations into NBSAPs, including their implementation, budgeting and reporting, in existing national reporting mechanisms</w:t>
            </w:r>
          </w:p>
        </w:tc>
        <w:tc>
          <w:tcPr>
            <w:tcW w:w="3117" w:type="dxa"/>
          </w:tcPr>
          <w:p w14:paraId="7B7EA224" w14:textId="77777777" w:rsidR="00FE6115" w:rsidRPr="006E07A1" w:rsidRDefault="00FE6115" w:rsidP="00DB2426">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National reports under the Convention on Biological Diversity include reporting on women’s and girl’s contributions to the conservation and sustainable use of biodiversity, and on the mainstreaming of </w:t>
            </w:r>
            <w:r w:rsidRPr="006E07A1">
              <w:rPr>
                <w:kern w:val="22"/>
              </w:rPr>
              <w:lastRenderedPageBreak/>
              <w:t>gender considerations into NBSAPs, including their implementation, budgeting and reporting</w:t>
            </w:r>
          </w:p>
        </w:tc>
        <w:tc>
          <w:tcPr>
            <w:tcW w:w="1276" w:type="dxa"/>
          </w:tcPr>
          <w:p w14:paraId="441F3A43"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i/>
                <w:iCs/>
                <w:kern w:val="22"/>
              </w:rPr>
            </w:pPr>
            <w:r w:rsidRPr="006E07A1">
              <w:rPr>
                <w:i/>
                <w:iCs/>
                <w:kern w:val="22"/>
              </w:rPr>
              <w:lastRenderedPageBreak/>
              <w:t>Timeframe:</w:t>
            </w:r>
            <w:r w:rsidRPr="006E07A1">
              <w:rPr>
                <w:kern w:val="22"/>
              </w:rPr>
              <w:t xml:space="preserve"> 2030</w:t>
            </w:r>
          </w:p>
        </w:tc>
        <w:tc>
          <w:tcPr>
            <w:tcW w:w="1985" w:type="dxa"/>
          </w:tcPr>
          <w:p w14:paraId="7D0AE77D"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 relevant organizations</w:t>
            </w:r>
          </w:p>
        </w:tc>
      </w:tr>
      <w:tr w:rsidR="00FE6115" w:rsidRPr="00187CE1" w14:paraId="0B9AB211" w14:textId="77777777" w:rsidTr="006E07A1">
        <w:tc>
          <w:tcPr>
            <w:tcW w:w="3257" w:type="dxa"/>
            <w:vMerge w:val="restart"/>
          </w:tcPr>
          <w:p w14:paraId="3F98BA92"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kern w:val="22"/>
              </w:rPr>
              <w:t xml:space="preserve">3.6 Allocate adequate human and financial resources to support </w:t>
            </w:r>
            <w:r w:rsidRPr="006E07A1">
              <w:rPr>
                <w:rFonts w:asciiTheme="majorBidi" w:hAnsiTheme="majorBidi" w:cstheme="majorBidi"/>
                <w:kern w:val="22"/>
              </w:rPr>
              <w:t xml:space="preserve">rights-based </w:t>
            </w:r>
            <w:r w:rsidRPr="006E07A1">
              <w:rPr>
                <w:kern w:val="22"/>
              </w:rPr>
              <w:t xml:space="preserve">gender-responsive implementation of the </w:t>
            </w:r>
            <w:r>
              <w:rPr>
                <w:kern w:val="22"/>
              </w:rPr>
              <w:t>Kunming-Montreal</w:t>
            </w:r>
            <w:r w:rsidRPr="006A227D">
              <w:rPr>
                <w:kern w:val="22"/>
              </w:rPr>
              <w:t xml:space="preserve"> </w:t>
            </w:r>
            <w:r>
              <w:rPr>
                <w:kern w:val="22"/>
              </w:rPr>
              <w:t>G</w:t>
            </w:r>
            <w:r w:rsidRPr="006A227D">
              <w:rPr>
                <w:kern w:val="22"/>
              </w:rPr>
              <w:t xml:space="preserve">lobal </w:t>
            </w:r>
            <w:r>
              <w:rPr>
                <w:kern w:val="22"/>
              </w:rPr>
              <w:t>B</w:t>
            </w:r>
            <w:r w:rsidRPr="006A227D">
              <w:rPr>
                <w:kern w:val="22"/>
              </w:rPr>
              <w:t xml:space="preserve">iodiversity </w:t>
            </w:r>
            <w:r>
              <w:rPr>
                <w:kern w:val="22"/>
              </w:rPr>
              <w:t>F</w:t>
            </w:r>
            <w:r w:rsidRPr="006A227D">
              <w:rPr>
                <w:kern w:val="22"/>
              </w:rPr>
              <w:t>ramework</w:t>
            </w:r>
            <w:r w:rsidRPr="006E07A1">
              <w:rPr>
                <w:kern w:val="22"/>
              </w:rPr>
              <w:t>, including by tracking and reporting resource allocations for gender initiatives, and applying gender-responsive budgeting</w:t>
            </w:r>
          </w:p>
        </w:tc>
        <w:tc>
          <w:tcPr>
            <w:tcW w:w="4394" w:type="dxa"/>
          </w:tcPr>
          <w:p w14:paraId="613A527F"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3.6.1</w:t>
            </w:r>
            <w:r>
              <w:rPr>
                <w:kern w:val="22"/>
              </w:rPr>
              <w:tab/>
            </w:r>
            <w:r w:rsidRPr="006E07A1">
              <w:rPr>
                <w:kern w:val="22"/>
              </w:rPr>
              <w:t>Raise awareness of the financial and technical support available for promoting gender responsive approaches to biodiversity-related policies, plans, strategies and action, including good practices to facilitate access to finance for grass-roots women’s organizations</w:t>
            </w:r>
            <w:r>
              <w:rPr>
                <w:kern w:val="22"/>
              </w:rPr>
              <w:t xml:space="preserve"> and</w:t>
            </w:r>
            <w:r w:rsidRPr="006E07A1">
              <w:rPr>
                <w:kern w:val="22"/>
              </w:rPr>
              <w:t xml:space="preserve"> indigenous peoples and local communities</w:t>
            </w:r>
          </w:p>
        </w:tc>
        <w:tc>
          <w:tcPr>
            <w:tcW w:w="3117" w:type="dxa"/>
          </w:tcPr>
          <w:p w14:paraId="157BBBB7"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kern w:val="22"/>
              </w:rPr>
              <w:t>Webinars, communication materials, in-session workshops</w:t>
            </w:r>
          </w:p>
        </w:tc>
        <w:tc>
          <w:tcPr>
            <w:tcW w:w="1276" w:type="dxa"/>
          </w:tcPr>
          <w:p w14:paraId="46DD0C55"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i/>
                <w:iCs/>
                <w:kern w:val="22"/>
              </w:rPr>
            </w:pPr>
            <w:r w:rsidRPr="006E07A1">
              <w:rPr>
                <w:i/>
                <w:iCs/>
                <w:kern w:val="22"/>
              </w:rPr>
              <w:t>Timeframe:</w:t>
            </w:r>
            <w:r w:rsidRPr="006E07A1">
              <w:rPr>
                <w:kern w:val="22"/>
              </w:rPr>
              <w:t xml:space="preserve"> 2024, 2026</w:t>
            </w:r>
          </w:p>
        </w:tc>
        <w:tc>
          <w:tcPr>
            <w:tcW w:w="1985" w:type="dxa"/>
          </w:tcPr>
          <w:p w14:paraId="292F0334"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kern w:val="22"/>
              </w:rPr>
            </w:pPr>
            <w:r w:rsidRPr="006E07A1">
              <w:rPr>
                <w:i/>
                <w:iCs/>
                <w:kern w:val="22"/>
              </w:rPr>
              <w:t>Leading:</w:t>
            </w:r>
            <w:r w:rsidRPr="006E07A1">
              <w:rPr>
                <w:kern w:val="22"/>
              </w:rPr>
              <w:t xml:space="preserve"> Secretariat, relevant organizations</w:t>
            </w:r>
          </w:p>
        </w:tc>
      </w:tr>
      <w:tr w:rsidR="00FE6115" w:rsidRPr="00187CE1" w14:paraId="0D297996" w14:textId="77777777" w:rsidTr="006E07A1">
        <w:tc>
          <w:tcPr>
            <w:tcW w:w="3257" w:type="dxa"/>
            <w:vMerge/>
          </w:tcPr>
          <w:p w14:paraId="48ADF74A"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kern w:val="22"/>
              </w:rPr>
            </w:pPr>
          </w:p>
        </w:tc>
        <w:tc>
          <w:tcPr>
            <w:tcW w:w="4394" w:type="dxa"/>
          </w:tcPr>
          <w:p w14:paraId="54F4A5CD"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Pr>
                <w:kern w:val="22"/>
              </w:rPr>
              <w:t>3.6.2</w:t>
            </w:r>
            <w:r>
              <w:rPr>
                <w:kern w:val="22"/>
              </w:rPr>
              <w:tab/>
            </w:r>
            <w:r w:rsidRPr="006E07A1">
              <w:rPr>
                <w:kern w:val="22"/>
              </w:rPr>
              <w:t xml:space="preserve">Establish targeted funding programmes or budget lines to support gender-responsive implementation of the </w:t>
            </w:r>
            <w:r>
              <w:rPr>
                <w:kern w:val="22"/>
              </w:rPr>
              <w:t>Kunming-Montreal</w:t>
            </w:r>
            <w:r w:rsidRPr="006A227D">
              <w:rPr>
                <w:kern w:val="22"/>
              </w:rPr>
              <w:t xml:space="preserve"> </w:t>
            </w:r>
            <w:r>
              <w:rPr>
                <w:kern w:val="22"/>
              </w:rPr>
              <w:t>G</w:t>
            </w:r>
            <w:r w:rsidRPr="006A227D">
              <w:rPr>
                <w:kern w:val="22"/>
              </w:rPr>
              <w:t xml:space="preserve">lobal </w:t>
            </w:r>
            <w:r>
              <w:rPr>
                <w:kern w:val="22"/>
              </w:rPr>
              <w:t>B</w:t>
            </w:r>
            <w:r w:rsidRPr="006A227D">
              <w:rPr>
                <w:kern w:val="22"/>
              </w:rPr>
              <w:t xml:space="preserve">iodiversity </w:t>
            </w:r>
            <w:r>
              <w:rPr>
                <w:kern w:val="22"/>
              </w:rPr>
              <w:t>F</w:t>
            </w:r>
            <w:r w:rsidRPr="006A227D">
              <w:rPr>
                <w:kern w:val="22"/>
              </w:rPr>
              <w:t>ramework</w:t>
            </w:r>
            <w:r w:rsidRPr="006E07A1">
              <w:rPr>
                <w:kern w:val="22"/>
              </w:rPr>
              <w:t xml:space="preserve"> and </w:t>
            </w:r>
            <w:r>
              <w:rPr>
                <w:kern w:val="22"/>
              </w:rPr>
              <w:t xml:space="preserve">of </w:t>
            </w:r>
            <w:r w:rsidRPr="006E07A1">
              <w:rPr>
                <w:kern w:val="22"/>
              </w:rPr>
              <w:t xml:space="preserve">the </w:t>
            </w:r>
            <w:r>
              <w:rPr>
                <w:kern w:val="22"/>
              </w:rPr>
              <w:t>G</w:t>
            </w:r>
            <w:r w:rsidRPr="006E07A1">
              <w:rPr>
                <w:kern w:val="22"/>
              </w:rPr>
              <w:t xml:space="preserve">ender </w:t>
            </w:r>
            <w:r>
              <w:rPr>
                <w:kern w:val="22"/>
              </w:rPr>
              <w:t>P</w:t>
            </w:r>
            <w:r w:rsidRPr="006E07A1">
              <w:rPr>
                <w:kern w:val="22"/>
              </w:rPr>
              <w:t xml:space="preserve">lan of </w:t>
            </w:r>
            <w:r>
              <w:rPr>
                <w:kern w:val="22"/>
              </w:rPr>
              <w:t>A</w:t>
            </w:r>
            <w:r w:rsidRPr="006E07A1">
              <w:rPr>
                <w:kern w:val="22"/>
              </w:rPr>
              <w:t>ction</w:t>
            </w:r>
          </w:p>
        </w:tc>
        <w:tc>
          <w:tcPr>
            <w:tcW w:w="3117" w:type="dxa"/>
          </w:tcPr>
          <w:p w14:paraId="48899418" w14:textId="77777777" w:rsidR="00FE6115" w:rsidRPr="006E07A1" w:rsidRDefault="00FE6115" w:rsidP="005F0753">
            <w:pPr>
              <w:suppressLineNumbers/>
              <w:suppressAutoHyphens/>
              <w:kinsoku w:val="0"/>
              <w:overflowPunct w:val="0"/>
              <w:autoSpaceDE w:val="0"/>
              <w:autoSpaceDN w:val="0"/>
              <w:adjustRightInd w:val="0"/>
              <w:snapToGrid w:val="0"/>
              <w:spacing w:before="60" w:after="60"/>
              <w:jc w:val="left"/>
              <w:rPr>
                <w:kern w:val="22"/>
              </w:rPr>
            </w:pPr>
            <w:r w:rsidRPr="006E07A1">
              <w:rPr>
                <w:kern w:val="22"/>
              </w:rPr>
              <w:t>Targeted funding programmes and budget lines</w:t>
            </w:r>
          </w:p>
        </w:tc>
        <w:tc>
          <w:tcPr>
            <w:tcW w:w="1276" w:type="dxa"/>
          </w:tcPr>
          <w:p w14:paraId="610348C3" w14:textId="77777777" w:rsidR="00FE6115" w:rsidRPr="006E07A1" w:rsidRDefault="00FE6115" w:rsidP="005F0753">
            <w:pPr>
              <w:suppressLineNumbers/>
              <w:suppressAutoHyphens/>
              <w:kinsoku w:val="0"/>
              <w:overflowPunct w:val="0"/>
              <w:autoSpaceDE w:val="0"/>
              <w:autoSpaceDN w:val="0"/>
              <w:adjustRightInd w:val="0"/>
              <w:snapToGrid w:val="0"/>
              <w:spacing w:before="60" w:after="60"/>
              <w:rPr>
                <w:i/>
                <w:iCs/>
                <w:kern w:val="22"/>
              </w:rPr>
            </w:pPr>
            <w:r w:rsidRPr="006E07A1">
              <w:rPr>
                <w:i/>
                <w:iCs/>
                <w:kern w:val="22"/>
              </w:rPr>
              <w:t>Timeframe:</w:t>
            </w:r>
            <w:r w:rsidRPr="006E07A1">
              <w:rPr>
                <w:kern w:val="22"/>
              </w:rPr>
              <w:t xml:space="preserve"> 2026</w:t>
            </w:r>
          </w:p>
        </w:tc>
        <w:tc>
          <w:tcPr>
            <w:tcW w:w="1985" w:type="dxa"/>
          </w:tcPr>
          <w:p w14:paraId="560B5E32" w14:textId="77777777" w:rsidR="00FE6115" w:rsidRPr="006E07A1" w:rsidRDefault="00FE6115" w:rsidP="006E07A1">
            <w:pPr>
              <w:suppressLineNumbers/>
              <w:suppressAutoHyphens/>
              <w:kinsoku w:val="0"/>
              <w:overflowPunct w:val="0"/>
              <w:autoSpaceDE w:val="0"/>
              <w:autoSpaceDN w:val="0"/>
              <w:adjustRightInd w:val="0"/>
              <w:snapToGrid w:val="0"/>
              <w:spacing w:before="60" w:after="60"/>
              <w:jc w:val="left"/>
              <w:rPr>
                <w:kern w:val="22"/>
              </w:rPr>
            </w:pPr>
            <w:r w:rsidRPr="006E07A1">
              <w:rPr>
                <w:i/>
                <w:iCs/>
                <w:kern w:val="22"/>
              </w:rPr>
              <w:t>Leading:</w:t>
            </w:r>
            <w:r w:rsidRPr="006E07A1">
              <w:rPr>
                <w:kern w:val="22"/>
              </w:rPr>
              <w:t xml:space="preserve"> Parties, Global Environment Facility, and other relevant organizations</w:t>
            </w:r>
          </w:p>
        </w:tc>
      </w:tr>
    </w:tbl>
    <w:p w14:paraId="0B2A25AB" w14:textId="7D1EA4B7" w:rsidR="00FE6115" w:rsidRPr="006E07A1" w:rsidRDefault="00FE6115" w:rsidP="001927FC">
      <w:pPr>
        <w:jc w:val="center"/>
        <w:rPr>
          <w:szCs w:val="22"/>
        </w:rPr>
      </w:pPr>
    </w:p>
    <w:p w14:paraId="1BA1F24D" w14:textId="77777777" w:rsidR="0094446B" w:rsidRDefault="0094446B" w:rsidP="00562979">
      <w:pPr>
        <w:jc w:val="center"/>
        <w:sectPr w:rsidR="0094446B" w:rsidSect="00982FED">
          <w:headerReference w:type="even" r:id="rId30"/>
          <w:pgSz w:w="15840" w:h="12240" w:orient="landscape"/>
          <w:pgMar w:top="1440" w:right="567" w:bottom="1440" w:left="1134" w:header="709" w:footer="709" w:gutter="0"/>
          <w:cols w:space="708"/>
          <w:docGrid w:linePitch="360"/>
        </w:sectPr>
      </w:pPr>
    </w:p>
    <w:p w14:paraId="275B1639" w14:textId="77777777" w:rsidR="0094446B" w:rsidRDefault="0094446B" w:rsidP="00F758A6">
      <w:pPr>
        <w:pStyle w:val="decision"/>
        <w:rPr>
          <w:bCs/>
          <w:i/>
          <w:iCs/>
        </w:rPr>
      </w:pPr>
      <w:bookmarkStart w:id="143" w:name="_Toc150438810"/>
      <w:bookmarkStart w:id="144" w:name="_Toc150670510"/>
      <w:bookmarkStart w:id="145" w:name="_Toc150670620"/>
      <w:bookmarkStart w:id="146" w:name="_Toc150761122"/>
      <w:r>
        <w:lastRenderedPageBreak/>
        <w:t>15/12.</w:t>
      </w:r>
      <w:r>
        <w:tab/>
      </w:r>
      <w:r w:rsidRPr="00FC4EF0">
        <w:t xml:space="preserve">Engagement with subnational governments, cities and other local authorities to enhance implementation of the </w:t>
      </w:r>
      <w:r>
        <w:t>Kunming-Montreal</w:t>
      </w:r>
      <w:r w:rsidRPr="00FC4EF0">
        <w:t xml:space="preserve"> </w:t>
      </w:r>
      <w:r>
        <w:t>G</w:t>
      </w:r>
      <w:r w:rsidRPr="00FC4EF0">
        <w:t xml:space="preserve">lobal </w:t>
      </w:r>
      <w:r>
        <w:t>B</w:t>
      </w:r>
      <w:r w:rsidRPr="00FC4EF0">
        <w:t xml:space="preserve">iodiversity </w:t>
      </w:r>
      <w:r>
        <w:t>F</w:t>
      </w:r>
      <w:r w:rsidRPr="00FC4EF0">
        <w:t>ramework</w:t>
      </w:r>
      <w:bookmarkEnd w:id="143"/>
      <w:bookmarkEnd w:id="144"/>
      <w:bookmarkEnd w:id="145"/>
      <w:bookmarkEnd w:id="146"/>
      <w:r w:rsidRPr="00F854FF">
        <w:t xml:space="preserve"> </w:t>
      </w:r>
    </w:p>
    <w:p w14:paraId="6C704BD7" w14:textId="77777777" w:rsidR="0094446B" w:rsidRPr="008022A0" w:rsidRDefault="0094446B" w:rsidP="008022A0">
      <w:pPr>
        <w:suppressLineNumbers/>
        <w:suppressAutoHyphens/>
        <w:autoSpaceDE w:val="0"/>
        <w:autoSpaceDN w:val="0"/>
        <w:adjustRightInd w:val="0"/>
        <w:spacing w:before="120" w:after="120"/>
        <w:ind w:firstLine="720"/>
        <w:rPr>
          <w:kern w:val="22"/>
          <w:szCs w:val="22"/>
          <w14:cntxtAlts/>
        </w:rPr>
      </w:pPr>
      <w:r w:rsidRPr="008022A0">
        <w:rPr>
          <w:i/>
          <w:iCs/>
          <w:kern w:val="22"/>
          <w:szCs w:val="22"/>
          <w14:cntxtAlts/>
        </w:rPr>
        <w:t>The Conference of the Parties</w:t>
      </w:r>
      <w:r w:rsidRPr="008022A0">
        <w:rPr>
          <w:kern w:val="22"/>
          <w:szCs w:val="22"/>
          <w14:cntxtAlts/>
        </w:rPr>
        <w:t>,</w:t>
      </w:r>
    </w:p>
    <w:p w14:paraId="2B1A6DB8" w14:textId="19C6D9D0" w:rsidR="0094446B" w:rsidRDefault="0094446B" w:rsidP="00F854FF">
      <w:pPr>
        <w:pStyle w:val="StylePara1Kernat11pt"/>
        <w:suppressLineNumbers/>
        <w:suppressAutoHyphens/>
        <w:kinsoku w:val="0"/>
        <w:overflowPunct w:val="0"/>
        <w:autoSpaceDE w:val="0"/>
        <w:autoSpaceDN w:val="0"/>
        <w:adjustRightInd w:val="0"/>
        <w:ind w:firstLine="720"/>
        <w:jc w:val="both"/>
        <w:rPr>
          <w:i/>
          <w:iCs/>
          <w:sz w:val="22"/>
          <w:szCs w:val="22"/>
        </w:rPr>
      </w:pPr>
      <w:r w:rsidRPr="001F147F">
        <w:rPr>
          <w:i/>
          <w:iCs/>
          <w:sz w:val="22"/>
          <w:szCs w:val="22"/>
          <w:lang w:val="en-GB"/>
        </w:rPr>
        <w:t>Recalling</w:t>
      </w:r>
      <w:r w:rsidRPr="001F147F">
        <w:rPr>
          <w:iCs/>
          <w:sz w:val="22"/>
          <w:szCs w:val="22"/>
          <w:lang w:val="en-GB"/>
        </w:rPr>
        <w:t xml:space="preserve"> decisions </w:t>
      </w:r>
      <w:hyperlink r:id="rId31" w:history="1">
        <w:r w:rsidRPr="001F147F">
          <w:rPr>
            <w:rStyle w:val="Hyperlink"/>
            <w:iCs/>
            <w:sz w:val="22"/>
            <w:szCs w:val="22"/>
            <w:lang w:val="en-GB"/>
          </w:rPr>
          <w:t>X/22</w:t>
        </w:r>
      </w:hyperlink>
      <w:r w:rsidRPr="001F147F">
        <w:rPr>
          <w:iCs/>
          <w:sz w:val="22"/>
          <w:szCs w:val="22"/>
          <w:lang w:val="en-GB"/>
        </w:rPr>
        <w:t xml:space="preserve"> and </w:t>
      </w:r>
      <w:hyperlink r:id="rId32" w:history="1">
        <w:r w:rsidRPr="001F147F">
          <w:rPr>
            <w:rStyle w:val="Hyperlink"/>
            <w:iCs/>
            <w:sz w:val="22"/>
            <w:szCs w:val="22"/>
            <w:lang w:val="en-GB"/>
          </w:rPr>
          <w:t>XII/9</w:t>
        </w:r>
      </w:hyperlink>
      <w:r w:rsidRPr="001F147F">
        <w:rPr>
          <w:iCs/>
          <w:sz w:val="22"/>
          <w:szCs w:val="22"/>
          <w:lang w:val="en-GB"/>
        </w:rPr>
        <w:t>,</w:t>
      </w:r>
    </w:p>
    <w:p w14:paraId="2FEFF400" w14:textId="77777777" w:rsidR="0094446B" w:rsidRPr="00EE76F3" w:rsidRDefault="0094446B" w:rsidP="00F854FF">
      <w:pPr>
        <w:pStyle w:val="StylePara1Kernat11pt"/>
        <w:suppressLineNumbers/>
        <w:suppressAutoHyphens/>
        <w:kinsoku w:val="0"/>
        <w:overflowPunct w:val="0"/>
        <w:autoSpaceDE w:val="0"/>
        <w:autoSpaceDN w:val="0"/>
        <w:adjustRightInd w:val="0"/>
        <w:ind w:firstLine="720"/>
        <w:jc w:val="both"/>
        <w:rPr>
          <w:sz w:val="22"/>
          <w:szCs w:val="22"/>
        </w:rPr>
      </w:pPr>
      <w:r w:rsidRPr="00EE76F3">
        <w:rPr>
          <w:rFonts w:asciiTheme="majorBidi" w:hAnsiTheme="majorBidi" w:cstheme="majorBidi"/>
          <w:i/>
          <w:sz w:val="22"/>
          <w:szCs w:val="22"/>
        </w:rPr>
        <w:t>Recalling</w:t>
      </w:r>
      <w:r>
        <w:rPr>
          <w:rFonts w:asciiTheme="majorBidi" w:hAnsiTheme="majorBidi" w:cstheme="majorBidi"/>
          <w:i/>
          <w:sz w:val="22"/>
          <w:szCs w:val="22"/>
        </w:rPr>
        <w:t xml:space="preserve"> also</w:t>
      </w:r>
      <w:r w:rsidRPr="00EE76F3">
        <w:rPr>
          <w:rFonts w:asciiTheme="majorBidi" w:hAnsiTheme="majorBidi" w:cstheme="majorBidi"/>
          <w:i/>
          <w:sz w:val="22"/>
          <w:szCs w:val="22"/>
        </w:rPr>
        <w:t xml:space="preserve"> </w:t>
      </w:r>
      <w:r w:rsidRPr="00EE76F3">
        <w:rPr>
          <w:rFonts w:asciiTheme="majorBidi" w:hAnsiTheme="majorBidi" w:cstheme="majorBidi"/>
          <w:sz w:val="22"/>
          <w:szCs w:val="22"/>
        </w:rPr>
        <w:t xml:space="preserve">the Plan of Action on Subnational Governments, Cities and Other Local Authorities for </w:t>
      </w:r>
      <w:r w:rsidRPr="00EE76F3">
        <w:rPr>
          <w:sz w:val="22"/>
          <w:szCs w:val="22"/>
        </w:rPr>
        <w:t>Biodiversity</w:t>
      </w:r>
      <w:r>
        <w:rPr>
          <w:sz w:val="22"/>
          <w:szCs w:val="22"/>
        </w:rPr>
        <w:t xml:space="preserve"> (</w:t>
      </w:r>
      <w:r w:rsidRPr="00EE76F3">
        <w:rPr>
          <w:rFonts w:asciiTheme="majorBidi" w:hAnsiTheme="majorBidi" w:cstheme="majorBidi"/>
          <w:sz w:val="22"/>
          <w:szCs w:val="22"/>
        </w:rPr>
        <w:t>2011-2020</w:t>
      </w:r>
      <w:r>
        <w:rPr>
          <w:rFonts w:asciiTheme="majorBidi" w:hAnsiTheme="majorBidi" w:cstheme="majorBidi"/>
          <w:sz w:val="22"/>
          <w:szCs w:val="22"/>
        </w:rPr>
        <w:t>)</w:t>
      </w:r>
      <w:r w:rsidRPr="00EE76F3">
        <w:rPr>
          <w:rFonts w:asciiTheme="majorBidi" w:hAnsiTheme="majorBidi" w:cstheme="majorBidi"/>
          <w:sz w:val="22"/>
          <w:szCs w:val="22"/>
        </w:rPr>
        <w:t>,</w:t>
      </w:r>
      <w:r w:rsidRPr="00610646">
        <w:rPr>
          <w:rStyle w:val="FootnoteReference"/>
        </w:rPr>
        <w:footnoteReference w:id="122"/>
      </w:r>
      <w:r w:rsidRPr="00EE76F3">
        <w:rPr>
          <w:rFonts w:asciiTheme="majorBidi" w:hAnsiTheme="majorBidi" w:cstheme="majorBidi"/>
          <w:sz w:val="22"/>
          <w:szCs w:val="22"/>
        </w:rPr>
        <w:t xml:space="preserve"> and welcoming progres</w:t>
      </w:r>
      <w:r w:rsidRPr="00EE76F3">
        <w:rPr>
          <w:rFonts w:asciiTheme="majorBidi" w:hAnsiTheme="majorBidi" w:cstheme="majorBidi"/>
          <w:i/>
          <w:sz w:val="22"/>
          <w:szCs w:val="22"/>
        </w:rPr>
        <w:t xml:space="preserve">s </w:t>
      </w:r>
      <w:r w:rsidRPr="00EE76F3">
        <w:rPr>
          <w:rFonts w:asciiTheme="majorBidi" w:hAnsiTheme="majorBidi" w:cstheme="majorBidi"/>
          <w:sz w:val="22"/>
          <w:szCs w:val="22"/>
        </w:rPr>
        <w:t>in its successful implementation</w:t>
      </w:r>
      <w:r w:rsidRPr="00EE76F3">
        <w:rPr>
          <w:rFonts w:asciiTheme="majorBidi" w:hAnsiTheme="majorBidi" w:cstheme="majorBidi"/>
          <w:i/>
          <w:sz w:val="22"/>
          <w:szCs w:val="22"/>
        </w:rPr>
        <w:t>,</w:t>
      </w:r>
    </w:p>
    <w:p w14:paraId="23707AC5" w14:textId="77777777" w:rsidR="0094446B" w:rsidRPr="001F147F" w:rsidRDefault="0094446B" w:rsidP="00F854FF">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5E2D95">
        <w:rPr>
          <w:i/>
          <w:iCs/>
          <w:sz w:val="22"/>
          <w:szCs w:val="22"/>
        </w:rPr>
        <w:t xml:space="preserve">Noting </w:t>
      </w:r>
      <w:r w:rsidRPr="005E2D95">
        <w:rPr>
          <w:sz w:val="22"/>
          <w:szCs w:val="22"/>
        </w:rPr>
        <w:t xml:space="preserve">that, while responsibilities for implementation of the Convention rest with the Parties, there are multiple reasons for promoting the engagement of </w:t>
      </w:r>
      <w:r>
        <w:rPr>
          <w:sz w:val="22"/>
          <w:szCs w:val="22"/>
        </w:rPr>
        <w:t xml:space="preserve">subnational governments, </w:t>
      </w:r>
      <w:r w:rsidRPr="005E2D95">
        <w:rPr>
          <w:sz w:val="22"/>
          <w:szCs w:val="22"/>
        </w:rPr>
        <w:t xml:space="preserve">cities and </w:t>
      </w:r>
      <w:r>
        <w:rPr>
          <w:sz w:val="22"/>
          <w:szCs w:val="22"/>
        </w:rPr>
        <w:t xml:space="preserve">other </w:t>
      </w:r>
      <w:r w:rsidRPr="005E2D95">
        <w:rPr>
          <w:sz w:val="22"/>
          <w:szCs w:val="22"/>
        </w:rPr>
        <w:t>local authorities in the implementation of the Convention,</w:t>
      </w:r>
    </w:p>
    <w:p w14:paraId="2D229815" w14:textId="77777777" w:rsidR="0094446B" w:rsidRPr="001F147F" w:rsidRDefault="0094446B" w:rsidP="00F854FF">
      <w:pPr>
        <w:pStyle w:val="StylePara1Kernat11pt"/>
        <w:suppressLineNumbers/>
        <w:suppressAutoHyphens/>
        <w:kinsoku w:val="0"/>
        <w:overflowPunct w:val="0"/>
        <w:autoSpaceDE w:val="0"/>
        <w:autoSpaceDN w:val="0"/>
        <w:adjustRightInd w:val="0"/>
        <w:ind w:firstLine="720"/>
        <w:jc w:val="both"/>
        <w:rPr>
          <w:iCs/>
          <w:sz w:val="22"/>
          <w:szCs w:val="22"/>
          <w:lang w:val="en-GB"/>
        </w:rPr>
      </w:pPr>
      <w:r>
        <w:rPr>
          <w:i/>
          <w:sz w:val="22"/>
          <w:szCs w:val="22"/>
          <w:lang w:val="en-GB"/>
        </w:rPr>
        <w:t>N</w:t>
      </w:r>
      <w:r w:rsidRPr="001F147F">
        <w:rPr>
          <w:i/>
          <w:sz w:val="22"/>
          <w:szCs w:val="22"/>
          <w:lang w:val="en-GB"/>
        </w:rPr>
        <w:t>oting</w:t>
      </w:r>
      <w:r>
        <w:rPr>
          <w:i/>
          <w:sz w:val="22"/>
          <w:szCs w:val="22"/>
          <w:lang w:val="en-GB"/>
        </w:rPr>
        <w:t xml:space="preserve"> also</w:t>
      </w:r>
      <w:r w:rsidRPr="001F147F">
        <w:rPr>
          <w:i/>
          <w:sz w:val="22"/>
          <w:szCs w:val="22"/>
          <w:lang w:val="en-GB"/>
        </w:rPr>
        <w:t xml:space="preserve"> </w:t>
      </w:r>
      <w:r w:rsidRPr="001F147F">
        <w:rPr>
          <w:sz w:val="22"/>
          <w:szCs w:val="22"/>
          <w:lang w:val="en-GB"/>
        </w:rPr>
        <w:t>that subnational governments</w:t>
      </w:r>
      <w:r w:rsidRPr="001F147F">
        <w:rPr>
          <w:iCs/>
          <w:sz w:val="22"/>
          <w:szCs w:val="22"/>
          <w:lang w:val="en-GB"/>
        </w:rPr>
        <w:t>, cities and other local authorities</w:t>
      </w:r>
      <w:r w:rsidRPr="001F147F">
        <w:rPr>
          <w:sz w:val="22"/>
          <w:szCs w:val="22"/>
          <w:lang w:val="en-GB"/>
        </w:rPr>
        <w:t xml:space="preserve"> are a constituent part of many Parties and other Governments, </w:t>
      </w:r>
      <w:r w:rsidRPr="001F147F">
        <w:rPr>
          <w:iCs/>
          <w:sz w:val="22"/>
          <w:szCs w:val="22"/>
          <w:lang w:val="en-GB"/>
        </w:rPr>
        <w:t xml:space="preserve">and that the implementation and monitoring of the </w:t>
      </w:r>
      <w:r w:rsidRPr="008123B7">
        <w:rPr>
          <w:sz w:val="22"/>
          <w:szCs w:val="22"/>
        </w:rPr>
        <w:t>Kunming-Montreal</w:t>
      </w:r>
      <w:r w:rsidRPr="00B936AE">
        <w:rPr>
          <w:sz w:val="22"/>
          <w:szCs w:val="22"/>
        </w:rPr>
        <w:t xml:space="preserve"> </w:t>
      </w:r>
      <w:r w:rsidRPr="008123B7">
        <w:rPr>
          <w:sz w:val="22"/>
          <w:szCs w:val="22"/>
        </w:rPr>
        <w:t>G</w:t>
      </w:r>
      <w:r w:rsidRPr="00B936AE">
        <w:rPr>
          <w:sz w:val="22"/>
          <w:szCs w:val="22"/>
        </w:rPr>
        <w:t xml:space="preserve">lobal </w:t>
      </w:r>
      <w:r w:rsidRPr="008123B7">
        <w:rPr>
          <w:sz w:val="22"/>
          <w:szCs w:val="22"/>
        </w:rPr>
        <w:t>B</w:t>
      </w:r>
      <w:r w:rsidRPr="00B936AE">
        <w:rPr>
          <w:sz w:val="22"/>
          <w:szCs w:val="22"/>
        </w:rPr>
        <w:t xml:space="preserve">iodiversity </w:t>
      </w:r>
      <w:r w:rsidRPr="008123B7">
        <w:rPr>
          <w:sz w:val="22"/>
          <w:szCs w:val="22"/>
        </w:rPr>
        <w:t>F</w:t>
      </w:r>
      <w:r w:rsidRPr="00B936AE">
        <w:rPr>
          <w:sz w:val="22"/>
          <w:szCs w:val="22"/>
        </w:rPr>
        <w:t xml:space="preserve">ramework </w:t>
      </w:r>
      <w:r w:rsidRPr="00B936AE">
        <w:rPr>
          <w:iCs/>
          <w:sz w:val="22"/>
          <w:szCs w:val="22"/>
          <w:lang w:val="en-GB"/>
        </w:rPr>
        <w:t>needs to in</w:t>
      </w:r>
      <w:r w:rsidRPr="001F147F">
        <w:rPr>
          <w:iCs/>
          <w:sz w:val="22"/>
          <w:szCs w:val="22"/>
          <w:lang w:val="en-GB"/>
        </w:rPr>
        <w:t>volve all levels of government as appropriate,</w:t>
      </w:r>
    </w:p>
    <w:p w14:paraId="2331202B" w14:textId="77777777" w:rsidR="0094446B" w:rsidRPr="001F147F" w:rsidRDefault="0094446B" w:rsidP="00F854FF">
      <w:pPr>
        <w:pStyle w:val="StylePara1Kernat11pt"/>
        <w:suppressLineNumbers/>
        <w:suppressAutoHyphens/>
        <w:kinsoku w:val="0"/>
        <w:overflowPunct w:val="0"/>
        <w:autoSpaceDE w:val="0"/>
        <w:autoSpaceDN w:val="0"/>
        <w:adjustRightInd w:val="0"/>
        <w:ind w:firstLine="720"/>
        <w:jc w:val="both"/>
        <w:rPr>
          <w:sz w:val="22"/>
          <w:szCs w:val="22"/>
          <w:lang w:val="en-GB"/>
        </w:rPr>
      </w:pPr>
      <w:r w:rsidRPr="001F147F">
        <w:rPr>
          <w:i/>
          <w:sz w:val="22"/>
          <w:szCs w:val="22"/>
          <w:lang w:val="en-GB"/>
        </w:rPr>
        <w:t>Recognizing</w:t>
      </w:r>
      <w:r w:rsidRPr="001F147F">
        <w:rPr>
          <w:iCs/>
          <w:sz w:val="22"/>
          <w:szCs w:val="22"/>
          <w:lang w:val="en-GB"/>
        </w:rPr>
        <w:t xml:space="preserve"> the important role of </w:t>
      </w:r>
      <w:r w:rsidRPr="001F147F">
        <w:rPr>
          <w:sz w:val="22"/>
          <w:szCs w:val="22"/>
          <w:lang w:val="en-GB"/>
        </w:rPr>
        <w:t>subnational governments</w:t>
      </w:r>
      <w:r w:rsidRPr="001F147F">
        <w:rPr>
          <w:iCs/>
          <w:sz w:val="22"/>
          <w:szCs w:val="22"/>
          <w:lang w:val="en-GB"/>
        </w:rPr>
        <w:t>, cities and other local authorities</w:t>
      </w:r>
      <w:r w:rsidRPr="001F147F">
        <w:rPr>
          <w:sz w:val="22"/>
          <w:szCs w:val="22"/>
          <w:lang w:val="en-GB"/>
        </w:rPr>
        <w:t xml:space="preserve"> in the implementation </w:t>
      </w:r>
      <w:r>
        <w:rPr>
          <w:sz w:val="22"/>
          <w:szCs w:val="22"/>
          <w:lang w:val="en-GB"/>
        </w:rPr>
        <w:t>o</w:t>
      </w:r>
      <w:r w:rsidRPr="001F147F">
        <w:rPr>
          <w:sz w:val="22"/>
          <w:szCs w:val="22"/>
          <w:lang w:val="en-GB"/>
        </w:rPr>
        <w:t xml:space="preserve">f </w:t>
      </w:r>
      <w:r>
        <w:rPr>
          <w:sz w:val="22"/>
          <w:szCs w:val="22"/>
          <w:lang w:val="en-GB"/>
        </w:rPr>
        <w:t>the objectives of the Convention on Biological Diversity,</w:t>
      </w:r>
      <w:r w:rsidRPr="001F147F">
        <w:rPr>
          <w:sz w:val="22"/>
          <w:szCs w:val="22"/>
          <w:lang w:val="en-GB"/>
        </w:rPr>
        <w:t xml:space="preserve"> </w:t>
      </w:r>
      <w:r>
        <w:rPr>
          <w:sz w:val="22"/>
          <w:szCs w:val="22"/>
          <w:lang w:val="en-GB"/>
        </w:rPr>
        <w:t xml:space="preserve">as well as </w:t>
      </w:r>
      <w:r w:rsidRPr="001F147F">
        <w:rPr>
          <w:sz w:val="22"/>
          <w:szCs w:val="22"/>
          <w:lang w:val="en-GB"/>
        </w:rPr>
        <w:t xml:space="preserve">monitoring and reporting, mainstreaming, resource mobilization, capacity-building and communication, education and public awareness, social </w:t>
      </w:r>
      <w:r w:rsidRPr="001F147F">
        <w:rPr>
          <w:bCs/>
          <w:iCs/>
          <w:sz w:val="22"/>
          <w:szCs w:val="22"/>
        </w:rPr>
        <w:t>participation and public access to information,</w:t>
      </w:r>
    </w:p>
    <w:p w14:paraId="2EABD07D" w14:textId="77777777" w:rsidR="0094446B" w:rsidRPr="000C21E6" w:rsidRDefault="0094446B" w:rsidP="00F854FF">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226437">
        <w:rPr>
          <w:i/>
          <w:sz w:val="22"/>
          <w:szCs w:val="22"/>
          <w:lang w:val="en-GB"/>
        </w:rPr>
        <w:t>Recalling</w:t>
      </w:r>
      <w:r w:rsidRPr="000C21E6">
        <w:rPr>
          <w:iCs/>
          <w:sz w:val="22"/>
          <w:szCs w:val="22"/>
          <w:lang w:val="en-GB"/>
        </w:rPr>
        <w:t xml:space="preserve"> pr</w:t>
      </w:r>
      <w:r w:rsidRPr="00226437">
        <w:rPr>
          <w:iCs/>
          <w:sz w:val="22"/>
          <w:szCs w:val="22"/>
          <w:lang w:val="en-GB"/>
        </w:rPr>
        <w:t>i</w:t>
      </w:r>
      <w:r w:rsidRPr="000C21E6">
        <w:rPr>
          <w:iCs/>
          <w:sz w:val="22"/>
          <w:szCs w:val="22"/>
          <w:lang w:val="en-GB"/>
        </w:rPr>
        <w:t>ncip</w:t>
      </w:r>
      <w:r w:rsidRPr="00226437">
        <w:rPr>
          <w:iCs/>
          <w:sz w:val="22"/>
          <w:szCs w:val="22"/>
          <w:lang w:val="en-GB"/>
        </w:rPr>
        <w:t>l</w:t>
      </w:r>
      <w:r w:rsidRPr="000C21E6">
        <w:rPr>
          <w:iCs/>
          <w:sz w:val="22"/>
          <w:szCs w:val="22"/>
          <w:lang w:val="en-GB"/>
        </w:rPr>
        <w:t xml:space="preserve">e 2 of the </w:t>
      </w:r>
      <w:r>
        <w:rPr>
          <w:iCs/>
          <w:sz w:val="22"/>
          <w:szCs w:val="22"/>
          <w:lang w:val="en-GB"/>
        </w:rPr>
        <w:t>ecosystem approach</w:t>
      </w:r>
      <w:r w:rsidRPr="000C21E6">
        <w:rPr>
          <w:iCs/>
          <w:sz w:val="22"/>
          <w:szCs w:val="22"/>
          <w:lang w:val="en-GB"/>
        </w:rPr>
        <w:t xml:space="preserve"> adopted in d</w:t>
      </w:r>
      <w:r w:rsidRPr="00226437">
        <w:rPr>
          <w:iCs/>
          <w:sz w:val="22"/>
          <w:szCs w:val="22"/>
          <w:lang w:val="en-GB"/>
        </w:rPr>
        <w:t>eci</w:t>
      </w:r>
      <w:r w:rsidRPr="000C21E6">
        <w:rPr>
          <w:iCs/>
          <w:sz w:val="22"/>
          <w:szCs w:val="22"/>
          <w:lang w:val="en-GB"/>
        </w:rPr>
        <w:t xml:space="preserve">sion </w:t>
      </w:r>
      <w:r w:rsidRPr="00226437">
        <w:rPr>
          <w:iCs/>
          <w:sz w:val="22"/>
          <w:szCs w:val="22"/>
          <w:lang w:val="en-GB"/>
        </w:rPr>
        <w:t>V</w:t>
      </w:r>
      <w:r w:rsidRPr="000C21E6">
        <w:rPr>
          <w:iCs/>
          <w:sz w:val="22"/>
          <w:szCs w:val="22"/>
          <w:lang w:val="en-GB"/>
        </w:rPr>
        <w:t>/</w:t>
      </w:r>
      <w:r>
        <w:rPr>
          <w:iCs/>
          <w:sz w:val="22"/>
          <w:szCs w:val="22"/>
          <w:lang w:val="en-GB"/>
        </w:rPr>
        <w:t>6,</w:t>
      </w:r>
      <w:r w:rsidRPr="00610646">
        <w:rPr>
          <w:rStyle w:val="FootnoteReference"/>
        </w:rPr>
        <w:footnoteReference w:id="123"/>
      </w:r>
    </w:p>
    <w:p w14:paraId="106A0E19" w14:textId="77777777" w:rsidR="0094446B" w:rsidRPr="00226437" w:rsidRDefault="0094446B" w:rsidP="00F854FF">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226437">
        <w:rPr>
          <w:iCs/>
          <w:sz w:val="22"/>
          <w:szCs w:val="22"/>
          <w:lang w:val="en-GB"/>
        </w:rPr>
        <w:t>1.</w:t>
      </w:r>
      <w:r w:rsidRPr="00226437">
        <w:rPr>
          <w:iCs/>
          <w:sz w:val="22"/>
          <w:szCs w:val="22"/>
          <w:lang w:val="en-GB"/>
        </w:rPr>
        <w:tab/>
      </w:r>
      <w:r w:rsidRPr="001F147F">
        <w:rPr>
          <w:i/>
          <w:iCs/>
          <w:sz w:val="22"/>
          <w:szCs w:val="22"/>
          <w:lang w:val="en-GB"/>
        </w:rPr>
        <w:t>Adopts</w:t>
      </w:r>
      <w:r w:rsidRPr="001F147F">
        <w:rPr>
          <w:iCs/>
          <w:sz w:val="22"/>
          <w:szCs w:val="22"/>
          <w:lang w:val="en-GB"/>
        </w:rPr>
        <w:t xml:space="preserve"> the updated </w:t>
      </w:r>
      <w:r>
        <w:rPr>
          <w:iCs/>
          <w:sz w:val="22"/>
          <w:szCs w:val="22"/>
          <w:lang w:val="en-GB"/>
        </w:rPr>
        <w:t>P</w:t>
      </w:r>
      <w:r w:rsidRPr="001F147F">
        <w:rPr>
          <w:iCs/>
          <w:sz w:val="22"/>
          <w:szCs w:val="22"/>
          <w:lang w:val="en-GB"/>
        </w:rPr>
        <w:t xml:space="preserve">lan of </w:t>
      </w:r>
      <w:r>
        <w:rPr>
          <w:iCs/>
          <w:sz w:val="22"/>
          <w:szCs w:val="22"/>
          <w:lang w:val="en-GB"/>
        </w:rPr>
        <w:t>A</w:t>
      </w:r>
      <w:r w:rsidRPr="001F147F">
        <w:rPr>
          <w:iCs/>
          <w:sz w:val="22"/>
          <w:szCs w:val="22"/>
          <w:lang w:val="en-GB"/>
        </w:rPr>
        <w:t xml:space="preserve">ction on </w:t>
      </w:r>
      <w:r>
        <w:rPr>
          <w:iCs/>
          <w:sz w:val="22"/>
          <w:szCs w:val="22"/>
          <w:lang w:val="en-GB"/>
        </w:rPr>
        <w:t>S</w:t>
      </w:r>
      <w:r w:rsidRPr="001F147F">
        <w:rPr>
          <w:iCs/>
          <w:sz w:val="22"/>
          <w:szCs w:val="22"/>
          <w:lang w:val="en-GB"/>
        </w:rPr>
        <w:t xml:space="preserve">ubnational </w:t>
      </w:r>
      <w:r>
        <w:rPr>
          <w:iCs/>
          <w:sz w:val="22"/>
          <w:szCs w:val="22"/>
          <w:lang w:val="en-GB"/>
        </w:rPr>
        <w:t>G</w:t>
      </w:r>
      <w:r w:rsidRPr="001F147F">
        <w:rPr>
          <w:iCs/>
          <w:sz w:val="22"/>
          <w:szCs w:val="22"/>
          <w:lang w:val="en-GB"/>
        </w:rPr>
        <w:t xml:space="preserve">overnments, </w:t>
      </w:r>
      <w:r>
        <w:rPr>
          <w:iCs/>
          <w:sz w:val="22"/>
          <w:szCs w:val="22"/>
          <w:lang w:val="en-GB"/>
        </w:rPr>
        <w:t>C</w:t>
      </w:r>
      <w:r w:rsidRPr="001F147F">
        <w:rPr>
          <w:iCs/>
          <w:sz w:val="22"/>
          <w:szCs w:val="22"/>
          <w:lang w:val="en-GB"/>
        </w:rPr>
        <w:t xml:space="preserve">ities and </w:t>
      </w:r>
      <w:r>
        <w:rPr>
          <w:iCs/>
          <w:sz w:val="22"/>
          <w:szCs w:val="22"/>
          <w:lang w:val="en-GB"/>
        </w:rPr>
        <w:t>O</w:t>
      </w:r>
      <w:r w:rsidRPr="001F147F">
        <w:rPr>
          <w:iCs/>
          <w:sz w:val="22"/>
          <w:szCs w:val="22"/>
          <w:lang w:val="en-GB"/>
        </w:rPr>
        <w:t xml:space="preserve">ther </w:t>
      </w:r>
      <w:r>
        <w:rPr>
          <w:iCs/>
          <w:sz w:val="22"/>
          <w:szCs w:val="22"/>
          <w:lang w:val="en-GB"/>
        </w:rPr>
        <w:t>L</w:t>
      </w:r>
      <w:r w:rsidRPr="001F147F">
        <w:rPr>
          <w:iCs/>
          <w:sz w:val="22"/>
          <w:szCs w:val="22"/>
          <w:lang w:val="en-GB"/>
        </w:rPr>
        <w:t xml:space="preserve">ocal </w:t>
      </w:r>
      <w:r>
        <w:rPr>
          <w:iCs/>
          <w:sz w:val="22"/>
          <w:szCs w:val="22"/>
          <w:lang w:val="en-GB"/>
        </w:rPr>
        <w:t>A</w:t>
      </w:r>
      <w:r w:rsidRPr="001F147F">
        <w:rPr>
          <w:iCs/>
          <w:sz w:val="22"/>
          <w:szCs w:val="22"/>
          <w:lang w:val="en-GB"/>
        </w:rPr>
        <w:t xml:space="preserve">uthorities for </w:t>
      </w:r>
      <w:r>
        <w:rPr>
          <w:iCs/>
          <w:sz w:val="22"/>
          <w:szCs w:val="22"/>
          <w:lang w:val="en-GB"/>
        </w:rPr>
        <w:t>B</w:t>
      </w:r>
      <w:r w:rsidRPr="001F147F">
        <w:rPr>
          <w:iCs/>
          <w:sz w:val="22"/>
          <w:szCs w:val="22"/>
          <w:lang w:val="en-GB"/>
        </w:rPr>
        <w:t>iodiversity, as set out in the annex</w:t>
      </w:r>
      <w:r>
        <w:rPr>
          <w:iCs/>
          <w:sz w:val="22"/>
          <w:szCs w:val="22"/>
          <w:lang w:val="en-GB"/>
        </w:rPr>
        <w:t xml:space="preserve"> to the present decision</w:t>
      </w:r>
      <w:r w:rsidRPr="001F147F">
        <w:rPr>
          <w:iCs/>
          <w:sz w:val="22"/>
          <w:szCs w:val="22"/>
          <w:lang w:val="en-GB"/>
        </w:rPr>
        <w:t xml:space="preserve">, </w:t>
      </w:r>
      <w:r w:rsidRPr="005E2D95">
        <w:rPr>
          <w:sz w:val="22"/>
          <w:szCs w:val="22"/>
        </w:rPr>
        <w:t>as a flexible framework to support Parties in accordance with national legislation</w:t>
      </w:r>
      <w:r w:rsidRPr="001F147F">
        <w:rPr>
          <w:iCs/>
          <w:sz w:val="22"/>
          <w:szCs w:val="22"/>
          <w:lang w:val="en-GB"/>
        </w:rPr>
        <w:t>;</w:t>
      </w:r>
    </w:p>
    <w:p w14:paraId="4FABA1E2" w14:textId="77777777" w:rsidR="0094446B" w:rsidRPr="00DD6807" w:rsidRDefault="0094446B" w:rsidP="00F854FF">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DD6807">
        <w:rPr>
          <w:iCs/>
          <w:sz w:val="22"/>
          <w:szCs w:val="22"/>
          <w:lang w:val="en-GB"/>
        </w:rPr>
        <w:t>2.</w:t>
      </w:r>
      <w:r w:rsidRPr="00DD6807">
        <w:rPr>
          <w:iCs/>
          <w:sz w:val="22"/>
          <w:szCs w:val="22"/>
          <w:lang w:val="en-GB"/>
        </w:rPr>
        <w:tab/>
      </w:r>
      <w:r w:rsidRPr="00DD6807">
        <w:rPr>
          <w:i/>
          <w:iCs/>
          <w:sz w:val="22"/>
          <w:szCs w:val="22"/>
          <w:lang w:val="en-GB"/>
        </w:rPr>
        <w:t>Invites</w:t>
      </w:r>
      <w:r w:rsidRPr="00DD6807">
        <w:rPr>
          <w:iCs/>
          <w:sz w:val="22"/>
          <w:szCs w:val="22"/>
          <w:lang w:val="en-GB"/>
        </w:rPr>
        <w:t xml:space="preserve"> Parties</w:t>
      </w:r>
      <w:r>
        <w:rPr>
          <w:iCs/>
          <w:sz w:val="22"/>
          <w:szCs w:val="22"/>
          <w:lang w:val="en-GB"/>
        </w:rPr>
        <w:t>, other Governments</w:t>
      </w:r>
      <w:r w:rsidRPr="00E44A77">
        <w:rPr>
          <w:iCs/>
          <w:sz w:val="22"/>
          <w:szCs w:val="22"/>
          <w:lang w:val="en-GB"/>
        </w:rPr>
        <w:t xml:space="preserve"> </w:t>
      </w:r>
      <w:r w:rsidRPr="00DD6807">
        <w:rPr>
          <w:iCs/>
          <w:sz w:val="22"/>
          <w:szCs w:val="22"/>
          <w:lang w:val="en-GB"/>
        </w:rPr>
        <w:t xml:space="preserve">and relevant organizations </w:t>
      </w:r>
      <w:r>
        <w:rPr>
          <w:iCs/>
          <w:sz w:val="22"/>
          <w:szCs w:val="22"/>
          <w:lang w:val="en-GB"/>
        </w:rPr>
        <w:t>t</w:t>
      </w:r>
      <w:r w:rsidRPr="00FC4EF0">
        <w:rPr>
          <w:iCs/>
          <w:color w:val="000000" w:themeColor="text1"/>
          <w:sz w:val="22"/>
          <w:szCs w:val="22"/>
          <w:lang w:val="en-GB"/>
        </w:rPr>
        <w:t>o</w:t>
      </w:r>
      <w:r w:rsidRPr="00DD6807">
        <w:rPr>
          <w:iCs/>
          <w:sz w:val="22"/>
          <w:szCs w:val="22"/>
          <w:lang w:val="en-GB"/>
        </w:rPr>
        <w:t xml:space="preserve"> facilitate, as appropriate, the implementation of the updated </w:t>
      </w:r>
      <w:r>
        <w:rPr>
          <w:iCs/>
          <w:sz w:val="22"/>
          <w:szCs w:val="22"/>
          <w:lang w:val="en-GB"/>
        </w:rPr>
        <w:t>P</w:t>
      </w:r>
      <w:r w:rsidRPr="00DD6807">
        <w:rPr>
          <w:iCs/>
          <w:sz w:val="22"/>
          <w:szCs w:val="22"/>
          <w:lang w:val="en-GB"/>
        </w:rPr>
        <w:t xml:space="preserve">lan of </w:t>
      </w:r>
      <w:r>
        <w:rPr>
          <w:iCs/>
          <w:sz w:val="22"/>
          <w:szCs w:val="22"/>
          <w:lang w:val="en-GB"/>
        </w:rPr>
        <w:t>A</w:t>
      </w:r>
      <w:r w:rsidRPr="00DD6807">
        <w:rPr>
          <w:iCs/>
          <w:sz w:val="22"/>
          <w:szCs w:val="22"/>
          <w:lang w:val="en-GB"/>
        </w:rPr>
        <w:t>ction referred to in paragraph 1 above, according to national legislation, including by:</w:t>
      </w:r>
    </w:p>
    <w:p w14:paraId="066E3BEA" w14:textId="77777777" w:rsidR="0094446B" w:rsidRPr="001F147F" w:rsidRDefault="0094446B" w:rsidP="00F854FF">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1F147F">
        <w:rPr>
          <w:iCs/>
          <w:sz w:val="22"/>
          <w:szCs w:val="22"/>
          <w:lang w:val="en-GB"/>
        </w:rPr>
        <w:t>(a)</w:t>
      </w:r>
      <w:r w:rsidRPr="001F147F">
        <w:rPr>
          <w:iCs/>
          <w:sz w:val="22"/>
          <w:szCs w:val="22"/>
          <w:lang w:val="en-GB"/>
        </w:rPr>
        <w:tab/>
        <w:t xml:space="preserve">Involving subnational governments, cities and other local authorities in the revision, implementation and update of their national biodiversity strategies and action plans, </w:t>
      </w:r>
      <w:r w:rsidRPr="001F147F">
        <w:rPr>
          <w:bCs/>
          <w:iCs/>
          <w:sz w:val="22"/>
          <w:szCs w:val="22"/>
        </w:rPr>
        <w:t>respecting the competencies of each level of government</w:t>
      </w:r>
      <w:r w:rsidRPr="001F147F">
        <w:rPr>
          <w:bCs/>
          <w:iCs/>
          <w:sz w:val="22"/>
          <w:szCs w:val="22"/>
          <w:lang w:val="en-GB"/>
        </w:rPr>
        <w:t>;</w:t>
      </w:r>
    </w:p>
    <w:p w14:paraId="4DFD2732" w14:textId="77777777" w:rsidR="0094446B" w:rsidRPr="005E2D95" w:rsidRDefault="0094446B" w:rsidP="00F854FF">
      <w:pPr>
        <w:pStyle w:val="StylePara1Kernat11pt"/>
        <w:suppressLineNumbers/>
        <w:suppressAutoHyphens/>
        <w:kinsoku w:val="0"/>
        <w:overflowPunct w:val="0"/>
        <w:autoSpaceDE w:val="0"/>
        <w:autoSpaceDN w:val="0"/>
        <w:adjustRightInd w:val="0"/>
        <w:ind w:firstLine="720"/>
        <w:jc w:val="both"/>
        <w:rPr>
          <w:bCs/>
          <w:szCs w:val="22"/>
        </w:rPr>
      </w:pPr>
      <w:r w:rsidRPr="005E2D95">
        <w:rPr>
          <w:bCs/>
          <w:szCs w:val="22"/>
        </w:rPr>
        <w:t>(b)</w:t>
      </w:r>
      <w:r w:rsidRPr="005E2D95">
        <w:rPr>
          <w:bCs/>
          <w:szCs w:val="22"/>
        </w:rPr>
        <w:tab/>
      </w:r>
      <w:r w:rsidRPr="005E2D95">
        <w:rPr>
          <w:bCs/>
          <w:sz w:val="22"/>
          <w:szCs w:val="22"/>
        </w:rPr>
        <w:t>Supporting subnational governments, cities and other local authorities to develop, implement and evaluate their local biodiversity strategies and action plans, in accordance with national biodiversity strategies and action plans and global commitments;</w:t>
      </w:r>
    </w:p>
    <w:p w14:paraId="03D582EF" w14:textId="77777777" w:rsidR="0094446B" w:rsidRPr="001F147F" w:rsidRDefault="0094446B" w:rsidP="00F854FF">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1F147F">
        <w:rPr>
          <w:iCs/>
          <w:sz w:val="22"/>
          <w:szCs w:val="22"/>
          <w:lang w:val="en-GB"/>
        </w:rPr>
        <w:t>(c)</w:t>
      </w:r>
      <w:r w:rsidRPr="001F147F">
        <w:rPr>
          <w:iCs/>
          <w:sz w:val="22"/>
          <w:szCs w:val="22"/>
          <w:lang w:val="en-GB"/>
        </w:rPr>
        <w:tab/>
        <w:t xml:space="preserve">Ensuring the engagement of subnational governments, cities and other local authorities in the mainstreaming of biodiversity, in line with the long-term </w:t>
      </w:r>
      <w:r w:rsidRPr="004E600F">
        <w:rPr>
          <w:iCs/>
          <w:sz w:val="22"/>
          <w:szCs w:val="22"/>
          <w:lang w:val="en-GB"/>
        </w:rPr>
        <w:t>strategic</w:t>
      </w:r>
      <w:r>
        <w:rPr>
          <w:iCs/>
          <w:sz w:val="22"/>
          <w:szCs w:val="22"/>
          <w:lang w:val="en-GB"/>
        </w:rPr>
        <w:t xml:space="preserve"> </w:t>
      </w:r>
      <w:r w:rsidRPr="001F147F">
        <w:rPr>
          <w:iCs/>
          <w:sz w:val="22"/>
          <w:szCs w:val="22"/>
          <w:lang w:val="en-GB"/>
        </w:rPr>
        <w:t>approach to mainstreaming</w:t>
      </w:r>
      <w:r>
        <w:rPr>
          <w:iCs/>
          <w:sz w:val="22"/>
          <w:szCs w:val="22"/>
          <w:lang w:val="en-GB"/>
        </w:rPr>
        <w:t xml:space="preserve"> within and across sectors guided</w:t>
      </w:r>
      <w:r w:rsidRPr="001F147F">
        <w:rPr>
          <w:iCs/>
          <w:sz w:val="22"/>
          <w:szCs w:val="22"/>
          <w:lang w:val="en-GB"/>
        </w:rPr>
        <w:t xml:space="preserve"> by the Conference of the Parties in decision 15/</w:t>
      </w:r>
      <w:r>
        <w:rPr>
          <w:iCs/>
          <w:sz w:val="22"/>
          <w:szCs w:val="22"/>
          <w:lang w:val="en-GB"/>
        </w:rPr>
        <w:t>17</w:t>
      </w:r>
      <w:r w:rsidRPr="001F147F">
        <w:rPr>
          <w:iCs/>
          <w:sz w:val="22"/>
          <w:szCs w:val="22"/>
          <w:lang w:val="en-GB"/>
        </w:rPr>
        <w:t>;</w:t>
      </w:r>
    </w:p>
    <w:p w14:paraId="310CAF2A" w14:textId="77777777" w:rsidR="0094446B" w:rsidRPr="00226437" w:rsidRDefault="0094446B" w:rsidP="00F854FF">
      <w:pPr>
        <w:pStyle w:val="StylePara1Kernat11pt"/>
        <w:suppressLineNumbers/>
        <w:suppressAutoHyphens/>
        <w:kinsoku w:val="0"/>
        <w:overflowPunct w:val="0"/>
        <w:autoSpaceDE w:val="0"/>
        <w:autoSpaceDN w:val="0"/>
        <w:adjustRightInd w:val="0"/>
        <w:ind w:firstLine="720"/>
        <w:jc w:val="both"/>
        <w:rPr>
          <w:iCs/>
          <w:sz w:val="22"/>
          <w:szCs w:val="22"/>
          <w:lang w:val="en-US"/>
        </w:rPr>
      </w:pPr>
      <w:r w:rsidRPr="00226437">
        <w:rPr>
          <w:iCs/>
          <w:sz w:val="22"/>
          <w:szCs w:val="22"/>
          <w:lang w:val="en-US"/>
        </w:rPr>
        <w:t>(d)</w:t>
      </w:r>
      <w:r w:rsidRPr="00226437">
        <w:rPr>
          <w:iCs/>
          <w:sz w:val="22"/>
          <w:szCs w:val="22"/>
          <w:lang w:val="en-US"/>
        </w:rPr>
        <w:tab/>
      </w:r>
      <w:r w:rsidRPr="001F147F">
        <w:rPr>
          <w:iCs/>
          <w:sz w:val="22"/>
          <w:szCs w:val="22"/>
          <w:lang w:val="en-GB"/>
        </w:rPr>
        <w:t>Allocating human, technical and financial resources, as appropriate</w:t>
      </w:r>
      <w:r>
        <w:rPr>
          <w:iCs/>
          <w:sz w:val="22"/>
          <w:szCs w:val="22"/>
          <w:lang w:val="en-GB"/>
        </w:rPr>
        <w:t xml:space="preserve"> to national circumstances</w:t>
      </w:r>
      <w:r w:rsidRPr="001F147F">
        <w:rPr>
          <w:iCs/>
          <w:sz w:val="22"/>
          <w:szCs w:val="22"/>
          <w:lang w:val="en-GB"/>
        </w:rPr>
        <w:t>, and in a manner supportive of principle 2 of the ecosystem approach</w:t>
      </w:r>
      <w:r>
        <w:rPr>
          <w:iCs/>
          <w:sz w:val="22"/>
          <w:szCs w:val="22"/>
          <w:lang w:val="en-GB"/>
        </w:rPr>
        <w:t>;</w:t>
      </w:r>
      <w:r w:rsidRPr="00610646">
        <w:rPr>
          <w:rStyle w:val="FootnoteReference"/>
        </w:rPr>
        <w:footnoteReference w:id="124"/>
      </w:r>
      <w:r w:rsidRPr="001F147F">
        <w:rPr>
          <w:iCs/>
          <w:sz w:val="22"/>
          <w:szCs w:val="22"/>
          <w:lang w:val="en-GB"/>
        </w:rPr>
        <w:t xml:space="preserve"> ;</w:t>
      </w:r>
    </w:p>
    <w:p w14:paraId="4EA8BBC5" w14:textId="77777777" w:rsidR="0094446B" w:rsidRPr="001F147F" w:rsidRDefault="0094446B" w:rsidP="00F854FF">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1F147F">
        <w:rPr>
          <w:iCs/>
          <w:sz w:val="22"/>
          <w:szCs w:val="22"/>
          <w:lang w:val="en-GB"/>
        </w:rPr>
        <w:t>3.</w:t>
      </w:r>
      <w:r w:rsidRPr="001F147F">
        <w:rPr>
          <w:iCs/>
          <w:sz w:val="22"/>
          <w:szCs w:val="22"/>
          <w:lang w:val="en-GB"/>
        </w:rPr>
        <w:tab/>
      </w:r>
      <w:r w:rsidRPr="001F147F">
        <w:rPr>
          <w:i/>
          <w:iCs/>
          <w:sz w:val="22"/>
          <w:szCs w:val="22"/>
          <w:lang w:val="en-GB"/>
        </w:rPr>
        <w:t>Invites</w:t>
      </w:r>
      <w:r w:rsidRPr="001F147F">
        <w:rPr>
          <w:iCs/>
          <w:sz w:val="22"/>
          <w:szCs w:val="22"/>
          <w:lang w:val="en-GB"/>
        </w:rPr>
        <w:t xml:space="preserve"> Parties to </w:t>
      </w:r>
      <w:r>
        <w:rPr>
          <w:iCs/>
          <w:sz w:val="22"/>
          <w:szCs w:val="22"/>
          <w:lang w:val="en-GB"/>
        </w:rPr>
        <w:t xml:space="preserve">communicate and </w:t>
      </w:r>
      <w:r w:rsidRPr="001F147F">
        <w:rPr>
          <w:iCs/>
          <w:sz w:val="22"/>
          <w:szCs w:val="22"/>
          <w:lang w:val="en-GB"/>
        </w:rPr>
        <w:t>report on the implementation of the updated Plan of Action on Subnational Governments, Cities and Local Authorities for Biodiversity, as appropriate, in their national reports under the Convention;</w:t>
      </w:r>
    </w:p>
    <w:p w14:paraId="3A38426B" w14:textId="77777777" w:rsidR="0094446B" w:rsidRPr="001F147F" w:rsidRDefault="0094446B" w:rsidP="00F854FF">
      <w:pPr>
        <w:pStyle w:val="StylePara1Kernat11pt"/>
        <w:suppressLineNumbers/>
        <w:suppressAutoHyphens/>
        <w:kinsoku w:val="0"/>
        <w:overflowPunct w:val="0"/>
        <w:autoSpaceDE w:val="0"/>
        <w:autoSpaceDN w:val="0"/>
        <w:adjustRightInd w:val="0"/>
        <w:ind w:firstLine="720"/>
        <w:jc w:val="both"/>
        <w:rPr>
          <w:i/>
          <w:iCs/>
          <w:sz w:val="22"/>
          <w:szCs w:val="22"/>
          <w:lang w:val="en-GB"/>
        </w:rPr>
      </w:pPr>
      <w:r w:rsidRPr="001F147F">
        <w:rPr>
          <w:iCs/>
          <w:sz w:val="22"/>
          <w:szCs w:val="22"/>
          <w:lang w:val="en-GB"/>
        </w:rPr>
        <w:lastRenderedPageBreak/>
        <w:t>4.</w:t>
      </w:r>
      <w:r w:rsidRPr="001F147F">
        <w:rPr>
          <w:iCs/>
          <w:sz w:val="22"/>
          <w:szCs w:val="22"/>
          <w:lang w:val="en-GB"/>
        </w:rPr>
        <w:tab/>
      </w:r>
      <w:r w:rsidRPr="001F147F">
        <w:rPr>
          <w:i/>
          <w:iCs/>
          <w:sz w:val="22"/>
          <w:szCs w:val="22"/>
          <w:lang w:val="en-GB"/>
        </w:rPr>
        <w:t xml:space="preserve">Encourages </w:t>
      </w:r>
      <w:r w:rsidRPr="001F147F">
        <w:rPr>
          <w:iCs/>
          <w:sz w:val="22"/>
          <w:szCs w:val="22"/>
          <w:lang w:val="en-GB"/>
        </w:rPr>
        <w:t xml:space="preserve">Parties, and </w:t>
      </w:r>
      <w:r w:rsidRPr="004E600F">
        <w:rPr>
          <w:sz w:val="22"/>
          <w:szCs w:val="22"/>
          <w:lang w:val="en-GB"/>
        </w:rPr>
        <w:t>invites</w:t>
      </w:r>
      <w:r w:rsidRPr="001F147F">
        <w:rPr>
          <w:iCs/>
          <w:sz w:val="22"/>
          <w:szCs w:val="22"/>
          <w:lang w:val="en-GB"/>
        </w:rPr>
        <w:t xml:space="preserve"> other stakeholders, including entities engaged in development finance, to invest resources</w:t>
      </w:r>
      <w:r>
        <w:rPr>
          <w:iCs/>
          <w:sz w:val="22"/>
          <w:szCs w:val="22"/>
          <w:lang w:val="en-GB"/>
        </w:rPr>
        <w:t xml:space="preserve">, support technology and knowledge transfer, </w:t>
      </w:r>
      <w:r w:rsidRPr="001F147F">
        <w:rPr>
          <w:iCs/>
          <w:sz w:val="22"/>
          <w:szCs w:val="22"/>
          <w:lang w:val="en-GB"/>
        </w:rPr>
        <w:t>and build capacity</w:t>
      </w:r>
      <w:r w:rsidRPr="005E2D95">
        <w:rPr>
          <w:rStyle w:val="Hyperlink"/>
          <w:iCs/>
          <w:color w:val="auto"/>
          <w:sz w:val="22"/>
          <w:szCs w:val="22"/>
          <w:u w:val="none"/>
          <w:lang w:val="en-GB"/>
        </w:rPr>
        <w:t xml:space="preserve">, </w:t>
      </w:r>
      <w:r w:rsidRPr="001F147F">
        <w:rPr>
          <w:iCs/>
          <w:sz w:val="22"/>
          <w:szCs w:val="22"/>
          <w:lang w:val="en-GB"/>
        </w:rPr>
        <w:t>at the level of governance where they can be most effective;</w:t>
      </w:r>
    </w:p>
    <w:p w14:paraId="1B58D226" w14:textId="77777777" w:rsidR="0094446B" w:rsidRPr="001F147F" w:rsidRDefault="0094446B" w:rsidP="00F854FF">
      <w:pPr>
        <w:pStyle w:val="StylePara1Kernat11pt"/>
        <w:suppressLineNumbers/>
        <w:suppressAutoHyphens/>
        <w:kinsoku w:val="0"/>
        <w:overflowPunct w:val="0"/>
        <w:autoSpaceDE w:val="0"/>
        <w:autoSpaceDN w:val="0"/>
        <w:adjustRightInd w:val="0"/>
        <w:ind w:firstLine="720"/>
        <w:jc w:val="both"/>
        <w:rPr>
          <w:i/>
          <w:iCs/>
          <w:sz w:val="22"/>
          <w:szCs w:val="22"/>
          <w:lang w:val="en-GB"/>
        </w:rPr>
      </w:pPr>
      <w:r w:rsidRPr="001F147F">
        <w:rPr>
          <w:iCs/>
          <w:sz w:val="22"/>
          <w:szCs w:val="22"/>
          <w:lang w:val="en-GB"/>
        </w:rPr>
        <w:t>5.</w:t>
      </w:r>
      <w:r w:rsidRPr="001F147F">
        <w:rPr>
          <w:iCs/>
          <w:sz w:val="22"/>
          <w:szCs w:val="22"/>
          <w:lang w:val="en-GB"/>
        </w:rPr>
        <w:tab/>
      </w:r>
      <w:r w:rsidRPr="005E2D95">
        <w:rPr>
          <w:bCs/>
          <w:i/>
          <w:sz w:val="22"/>
          <w:szCs w:val="22"/>
        </w:rPr>
        <w:t>Urges</w:t>
      </w:r>
      <w:r w:rsidRPr="005E2D95">
        <w:rPr>
          <w:bCs/>
          <w:sz w:val="22"/>
          <w:szCs w:val="22"/>
        </w:rPr>
        <w:t xml:space="preserve"> Parties to support subnational governments, cities and local authorities in strengthening their capacities to improve the implementation of the </w:t>
      </w:r>
      <w:r>
        <w:rPr>
          <w:bCs/>
          <w:sz w:val="22"/>
          <w:szCs w:val="22"/>
        </w:rPr>
        <w:t>Kunming-Montreal Global Biodiversity Framework</w:t>
      </w:r>
      <w:r w:rsidRPr="005E2D95">
        <w:rPr>
          <w:bCs/>
          <w:sz w:val="22"/>
          <w:szCs w:val="22"/>
        </w:rPr>
        <w:t>;</w:t>
      </w:r>
    </w:p>
    <w:p w14:paraId="3982B606" w14:textId="77777777" w:rsidR="0094446B" w:rsidRPr="00F854FF" w:rsidRDefault="0094446B" w:rsidP="00F854FF">
      <w:pPr>
        <w:pStyle w:val="StylePara1Kernat11pt"/>
        <w:suppressLineNumbers/>
        <w:suppressAutoHyphens/>
        <w:kinsoku w:val="0"/>
        <w:overflowPunct w:val="0"/>
        <w:autoSpaceDE w:val="0"/>
        <w:autoSpaceDN w:val="0"/>
        <w:adjustRightInd w:val="0"/>
        <w:ind w:firstLine="720"/>
        <w:jc w:val="both"/>
        <w:rPr>
          <w:i/>
          <w:iCs/>
          <w:sz w:val="22"/>
          <w:szCs w:val="22"/>
          <w:lang w:val="en-GB"/>
        </w:rPr>
      </w:pPr>
      <w:r w:rsidRPr="001F147F">
        <w:rPr>
          <w:iCs/>
          <w:sz w:val="22"/>
          <w:szCs w:val="22"/>
          <w:lang w:val="en-GB"/>
        </w:rPr>
        <w:t>6.</w:t>
      </w:r>
      <w:r w:rsidRPr="001F147F">
        <w:rPr>
          <w:iCs/>
          <w:sz w:val="22"/>
          <w:szCs w:val="22"/>
          <w:lang w:val="en-GB"/>
        </w:rPr>
        <w:tab/>
      </w:r>
      <w:r w:rsidRPr="001F147F">
        <w:rPr>
          <w:i/>
          <w:iCs/>
          <w:sz w:val="22"/>
          <w:szCs w:val="22"/>
          <w:lang w:val="en-GB"/>
        </w:rPr>
        <w:t xml:space="preserve">Invites </w:t>
      </w:r>
      <w:r w:rsidRPr="001F147F">
        <w:rPr>
          <w:sz w:val="22"/>
          <w:szCs w:val="22"/>
          <w:lang w:val="en-GB"/>
        </w:rPr>
        <w:t>the Global Environment Facility to consider</w:t>
      </w:r>
      <w:r w:rsidRPr="001F147F">
        <w:rPr>
          <w:iCs/>
          <w:sz w:val="22"/>
          <w:szCs w:val="22"/>
          <w:lang w:val="en-GB"/>
        </w:rPr>
        <w:t xml:space="preserve"> further expanding and strengthening its sustainable </w:t>
      </w:r>
      <w:r w:rsidRPr="00F854FF">
        <w:rPr>
          <w:iCs/>
          <w:sz w:val="22"/>
          <w:szCs w:val="22"/>
          <w:lang w:val="en-GB"/>
        </w:rPr>
        <w:t xml:space="preserve">cities initiatives in its future replenishments, and piloting land- and seascape level initiatives targeted at subnational and local governance, infrastructure, biodiversity-inclusive spatial and land-use planning, and urban-rural linkages, </w:t>
      </w:r>
      <w:r w:rsidRPr="00F854FF">
        <w:rPr>
          <w:sz w:val="22"/>
          <w:szCs w:val="22"/>
        </w:rPr>
        <w:t>in accordance with the priorities identified in national biodiversity strategies and action plans;</w:t>
      </w:r>
    </w:p>
    <w:p w14:paraId="668DE330" w14:textId="77777777" w:rsidR="0094446B" w:rsidRDefault="0094446B" w:rsidP="004C418F">
      <w:pPr>
        <w:pStyle w:val="StylePara1Kernat11pt"/>
        <w:suppressLineNumbers/>
        <w:suppressAutoHyphens/>
        <w:kinsoku w:val="0"/>
        <w:overflowPunct w:val="0"/>
        <w:autoSpaceDE w:val="0"/>
        <w:autoSpaceDN w:val="0"/>
        <w:adjustRightInd w:val="0"/>
        <w:ind w:firstLine="720"/>
        <w:jc w:val="both"/>
        <w:rPr>
          <w:iCs/>
          <w:sz w:val="22"/>
          <w:szCs w:val="22"/>
          <w:lang w:val="en-GB"/>
        </w:rPr>
      </w:pPr>
      <w:r w:rsidRPr="00F854FF">
        <w:rPr>
          <w:sz w:val="22"/>
          <w:szCs w:val="22"/>
          <w:lang w:val="en-GB"/>
        </w:rPr>
        <w:t>7.</w:t>
      </w:r>
      <w:r w:rsidRPr="00F854FF">
        <w:rPr>
          <w:sz w:val="22"/>
          <w:szCs w:val="22"/>
          <w:lang w:val="en-GB"/>
        </w:rPr>
        <w:tab/>
      </w:r>
      <w:r w:rsidRPr="00F854FF">
        <w:rPr>
          <w:i/>
          <w:sz w:val="22"/>
          <w:szCs w:val="22"/>
          <w:lang w:val="en-GB"/>
        </w:rPr>
        <w:t xml:space="preserve">Requests </w:t>
      </w:r>
      <w:r w:rsidRPr="00F854FF">
        <w:rPr>
          <w:iCs/>
          <w:sz w:val="22"/>
          <w:szCs w:val="22"/>
          <w:lang w:val="en-GB"/>
        </w:rPr>
        <w:t xml:space="preserve">the Executive Secretary, subject to availability of resources, to undertake a review of </w:t>
      </w:r>
      <w:r>
        <w:rPr>
          <w:iCs/>
          <w:sz w:val="22"/>
          <w:szCs w:val="22"/>
          <w:lang w:val="en-GB"/>
        </w:rPr>
        <w:t xml:space="preserve">the </w:t>
      </w:r>
      <w:r w:rsidRPr="00F854FF">
        <w:rPr>
          <w:iCs/>
          <w:sz w:val="22"/>
          <w:szCs w:val="22"/>
          <w:lang w:val="en-GB"/>
        </w:rPr>
        <w:t xml:space="preserve">role of subnational governments, cities and other local authorities in the implementation of the objectives of the Convention and its Protocols and the </w:t>
      </w:r>
      <w:r>
        <w:rPr>
          <w:bCs/>
          <w:sz w:val="22"/>
          <w:szCs w:val="22"/>
        </w:rPr>
        <w:t>Kunming-Montreal Global Biodiversity Framework</w:t>
      </w:r>
      <w:r w:rsidRPr="00F854FF">
        <w:rPr>
          <w:iCs/>
          <w:sz w:val="22"/>
          <w:szCs w:val="22"/>
          <w:lang w:val="en-GB"/>
        </w:rPr>
        <w:t>, and to submit the report to the Subsidiary Body on Implementation</w:t>
      </w:r>
      <w:r>
        <w:rPr>
          <w:iCs/>
          <w:sz w:val="22"/>
          <w:szCs w:val="22"/>
          <w:lang w:val="en-GB"/>
        </w:rPr>
        <w:t xml:space="preserve"> for consideration at a meeting held before the seventeenth meeting of the Conference of the Parties;</w:t>
      </w:r>
    </w:p>
    <w:p w14:paraId="6C518E90" w14:textId="77777777" w:rsidR="0094446B" w:rsidRPr="00F854FF" w:rsidRDefault="0094446B" w:rsidP="004C418F">
      <w:pPr>
        <w:pStyle w:val="StylePara1Kernat11pt"/>
        <w:suppressLineNumbers/>
        <w:suppressAutoHyphens/>
        <w:kinsoku w:val="0"/>
        <w:overflowPunct w:val="0"/>
        <w:autoSpaceDE w:val="0"/>
        <w:autoSpaceDN w:val="0"/>
        <w:adjustRightInd w:val="0"/>
        <w:ind w:firstLine="720"/>
        <w:jc w:val="both"/>
        <w:rPr>
          <w:iCs/>
          <w:sz w:val="22"/>
          <w:szCs w:val="22"/>
          <w:lang w:val="en-GB"/>
        </w:rPr>
      </w:pPr>
      <w:r>
        <w:rPr>
          <w:iCs/>
          <w:sz w:val="22"/>
          <w:szCs w:val="22"/>
          <w:lang w:val="en-GB"/>
        </w:rPr>
        <w:t>8</w:t>
      </w:r>
      <w:r w:rsidRPr="00F854FF">
        <w:rPr>
          <w:iCs/>
          <w:sz w:val="22"/>
          <w:szCs w:val="22"/>
          <w:lang w:val="en-GB"/>
        </w:rPr>
        <w:t xml:space="preserve">. </w:t>
      </w:r>
      <w:r w:rsidRPr="005B532B">
        <w:rPr>
          <w:iCs/>
          <w:sz w:val="22"/>
          <w:szCs w:val="22"/>
          <w:lang w:val="en-GB"/>
        </w:rPr>
        <w:tab/>
      </w:r>
      <w:r>
        <w:rPr>
          <w:i/>
          <w:sz w:val="22"/>
          <w:szCs w:val="22"/>
          <w:lang w:val="en-GB"/>
        </w:rPr>
        <w:t>Also</w:t>
      </w:r>
      <w:r w:rsidRPr="005B532B">
        <w:rPr>
          <w:i/>
          <w:sz w:val="22"/>
          <w:szCs w:val="22"/>
          <w:lang w:val="en-GB"/>
        </w:rPr>
        <w:t xml:space="preserve"> requests</w:t>
      </w:r>
      <w:r w:rsidRPr="005B532B">
        <w:rPr>
          <w:iCs/>
          <w:sz w:val="22"/>
          <w:szCs w:val="22"/>
          <w:lang w:val="en-GB"/>
        </w:rPr>
        <w:t xml:space="preserve"> the Executive Secretary, subject to the availability of resources, to facilitate the work of the </w:t>
      </w:r>
      <w:r w:rsidRPr="005B532B">
        <w:rPr>
          <w:sz w:val="22"/>
          <w:szCs w:val="22"/>
        </w:rPr>
        <w:t>Global Partnership on</w:t>
      </w:r>
      <w:r w:rsidRPr="00F854FF">
        <w:rPr>
          <w:sz w:val="22"/>
          <w:szCs w:val="22"/>
        </w:rPr>
        <w:t xml:space="preserve"> Subnational and Local Governments for Biodiversity</w:t>
      </w:r>
      <w:r w:rsidRPr="00F854FF">
        <w:rPr>
          <w:iCs/>
          <w:sz w:val="22"/>
          <w:szCs w:val="22"/>
          <w:lang w:val="en-GB"/>
        </w:rPr>
        <w:t xml:space="preserve"> for the implementation of the </w:t>
      </w:r>
      <w:r>
        <w:rPr>
          <w:iCs/>
          <w:sz w:val="22"/>
          <w:szCs w:val="22"/>
          <w:lang w:val="en-GB"/>
        </w:rPr>
        <w:t>p</w:t>
      </w:r>
      <w:r w:rsidRPr="00F854FF">
        <w:rPr>
          <w:iCs/>
          <w:sz w:val="22"/>
          <w:szCs w:val="22"/>
          <w:lang w:val="en-GB"/>
        </w:rPr>
        <w:t xml:space="preserve">lan of </w:t>
      </w:r>
      <w:r>
        <w:rPr>
          <w:iCs/>
          <w:sz w:val="22"/>
          <w:szCs w:val="22"/>
          <w:lang w:val="en-GB"/>
        </w:rPr>
        <w:t>a</w:t>
      </w:r>
      <w:r w:rsidRPr="00F854FF">
        <w:rPr>
          <w:iCs/>
          <w:sz w:val="22"/>
          <w:szCs w:val="22"/>
          <w:lang w:val="en-GB"/>
        </w:rPr>
        <w:t xml:space="preserve">ction as adopted below. </w:t>
      </w:r>
    </w:p>
    <w:p w14:paraId="0A4107F6" w14:textId="77777777" w:rsidR="0094446B" w:rsidRPr="006816DD" w:rsidRDefault="0094446B" w:rsidP="00F854FF">
      <w:pPr>
        <w:jc w:val="center"/>
        <w:rPr>
          <w:rFonts w:eastAsia="MS Mincho"/>
          <w:b/>
          <w:i/>
          <w:iCs/>
          <w:sz w:val="20"/>
          <w:szCs w:val="20"/>
          <w:lang w:eastAsia="ja-JP"/>
        </w:rPr>
      </w:pPr>
      <w:r w:rsidRPr="006816DD">
        <w:rPr>
          <w:rFonts w:eastAsia="MS Mincho"/>
          <w:i/>
          <w:iCs/>
          <w:sz w:val="20"/>
          <w:szCs w:val="20"/>
          <w:lang w:eastAsia="ja-JP"/>
        </w:rPr>
        <w:t>Annex</w:t>
      </w:r>
    </w:p>
    <w:p w14:paraId="7BDB31DE" w14:textId="77777777" w:rsidR="0094446B" w:rsidRPr="008123B7" w:rsidRDefault="0094446B" w:rsidP="00C955E5">
      <w:pPr>
        <w:pStyle w:val="HEADINGNOTFORTOC"/>
        <w:outlineLvl w:val="9"/>
        <w:rPr>
          <w:rFonts w:eastAsia="MS Mincho"/>
          <w:szCs w:val="22"/>
          <w:lang w:eastAsia="ja-JP"/>
        </w:rPr>
      </w:pPr>
      <w:bookmarkStart w:id="147" w:name="_Toc118355033"/>
      <w:r w:rsidRPr="008123B7">
        <w:rPr>
          <w:rFonts w:eastAsia="MS Mincho"/>
          <w:szCs w:val="22"/>
          <w:lang w:eastAsia="ja-JP"/>
        </w:rPr>
        <w:t>Plan of Action on Subnational Governments, Cities and Other Local Authorities for Biodiversity (2023</w:t>
      </w:r>
      <w:r>
        <w:rPr>
          <w:rFonts w:eastAsia="MS Mincho"/>
          <w:szCs w:val="22"/>
          <w:lang w:eastAsia="ja-JP"/>
        </w:rPr>
        <w:t>–</w:t>
      </w:r>
      <w:r w:rsidRPr="008123B7">
        <w:rPr>
          <w:rFonts w:eastAsia="MS Mincho"/>
          <w:szCs w:val="22"/>
          <w:lang w:eastAsia="ja-JP"/>
        </w:rPr>
        <w:t>2030)</w:t>
      </w:r>
      <w:bookmarkEnd w:id="147"/>
    </w:p>
    <w:p w14:paraId="2315191F" w14:textId="77777777" w:rsidR="0094446B" w:rsidRPr="008123B7" w:rsidRDefault="0094446B" w:rsidP="00F854FF">
      <w:pPr>
        <w:pStyle w:val="Para1"/>
        <w:keepNext/>
        <w:numPr>
          <w:ilvl w:val="0"/>
          <w:numId w:val="0"/>
        </w:numPr>
        <w:suppressLineNumbers/>
        <w:tabs>
          <w:tab w:val="left" w:pos="1134"/>
        </w:tabs>
        <w:suppressAutoHyphens/>
        <w:adjustRightInd w:val="0"/>
        <w:jc w:val="center"/>
        <w:rPr>
          <w:rFonts w:asciiTheme="majorBidi" w:hAnsiTheme="majorBidi" w:cstheme="majorBidi"/>
          <w:b/>
          <w:iCs/>
          <w:lang w:eastAsia="en-CA"/>
        </w:rPr>
      </w:pPr>
      <w:r w:rsidRPr="008123B7">
        <w:rPr>
          <w:rFonts w:asciiTheme="majorBidi" w:hAnsiTheme="majorBidi" w:cstheme="majorBidi"/>
          <w:b/>
          <w:iCs/>
          <w:lang w:eastAsia="en-CA"/>
        </w:rPr>
        <w:t>A.</w:t>
      </w:r>
      <w:r w:rsidRPr="008123B7">
        <w:rPr>
          <w:rFonts w:asciiTheme="majorBidi" w:hAnsiTheme="majorBidi" w:cstheme="majorBidi"/>
          <w:b/>
          <w:iCs/>
          <w:lang w:eastAsia="en-CA"/>
        </w:rPr>
        <w:tab/>
        <w:t>Background</w:t>
      </w:r>
    </w:p>
    <w:p w14:paraId="7B717D52" w14:textId="77777777" w:rsidR="0094446B" w:rsidRPr="008123B7" w:rsidRDefault="0094446B" w:rsidP="00F854FF">
      <w:pPr>
        <w:pStyle w:val="CharChar12"/>
        <w:suppressLineNumbers/>
        <w:suppressAutoHyphens/>
        <w:adjustRightInd w:val="0"/>
        <w:snapToGrid w:val="0"/>
        <w:spacing w:before="120" w:after="120"/>
        <w:rPr>
          <w:rFonts w:eastAsia="MS Mincho"/>
          <w:kern w:val="22"/>
          <w:szCs w:val="22"/>
          <w:lang w:eastAsia="ja-JP"/>
        </w:rPr>
      </w:pPr>
      <w:r w:rsidRPr="008123B7">
        <w:rPr>
          <w:rFonts w:eastAsia="MS Mincho"/>
          <w:kern w:val="22"/>
          <w:szCs w:val="22"/>
          <w:lang w:eastAsia="ja-JP"/>
        </w:rPr>
        <w:t>1.</w:t>
      </w:r>
      <w:r w:rsidRPr="008123B7">
        <w:rPr>
          <w:rFonts w:eastAsia="MS Mincho"/>
          <w:kern w:val="22"/>
          <w:szCs w:val="22"/>
          <w:lang w:eastAsia="ja-JP"/>
        </w:rPr>
        <w:tab/>
      </w:r>
      <w:r w:rsidRPr="008123B7">
        <w:rPr>
          <w:kern w:val="22"/>
          <w:szCs w:val="22"/>
        </w:rPr>
        <w:t>The Plan of Action on Subnational Governments, Cities and Other Local Authorities for Biodiversity under the Convention on Biological Diversity (2023–2030) is intended to support Parties, subnational governments</w:t>
      </w:r>
      <w:r w:rsidRPr="008123B7">
        <w:rPr>
          <w:iCs/>
          <w:kern w:val="22"/>
          <w:szCs w:val="22"/>
        </w:rPr>
        <w:t>, cities and other local authorities</w:t>
      </w:r>
      <w:r w:rsidRPr="008123B7">
        <w:rPr>
          <w:kern w:val="22"/>
          <w:szCs w:val="22"/>
        </w:rPr>
        <w:t xml:space="preserve"> and their partners in implementing the </w:t>
      </w:r>
      <w:r>
        <w:rPr>
          <w:bCs/>
          <w:szCs w:val="22"/>
        </w:rPr>
        <w:t>Kunming</w:t>
      </w:r>
      <w:r>
        <w:rPr>
          <w:bCs/>
          <w:szCs w:val="22"/>
        </w:rPr>
        <w:noBreakHyphen/>
        <w:t>Montreal Global Biodiversity Framework</w:t>
      </w:r>
      <w:r w:rsidRPr="008123B7">
        <w:rPr>
          <w:kern w:val="22"/>
          <w:szCs w:val="22"/>
        </w:rPr>
        <w:t xml:space="preserve">. </w:t>
      </w:r>
      <w:r w:rsidRPr="008123B7">
        <w:rPr>
          <w:szCs w:val="22"/>
        </w:rPr>
        <w:t xml:space="preserve">The </w:t>
      </w:r>
      <w:r w:rsidRPr="002A3F47">
        <w:rPr>
          <w:sz w:val="20"/>
          <w:szCs w:val="20"/>
        </w:rPr>
        <w:t xml:space="preserve">Plan of Action </w:t>
      </w:r>
      <w:r w:rsidRPr="008123B7">
        <w:rPr>
          <w:szCs w:val="22"/>
        </w:rPr>
        <w:t xml:space="preserve">is intended to be implemented in accordance with national legislation. </w:t>
      </w:r>
      <w:r w:rsidRPr="008123B7">
        <w:rPr>
          <w:kern w:val="22"/>
          <w:szCs w:val="22"/>
        </w:rPr>
        <w:t xml:space="preserve">The elements contained in the updated </w:t>
      </w:r>
      <w:r w:rsidRPr="006953DE">
        <w:rPr>
          <w:kern w:val="22"/>
          <w:sz w:val="20"/>
          <w:szCs w:val="20"/>
        </w:rPr>
        <w:t xml:space="preserve">Plan of Action </w:t>
      </w:r>
      <w:r w:rsidRPr="008123B7">
        <w:rPr>
          <w:kern w:val="22"/>
          <w:szCs w:val="22"/>
        </w:rPr>
        <w:t>have been identified through a series of consultations with Parties, subnational governments</w:t>
      </w:r>
      <w:r w:rsidRPr="008123B7">
        <w:rPr>
          <w:iCs/>
          <w:kern w:val="22"/>
          <w:szCs w:val="22"/>
        </w:rPr>
        <w:t>, cities and other local authorities</w:t>
      </w:r>
      <w:r>
        <w:rPr>
          <w:iCs/>
          <w:kern w:val="22"/>
          <w:szCs w:val="22"/>
        </w:rPr>
        <w:t>,</w:t>
      </w:r>
      <w:r w:rsidRPr="008123B7">
        <w:rPr>
          <w:kern w:val="22"/>
          <w:szCs w:val="22"/>
        </w:rPr>
        <w:t xml:space="preserve"> and their networks and stakeholders, including the “Edinburgh Process”, and culminating with the 7th Global Biodiversity Summit of Cities and Subnational Governments.</w:t>
      </w:r>
      <w:r w:rsidRPr="00610646">
        <w:rPr>
          <w:rStyle w:val="FootnoteReference"/>
        </w:rPr>
        <w:footnoteReference w:id="125"/>
      </w:r>
    </w:p>
    <w:p w14:paraId="4BE1A26F" w14:textId="77777777" w:rsidR="0094446B" w:rsidRPr="008123B7" w:rsidRDefault="0094446B" w:rsidP="00F854FF">
      <w:pPr>
        <w:pStyle w:val="Para1"/>
        <w:keepNext/>
        <w:numPr>
          <w:ilvl w:val="0"/>
          <w:numId w:val="0"/>
        </w:numPr>
        <w:suppressLineNumbers/>
        <w:tabs>
          <w:tab w:val="left" w:pos="1134"/>
        </w:tabs>
        <w:suppressAutoHyphens/>
        <w:adjustRightInd w:val="0"/>
        <w:jc w:val="center"/>
        <w:rPr>
          <w:b/>
          <w:iCs/>
          <w:lang w:eastAsia="en-CA"/>
        </w:rPr>
      </w:pPr>
      <w:r w:rsidRPr="008123B7">
        <w:rPr>
          <w:b/>
          <w:iCs/>
          <w:lang w:eastAsia="en-CA"/>
        </w:rPr>
        <w:t>B.</w:t>
      </w:r>
      <w:r w:rsidRPr="008123B7">
        <w:rPr>
          <w:b/>
          <w:iCs/>
          <w:lang w:eastAsia="en-CA"/>
        </w:rPr>
        <w:tab/>
        <w:t>Objectives</w:t>
      </w:r>
    </w:p>
    <w:p w14:paraId="2A2148AE" w14:textId="77777777" w:rsidR="0094446B" w:rsidRPr="008123B7" w:rsidRDefault="0094446B" w:rsidP="00F854FF">
      <w:pPr>
        <w:pStyle w:val="CharChar12"/>
        <w:suppressLineNumbers/>
        <w:suppressAutoHyphens/>
        <w:adjustRightInd w:val="0"/>
        <w:snapToGrid w:val="0"/>
        <w:spacing w:before="120" w:after="120"/>
        <w:rPr>
          <w:i/>
          <w:snapToGrid w:val="0"/>
          <w:kern w:val="22"/>
          <w:szCs w:val="22"/>
          <w:lang w:eastAsia="en-CA"/>
        </w:rPr>
      </w:pPr>
      <w:r w:rsidRPr="008123B7">
        <w:rPr>
          <w:snapToGrid w:val="0"/>
          <w:kern w:val="22"/>
          <w:szCs w:val="22"/>
          <w:lang w:eastAsia="en-CA"/>
        </w:rPr>
        <w:t>2.</w:t>
      </w:r>
      <w:r w:rsidRPr="008123B7">
        <w:rPr>
          <w:snapToGrid w:val="0"/>
          <w:kern w:val="22"/>
          <w:szCs w:val="22"/>
          <w:lang w:eastAsia="en-CA"/>
        </w:rPr>
        <w:tab/>
      </w:r>
      <w:r w:rsidRPr="008123B7">
        <w:rPr>
          <w:snapToGrid w:val="0"/>
          <w:kern w:val="22"/>
          <w:szCs w:val="22"/>
        </w:rPr>
        <w:t xml:space="preserve">The </w:t>
      </w:r>
      <w:r w:rsidRPr="006953DE">
        <w:rPr>
          <w:kern w:val="22"/>
          <w:sz w:val="20"/>
          <w:szCs w:val="20"/>
        </w:rPr>
        <w:t>Plan</w:t>
      </w:r>
      <w:r w:rsidRPr="006953DE">
        <w:rPr>
          <w:snapToGrid w:val="0"/>
          <w:kern w:val="22"/>
          <w:sz w:val="20"/>
          <w:szCs w:val="20"/>
        </w:rPr>
        <w:t xml:space="preserve"> of Action </w:t>
      </w:r>
      <w:r w:rsidRPr="008123B7">
        <w:rPr>
          <w:snapToGrid w:val="0"/>
          <w:kern w:val="22"/>
          <w:szCs w:val="22"/>
        </w:rPr>
        <w:t>has the following objectives:</w:t>
      </w:r>
    </w:p>
    <w:p w14:paraId="59EDF235" w14:textId="77777777" w:rsidR="0094446B" w:rsidRPr="008123B7" w:rsidRDefault="0094446B" w:rsidP="00F854FF">
      <w:pPr>
        <w:pStyle w:val="BodyText"/>
        <w:suppressLineNumbers/>
        <w:suppressAutoHyphens/>
        <w:adjustRightInd w:val="0"/>
        <w:snapToGrid w:val="0"/>
        <w:ind w:firstLine="709"/>
        <w:rPr>
          <w:kern w:val="22"/>
          <w:szCs w:val="22"/>
        </w:rPr>
      </w:pPr>
      <w:r w:rsidRPr="008123B7">
        <w:rPr>
          <w:kern w:val="22"/>
          <w:szCs w:val="22"/>
        </w:rPr>
        <w:t>(a)</w:t>
      </w:r>
      <w:r w:rsidRPr="008123B7">
        <w:rPr>
          <w:kern w:val="22"/>
          <w:szCs w:val="22"/>
        </w:rPr>
        <w:tab/>
        <w:t>To increase the engagement of subnational governments</w:t>
      </w:r>
      <w:r w:rsidRPr="008123B7">
        <w:rPr>
          <w:iCs w:val="0"/>
          <w:kern w:val="22"/>
          <w:szCs w:val="22"/>
        </w:rPr>
        <w:t>, cities and other local authorities</w:t>
      </w:r>
      <w:r w:rsidRPr="008123B7">
        <w:rPr>
          <w:kern w:val="22"/>
          <w:szCs w:val="22"/>
        </w:rPr>
        <w:t xml:space="preserve">, to support the successful implementation of, and reporting on, national biodiversity strategies and action plans, the </w:t>
      </w:r>
      <w:r>
        <w:rPr>
          <w:bCs/>
          <w:szCs w:val="22"/>
        </w:rPr>
        <w:t xml:space="preserve">Kunming-Montreal Global Biodiversity Framework </w:t>
      </w:r>
      <w:r w:rsidRPr="008123B7">
        <w:rPr>
          <w:kern w:val="22"/>
          <w:szCs w:val="22"/>
        </w:rPr>
        <w:t>and the programmes of work under the Convention on Biological Diversity;</w:t>
      </w:r>
    </w:p>
    <w:p w14:paraId="1871C189" w14:textId="77777777" w:rsidR="0094446B" w:rsidRPr="008123B7" w:rsidRDefault="0094446B" w:rsidP="00F854FF">
      <w:pPr>
        <w:pStyle w:val="BodyText"/>
        <w:suppressLineNumbers/>
        <w:suppressAutoHyphens/>
        <w:adjustRightInd w:val="0"/>
        <w:snapToGrid w:val="0"/>
        <w:ind w:firstLine="709"/>
        <w:rPr>
          <w:kern w:val="22"/>
          <w:szCs w:val="22"/>
        </w:rPr>
      </w:pPr>
      <w:r w:rsidRPr="008123B7">
        <w:rPr>
          <w:kern w:val="22"/>
          <w:szCs w:val="22"/>
        </w:rPr>
        <w:t>(b)</w:t>
      </w:r>
      <w:r w:rsidRPr="008123B7">
        <w:rPr>
          <w:kern w:val="22"/>
          <w:szCs w:val="22"/>
        </w:rPr>
        <w:tab/>
        <w:t>To improve regional and global coordination and exchange of lessons learned between Parties to the Convention on Biological Diversity, regional and global organizations, United Nations and development agencies, academia, and donors on ways and means to encourage and support subnational governments</w:t>
      </w:r>
      <w:r w:rsidRPr="008123B7">
        <w:rPr>
          <w:iCs w:val="0"/>
          <w:kern w:val="22"/>
          <w:szCs w:val="22"/>
        </w:rPr>
        <w:t>, cities and other local authorities</w:t>
      </w:r>
      <w:r w:rsidRPr="008123B7">
        <w:rPr>
          <w:kern w:val="22"/>
          <w:szCs w:val="22"/>
        </w:rPr>
        <w:t xml:space="preserve"> to manage biodiversity sustainably, provide ecosystem services to citizens and integrate biodiversity concerns into urban and territorial planning and development;</w:t>
      </w:r>
    </w:p>
    <w:p w14:paraId="5F1A55EC" w14:textId="77777777" w:rsidR="0094446B" w:rsidRPr="008123B7" w:rsidRDefault="0094446B" w:rsidP="00F854FF">
      <w:pPr>
        <w:pStyle w:val="BodyText"/>
        <w:suppressLineNumbers/>
        <w:suppressAutoHyphens/>
        <w:adjustRightInd w:val="0"/>
        <w:snapToGrid w:val="0"/>
        <w:ind w:firstLine="709"/>
        <w:rPr>
          <w:kern w:val="22"/>
          <w:szCs w:val="22"/>
        </w:rPr>
      </w:pPr>
      <w:r w:rsidRPr="008123B7">
        <w:rPr>
          <w:kern w:val="22"/>
          <w:szCs w:val="22"/>
        </w:rPr>
        <w:lastRenderedPageBreak/>
        <w:t>(c)</w:t>
      </w:r>
      <w:r w:rsidRPr="008123B7">
        <w:rPr>
          <w:kern w:val="22"/>
          <w:szCs w:val="22"/>
        </w:rPr>
        <w:tab/>
        <w:t>To identify, enhance and disseminate policy tools, guidelines, financial mechanisms or instruments, and programmes that facilitate subnational and local action on biodiversity and build the capacity of subnational governments</w:t>
      </w:r>
      <w:r w:rsidRPr="008123B7">
        <w:rPr>
          <w:iCs w:val="0"/>
          <w:kern w:val="22"/>
          <w:szCs w:val="22"/>
        </w:rPr>
        <w:t>, cities and other local authorities</w:t>
      </w:r>
      <w:r w:rsidRPr="008123B7">
        <w:rPr>
          <w:kern w:val="22"/>
          <w:szCs w:val="22"/>
        </w:rPr>
        <w:t xml:space="preserve"> to support their national Governments in implementing the Convention on Biological Diversity, with respect to the competencies of each level of government;</w:t>
      </w:r>
    </w:p>
    <w:p w14:paraId="105F1E92" w14:textId="77777777" w:rsidR="0094446B" w:rsidRPr="008123B7" w:rsidRDefault="0094446B" w:rsidP="00F854FF">
      <w:pPr>
        <w:pStyle w:val="BodyText"/>
        <w:suppressLineNumbers/>
        <w:suppressAutoHyphens/>
        <w:adjustRightInd w:val="0"/>
        <w:snapToGrid w:val="0"/>
        <w:ind w:firstLine="709"/>
        <w:rPr>
          <w:kern w:val="22"/>
          <w:szCs w:val="22"/>
        </w:rPr>
      </w:pPr>
      <w:r w:rsidRPr="008123B7">
        <w:rPr>
          <w:kern w:val="22"/>
          <w:szCs w:val="22"/>
        </w:rPr>
        <w:t>(d)</w:t>
      </w:r>
      <w:r w:rsidRPr="008123B7">
        <w:rPr>
          <w:kern w:val="22"/>
          <w:szCs w:val="22"/>
        </w:rPr>
        <w:tab/>
        <w:t>To facilitate the development of awareness-raising programmes on biodiversity in line with communication, education and public awareness strategies.</w:t>
      </w:r>
    </w:p>
    <w:p w14:paraId="2C2486BB" w14:textId="77777777" w:rsidR="0094446B" w:rsidRPr="008123B7" w:rsidRDefault="0094446B" w:rsidP="00951193">
      <w:pPr>
        <w:pStyle w:val="Para1"/>
        <w:keepNext/>
        <w:numPr>
          <w:ilvl w:val="0"/>
          <w:numId w:val="0"/>
        </w:numPr>
        <w:suppressLineNumbers/>
        <w:tabs>
          <w:tab w:val="left" w:pos="851"/>
        </w:tabs>
        <w:suppressAutoHyphens/>
        <w:adjustRightInd w:val="0"/>
        <w:jc w:val="center"/>
        <w:rPr>
          <w:b/>
        </w:rPr>
      </w:pPr>
      <w:r w:rsidRPr="008123B7">
        <w:rPr>
          <w:b/>
        </w:rPr>
        <w:t>C.</w:t>
      </w:r>
      <w:r w:rsidRPr="008123B7">
        <w:rPr>
          <w:b/>
        </w:rPr>
        <w:tab/>
        <w:t>Activities to engage subnational government, cities and other local authorities</w:t>
      </w:r>
    </w:p>
    <w:p w14:paraId="1051768C" w14:textId="77777777" w:rsidR="0094446B" w:rsidRPr="008123B7" w:rsidRDefault="0094446B" w:rsidP="00F854FF">
      <w:pPr>
        <w:pStyle w:val="CharChar12"/>
        <w:suppressLineNumbers/>
        <w:suppressAutoHyphens/>
        <w:adjustRightInd w:val="0"/>
        <w:snapToGrid w:val="0"/>
        <w:spacing w:before="120" w:after="120"/>
        <w:rPr>
          <w:rFonts w:eastAsiaTheme="minorEastAsia"/>
          <w:kern w:val="22"/>
          <w:szCs w:val="22"/>
        </w:rPr>
      </w:pPr>
      <w:r w:rsidRPr="008123B7">
        <w:rPr>
          <w:rFonts w:eastAsiaTheme="minorEastAsia"/>
          <w:kern w:val="22"/>
          <w:szCs w:val="22"/>
        </w:rPr>
        <w:t>3.</w:t>
      </w:r>
      <w:r w:rsidRPr="008123B7">
        <w:rPr>
          <w:rFonts w:eastAsiaTheme="minorEastAsia"/>
          <w:kern w:val="22"/>
          <w:szCs w:val="22"/>
        </w:rPr>
        <w:tab/>
      </w:r>
      <w:r w:rsidRPr="008123B7">
        <w:rPr>
          <w:iCs/>
          <w:kern w:val="22"/>
          <w:szCs w:val="22"/>
        </w:rPr>
        <w:t xml:space="preserve">The catalogue of activities, grouped into seven interrelated and complementary action areas presented below provides a framework based on which Parties, their subnational governments, cities and other local authorities and all stakeholders can develop their own actions to implement the </w:t>
      </w:r>
      <w:r w:rsidRPr="002A3F47">
        <w:rPr>
          <w:iCs/>
          <w:kern w:val="22"/>
          <w:sz w:val="20"/>
          <w:szCs w:val="20"/>
        </w:rPr>
        <w:t>Plan of Action</w:t>
      </w:r>
      <w:r w:rsidRPr="008123B7">
        <w:rPr>
          <w:iCs/>
          <w:kern w:val="22"/>
          <w:szCs w:val="22"/>
        </w:rPr>
        <w:t xml:space="preserve">. As such, any activity is offered as a complement to their post-2020 biodiversity strategies, action plans and targets. </w:t>
      </w:r>
      <w:r w:rsidRPr="008123B7">
        <w:rPr>
          <w:kern w:val="22"/>
          <w:szCs w:val="22"/>
        </w:rPr>
        <w:t>It is understood that activities will be implemented with respect to the competencies of each level of government and according to each Party’s national and subnational context and circumstances.</w:t>
      </w:r>
    </w:p>
    <w:p w14:paraId="203D9EB2" w14:textId="77777777" w:rsidR="0094446B" w:rsidRPr="008123B7" w:rsidRDefault="0094446B" w:rsidP="008123B7">
      <w:pPr>
        <w:pStyle w:val="CharChar12"/>
        <w:keepNext/>
        <w:suppressLineNumbers/>
        <w:suppressAutoHyphens/>
        <w:adjustRightInd w:val="0"/>
        <w:snapToGrid w:val="0"/>
        <w:spacing w:before="120" w:after="120"/>
        <w:jc w:val="left"/>
        <w:rPr>
          <w:iCs/>
          <w:kern w:val="22"/>
          <w:szCs w:val="22"/>
        </w:rPr>
      </w:pPr>
      <w:r w:rsidRPr="008123B7">
        <w:rPr>
          <w:b/>
          <w:iCs/>
          <w:kern w:val="22"/>
          <w:szCs w:val="22"/>
        </w:rPr>
        <w:t>Action area 1</w:t>
      </w:r>
      <w:r w:rsidRPr="008123B7">
        <w:rPr>
          <w:b/>
          <w:iCs/>
          <w:kern w:val="22"/>
          <w:szCs w:val="22"/>
        </w:rPr>
        <w:br/>
        <w:t>Development and implementation of biodiversity strategies and action plans reflecting the involvement of subnational governments, cities and other local authorities</w:t>
      </w:r>
    </w:p>
    <w:p w14:paraId="76FDD13A"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(a)</w:t>
      </w:r>
      <w:r w:rsidRPr="008123B7">
        <w:rPr>
          <w:iCs/>
          <w:kern w:val="22"/>
          <w:szCs w:val="22"/>
        </w:rPr>
        <w:tab/>
        <w:t xml:space="preserve">Involve subnational governments, cities and other local authorities in the process to revise and update national biodiversity strategies and action plans, for alignment with the </w:t>
      </w:r>
      <w:r>
        <w:rPr>
          <w:bCs/>
          <w:szCs w:val="22"/>
        </w:rPr>
        <w:t>Kunming-Montreal Global Biodiversity Framework</w:t>
      </w:r>
      <w:r w:rsidRPr="008123B7">
        <w:rPr>
          <w:iCs/>
          <w:kern w:val="22"/>
          <w:szCs w:val="22"/>
        </w:rPr>
        <w:t xml:space="preserve"> and its subsequent implementation;</w:t>
      </w:r>
    </w:p>
    <w:p w14:paraId="0250919D"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(b)</w:t>
      </w:r>
      <w:r w:rsidRPr="008123B7">
        <w:rPr>
          <w:iCs/>
          <w:kern w:val="22"/>
          <w:szCs w:val="22"/>
        </w:rPr>
        <w:tab/>
        <w:t xml:space="preserve">Encourage subnational governments, cities and other local authorities to develop biodiversity strategies and action plans in harmony with national biodiversity strategies and action plans. </w:t>
      </w:r>
    </w:p>
    <w:p w14:paraId="67EEEB1B" w14:textId="77777777" w:rsidR="0094446B" w:rsidRPr="008123B7" w:rsidRDefault="0094446B" w:rsidP="00F854FF">
      <w:pPr>
        <w:pStyle w:val="CharChar12"/>
        <w:keepNext/>
        <w:suppressLineNumbers/>
        <w:suppressAutoHyphens/>
        <w:adjustRightInd w:val="0"/>
        <w:snapToGrid w:val="0"/>
        <w:spacing w:before="120" w:after="120"/>
        <w:jc w:val="left"/>
        <w:rPr>
          <w:iCs/>
          <w:kern w:val="22"/>
          <w:szCs w:val="22"/>
        </w:rPr>
      </w:pPr>
      <w:r w:rsidRPr="008123B7">
        <w:rPr>
          <w:b/>
          <w:kern w:val="22"/>
          <w:szCs w:val="22"/>
        </w:rPr>
        <w:t>Action area 2</w:t>
      </w:r>
      <w:r w:rsidRPr="008123B7">
        <w:rPr>
          <w:b/>
          <w:kern w:val="22"/>
          <w:szCs w:val="22"/>
        </w:rPr>
        <w:br/>
        <w:t>Collaboration between levels of government, and mainstreaming</w:t>
      </w:r>
    </w:p>
    <w:p w14:paraId="53BE580E"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(a)</w:t>
      </w:r>
      <w:r w:rsidRPr="008123B7">
        <w:rPr>
          <w:iCs/>
          <w:kern w:val="22"/>
          <w:szCs w:val="22"/>
        </w:rPr>
        <w:tab/>
        <w:t>Collaborate with subnational governments, cities and other local authorities to improve harmonization of strategic planning, coordination and implementation between levels of government;</w:t>
      </w:r>
    </w:p>
    <w:p w14:paraId="4844FB7C"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(b)</w:t>
      </w:r>
      <w:r w:rsidRPr="008123B7">
        <w:rPr>
          <w:iCs/>
          <w:kern w:val="22"/>
          <w:szCs w:val="22"/>
        </w:rPr>
        <w:tab/>
        <w:t>Collaborate with subnational governments, cities and other local authorities to support the implementation of measures to mainstream biodiversity in line with relevant decisions of the Conference of the Parties;</w:t>
      </w:r>
    </w:p>
    <w:p w14:paraId="19709B31"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(c)</w:t>
      </w:r>
      <w:r w:rsidRPr="008123B7">
        <w:rPr>
          <w:iCs/>
          <w:kern w:val="22"/>
          <w:szCs w:val="22"/>
        </w:rPr>
        <w:tab/>
        <w:t>Engage the Advisory Committee on Local Governments and Biodiversity and the Advisory Committee on Subnational Governments and Biodiversity</w:t>
      </w:r>
      <w:r w:rsidRPr="00610646">
        <w:rPr>
          <w:rStyle w:val="FootnoteReference"/>
        </w:rPr>
        <w:footnoteReference w:id="126"/>
      </w:r>
      <w:r w:rsidRPr="008123B7">
        <w:rPr>
          <w:iCs/>
          <w:kern w:val="22"/>
          <w:szCs w:val="22"/>
        </w:rPr>
        <w:t xml:space="preserve"> to provide input and support to the implementation of the </w:t>
      </w:r>
      <w:r w:rsidRPr="002A3F47">
        <w:rPr>
          <w:iCs/>
          <w:kern w:val="22"/>
          <w:sz w:val="20"/>
          <w:szCs w:val="20"/>
        </w:rPr>
        <w:t xml:space="preserve">Plan of Action </w:t>
      </w:r>
      <w:r w:rsidRPr="008123B7">
        <w:rPr>
          <w:iCs/>
          <w:kern w:val="22"/>
          <w:szCs w:val="22"/>
        </w:rPr>
        <w:t>from the point of view of local and subnational governments, cities and other local authorities.</w:t>
      </w:r>
    </w:p>
    <w:p w14:paraId="0FFE63CC" w14:textId="77777777" w:rsidR="0094446B" w:rsidRPr="008123B7" w:rsidRDefault="0094446B" w:rsidP="00F854FF">
      <w:pPr>
        <w:pStyle w:val="CharChar12"/>
        <w:suppressLineNumbers/>
        <w:suppressAutoHyphens/>
        <w:adjustRightInd w:val="0"/>
        <w:snapToGrid w:val="0"/>
        <w:spacing w:before="120" w:after="120"/>
        <w:jc w:val="left"/>
        <w:rPr>
          <w:iCs/>
          <w:kern w:val="22"/>
          <w:szCs w:val="22"/>
        </w:rPr>
      </w:pPr>
      <w:r w:rsidRPr="008123B7">
        <w:rPr>
          <w:b/>
          <w:iCs/>
          <w:kern w:val="22"/>
          <w:szCs w:val="22"/>
        </w:rPr>
        <w:t>Action area 3</w:t>
      </w:r>
      <w:r w:rsidRPr="008123B7">
        <w:rPr>
          <w:b/>
          <w:iCs/>
          <w:kern w:val="22"/>
          <w:szCs w:val="22"/>
        </w:rPr>
        <w:br/>
        <w:t>Resource mobilization</w:t>
      </w:r>
    </w:p>
    <w:p w14:paraId="2D47370B" w14:textId="77777777" w:rsidR="0094446B" w:rsidRPr="008123B7" w:rsidRDefault="0094446B" w:rsidP="00704E7B">
      <w:pPr>
        <w:pStyle w:val="CharChar12"/>
        <w:suppressLineNumbers/>
        <w:tabs>
          <w:tab w:val="left" w:pos="567"/>
        </w:tabs>
        <w:suppressAutoHyphens/>
        <w:adjustRightInd w:val="0"/>
        <w:snapToGrid w:val="0"/>
        <w:spacing w:before="120" w:after="120"/>
        <w:rPr>
          <w:iCs/>
          <w:kern w:val="22"/>
          <w:szCs w:val="22"/>
        </w:rPr>
      </w:pPr>
      <w:r w:rsidRPr="008123B7">
        <w:rPr>
          <w:iCs/>
          <w:kern w:val="22"/>
          <w:szCs w:val="22"/>
        </w:rPr>
        <w:t>(a)</w:t>
      </w:r>
      <w:r w:rsidRPr="008123B7">
        <w:rPr>
          <w:iCs/>
          <w:kern w:val="22"/>
          <w:szCs w:val="22"/>
        </w:rPr>
        <w:tab/>
        <w:t xml:space="preserve">Collaborate with subnational governments, cities and other local authorities to support the application of </w:t>
      </w:r>
      <w:r>
        <w:rPr>
          <w:iCs/>
          <w:kern w:val="22"/>
          <w:szCs w:val="22"/>
        </w:rPr>
        <w:t>P</w:t>
      </w:r>
      <w:r w:rsidRPr="008123B7">
        <w:rPr>
          <w:iCs/>
          <w:kern w:val="22"/>
          <w:szCs w:val="22"/>
        </w:rPr>
        <w:t>rinciple 2 of the ecosystem approach in resource mobilization, where appropriate;</w:t>
      </w:r>
      <w:r w:rsidRPr="00610646">
        <w:rPr>
          <w:rStyle w:val="FootnoteReference"/>
        </w:rPr>
        <w:footnoteReference w:id="127"/>
      </w:r>
    </w:p>
    <w:p w14:paraId="201761BD" w14:textId="77777777" w:rsidR="0094446B" w:rsidRPr="008123B7" w:rsidRDefault="0094446B" w:rsidP="00704E7B">
      <w:pPr>
        <w:pStyle w:val="CharChar12"/>
        <w:suppressLineNumbers/>
        <w:tabs>
          <w:tab w:val="left" w:pos="567"/>
        </w:tabs>
        <w:suppressAutoHyphens/>
        <w:adjustRightInd w:val="0"/>
        <w:snapToGrid w:val="0"/>
        <w:spacing w:before="120" w:after="120"/>
        <w:rPr>
          <w:iCs/>
          <w:kern w:val="22"/>
          <w:szCs w:val="22"/>
        </w:rPr>
      </w:pPr>
      <w:r w:rsidRPr="008123B7">
        <w:rPr>
          <w:iCs/>
          <w:kern w:val="22"/>
          <w:szCs w:val="22"/>
        </w:rPr>
        <w:t>(b)</w:t>
      </w:r>
      <w:r w:rsidRPr="008123B7">
        <w:rPr>
          <w:iCs/>
          <w:kern w:val="22"/>
          <w:szCs w:val="22"/>
        </w:rPr>
        <w:tab/>
        <w:t>Collaborate with subnational governments, cities and other local authorities, to create enabling conditions for significantly increased private sector investment, and reforms that can introduce new revenue streams for biodiversity conservation and ecosystem restoration at the subnational and local levels.</w:t>
      </w:r>
    </w:p>
    <w:p w14:paraId="3C0D40BD" w14:textId="77777777" w:rsidR="0094446B" w:rsidRPr="008123B7" w:rsidRDefault="0094446B" w:rsidP="00F854FF">
      <w:pPr>
        <w:pStyle w:val="CharChar12"/>
        <w:keepNext/>
        <w:suppressLineNumbers/>
        <w:suppressAutoHyphens/>
        <w:adjustRightInd w:val="0"/>
        <w:snapToGrid w:val="0"/>
        <w:spacing w:before="120" w:after="120"/>
        <w:jc w:val="left"/>
        <w:rPr>
          <w:iCs/>
          <w:kern w:val="22"/>
          <w:szCs w:val="22"/>
        </w:rPr>
      </w:pPr>
      <w:r w:rsidRPr="008123B7">
        <w:rPr>
          <w:b/>
          <w:iCs/>
          <w:kern w:val="22"/>
          <w:szCs w:val="22"/>
        </w:rPr>
        <w:lastRenderedPageBreak/>
        <w:t>Action area 4</w:t>
      </w:r>
      <w:r w:rsidRPr="008123B7">
        <w:rPr>
          <w:b/>
          <w:iCs/>
          <w:kern w:val="22"/>
          <w:szCs w:val="22"/>
        </w:rPr>
        <w:br/>
        <w:t>Capacity development</w:t>
      </w:r>
    </w:p>
    <w:p w14:paraId="63796B86"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(a)</w:t>
      </w:r>
      <w:r w:rsidRPr="008123B7">
        <w:rPr>
          <w:iCs/>
          <w:kern w:val="22"/>
          <w:szCs w:val="22"/>
        </w:rPr>
        <w:tab/>
        <w:t xml:space="preserve">Support </w:t>
      </w:r>
      <w:r w:rsidRPr="008123B7">
        <w:rPr>
          <w:kern w:val="22"/>
          <w:szCs w:val="22"/>
        </w:rPr>
        <w:t>subnational governments</w:t>
      </w:r>
      <w:r w:rsidRPr="008123B7">
        <w:rPr>
          <w:iCs/>
          <w:kern w:val="22"/>
          <w:szCs w:val="22"/>
        </w:rPr>
        <w:t>, cities and other local authorities</w:t>
      </w:r>
      <w:r w:rsidRPr="008123B7">
        <w:rPr>
          <w:kern w:val="22"/>
          <w:szCs w:val="22"/>
        </w:rPr>
        <w:t xml:space="preserve"> in </w:t>
      </w:r>
      <w:r w:rsidRPr="008123B7">
        <w:rPr>
          <w:iCs/>
          <w:kern w:val="22"/>
          <w:szCs w:val="22"/>
        </w:rPr>
        <w:t xml:space="preserve">implementing capacity development and technology transfer initiatives that contribute to the implementation of biodiversity strategies and action plans and the </w:t>
      </w:r>
      <w:r>
        <w:rPr>
          <w:iCs/>
          <w:kern w:val="22"/>
          <w:szCs w:val="22"/>
        </w:rPr>
        <w:t>Kunming-Montreal</w:t>
      </w:r>
      <w:r w:rsidRPr="008123B7">
        <w:rPr>
          <w:iCs/>
          <w:kern w:val="22"/>
          <w:szCs w:val="22"/>
        </w:rPr>
        <w:t xml:space="preserve"> </w:t>
      </w:r>
      <w:r>
        <w:rPr>
          <w:iCs/>
          <w:kern w:val="22"/>
          <w:szCs w:val="22"/>
        </w:rPr>
        <w:t>G</w:t>
      </w:r>
      <w:r w:rsidRPr="008123B7">
        <w:rPr>
          <w:iCs/>
          <w:kern w:val="22"/>
          <w:szCs w:val="22"/>
        </w:rPr>
        <w:t xml:space="preserve">lobal </w:t>
      </w:r>
      <w:r>
        <w:rPr>
          <w:iCs/>
          <w:kern w:val="22"/>
          <w:szCs w:val="22"/>
        </w:rPr>
        <w:t>B</w:t>
      </w:r>
      <w:r w:rsidRPr="008123B7">
        <w:rPr>
          <w:iCs/>
          <w:kern w:val="22"/>
          <w:szCs w:val="22"/>
        </w:rPr>
        <w:t xml:space="preserve">iodiversity </w:t>
      </w:r>
      <w:r>
        <w:rPr>
          <w:iCs/>
          <w:kern w:val="22"/>
          <w:szCs w:val="22"/>
        </w:rPr>
        <w:t>F</w:t>
      </w:r>
      <w:r w:rsidRPr="008123B7">
        <w:rPr>
          <w:iCs/>
          <w:kern w:val="22"/>
          <w:szCs w:val="22"/>
        </w:rPr>
        <w:t>ramework.</w:t>
      </w:r>
    </w:p>
    <w:p w14:paraId="441EDDDA" w14:textId="77777777" w:rsidR="0094446B" w:rsidRPr="008123B7" w:rsidRDefault="0094446B" w:rsidP="00F854FF">
      <w:pPr>
        <w:pStyle w:val="CharChar12"/>
        <w:suppressLineNumbers/>
        <w:suppressAutoHyphens/>
        <w:adjustRightInd w:val="0"/>
        <w:snapToGrid w:val="0"/>
        <w:spacing w:before="120" w:after="120"/>
        <w:jc w:val="left"/>
        <w:rPr>
          <w:b/>
          <w:iCs/>
          <w:kern w:val="22"/>
          <w:szCs w:val="22"/>
        </w:rPr>
      </w:pPr>
      <w:r w:rsidRPr="008123B7">
        <w:rPr>
          <w:b/>
          <w:iCs/>
          <w:kern w:val="22"/>
          <w:szCs w:val="22"/>
        </w:rPr>
        <w:t>Action area 5</w:t>
      </w:r>
      <w:r w:rsidRPr="008123B7">
        <w:rPr>
          <w:b/>
          <w:iCs/>
          <w:kern w:val="22"/>
          <w:szCs w:val="22"/>
        </w:rPr>
        <w:br/>
        <w:t>Communication, education and public awareness</w:t>
      </w:r>
    </w:p>
    <w:p w14:paraId="6F31DCCB"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(a)</w:t>
      </w:r>
      <w:r w:rsidRPr="008123B7">
        <w:rPr>
          <w:iCs/>
          <w:kern w:val="22"/>
          <w:szCs w:val="22"/>
        </w:rPr>
        <w:tab/>
        <w:t>Support subnational governments, cities and other local authorities in developing inclusive and action-oriented communication, education and public awareness, public access to information and participation initiatives at the subnational and local levels, reconnecting nature and people in and around cities and regions.</w:t>
      </w:r>
    </w:p>
    <w:p w14:paraId="66F04776" w14:textId="77777777" w:rsidR="0094446B" w:rsidRPr="008123B7" w:rsidRDefault="0094446B" w:rsidP="008123B7">
      <w:pPr>
        <w:pStyle w:val="CharChar12"/>
        <w:keepNext/>
        <w:suppressLineNumbers/>
        <w:suppressAutoHyphens/>
        <w:adjustRightInd w:val="0"/>
        <w:snapToGrid w:val="0"/>
        <w:spacing w:before="120" w:after="120"/>
        <w:jc w:val="left"/>
        <w:rPr>
          <w:b/>
          <w:iCs/>
          <w:kern w:val="22"/>
          <w:szCs w:val="22"/>
        </w:rPr>
      </w:pPr>
      <w:r w:rsidRPr="008123B7">
        <w:rPr>
          <w:b/>
          <w:iCs/>
          <w:kern w:val="22"/>
          <w:szCs w:val="22"/>
        </w:rPr>
        <w:t>Action area 6</w:t>
      </w:r>
      <w:r w:rsidRPr="008123B7">
        <w:rPr>
          <w:b/>
          <w:iCs/>
          <w:kern w:val="22"/>
          <w:szCs w:val="22"/>
        </w:rPr>
        <w:br/>
        <w:t>Assessment and improved information for decision-making</w:t>
      </w:r>
    </w:p>
    <w:p w14:paraId="2AF2737A"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(a)</w:t>
      </w:r>
      <w:r w:rsidRPr="008123B7">
        <w:rPr>
          <w:iCs/>
          <w:kern w:val="22"/>
          <w:szCs w:val="22"/>
        </w:rPr>
        <w:tab/>
        <w:t>Invite the use of the Singapore Index on Cities’ Biodiversity as a self-assessment tool for city and local governments to benchmark and monitor the progress of their biodiversity conservation efforts against their own individual baselines;</w:t>
      </w:r>
    </w:p>
    <w:p w14:paraId="3244E198"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(b)</w:t>
      </w:r>
      <w:r w:rsidRPr="008123B7">
        <w:rPr>
          <w:iCs/>
          <w:kern w:val="22"/>
          <w:szCs w:val="22"/>
        </w:rPr>
        <w:tab/>
        <w:t>Support subnational governments, cities and other local authorities in co</w:t>
      </w:r>
      <w:r w:rsidRPr="008123B7">
        <w:rPr>
          <w:iCs/>
          <w:kern w:val="22"/>
          <w:szCs w:val="22"/>
        </w:rPr>
        <w:noBreakHyphen/>
        <w:t>producing data</w:t>
      </w:r>
      <w:r>
        <w:rPr>
          <w:iCs/>
          <w:kern w:val="22"/>
          <w:szCs w:val="22"/>
        </w:rPr>
        <w:t>,</w:t>
      </w:r>
      <w:r w:rsidRPr="008123B7">
        <w:rPr>
          <w:iCs/>
          <w:kern w:val="22"/>
          <w:szCs w:val="22"/>
        </w:rPr>
        <w:t xml:space="preserve"> and </w:t>
      </w:r>
      <w:r>
        <w:rPr>
          <w:iCs/>
          <w:kern w:val="22"/>
          <w:szCs w:val="22"/>
        </w:rPr>
        <w:t xml:space="preserve">in </w:t>
      </w:r>
      <w:r w:rsidRPr="008123B7">
        <w:rPr>
          <w:iCs/>
          <w:kern w:val="22"/>
          <w:szCs w:val="22"/>
        </w:rPr>
        <w:t>gaining and offering better access to data and scientific evidence and expertise to improve decision</w:t>
      </w:r>
      <w:r>
        <w:rPr>
          <w:iCs/>
          <w:kern w:val="22"/>
          <w:szCs w:val="22"/>
        </w:rPr>
        <w:noBreakHyphen/>
      </w:r>
      <w:r w:rsidRPr="008123B7">
        <w:rPr>
          <w:iCs/>
          <w:kern w:val="22"/>
          <w:szCs w:val="22"/>
        </w:rPr>
        <w:t>making, enabled by improved capturing, analysis and reporting of local and landscape-based biodiversity data.</w:t>
      </w:r>
    </w:p>
    <w:p w14:paraId="178F48A2" w14:textId="77777777" w:rsidR="0094446B" w:rsidRPr="008123B7" w:rsidRDefault="0094446B" w:rsidP="00F854FF">
      <w:pPr>
        <w:pStyle w:val="CharChar12"/>
        <w:keepNext/>
        <w:suppressLineNumbers/>
        <w:suppressAutoHyphens/>
        <w:adjustRightInd w:val="0"/>
        <w:snapToGrid w:val="0"/>
        <w:spacing w:before="120" w:after="120"/>
        <w:jc w:val="left"/>
        <w:rPr>
          <w:b/>
          <w:iCs/>
          <w:kern w:val="22"/>
          <w:szCs w:val="22"/>
        </w:rPr>
      </w:pPr>
      <w:r w:rsidRPr="008123B7">
        <w:rPr>
          <w:b/>
          <w:iCs/>
          <w:kern w:val="22"/>
          <w:szCs w:val="22"/>
        </w:rPr>
        <w:t>Action area 7</w:t>
      </w:r>
      <w:r w:rsidRPr="008123B7">
        <w:rPr>
          <w:b/>
          <w:iCs/>
          <w:kern w:val="22"/>
          <w:szCs w:val="22"/>
        </w:rPr>
        <w:br/>
        <w:t>Monitoring and reporting</w:t>
      </w:r>
    </w:p>
    <w:p w14:paraId="6EE21C1B"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(a)</w:t>
      </w:r>
      <w:r w:rsidRPr="008123B7">
        <w:rPr>
          <w:iCs/>
          <w:kern w:val="22"/>
          <w:szCs w:val="22"/>
        </w:rPr>
        <w:tab/>
        <w:t xml:space="preserve">Encourage subnational governments, cities and other local authorities to use online commitment and reporting platforms, such as </w:t>
      </w:r>
      <w:r w:rsidRPr="008123B7">
        <w:rPr>
          <w:i/>
          <w:kern w:val="22"/>
          <w:szCs w:val="22"/>
        </w:rPr>
        <w:t>RegionsWithNature</w:t>
      </w:r>
      <w:r w:rsidRPr="008123B7">
        <w:rPr>
          <w:iCs/>
          <w:kern w:val="22"/>
          <w:szCs w:val="22"/>
        </w:rPr>
        <w:t xml:space="preserve"> and </w:t>
      </w:r>
      <w:r w:rsidRPr="008123B7">
        <w:rPr>
          <w:i/>
          <w:kern w:val="22"/>
          <w:szCs w:val="22"/>
        </w:rPr>
        <w:t>CitiesWithNature</w:t>
      </w:r>
      <w:r w:rsidRPr="008123B7">
        <w:rPr>
          <w:iCs/>
          <w:kern w:val="22"/>
          <w:szCs w:val="22"/>
        </w:rPr>
        <w:t>,</w:t>
      </w:r>
      <w:r w:rsidRPr="00610646">
        <w:rPr>
          <w:rStyle w:val="FootnoteReference"/>
        </w:rPr>
        <w:footnoteReference w:id="128"/>
      </w:r>
      <w:r w:rsidRPr="008123B7">
        <w:rPr>
          <w:iCs/>
          <w:kern w:val="22"/>
          <w:szCs w:val="22"/>
        </w:rPr>
        <w:t xml:space="preserve"> where subnational governments can report on, and track progress against, their commitments to contributing to the implementation of the </w:t>
      </w:r>
      <w:r>
        <w:rPr>
          <w:iCs/>
          <w:kern w:val="22"/>
          <w:szCs w:val="22"/>
        </w:rPr>
        <w:t>Kunming-Montreal</w:t>
      </w:r>
      <w:r w:rsidRPr="008123B7">
        <w:rPr>
          <w:iCs/>
          <w:kern w:val="22"/>
          <w:szCs w:val="22"/>
        </w:rPr>
        <w:t xml:space="preserve"> </w:t>
      </w:r>
      <w:r>
        <w:rPr>
          <w:iCs/>
          <w:kern w:val="22"/>
          <w:szCs w:val="22"/>
        </w:rPr>
        <w:t>G</w:t>
      </w:r>
      <w:r w:rsidRPr="008123B7">
        <w:rPr>
          <w:iCs/>
          <w:kern w:val="22"/>
          <w:szCs w:val="22"/>
        </w:rPr>
        <w:t xml:space="preserve">lobal </w:t>
      </w:r>
      <w:r>
        <w:rPr>
          <w:iCs/>
          <w:kern w:val="22"/>
          <w:szCs w:val="22"/>
        </w:rPr>
        <w:t>B</w:t>
      </w:r>
      <w:r w:rsidRPr="008123B7">
        <w:rPr>
          <w:iCs/>
          <w:kern w:val="22"/>
          <w:szCs w:val="22"/>
        </w:rPr>
        <w:t xml:space="preserve">iodiversity </w:t>
      </w:r>
      <w:r>
        <w:rPr>
          <w:iCs/>
          <w:kern w:val="22"/>
          <w:szCs w:val="22"/>
        </w:rPr>
        <w:t>F</w:t>
      </w:r>
      <w:r w:rsidRPr="008123B7">
        <w:rPr>
          <w:iCs/>
          <w:kern w:val="22"/>
          <w:szCs w:val="22"/>
        </w:rPr>
        <w:t>ramework and national biodiversity strategies and action plans;</w:t>
      </w:r>
    </w:p>
    <w:p w14:paraId="735D2CEB"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(b)</w:t>
      </w:r>
      <w:r w:rsidRPr="008123B7">
        <w:rPr>
          <w:iCs/>
          <w:kern w:val="22"/>
          <w:szCs w:val="22"/>
        </w:rPr>
        <w:tab/>
        <w:t>Involve subnational governments, cities and other local authorities in the regular monitoring and review of progress against targets specified in national biodiversity strategies and action plans;</w:t>
      </w:r>
    </w:p>
    <w:p w14:paraId="58912FFA"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(c)</w:t>
      </w:r>
      <w:r w:rsidRPr="008123B7">
        <w:rPr>
          <w:iCs/>
          <w:kern w:val="22"/>
          <w:szCs w:val="22"/>
        </w:rPr>
        <w:tab/>
        <w:t>Include contributions made by subnational governments, cities and other local authorities in national reports under the Convention on Biological Diversity;</w:t>
      </w:r>
    </w:p>
    <w:p w14:paraId="54EA665B" w14:textId="77777777" w:rsidR="0094446B" w:rsidRPr="008123B7" w:rsidRDefault="0094446B" w:rsidP="00F854FF">
      <w:pPr>
        <w:pStyle w:val="CharChar12"/>
        <w:suppressLineNumbers/>
        <w:suppressAutoHyphens/>
        <w:adjustRightInd w:val="0"/>
        <w:snapToGrid w:val="0"/>
        <w:spacing w:before="120" w:after="120"/>
        <w:rPr>
          <w:iCs/>
          <w:kern w:val="22"/>
          <w:szCs w:val="22"/>
        </w:rPr>
      </w:pPr>
      <w:r w:rsidRPr="008123B7">
        <w:rPr>
          <w:iCs/>
          <w:kern w:val="22"/>
          <w:szCs w:val="22"/>
        </w:rPr>
        <w:t>(d)</w:t>
      </w:r>
      <w:r w:rsidRPr="008123B7">
        <w:rPr>
          <w:iCs/>
          <w:kern w:val="22"/>
          <w:szCs w:val="22"/>
        </w:rPr>
        <w:tab/>
      </w:r>
      <w:bookmarkStart w:id="148" w:name="_Hlk121407639"/>
      <w:r w:rsidRPr="008123B7">
        <w:rPr>
          <w:iCs/>
          <w:kern w:val="22"/>
          <w:szCs w:val="22"/>
        </w:rPr>
        <w:t xml:space="preserve">Coordinate inputs from subnational governments, cities and other local authorities on their contributions to achieving the objectives of the Convention and its Protocols and the </w:t>
      </w:r>
      <w:r>
        <w:rPr>
          <w:iCs/>
          <w:kern w:val="22"/>
          <w:szCs w:val="22"/>
        </w:rPr>
        <w:t>Kunming-Montreal</w:t>
      </w:r>
      <w:r w:rsidRPr="008123B7">
        <w:rPr>
          <w:iCs/>
          <w:kern w:val="22"/>
          <w:szCs w:val="22"/>
        </w:rPr>
        <w:t xml:space="preserve"> </w:t>
      </w:r>
      <w:r>
        <w:rPr>
          <w:iCs/>
          <w:kern w:val="22"/>
          <w:szCs w:val="22"/>
        </w:rPr>
        <w:t>G</w:t>
      </w:r>
      <w:r w:rsidRPr="008123B7">
        <w:rPr>
          <w:iCs/>
          <w:kern w:val="22"/>
          <w:szCs w:val="22"/>
        </w:rPr>
        <w:t xml:space="preserve">lobal </w:t>
      </w:r>
      <w:r>
        <w:rPr>
          <w:iCs/>
          <w:kern w:val="22"/>
          <w:szCs w:val="22"/>
        </w:rPr>
        <w:t>B</w:t>
      </w:r>
      <w:r w:rsidRPr="008123B7">
        <w:rPr>
          <w:iCs/>
          <w:kern w:val="22"/>
          <w:szCs w:val="22"/>
        </w:rPr>
        <w:t xml:space="preserve">iodiversity </w:t>
      </w:r>
      <w:r>
        <w:rPr>
          <w:iCs/>
          <w:kern w:val="22"/>
          <w:szCs w:val="22"/>
        </w:rPr>
        <w:t>F</w:t>
      </w:r>
      <w:r w:rsidRPr="008123B7">
        <w:rPr>
          <w:iCs/>
          <w:kern w:val="22"/>
          <w:szCs w:val="22"/>
        </w:rPr>
        <w:t xml:space="preserve">ramework </w:t>
      </w:r>
      <w:bookmarkEnd w:id="148"/>
      <w:r w:rsidRPr="008123B7">
        <w:rPr>
          <w:iCs/>
          <w:kern w:val="22"/>
          <w:szCs w:val="22"/>
        </w:rPr>
        <w:t>for the purposes of its mid-term review, including on the implementation of measures to mainstream biodiversity in line with relevant decisions of the Conference of the Parties.</w:t>
      </w:r>
    </w:p>
    <w:p w14:paraId="3F659769" w14:textId="77777777" w:rsidR="0094446B" w:rsidRPr="008123B7" w:rsidRDefault="0094446B" w:rsidP="00A64DEA">
      <w:pPr>
        <w:keepNext/>
        <w:suppressLineNumbers/>
        <w:tabs>
          <w:tab w:val="left" w:pos="1134"/>
        </w:tabs>
        <w:suppressAutoHyphens/>
        <w:adjustRightInd w:val="0"/>
        <w:snapToGrid w:val="0"/>
        <w:jc w:val="center"/>
        <w:rPr>
          <w:b/>
          <w:bCs/>
          <w:kern w:val="22"/>
          <w:szCs w:val="22"/>
        </w:rPr>
      </w:pPr>
      <w:r w:rsidRPr="008123B7">
        <w:rPr>
          <w:b/>
          <w:bCs/>
          <w:kern w:val="22"/>
          <w:szCs w:val="22"/>
        </w:rPr>
        <w:t>D.</w:t>
      </w:r>
      <w:r w:rsidRPr="008123B7">
        <w:rPr>
          <w:b/>
          <w:bCs/>
          <w:kern w:val="22"/>
          <w:szCs w:val="22"/>
        </w:rPr>
        <w:tab/>
        <w:t xml:space="preserve">Implementation of the </w:t>
      </w:r>
      <w:r w:rsidRPr="00A64DEA">
        <w:rPr>
          <w:b/>
          <w:bCs/>
          <w:kern w:val="22"/>
          <w:sz w:val="20"/>
          <w:szCs w:val="20"/>
        </w:rPr>
        <w:t>Plan of Action</w:t>
      </w:r>
    </w:p>
    <w:p w14:paraId="376E75A1" w14:textId="77777777" w:rsidR="0094446B" w:rsidRPr="008123B7" w:rsidRDefault="0094446B" w:rsidP="00F854FF">
      <w:pPr>
        <w:suppressLineNumbers/>
        <w:suppressAutoHyphens/>
        <w:adjustRightInd w:val="0"/>
        <w:snapToGrid w:val="0"/>
        <w:spacing w:before="120" w:after="120"/>
        <w:rPr>
          <w:kern w:val="22"/>
          <w:szCs w:val="22"/>
        </w:rPr>
      </w:pPr>
      <w:r w:rsidRPr="008123B7">
        <w:rPr>
          <w:kern w:val="22"/>
          <w:szCs w:val="22"/>
        </w:rPr>
        <w:t>4.</w:t>
      </w:r>
      <w:r w:rsidRPr="008123B7">
        <w:rPr>
          <w:kern w:val="22"/>
          <w:szCs w:val="22"/>
        </w:rPr>
        <w:tab/>
        <w:t xml:space="preserve">Parties and other Governments are urged to implement the </w:t>
      </w:r>
      <w:r w:rsidRPr="00A64DEA">
        <w:rPr>
          <w:kern w:val="22"/>
          <w:sz w:val="20"/>
          <w:szCs w:val="20"/>
        </w:rPr>
        <w:t>Plan of Action</w:t>
      </w:r>
      <w:r w:rsidRPr="008123B7">
        <w:rPr>
          <w:kern w:val="22"/>
          <w:szCs w:val="22"/>
        </w:rPr>
        <w:t>, as appropriate, with the support of the Secretariat of the Convention and other key partners that convene subnational governments</w:t>
      </w:r>
      <w:r w:rsidRPr="008123B7">
        <w:rPr>
          <w:iCs/>
          <w:kern w:val="22"/>
          <w:szCs w:val="22"/>
        </w:rPr>
        <w:t>, cities and other local authorities</w:t>
      </w:r>
      <w:r w:rsidRPr="008123B7">
        <w:rPr>
          <w:kern w:val="22"/>
          <w:szCs w:val="22"/>
        </w:rPr>
        <w:t>, such as ICLEI – Local Governments for Sustainability, Regions4 Sustainable Development (Regions4), the Group of Leading Subnational Governments toward Aichi Biodiversity Targets, and the European Union’s Committee of the Regions, considering national priorities, capacities and needs.</w:t>
      </w:r>
    </w:p>
    <w:p w14:paraId="23A37D34" w14:textId="77777777" w:rsidR="0094446B" w:rsidRPr="008123B7" w:rsidRDefault="0094446B" w:rsidP="00F854FF">
      <w:pPr>
        <w:suppressLineNumbers/>
        <w:suppressAutoHyphens/>
        <w:adjustRightInd w:val="0"/>
        <w:snapToGrid w:val="0"/>
        <w:spacing w:before="120" w:after="120"/>
        <w:rPr>
          <w:kern w:val="22"/>
          <w:szCs w:val="22"/>
        </w:rPr>
      </w:pPr>
      <w:r w:rsidRPr="008123B7">
        <w:rPr>
          <w:kern w:val="22"/>
          <w:szCs w:val="22"/>
        </w:rPr>
        <w:t>5.</w:t>
      </w:r>
      <w:r w:rsidRPr="008123B7">
        <w:rPr>
          <w:kern w:val="22"/>
          <w:szCs w:val="22"/>
        </w:rPr>
        <w:tab/>
        <w:t xml:space="preserve">Implementation of the </w:t>
      </w:r>
      <w:r w:rsidRPr="00A64DEA">
        <w:rPr>
          <w:kern w:val="22"/>
          <w:sz w:val="20"/>
          <w:szCs w:val="20"/>
        </w:rPr>
        <w:t xml:space="preserve">Plan of Action </w:t>
      </w:r>
      <w:r w:rsidRPr="008123B7">
        <w:rPr>
          <w:kern w:val="22"/>
          <w:szCs w:val="22"/>
        </w:rPr>
        <w:t xml:space="preserve">will also be supported by the Global Partnership on Subnational and Local Governments for Biodiversity, an informal cooperative platform composed of United </w:t>
      </w:r>
      <w:r w:rsidRPr="008123B7">
        <w:rPr>
          <w:kern w:val="22"/>
          <w:szCs w:val="22"/>
        </w:rPr>
        <w:lastRenderedPageBreak/>
        <w:t xml:space="preserve">Nations agencies and programmes, academic networks and institutions, and networks of subnational governments, cities and local authorities, and facilitated by the Secretariat of the </w:t>
      </w:r>
      <w:r w:rsidRPr="008123B7">
        <w:rPr>
          <w:kern w:val="22"/>
          <w:szCs w:val="22"/>
          <w:lang w:eastAsia="ja-JP"/>
        </w:rPr>
        <w:t>Convention on Biological Diversity</w:t>
      </w:r>
      <w:r w:rsidRPr="008123B7">
        <w:rPr>
          <w:kern w:val="22"/>
          <w:szCs w:val="22"/>
        </w:rPr>
        <w:t>.</w:t>
      </w:r>
    </w:p>
    <w:p w14:paraId="5206F3F4" w14:textId="77777777" w:rsidR="0094446B" w:rsidRPr="008123B7" w:rsidRDefault="0094446B" w:rsidP="00F854FF">
      <w:pPr>
        <w:suppressLineNumbers/>
        <w:suppressAutoHyphens/>
        <w:adjustRightInd w:val="0"/>
        <w:snapToGrid w:val="0"/>
        <w:spacing w:before="120" w:after="120"/>
        <w:rPr>
          <w:kern w:val="22"/>
          <w:szCs w:val="22"/>
        </w:rPr>
      </w:pPr>
      <w:bookmarkStart w:id="149" w:name="_Ref73136863"/>
      <w:r w:rsidRPr="008123B7">
        <w:rPr>
          <w:kern w:val="22"/>
          <w:szCs w:val="22"/>
        </w:rPr>
        <w:t>6.</w:t>
      </w:r>
      <w:r w:rsidRPr="008123B7">
        <w:rPr>
          <w:kern w:val="22"/>
          <w:szCs w:val="22"/>
        </w:rPr>
        <w:tab/>
        <w:t>The Advisory Committee on Local Governments and Biodiversity and the Advisory Committee on Subnational Governments and Biodiversity</w:t>
      </w:r>
      <w:r w:rsidRPr="003F2F46">
        <w:rPr>
          <w:kern w:val="22"/>
          <w:sz w:val="20"/>
          <w:szCs w:val="20"/>
        </w:rPr>
        <w:t xml:space="preserve"> </w:t>
      </w:r>
      <w:r w:rsidRPr="008123B7">
        <w:rPr>
          <w:kern w:val="22"/>
          <w:szCs w:val="22"/>
        </w:rPr>
        <w:t xml:space="preserve">will provide input and support to the </w:t>
      </w:r>
      <w:r w:rsidRPr="006F3F57">
        <w:rPr>
          <w:kern w:val="22"/>
          <w:sz w:val="20"/>
          <w:szCs w:val="20"/>
        </w:rPr>
        <w:t xml:space="preserve">Plan of Action </w:t>
      </w:r>
      <w:r w:rsidRPr="008123B7">
        <w:rPr>
          <w:kern w:val="22"/>
          <w:szCs w:val="22"/>
        </w:rPr>
        <w:t>from the points of view of cities and local authorities and subnational governments, respectively, in recognition of their critical, complementary and distinct role in the implementation of the Convention. Both committees, recognized in the Plan of Action</w:t>
      </w:r>
      <w:r>
        <w:rPr>
          <w:kern w:val="22"/>
          <w:szCs w:val="22"/>
        </w:rPr>
        <w:t xml:space="preserve"> </w:t>
      </w:r>
      <w:r w:rsidRPr="00EE76F3">
        <w:rPr>
          <w:rFonts w:asciiTheme="majorBidi" w:hAnsiTheme="majorBidi" w:cstheme="majorBidi"/>
          <w:szCs w:val="22"/>
        </w:rPr>
        <w:t xml:space="preserve">on Subnational Governments, Cities and Other Local Authorities for </w:t>
      </w:r>
      <w:r w:rsidRPr="00EE76F3">
        <w:rPr>
          <w:szCs w:val="22"/>
        </w:rPr>
        <w:t>Biodiversity</w:t>
      </w:r>
      <w:r w:rsidRPr="008123B7">
        <w:rPr>
          <w:kern w:val="22"/>
          <w:szCs w:val="22"/>
        </w:rPr>
        <w:t xml:space="preserve"> </w:t>
      </w:r>
      <w:r>
        <w:rPr>
          <w:kern w:val="22"/>
          <w:szCs w:val="22"/>
        </w:rPr>
        <w:t>(2011</w:t>
      </w:r>
      <w:r w:rsidRPr="008123B7">
        <w:rPr>
          <w:kern w:val="22"/>
          <w:szCs w:val="22"/>
        </w:rPr>
        <w:t>–</w:t>
      </w:r>
      <w:r>
        <w:rPr>
          <w:kern w:val="22"/>
          <w:szCs w:val="22"/>
        </w:rPr>
        <w:t xml:space="preserve">2020) </w:t>
      </w:r>
      <w:r w:rsidRPr="008123B7">
        <w:rPr>
          <w:kern w:val="22"/>
          <w:szCs w:val="22"/>
        </w:rPr>
        <w:t xml:space="preserve">are open and free platforms with the sole objective of coordinating the contribution and participation of government at these levels in processes under the </w:t>
      </w:r>
      <w:r w:rsidRPr="008123B7">
        <w:rPr>
          <w:kern w:val="22"/>
          <w:szCs w:val="22"/>
          <w:lang w:eastAsia="ja-JP"/>
        </w:rPr>
        <w:t>Convention on Biological Diversity</w:t>
      </w:r>
      <w:r w:rsidRPr="008123B7">
        <w:rPr>
          <w:kern w:val="22"/>
          <w:szCs w:val="22"/>
        </w:rPr>
        <w:t>.</w:t>
      </w:r>
      <w:bookmarkEnd w:id="149"/>
    </w:p>
    <w:p w14:paraId="6FC9BD17" w14:textId="77777777" w:rsidR="0094446B" w:rsidRPr="008123B7" w:rsidRDefault="0094446B" w:rsidP="00F854FF">
      <w:pPr>
        <w:suppressLineNumbers/>
        <w:suppressAutoHyphens/>
        <w:adjustRightInd w:val="0"/>
        <w:snapToGrid w:val="0"/>
        <w:spacing w:before="120" w:after="120"/>
        <w:rPr>
          <w:szCs w:val="22"/>
        </w:rPr>
      </w:pPr>
      <w:r w:rsidRPr="008123B7">
        <w:rPr>
          <w:kern w:val="22"/>
          <w:szCs w:val="22"/>
        </w:rPr>
        <w:t>7.</w:t>
      </w:r>
      <w:r w:rsidRPr="008123B7">
        <w:rPr>
          <w:kern w:val="22"/>
          <w:szCs w:val="22"/>
        </w:rPr>
        <w:tab/>
        <w:t xml:space="preserve">The </w:t>
      </w:r>
      <w:r w:rsidRPr="00C411E5">
        <w:rPr>
          <w:kern w:val="22"/>
          <w:sz w:val="20"/>
          <w:szCs w:val="20"/>
        </w:rPr>
        <w:t xml:space="preserve">Plan of Action </w:t>
      </w:r>
      <w:r w:rsidRPr="008123B7">
        <w:rPr>
          <w:kern w:val="22"/>
          <w:szCs w:val="22"/>
        </w:rPr>
        <w:t>recognizes the need to maintain flexibility in its approach to implementation in order to accommodate changing national, subnational and local priorities, as well as future decisions of the Conference of the Parties.</w:t>
      </w:r>
    </w:p>
    <w:p w14:paraId="3B7D5334" w14:textId="77777777" w:rsidR="0094446B" w:rsidRDefault="0094446B" w:rsidP="00F854FF">
      <w:pPr>
        <w:pStyle w:val="Para1"/>
        <w:numPr>
          <w:ilvl w:val="0"/>
          <w:numId w:val="0"/>
        </w:numPr>
        <w:jc w:val="center"/>
        <w:sectPr w:rsidR="0094446B" w:rsidSect="00441700">
          <w:footnotePr>
            <w:numRestart w:val="eachSect"/>
          </w:footnotePr>
          <w:pgSz w:w="12240" w:h="15840"/>
          <w:pgMar w:top="567" w:right="1440" w:bottom="1134" w:left="1440" w:header="709" w:footer="709" w:gutter="0"/>
          <w:cols w:space="708"/>
          <w:docGrid w:linePitch="360"/>
        </w:sectPr>
      </w:pPr>
    </w:p>
    <w:p w14:paraId="5A783B09" w14:textId="77777777" w:rsidR="0065659F" w:rsidRDefault="0065659F" w:rsidP="00250BF7">
      <w:pPr>
        <w:pStyle w:val="decision"/>
        <w:rPr>
          <w:caps/>
        </w:rPr>
      </w:pPr>
      <w:bookmarkStart w:id="150" w:name="_Toc150438811"/>
      <w:bookmarkStart w:id="151" w:name="_Toc150670511"/>
      <w:bookmarkStart w:id="152" w:name="_Toc150670621"/>
      <w:bookmarkStart w:id="153" w:name="_Toc150761123"/>
      <w:r>
        <w:lastRenderedPageBreak/>
        <w:t>15/13.</w:t>
      </w:r>
      <w:r>
        <w:tab/>
      </w:r>
      <w:r w:rsidRPr="00322D59">
        <w:t>Cooperation with other conventions and international organizations</w:t>
      </w:r>
      <w:bookmarkEnd w:id="150"/>
      <w:bookmarkEnd w:id="151"/>
      <w:bookmarkEnd w:id="152"/>
      <w:bookmarkEnd w:id="153"/>
    </w:p>
    <w:p w14:paraId="517DAB53" w14:textId="77777777" w:rsidR="0065659F" w:rsidRDefault="0065659F" w:rsidP="00986359">
      <w:pPr>
        <w:pStyle w:val="Para1"/>
        <w:numPr>
          <w:ilvl w:val="0"/>
          <w:numId w:val="0"/>
        </w:numPr>
        <w:shd w:val="clear" w:color="auto" w:fill="FFFFFF" w:themeFill="background1"/>
        <w:ind w:firstLine="709"/>
        <w:rPr>
          <w:i/>
        </w:rPr>
      </w:pPr>
      <w:r w:rsidRPr="00656A16">
        <w:rPr>
          <w:i/>
          <w:lang w:val="en-US"/>
        </w:rPr>
        <w:t>The Conference of the Parties,</w:t>
      </w:r>
      <w:r w:rsidRPr="00656A16">
        <w:rPr>
          <w:i/>
        </w:rPr>
        <w:t xml:space="preserve"> </w:t>
      </w:r>
    </w:p>
    <w:p w14:paraId="5D226DEF" w14:textId="77777777" w:rsidR="0065659F" w:rsidRDefault="0065659F" w:rsidP="0004654F">
      <w:pPr>
        <w:spacing w:before="120" w:after="120"/>
        <w:ind w:firstLine="851"/>
        <w:rPr>
          <w:color w:val="000000" w:themeColor="text1"/>
          <w:szCs w:val="22"/>
        </w:rPr>
      </w:pPr>
      <w:r w:rsidRPr="1E0835D0">
        <w:rPr>
          <w:i/>
          <w:iCs/>
          <w:color w:val="000000" w:themeColor="text1"/>
          <w:szCs w:val="22"/>
        </w:rPr>
        <w:t>Recalling</w:t>
      </w:r>
      <w:r w:rsidRPr="1E0835D0">
        <w:rPr>
          <w:color w:val="000000" w:themeColor="text1"/>
          <w:szCs w:val="22"/>
        </w:rPr>
        <w:t xml:space="preserve"> decisions XIII/24 and 14/30,</w:t>
      </w:r>
      <w:r>
        <w:rPr>
          <w:color w:val="000000" w:themeColor="text1"/>
          <w:szCs w:val="22"/>
        </w:rPr>
        <w:t xml:space="preserve"> </w:t>
      </w:r>
    </w:p>
    <w:p w14:paraId="0CE0616A" w14:textId="77777777" w:rsidR="0065659F" w:rsidRDefault="0065659F" w:rsidP="0004654F">
      <w:pPr>
        <w:spacing w:before="120" w:after="120"/>
        <w:ind w:firstLine="851"/>
        <w:rPr>
          <w:color w:val="000000" w:themeColor="text1"/>
          <w:szCs w:val="22"/>
        </w:rPr>
      </w:pPr>
      <w:r w:rsidRPr="1E0835D0">
        <w:rPr>
          <w:i/>
          <w:iCs/>
          <w:color w:val="000000" w:themeColor="text1"/>
          <w:szCs w:val="22"/>
        </w:rPr>
        <w:t xml:space="preserve">Recognizing </w:t>
      </w:r>
      <w:r w:rsidRPr="1E0835D0">
        <w:rPr>
          <w:color w:val="000000" w:themeColor="text1"/>
          <w:szCs w:val="22"/>
        </w:rPr>
        <w:t xml:space="preserve">the critical role of actions for the </w:t>
      </w:r>
      <w:r>
        <w:rPr>
          <w:color w:val="000000" w:themeColor="text1"/>
          <w:szCs w:val="22"/>
        </w:rPr>
        <w:t xml:space="preserve">restoration, </w:t>
      </w:r>
      <w:r w:rsidRPr="1E0835D0">
        <w:rPr>
          <w:color w:val="000000" w:themeColor="text1"/>
          <w:szCs w:val="22"/>
        </w:rPr>
        <w:t xml:space="preserve">conservation and sustainable use of biological diversity for </w:t>
      </w:r>
      <w:r>
        <w:rPr>
          <w:color w:val="000000" w:themeColor="text1"/>
          <w:szCs w:val="22"/>
        </w:rPr>
        <w:t xml:space="preserve">helping to </w:t>
      </w:r>
      <w:r w:rsidRPr="1E0835D0">
        <w:rPr>
          <w:color w:val="000000" w:themeColor="text1"/>
          <w:szCs w:val="22"/>
        </w:rPr>
        <w:t>address multiple global crises, including climate change and pollution</w:t>
      </w:r>
      <w:r>
        <w:rPr>
          <w:color w:val="000000" w:themeColor="text1"/>
          <w:szCs w:val="22"/>
        </w:rPr>
        <w:t xml:space="preserve">, as well as biodiversity loss simultaneously, </w:t>
      </w:r>
    </w:p>
    <w:p w14:paraId="1705CF17" w14:textId="77777777" w:rsidR="0065659F" w:rsidRDefault="0065659F" w:rsidP="0004654F">
      <w:pPr>
        <w:spacing w:before="120" w:after="120"/>
        <w:ind w:firstLine="851"/>
        <w:rPr>
          <w:color w:val="000000" w:themeColor="text1"/>
          <w:szCs w:val="22"/>
        </w:rPr>
      </w:pPr>
      <w:r w:rsidRPr="1E0835D0">
        <w:rPr>
          <w:i/>
          <w:iCs/>
          <w:color w:val="000000" w:themeColor="text1"/>
          <w:szCs w:val="22"/>
        </w:rPr>
        <w:t xml:space="preserve">Acknowledging </w:t>
      </w:r>
      <w:r w:rsidRPr="1E0835D0">
        <w:rPr>
          <w:color w:val="000000" w:themeColor="text1"/>
          <w:szCs w:val="22"/>
        </w:rPr>
        <w:t>the independent nature of the mandates of biodiversity-related conventions, other multilateral environmental agreements and international organizations, emphasizing the need to fully observe their respective mandates and</w:t>
      </w:r>
      <w:r w:rsidRPr="1E0835D0">
        <w:rPr>
          <w:i/>
          <w:iCs/>
          <w:color w:val="000000" w:themeColor="text1"/>
          <w:szCs w:val="22"/>
        </w:rPr>
        <w:t xml:space="preserve"> </w:t>
      </w:r>
      <w:r w:rsidRPr="1E0835D0">
        <w:rPr>
          <w:color w:val="000000" w:themeColor="text1"/>
          <w:szCs w:val="22"/>
        </w:rPr>
        <w:t xml:space="preserve">reaffirming that synergies in their implementation at the global, regional and national levels should be promoted on a Party-driven basis, in accordance with the priorities set out within each instrument and with national circumstances, capabilities and priorities, </w:t>
      </w:r>
    </w:p>
    <w:p w14:paraId="54E665F1" w14:textId="77777777" w:rsidR="0065659F" w:rsidRDefault="0065659F" w:rsidP="0004654F">
      <w:pPr>
        <w:spacing w:before="120" w:after="120"/>
        <w:ind w:firstLine="851"/>
        <w:rPr>
          <w:color w:val="000000" w:themeColor="text1"/>
          <w:szCs w:val="22"/>
        </w:rPr>
      </w:pPr>
      <w:r w:rsidRPr="1E0835D0">
        <w:rPr>
          <w:i/>
          <w:iCs/>
          <w:color w:val="000000" w:themeColor="text1"/>
          <w:szCs w:val="22"/>
        </w:rPr>
        <w:t xml:space="preserve">Reaffirming </w:t>
      </w:r>
      <w:r w:rsidRPr="1E0835D0">
        <w:rPr>
          <w:color w:val="000000" w:themeColor="text1"/>
          <w:szCs w:val="22"/>
        </w:rPr>
        <w:t>the importance of enhancing cooperation in the implementation of the Convention on Biological Diversity and its Protocols and other multilateral environmental agreements and initiatives, including but not limited to biodiversity-related conventions and agreements, chemicals and waste conventions, and the Rio conventions, at the global, regional, subregional, national and subnational levels, in a manner respectful of their respective mandates,</w:t>
      </w:r>
      <w:r>
        <w:rPr>
          <w:color w:val="000000" w:themeColor="text1"/>
          <w:szCs w:val="22"/>
        </w:rPr>
        <w:t xml:space="preserve"> </w:t>
      </w:r>
    </w:p>
    <w:p w14:paraId="25E1BE6C" w14:textId="77777777" w:rsidR="0065659F" w:rsidRDefault="0065659F" w:rsidP="0004654F">
      <w:pPr>
        <w:spacing w:before="120" w:after="120"/>
        <w:ind w:firstLine="851"/>
        <w:rPr>
          <w:color w:val="000000" w:themeColor="text1"/>
          <w:szCs w:val="22"/>
        </w:rPr>
      </w:pPr>
      <w:r w:rsidRPr="1E0835D0">
        <w:rPr>
          <w:i/>
          <w:iCs/>
          <w:color w:val="000000" w:themeColor="text1"/>
          <w:szCs w:val="22"/>
        </w:rPr>
        <w:t>Emphasizing</w:t>
      </w:r>
      <w:r w:rsidRPr="1E0835D0">
        <w:rPr>
          <w:color w:val="000000" w:themeColor="text1"/>
          <w:szCs w:val="22"/>
        </w:rPr>
        <w:t xml:space="preserve"> the importance of cooperation among all relevant conventions, organizations and initiatives to achieve the three objectives of the Convention and to implement and monitor progress in the implementation of the </w:t>
      </w:r>
      <w:r>
        <w:rPr>
          <w:color w:val="000000" w:themeColor="text1"/>
          <w:szCs w:val="22"/>
        </w:rPr>
        <w:t>Kunming-Montreal</w:t>
      </w:r>
      <w:r w:rsidRPr="1E0835D0">
        <w:rPr>
          <w:color w:val="000000" w:themeColor="text1"/>
          <w:szCs w:val="22"/>
        </w:rPr>
        <w:t xml:space="preserve"> Global Biodiversity Framework in an effective and timely manner in order to achieve its targets, goals</w:t>
      </w:r>
      <w:r>
        <w:rPr>
          <w:color w:val="000000" w:themeColor="text1"/>
          <w:szCs w:val="22"/>
        </w:rPr>
        <w:t>,</w:t>
      </w:r>
      <w:r w:rsidRPr="1E0835D0">
        <w:rPr>
          <w:color w:val="000000" w:themeColor="text1"/>
          <w:szCs w:val="22"/>
        </w:rPr>
        <w:t xml:space="preserve"> 2030 mission and 2050 Vision,</w:t>
      </w:r>
      <w:r>
        <w:rPr>
          <w:color w:val="000000" w:themeColor="text1"/>
          <w:szCs w:val="22"/>
        </w:rPr>
        <w:t xml:space="preserve"> </w:t>
      </w:r>
    </w:p>
    <w:p w14:paraId="6052EFFA" w14:textId="77777777" w:rsidR="0065659F" w:rsidRDefault="0065659F" w:rsidP="0004654F">
      <w:pPr>
        <w:spacing w:before="120" w:after="120"/>
        <w:ind w:firstLine="851"/>
        <w:rPr>
          <w:color w:val="000000" w:themeColor="text1"/>
          <w:szCs w:val="22"/>
        </w:rPr>
      </w:pPr>
      <w:r w:rsidRPr="1E0835D0">
        <w:rPr>
          <w:i/>
          <w:iCs/>
          <w:color w:val="000000" w:themeColor="text1"/>
          <w:szCs w:val="22"/>
        </w:rPr>
        <w:t xml:space="preserve">Taking note </w:t>
      </w:r>
      <w:r w:rsidRPr="1E0835D0">
        <w:rPr>
          <w:color w:val="000000" w:themeColor="text1"/>
          <w:szCs w:val="22"/>
        </w:rPr>
        <w:t>of the work conducted by the United Nations Environment Management Group and the United Nations System Chief Executives Board for Coordination to facilitate system-wide attention to biodiversity and the post-2020 global biodiversity framework,</w:t>
      </w:r>
      <w:r>
        <w:rPr>
          <w:color w:val="000000" w:themeColor="text1"/>
          <w:szCs w:val="22"/>
        </w:rPr>
        <w:t xml:space="preserve"> </w:t>
      </w:r>
    </w:p>
    <w:p w14:paraId="68CD333E" w14:textId="77777777" w:rsidR="0065659F" w:rsidRDefault="0065659F" w:rsidP="0004654F">
      <w:pPr>
        <w:spacing w:before="120" w:after="120"/>
        <w:ind w:firstLine="851"/>
        <w:rPr>
          <w:color w:val="000000" w:themeColor="text1"/>
          <w:szCs w:val="22"/>
        </w:rPr>
      </w:pPr>
      <w:r w:rsidRPr="1E0835D0">
        <w:rPr>
          <w:i/>
          <w:iCs/>
          <w:color w:val="000000" w:themeColor="text1"/>
          <w:szCs w:val="22"/>
          <w:lang w:val="en-US"/>
        </w:rPr>
        <w:t>Welcoming with appreciation</w:t>
      </w:r>
      <w:r w:rsidRPr="1E0835D0">
        <w:rPr>
          <w:color w:val="000000" w:themeColor="text1"/>
          <w:szCs w:val="22"/>
          <w:lang w:val="en-US"/>
        </w:rPr>
        <w:t xml:space="preserve"> the support provided by the Government of Switzerland for the organization of the consultation workshops of biodiversity-related conventions on the post-2020 global biodiversity framework (Bern I and II) and welcoming the reports of both workshops,</w:t>
      </w:r>
      <w:r w:rsidRPr="00610646">
        <w:rPr>
          <w:rStyle w:val="FootnoteReference"/>
        </w:rPr>
        <w:footnoteReference w:id="129"/>
      </w:r>
      <w:r>
        <w:rPr>
          <w:color w:val="000000" w:themeColor="text1"/>
          <w:szCs w:val="22"/>
          <w:lang w:val="en-US"/>
        </w:rPr>
        <w:t xml:space="preserve"> </w:t>
      </w:r>
    </w:p>
    <w:p w14:paraId="2333C12B" w14:textId="77777777" w:rsidR="0065659F" w:rsidRDefault="0065659F" w:rsidP="0004654F">
      <w:pPr>
        <w:spacing w:before="120" w:after="120"/>
        <w:ind w:firstLine="851"/>
        <w:rPr>
          <w:color w:val="000000" w:themeColor="text1"/>
          <w:szCs w:val="22"/>
        </w:rPr>
      </w:pPr>
      <w:r w:rsidRPr="1E0835D0">
        <w:rPr>
          <w:i/>
          <w:iCs/>
          <w:color w:val="000000" w:themeColor="text1"/>
          <w:szCs w:val="22"/>
        </w:rPr>
        <w:t>Also welcoming with appreciation</w:t>
      </w:r>
      <w:r w:rsidRPr="1E0835D0">
        <w:rPr>
          <w:color w:val="000000" w:themeColor="text1"/>
          <w:szCs w:val="22"/>
        </w:rPr>
        <w:t xml:space="preserve"> the support provided by the United Nations Environment Programme to the implementation of decisions XIII/24 and 14/30 with respect to enhancing synergies among biodiversity-related conventions, including in convening the Bern II workshop,</w:t>
      </w:r>
      <w:r>
        <w:rPr>
          <w:color w:val="000000" w:themeColor="text1"/>
          <w:szCs w:val="22"/>
        </w:rPr>
        <w:t xml:space="preserve"> </w:t>
      </w:r>
    </w:p>
    <w:p w14:paraId="13865AD4" w14:textId="77777777" w:rsidR="0065659F" w:rsidRDefault="0065659F" w:rsidP="0004654F">
      <w:pPr>
        <w:spacing w:before="120" w:after="120"/>
        <w:ind w:firstLine="851"/>
        <w:rPr>
          <w:color w:val="000000" w:themeColor="text1"/>
          <w:szCs w:val="22"/>
        </w:rPr>
      </w:pPr>
      <w:r>
        <w:rPr>
          <w:i/>
          <w:iCs/>
          <w:color w:val="000000" w:themeColor="text1"/>
          <w:szCs w:val="22"/>
        </w:rPr>
        <w:t>W</w:t>
      </w:r>
      <w:r w:rsidRPr="1E0835D0">
        <w:rPr>
          <w:i/>
          <w:iCs/>
          <w:color w:val="000000" w:themeColor="text1"/>
          <w:szCs w:val="22"/>
        </w:rPr>
        <w:t>elcoming</w:t>
      </w:r>
      <w:r w:rsidRPr="1E0835D0">
        <w:rPr>
          <w:color w:val="000000" w:themeColor="text1"/>
          <w:szCs w:val="22"/>
        </w:rPr>
        <w:t xml:space="preserve"> the contributions of other biodiversity-related conventions, multilateral agreements and international organizations and processes to the preparation of the </w:t>
      </w:r>
      <w:r>
        <w:rPr>
          <w:color w:val="000000" w:themeColor="text1"/>
          <w:szCs w:val="22"/>
        </w:rPr>
        <w:t>Kunming-Montreal</w:t>
      </w:r>
      <w:r w:rsidRPr="1E0835D0">
        <w:rPr>
          <w:color w:val="000000" w:themeColor="text1"/>
          <w:szCs w:val="22"/>
        </w:rPr>
        <w:t xml:space="preserve"> Global Biodiversity Framework, including through their active participation in the “Bern process”,</w:t>
      </w:r>
      <w:r>
        <w:rPr>
          <w:color w:val="000000" w:themeColor="text1"/>
          <w:szCs w:val="22"/>
        </w:rPr>
        <w:t xml:space="preserve"> </w:t>
      </w:r>
    </w:p>
    <w:p w14:paraId="24572014" w14:textId="77777777" w:rsidR="0065659F" w:rsidRDefault="0065659F" w:rsidP="0004654F">
      <w:pPr>
        <w:spacing w:before="120" w:after="120"/>
        <w:ind w:firstLine="851"/>
        <w:rPr>
          <w:color w:val="000000" w:themeColor="text1"/>
          <w:szCs w:val="22"/>
        </w:rPr>
      </w:pPr>
      <w:r w:rsidRPr="1E0835D0">
        <w:rPr>
          <w:i/>
          <w:iCs/>
          <w:color w:val="000000" w:themeColor="text1"/>
          <w:szCs w:val="22"/>
        </w:rPr>
        <w:t>Recognizing</w:t>
      </w:r>
      <w:r w:rsidRPr="1E0835D0">
        <w:rPr>
          <w:color w:val="000000" w:themeColor="text1"/>
          <w:szCs w:val="22"/>
        </w:rPr>
        <w:t xml:space="preserve"> that relevant multilateral environmental agreements have specific contributions to make in implementing elements of the </w:t>
      </w:r>
      <w:r>
        <w:rPr>
          <w:color w:val="000000" w:themeColor="text1"/>
          <w:szCs w:val="22"/>
        </w:rPr>
        <w:t>Kunming-Montreal</w:t>
      </w:r>
      <w:r w:rsidRPr="1E0835D0">
        <w:rPr>
          <w:color w:val="000000" w:themeColor="text1"/>
          <w:szCs w:val="22"/>
        </w:rPr>
        <w:t xml:space="preserve"> Global Biodiversity Framework, in line with their mandates,</w:t>
      </w:r>
      <w:r>
        <w:rPr>
          <w:color w:val="000000" w:themeColor="text1"/>
          <w:szCs w:val="22"/>
        </w:rPr>
        <w:t xml:space="preserve"> </w:t>
      </w:r>
    </w:p>
    <w:p w14:paraId="3D76676C" w14:textId="77777777" w:rsidR="0065659F" w:rsidRDefault="0065659F" w:rsidP="0004654F">
      <w:pPr>
        <w:spacing w:before="120" w:after="120"/>
        <w:ind w:firstLine="851"/>
        <w:rPr>
          <w:color w:val="000000" w:themeColor="text1"/>
          <w:szCs w:val="22"/>
        </w:rPr>
      </w:pPr>
      <w:r w:rsidRPr="1E0835D0">
        <w:rPr>
          <w:i/>
          <w:iCs/>
          <w:color w:val="000000" w:themeColor="text1"/>
          <w:szCs w:val="22"/>
        </w:rPr>
        <w:t>Welcoming with appreciation</w:t>
      </w:r>
      <w:r w:rsidRPr="1E0835D0">
        <w:rPr>
          <w:color w:val="000000" w:themeColor="text1"/>
          <w:szCs w:val="22"/>
        </w:rPr>
        <w:t xml:space="preserve"> the work conducted by other organizations to fulfil elements of decision 14/30, including the Food and Agriculture Organization of the United Nations, the United Nations Educational, Scientific and Cultural Organization, the International Tropical Timber Organization and the World Health Organization,</w:t>
      </w:r>
      <w:r>
        <w:rPr>
          <w:color w:val="000000" w:themeColor="text1"/>
          <w:szCs w:val="22"/>
        </w:rPr>
        <w:t xml:space="preserve"> </w:t>
      </w:r>
    </w:p>
    <w:p w14:paraId="026A7101" w14:textId="77777777" w:rsidR="0065659F" w:rsidRDefault="0065659F" w:rsidP="0004654F">
      <w:pPr>
        <w:spacing w:before="120" w:after="120"/>
        <w:ind w:firstLine="851"/>
        <w:rPr>
          <w:color w:val="000000" w:themeColor="text1"/>
          <w:szCs w:val="22"/>
        </w:rPr>
      </w:pPr>
      <w:r w:rsidRPr="1E0835D0">
        <w:rPr>
          <w:i/>
          <w:iCs/>
          <w:color w:val="000000" w:themeColor="text1"/>
          <w:szCs w:val="22"/>
        </w:rPr>
        <w:lastRenderedPageBreak/>
        <w:t>Also welcoming with appreciation</w:t>
      </w:r>
      <w:r w:rsidRPr="1E0835D0">
        <w:rPr>
          <w:color w:val="000000" w:themeColor="text1"/>
          <w:szCs w:val="22"/>
        </w:rPr>
        <w:t xml:space="preserve"> the work undertaken by the Global Partnership for Plant Conservation in promoting plant conservation and contributing to the </w:t>
      </w:r>
      <w:r w:rsidRPr="0031303E">
        <w:rPr>
          <w:color w:val="000000" w:themeColor="text1"/>
          <w:szCs w:val="22"/>
        </w:rPr>
        <w:t>2050 Vision for Biodiversity as</w:t>
      </w:r>
      <w:r w:rsidRPr="1E0835D0">
        <w:rPr>
          <w:color w:val="000000" w:themeColor="text1"/>
          <w:szCs w:val="22"/>
        </w:rPr>
        <w:t xml:space="preserve"> described in the fifth edition of the </w:t>
      </w:r>
      <w:r w:rsidRPr="1E0835D0">
        <w:rPr>
          <w:i/>
          <w:iCs/>
          <w:color w:val="000000" w:themeColor="text1"/>
          <w:szCs w:val="22"/>
        </w:rPr>
        <w:t>Global Biodiversity Outlook</w:t>
      </w:r>
      <w:r w:rsidRPr="00610646">
        <w:rPr>
          <w:rStyle w:val="FootnoteReference"/>
        </w:rPr>
        <w:footnoteReference w:id="130"/>
      </w:r>
      <w:r w:rsidRPr="1E0835D0">
        <w:rPr>
          <w:color w:val="000000" w:themeColor="text1"/>
          <w:szCs w:val="22"/>
        </w:rPr>
        <w:t xml:space="preserve"> and the 2020 Plant Conservation report,</w:t>
      </w:r>
      <w:r w:rsidRPr="00610646">
        <w:rPr>
          <w:rStyle w:val="FootnoteReference"/>
        </w:rPr>
        <w:footnoteReference w:id="131"/>
      </w:r>
      <w:r>
        <w:rPr>
          <w:color w:val="000000" w:themeColor="text1"/>
          <w:szCs w:val="22"/>
        </w:rPr>
        <w:t xml:space="preserve"> </w:t>
      </w:r>
    </w:p>
    <w:p w14:paraId="487DF3E0" w14:textId="77777777" w:rsidR="0065659F" w:rsidRDefault="0065659F" w:rsidP="00473492">
      <w:pPr>
        <w:spacing w:before="120" w:after="120"/>
        <w:ind w:firstLine="851"/>
        <w:rPr>
          <w:color w:val="000000" w:themeColor="text1"/>
          <w:szCs w:val="22"/>
        </w:rPr>
      </w:pPr>
      <w:r>
        <w:rPr>
          <w:i/>
          <w:iCs/>
          <w:color w:val="000000" w:themeColor="text1"/>
          <w:szCs w:val="22"/>
        </w:rPr>
        <w:t>N</w:t>
      </w:r>
      <w:r w:rsidRPr="00FA2B38">
        <w:rPr>
          <w:i/>
          <w:iCs/>
          <w:color w:val="000000" w:themeColor="text1"/>
          <w:szCs w:val="22"/>
        </w:rPr>
        <w:t>oting</w:t>
      </w:r>
      <w:r w:rsidRPr="00FA2B38">
        <w:rPr>
          <w:color w:val="000000" w:themeColor="text1"/>
          <w:szCs w:val="22"/>
        </w:rPr>
        <w:t xml:space="preserve"> the work to establish a </w:t>
      </w:r>
      <w:r>
        <w:rPr>
          <w:color w:val="000000" w:themeColor="text1"/>
          <w:szCs w:val="22"/>
        </w:rPr>
        <w:t>“</w:t>
      </w:r>
      <w:r w:rsidRPr="00FA2B38">
        <w:rPr>
          <w:color w:val="000000" w:themeColor="text1"/>
          <w:szCs w:val="22"/>
        </w:rPr>
        <w:t>World Coastal Forum</w:t>
      </w:r>
      <w:r>
        <w:rPr>
          <w:color w:val="000000" w:themeColor="text1"/>
          <w:szCs w:val="22"/>
        </w:rPr>
        <w:t>”</w:t>
      </w:r>
      <w:r w:rsidRPr="00FA2B38">
        <w:rPr>
          <w:color w:val="000000" w:themeColor="text1"/>
          <w:szCs w:val="22"/>
        </w:rPr>
        <w:t xml:space="preserve"> in response to paragraphs 15 and 16 of decision 14/30</w:t>
      </w:r>
      <w:r>
        <w:rPr>
          <w:color w:val="000000" w:themeColor="text1"/>
          <w:szCs w:val="22"/>
        </w:rPr>
        <w:t>,</w:t>
      </w:r>
      <w:r w:rsidRPr="00FA2B38">
        <w:rPr>
          <w:color w:val="000000" w:themeColor="text1"/>
          <w:szCs w:val="22"/>
        </w:rPr>
        <w:t xml:space="preserve"> as well as </w:t>
      </w:r>
      <w:r>
        <w:rPr>
          <w:color w:val="000000" w:themeColor="text1"/>
          <w:szCs w:val="22"/>
        </w:rPr>
        <w:t xml:space="preserve">related </w:t>
      </w:r>
      <w:r w:rsidRPr="005F511F">
        <w:rPr>
          <w:color w:val="000000" w:themeColor="text1"/>
          <w:szCs w:val="22"/>
        </w:rPr>
        <w:t>resolutions adopted by the Conference of the Contracting Parties to the Convention on Wetlands of International Importance especially as Waterfowl Habitat at its thirteenth meeting</w:t>
      </w:r>
      <w:r w:rsidRPr="00610646">
        <w:rPr>
          <w:rStyle w:val="FootnoteReference"/>
        </w:rPr>
        <w:footnoteReference w:id="132"/>
      </w:r>
      <w:r w:rsidRPr="005F511F">
        <w:rPr>
          <w:color w:val="000000" w:themeColor="text1"/>
          <w:szCs w:val="22"/>
        </w:rPr>
        <w:t xml:space="preserve"> and by the Conference of the Parties to the Convention on the Conservation of Migratory Species of Wild Animals at its twelfth meeting</w:t>
      </w:r>
      <w:r w:rsidRPr="00A40C30">
        <w:rPr>
          <w:color w:val="000000" w:themeColor="text1"/>
          <w:szCs w:val="22"/>
        </w:rPr>
        <w:t>,</w:t>
      </w:r>
      <w:r w:rsidRPr="00610646">
        <w:rPr>
          <w:rStyle w:val="FootnoteReference"/>
        </w:rPr>
        <w:footnoteReference w:id="133"/>
      </w:r>
      <w:r w:rsidRPr="005F511F">
        <w:rPr>
          <w:i/>
          <w:iCs/>
          <w:color w:val="000000" w:themeColor="text1"/>
          <w:szCs w:val="22"/>
        </w:rPr>
        <w:t xml:space="preserve"> </w:t>
      </w:r>
      <w:r w:rsidRPr="005F511F">
        <w:rPr>
          <w:color w:val="000000" w:themeColor="text1"/>
          <w:szCs w:val="22"/>
        </w:rPr>
        <w:t>which</w:t>
      </w:r>
      <w:r w:rsidRPr="00FA2B38">
        <w:rPr>
          <w:color w:val="000000" w:themeColor="text1"/>
          <w:szCs w:val="22"/>
        </w:rPr>
        <w:t xml:space="preserve"> call for increased focus on coastal ecosystems</w:t>
      </w:r>
      <w:r>
        <w:rPr>
          <w:color w:val="000000" w:themeColor="text1"/>
          <w:szCs w:val="22"/>
        </w:rPr>
        <w:t>,</w:t>
      </w:r>
    </w:p>
    <w:p w14:paraId="2301C147" w14:textId="77777777" w:rsidR="0065659F" w:rsidRDefault="0065659F" w:rsidP="0004654F">
      <w:pPr>
        <w:spacing w:before="120" w:after="120"/>
        <w:ind w:firstLine="851"/>
        <w:rPr>
          <w:color w:val="000000" w:themeColor="text1"/>
          <w:szCs w:val="22"/>
          <w:lang w:val="en-US"/>
        </w:rPr>
      </w:pPr>
      <w:r>
        <w:rPr>
          <w:i/>
          <w:iCs/>
          <w:color w:val="000000" w:themeColor="text1"/>
          <w:szCs w:val="22"/>
          <w:lang w:val="en-US"/>
        </w:rPr>
        <w:t>W</w:t>
      </w:r>
      <w:r w:rsidRPr="1E0835D0">
        <w:rPr>
          <w:i/>
          <w:iCs/>
          <w:color w:val="000000" w:themeColor="text1"/>
          <w:szCs w:val="22"/>
          <w:lang w:val="en-US"/>
        </w:rPr>
        <w:t xml:space="preserve">elcoming </w:t>
      </w:r>
      <w:r w:rsidRPr="1E0835D0">
        <w:rPr>
          <w:color w:val="000000" w:themeColor="text1"/>
          <w:szCs w:val="22"/>
          <w:lang w:val="en-US"/>
        </w:rPr>
        <w:t xml:space="preserve">the cooperative activities under the Rio conventions, </w:t>
      </w:r>
    </w:p>
    <w:p w14:paraId="156096AA" w14:textId="77777777" w:rsidR="0065659F" w:rsidRPr="00623953" w:rsidRDefault="0065659F" w:rsidP="0004654F">
      <w:pPr>
        <w:spacing w:before="120" w:after="120"/>
        <w:ind w:firstLine="851"/>
        <w:rPr>
          <w:color w:val="000000" w:themeColor="text1"/>
          <w:szCs w:val="22"/>
        </w:rPr>
      </w:pPr>
      <w:r w:rsidRPr="0022348C">
        <w:rPr>
          <w:i/>
          <w:iCs/>
        </w:rPr>
        <w:t>Taking note</w:t>
      </w:r>
      <w:r w:rsidRPr="0022348C">
        <w:t xml:space="preserve"> of United Nations Environment Assembly resolution 5/5</w:t>
      </w:r>
      <w:r>
        <w:t xml:space="preserve"> on nature-based solutions supporting sustainable development</w:t>
      </w:r>
      <w:r w:rsidRPr="0022348C">
        <w:t>,</w:t>
      </w:r>
      <w:r w:rsidRPr="00610646">
        <w:rPr>
          <w:rStyle w:val="FootnoteReference"/>
        </w:rPr>
        <w:footnoteReference w:id="134"/>
      </w:r>
      <w:r>
        <w:t xml:space="preserve"> </w:t>
      </w:r>
    </w:p>
    <w:p w14:paraId="3580B161" w14:textId="77777777" w:rsidR="0065659F" w:rsidRDefault="0065659F" w:rsidP="0004654F">
      <w:pPr>
        <w:spacing w:before="120" w:after="120"/>
        <w:ind w:firstLine="851"/>
        <w:rPr>
          <w:color w:val="000000" w:themeColor="text1"/>
          <w:szCs w:val="22"/>
        </w:rPr>
      </w:pPr>
      <w:r w:rsidRPr="1E0835D0">
        <w:rPr>
          <w:i/>
          <w:iCs/>
          <w:color w:val="000000" w:themeColor="text1"/>
          <w:szCs w:val="22"/>
          <w:lang w:val="en-US"/>
        </w:rPr>
        <w:t>Recognizing</w:t>
      </w:r>
      <w:r w:rsidRPr="1E0835D0">
        <w:rPr>
          <w:color w:val="000000" w:themeColor="text1"/>
          <w:szCs w:val="22"/>
          <w:lang w:val="en-US"/>
        </w:rPr>
        <w:t xml:space="preserve"> the rolling work programme up to 2030 of the </w:t>
      </w:r>
      <w:r w:rsidRPr="1E0835D0">
        <w:rPr>
          <w:color w:val="000000" w:themeColor="text1"/>
          <w:szCs w:val="22"/>
        </w:rPr>
        <w:t>Intergovernmental Science-Policy Platform on Biodiversity and Ecosystem Services,</w:t>
      </w:r>
      <w:r>
        <w:rPr>
          <w:color w:val="000000" w:themeColor="text1"/>
          <w:szCs w:val="22"/>
        </w:rPr>
        <w:t xml:space="preserve"> </w:t>
      </w:r>
    </w:p>
    <w:p w14:paraId="2521A3DE" w14:textId="77777777" w:rsidR="0065659F" w:rsidRDefault="0065659F" w:rsidP="0004654F">
      <w:pPr>
        <w:spacing w:before="120" w:after="120"/>
        <w:ind w:firstLine="851"/>
        <w:rPr>
          <w:color w:val="000000" w:themeColor="text1"/>
          <w:szCs w:val="22"/>
        </w:rPr>
      </w:pPr>
      <w:r w:rsidRPr="1E0835D0">
        <w:rPr>
          <w:i/>
          <w:iCs/>
          <w:color w:val="000000" w:themeColor="text1"/>
          <w:szCs w:val="22"/>
        </w:rPr>
        <w:t>Welcoming with appreciation</w:t>
      </w:r>
      <w:r w:rsidRPr="1E0835D0">
        <w:rPr>
          <w:color w:val="000000" w:themeColor="text1"/>
          <w:szCs w:val="22"/>
        </w:rPr>
        <w:t xml:space="preserve"> the resolution of the United Nations General Assembly proclaiming the United Nations Decade on Ecosystem Restoration 2021-2030 and the contribution that this may provide to objectives of the Convention and the </w:t>
      </w:r>
      <w:r>
        <w:rPr>
          <w:color w:val="000000" w:themeColor="text1"/>
          <w:szCs w:val="22"/>
        </w:rPr>
        <w:t>Kunming-Montreal</w:t>
      </w:r>
      <w:r w:rsidRPr="1E0835D0">
        <w:rPr>
          <w:color w:val="000000" w:themeColor="text1"/>
          <w:szCs w:val="22"/>
        </w:rPr>
        <w:t xml:space="preserve"> Global Biodiversity Framework,</w:t>
      </w:r>
      <w:r>
        <w:rPr>
          <w:color w:val="000000" w:themeColor="text1"/>
          <w:szCs w:val="22"/>
        </w:rPr>
        <w:t xml:space="preserve"> </w:t>
      </w:r>
    </w:p>
    <w:p w14:paraId="16983605" w14:textId="77777777" w:rsidR="0065659F" w:rsidRDefault="0065659F" w:rsidP="0004654F">
      <w:pPr>
        <w:spacing w:before="120" w:after="120"/>
        <w:ind w:firstLine="851"/>
        <w:rPr>
          <w:color w:val="000000" w:themeColor="text1"/>
          <w:szCs w:val="22"/>
        </w:rPr>
      </w:pPr>
      <w:r w:rsidRPr="1E0835D0">
        <w:rPr>
          <w:color w:val="000000" w:themeColor="text1"/>
          <w:szCs w:val="22"/>
        </w:rPr>
        <w:t>1.</w:t>
      </w:r>
      <w:r>
        <w:tab/>
      </w:r>
      <w:r w:rsidRPr="00684D5D">
        <w:rPr>
          <w:i/>
          <w:iCs/>
          <w:color w:val="000000" w:themeColor="text1"/>
          <w:szCs w:val="22"/>
        </w:rPr>
        <w:t>Welcomes</w:t>
      </w:r>
      <w:r w:rsidRPr="1E0835D0">
        <w:rPr>
          <w:color w:val="000000" w:themeColor="text1"/>
          <w:szCs w:val="22"/>
        </w:rPr>
        <w:t xml:space="preserve"> the contributions of other biodiversity-related conventions, multilateral agreements and international organizations and processes to enhancing synergies in the implementation of the </w:t>
      </w:r>
      <w:r>
        <w:rPr>
          <w:color w:val="000000" w:themeColor="text1"/>
          <w:szCs w:val="22"/>
        </w:rPr>
        <w:t>Kunming-Montreal</w:t>
      </w:r>
      <w:r w:rsidRPr="1E0835D0">
        <w:rPr>
          <w:color w:val="000000" w:themeColor="text1"/>
          <w:szCs w:val="22"/>
        </w:rPr>
        <w:t xml:space="preserve"> Global Biodiversity Framework;</w:t>
      </w:r>
      <w:r>
        <w:rPr>
          <w:color w:val="000000" w:themeColor="text1"/>
          <w:szCs w:val="22"/>
        </w:rPr>
        <w:t xml:space="preserve"> </w:t>
      </w:r>
    </w:p>
    <w:p w14:paraId="685D2466" w14:textId="77777777" w:rsidR="0065659F" w:rsidRDefault="0065659F" w:rsidP="0004654F">
      <w:pPr>
        <w:spacing w:before="120" w:after="120"/>
        <w:ind w:firstLine="851"/>
        <w:rPr>
          <w:color w:val="000000" w:themeColor="text1"/>
          <w:szCs w:val="22"/>
        </w:rPr>
      </w:pPr>
      <w:r w:rsidRPr="1E0835D0">
        <w:rPr>
          <w:color w:val="000000" w:themeColor="text1"/>
          <w:szCs w:val="22"/>
        </w:rPr>
        <w:t>2.</w:t>
      </w:r>
      <w:r>
        <w:tab/>
      </w:r>
      <w:r w:rsidRPr="00684D5D">
        <w:rPr>
          <w:i/>
          <w:iCs/>
          <w:color w:val="000000" w:themeColor="text1"/>
          <w:szCs w:val="22"/>
        </w:rPr>
        <w:t>Encourages</w:t>
      </w:r>
      <w:r w:rsidRPr="1E0835D0">
        <w:rPr>
          <w:color w:val="000000" w:themeColor="text1"/>
          <w:szCs w:val="22"/>
        </w:rPr>
        <w:t xml:space="preserve"> the strengthening of cooperation and synergies among relevant conventions and multilateral agreements by, as appropriate and in line with their respective mandates, legal authority and responsibilities, establishing or renewing cooperation frameworks</w:t>
      </w:r>
      <w:r>
        <w:rPr>
          <w:color w:val="000000" w:themeColor="text1"/>
          <w:szCs w:val="22"/>
        </w:rPr>
        <w:t>, as needed</w:t>
      </w:r>
      <w:r w:rsidRPr="1E0835D0">
        <w:rPr>
          <w:color w:val="000000" w:themeColor="text1"/>
          <w:szCs w:val="22"/>
        </w:rPr>
        <w:t>;</w:t>
      </w:r>
    </w:p>
    <w:p w14:paraId="584A3AF0" w14:textId="77777777" w:rsidR="0065659F" w:rsidRDefault="0065659F" w:rsidP="0004654F">
      <w:pPr>
        <w:spacing w:before="120" w:after="120"/>
        <w:ind w:firstLine="851"/>
        <w:rPr>
          <w:color w:val="000000" w:themeColor="text1"/>
          <w:szCs w:val="22"/>
        </w:rPr>
      </w:pPr>
      <w:r w:rsidRPr="1E0835D0">
        <w:rPr>
          <w:color w:val="000000" w:themeColor="text1"/>
          <w:szCs w:val="22"/>
        </w:rPr>
        <w:t>3.</w:t>
      </w:r>
      <w:r>
        <w:tab/>
      </w:r>
      <w:r w:rsidRPr="002A2503">
        <w:rPr>
          <w:i/>
          <w:iCs/>
          <w:color w:val="000000" w:themeColor="text1"/>
          <w:szCs w:val="22"/>
        </w:rPr>
        <w:t>Invites</w:t>
      </w:r>
      <w:r w:rsidRPr="1E0835D0">
        <w:rPr>
          <w:color w:val="000000" w:themeColor="text1"/>
          <w:szCs w:val="22"/>
        </w:rPr>
        <w:t xml:space="preserve"> the governing bodies of other biodiversity-related conventions and relevant multilateral environmental agreements, as well as international organizations and other relevant programmes, to </w:t>
      </w:r>
      <w:r>
        <w:rPr>
          <w:color w:val="000000" w:themeColor="text1"/>
          <w:szCs w:val="22"/>
        </w:rPr>
        <w:t>formally endorse</w:t>
      </w:r>
      <w:r w:rsidRPr="1E0835D0">
        <w:rPr>
          <w:color w:val="000000" w:themeColor="text1"/>
          <w:szCs w:val="22"/>
        </w:rPr>
        <w:t xml:space="preserve"> the </w:t>
      </w:r>
      <w:r>
        <w:rPr>
          <w:color w:val="000000" w:themeColor="text1"/>
          <w:szCs w:val="22"/>
        </w:rPr>
        <w:t>Kunming-Montreal</w:t>
      </w:r>
      <w:r w:rsidRPr="1E0835D0">
        <w:rPr>
          <w:color w:val="000000" w:themeColor="text1"/>
          <w:szCs w:val="22"/>
        </w:rPr>
        <w:t xml:space="preserve"> Global Biodiversity Framework through their own governance processes, as appropriate, in order to support its operationalization and contribute to the transparency and monitoring of progress in </w:t>
      </w:r>
      <w:r>
        <w:rPr>
          <w:color w:val="000000" w:themeColor="text1"/>
          <w:szCs w:val="22"/>
        </w:rPr>
        <w:t>its implementation</w:t>
      </w:r>
      <w:r w:rsidRPr="1E0835D0">
        <w:rPr>
          <w:color w:val="000000" w:themeColor="text1"/>
          <w:szCs w:val="22"/>
        </w:rPr>
        <w:t xml:space="preserve"> by, among others, using synergetic modular reporting tools such as the Data Reporting Tool for MEAs (DaRT); </w:t>
      </w:r>
    </w:p>
    <w:p w14:paraId="32C3F9E1" w14:textId="77777777" w:rsidR="0065659F" w:rsidRDefault="0065659F" w:rsidP="0004654F">
      <w:pPr>
        <w:spacing w:before="120" w:after="120"/>
        <w:ind w:firstLine="851"/>
        <w:rPr>
          <w:color w:val="000000" w:themeColor="text1"/>
          <w:szCs w:val="22"/>
        </w:rPr>
      </w:pPr>
      <w:r w:rsidRPr="1E0835D0">
        <w:rPr>
          <w:color w:val="000000" w:themeColor="text1"/>
          <w:szCs w:val="22"/>
        </w:rPr>
        <w:t>4.</w:t>
      </w:r>
      <w:r>
        <w:tab/>
      </w:r>
      <w:r w:rsidRPr="002A2503">
        <w:rPr>
          <w:i/>
          <w:iCs/>
          <w:color w:val="000000" w:themeColor="text1"/>
          <w:szCs w:val="22"/>
        </w:rPr>
        <w:t>Also invites</w:t>
      </w:r>
      <w:r w:rsidRPr="1E0835D0">
        <w:rPr>
          <w:color w:val="000000" w:themeColor="text1"/>
          <w:szCs w:val="22"/>
        </w:rPr>
        <w:t xml:space="preserve"> the governing bodies of biodiversity-related conventions and relevant multilateral environmental agreements, as well as international organizations and other relevant programmes, to contribute to the implementation and monitoring of the </w:t>
      </w:r>
      <w:r>
        <w:rPr>
          <w:color w:val="000000" w:themeColor="text1"/>
          <w:szCs w:val="22"/>
        </w:rPr>
        <w:t>Kunming-Montreal</w:t>
      </w:r>
      <w:r w:rsidRPr="1E0835D0">
        <w:rPr>
          <w:color w:val="000000" w:themeColor="text1"/>
          <w:szCs w:val="22"/>
        </w:rPr>
        <w:t xml:space="preserve"> Global Biodiversity Framework, in particular by further strengthening cooperation at the global level within their respective mandates and enhancing synergies among themselves, to encourage mutually supportive decisions, to</w:t>
      </w:r>
      <w:r>
        <w:rPr>
          <w:color w:val="000000" w:themeColor="text1"/>
          <w:szCs w:val="22"/>
        </w:rPr>
        <w:t xml:space="preserve"> coordinate </w:t>
      </w:r>
      <w:r w:rsidRPr="1E0835D0">
        <w:rPr>
          <w:color w:val="000000" w:themeColor="text1"/>
          <w:szCs w:val="22"/>
        </w:rPr>
        <w:t xml:space="preserve">their own strategies with the </w:t>
      </w:r>
      <w:r>
        <w:rPr>
          <w:color w:val="000000" w:themeColor="text1"/>
          <w:szCs w:val="22"/>
        </w:rPr>
        <w:t>Kunming-Montreal</w:t>
      </w:r>
      <w:r w:rsidRPr="1E0835D0">
        <w:rPr>
          <w:color w:val="000000" w:themeColor="text1"/>
          <w:szCs w:val="22"/>
        </w:rPr>
        <w:t xml:space="preserve"> Global Biodiversity Framework and to propose key issues for thematic discussions facilitated by the Liaison Group of Biodiversity-related Conventions, taking into account, where appropriate, the conclusions of the Bern II workshop included in document CBD/SBI/3/10;</w:t>
      </w:r>
      <w:r>
        <w:rPr>
          <w:color w:val="000000" w:themeColor="text1"/>
          <w:szCs w:val="22"/>
        </w:rPr>
        <w:t xml:space="preserve"> </w:t>
      </w:r>
    </w:p>
    <w:p w14:paraId="23560DC6" w14:textId="77777777" w:rsidR="0065659F" w:rsidRDefault="0065659F" w:rsidP="0004654F">
      <w:pPr>
        <w:spacing w:before="120" w:after="120"/>
        <w:ind w:firstLine="851"/>
        <w:rPr>
          <w:color w:val="000000" w:themeColor="text1"/>
          <w:szCs w:val="22"/>
        </w:rPr>
      </w:pPr>
      <w:r w:rsidRPr="1E0835D0">
        <w:rPr>
          <w:color w:val="000000" w:themeColor="text1"/>
          <w:szCs w:val="22"/>
        </w:rPr>
        <w:t>5.</w:t>
      </w:r>
      <w:r>
        <w:tab/>
      </w:r>
      <w:r w:rsidRPr="002A2503">
        <w:rPr>
          <w:i/>
          <w:iCs/>
          <w:color w:val="000000" w:themeColor="text1"/>
          <w:szCs w:val="22"/>
        </w:rPr>
        <w:t>Invites</w:t>
      </w:r>
      <w:r w:rsidRPr="1E0835D0">
        <w:rPr>
          <w:color w:val="000000" w:themeColor="text1"/>
          <w:szCs w:val="22"/>
        </w:rPr>
        <w:t xml:space="preserve"> the Liaison Group of Biodiversity-related Conventions, as well as the informal advisory group on synergies, to enhance cooperation, reduce inefficiencies and facilitate synergies between the heads of the secretariats of biodiversity-related conventions, including through thematic consultations, </w:t>
      </w:r>
      <w:r w:rsidRPr="1E0835D0">
        <w:rPr>
          <w:color w:val="000000" w:themeColor="text1"/>
          <w:szCs w:val="22"/>
        </w:rPr>
        <w:lastRenderedPageBreak/>
        <w:t xml:space="preserve">on key issues for the implementation of the </w:t>
      </w:r>
      <w:r>
        <w:rPr>
          <w:color w:val="000000" w:themeColor="text1"/>
          <w:szCs w:val="22"/>
        </w:rPr>
        <w:t>Kunming-Montreal</w:t>
      </w:r>
      <w:r w:rsidRPr="1E0835D0">
        <w:rPr>
          <w:color w:val="000000" w:themeColor="text1"/>
          <w:szCs w:val="22"/>
        </w:rPr>
        <w:t xml:space="preserve"> Global Biodiversity Framework and to provide common messages or draft recommendations to their respective governing bodies to act upon;</w:t>
      </w:r>
      <w:r>
        <w:rPr>
          <w:color w:val="000000" w:themeColor="text1"/>
          <w:szCs w:val="22"/>
        </w:rPr>
        <w:t xml:space="preserve"> </w:t>
      </w:r>
    </w:p>
    <w:p w14:paraId="375B2106" w14:textId="77777777" w:rsidR="0065659F" w:rsidRDefault="0065659F" w:rsidP="0004654F">
      <w:pPr>
        <w:spacing w:before="120" w:after="120"/>
        <w:ind w:firstLine="851"/>
        <w:rPr>
          <w:color w:val="000000" w:themeColor="text1"/>
          <w:szCs w:val="22"/>
        </w:rPr>
      </w:pPr>
      <w:r w:rsidRPr="1E0835D0">
        <w:rPr>
          <w:color w:val="000000" w:themeColor="text1"/>
          <w:szCs w:val="22"/>
        </w:rPr>
        <w:t>6.</w:t>
      </w:r>
      <w:r>
        <w:tab/>
      </w:r>
      <w:r w:rsidRPr="002A2503">
        <w:rPr>
          <w:i/>
          <w:iCs/>
          <w:color w:val="000000" w:themeColor="text1"/>
          <w:szCs w:val="22"/>
        </w:rPr>
        <w:t>Encourages</w:t>
      </w:r>
      <w:r w:rsidRPr="1E0835D0">
        <w:rPr>
          <w:color w:val="000000" w:themeColor="text1"/>
          <w:szCs w:val="22"/>
        </w:rPr>
        <w:t xml:space="preserve"> Parties</w:t>
      </w:r>
      <w:r>
        <w:rPr>
          <w:color w:val="000000" w:themeColor="text1"/>
          <w:szCs w:val="22"/>
        </w:rPr>
        <w:t xml:space="preserve"> and other Governments</w:t>
      </w:r>
      <w:r w:rsidRPr="1E0835D0">
        <w:rPr>
          <w:color w:val="000000" w:themeColor="text1"/>
          <w:szCs w:val="22"/>
        </w:rPr>
        <w:t xml:space="preserve"> to work together with all stakeholders to jointly implement the </w:t>
      </w:r>
      <w:r>
        <w:rPr>
          <w:color w:val="000000" w:themeColor="text1"/>
          <w:szCs w:val="22"/>
        </w:rPr>
        <w:t>Kunming-Montreal</w:t>
      </w:r>
      <w:r w:rsidRPr="1E0835D0">
        <w:rPr>
          <w:color w:val="000000" w:themeColor="text1"/>
          <w:szCs w:val="22"/>
        </w:rPr>
        <w:t xml:space="preserve"> Global Biodiversity Framework in a spirit of cooperation and mutual support, at global, regional, subregional, national and subnational levels, across areas and sectors, through bilateral joint work programmes where appropriate, and through existing global, regional, subregional, national and subnational instruments, mechanisms and processes;</w:t>
      </w:r>
      <w:r>
        <w:rPr>
          <w:color w:val="000000" w:themeColor="text1"/>
          <w:szCs w:val="22"/>
        </w:rPr>
        <w:t xml:space="preserve"> </w:t>
      </w:r>
    </w:p>
    <w:p w14:paraId="3E0EB095" w14:textId="5BAF345E" w:rsidR="0065659F" w:rsidRDefault="0065659F" w:rsidP="0004654F">
      <w:pPr>
        <w:spacing w:before="120" w:after="120"/>
        <w:ind w:firstLine="851"/>
        <w:rPr>
          <w:color w:val="000000" w:themeColor="text1"/>
          <w:szCs w:val="22"/>
        </w:rPr>
      </w:pPr>
      <w:r>
        <w:rPr>
          <w:color w:val="000000" w:themeColor="text1"/>
          <w:szCs w:val="22"/>
        </w:rPr>
        <w:t>7</w:t>
      </w:r>
      <w:r w:rsidRPr="1E0835D0">
        <w:rPr>
          <w:color w:val="000000" w:themeColor="text1"/>
          <w:szCs w:val="22"/>
        </w:rPr>
        <w:t>.</w:t>
      </w:r>
      <w:r>
        <w:tab/>
      </w:r>
      <w:r>
        <w:rPr>
          <w:i/>
          <w:iCs/>
          <w:color w:val="000000" w:themeColor="text1"/>
          <w:szCs w:val="22"/>
        </w:rPr>
        <w:t>I</w:t>
      </w:r>
      <w:r w:rsidRPr="002A2503">
        <w:rPr>
          <w:i/>
          <w:iCs/>
          <w:color w:val="000000" w:themeColor="text1"/>
          <w:szCs w:val="22"/>
        </w:rPr>
        <w:t>nvites</w:t>
      </w:r>
      <w:r w:rsidRPr="1E0835D0">
        <w:rPr>
          <w:color w:val="000000" w:themeColor="text1"/>
          <w:szCs w:val="22"/>
        </w:rPr>
        <w:t xml:space="preserve"> the United Nations Environment Programme</w:t>
      </w:r>
      <w:r>
        <w:rPr>
          <w:color w:val="000000" w:themeColor="text1"/>
          <w:szCs w:val="22"/>
        </w:rPr>
        <w:t xml:space="preserve">, and </w:t>
      </w:r>
      <w:r w:rsidRPr="00A40C30">
        <w:rPr>
          <w:color w:val="000000" w:themeColor="text1"/>
          <w:szCs w:val="22"/>
        </w:rPr>
        <w:t>encourages</w:t>
      </w:r>
      <w:r>
        <w:rPr>
          <w:color w:val="000000" w:themeColor="text1"/>
          <w:szCs w:val="22"/>
        </w:rPr>
        <w:t xml:space="preserve"> the United Nations Development Programme, the Food and Agriculture Organization of the United Nations, as well as other relevant international organizations,</w:t>
      </w:r>
      <w:r w:rsidRPr="1E0835D0">
        <w:rPr>
          <w:color w:val="000000" w:themeColor="text1"/>
          <w:szCs w:val="22"/>
        </w:rPr>
        <w:t xml:space="preserve"> </w:t>
      </w:r>
      <w:r>
        <w:rPr>
          <w:color w:val="000000" w:themeColor="text1"/>
          <w:szCs w:val="22"/>
        </w:rPr>
        <w:t>to support the Parties and</w:t>
      </w:r>
      <w:r w:rsidRPr="1E0835D0">
        <w:rPr>
          <w:color w:val="000000" w:themeColor="text1"/>
          <w:szCs w:val="22"/>
        </w:rPr>
        <w:t xml:space="preserve"> secretariats of the biodiversity</w:t>
      </w:r>
      <w:r>
        <w:rPr>
          <w:color w:val="000000" w:themeColor="text1"/>
          <w:szCs w:val="22"/>
        </w:rPr>
        <w:t>-</w:t>
      </w:r>
      <w:r w:rsidRPr="1E0835D0">
        <w:rPr>
          <w:color w:val="000000" w:themeColor="text1"/>
          <w:szCs w:val="22"/>
        </w:rPr>
        <w:t xml:space="preserve">related conventions and </w:t>
      </w:r>
      <w:r>
        <w:rPr>
          <w:color w:val="000000" w:themeColor="text1"/>
          <w:szCs w:val="22"/>
        </w:rPr>
        <w:t>agreements</w:t>
      </w:r>
      <w:r w:rsidRPr="1E0835D0">
        <w:rPr>
          <w:color w:val="000000" w:themeColor="text1"/>
          <w:szCs w:val="22"/>
        </w:rPr>
        <w:t xml:space="preserve"> to continue to </w:t>
      </w:r>
      <w:r>
        <w:rPr>
          <w:color w:val="000000" w:themeColor="text1"/>
          <w:szCs w:val="22"/>
        </w:rPr>
        <w:t xml:space="preserve">enhance synergies in areas of priority </w:t>
      </w:r>
      <w:r w:rsidRPr="00F23D82">
        <w:rPr>
          <w:color w:val="000000" w:themeColor="text1"/>
          <w:szCs w:val="22"/>
        </w:rPr>
        <w:t>established by their Parties</w:t>
      </w:r>
      <w:r>
        <w:rPr>
          <w:color w:val="000000" w:themeColor="text1"/>
          <w:szCs w:val="22"/>
        </w:rPr>
        <w:t xml:space="preserve">, including by </w:t>
      </w:r>
      <w:r w:rsidRPr="1E0835D0">
        <w:rPr>
          <w:color w:val="000000" w:themeColor="text1"/>
          <w:szCs w:val="22"/>
        </w:rPr>
        <w:t>facilitat</w:t>
      </w:r>
      <w:r>
        <w:rPr>
          <w:color w:val="000000" w:themeColor="text1"/>
          <w:szCs w:val="22"/>
        </w:rPr>
        <w:t>ing</w:t>
      </w:r>
      <w:r w:rsidRPr="1E0835D0">
        <w:rPr>
          <w:color w:val="000000" w:themeColor="text1"/>
          <w:szCs w:val="22"/>
        </w:rPr>
        <w:t xml:space="preserve"> and implement</w:t>
      </w:r>
      <w:r>
        <w:rPr>
          <w:color w:val="000000" w:themeColor="text1"/>
          <w:szCs w:val="22"/>
        </w:rPr>
        <w:t>ing</w:t>
      </w:r>
      <w:r w:rsidRPr="1E0835D0">
        <w:rPr>
          <w:color w:val="000000" w:themeColor="text1"/>
          <w:szCs w:val="22"/>
        </w:rPr>
        <w:t xml:space="preserve"> </w:t>
      </w:r>
      <w:r w:rsidRPr="004208E7">
        <w:rPr>
          <w:color w:val="000000" w:themeColor="text1"/>
          <w:szCs w:val="22"/>
        </w:rPr>
        <w:t>key actions aimed</w:t>
      </w:r>
      <w:r w:rsidRPr="1E0835D0">
        <w:rPr>
          <w:color w:val="000000" w:themeColor="text1"/>
          <w:szCs w:val="22"/>
        </w:rPr>
        <w:t xml:space="preserve"> to enhance synergies</w:t>
      </w:r>
      <w:r>
        <w:rPr>
          <w:color w:val="000000" w:themeColor="text1"/>
          <w:szCs w:val="22"/>
        </w:rPr>
        <w:t xml:space="preserve"> </w:t>
      </w:r>
      <w:r w:rsidRPr="1E0835D0">
        <w:rPr>
          <w:color w:val="000000" w:themeColor="text1"/>
          <w:szCs w:val="22"/>
        </w:rPr>
        <w:t xml:space="preserve">at the national and </w:t>
      </w:r>
      <w:r>
        <w:rPr>
          <w:color w:val="000000" w:themeColor="text1"/>
          <w:szCs w:val="22"/>
        </w:rPr>
        <w:t>regional</w:t>
      </w:r>
      <w:r w:rsidRPr="1E0835D0">
        <w:rPr>
          <w:color w:val="000000" w:themeColor="text1"/>
          <w:szCs w:val="22"/>
        </w:rPr>
        <w:t xml:space="preserve"> levels outlined in decisions XIII/24 and 14/30, in particular regarding reporting and the use of supportive tools, such as DaRT, capacity</w:t>
      </w:r>
      <w:r>
        <w:rPr>
          <w:color w:val="000000" w:themeColor="text1"/>
          <w:szCs w:val="22"/>
        </w:rPr>
        <w:t>-</w:t>
      </w:r>
      <w:r w:rsidRPr="1E0835D0">
        <w:rPr>
          <w:color w:val="000000" w:themeColor="text1"/>
          <w:szCs w:val="22"/>
        </w:rPr>
        <w:t xml:space="preserve">building and development, and </w:t>
      </w:r>
      <w:r>
        <w:rPr>
          <w:color w:val="000000" w:themeColor="text1"/>
          <w:szCs w:val="22"/>
        </w:rPr>
        <w:t xml:space="preserve">by </w:t>
      </w:r>
      <w:r w:rsidRPr="1E0835D0">
        <w:rPr>
          <w:color w:val="000000" w:themeColor="text1"/>
          <w:szCs w:val="22"/>
        </w:rPr>
        <w:t>facilitating linkages between</w:t>
      </w:r>
      <w:r>
        <w:rPr>
          <w:color w:val="000000" w:themeColor="text1"/>
          <w:szCs w:val="22"/>
        </w:rPr>
        <w:t xml:space="preserve"> biodiversity-related conventions and</w:t>
      </w:r>
      <w:r w:rsidRPr="1E0835D0">
        <w:rPr>
          <w:color w:val="000000" w:themeColor="text1"/>
          <w:szCs w:val="22"/>
        </w:rPr>
        <w:t xml:space="preserve"> relevant multilateral environmental agreements</w:t>
      </w:r>
      <w:r>
        <w:rPr>
          <w:color w:val="000000" w:themeColor="text1"/>
          <w:szCs w:val="22"/>
        </w:rPr>
        <w:t>, in accordance with international rights and obligations</w:t>
      </w:r>
      <w:r w:rsidRPr="1E0835D0">
        <w:rPr>
          <w:color w:val="000000" w:themeColor="text1"/>
          <w:szCs w:val="22"/>
        </w:rPr>
        <w:t>;</w:t>
      </w:r>
    </w:p>
    <w:p w14:paraId="54990FF5" w14:textId="77777777" w:rsidR="0065659F" w:rsidRDefault="0065659F" w:rsidP="0004654F">
      <w:pPr>
        <w:spacing w:before="120" w:after="120"/>
        <w:ind w:firstLine="851"/>
        <w:rPr>
          <w:color w:val="000000" w:themeColor="text1"/>
          <w:szCs w:val="22"/>
        </w:rPr>
      </w:pPr>
      <w:r>
        <w:rPr>
          <w:color w:val="000000" w:themeColor="text1"/>
          <w:szCs w:val="22"/>
        </w:rPr>
        <w:t>8</w:t>
      </w:r>
      <w:r w:rsidRPr="1E0835D0">
        <w:rPr>
          <w:color w:val="000000" w:themeColor="text1"/>
          <w:szCs w:val="22"/>
        </w:rPr>
        <w:t>.</w:t>
      </w:r>
      <w:r>
        <w:tab/>
      </w:r>
      <w:r w:rsidRPr="002A2503">
        <w:rPr>
          <w:i/>
          <w:iCs/>
          <w:color w:val="000000" w:themeColor="text1"/>
          <w:szCs w:val="22"/>
        </w:rPr>
        <w:t>Invites</w:t>
      </w:r>
      <w:r w:rsidRPr="1E0835D0">
        <w:rPr>
          <w:color w:val="000000" w:themeColor="text1"/>
          <w:szCs w:val="22"/>
        </w:rPr>
        <w:t xml:space="preserve"> the Food and Agriculture Organization of the United Nations and the United Nations Environment Programme to continue to liaise closely with the </w:t>
      </w:r>
      <w:r>
        <w:rPr>
          <w:color w:val="000000" w:themeColor="text1"/>
          <w:szCs w:val="22"/>
        </w:rPr>
        <w:t>s</w:t>
      </w:r>
      <w:r w:rsidRPr="1E0835D0">
        <w:rPr>
          <w:color w:val="000000" w:themeColor="text1"/>
          <w:szCs w:val="22"/>
        </w:rPr>
        <w:t>ecretariats of the Rio conventions and relevant partner organizations in the implementation of the United Nations Decade on Ecosystem Restoration</w:t>
      </w:r>
      <w:r>
        <w:rPr>
          <w:color w:val="000000" w:themeColor="text1"/>
          <w:szCs w:val="22"/>
        </w:rPr>
        <w:t>,</w:t>
      </w:r>
      <w:r w:rsidRPr="1E0835D0">
        <w:rPr>
          <w:color w:val="000000" w:themeColor="text1"/>
          <w:szCs w:val="22"/>
        </w:rPr>
        <w:t xml:space="preserve"> and to provide a report on its progress </w:t>
      </w:r>
      <w:r>
        <w:rPr>
          <w:color w:val="000000" w:themeColor="text1"/>
          <w:szCs w:val="22"/>
        </w:rPr>
        <w:t xml:space="preserve">to </w:t>
      </w:r>
      <w:r w:rsidRPr="1E0835D0">
        <w:rPr>
          <w:color w:val="000000" w:themeColor="text1"/>
          <w:szCs w:val="22"/>
        </w:rPr>
        <w:t xml:space="preserve">the Conference of the Parties </w:t>
      </w:r>
      <w:r>
        <w:rPr>
          <w:color w:val="000000" w:themeColor="text1"/>
          <w:szCs w:val="22"/>
        </w:rPr>
        <w:t xml:space="preserve">for consideration </w:t>
      </w:r>
      <w:r w:rsidRPr="1E0835D0">
        <w:rPr>
          <w:color w:val="000000" w:themeColor="text1"/>
          <w:szCs w:val="22"/>
        </w:rPr>
        <w:t xml:space="preserve">at </w:t>
      </w:r>
      <w:r>
        <w:rPr>
          <w:color w:val="000000" w:themeColor="text1"/>
          <w:szCs w:val="22"/>
        </w:rPr>
        <w:t>its</w:t>
      </w:r>
      <w:r w:rsidRPr="1E0835D0">
        <w:rPr>
          <w:color w:val="000000" w:themeColor="text1"/>
          <w:szCs w:val="22"/>
        </w:rPr>
        <w:t xml:space="preserve"> sixteenth meeting;</w:t>
      </w:r>
      <w:r>
        <w:rPr>
          <w:color w:val="000000" w:themeColor="text1"/>
          <w:szCs w:val="22"/>
        </w:rPr>
        <w:t xml:space="preserve"> </w:t>
      </w:r>
    </w:p>
    <w:p w14:paraId="0F05FCF4" w14:textId="77777777" w:rsidR="0065659F" w:rsidRDefault="0065659F" w:rsidP="0004654F">
      <w:pPr>
        <w:spacing w:before="120" w:after="120"/>
        <w:ind w:firstLine="851"/>
        <w:rPr>
          <w:color w:val="000000" w:themeColor="text1"/>
          <w:szCs w:val="22"/>
        </w:rPr>
      </w:pPr>
      <w:r>
        <w:rPr>
          <w:color w:val="000000" w:themeColor="text1"/>
          <w:szCs w:val="22"/>
        </w:rPr>
        <w:t>9</w:t>
      </w:r>
      <w:r w:rsidRPr="1E0835D0">
        <w:rPr>
          <w:color w:val="000000" w:themeColor="text1"/>
          <w:szCs w:val="22"/>
        </w:rPr>
        <w:t>.</w:t>
      </w:r>
      <w:r>
        <w:tab/>
      </w:r>
      <w:r w:rsidRPr="002A2503">
        <w:rPr>
          <w:i/>
          <w:iCs/>
          <w:color w:val="000000" w:themeColor="text1"/>
          <w:szCs w:val="22"/>
        </w:rPr>
        <w:t>Invites</w:t>
      </w:r>
      <w:r w:rsidRPr="1E0835D0">
        <w:rPr>
          <w:color w:val="000000" w:themeColor="text1"/>
          <w:szCs w:val="22"/>
        </w:rPr>
        <w:t xml:space="preserve"> the United Nations Environment Management Group to facilitate United Nations system-wide coordination towards the objectives of the Convention, its Protocols and the </w:t>
      </w:r>
      <w:r>
        <w:rPr>
          <w:color w:val="000000" w:themeColor="text1"/>
          <w:szCs w:val="22"/>
        </w:rPr>
        <w:t>Kunming-Montreal</w:t>
      </w:r>
      <w:r w:rsidRPr="1E0835D0">
        <w:rPr>
          <w:color w:val="000000" w:themeColor="text1"/>
          <w:szCs w:val="22"/>
        </w:rPr>
        <w:t xml:space="preserve"> Global Biodiversity Framework, in a manner fully respectful of the mandates of different multilateral environmental agreements and international organizations;</w:t>
      </w:r>
      <w:r>
        <w:rPr>
          <w:color w:val="000000" w:themeColor="text1"/>
          <w:szCs w:val="22"/>
        </w:rPr>
        <w:t xml:space="preserve"> </w:t>
      </w:r>
    </w:p>
    <w:p w14:paraId="73C5D309" w14:textId="77777777" w:rsidR="0065659F" w:rsidRDefault="0065659F" w:rsidP="0022348C">
      <w:pPr>
        <w:ind w:firstLine="851"/>
        <w:rPr>
          <w:color w:val="000000" w:themeColor="text1"/>
          <w:szCs w:val="22"/>
        </w:rPr>
      </w:pPr>
      <w:r w:rsidRPr="1E0835D0">
        <w:rPr>
          <w:color w:val="000000" w:themeColor="text1"/>
          <w:szCs w:val="22"/>
        </w:rPr>
        <w:t>1</w:t>
      </w:r>
      <w:r>
        <w:rPr>
          <w:color w:val="000000" w:themeColor="text1"/>
          <w:szCs w:val="22"/>
        </w:rPr>
        <w:t>0</w:t>
      </w:r>
      <w:r w:rsidRPr="1E0835D0">
        <w:rPr>
          <w:color w:val="000000" w:themeColor="text1"/>
          <w:szCs w:val="22"/>
        </w:rPr>
        <w:t>.</w:t>
      </w:r>
      <w:r>
        <w:tab/>
      </w:r>
      <w:r w:rsidRPr="002A2503">
        <w:rPr>
          <w:i/>
          <w:iCs/>
          <w:color w:val="000000" w:themeColor="text1"/>
          <w:szCs w:val="22"/>
        </w:rPr>
        <w:t>Urges</w:t>
      </w:r>
      <w:r w:rsidRPr="1E0835D0">
        <w:rPr>
          <w:color w:val="000000" w:themeColor="text1"/>
          <w:szCs w:val="22"/>
        </w:rPr>
        <w:t xml:space="preserve"> Parties, invites other Governments and invites non-governmental organizations, indigenous peoples and local communities, subnational governments, cities and other local authorities, women’s groups, youth groups, the business and finance community, the scientific community, academia, faith-based organizations,</w:t>
      </w:r>
      <w:r>
        <w:rPr>
          <w:color w:val="000000" w:themeColor="text1"/>
          <w:szCs w:val="22"/>
        </w:rPr>
        <w:t xml:space="preserve"> the media,</w:t>
      </w:r>
      <w:r w:rsidRPr="1E0835D0">
        <w:rPr>
          <w:color w:val="000000" w:themeColor="text1"/>
          <w:szCs w:val="22"/>
        </w:rPr>
        <w:t xml:space="preserve"> representatives of sectors related to or dependent on biodiversity, among others, to reinforce actions to enhance synergies in the implementation of the </w:t>
      </w:r>
      <w:r>
        <w:rPr>
          <w:color w:val="000000" w:themeColor="text1"/>
          <w:szCs w:val="22"/>
        </w:rPr>
        <w:t>Kunming-Montreal</w:t>
      </w:r>
      <w:r w:rsidRPr="1E0835D0">
        <w:rPr>
          <w:color w:val="000000" w:themeColor="text1"/>
          <w:szCs w:val="22"/>
        </w:rPr>
        <w:t xml:space="preserve"> Global Biodiversity Framework, the Sustainable Development Goals, the biodiversity-related conventions, the Rio conventions and other relevant multilateral agreements and initiatives at the national level, including through their national coordination, planning, review and reporting processes, including through existing common and voluntary reporting platforms such as DaRT, in line with </w:t>
      </w:r>
      <w:r w:rsidRPr="009E5D41">
        <w:rPr>
          <w:color w:val="000000" w:themeColor="text1"/>
          <w:szCs w:val="22"/>
        </w:rPr>
        <w:t>the options</w:t>
      </w:r>
      <w:r w:rsidRPr="1E0835D0">
        <w:rPr>
          <w:color w:val="000000" w:themeColor="text1"/>
          <w:szCs w:val="22"/>
        </w:rPr>
        <w:t xml:space="preserve"> for action at the national level provided in </w:t>
      </w:r>
      <w:r>
        <w:rPr>
          <w:color w:val="000000" w:themeColor="text1"/>
          <w:szCs w:val="22"/>
        </w:rPr>
        <w:t xml:space="preserve">annex I of </w:t>
      </w:r>
      <w:r w:rsidRPr="1E0835D0">
        <w:rPr>
          <w:color w:val="000000" w:themeColor="text1"/>
          <w:szCs w:val="22"/>
        </w:rPr>
        <w:t>decision XIII/24,</w:t>
      </w:r>
      <w:r w:rsidRPr="00FF6DF5">
        <w:rPr>
          <w:rFonts w:eastAsia="MS Mincho"/>
          <w:szCs w:val="22"/>
          <w:lang w:val="en-US" w:eastAsia="zh-CN"/>
        </w:rPr>
        <w:t xml:space="preserve"> </w:t>
      </w:r>
      <w:r w:rsidRPr="1E0835D0">
        <w:rPr>
          <w:color w:val="000000" w:themeColor="text1"/>
          <w:szCs w:val="22"/>
        </w:rPr>
        <w:t>and in accordance with national circumstances and priorities;</w:t>
      </w:r>
      <w:r>
        <w:rPr>
          <w:color w:val="000000" w:themeColor="text1"/>
          <w:szCs w:val="22"/>
        </w:rPr>
        <w:t xml:space="preserve"> </w:t>
      </w:r>
    </w:p>
    <w:p w14:paraId="073DFB88" w14:textId="77777777" w:rsidR="0065659F" w:rsidRDefault="0065659F" w:rsidP="0004654F">
      <w:pPr>
        <w:spacing w:before="120" w:after="120"/>
        <w:ind w:firstLine="851"/>
        <w:rPr>
          <w:color w:val="000000" w:themeColor="text1"/>
          <w:szCs w:val="22"/>
        </w:rPr>
      </w:pPr>
      <w:r w:rsidRPr="1E0835D0">
        <w:rPr>
          <w:color w:val="000000" w:themeColor="text1"/>
          <w:szCs w:val="22"/>
        </w:rPr>
        <w:t>1</w:t>
      </w:r>
      <w:r>
        <w:rPr>
          <w:color w:val="000000" w:themeColor="text1"/>
          <w:szCs w:val="22"/>
        </w:rPr>
        <w:t>1</w:t>
      </w:r>
      <w:r w:rsidRPr="1E0835D0">
        <w:rPr>
          <w:color w:val="000000" w:themeColor="text1"/>
          <w:szCs w:val="22"/>
        </w:rPr>
        <w:t>.</w:t>
      </w:r>
      <w:r>
        <w:tab/>
      </w:r>
      <w:r w:rsidRPr="002A2503">
        <w:rPr>
          <w:i/>
          <w:iCs/>
          <w:color w:val="000000" w:themeColor="text1"/>
          <w:szCs w:val="22"/>
        </w:rPr>
        <w:t>Encourages</w:t>
      </w:r>
      <w:r w:rsidRPr="1E0835D0">
        <w:rPr>
          <w:color w:val="000000" w:themeColor="text1"/>
          <w:szCs w:val="22"/>
        </w:rPr>
        <w:t xml:space="preserve"> Parties to implement the Convention and other biodiversity-related conventions and multilateral agreements to which they are party, in a complementary manner, including in reviewing and updating their national biodiversity strategies and action plans, in order to enable the effective implementation of the </w:t>
      </w:r>
      <w:r>
        <w:rPr>
          <w:color w:val="000000" w:themeColor="text1"/>
          <w:szCs w:val="22"/>
        </w:rPr>
        <w:t>Kunming-Montreal</w:t>
      </w:r>
      <w:r w:rsidRPr="1E0835D0">
        <w:rPr>
          <w:color w:val="000000" w:themeColor="text1"/>
          <w:szCs w:val="22"/>
        </w:rPr>
        <w:t xml:space="preserve"> Global Biodiversity Framework;</w:t>
      </w:r>
      <w:r>
        <w:rPr>
          <w:color w:val="000000" w:themeColor="text1"/>
          <w:szCs w:val="22"/>
        </w:rPr>
        <w:t xml:space="preserve"> </w:t>
      </w:r>
    </w:p>
    <w:p w14:paraId="6FE73C3D" w14:textId="77777777" w:rsidR="0065659F" w:rsidRDefault="0065659F" w:rsidP="0004654F">
      <w:pPr>
        <w:spacing w:before="120" w:after="120"/>
        <w:ind w:firstLine="851"/>
        <w:rPr>
          <w:color w:val="000000" w:themeColor="text1"/>
          <w:szCs w:val="22"/>
        </w:rPr>
      </w:pPr>
      <w:r w:rsidRPr="1E0835D0">
        <w:rPr>
          <w:color w:val="000000" w:themeColor="text1"/>
          <w:szCs w:val="22"/>
        </w:rPr>
        <w:t>1</w:t>
      </w:r>
      <w:r>
        <w:rPr>
          <w:color w:val="000000" w:themeColor="text1"/>
          <w:szCs w:val="22"/>
        </w:rPr>
        <w:t>2</w:t>
      </w:r>
      <w:r w:rsidRPr="1E0835D0">
        <w:rPr>
          <w:color w:val="000000" w:themeColor="text1"/>
          <w:szCs w:val="22"/>
        </w:rPr>
        <w:t>.</w:t>
      </w:r>
      <w:r>
        <w:tab/>
      </w:r>
      <w:r w:rsidRPr="002A2503">
        <w:rPr>
          <w:i/>
          <w:iCs/>
          <w:color w:val="000000" w:themeColor="text1"/>
          <w:szCs w:val="22"/>
        </w:rPr>
        <w:t>Invites</w:t>
      </w:r>
      <w:r w:rsidRPr="1E0835D0">
        <w:rPr>
          <w:color w:val="000000" w:themeColor="text1"/>
          <w:szCs w:val="22"/>
        </w:rPr>
        <w:t xml:space="preserve"> the Global Partnership on Plant Conservation, with the support of the Secretariat, to prepare a set of complementary actions related to plant conservation to support the implementation of the </w:t>
      </w:r>
      <w:r>
        <w:rPr>
          <w:color w:val="000000" w:themeColor="text1"/>
          <w:szCs w:val="22"/>
        </w:rPr>
        <w:t>Kunming-Montreal</w:t>
      </w:r>
      <w:r w:rsidRPr="1E0835D0">
        <w:rPr>
          <w:color w:val="000000" w:themeColor="text1"/>
          <w:szCs w:val="22"/>
        </w:rPr>
        <w:t xml:space="preserve"> Global Biodiversity Framework aligned with the final version of the framework, other relevant decisions adopted by the Conference of the Parties at its fifteenth meeting, as well as previous experiences with the implementation of the Global Strategy for Plant Conservation as described in the fifth edition of the </w:t>
      </w:r>
      <w:r w:rsidRPr="1E0835D0">
        <w:rPr>
          <w:i/>
          <w:iCs/>
          <w:color w:val="000000" w:themeColor="text1"/>
          <w:szCs w:val="22"/>
        </w:rPr>
        <w:t>Global Biodiversity Outlook</w:t>
      </w:r>
      <w:r w:rsidRPr="1E0835D0">
        <w:rPr>
          <w:color w:val="000000" w:themeColor="text1"/>
          <w:szCs w:val="22"/>
        </w:rPr>
        <w:t xml:space="preserve"> and the 2020 Plant Conservation report, to be considered by a meeting of the Subsidiary Body on Scientific, Technical and Technological Advice following the fifteenth meeting of the Conference of the Parties;</w:t>
      </w:r>
      <w:r>
        <w:rPr>
          <w:color w:val="000000" w:themeColor="text1"/>
          <w:szCs w:val="22"/>
        </w:rPr>
        <w:t xml:space="preserve"> </w:t>
      </w:r>
    </w:p>
    <w:p w14:paraId="14FED3F8" w14:textId="77777777" w:rsidR="0065659F" w:rsidRDefault="0065659F" w:rsidP="0004654F">
      <w:pPr>
        <w:spacing w:before="120" w:after="120"/>
        <w:ind w:firstLine="851"/>
        <w:rPr>
          <w:color w:val="000000" w:themeColor="text1"/>
          <w:szCs w:val="22"/>
        </w:rPr>
      </w:pPr>
      <w:r>
        <w:rPr>
          <w:color w:val="000000" w:themeColor="text1"/>
          <w:szCs w:val="22"/>
        </w:rPr>
        <w:lastRenderedPageBreak/>
        <w:t>13.</w:t>
      </w:r>
      <w:r w:rsidRPr="002F3027">
        <w:rPr>
          <w:i/>
          <w:iCs/>
          <w:color w:val="000000" w:themeColor="text1"/>
          <w:szCs w:val="22"/>
        </w:rPr>
        <w:tab/>
        <w:t>Invites</w:t>
      </w:r>
      <w:r w:rsidRPr="00FA2B38">
        <w:rPr>
          <w:color w:val="000000" w:themeColor="text1"/>
          <w:szCs w:val="22"/>
        </w:rPr>
        <w:t xml:space="preserve"> the United Nations Environment Programme to build on the Bern Process and continue to strengthen cooperation and collaboration among biodiversity-related conventions</w:t>
      </w:r>
      <w:r>
        <w:rPr>
          <w:color w:val="000000" w:themeColor="text1"/>
          <w:szCs w:val="22"/>
        </w:rPr>
        <w:t>,</w:t>
      </w:r>
      <w:r w:rsidRPr="00FA2B38">
        <w:rPr>
          <w:color w:val="000000" w:themeColor="text1"/>
          <w:szCs w:val="22"/>
        </w:rPr>
        <w:t xml:space="preserve"> contributing to effective and efficient implementation of the </w:t>
      </w:r>
      <w:r>
        <w:rPr>
          <w:color w:val="000000" w:themeColor="text1"/>
          <w:szCs w:val="22"/>
        </w:rPr>
        <w:t>Kunming-Montreal</w:t>
      </w:r>
      <w:r w:rsidRPr="1E0835D0">
        <w:rPr>
          <w:color w:val="000000" w:themeColor="text1"/>
          <w:szCs w:val="22"/>
        </w:rPr>
        <w:t xml:space="preserve"> </w:t>
      </w:r>
      <w:r w:rsidRPr="00FA2B38">
        <w:rPr>
          <w:color w:val="000000" w:themeColor="text1"/>
          <w:szCs w:val="22"/>
        </w:rPr>
        <w:t>Global Biodiversity Framework by facilitating a process for cooperation among Parties to the relevant biodiversity-related conventions</w:t>
      </w:r>
      <w:r>
        <w:rPr>
          <w:color w:val="000000" w:themeColor="text1"/>
          <w:szCs w:val="22"/>
        </w:rPr>
        <w:t xml:space="preserve">; </w:t>
      </w:r>
    </w:p>
    <w:p w14:paraId="0F16827A" w14:textId="77777777" w:rsidR="0065659F" w:rsidRDefault="0065659F" w:rsidP="0004654F">
      <w:pPr>
        <w:spacing w:before="120" w:after="120"/>
        <w:ind w:firstLine="851"/>
        <w:rPr>
          <w:color w:val="000000" w:themeColor="text1"/>
          <w:szCs w:val="22"/>
        </w:rPr>
      </w:pPr>
      <w:r>
        <w:rPr>
          <w:color w:val="000000" w:themeColor="text1"/>
          <w:szCs w:val="22"/>
        </w:rPr>
        <w:t>14.</w:t>
      </w:r>
      <w:r w:rsidRPr="002F3027">
        <w:rPr>
          <w:i/>
          <w:iCs/>
          <w:color w:val="000000" w:themeColor="text1"/>
          <w:szCs w:val="22"/>
        </w:rPr>
        <w:tab/>
      </w:r>
      <w:r w:rsidRPr="002F3027">
        <w:rPr>
          <w:i/>
          <w:iCs/>
          <w:color w:val="000000" w:themeColor="text1"/>
          <w:szCs w:val="22"/>
          <w:lang w:val="en-US"/>
        </w:rPr>
        <w:t>Requests</w:t>
      </w:r>
      <w:r w:rsidRPr="00FA2B38">
        <w:rPr>
          <w:color w:val="000000" w:themeColor="text1"/>
          <w:szCs w:val="22"/>
          <w:lang w:val="en-US"/>
        </w:rPr>
        <w:t xml:space="preserve"> the Executive Secretary and encourages Parties to actively engage in the Bern process on cooperation among Parties to the various biodiversity-related conventions facilitated by </w:t>
      </w:r>
      <w:r>
        <w:rPr>
          <w:color w:val="000000" w:themeColor="text1"/>
          <w:szCs w:val="22"/>
          <w:lang w:val="en-US"/>
        </w:rPr>
        <w:t xml:space="preserve">the </w:t>
      </w:r>
      <w:r w:rsidRPr="00FA2B38">
        <w:rPr>
          <w:color w:val="000000" w:themeColor="text1"/>
          <w:szCs w:val="22"/>
          <w:lang w:val="en-US"/>
        </w:rPr>
        <w:t>U</w:t>
      </w:r>
      <w:r>
        <w:rPr>
          <w:color w:val="000000" w:themeColor="text1"/>
          <w:szCs w:val="22"/>
          <w:lang w:val="en-US"/>
        </w:rPr>
        <w:t>nited Nations Environment Program</w:t>
      </w:r>
      <w:r w:rsidRPr="00057EC2">
        <w:rPr>
          <w:color w:val="000000" w:themeColor="text1"/>
          <w:szCs w:val="22"/>
          <w:lang w:val="en-US"/>
        </w:rPr>
        <w:t>me,</w:t>
      </w:r>
      <w:r w:rsidRPr="00FA2B38">
        <w:rPr>
          <w:color w:val="000000" w:themeColor="text1"/>
          <w:szCs w:val="22"/>
          <w:lang w:val="en-US"/>
        </w:rPr>
        <w:t xml:space="preserve"> </w:t>
      </w:r>
      <w:r w:rsidRPr="00397F6F">
        <w:rPr>
          <w:color w:val="000000" w:themeColor="text1"/>
          <w:szCs w:val="22"/>
          <w:lang w:val="en-US"/>
        </w:rPr>
        <w:t>contributing</w:t>
      </w:r>
      <w:r w:rsidRPr="00FA2B38">
        <w:rPr>
          <w:color w:val="000000" w:themeColor="text1"/>
          <w:szCs w:val="22"/>
          <w:lang w:val="en-US"/>
        </w:rPr>
        <w:t xml:space="preserve"> to effective and efficient implementation of the </w:t>
      </w:r>
      <w:r>
        <w:rPr>
          <w:color w:val="000000" w:themeColor="text1"/>
          <w:szCs w:val="22"/>
        </w:rPr>
        <w:t>Kunming-Montreal</w:t>
      </w:r>
      <w:r w:rsidRPr="00FA2B38">
        <w:rPr>
          <w:color w:val="000000" w:themeColor="text1"/>
          <w:szCs w:val="22"/>
          <w:lang w:val="en-US"/>
        </w:rPr>
        <w:t xml:space="preserve"> </w:t>
      </w:r>
      <w:r>
        <w:rPr>
          <w:color w:val="000000" w:themeColor="text1"/>
          <w:szCs w:val="22"/>
          <w:lang w:val="en-US"/>
        </w:rPr>
        <w:t>G</w:t>
      </w:r>
      <w:r w:rsidRPr="00FA2B38">
        <w:rPr>
          <w:color w:val="000000" w:themeColor="text1"/>
          <w:szCs w:val="22"/>
          <w:lang w:val="en-US"/>
        </w:rPr>
        <w:t xml:space="preserve">lobal </w:t>
      </w:r>
      <w:r>
        <w:rPr>
          <w:color w:val="000000" w:themeColor="text1"/>
          <w:szCs w:val="22"/>
          <w:lang w:val="en-US"/>
        </w:rPr>
        <w:t>B</w:t>
      </w:r>
      <w:r w:rsidRPr="00FA2B38">
        <w:rPr>
          <w:color w:val="000000" w:themeColor="text1"/>
          <w:szCs w:val="22"/>
          <w:lang w:val="en-US"/>
        </w:rPr>
        <w:t xml:space="preserve">iodiversity </w:t>
      </w:r>
      <w:r>
        <w:rPr>
          <w:color w:val="000000" w:themeColor="text1"/>
          <w:szCs w:val="22"/>
          <w:lang w:val="en-US"/>
        </w:rPr>
        <w:t>F</w:t>
      </w:r>
      <w:r w:rsidRPr="00FA2B38">
        <w:rPr>
          <w:color w:val="000000" w:themeColor="text1"/>
          <w:szCs w:val="22"/>
          <w:lang w:val="en-US"/>
        </w:rPr>
        <w:t>ramework</w:t>
      </w:r>
      <w:r>
        <w:rPr>
          <w:color w:val="000000" w:themeColor="text1"/>
          <w:szCs w:val="22"/>
          <w:lang w:val="en-US"/>
        </w:rPr>
        <w:t xml:space="preserve">; </w:t>
      </w:r>
    </w:p>
    <w:p w14:paraId="6D982A54" w14:textId="77777777" w:rsidR="0065659F" w:rsidRDefault="0065659F" w:rsidP="0004654F">
      <w:pPr>
        <w:spacing w:before="120" w:after="120"/>
        <w:ind w:firstLine="851"/>
        <w:rPr>
          <w:color w:val="000000" w:themeColor="text1"/>
          <w:szCs w:val="22"/>
        </w:rPr>
      </w:pPr>
      <w:r w:rsidRPr="1E0835D0">
        <w:rPr>
          <w:color w:val="000000" w:themeColor="text1"/>
          <w:szCs w:val="22"/>
        </w:rPr>
        <w:t>1</w:t>
      </w:r>
      <w:r>
        <w:rPr>
          <w:color w:val="000000" w:themeColor="text1"/>
          <w:szCs w:val="22"/>
        </w:rPr>
        <w:t>5</w:t>
      </w:r>
      <w:r w:rsidRPr="1E0835D0">
        <w:rPr>
          <w:color w:val="000000" w:themeColor="text1"/>
          <w:szCs w:val="22"/>
        </w:rPr>
        <w:t>.</w:t>
      </w:r>
      <w:r>
        <w:tab/>
      </w:r>
      <w:r w:rsidRPr="002A2503">
        <w:rPr>
          <w:i/>
          <w:iCs/>
          <w:color w:val="000000" w:themeColor="text1"/>
          <w:szCs w:val="22"/>
        </w:rPr>
        <w:t>Requests</w:t>
      </w:r>
      <w:r w:rsidRPr="1E0835D0">
        <w:rPr>
          <w:color w:val="000000" w:themeColor="text1"/>
          <w:szCs w:val="22"/>
        </w:rPr>
        <w:t xml:space="preserve"> the Executive Secretary, subject to the availability of resources: </w:t>
      </w:r>
    </w:p>
    <w:p w14:paraId="019CD892" w14:textId="77777777" w:rsidR="0065659F" w:rsidRDefault="0065659F" w:rsidP="0004654F">
      <w:pPr>
        <w:spacing w:before="120" w:after="120"/>
        <w:ind w:firstLine="851"/>
        <w:rPr>
          <w:color w:val="000000" w:themeColor="text1"/>
          <w:szCs w:val="22"/>
        </w:rPr>
      </w:pPr>
      <w:r w:rsidRPr="1E0835D0">
        <w:rPr>
          <w:color w:val="000000" w:themeColor="text1"/>
          <w:szCs w:val="22"/>
        </w:rPr>
        <w:t>(a)</w:t>
      </w:r>
      <w:r>
        <w:tab/>
      </w:r>
      <w:r w:rsidRPr="1E0835D0">
        <w:rPr>
          <w:color w:val="000000" w:themeColor="text1"/>
          <w:szCs w:val="22"/>
        </w:rPr>
        <w:t xml:space="preserve">To identify, develop and provide </w:t>
      </w:r>
      <w:r>
        <w:rPr>
          <w:color w:val="000000" w:themeColor="text1"/>
          <w:szCs w:val="22"/>
        </w:rPr>
        <w:t>information</w:t>
      </w:r>
      <w:r w:rsidRPr="1E0835D0">
        <w:rPr>
          <w:color w:val="000000" w:themeColor="text1"/>
          <w:szCs w:val="22"/>
        </w:rPr>
        <w:t xml:space="preserve"> and technical support that will help to encourage and assist other biodiversity-related conventions, multilateral environmental agreements, international organizations and other relevant programmes in contributing to the implementation of the </w:t>
      </w:r>
      <w:r>
        <w:rPr>
          <w:color w:val="000000" w:themeColor="text1"/>
          <w:szCs w:val="22"/>
        </w:rPr>
        <w:t>Kunming-Montreal</w:t>
      </w:r>
      <w:r w:rsidRPr="1E0835D0">
        <w:rPr>
          <w:color w:val="000000" w:themeColor="text1"/>
          <w:szCs w:val="22"/>
        </w:rPr>
        <w:t xml:space="preserve"> Global Biodiversity Framework and, in consultation with their secretariats, identify opportunities to cooperate with biodiversity-related conventions and other relevant multilateral environmental agreements and organizations specifically to help achieve the goals and targets of the Framework</w:t>
      </w:r>
      <w:r>
        <w:rPr>
          <w:color w:val="000000" w:themeColor="text1"/>
          <w:szCs w:val="22"/>
        </w:rPr>
        <w:t>,</w:t>
      </w:r>
      <w:r w:rsidRPr="1E0835D0">
        <w:rPr>
          <w:color w:val="000000" w:themeColor="text1"/>
          <w:szCs w:val="22"/>
        </w:rPr>
        <w:t xml:space="preserve"> and provide a list of relevant initiatives and action plans for review by the Subsidiary Body on Implementation at its fourth meeting;</w:t>
      </w:r>
      <w:r>
        <w:rPr>
          <w:color w:val="000000" w:themeColor="text1"/>
          <w:szCs w:val="22"/>
        </w:rPr>
        <w:t xml:space="preserve"> </w:t>
      </w:r>
    </w:p>
    <w:p w14:paraId="792D1CD9" w14:textId="77777777" w:rsidR="0065659F" w:rsidRDefault="0065659F" w:rsidP="0004654F">
      <w:pPr>
        <w:spacing w:before="120" w:after="120"/>
        <w:ind w:firstLine="851"/>
        <w:rPr>
          <w:color w:val="000000" w:themeColor="text1"/>
          <w:szCs w:val="22"/>
        </w:rPr>
      </w:pPr>
      <w:r w:rsidRPr="1E0835D0">
        <w:rPr>
          <w:color w:val="000000" w:themeColor="text1"/>
          <w:szCs w:val="22"/>
        </w:rPr>
        <w:t>(b)</w:t>
      </w:r>
      <w:r>
        <w:tab/>
      </w:r>
      <w:r w:rsidRPr="1E0835D0">
        <w:rPr>
          <w:color w:val="000000" w:themeColor="text1"/>
          <w:szCs w:val="22"/>
        </w:rPr>
        <w:t>In consultation with Parties and the secretariats of the biodiversity-related conventions, other multilateral agreements and international organizations and processes, building wherever possible on existing mechanisms, to continue to implement key actions outlined in decisions 14/30 and XIII/24 to enhance synergies among biodiversity-related conventions and to cooperate with other relevant multilateral agreements at the international level, in a manner consistent with their mandates;</w:t>
      </w:r>
      <w:r>
        <w:rPr>
          <w:color w:val="000000" w:themeColor="text1"/>
          <w:szCs w:val="22"/>
        </w:rPr>
        <w:t xml:space="preserve"> </w:t>
      </w:r>
    </w:p>
    <w:p w14:paraId="52B8996F" w14:textId="77777777" w:rsidR="0065659F" w:rsidRDefault="0065659F" w:rsidP="00EC5114">
      <w:pPr>
        <w:spacing w:before="120" w:after="120"/>
        <w:ind w:firstLine="851"/>
        <w:rPr>
          <w:color w:val="000000" w:themeColor="text1"/>
          <w:szCs w:val="22"/>
        </w:rPr>
      </w:pPr>
      <w:r w:rsidRPr="1E0835D0">
        <w:rPr>
          <w:color w:val="000000" w:themeColor="text1"/>
          <w:szCs w:val="22"/>
          <w:lang w:val="en-US"/>
        </w:rPr>
        <w:t>(</w:t>
      </w:r>
      <w:r>
        <w:rPr>
          <w:color w:val="000000" w:themeColor="text1"/>
          <w:szCs w:val="22"/>
          <w:lang w:val="en-US"/>
        </w:rPr>
        <w:t>c</w:t>
      </w:r>
      <w:r w:rsidRPr="1E0835D0">
        <w:rPr>
          <w:color w:val="000000" w:themeColor="text1"/>
          <w:szCs w:val="22"/>
          <w:lang w:val="en-US"/>
        </w:rPr>
        <w:t xml:space="preserve">) </w:t>
      </w:r>
      <w:r>
        <w:tab/>
      </w:r>
      <w:r w:rsidRPr="1E0835D0">
        <w:rPr>
          <w:color w:val="000000" w:themeColor="text1"/>
          <w:szCs w:val="22"/>
          <w:lang w:val="en-US"/>
        </w:rPr>
        <w:t>To continue working with the Permanent Forum on Indigenous Issues and the Permanent Forum on People of African Descent on topics related to biodiversity and traditional knowledge</w:t>
      </w:r>
      <w:r>
        <w:rPr>
          <w:color w:val="000000" w:themeColor="text1"/>
          <w:szCs w:val="22"/>
          <w:lang w:val="en-US"/>
        </w:rPr>
        <w:t xml:space="preserve">. </w:t>
      </w:r>
    </w:p>
    <w:p w14:paraId="0EE30C39" w14:textId="77777777" w:rsidR="0065659F" w:rsidRDefault="0065659F" w:rsidP="0004654F">
      <w:pPr>
        <w:spacing w:before="120" w:after="120"/>
        <w:ind w:firstLine="851"/>
        <w:rPr>
          <w:color w:val="000000" w:themeColor="text1"/>
          <w:szCs w:val="22"/>
        </w:rPr>
      </w:pPr>
      <w:r w:rsidRPr="1E0835D0">
        <w:rPr>
          <w:color w:val="000000" w:themeColor="text1"/>
          <w:szCs w:val="22"/>
          <w:lang w:val="en-US"/>
        </w:rPr>
        <w:t>1</w:t>
      </w:r>
      <w:r>
        <w:rPr>
          <w:color w:val="000000" w:themeColor="text1"/>
          <w:szCs w:val="22"/>
          <w:lang w:val="en-US"/>
        </w:rPr>
        <w:t>6</w:t>
      </w:r>
      <w:r w:rsidRPr="1E0835D0">
        <w:rPr>
          <w:color w:val="000000" w:themeColor="text1"/>
          <w:szCs w:val="22"/>
          <w:lang w:val="en-US"/>
        </w:rPr>
        <w:t>.</w:t>
      </w:r>
      <w:r>
        <w:tab/>
      </w:r>
      <w:r w:rsidRPr="002A2503">
        <w:rPr>
          <w:i/>
          <w:iCs/>
          <w:color w:val="000000" w:themeColor="text1"/>
          <w:szCs w:val="22"/>
          <w:lang w:val="en-US"/>
        </w:rPr>
        <w:t>Also requests</w:t>
      </w:r>
      <w:r w:rsidRPr="1E0835D0">
        <w:rPr>
          <w:color w:val="000000" w:themeColor="text1"/>
          <w:szCs w:val="22"/>
          <w:lang w:val="en-US"/>
        </w:rPr>
        <w:t xml:space="preserve"> </w:t>
      </w:r>
      <w:r w:rsidRPr="1E0835D0">
        <w:rPr>
          <w:color w:val="000000" w:themeColor="text1"/>
          <w:szCs w:val="22"/>
        </w:rPr>
        <w:t xml:space="preserve">the Executive Secretary and invites the United Nations Educational, Scientific and Cultural Organization and the International Union for Conservation of </w:t>
      </w:r>
      <w:r w:rsidRPr="00057EC2">
        <w:rPr>
          <w:color w:val="000000" w:themeColor="text1"/>
          <w:szCs w:val="22"/>
        </w:rPr>
        <w:t>Nature, subject to the availability of resources, to advance the Joint Programme of Work on the Links between Biological and Cultural Diversity, where appropriate in cooperation with relevant initiatives of Parties, other Governments and other organizations, such as the Intergovernmental</w:t>
      </w:r>
      <w:r w:rsidRPr="1E0835D0">
        <w:rPr>
          <w:color w:val="000000" w:themeColor="text1"/>
          <w:szCs w:val="22"/>
        </w:rPr>
        <w:t xml:space="preserve"> Science-Policy Platform on Biodiversity and Ecosystem Services, and to report on progress to the Subsidiary Body on Implementation and other mechanisms, as appropriate;</w:t>
      </w:r>
      <w:r>
        <w:rPr>
          <w:color w:val="000000" w:themeColor="text1"/>
          <w:szCs w:val="22"/>
        </w:rPr>
        <w:t xml:space="preserve"> </w:t>
      </w:r>
    </w:p>
    <w:p w14:paraId="37589277" w14:textId="77777777" w:rsidR="0065659F" w:rsidRDefault="0065659F" w:rsidP="0037418A">
      <w:pPr>
        <w:ind w:firstLine="851"/>
      </w:pPr>
      <w:r w:rsidRPr="1E0835D0">
        <w:rPr>
          <w:color w:val="000000" w:themeColor="text1"/>
          <w:szCs w:val="22"/>
          <w:lang w:val="en-US"/>
        </w:rPr>
        <w:t>1</w:t>
      </w:r>
      <w:r>
        <w:rPr>
          <w:color w:val="000000" w:themeColor="text1"/>
          <w:szCs w:val="22"/>
          <w:lang w:val="en-US"/>
        </w:rPr>
        <w:t>7</w:t>
      </w:r>
      <w:r w:rsidRPr="1E0835D0">
        <w:rPr>
          <w:color w:val="000000" w:themeColor="text1"/>
          <w:szCs w:val="22"/>
          <w:lang w:val="en-US"/>
        </w:rPr>
        <w:t>.</w:t>
      </w:r>
      <w:r>
        <w:tab/>
      </w:r>
      <w:r w:rsidRPr="00D17C66">
        <w:rPr>
          <w:i/>
          <w:iCs/>
        </w:rPr>
        <w:t xml:space="preserve">Further </w:t>
      </w:r>
      <w:r w:rsidRPr="002A2503">
        <w:rPr>
          <w:i/>
          <w:iCs/>
          <w:color w:val="000000" w:themeColor="text1"/>
          <w:szCs w:val="22"/>
          <w:lang w:val="en-US"/>
        </w:rPr>
        <w:t>requests</w:t>
      </w:r>
      <w:r w:rsidRPr="1E0835D0">
        <w:rPr>
          <w:color w:val="000000" w:themeColor="text1"/>
          <w:szCs w:val="22"/>
          <w:lang w:val="en-US"/>
        </w:rPr>
        <w:t xml:space="preserve"> the Executive Secretary</w:t>
      </w:r>
      <w:r>
        <w:rPr>
          <w:color w:val="000000" w:themeColor="text1"/>
          <w:szCs w:val="22"/>
          <w:lang w:val="en-US"/>
        </w:rPr>
        <w:t>,</w:t>
      </w:r>
      <w:r w:rsidRPr="1E0835D0">
        <w:rPr>
          <w:color w:val="000000" w:themeColor="text1"/>
          <w:szCs w:val="22"/>
          <w:lang w:val="en-US"/>
        </w:rPr>
        <w:t xml:space="preserve"> subject to the availability of resources, </w:t>
      </w:r>
      <w:r>
        <w:rPr>
          <w:color w:val="000000" w:themeColor="text1"/>
          <w:szCs w:val="22"/>
          <w:lang w:val="en-US"/>
        </w:rPr>
        <w:t xml:space="preserve">to exchange information with the World Health Organization on </w:t>
      </w:r>
      <w:r w:rsidRPr="1E0835D0">
        <w:rPr>
          <w:color w:val="000000" w:themeColor="text1"/>
          <w:szCs w:val="22"/>
          <w:lang w:val="en-US"/>
        </w:rPr>
        <w:t xml:space="preserve">access to pathogens and the fair and equitable sharing of the benefits arising from the utilization of genetic resources in </w:t>
      </w:r>
      <w:r>
        <w:rPr>
          <w:color w:val="000000" w:themeColor="text1"/>
          <w:szCs w:val="22"/>
          <w:lang w:val="en-US"/>
        </w:rPr>
        <w:t>the context of</w:t>
      </w:r>
      <w:r w:rsidRPr="1E0835D0">
        <w:rPr>
          <w:color w:val="000000" w:themeColor="text1"/>
          <w:szCs w:val="22"/>
          <w:lang w:val="en-US"/>
        </w:rPr>
        <w:t xml:space="preserve"> ongoing work </w:t>
      </w:r>
      <w:r>
        <w:rPr>
          <w:color w:val="000000" w:themeColor="text1"/>
          <w:szCs w:val="22"/>
          <w:lang w:val="en-US"/>
        </w:rPr>
        <w:t xml:space="preserve">under the World Health Organization </w:t>
      </w:r>
      <w:r w:rsidRPr="1E0835D0">
        <w:rPr>
          <w:color w:val="000000" w:themeColor="text1"/>
          <w:szCs w:val="22"/>
          <w:lang w:val="en-US"/>
        </w:rPr>
        <w:t>on pandemic prevention, preparedness and response.</w:t>
      </w:r>
      <w:r>
        <w:rPr>
          <w:color w:val="000000" w:themeColor="text1"/>
          <w:szCs w:val="22"/>
          <w:lang w:val="en-US"/>
        </w:rPr>
        <w:t xml:space="preserve"> </w:t>
      </w:r>
    </w:p>
    <w:p w14:paraId="56DE69E3" w14:textId="77777777" w:rsidR="00DA0273" w:rsidRDefault="00DA0273" w:rsidP="0037418A">
      <w:pPr>
        <w:pStyle w:val="Para1"/>
        <w:numPr>
          <w:ilvl w:val="0"/>
          <w:numId w:val="0"/>
        </w:numPr>
        <w:shd w:val="clear" w:color="auto" w:fill="FFFFFF" w:themeFill="background1"/>
        <w:jc w:val="center"/>
        <w:sectPr w:rsidR="00DA0273" w:rsidSect="00441700">
          <w:footnotePr>
            <w:numRestart w:val="eachSect"/>
          </w:footnotePr>
          <w:pgSz w:w="12240" w:h="15840"/>
          <w:pgMar w:top="567" w:right="1440" w:bottom="1134" w:left="1440" w:header="709" w:footer="709" w:gutter="0"/>
          <w:cols w:space="708"/>
          <w:docGrid w:linePitch="360"/>
        </w:sectPr>
      </w:pPr>
    </w:p>
    <w:p w14:paraId="3A7CC6FB" w14:textId="77777777" w:rsidR="00DA0273" w:rsidRPr="00060F33" w:rsidRDefault="00DA0273" w:rsidP="00DF7281">
      <w:pPr>
        <w:pStyle w:val="decision"/>
      </w:pPr>
      <w:bookmarkStart w:id="154" w:name="_Toc150438812"/>
      <w:bookmarkStart w:id="155" w:name="_Toc150670512"/>
      <w:bookmarkStart w:id="156" w:name="_Toc150670622"/>
      <w:bookmarkStart w:id="157" w:name="_Toc150761124"/>
      <w:bookmarkStart w:id="158" w:name="_Hlk122214014"/>
      <w:r w:rsidRPr="00710E25">
        <w:lastRenderedPageBreak/>
        <w:t>15/14.</w:t>
      </w:r>
      <w:r w:rsidRPr="00710E25">
        <w:tab/>
        <w:t>Communication</w:t>
      </w:r>
      <w:bookmarkEnd w:id="154"/>
      <w:bookmarkEnd w:id="155"/>
      <w:bookmarkEnd w:id="156"/>
      <w:bookmarkEnd w:id="157"/>
    </w:p>
    <w:p w14:paraId="5FEA689E" w14:textId="77777777" w:rsidR="00DA0273" w:rsidRPr="00060F33" w:rsidRDefault="00DA0273" w:rsidP="00CB2DB9">
      <w:pPr>
        <w:pStyle w:val="Style1"/>
        <w:ind w:firstLine="709"/>
        <w:jc w:val="both"/>
        <w:outlineLvl w:val="9"/>
        <w:rPr>
          <w:b w:val="0"/>
          <w:bCs w:val="0"/>
          <w:i w:val="0"/>
          <w:iCs/>
        </w:rPr>
      </w:pPr>
      <w:bookmarkStart w:id="159" w:name="_Hlk122214358"/>
      <w:r w:rsidRPr="00060F33">
        <w:rPr>
          <w:b w:val="0"/>
          <w:bCs w:val="0"/>
        </w:rPr>
        <w:t>The Conference of the Parties</w:t>
      </w:r>
    </w:p>
    <w:p w14:paraId="3EBC62A5" w14:textId="77777777" w:rsidR="00DA0273" w:rsidRPr="00C928FA" w:rsidRDefault="00DA0273" w:rsidP="00950BE4">
      <w:pPr>
        <w:pStyle w:val="StylePara1Kernat11pt"/>
        <w:numPr>
          <w:ilvl w:val="0"/>
          <w:numId w:val="52"/>
        </w:numPr>
        <w:suppressLineNumbers/>
        <w:suppressAutoHyphens/>
        <w:kinsoku w:val="0"/>
        <w:overflowPunct w:val="0"/>
        <w:autoSpaceDE w:val="0"/>
        <w:autoSpaceDN w:val="0"/>
        <w:adjustRightInd w:val="0"/>
        <w:ind w:left="0" w:firstLine="720"/>
        <w:jc w:val="both"/>
        <w:rPr>
          <w:snapToGrid w:val="0"/>
        </w:rPr>
      </w:pPr>
      <w:r>
        <w:rPr>
          <w:i/>
          <w:iCs/>
          <w:snapToGrid w:val="0"/>
          <w:sz w:val="22"/>
          <w:szCs w:val="22"/>
          <w:lang w:val="en-GB"/>
        </w:rPr>
        <w:t>Adopts</w:t>
      </w:r>
      <w:r w:rsidRPr="00060F33">
        <w:rPr>
          <w:snapToGrid w:val="0"/>
          <w:sz w:val="22"/>
          <w:szCs w:val="22"/>
          <w:lang w:val="en-GB"/>
        </w:rPr>
        <w:t xml:space="preserve"> the communications strategy to support the implementation of the </w:t>
      </w:r>
      <w:r>
        <w:rPr>
          <w:snapToGrid w:val="0"/>
          <w:sz w:val="22"/>
          <w:szCs w:val="22"/>
          <w:lang w:val="en-GB"/>
        </w:rPr>
        <w:t>Kunming-Montreal</w:t>
      </w:r>
      <w:r w:rsidRPr="00060F33">
        <w:rPr>
          <w:snapToGrid w:val="0"/>
          <w:sz w:val="22"/>
          <w:szCs w:val="22"/>
          <w:lang w:val="en-GB"/>
        </w:rPr>
        <w:t xml:space="preserve"> </w:t>
      </w:r>
      <w:r>
        <w:rPr>
          <w:snapToGrid w:val="0"/>
          <w:sz w:val="22"/>
          <w:szCs w:val="22"/>
          <w:lang w:val="en-GB"/>
        </w:rPr>
        <w:t>G</w:t>
      </w:r>
      <w:r w:rsidRPr="00060F33">
        <w:rPr>
          <w:snapToGrid w:val="0"/>
          <w:sz w:val="22"/>
          <w:szCs w:val="22"/>
          <w:lang w:val="en-GB"/>
        </w:rPr>
        <w:t xml:space="preserve">lobal </w:t>
      </w:r>
      <w:r>
        <w:rPr>
          <w:snapToGrid w:val="0"/>
          <w:sz w:val="22"/>
          <w:szCs w:val="22"/>
          <w:lang w:val="en-GB"/>
        </w:rPr>
        <w:t>B</w:t>
      </w:r>
      <w:r w:rsidRPr="00060F33">
        <w:rPr>
          <w:snapToGrid w:val="0"/>
          <w:sz w:val="22"/>
          <w:szCs w:val="22"/>
          <w:lang w:val="en-GB"/>
        </w:rPr>
        <w:t xml:space="preserve">iodiversity </w:t>
      </w:r>
      <w:r w:rsidRPr="00A04EFD">
        <w:rPr>
          <w:snapToGrid w:val="0"/>
          <w:sz w:val="22"/>
          <w:szCs w:val="22"/>
          <w:lang w:val="en-GB"/>
        </w:rPr>
        <w:t xml:space="preserve">Framework </w:t>
      </w:r>
      <w:r>
        <w:rPr>
          <w:snapToGrid w:val="0"/>
          <w:sz w:val="22"/>
          <w:szCs w:val="22"/>
          <w:lang w:val="en-GB"/>
        </w:rPr>
        <w:t xml:space="preserve">contained in the </w:t>
      </w:r>
      <w:r w:rsidRPr="00A04EFD">
        <w:rPr>
          <w:snapToGrid w:val="0"/>
          <w:sz w:val="22"/>
          <w:szCs w:val="22"/>
          <w:lang w:val="en-GB"/>
        </w:rPr>
        <w:t>annex</w:t>
      </w:r>
      <w:r w:rsidRPr="00156E77">
        <w:rPr>
          <w:snapToGrid w:val="0"/>
          <w:sz w:val="22"/>
          <w:szCs w:val="22"/>
          <w:lang w:val="en-GB"/>
        </w:rPr>
        <w:t xml:space="preserve"> to the present decision;</w:t>
      </w:r>
      <w:r w:rsidRPr="00C928FA" w:rsidDel="00E24389">
        <w:rPr>
          <w:snapToGrid w:val="0"/>
          <w:sz w:val="22"/>
          <w:szCs w:val="22"/>
          <w:lang w:val="en-GB"/>
        </w:rPr>
        <w:t xml:space="preserve"> </w:t>
      </w:r>
    </w:p>
    <w:p w14:paraId="5C212756" w14:textId="77777777" w:rsidR="00DA0273" w:rsidRPr="00060F33" w:rsidRDefault="00DA0273" w:rsidP="00950BE4">
      <w:pPr>
        <w:pStyle w:val="StylePara1Kernat11pt"/>
        <w:numPr>
          <w:ilvl w:val="0"/>
          <w:numId w:val="52"/>
        </w:numPr>
        <w:suppressLineNumbers/>
        <w:suppressAutoHyphens/>
        <w:kinsoku w:val="0"/>
        <w:overflowPunct w:val="0"/>
        <w:autoSpaceDE w:val="0"/>
        <w:autoSpaceDN w:val="0"/>
        <w:adjustRightInd w:val="0"/>
        <w:ind w:left="0" w:firstLine="720"/>
        <w:jc w:val="both"/>
        <w:rPr>
          <w:iCs/>
          <w:snapToGrid w:val="0"/>
          <w:sz w:val="22"/>
          <w:szCs w:val="22"/>
          <w:lang w:val="en-GB"/>
        </w:rPr>
      </w:pPr>
      <w:r w:rsidRPr="00C928FA">
        <w:rPr>
          <w:i/>
          <w:snapToGrid w:val="0"/>
          <w:sz w:val="22"/>
          <w:szCs w:val="22"/>
          <w:lang w:val="en-GB"/>
        </w:rPr>
        <w:t>Decides</w:t>
      </w:r>
      <w:r w:rsidRPr="00C928FA">
        <w:rPr>
          <w:iCs/>
          <w:snapToGrid w:val="0"/>
          <w:sz w:val="22"/>
          <w:szCs w:val="22"/>
          <w:lang w:val="en-GB"/>
        </w:rPr>
        <w:t xml:space="preserve"> to renew the mandate of the Informal Advisory Committee</w:t>
      </w:r>
      <w:r w:rsidRPr="00060F33">
        <w:rPr>
          <w:iCs/>
          <w:snapToGrid w:val="0"/>
          <w:sz w:val="22"/>
          <w:szCs w:val="22"/>
          <w:lang w:val="en-GB"/>
        </w:rPr>
        <w:t xml:space="preserve"> on Communication, Education and Public Awareness</w:t>
      </w:r>
      <w:r w:rsidRPr="00610646">
        <w:rPr>
          <w:rStyle w:val="FootnoteReference"/>
        </w:rPr>
        <w:footnoteReference w:id="135"/>
      </w:r>
      <w:r w:rsidRPr="00060F33">
        <w:rPr>
          <w:iCs/>
          <w:snapToGrid w:val="0"/>
          <w:sz w:val="22"/>
          <w:szCs w:val="22"/>
          <w:lang w:val="en-GB"/>
        </w:rPr>
        <w:t xml:space="preserve"> until 2030, with members nominated by Parties, considering regional balance, and indigenous peoples and local communities, and ensuring continued representation of youth organizations and other relevant organizations;</w:t>
      </w:r>
    </w:p>
    <w:p w14:paraId="7EEEEE72" w14:textId="77777777" w:rsidR="00DA0273" w:rsidRPr="00060F33" w:rsidRDefault="00DA0273" w:rsidP="00950BE4">
      <w:pPr>
        <w:pStyle w:val="StylePara1Kernat11pt"/>
        <w:numPr>
          <w:ilvl w:val="0"/>
          <w:numId w:val="52"/>
        </w:numPr>
        <w:suppressLineNumbers/>
        <w:suppressAutoHyphens/>
        <w:kinsoku w:val="0"/>
        <w:overflowPunct w:val="0"/>
        <w:autoSpaceDE w:val="0"/>
        <w:autoSpaceDN w:val="0"/>
        <w:adjustRightInd w:val="0"/>
        <w:ind w:left="0" w:firstLine="709"/>
        <w:jc w:val="both"/>
        <w:rPr>
          <w:iCs/>
          <w:snapToGrid w:val="0"/>
          <w:sz w:val="22"/>
          <w:szCs w:val="22"/>
          <w:lang w:val="en-GB"/>
        </w:rPr>
      </w:pPr>
      <w:r w:rsidRPr="00A75878">
        <w:rPr>
          <w:i/>
          <w:snapToGrid w:val="0"/>
          <w:sz w:val="22"/>
          <w:szCs w:val="22"/>
          <w:lang w:val="en-GB"/>
        </w:rPr>
        <w:t>Requests</w:t>
      </w:r>
      <w:r w:rsidRPr="00A75878">
        <w:rPr>
          <w:iCs/>
          <w:snapToGrid w:val="0"/>
          <w:sz w:val="22"/>
          <w:szCs w:val="22"/>
          <w:lang w:val="en-GB"/>
        </w:rPr>
        <w:t xml:space="preserve"> the Informal Advisory Committee on Communication, Education and Public Awareness to (a) further develop action-oriented key messages of the communications strategy to inform and mobilize action from all actors, private and public, (b) revise the communications strategy to align it with decision 15/4 on the </w:t>
      </w:r>
      <w:r w:rsidRPr="00A75878">
        <w:rPr>
          <w:snapToGrid w:val="0"/>
          <w:sz w:val="22"/>
          <w:szCs w:val="22"/>
          <w:lang w:val="en-GB"/>
        </w:rPr>
        <w:t>Kunming-Montreal Global Biodiversity Framework</w:t>
      </w:r>
      <w:r w:rsidRPr="00BA6A7B">
        <w:rPr>
          <w:iCs/>
          <w:snapToGrid w:val="0"/>
          <w:sz w:val="22"/>
          <w:szCs w:val="22"/>
          <w:lang w:val="en-GB"/>
        </w:rPr>
        <w:t>, and (c) advise the Executive Secretary regarding the implementation of the communications</w:t>
      </w:r>
      <w:r w:rsidRPr="00060F33">
        <w:rPr>
          <w:iCs/>
          <w:snapToGrid w:val="0"/>
          <w:sz w:val="22"/>
          <w:szCs w:val="22"/>
          <w:lang w:val="en-GB"/>
        </w:rPr>
        <w:t xml:space="preserve"> strategy in accordance with the timeline set out in the annex </w:t>
      </w:r>
      <w:r>
        <w:rPr>
          <w:iCs/>
          <w:snapToGrid w:val="0"/>
          <w:sz w:val="22"/>
          <w:szCs w:val="22"/>
          <w:lang w:val="en-GB"/>
        </w:rPr>
        <w:t>to the present decision</w:t>
      </w:r>
      <w:r w:rsidRPr="00060F33">
        <w:rPr>
          <w:iCs/>
          <w:snapToGrid w:val="0"/>
          <w:sz w:val="22"/>
          <w:szCs w:val="22"/>
          <w:lang w:val="en-GB"/>
        </w:rPr>
        <w:t xml:space="preserve">; </w:t>
      </w:r>
    </w:p>
    <w:p w14:paraId="2F3E944F" w14:textId="77777777" w:rsidR="00DA0273" w:rsidRPr="00060F33" w:rsidRDefault="00DA0273" w:rsidP="00950BE4">
      <w:pPr>
        <w:pStyle w:val="StylePara1Kernat11pt"/>
        <w:numPr>
          <w:ilvl w:val="0"/>
          <w:numId w:val="52"/>
        </w:numPr>
        <w:suppressLineNumbers/>
        <w:suppressAutoHyphens/>
        <w:kinsoku w:val="0"/>
        <w:overflowPunct w:val="0"/>
        <w:autoSpaceDE w:val="0"/>
        <w:autoSpaceDN w:val="0"/>
        <w:adjustRightInd w:val="0"/>
        <w:ind w:left="0" w:firstLine="720"/>
        <w:jc w:val="both"/>
        <w:rPr>
          <w:iCs/>
          <w:snapToGrid w:val="0"/>
          <w:sz w:val="22"/>
          <w:szCs w:val="22"/>
          <w:lang w:val="en-GB"/>
        </w:rPr>
      </w:pPr>
      <w:r w:rsidRPr="00060F33">
        <w:rPr>
          <w:i/>
          <w:snapToGrid w:val="0"/>
          <w:sz w:val="22"/>
          <w:szCs w:val="22"/>
          <w:lang w:val="en-GB"/>
        </w:rPr>
        <w:t>Encourages</w:t>
      </w:r>
      <w:r w:rsidRPr="00060F33">
        <w:rPr>
          <w:iCs/>
          <w:snapToGrid w:val="0"/>
          <w:sz w:val="22"/>
          <w:szCs w:val="22"/>
          <w:lang w:val="en-GB"/>
        </w:rPr>
        <w:t xml:space="preserve"> Parties and invites all stakeholders to share and make use of the communications messages through relevant media channels and social media, especially action-oriented messages, in order to inform and mobilize action from all actors, private and public, and </w:t>
      </w:r>
      <w:r>
        <w:rPr>
          <w:iCs/>
          <w:snapToGrid w:val="0"/>
          <w:sz w:val="22"/>
          <w:szCs w:val="22"/>
          <w:lang w:val="en-GB"/>
        </w:rPr>
        <w:t xml:space="preserve">to </w:t>
      </w:r>
      <w:r w:rsidRPr="00060F33">
        <w:rPr>
          <w:iCs/>
          <w:snapToGrid w:val="0"/>
          <w:sz w:val="22"/>
          <w:szCs w:val="22"/>
          <w:lang w:val="en-GB"/>
        </w:rPr>
        <w:t>endeavour to mobilize adequate human and financial resources to carry out these tasks;</w:t>
      </w:r>
    </w:p>
    <w:p w14:paraId="0ECC6F26" w14:textId="77777777" w:rsidR="00DA0273" w:rsidRPr="00060F33" w:rsidRDefault="00DA0273" w:rsidP="00950BE4">
      <w:pPr>
        <w:pStyle w:val="StylePara1Kernat11pt"/>
        <w:numPr>
          <w:ilvl w:val="0"/>
          <w:numId w:val="52"/>
        </w:numPr>
        <w:suppressLineNumbers/>
        <w:suppressAutoHyphens/>
        <w:kinsoku w:val="0"/>
        <w:overflowPunct w:val="0"/>
        <w:autoSpaceDE w:val="0"/>
        <w:autoSpaceDN w:val="0"/>
        <w:adjustRightInd w:val="0"/>
        <w:ind w:left="0" w:firstLine="720"/>
        <w:jc w:val="both"/>
        <w:rPr>
          <w:iCs/>
          <w:snapToGrid w:val="0"/>
          <w:sz w:val="22"/>
          <w:szCs w:val="22"/>
          <w:lang w:val="en-GB"/>
        </w:rPr>
      </w:pPr>
      <w:r w:rsidRPr="00060F33">
        <w:rPr>
          <w:i/>
          <w:snapToGrid w:val="0"/>
          <w:sz w:val="22"/>
          <w:szCs w:val="22"/>
          <w:lang w:val="en-GB"/>
        </w:rPr>
        <w:t>Invites</w:t>
      </w:r>
      <w:r w:rsidRPr="00060F33">
        <w:rPr>
          <w:iCs/>
          <w:snapToGrid w:val="0"/>
          <w:sz w:val="22"/>
          <w:szCs w:val="22"/>
          <w:lang w:val="en-GB"/>
        </w:rPr>
        <w:t xml:space="preserve"> other international organizations, businesses, civil society and other relevant stakeholders to support the implementation of the communications strategy; </w:t>
      </w:r>
    </w:p>
    <w:p w14:paraId="53D0AD1D" w14:textId="77777777" w:rsidR="00DA0273" w:rsidRPr="00060F33" w:rsidRDefault="00DA0273" w:rsidP="00950BE4">
      <w:pPr>
        <w:pStyle w:val="StylePara1Kernat11pt"/>
        <w:numPr>
          <w:ilvl w:val="0"/>
          <w:numId w:val="52"/>
        </w:numPr>
        <w:suppressLineNumbers/>
        <w:suppressAutoHyphens/>
        <w:kinsoku w:val="0"/>
        <w:overflowPunct w:val="0"/>
        <w:autoSpaceDE w:val="0"/>
        <w:autoSpaceDN w:val="0"/>
        <w:adjustRightInd w:val="0"/>
        <w:ind w:left="0" w:firstLine="720"/>
        <w:jc w:val="both"/>
        <w:rPr>
          <w:iCs/>
          <w:snapToGrid w:val="0"/>
          <w:sz w:val="22"/>
          <w:szCs w:val="22"/>
          <w:lang w:val="en-GB"/>
        </w:rPr>
      </w:pPr>
      <w:r w:rsidRPr="00060F33">
        <w:rPr>
          <w:i/>
          <w:snapToGrid w:val="0"/>
          <w:sz w:val="22"/>
          <w:szCs w:val="22"/>
          <w:lang w:val="en-GB"/>
        </w:rPr>
        <w:t>Welcomes</w:t>
      </w:r>
      <w:r w:rsidRPr="00060F33">
        <w:rPr>
          <w:iCs/>
          <w:snapToGrid w:val="0"/>
          <w:sz w:val="22"/>
          <w:szCs w:val="22"/>
          <w:lang w:val="en-GB"/>
        </w:rPr>
        <w:t xml:space="preserve"> the efforts by Parties, other Governments, indigenous peoples and local communities</w:t>
      </w:r>
      <w:r>
        <w:rPr>
          <w:iCs/>
          <w:snapToGrid w:val="0"/>
          <w:sz w:val="22"/>
          <w:szCs w:val="22"/>
          <w:lang w:val="en-GB"/>
        </w:rPr>
        <w:t>,</w:t>
      </w:r>
      <w:r w:rsidRPr="00060F33">
        <w:rPr>
          <w:iCs/>
          <w:snapToGrid w:val="0"/>
          <w:sz w:val="22"/>
          <w:szCs w:val="22"/>
          <w:lang w:val="en-GB"/>
        </w:rPr>
        <w:t xml:space="preserve"> and stakeholders to foster wide public support for a strong </w:t>
      </w:r>
      <w:r>
        <w:rPr>
          <w:snapToGrid w:val="0"/>
          <w:sz w:val="22"/>
          <w:szCs w:val="22"/>
          <w:lang w:val="en-GB"/>
        </w:rPr>
        <w:t>Kunming-Montreal</w:t>
      </w:r>
      <w:r w:rsidRPr="00060F33">
        <w:rPr>
          <w:snapToGrid w:val="0"/>
          <w:sz w:val="22"/>
          <w:szCs w:val="22"/>
          <w:lang w:val="en-GB"/>
        </w:rPr>
        <w:t xml:space="preserve"> </w:t>
      </w:r>
      <w:r>
        <w:rPr>
          <w:snapToGrid w:val="0"/>
          <w:sz w:val="22"/>
          <w:szCs w:val="22"/>
          <w:lang w:val="en-GB"/>
        </w:rPr>
        <w:t>G</w:t>
      </w:r>
      <w:r w:rsidRPr="00060F33">
        <w:rPr>
          <w:snapToGrid w:val="0"/>
          <w:sz w:val="22"/>
          <w:szCs w:val="22"/>
          <w:lang w:val="en-GB"/>
        </w:rPr>
        <w:t xml:space="preserve">lobal </w:t>
      </w:r>
      <w:r>
        <w:rPr>
          <w:snapToGrid w:val="0"/>
          <w:sz w:val="22"/>
          <w:szCs w:val="22"/>
          <w:lang w:val="en-GB"/>
        </w:rPr>
        <w:t>B</w:t>
      </w:r>
      <w:r w:rsidRPr="00060F33">
        <w:rPr>
          <w:snapToGrid w:val="0"/>
          <w:sz w:val="22"/>
          <w:szCs w:val="22"/>
          <w:lang w:val="en-GB"/>
        </w:rPr>
        <w:t xml:space="preserve">iodiversity </w:t>
      </w:r>
      <w:r>
        <w:rPr>
          <w:snapToGrid w:val="0"/>
          <w:sz w:val="22"/>
          <w:szCs w:val="22"/>
          <w:lang w:val="en-GB"/>
        </w:rPr>
        <w:t>F</w:t>
      </w:r>
      <w:r w:rsidRPr="00060F33">
        <w:rPr>
          <w:snapToGrid w:val="0"/>
          <w:sz w:val="22"/>
          <w:szCs w:val="22"/>
          <w:lang w:val="en-GB"/>
        </w:rPr>
        <w:t>ramework</w:t>
      </w:r>
      <w:r w:rsidRPr="00060F33">
        <w:rPr>
          <w:iCs/>
          <w:snapToGrid w:val="0"/>
          <w:sz w:val="22"/>
          <w:szCs w:val="22"/>
          <w:lang w:val="en-GB"/>
        </w:rPr>
        <w:t>;</w:t>
      </w:r>
    </w:p>
    <w:p w14:paraId="078E271A" w14:textId="77777777" w:rsidR="00DA0273" w:rsidRPr="00060F33" w:rsidRDefault="00DA0273" w:rsidP="00950BE4">
      <w:pPr>
        <w:pStyle w:val="StylePara1Kernat11pt"/>
        <w:numPr>
          <w:ilvl w:val="0"/>
          <w:numId w:val="52"/>
        </w:numPr>
        <w:suppressLineNumbers/>
        <w:suppressAutoHyphens/>
        <w:kinsoku w:val="0"/>
        <w:overflowPunct w:val="0"/>
        <w:autoSpaceDE w:val="0"/>
        <w:autoSpaceDN w:val="0"/>
        <w:adjustRightInd w:val="0"/>
        <w:ind w:left="0" w:firstLine="720"/>
        <w:jc w:val="both"/>
        <w:rPr>
          <w:iCs/>
          <w:snapToGrid w:val="0"/>
          <w:sz w:val="22"/>
          <w:szCs w:val="22"/>
          <w:lang w:val="en-GB"/>
        </w:rPr>
      </w:pPr>
      <w:r w:rsidRPr="00060F33">
        <w:rPr>
          <w:i/>
          <w:snapToGrid w:val="0"/>
          <w:sz w:val="22"/>
          <w:szCs w:val="22"/>
          <w:lang w:val="en-GB"/>
        </w:rPr>
        <w:t>Requests</w:t>
      </w:r>
      <w:r w:rsidRPr="00060F33">
        <w:rPr>
          <w:iCs/>
          <w:snapToGrid w:val="0"/>
          <w:sz w:val="22"/>
          <w:szCs w:val="22"/>
          <w:lang w:val="en-GB"/>
        </w:rPr>
        <w:t xml:space="preserve"> the Executive Secretary:</w:t>
      </w:r>
    </w:p>
    <w:p w14:paraId="737EC3B2" w14:textId="77777777" w:rsidR="00DA0273" w:rsidRPr="00060F33" w:rsidRDefault="00DA0273" w:rsidP="00950BE4">
      <w:pPr>
        <w:pStyle w:val="StylePara1Kernat11pt"/>
        <w:numPr>
          <w:ilvl w:val="1"/>
          <w:numId w:val="51"/>
        </w:numPr>
        <w:suppressLineNumbers/>
        <w:suppressAutoHyphens/>
        <w:kinsoku w:val="0"/>
        <w:overflowPunct w:val="0"/>
        <w:autoSpaceDE w:val="0"/>
        <w:autoSpaceDN w:val="0"/>
        <w:adjustRightInd w:val="0"/>
        <w:ind w:left="0" w:firstLine="709"/>
        <w:jc w:val="both"/>
        <w:rPr>
          <w:iCs/>
          <w:snapToGrid w:val="0"/>
          <w:sz w:val="22"/>
          <w:szCs w:val="22"/>
          <w:lang w:val="en-GB"/>
        </w:rPr>
      </w:pPr>
      <w:r w:rsidRPr="00060F33">
        <w:rPr>
          <w:iCs/>
          <w:snapToGrid w:val="0"/>
          <w:sz w:val="22"/>
          <w:szCs w:val="22"/>
          <w:lang w:val="en-GB"/>
        </w:rPr>
        <w:t>To convene, subject to the availability of resources, one in-person meeting of the Informal Advisory Committee on Communication</w:t>
      </w:r>
      <w:r>
        <w:rPr>
          <w:iCs/>
          <w:snapToGrid w:val="0"/>
          <w:sz w:val="22"/>
          <w:szCs w:val="22"/>
          <w:lang w:val="en-GB"/>
        </w:rPr>
        <w:t>,</w:t>
      </w:r>
      <w:r w:rsidRPr="00060F33">
        <w:rPr>
          <w:iCs/>
          <w:snapToGrid w:val="0"/>
          <w:sz w:val="22"/>
          <w:szCs w:val="22"/>
          <w:lang w:val="en-GB"/>
        </w:rPr>
        <w:t xml:space="preserve"> Education and Public Awareness during each intersessional period, and meetings through virtual means when needed;</w:t>
      </w:r>
    </w:p>
    <w:p w14:paraId="612666CB" w14:textId="77777777" w:rsidR="00DA0273" w:rsidRPr="00060F33" w:rsidRDefault="00DA0273" w:rsidP="00950BE4">
      <w:pPr>
        <w:pStyle w:val="StylePara1Kernat11pt"/>
        <w:numPr>
          <w:ilvl w:val="1"/>
          <w:numId w:val="51"/>
        </w:numPr>
        <w:suppressLineNumbers/>
        <w:suppressAutoHyphens/>
        <w:kinsoku w:val="0"/>
        <w:overflowPunct w:val="0"/>
        <w:autoSpaceDE w:val="0"/>
        <w:autoSpaceDN w:val="0"/>
        <w:adjustRightInd w:val="0"/>
        <w:ind w:left="0" w:firstLine="709"/>
        <w:jc w:val="both"/>
        <w:rPr>
          <w:iCs/>
          <w:snapToGrid w:val="0"/>
          <w:sz w:val="22"/>
          <w:szCs w:val="22"/>
          <w:lang w:val="en-GB"/>
        </w:rPr>
      </w:pPr>
      <w:r w:rsidRPr="00060F33">
        <w:rPr>
          <w:iCs/>
          <w:snapToGrid w:val="0"/>
          <w:sz w:val="22"/>
          <w:szCs w:val="22"/>
          <w:lang w:val="en-GB"/>
        </w:rPr>
        <w:t xml:space="preserve">To support the implementation of the communications strategy for the </w:t>
      </w:r>
      <w:r>
        <w:rPr>
          <w:snapToGrid w:val="0"/>
          <w:sz w:val="22"/>
          <w:szCs w:val="22"/>
          <w:lang w:val="en-GB"/>
        </w:rPr>
        <w:t>Kunming-Montreal</w:t>
      </w:r>
      <w:r w:rsidRPr="00060F33">
        <w:rPr>
          <w:snapToGrid w:val="0"/>
          <w:sz w:val="22"/>
          <w:szCs w:val="22"/>
          <w:lang w:val="en-GB"/>
        </w:rPr>
        <w:t xml:space="preserve"> </w:t>
      </w:r>
      <w:r>
        <w:rPr>
          <w:snapToGrid w:val="0"/>
          <w:sz w:val="22"/>
          <w:szCs w:val="22"/>
          <w:lang w:val="en-GB"/>
        </w:rPr>
        <w:t>G</w:t>
      </w:r>
      <w:r w:rsidRPr="00060F33">
        <w:rPr>
          <w:snapToGrid w:val="0"/>
          <w:sz w:val="22"/>
          <w:szCs w:val="22"/>
          <w:lang w:val="en-GB"/>
        </w:rPr>
        <w:t xml:space="preserve">lobal </w:t>
      </w:r>
      <w:r>
        <w:rPr>
          <w:snapToGrid w:val="0"/>
          <w:sz w:val="22"/>
          <w:szCs w:val="22"/>
          <w:lang w:val="en-GB"/>
        </w:rPr>
        <w:t>B</w:t>
      </w:r>
      <w:r w:rsidRPr="00060F33">
        <w:rPr>
          <w:snapToGrid w:val="0"/>
          <w:sz w:val="22"/>
          <w:szCs w:val="22"/>
          <w:lang w:val="en-GB"/>
        </w:rPr>
        <w:t xml:space="preserve">iodiversity </w:t>
      </w:r>
      <w:r>
        <w:rPr>
          <w:snapToGrid w:val="0"/>
          <w:sz w:val="22"/>
          <w:szCs w:val="22"/>
          <w:lang w:val="en-GB"/>
        </w:rPr>
        <w:t>F</w:t>
      </w:r>
      <w:r w:rsidRPr="00060F33">
        <w:rPr>
          <w:snapToGrid w:val="0"/>
          <w:sz w:val="22"/>
          <w:szCs w:val="22"/>
          <w:lang w:val="en-GB"/>
        </w:rPr>
        <w:t>ramework</w:t>
      </w:r>
      <w:r w:rsidRPr="00060F33">
        <w:rPr>
          <w:iCs/>
          <w:snapToGrid w:val="0"/>
          <w:sz w:val="22"/>
          <w:szCs w:val="22"/>
          <w:lang w:val="en-GB"/>
        </w:rPr>
        <w:t xml:space="preserve">, with advice from the Informal Advisory Committee on Communication, Education and Public Awareness; </w:t>
      </w:r>
    </w:p>
    <w:p w14:paraId="19425F94" w14:textId="77777777" w:rsidR="00DA0273" w:rsidRPr="00226C8F" w:rsidRDefault="00DA0273" w:rsidP="00950BE4">
      <w:pPr>
        <w:pStyle w:val="StylePara1Kernat11pt"/>
        <w:numPr>
          <w:ilvl w:val="0"/>
          <w:numId w:val="52"/>
        </w:numPr>
        <w:suppressLineNumbers/>
        <w:suppressAutoHyphens/>
        <w:kinsoku w:val="0"/>
        <w:overflowPunct w:val="0"/>
        <w:autoSpaceDE w:val="0"/>
        <w:autoSpaceDN w:val="0"/>
        <w:adjustRightInd w:val="0"/>
        <w:ind w:left="0" w:firstLine="720"/>
        <w:jc w:val="both"/>
        <w:rPr>
          <w:iCs/>
          <w:snapToGrid w:val="0"/>
          <w:sz w:val="22"/>
          <w:szCs w:val="22"/>
          <w:lang w:val="en-GB"/>
        </w:rPr>
      </w:pPr>
      <w:r w:rsidRPr="00226C8F">
        <w:rPr>
          <w:i/>
          <w:snapToGrid w:val="0"/>
          <w:sz w:val="22"/>
          <w:szCs w:val="22"/>
          <w:lang w:val="en-GB"/>
        </w:rPr>
        <w:t>Also requests</w:t>
      </w:r>
      <w:r w:rsidRPr="00226C8F">
        <w:rPr>
          <w:iCs/>
          <w:snapToGrid w:val="0"/>
          <w:sz w:val="22"/>
          <w:szCs w:val="22"/>
          <w:lang w:val="en-GB"/>
        </w:rPr>
        <w:t xml:space="preserve"> the Executive Secretary, within available resources and in coordination with Parties and stakeholders, to support the range of communications activities needed for the following initiatives in the upcoming biennium:</w:t>
      </w:r>
    </w:p>
    <w:p w14:paraId="22595E79" w14:textId="77777777" w:rsidR="00DA0273" w:rsidRPr="00226C8F" w:rsidRDefault="00DA0273" w:rsidP="00CB2DB9">
      <w:pPr>
        <w:pStyle w:val="StylePara1Kernat11pt"/>
        <w:suppressLineNumbers/>
        <w:suppressAutoHyphens/>
        <w:kinsoku w:val="0"/>
        <w:overflowPunct w:val="0"/>
        <w:autoSpaceDE w:val="0"/>
        <w:autoSpaceDN w:val="0"/>
        <w:adjustRightInd w:val="0"/>
        <w:ind w:firstLine="709"/>
        <w:jc w:val="both"/>
        <w:rPr>
          <w:iCs/>
          <w:snapToGrid w:val="0"/>
          <w:sz w:val="22"/>
          <w:szCs w:val="22"/>
          <w:lang w:val="en-GB"/>
        </w:rPr>
      </w:pPr>
      <w:r w:rsidRPr="00226C8F">
        <w:rPr>
          <w:iCs/>
          <w:snapToGrid w:val="0"/>
          <w:sz w:val="22"/>
          <w:szCs w:val="22"/>
          <w:lang w:val="en-GB"/>
        </w:rPr>
        <w:t>(a)</w:t>
      </w:r>
      <w:r w:rsidRPr="00226C8F">
        <w:rPr>
          <w:iCs/>
          <w:snapToGrid w:val="0"/>
          <w:sz w:val="22"/>
          <w:szCs w:val="22"/>
          <w:lang w:val="en-GB"/>
        </w:rPr>
        <w:tab/>
        <w:t>Continue to work on the activities listed in the note by the Executive Secretary,</w:t>
      </w:r>
      <w:r w:rsidRPr="00610646">
        <w:rPr>
          <w:rStyle w:val="FootnoteReference"/>
        </w:rPr>
        <w:footnoteReference w:id="136"/>
      </w:r>
      <w:r w:rsidRPr="00226C8F">
        <w:rPr>
          <w:iCs/>
          <w:snapToGrid w:val="0"/>
          <w:sz w:val="22"/>
          <w:szCs w:val="22"/>
          <w:lang w:val="en-GB"/>
        </w:rPr>
        <w:t xml:space="preserve"> including the annual celebrations of the International Day for Biological Diversity, the CEPA Fair, the development of social media and communication platforms for engagement with stakeholders and partners, and further develop these activities;</w:t>
      </w:r>
    </w:p>
    <w:p w14:paraId="598A1A27" w14:textId="77777777" w:rsidR="00DA0273" w:rsidRPr="00226C8F" w:rsidRDefault="00DA0273" w:rsidP="00CB2DB9">
      <w:pPr>
        <w:pStyle w:val="StylePara1Kernat11pt"/>
        <w:suppressLineNumbers/>
        <w:suppressAutoHyphens/>
        <w:kinsoku w:val="0"/>
        <w:overflowPunct w:val="0"/>
        <w:autoSpaceDE w:val="0"/>
        <w:autoSpaceDN w:val="0"/>
        <w:adjustRightInd w:val="0"/>
        <w:ind w:firstLine="709"/>
        <w:jc w:val="both"/>
        <w:rPr>
          <w:iCs/>
          <w:snapToGrid w:val="0"/>
          <w:sz w:val="22"/>
          <w:szCs w:val="22"/>
          <w:lang w:val="en-GB"/>
        </w:rPr>
      </w:pPr>
      <w:r w:rsidRPr="00226C8F">
        <w:rPr>
          <w:iCs/>
          <w:snapToGrid w:val="0"/>
          <w:sz w:val="22"/>
          <w:szCs w:val="22"/>
          <w:lang w:val="en-GB"/>
        </w:rPr>
        <w:t>(b)</w:t>
      </w:r>
      <w:r w:rsidRPr="00226C8F">
        <w:rPr>
          <w:iCs/>
          <w:snapToGrid w:val="0"/>
          <w:sz w:val="22"/>
          <w:szCs w:val="22"/>
          <w:lang w:val="en-GB"/>
        </w:rPr>
        <w:tab/>
        <w:t xml:space="preserve">Continue to develop corporate communications for the Secretariat, including support for a dynamic and growing use of social media, traditional media outreach, continued work to redesign the website, and development of new and ongoing communications campaigns; </w:t>
      </w:r>
    </w:p>
    <w:p w14:paraId="221A2DF9" w14:textId="77777777" w:rsidR="00DA0273" w:rsidRPr="00226C8F" w:rsidRDefault="00DA0273" w:rsidP="00CB2DB9">
      <w:pPr>
        <w:pStyle w:val="StylePara1Kernat11pt"/>
        <w:suppressLineNumbers/>
        <w:suppressAutoHyphens/>
        <w:kinsoku w:val="0"/>
        <w:overflowPunct w:val="0"/>
        <w:autoSpaceDE w:val="0"/>
        <w:autoSpaceDN w:val="0"/>
        <w:adjustRightInd w:val="0"/>
        <w:ind w:firstLine="709"/>
        <w:jc w:val="both"/>
        <w:rPr>
          <w:iCs/>
          <w:snapToGrid w:val="0"/>
          <w:sz w:val="22"/>
          <w:szCs w:val="22"/>
          <w:lang w:val="en-GB"/>
        </w:rPr>
      </w:pPr>
      <w:r w:rsidRPr="00226C8F">
        <w:rPr>
          <w:iCs/>
          <w:snapToGrid w:val="0"/>
          <w:sz w:val="22"/>
          <w:szCs w:val="22"/>
          <w:lang w:val="en-GB"/>
        </w:rPr>
        <w:t>(c)</w:t>
      </w:r>
      <w:r w:rsidRPr="00226C8F">
        <w:rPr>
          <w:iCs/>
          <w:snapToGrid w:val="0"/>
          <w:sz w:val="22"/>
          <w:szCs w:val="22"/>
          <w:lang w:val="en-GB"/>
        </w:rPr>
        <w:tab/>
        <w:t xml:space="preserve">Update the programme of work on communication, education and public awareness for the Convention on Biological Diversity, in collaboration with the Informal Advisory Committee on </w:t>
      </w:r>
      <w:r w:rsidRPr="00226C8F">
        <w:rPr>
          <w:iCs/>
          <w:snapToGrid w:val="0"/>
          <w:sz w:val="22"/>
          <w:szCs w:val="22"/>
          <w:lang w:val="en-GB"/>
        </w:rPr>
        <w:lastRenderedPageBreak/>
        <w:t xml:space="preserve">Communication, Education and Public Awareness, and develop further guidance for implementation at the national, subnational and local levels; </w:t>
      </w:r>
    </w:p>
    <w:p w14:paraId="61628132" w14:textId="77777777" w:rsidR="00DA0273" w:rsidRPr="00060F33" w:rsidRDefault="00DA0273" w:rsidP="00CB2DB9">
      <w:pPr>
        <w:pStyle w:val="StylePara1Kernat11pt"/>
        <w:suppressLineNumbers/>
        <w:suppressAutoHyphens/>
        <w:kinsoku w:val="0"/>
        <w:overflowPunct w:val="0"/>
        <w:autoSpaceDE w:val="0"/>
        <w:autoSpaceDN w:val="0"/>
        <w:adjustRightInd w:val="0"/>
        <w:ind w:firstLine="709"/>
        <w:jc w:val="both"/>
      </w:pPr>
      <w:r w:rsidRPr="00226C8F">
        <w:rPr>
          <w:iCs/>
          <w:snapToGrid w:val="0"/>
          <w:sz w:val="22"/>
          <w:szCs w:val="22"/>
          <w:lang w:val="en-GB"/>
        </w:rPr>
        <w:t>(d)</w:t>
      </w:r>
      <w:r w:rsidRPr="00226C8F">
        <w:rPr>
          <w:iCs/>
          <w:snapToGrid w:val="0"/>
          <w:sz w:val="22"/>
          <w:szCs w:val="22"/>
          <w:lang w:val="en-GB"/>
        </w:rPr>
        <w:tab/>
        <w:t>Submit</w:t>
      </w:r>
      <w:r w:rsidRPr="00226C8F">
        <w:rPr>
          <w:iCs/>
          <w:snapToGrid w:val="0"/>
          <w:sz w:val="22"/>
          <w:szCs w:val="22"/>
        </w:rPr>
        <w:t xml:space="preserve"> a progress report</w:t>
      </w:r>
      <w:r w:rsidRPr="000C06A5">
        <w:rPr>
          <w:iCs/>
          <w:snapToGrid w:val="0"/>
          <w:sz w:val="22"/>
          <w:szCs w:val="22"/>
        </w:rPr>
        <w:t xml:space="preserve"> on activities (a) and (b) above, and the updated programme of work on communication, education and public awareness for the Convention on Biological Diversity, for</w:t>
      </w:r>
      <w:r w:rsidRPr="000C06A5">
        <w:rPr>
          <w:iCs/>
          <w:snapToGrid w:val="0"/>
          <w:sz w:val="22"/>
          <w:szCs w:val="22"/>
          <w:lang w:val="en-GB"/>
        </w:rPr>
        <w:t xml:space="preserve"> consideration by the Subsidiary Body on Implementation at its fourth meeting</w:t>
      </w:r>
      <w:r w:rsidRPr="00060F33">
        <w:rPr>
          <w:iCs/>
          <w:snapToGrid w:val="0"/>
          <w:sz w:val="22"/>
          <w:szCs w:val="22"/>
          <w:lang w:val="en-GB"/>
        </w:rPr>
        <w:t xml:space="preserve"> and for subsequent consideration by the Conference of the Parties at its sixteenth meeting.</w:t>
      </w:r>
      <w:bookmarkStart w:id="160" w:name="_Toc118354972"/>
    </w:p>
    <w:p w14:paraId="691D2A9B" w14:textId="77777777" w:rsidR="00DA0273" w:rsidRPr="000C06A5" w:rsidRDefault="00DA0273" w:rsidP="00535E6B">
      <w:pPr>
        <w:pStyle w:val="Style1"/>
        <w:outlineLvl w:val="9"/>
        <w:rPr>
          <w:b w:val="0"/>
        </w:rPr>
      </w:pPr>
      <w:bookmarkStart w:id="161" w:name="_Toc129621617"/>
      <w:r w:rsidRPr="000C06A5">
        <w:rPr>
          <w:b w:val="0"/>
        </w:rPr>
        <w:t>Annex</w:t>
      </w:r>
      <w:bookmarkEnd w:id="160"/>
      <w:bookmarkEnd w:id="161"/>
    </w:p>
    <w:p w14:paraId="1EF86669" w14:textId="77777777" w:rsidR="00DA0273" w:rsidRPr="000C06A5" w:rsidRDefault="00DA0273" w:rsidP="00535E6B">
      <w:pPr>
        <w:pStyle w:val="Style1"/>
        <w:tabs>
          <w:tab w:val="left" w:pos="0"/>
        </w:tabs>
        <w:outlineLvl w:val="9"/>
        <w:rPr>
          <w:rFonts w:ascii="Times New Roman Bold" w:hAnsi="Times New Roman Bold"/>
          <w:bCs w:val="0"/>
          <w:i w:val="0"/>
          <w:iCs/>
          <w:caps/>
        </w:rPr>
      </w:pPr>
      <w:bookmarkStart w:id="162" w:name="_Toc118354973"/>
      <w:bookmarkStart w:id="163" w:name="_Toc129621618"/>
      <w:r w:rsidRPr="000C06A5">
        <w:rPr>
          <w:rFonts w:ascii="Times New Roman Bold" w:hAnsi="Times New Roman Bold"/>
          <w:bCs w:val="0"/>
          <w:i w:val="0"/>
          <w:caps/>
        </w:rPr>
        <w:t>Communications strategy to support the implementation of the Kunming-Montreal Global Biodiversity Framework</w:t>
      </w:r>
      <w:bookmarkEnd w:id="162"/>
      <w:bookmarkEnd w:id="163"/>
    </w:p>
    <w:p w14:paraId="3A7D856A" w14:textId="77777777" w:rsidR="00DA0273" w:rsidRPr="000C06A5" w:rsidRDefault="00DA0273" w:rsidP="00535E6B">
      <w:pPr>
        <w:pStyle w:val="ListParagraph"/>
        <w:keepNext/>
        <w:spacing w:before="240" w:after="120"/>
        <w:ind w:left="0"/>
        <w:contextualSpacing w:val="0"/>
        <w:jc w:val="center"/>
        <w:rPr>
          <w:b/>
          <w:bCs/>
          <w:snapToGrid w:val="0"/>
          <w:szCs w:val="22"/>
        </w:rPr>
      </w:pPr>
      <w:bookmarkStart w:id="164" w:name="_Toc129621619"/>
      <w:r w:rsidRPr="000C06A5">
        <w:rPr>
          <w:b/>
          <w:bCs/>
          <w:snapToGrid w:val="0"/>
          <w:szCs w:val="22"/>
        </w:rPr>
        <w:t>I.</w:t>
      </w:r>
      <w:r w:rsidRPr="000C06A5">
        <w:rPr>
          <w:b/>
          <w:bCs/>
          <w:snapToGrid w:val="0"/>
          <w:szCs w:val="22"/>
        </w:rPr>
        <w:tab/>
      </w:r>
      <w:r w:rsidRPr="000C06A5">
        <w:rPr>
          <w:b/>
          <w:bCs/>
          <w:caps/>
          <w:snapToGrid w:val="0"/>
          <w:szCs w:val="22"/>
        </w:rPr>
        <w:t>Background</w:t>
      </w:r>
      <w:bookmarkEnd w:id="164"/>
    </w:p>
    <w:p w14:paraId="7C7400FB" w14:textId="4CFABC35" w:rsidR="00DA0273" w:rsidRPr="00CB210F"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In decision </w:t>
      </w:r>
      <w:hyperlink r:id="rId33">
        <w:r w:rsidRPr="00060F33">
          <w:rPr>
            <w:snapToGrid w:val="0"/>
            <w:color w:val="0000FF"/>
            <w:kern w:val="22"/>
            <w:szCs w:val="22"/>
            <w:u w:val="single"/>
          </w:rPr>
          <w:t>14/34</w:t>
        </w:r>
      </w:hyperlink>
      <w:r w:rsidRPr="00060F33">
        <w:rPr>
          <w:snapToGrid w:val="0"/>
          <w:color w:val="000000"/>
          <w:kern w:val="22"/>
          <w:szCs w:val="22"/>
        </w:rPr>
        <w:t xml:space="preserve">, the Conference of the Parties decided that the post-2020 global biodiversity framework should be accompanied by an inspirational and motivating 2030 mission as a stepping stone </w:t>
      </w:r>
      <w:r w:rsidRPr="00CB210F">
        <w:rPr>
          <w:snapToGrid w:val="0"/>
          <w:color w:val="000000"/>
          <w:kern w:val="22"/>
          <w:szCs w:val="22"/>
        </w:rPr>
        <w:t>towards the 2050 Vision of living in harmony with nature, which would be supported by a coherent, comprehensive and innovative communication strategy</w:t>
      </w:r>
      <w:r w:rsidRPr="00CB210F">
        <w:rPr>
          <w:snapToGrid w:val="0"/>
          <w:kern w:val="22"/>
          <w:szCs w:val="22"/>
        </w:rPr>
        <w:t>.</w:t>
      </w:r>
      <w:r w:rsidRPr="00CB210F">
        <w:rPr>
          <w:snapToGrid w:val="0"/>
          <w:color w:val="000000"/>
          <w:spacing w:val="-2"/>
          <w:kern w:val="22"/>
          <w:szCs w:val="22"/>
        </w:rPr>
        <w:t xml:space="preserve"> </w:t>
      </w:r>
    </w:p>
    <w:p w14:paraId="09569659" w14:textId="48220E95" w:rsidR="00DA0273" w:rsidRPr="00CB210F"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CB210F">
        <w:rPr>
          <w:snapToGrid w:val="0"/>
          <w:color w:val="000000"/>
          <w:kern w:val="22"/>
          <w:szCs w:val="22"/>
        </w:rPr>
        <w:t>The</w:t>
      </w:r>
      <w:r w:rsidRPr="00CB210F">
        <w:rPr>
          <w:snapToGrid w:val="0"/>
          <w:color w:val="000000"/>
          <w:spacing w:val="-2"/>
          <w:kern w:val="22"/>
          <w:szCs w:val="22"/>
        </w:rPr>
        <w:t xml:space="preserve"> present document sets out the communications strategy to support the implementation of the Kunming-Montreal Global Biodiversity Framework and is meant to complement decision </w:t>
      </w:r>
      <w:hyperlink r:id="rId34" w:history="1">
        <w:r w:rsidRPr="00CB210F">
          <w:rPr>
            <w:rStyle w:val="Hyperlink"/>
            <w:snapToGrid w:val="0"/>
            <w:spacing w:val="-2"/>
            <w:kern w:val="22"/>
            <w:sz w:val="22"/>
            <w:szCs w:val="22"/>
          </w:rPr>
          <w:t>XIII/22</w:t>
        </w:r>
      </w:hyperlink>
      <w:r w:rsidRPr="00CB210F">
        <w:rPr>
          <w:snapToGrid w:val="0"/>
          <w:color w:val="000000"/>
          <w:spacing w:val="-2"/>
          <w:kern w:val="22"/>
          <w:szCs w:val="22"/>
        </w:rPr>
        <w:t xml:space="preserve"> on a framework for a communications strategy.</w:t>
      </w:r>
    </w:p>
    <w:p w14:paraId="59D27CDE" w14:textId="77777777" w:rsidR="00DA0273" w:rsidRPr="00CB210F" w:rsidRDefault="00DA0273" w:rsidP="00535E6B">
      <w:pPr>
        <w:keepNext/>
        <w:pBdr>
          <w:top w:val="nil"/>
          <w:left w:val="nil"/>
          <w:bottom w:val="nil"/>
          <w:right w:val="nil"/>
          <w:between w:val="nil"/>
        </w:pBdr>
        <w:spacing w:before="120" w:after="120"/>
        <w:jc w:val="center"/>
        <w:rPr>
          <w:b/>
          <w:bCs/>
          <w:snapToGrid w:val="0"/>
          <w:szCs w:val="22"/>
        </w:rPr>
      </w:pPr>
      <w:bookmarkStart w:id="165" w:name="_Toc129621620"/>
      <w:r w:rsidRPr="00CB210F">
        <w:rPr>
          <w:b/>
          <w:bCs/>
          <w:snapToGrid w:val="0"/>
          <w:szCs w:val="22"/>
        </w:rPr>
        <w:t>II.</w:t>
      </w:r>
      <w:r w:rsidRPr="00CB210F">
        <w:rPr>
          <w:b/>
          <w:bCs/>
          <w:snapToGrid w:val="0"/>
          <w:szCs w:val="22"/>
        </w:rPr>
        <w:tab/>
      </w:r>
      <w:r w:rsidRPr="00CB210F">
        <w:rPr>
          <w:rFonts w:ascii="Times New Roman Bold" w:hAnsi="Times New Roman Bold"/>
          <w:b/>
          <w:bCs/>
          <w:caps/>
          <w:snapToGrid w:val="0"/>
          <w:szCs w:val="22"/>
        </w:rPr>
        <w:t>Communication, access to information, and awareness</w:t>
      </w:r>
      <w:bookmarkEnd w:id="165"/>
    </w:p>
    <w:p w14:paraId="7B0D34C0"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CB210F">
        <w:rPr>
          <w:snapToGrid w:val="0"/>
          <w:color w:val="000000"/>
          <w:kern w:val="22"/>
          <w:szCs w:val="22"/>
        </w:rPr>
        <w:t>The</w:t>
      </w:r>
      <w:r w:rsidRPr="00CB210F">
        <w:rPr>
          <w:snapToGrid w:val="0"/>
          <w:kern w:val="22"/>
          <w:szCs w:val="22"/>
        </w:rPr>
        <w:t xml:space="preserve"> importance of communication and awareness for the achievement of the 2050 Vision for </w:t>
      </w:r>
      <w:r w:rsidRPr="00F03EE2">
        <w:rPr>
          <w:snapToGrid w:val="0"/>
          <w:kern w:val="22"/>
          <w:szCs w:val="22"/>
        </w:rPr>
        <w:t>b</w:t>
      </w:r>
      <w:r w:rsidRPr="00CB210F">
        <w:rPr>
          <w:snapToGrid w:val="0"/>
          <w:kern w:val="22"/>
          <w:szCs w:val="22"/>
        </w:rPr>
        <w:t>iodiversity was highlighted in Aichi Bio</w:t>
      </w:r>
      <w:r w:rsidRPr="00E44392">
        <w:rPr>
          <w:snapToGrid w:val="0"/>
          <w:kern w:val="22"/>
          <w:szCs w:val="22"/>
        </w:rPr>
        <w:t>diversity Target 1: “By 2020, at the latest, people are aware of the values of b</w:t>
      </w:r>
      <w:r w:rsidRPr="00060F33">
        <w:rPr>
          <w:snapToGrid w:val="0"/>
          <w:kern w:val="22"/>
          <w:szCs w:val="22"/>
        </w:rPr>
        <w:t xml:space="preserve">iodiversity and the steps they can take to conserve and use it sustainably.” </w:t>
      </w:r>
      <w:r w:rsidRPr="00060F33">
        <w:rPr>
          <w:snapToGrid w:val="0"/>
          <w:color w:val="000000"/>
          <w:kern w:val="22"/>
          <w:szCs w:val="22"/>
        </w:rPr>
        <w:t xml:space="preserve">As noted in </w:t>
      </w:r>
      <w:r w:rsidRPr="00060F33">
        <w:rPr>
          <w:i/>
          <w:iCs/>
          <w:snapToGrid w:val="0"/>
          <w:color w:val="000000"/>
          <w:kern w:val="22"/>
          <w:szCs w:val="22"/>
        </w:rPr>
        <w:t>Communication, Education and Public Awareness (CEPA): A Toolkit for National Focal Points and NBSAP Coordinators</w:t>
      </w:r>
      <w:r w:rsidRPr="00060F33">
        <w:rPr>
          <w:snapToGrid w:val="0"/>
          <w:color w:val="000000"/>
          <w:kern w:val="22"/>
          <w:szCs w:val="22"/>
        </w:rPr>
        <w:t>,</w:t>
      </w:r>
      <w:r w:rsidRPr="00610646">
        <w:rPr>
          <w:rStyle w:val="FootnoteReference"/>
        </w:rPr>
        <w:footnoteReference w:id="137"/>
      </w:r>
      <w:r w:rsidRPr="00060F33">
        <w:rPr>
          <w:snapToGrid w:val="0"/>
          <w:color w:val="000000"/>
          <w:kern w:val="22"/>
          <w:szCs w:val="22"/>
        </w:rPr>
        <w:t xml:space="preserve"> public awareness is “a first step in developing understanding and concern, to help people know of the issue, to make the issue part of the public discourse or put the issue on the agenda”. In turn, education “develops understanding, clarifies values, develops attitudes of concern for the environment and develops the motivation and skills to act for the environment”.</w:t>
      </w:r>
    </w:p>
    <w:p w14:paraId="44AD9D5D"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color w:val="000000"/>
          <w:kern w:val="22"/>
          <w:szCs w:val="22"/>
        </w:rPr>
        <w:t>There is obvious evidence of progress o</w:t>
      </w:r>
      <w:r w:rsidRPr="00060F33">
        <w:rPr>
          <w:snapToGrid w:val="0"/>
          <w:kern w:val="22"/>
          <w:szCs w:val="22"/>
        </w:rPr>
        <w:t>ver the course of the decade 2011</w:t>
      </w:r>
      <w:r>
        <w:rPr>
          <w:snapToGrid w:val="0"/>
          <w:kern w:val="22"/>
          <w:szCs w:val="22"/>
        </w:rPr>
        <w:t>–</w:t>
      </w:r>
      <w:r w:rsidRPr="00060F33">
        <w:rPr>
          <w:snapToGrid w:val="0"/>
          <w:kern w:val="22"/>
          <w:szCs w:val="22"/>
        </w:rPr>
        <w:t xml:space="preserve">2020, as reported, for instance, in the fifth edition of the </w:t>
      </w:r>
      <w:r w:rsidRPr="00060F33">
        <w:rPr>
          <w:i/>
          <w:iCs/>
          <w:snapToGrid w:val="0"/>
          <w:kern w:val="22"/>
          <w:szCs w:val="22"/>
        </w:rPr>
        <w:t>Global Biodiversity Outlook</w:t>
      </w:r>
      <w:r w:rsidRPr="00610646">
        <w:rPr>
          <w:rStyle w:val="FootnoteReference"/>
        </w:rPr>
        <w:footnoteReference w:id="138"/>
      </w:r>
      <w:r w:rsidRPr="00060F33">
        <w:rPr>
          <w:snapToGrid w:val="0"/>
          <w:kern w:val="22"/>
          <w:szCs w:val="22"/>
        </w:rPr>
        <w:t xml:space="preserve"> and in the awareness tracker of “On the Edge Conservation”.</w:t>
      </w:r>
      <w:r w:rsidRPr="00610646">
        <w:rPr>
          <w:rStyle w:val="FootnoteReference"/>
        </w:rPr>
        <w:footnoteReference w:id="139"/>
      </w:r>
      <w:r w:rsidRPr="00060F33">
        <w:rPr>
          <w:snapToGrid w:val="0"/>
          <w:kern w:val="22"/>
          <w:szCs w:val="22"/>
        </w:rPr>
        <w:t xml:space="preserve"> Other recent reports and initiatives also show increases in awareness:</w:t>
      </w:r>
    </w:p>
    <w:p w14:paraId="537ADD1D" w14:textId="77777777" w:rsidR="00DA0273" w:rsidRPr="00060F33" w:rsidRDefault="00DA0273" w:rsidP="00CB2DB9">
      <w:pPr>
        <w:spacing w:before="120" w:after="120"/>
        <w:ind w:firstLine="720"/>
        <w:rPr>
          <w:snapToGrid w:val="0"/>
          <w:kern w:val="22"/>
          <w:szCs w:val="22"/>
        </w:rPr>
      </w:pPr>
      <w:r w:rsidRPr="00060F33">
        <w:rPr>
          <w:snapToGrid w:val="0"/>
          <w:kern w:val="22"/>
          <w:szCs w:val="22"/>
        </w:rPr>
        <w:t>(a)</w:t>
      </w:r>
      <w:r w:rsidRPr="00060F33">
        <w:rPr>
          <w:snapToGrid w:val="0"/>
          <w:kern w:val="22"/>
          <w:szCs w:val="22"/>
        </w:rPr>
        <w:tab/>
      </w:r>
      <w:r w:rsidRPr="00060F33">
        <w:rPr>
          <w:snapToGrid w:val="0"/>
          <w:color w:val="000000"/>
          <w:kern w:val="22"/>
          <w:szCs w:val="22"/>
        </w:rPr>
        <w:t>The “Biodiversity Barometer” of the Union for Ethical BioTrade (UEBT) found that, in the core group of countries surveyed in 2020,</w:t>
      </w:r>
      <w:r w:rsidRPr="00610646">
        <w:rPr>
          <w:rStyle w:val="FootnoteReference"/>
        </w:rPr>
        <w:footnoteReference w:id="140"/>
      </w:r>
      <w:r w:rsidRPr="00060F33">
        <w:rPr>
          <w:snapToGrid w:val="0"/>
          <w:color w:val="000000"/>
          <w:kern w:val="22"/>
          <w:szCs w:val="22"/>
        </w:rPr>
        <w:t xml:space="preserve"> 78 per cent of respondents said that they had heard about biodiversity, up from 67 per cent in 2010;</w:t>
      </w:r>
      <w:r w:rsidRPr="00610646">
        <w:rPr>
          <w:rStyle w:val="FootnoteReference"/>
        </w:rPr>
        <w:footnoteReference w:id="141"/>
      </w:r>
    </w:p>
    <w:p w14:paraId="2B8183B1" w14:textId="77777777" w:rsidR="00DA0273" w:rsidRPr="00060F33" w:rsidRDefault="00DA0273" w:rsidP="00CB2DB9">
      <w:pPr>
        <w:spacing w:before="120" w:after="120"/>
        <w:ind w:firstLine="720"/>
        <w:rPr>
          <w:snapToGrid w:val="0"/>
          <w:kern w:val="22"/>
          <w:szCs w:val="22"/>
        </w:rPr>
      </w:pPr>
      <w:r w:rsidRPr="00060F33">
        <w:rPr>
          <w:snapToGrid w:val="0"/>
          <w:kern w:val="22"/>
          <w:szCs w:val="22"/>
        </w:rPr>
        <w:t>(b)</w:t>
      </w:r>
      <w:r w:rsidRPr="00060F33">
        <w:rPr>
          <w:snapToGrid w:val="0"/>
          <w:kern w:val="22"/>
          <w:szCs w:val="22"/>
        </w:rPr>
        <w:tab/>
      </w:r>
      <w:r w:rsidRPr="00060F33">
        <w:rPr>
          <w:snapToGrid w:val="0"/>
          <w:color w:val="000000"/>
          <w:kern w:val="22"/>
          <w:szCs w:val="22"/>
        </w:rPr>
        <w:t xml:space="preserve">The recent “Eco-Wakening” report by </w:t>
      </w:r>
      <w:r w:rsidRPr="003E3964">
        <w:rPr>
          <w:snapToGrid w:val="0"/>
          <w:color w:val="000000"/>
          <w:kern w:val="22"/>
          <w:szCs w:val="22"/>
        </w:rPr>
        <w:t>t</w:t>
      </w:r>
      <w:r w:rsidRPr="00F03EE2">
        <w:rPr>
          <w:snapToGrid w:val="0"/>
          <w:color w:val="000000"/>
          <w:kern w:val="22"/>
          <w:szCs w:val="22"/>
        </w:rPr>
        <w:t>he Economist Intelligence Unit</w:t>
      </w:r>
      <w:r w:rsidRPr="00610646">
        <w:rPr>
          <w:rStyle w:val="FootnoteReference"/>
        </w:rPr>
        <w:footnoteReference w:id="142"/>
      </w:r>
      <w:r w:rsidRPr="00060F33">
        <w:rPr>
          <w:snapToGrid w:val="0"/>
          <w:color w:val="000000"/>
          <w:kern w:val="22"/>
          <w:szCs w:val="22"/>
        </w:rPr>
        <w:t xml:space="preserve"> shows a dramatic rise in the number of people concerned about nature loss, with the most dramatic growth in concern occurring in emerging and developing economies;</w:t>
      </w:r>
    </w:p>
    <w:p w14:paraId="22A5F532"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The rate of the increase identified in these reports is heterogeneous and not monitored in all countries. This apparent increased awareness has also not translated into actions sufficient to reverse biodiversity loss, as evidenced by the failure to achieve the Aichi Biodiversity Targets. The changes required </w:t>
      </w:r>
      <w:r w:rsidRPr="00060F33">
        <w:rPr>
          <w:snapToGrid w:val="0"/>
          <w:color w:val="000000"/>
          <w:kern w:val="22"/>
          <w:szCs w:val="22"/>
        </w:rPr>
        <w:lastRenderedPageBreak/>
        <w:t>to solve the challenge of biodiversity loss make it necessary for this increase in awareness to be matched by actions by all people, be they decision makers in the policy domain, investors, consumers, businesses, citizens, educators or others.</w:t>
      </w:r>
      <w:r w:rsidRPr="00060F33">
        <w:rPr>
          <w:snapToGrid w:val="0"/>
        </w:rPr>
        <w:t xml:space="preserve"> </w:t>
      </w:r>
    </w:p>
    <w:p w14:paraId="53BC351D"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rPr>
        <w:t xml:space="preserve">Extensive scientific evidence shows that being aware of the problem of biodiversity loss is not sufficient. In order to achieve the goals and targets of the </w:t>
      </w:r>
      <w:r>
        <w:rPr>
          <w:snapToGrid w:val="0"/>
        </w:rPr>
        <w:t>Kunming-Montreal</w:t>
      </w:r>
      <w:r w:rsidRPr="00060F33">
        <w:rPr>
          <w:snapToGrid w:val="0"/>
        </w:rPr>
        <w:t xml:space="preserve"> </w:t>
      </w:r>
      <w:r>
        <w:rPr>
          <w:snapToGrid w:val="0"/>
        </w:rPr>
        <w:t>G</w:t>
      </w:r>
      <w:r w:rsidRPr="00060F33">
        <w:rPr>
          <w:snapToGrid w:val="0"/>
        </w:rPr>
        <w:t xml:space="preserve">lobal </w:t>
      </w:r>
      <w:r>
        <w:rPr>
          <w:snapToGrid w:val="0"/>
        </w:rPr>
        <w:t>B</w:t>
      </w:r>
      <w:r w:rsidRPr="00060F33">
        <w:rPr>
          <w:snapToGrid w:val="0"/>
        </w:rPr>
        <w:t xml:space="preserve">iodiversity </w:t>
      </w:r>
      <w:r>
        <w:rPr>
          <w:snapToGrid w:val="0"/>
        </w:rPr>
        <w:t>F</w:t>
      </w:r>
      <w:r w:rsidRPr="00060F33">
        <w:rPr>
          <w:snapToGrid w:val="0"/>
        </w:rPr>
        <w:t>ramework and promote sustainable development and lifestyles in harmony with nature, supporting mechanisms, including communication, must be differentiated for each stage and tailored for specific target-groups and their life circumstances (</w:t>
      </w:r>
      <w:r>
        <w:rPr>
          <w:snapToGrid w:val="0"/>
        </w:rPr>
        <w:t>e.g.,</w:t>
      </w:r>
      <w:r w:rsidRPr="00060F33">
        <w:rPr>
          <w:snapToGrid w:val="0"/>
        </w:rPr>
        <w:t xml:space="preserve"> youth, political decision makers, the socially </w:t>
      </w:r>
      <w:r>
        <w:rPr>
          <w:snapToGrid w:val="0"/>
        </w:rPr>
        <w:t>vulnerable</w:t>
      </w:r>
      <w:r w:rsidRPr="00060F33">
        <w:rPr>
          <w:snapToGrid w:val="0"/>
        </w:rPr>
        <w:t xml:space="preserve"> and high-income earners). Communication must be used to more effectively strengthen the interlinkages between biodiversity and the 2030 Agenda </w:t>
      </w:r>
      <w:r>
        <w:rPr>
          <w:snapToGrid w:val="0"/>
        </w:rPr>
        <w:t xml:space="preserve">for Sustainable Development </w:t>
      </w:r>
      <w:r w:rsidRPr="00060F33">
        <w:rPr>
          <w:snapToGrid w:val="0"/>
        </w:rPr>
        <w:t xml:space="preserve">and its Sustainable Development Goals, to highlight the importance of addressing the social, economic and environmental dimensions of sustainable development. This has implications for any communications strategy in support of the </w:t>
      </w:r>
      <w:r>
        <w:rPr>
          <w:snapToGrid w:val="0"/>
        </w:rPr>
        <w:t>Kunming-Montreal</w:t>
      </w:r>
      <w:r w:rsidRPr="00060F33">
        <w:rPr>
          <w:snapToGrid w:val="0"/>
        </w:rPr>
        <w:t xml:space="preserve"> </w:t>
      </w:r>
      <w:r>
        <w:rPr>
          <w:snapToGrid w:val="0"/>
        </w:rPr>
        <w:t>G</w:t>
      </w:r>
      <w:r w:rsidRPr="00060F33">
        <w:rPr>
          <w:snapToGrid w:val="0"/>
        </w:rPr>
        <w:t xml:space="preserve">lobal </w:t>
      </w:r>
      <w:r>
        <w:rPr>
          <w:snapToGrid w:val="0"/>
        </w:rPr>
        <w:t>B</w:t>
      </w:r>
      <w:r w:rsidRPr="00060F33">
        <w:rPr>
          <w:snapToGrid w:val="0"/>
        </w:rPr>
        <w:t xml:space="preserve">iodiversity </w:t>
      </w:r>
      <w:r>
        <w:rPr>
          <w:snapToGrid w:val="0"/>
        </w:rPr>
        <w:t>F</w:t>
      </w:r>
      <w:r w:rsidRPr="00060F33">
        <w:rPr>
          <w:snapToGrid w:val="0"/>
        </w:rPr>
        <w:t>ramework.</w:t>
      </w:r>
      <w:r w:rsidRPr="00060F33">
        <w:rPr>
          <w:snapToGrid w:val="0"/>
          <w:color w:val="000000"/>
          <w:kern w:val="22"/>
          <w:szCs w:val="22"/>
        </w:rPr>
        <w:t xml:space="preserve"> </w:t>
      </w:r>
    </w:p>
    <w:p w14:paraId="764E6AFB" w14:textId="77777777" w:rsidR="00DA0273" w:rsidRPr="00EF0BEE"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The communications strategy will need to raise awareness and trigger change. The strategy needs to be designed in such a way </w:t>
      </w:r>
      <w:r>
        <w:rPr>
          <w:snapToGrid w:val="0"/>
          <w:color w:val="000000"/>
          <w:kern w:val="22"/>
          <w:szCs w:val="22"/>
        </w:rPr>
        <w:t xml:space="preserve">as </w:t>
      </w:r>
      <w:r w:rsidRPr="00060F33">
        <w:rPr>
          <w:snapToGrid w:val="0"/>
          <w:color w:val="000000"/>
          <w:kern w:val="22"/>
          <w:szCs w:val="22"/>
        </w:rPr>
        <w:t>to build up content gradually and allow data</w:t>
      </w:r>
      <w:r>
        <w:rPr>
          <w:snapToGrid w:val="0"/>
          <w:color w:val="000000"/>
          <w:kern w:val="22"/>
          <w:szCs w:val="22"/>
        </w:rPr>
        <w:t>-</w:t>
      </w:r>
      <w:r w:rsidRPr="00060F33">
        <w:rPr>
          <w:snapToGrid w:val="0"/>
          <w:color w:val="000000"/>
          <w:kern w:val="22"/>
          <w:szCs w:val="22"/>
        </w:rPr>
        <w:t>sharing among people deploying the strategy in the short term, while developing ongoing research and evaluation in the medium and long term. This process should focus on better understanding of social actors, their intentions, attitudes and norms</w:t>
      </w:r>
      <w:r>
        <w:rPr>
          <w:snapToGrid w:val="0"/>
          <w:color w:val="000000"/>
          <w:kern w:val="22"/>
          <w:szCs w:val="22"/>
        </w:rPr>
        <w:t>,</w:t>
      </w:r>
      <w:r w:rsidRPr="00060F33">
        <w:rPr>
          <w:snapToGrid w:val="0"/>
          <w:color w:val="000000"/>
          <w:kern w:val="22"/>
          <w:szCs w:val="22"/>
        </w:rPr>
        <w:t xml:space="preserve"> as well as their beliefs, perceptions </w:t>
      </w:r>
      <w:r w:rsidRPr="00EF0BEE">
        <w:rPr>
          <w:snapToGrid w:val="0"/>
          <w:color w:val="000000"/>
          <w:kern w:val="22"/>
          <w:szCs w:val="22"/>
        </w:rPr>
        <w:t xml:space="preserve">and choices. This understanding should be used to monitor success and adjust the strategy as time goes on. </w:t>
      </w:r>
    </w:p>
    <w:p w14:paraId="396B0A08" w14:textId="77777777" w:rsidR="00DA0273" w:rsidRPr="00EF0BEE"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EF0BEE">
        <w:rPr>
          <w:snapToGrid w:val="0"/>
          <w:color w:val="000000"/>
          <w:kern w:val="22"/>
          <w:szCs w:val="22"/>
        </w:rPr>
        <w:t xml:space="preserve">The </w:t>
      </w:r>
      <w:r w:rsidRPr="00EF0BEE">
        <w:rPr>
          <w:snapToGrid w:val="0"/>
        </w:rPr>
        <w:t>Kunming-Montreal Global Biodiversity Framework</w:t>
      </w:r>
      <w:r w:rsidRPr="00EF0BEE">
        <w:rPr>
          <w:snapToGrid w:val="0"/>
          <w:color w:val="000000"/>
          <w:kern w:val="22"/>
          <w:szCs w:val="22"/>
        </w:rPr>
        <w:t xml:space="preserve"> provides an occasion for renewed and updated communication, building on the achievements of the United Nations Decade on Biodiversity and in the context of the United Nations Decade of Action to deliver the Sustainable Development Goals. Communications management will require an ongoing understanding and evaluation of the state of achievement of the Framework, and it will need to reflect the relationship between climate change and biodiversity. This process will facilitate the creation of content for the communications strategy, while providing continuity and support to ongoing initiatives and to the monitoring of results.</w:t>
      </w:r>
    </w:p>
    <w:p w14:paraId="5A6CAFA5" w14:textId="77777777" w:rsidR="00DA0273" w:rsidRPr="00060F33" w:rsidRDefault="00DA0273" w:rsidP="00535E6B">
      <w:pPr>
        <w:keepNext/>
        <w:spacing w:before="120" w:after="120"/>
        <w:jc w:val="center"/>
        <w:rPr>
          <w:b/>
          <w:bCs/>
          <w:snapToGrid w:val="0"/>
          <w:szCs w:val="22"/>
        </w:rPr>
      </w:pPr>
      <w:bookmarkStart w:id="166" w:name="_Toc129621621"/>
      <w:r w:rsidRPr="00060F33">
        <w:rPr>
          <w:b/>
          <w:bCs/>
          <w:snapToGrid w:val="0"/>
          <w:szCs w:val="22"/>
        </w:rPr>
        <w:t>III.</w:t>
      </w:r>
      <w:r w:rsidRPr="00060F33">
        <w:rPr>
          <w:b/>
          <w:bCs/>
          <w:snapToGrid w:val="0"/>
          <w:szCs w:val="22"/>
        </w:rPr>
        <w:tab/>
      </w:r>
      <w:r w:rsidRPr="00DC59BE">
        <w:rPr>
          <w:rFonts w:ascii="Times New Roman Bold" w:hAnsi="Times New Roman Bold"/>
          <w:b/>
          <w:bCs/>
          <w:caps/>
          <w:snapToGrid w:val="0"/>
          <w:szCs w:val="22"/>
        </w:rPr>
        <w:t>Scope and purpose of the strategy</w:t>
      </w:r>
      <w:bookmarkEnd w:id="166"/>
    </w:p>
    <w:p w14:paraId="169B2582"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rPr>
          <w:snapToGrid w:val="0"/>
          <w:color w:val="000000"/>
          <w:kern w:val="22"/>
          <w:szCs w:val="22"/>
        </w:rPr>
      </w:pPr>
      <w:r w:rsidRPr="00060F33">
        <w:rPr>
          <w:snapToGrid w:val="0"/>
          <w:color w:val="000000"/>
          <w:kern w:val="22"/>
          <w:szCs w:val="22"/>
        </w:rPr>
        <w:t>The strategy is meant to be used for communications efforts by the Executive Secretary, and to support communications efforts by all others, including Parties, indigenous peoples and local communities</w:t>
      </w:r>
      <w:r>
        <w:rPr>
          <w:snapToGrid w:val="0"/>
          <w:color w:val="000000"/>
          <w:kern w:val="22"/>
          <w:szCs w:val="22"/>
        </w:rPr>
        <w:t>,</w:t>
      </w:r>
      <w:r w:rsidRPr="00060F33">
        <w:rPr>
          <w:snapToGrid w:val="0"/>
          <w:color w:val="000000"/>
          <w:kern w:val="22"/>
          <w:szCs w:val="22"/>
        </w:rPr>
        <w:t xml:space="preserve"> stakeholders, United Nations system actors and others:</w:t>
      </w:r>
    </w:p>
    <w:p w14:paraId="58FABA87"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(a)</w:t>
      </w:r>
      <w:r w:rsidRPr="00060F33">
        <w:rPr>
          <w:snapToGrid w:val="0"/>
          <w:color w:val="000000"/>
          <w:kern w:val="22"/>
          <w:szCs w:val="22"/>
        </w:rPr>
        <w:tab/>
        <w:t>By providing a structure for coordination and collaboration among relevant actors; increased and magnified effectiveness is the goal;</w:t>
      </w:r>
    </w:p>
    <w:p w14:paraId="25D29FC4"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(b)</w:t>
      </w:r>
      <w:r w:rsidRPr="00060F33">
        <w:rPr>
          <w:snapToGrid w:val="0"/>
          <w:color w:val="000000"/>
          <w:kern w:val="22"/>
          <w:szCs w:val="22"/>
        </w:rPr>
        <w:tab/>
        <w:t>As initial guidance to inform the development of specific strategies and action plans at the global, regional, national and subnational levels, by political decision makers, social entrepreneurs, businesses, citizens, youth, and by indigenous peoples and local communities, as appropriate;</w:t>
      </w:r>
    </w:p>
    <w:p w14:paraId="1C47EA10" w14:textId="77777777" w:rsidR="00DA0273" w:rsidRPr="00BA31FB"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(c)</w:t>
      </w:r>
      <w:r w:rsidRPr="00060F33">
        <w:rPr>
          <w:snapToGrid w:val="0"/>
          <w:color w:val="000000"/>
          <w:kern w:val="22"/>
          <w:szCs w:val="22"/>
        </w:rPr>
        <w:tab/>
        <w:t xml:space="preserve">To promote awareness in support of the conservation of biological diversity, the sustainable use of its components, and the fair and equitable sharing of benefits arising from the utilization of genetic resources, and transformative change </w:t>
      </w:r>
      <w:r w:rsidRPr="00BA31FB">
        <w:rPr>
          <w:snapToGrid w:val="0"/>
          <w:color w:val="000000"/>
          <w:kern w:val="22"/>
          <w:szCs w:val="22"/>
        </w:rPr>
        <w:t xml:space="preserve">towards the 2050 Vision for </w:t>
      </w:r>
      <w:r w:rsidRPr="00FB58BC">
        <w:rPr>
          <w:snapToGrid w:val="0"/>
          <w:color w:val="000000"/>
          <w:kern w:val="22"/>
          <w:szCs w:val="22"/>
        </w:rPr>
        <w:t>b</w:t>
      </w:r>
      <w:r w:rsidRPr="00BA31FB">
        <w:rPr>
          <w:snapToGrid w:val="0"/>
          <w:color w:val="000000"/>
          <w:kern w:val="22"/>
          <w:szCs w:val="22"/>
        </w:rPr>
        <w:t>iodiversity;</w:t>
      </w:r>
    </w:p>
    <w:p w14:paraId="0DEB22B6"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BA31FB">
        <w:rPr>
          <w:snapToGrid w:val="0"/>
          <w:color w:val="000000"/>
          <w:kern w:val="22"/>
          <w:szCs w:val="22"/>
        </w:rPr>
        <w:t>The communications strategy will need to be implemented and further developed in a participatory, iterative and flexible manner, assisted by experts in communication, and</w:t>
      </w:r>
      <w:r w:rsidRPr="00060F33">
        <w:rPr>
          <w:snapToGrid w:val="0"/>
          <w:color w:val="000000"/>
          <w:kern w:val="22"/>
          <w:szCs w:val="22"/>
        </w:rPr>
        <w:t xml:space="preserve"> other relevant disciplines, including a strong participation of indigenous peoples and local communities, women and youth. Its further development should be led by advice and consultations at the international level, led by the Executive Secretary, which then inform further consultations. Throughout the consultations, the active participation of indigenous peoples and local communities, education experts, youth, and representatives of various socioeconomic and sociocultural backgrounds is important, as is the need to ensure the full incorporation of intra- and intergenerational, intercultural and gender considerations. At the global level, immediate to long-term adjustments of the strategy will be coordinated through </w:t>
      </w:r>
      <w:r w:rsidRPr="00201A86">
        <w:rPr>
          <w:snapToGrid w:val="0"/>
          <w:color w:val="000000"/>
          <w:kern w:val="22"/>
          <w:szCs w:val="22"/>
        </w:rPr>
        <w:t xml:space="preserve">an open-source coordination </w:t>
      </w:r>
      <w:r w:rsidRPr="00F324F1">
        <w:rPr>
          <w:snapToGrid w:val="0"/>
          <w:color w:val="000000"/>
          <w:kern w:val="22"/>
          <w:szCs w:val="22"/>
        </w:rPr>
        <w:t>mechanism, outlined</w:t>
      </w:r>
      <w:r w:rsidRPr="00201A86">
        <w:rPr>
          <w:snapToGrid w:val="0"/>
          <w:color w:val="000000"/>
          <w:kern w:val="22"/>
          <w:szCs w:val="22"/>
        </w:rPr>
        <w:t xml:space="preserve"> below.</w:t>
      </w:r>
    </w:p>
    <w:p w14:paraId="109F4AC1" w14:textId="77777777" w:rsidR="00DA0273" w:rsidRPr="002F3C48"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lastRenderedPageBreak/>
        <w:t xml:space="preserve">The communications strategy will be kept under review by the Conference of the Parties, with input from the Informal Advisory Committee on Communication, Education and Public </w:t>
      </w:r>
      <w:r w:rsidRPr="002F3C48">
        <w:rPr>
          <w:snapToGrid w:val="0"/>
          <w:color w:val="000000"/>
          <w:kern w:val="22"/>
          <w:szCs w:val="22"/>
        </w:rPr>
        <w:t>Awareness, and other relevant processes.</w:t>
      </w:r>
    </w:p>
    <w:p w14:paraId="4A038F27"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The elements for </w:t>
      </w:r>
      <w:r w:rsidRPr="00201A86">
        <w:rPr>
          <w:snapToGrid w:val="0"/>
          <w:color w:val="000000"/>
          <w:kern w:val="22"/>
          <w:szCs w:val="22"/>
        </w:rPr>
        <w:t>such a review would</w:t>
      </w:r>
      <w:r w:rsidRPr="00060F33">
        <w:rPr>
          <w:snapToGrid w:val="0"/>
          <w:color w:val="000000"/>
          <w:kern w:val="22"/>
          <w:szCs w:val="22"/>
        </w:rPr>
        <w:t xml:space="preserve"> be as follows:</w:t>
      </w:r>
    </w:p>
    <w:p w14:paraId="05979820"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(a)</w:t>
      </w:r>
      <w:r w:rsidRPr="00060F33">
        <w:rPr>
          <w:snapToGrid w:val="0"/>
          <w:color w:val="000000"/>
          <w:kern w:val="22"/>
          <w:szCs w:val="22"/>
        </w:rPr>
        <w:tab/>
        <w:t xml:space="preserve">A meeting of the Informal Advisory Committee on Communication, Education and Public Awareness, to be held after the fifteenth meeting </w:t>
      </w:r>
      <w:r w:rsidRPr="00E141EB">
        <w:rPr>
          <w:snapToGrid w:val="0"/>
          <w:color w:val="000000"/>
          <w:kern w:val="22"/>
          <w:szCs w:val="22"/>
        </w:rPr>
        <w:t>of the Conference of the Parties, to elaborate the final details of the communication strategy;</w:t>
      </w:r>
    </w:p>
    <w:p w14:paraId="23B3A5A5"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(b)</w:t>
      </w:r>
      <w:r w:rsidRPr="00060F33">
        <w:rPr>
          <w:snapToGrid w:val="0"/>
          <w:color w:val="000000"/>
          <w:kern w:val="22"/>
          <w:szCs w:val="22"/>
        </w:rPr>
        <w:tab/>
        <w:t>A biennial evaluation of the activities that have been carried out, seeking to identify best practices, changes in awareness, impact and effectiveness, to be reviewed by the Subsidiary Body on Implementation;</w:t>
      </w:r>
    </w:p>
    <w:p w14:paraId="3DE67040"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(c)</w:t>
      </w:r>
      <w:r w:rsidRPr="00060F33">
        <w:rPr>
          <w:snapToGrid w:val="0"/>
          <w:color w:val="000000"/>
          <w:kern w:val="22"/>
          <w:szCs w:val="22"/>
        </w:rPr>
        <w:tab/>
        <w:t>Identification of new areas for communication and learning, or the need to adjust existing strategies;</w:t>
      </w:r>
    </w:p>
    <w:p w14:paraId="4C6D21C3"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(d)</w:t>
      </w:r>
      <w:r w:rsidRPr="00060F33">
        <w:rPr>
          <w:snapToGrid w:val="0"/>
          <w:color w:val="000000"/>
          <w:kern w:val="22"/>
          <w:szCs w:val="22"/>
        </w:rPr>
        <w:tab/>
      </w:r>
      <w:r w:rsidRPr="00D31CC0">
        <w:rPr>
          <w:snapToGrid w:val="0"/>
          <w:color w:val="000000"/>
          <w:kern w:val="22"/>
          <w:szCs w:val="22"/>
        </w:rPr>
        <w:t>Track communication, education and awareness-raising activities against progress on targets, goals and the 2030 mission;</w:t>
      </w:r>
    </w:p>
    <w:p w14:paraId="11B51FDE"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(e)</w:t>
      </w:r>
      <w:r w:rsidRPr="00060F33">
        <w:rPr>
          <w:snapToGrid w:val="0"/>
          <w:color w:val="000000"/>
          <w:kern w:val="22"/>
          <w:szCs w:val="22"/>
        </w:rPr>
        <w:tab/>
        <w:t>Identification of new actors or partners to be approached;</w:t>
      </w:r>
    </w:p>
    <w:p w14:paraId="6C943BF2"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(f)</w:t>
      </w:r>
      <w:r w:rsidRPr="00060F33">
        <w:rPr>
          <w:snapToGrid w:val="0"/>
          <w:color w:val="000000"/>
          <w:kern w:val="22"/>
          <w:szCs w:val="22"/>
        </w:rPr>
        <w:tab/>
        <w:t>Identification of resource needs.</w:t>
      </w:r>
    </w:p>
    <w:p w14:paraId="0DCCAAE1" w14:textId="77777777" w:rsidR="00DA0273" w:rsidRPr="000D212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zCs w:val="22"/>
        </w:rPr>
        <w:t xml:space="preserve">Parties are invited to start implementing the elements of the </w:t>
      </w:r>
      <w:r>
        <w:rPr>
          <w:snapToGrid w:val="0"/>
        </w:rPr>
        <w:t>Kunming-Montreal</w:t>
      </w:r>
      <w:r w:rsidRPr="00060F33">
        <w:rPr>
          <w:snapToGrid w:val="0"/>
        </w:rPr>
        <w:t xml:space="preserve"> </w:t>
      </w:r>
      <w:r>
        <w:rPr>
          <w:snapToGrid w:val="0"/>
        </w:rPr>
        <w:t>G</w:t>
      </w:r>
      <w:r w:rsidRPr="00060F33">
        <w:rPr>
          <w:snapToGrid w:val="0"/>
        </w:rPr>
        <w:t xml:space="preserve">lobal </w:t>
      </w:r>
      <w:r>
        <w:rPr>
          <w:snapToGrid w:val="0"/>
        </w:rPr>
        <w:t>B</w:t>
      </w:r>
      <w:r w:rsidRPr="00060F33">
        <w:rPr>
          <w:snapToGrid w:val="0"/>
        </w:rPr>
        <w:t xml:space="preserve">iodiversity </w:t>
      </w:r>
      <w:r>
        <w:rPr>
          <w:snapToGrid w:val="0"/>
        </w:rPr>
        <w:t>F</w:t>
      </w:r>
      <w:r w:rsidRPr="00060F33">
        <w:rPr>
          <w:snapToGrid w:val="0"/>
        </w:rPr>
        <w:t>ramework</w:t>
      </w:r>
      <w:r w:rsidRPr="00060F33" w:rsidDel="001D512F">
        <w:rPr>
          <w:szCs w:val="22"/>
        </w:rPr>
        <w:t xml:space="preserve"> </w:t>
      </w:r>
      <w:r w:rsidRPr="00060F33">
        <w:rPr>
          <w:szCs w:val="22"/>
        </w:rPr>
        <w:t xml:space="preserve">relating to </w:t>
      </w:r>
      <w:r w:rsidRPr="000D2123">
        <w:rPr>
          <w:szCs w:val="22"/>
        </w:rPr>
        <w:t>communication in an expeditious manner. To this end, Parties are invited to integrate communications components into their national biodiversity strategies and action plans (NBSAPs) while updating them in line with the Framework, or to develop</w:t>
      </w:r>
      <w:r w:rsidRPr="000D2123">
        <w:rPr>
          <w:snapToGrid w:val="0"/>
          <w:color w:val="000000"/>
          <w:kern w:val="22"/>
          <w:szCs w:val="22"/>
        </w:rPr>
        <w:t xml:space="preserve"> national or regional communications strategies that support the goals below.</w:t>
      </w:r>
    </w:p>
    <w:p w14:paraId="7FC425DE" w14:textId="77777777" w:rsidR="00DA0273" w:rsidRPr="002D4712"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2D4712">
        <w:rPr>
          <w:snapToGrid w:val="0"/>
          <w:color w:val="000000"/>
          <w:kern w:val="22"/>
          <w:szCs w:val="22"/>
        </w:rPr>
        <w:t>Table 1 outlines some of the timelines for activities under the strategy.</w:t>
      </w:r>
    </w:p>
    <w:p w14:paraId="22EDB554" w14:textId="77777777" w:rsidR="00DA0273" w:rsidRPr="002D4712" w:rsidRDefault="00DA0273" w:rsidP="00332A0C">
      <w:pPr>
        <w:keepNext/>
        <w:pBdr>
          <w:top w:val="nil"/>
          <w:left w:val="nil"/>
          <w:bottom w:val="nil"/>
          <w:right w:val="nil"/>
          <w:between w:val="nil"/>
        </w:pBdr>
        <w:spacing w:before="240" w:after="120"/>
        <w:rPr>
          <w:b/>
          <w:bCs/>
          <w:snapToGrid w:val="0"/>
          <w:color w:val="000000"/>
          <w:kern w:val="22"/>
          <w:szCs w:val="22"/>
        </w:rPr>
      </w:pPr>
      <w:bookmarkStart w:id="167" w:name="_Toc129621622"/>
      <w:r w:rsidRPr="002D4712">
        <w:rPr>
          <w:b/>
          <w:bCs/>
          <w:snapToGrid w:val="0"/>
          <w:color w:val="000000"/>
          <w:kern w:val="22"/>
          <w:szCs w:val="22"/>
        </w:rPr>
        <w:t>Table 1. Timeline for activities</w:t>
      </w:r>
      <w:bookmarkEnd w:id="167"/>
      <w:r w:rsidRPr="002D4712">
        <w:rPr>
          <w:b/>
          <w:bCs/>
          <w:snapToGrid w:val="0"/>
          <w:color w:val="000000"/>
          <w:kern w:val="22"/>
          <w:szCs w:val="22"/>
        </w:rPr>
        <w:t xml:space="preserve"> </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427"/>
        <w:gridCol w:w="4015"/>
        <w:gridCol w:w="2912"/>
      </w:tblGrid>
      <w:tr w:rsidR="00DA0273" w:rsidRPr="008A445E" w14:paraId="326A9818" w14:textId="77777777" w:rsidTr="00F03EE2">
        <w:trPr>
          <w:tblHeader/>
          <w:jc w:val="center"/>
        </w:trPr>
        <w:tc>
          <w:tcPr>
            <w:tcW w:w="2427" w:type="dxa"/>
          </w:tcPr>
          <w:p w14:paraId="14521EC7" w14:textId="77777777" w:rsidR="00DA0273" w:rsidRPr="008A445E" w:rsidRDefault="00DA0273" w:rsidP="00CB2DB9">
            <w:pPr>
              <w:spacing w:before="120" w:after="120"/>
              <w:jc w:val="center"/>
              <w:rPr>
                <w:i/>
                <w:iCs/>
                <w:snapToGrid w:val="0"/>
                <w:color w:val="000000"/>
                <w:kern w:val="22"/>
                <w:szCs w:val="22"/>
              </w:rPr>
            </w:pPr>
            <w:r w:rsidRPr="008A445E">
              <w:rPr>
                <w:i/>
                <w:iCs/>
                <w:snapToGrid w:val="0"/>
                <w:color w:val="000000"/>
                <w:kern w:val="22"/>
                <w:szCs w:val="22"/>
              </w:rPr>
              <w:t>Date</w:t>
            </w:r>
          </w:p>
        </w:tc>
        <w:tc>
          <w:tcPr>
            <w:tcW w:w="4015" w:type="dxa"/>
          </w:tcPr>
          <w:p w14:paraId="2D7361CE" w14:textId="77777777" w:rsidR="00DA0273" w:rsidRPr="008A445E" w:rsidRDefault="00DA0273" w:rsidP="00CB2DB9">
            <w:pPr>
              <w:spacing w:before="120" w:after="120"/>
              <w:jc w:val="center"/>
              <w:rPr>
                <w:i/>
                <w:iCs/>
                <w:snapToGrid w:val="0"/>
                <w:color w:val="000000"/>
                <w:kern w:val="22"/>
                <w:szCs w:val="22"/>
              </w:rPr>
            </w:pPr>
            <w:r w:rsidRPr="008A445E">
              <w:rPr>
                <w:i/>
                <w:iCs/>
                <w:snapToGrid w:val="0"/>
                <w:color w:val="000000"/>
                <w:kern w:val="22"/>
                <w:szCs w:val="22"/>
              </w:rPr>
              <w:t>Executive Secretary</w:t>
            </w:r>
          </w:p>
        </w:tc>
        <w:tc>
          <w:tcPr>
            <w:tcW w:w="2912" w:type="dxa"/>
          </w:tcPr>
          <w:p w14:paraId="3E7BE770" w14:textId="77777777" w:rsidR="00DA0273" w:rsidRPr="008A445E" w:rsidRDefault="00DA0273" w:rsidP="00CB2DB9">
            <w:pPr>
              <w:spacing w:before="120" w:after="120"/>
              <w:jc w:val="center"/>
              <w:rPr>
                <w:i/>
                <w:iCs/>
                <w:snapToGrid w:val="0"/>
                <w:color w:val="000000"/>
                <w:kern w:val="22"/>
                <w:szCs w:val="22"/>
              </w:rPr>
            </w:pPr>
            <w:r w:rsidRPr="008A445E">
              <w:rPr>
                <w:i/>
                <w:iCs/>
                <w:snapToGrid w:val="0"/>
                <w:color w:val="000000"/>
                <w:kern w:val="22"/>
                <w:szCs w:val="22"/>
              </w:rPr>
              <w:t>National level</w:t>
            </w:r>
          </w:p>
        </w:tc>
      </w:tr>
      <w:tr w:rsidR="00DA0273" w:rsidRPr="008A445E" w14:paraId="70D7A9B5" w14:textId="77777777" w:rsidTr="00F03EE2">
        <w:trPr>
          <w:jc w:val="center"/>
        </w:trPr>
        <w:tc>
          <w:tcPr>
            <w:tcW w:w="2427" w:type="dxa"/>
          </w:tcPr>
          <w:p w14:paraId="3E59937B"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As soon as possible following the fifteenth meeting of the Conference of the Parties</w:t>
            </w:r>
          </w:p>
        </w:tc>
        <w:tc>
          <w:tcPr>
            <w:tcW w:w="4015" w:type="dxa"/>
          </w:tcPr>
          <w:p w14:paraId="0D7BA975"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Convene a meeting of the Informal Advisory Committee</w:t>
            </w:r>
            <w:r w:rsidRPr="002A7CC3">
              <w:rPr>
                <w:snapToGrid w:val="0"/>
                <w:color w:val="000000"/>
                <w:kern w:val="22"/>
                <w:szCs w:val="22"/>
              </w:rPr>
              <w:t xml:space="preserve"> </w:t>
            </w:r>
            <w:r w:rsidRPr="008A445E">
              <w:rPr>
                <w:snapToGrid w:val="0"/>
                <w:color w:val="000000"/>
                <w:kern w:val="22"/>
                <w:szCs w:val="22"/>
              </w:rPr>
              <w:t>on Communication, Education and Public Awareness</w:t>
            </w:r>
            <w:r w:rsidRPr="002A7CC3">
              <w:rPr>
                <w:snapToGrid w:val="0"/>
                <w:color w:val="000000"/>
                <w:kern w:val="22"/>
                <w:szCs w:val="22"/>
              </w:rPr>
              <w:t xml:space="preserve"> (</w:t>
            </w:r>
            <w:r w:rsidRPr="008A445E">
              <w:rPr>
                <w:snapToGrid w:val="0"/>
                <w:color w:val="000000"/>
                <w:kern w:val="22"/>
                <w:szCs w:val="22"/>
              </w:rPr>
              <w:t>CEPA-IAC) to update the present strategy for consideration by the Subsidiary Body on Implementation at its fourth meeting and to develop further guidance for implementation at the national, subnational and local levels</w:t>
            </w:r>
          </w:p>
          <w:p w14:paraId="5C20A3D3"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Create website</w:t>
            </w:r>
          </w:p>
          <w:p w14:paraId="6B39C9F0"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Convene informal coordination mechanism for regular coordination</w:t>
            </w:r>
          </w:p>
          <w:p w14:paraId="2304F8CC"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Communicate a voluntary guidance document</w:t>
            </w:r>
          </w:p>
        </w:tc>
        <w:tc>
          <w:tcPr>
            <w:tcW w:w="2912" w:type="dxa"/>
          </w:tcPr>
          <w:p w14:paraId="10C96049"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Encourage existing and/or establish new national and subnational partnerships to deliver the activities of the strategy.</w:t>
            </w:r>
          </w:p>
          <w:p w14:paraId="187F9083" w14:textId="77777777" w:rsidR="00DA0273" w:rsidRPr="008A445E" w:rsidRDefault="00DA0273" w:rsidP="00CB2DB9">
            <w:pPr>
              <w:spacing w:before="120" w:after="120"/>
              <w:jc w:val="left"/>
              <w:rPr>
                <w:snapToGrid w:val="0"/>
                <w:color w:val="000000"/>
                <w:kern w:val="22"/>
                <w:szCs w:val="22"/>
                <w:lang w:val="en-CA"/>
              </w:rPr>
            </w:pPr>
            <w:r w:rsidRPr="008A445E">
              <w:rPr>
                <w:snapToGrid w:val="0"/>
                <w:color w:val="000000"/>
                <w:kern w:val="22"/>
                <w:szCs w:val="22"/>
                <w:lang w:val="en-CA"/>
              </w:rPr>
              <w:t>Endeavour, as appropriate, to integrate relevant actions from the communications strategy in their planning and reporting mechanisms.</w:t>
            </w:r>
          </w:p>
        </w:tc>
      </w:tr>
      <w:tr w:rsidR="00DA0273" w:rsidRPr="008A445E" w14:paraId="61601174" w14:textId="77777777" w:rsidTr="00F03EE2">
        <w:trPr>
          <w:trHeight w:val="769"/>
          <w:jc w:val="center"/>
        </w:trPr>
        <w:tc>
          <w:tcPr>
            <w:tcW w:w="2427" w:type="dxa"/>
          </w:tcPr>
          <w:p w14:paraId="1C9686D5"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2022</w:t>
            </w:r>
            <w:r>
              <w:rPr>
                <w:snapToGrid w:val="0"/>
                <w:kern w:val="22"/>
                <w:szCs w:val="22"/>
              </w:rPr>
              <w:t>–</w:t>
            </w:r>
            <w:r w:rsidRPr="008A445E">
              <w:rPr>
                <w:snapToGrid w:val="0"/>
                <w:color w:val="000000"/>
                <w:kern w:val="22"/>
                <w:szCs w:val="22"/>
              </w:rPr>
              <w:t>2024</w:t>
            </w:r>
          </w:p>
        </w:tc>
        <w:tc>
          <w:tcPr>
            <w:tcW w:w="4015" w:type="dxa"/>
          </w:tcPr>
          <w:p w14:paraId="55BF5971"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Create international partnerships in support of the strategy</w:t>
            </w:r>
          </w:p>
        </w:tc>
        <w:tc>
          <w:tcPr>
            <w:tcW w:w="2912" w:type="dxa"/>
          </w:tcPr>
          <w:p w14:paraId="28D72981" w14:textId="77777777" w:rsidR="00DA0273" w:rsidRPr="008A445E" w:rsidRDefault="00DA0273" w:rsidP="00CB2DB9">
            <w:pPr>
              <w:tabs>
                <w:tab w:val="left" w:pos="972"/>
              </w:tabs>
              <w:rPr>
                <w:szCs w:val="22"/>
              </w:rPr>
            </w:pPr>
          </w:p>
        </w:tc>
      </w:tr>
      <w:tr w:rsidR="00DA0273" w:rsidRPr="008A445E" w14:paraId="31589395" w14:textId="77777777" w:rsidTr="00F03EE2">
        <w:trPr>
          <w:cantSplit/>
          <w:jc w:val="center"/>
        </w:trPr>
        <w:tc>
          <w:tcPr>
            <w:tcW w:w="2427" w:type="dxa"/>
          </w:tcPr>
          <w:p w14:paraId="3D8A75F1"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lastRenderedPageBreak/>
              <w:t>By the fourth meeting of the Subsidiary Body on Implementation, to be negotiated by the Conference of the Parties at its sixteenth meeting (2024)</w:t>
            </w:r>
            <w:r w:rsidRPr="00610646">
              <w:rPr>
                <w:rStyle w:val="FootnoteReference"/>
              </w:rPr>
              <w:footnoteReference w:id="143"/>
            </w:r>
          </w:p>
        </w:tc>
        <w:tc>
          <w:tcPr>
            <w:tcW w:w="4015" w:type="dxa"/>
          </w:tcPr>
          <w:p w14:paraId="03DB807C"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In collaboration with CEPA-IAC and other relevant actors, review and report on activities and their impact, and further update the strategy, if needed</w:t>
            </w:r>
          </w:p>
        </w:tc>
        <w:tc>
          <w:tcPr>
            <w:tcW w:w="2912" w:type="dxa"/>
          </w:tcPr>
          <w:p w14:paraId="16DCD809" w14:textId="77777777" w:rsidR="00DA0273" w:rsidRPr="008A445E" w:rsidRDefault="00DA0273" w:rsidP="00CB2DB9">
            <w:pPr>
              <w:spacing w:before="120" w:after="120"/>
              <w:jc w:val="left"/>
              <w:rPr>
                <w:snapToGrid w:val="0"/>
                <w:color w:val="000000"/>
                <w:kern w:val="22"/>
                <w:szCs w:val="22"/>
                <w:lang w:val="en-CA"/>
              </w:rPr>
            </w:pPr>
            <w:r w:rsidRPr="008A445E">
              <w:rPr>
                <w:snapToGrid w:val="0"/>
                <w:color w:val="000000"/>
                <w:kern w:val="22"/>
                <w:szCs w:val="22"/>
                <w:lang w:val="en-CA"/>
              </w:rPr>
              <w:t>Endeavour, as appropriate, to integrate relevant actions from the communications strategy in their planning and reporting mechanisms.</w:t>
            </w:r>
          </w:p>
        </w:tc>
      </w:tr>
      <w:tr w:rsidR="00DA0273" w:rsidRPr="008A445E" w14:paraId="45BA9D0C" w14:textId="77777777" w:rsidTr="00F03EE2">
        <w:trPr>
          <w:jc w:val="center"/>
        </w:trPr>
        <w:tc>
          <w:tcPr>
            <w:tcW w:w="2427" w:type="dxa"/>
          </w:tcPr>
          <w:p w14:paraId="2E228B74"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By the fifth meeting of the Subsidiary Body on Implementation, to be negotiated by the Conference of the Parties at its seventeenth meeting (2026)</w:t>
            </w:r>
          </w:p>
        </w:tc>
        <w:tc>
          <w:tcPr>
            <w:tcW w:w="4015" w:type="dxa"/>
          </w:tcPr>
          <w:p w14:paraId="5F10137A" w14:textId="78514A5C" w:rsidR="00DA0273" w:rsidRPr="008A445E" w:rsidRDefault="00DA0273" w:rsidP="00567E24">
            <w:pPr>
              <w:spacing w:before="120" w:after="120"/>
              <w:jc w:val="left"/>
              <w:rPr>
                <w:snapToGrid w:val="0"/>
                <w:color w:val="000000"/>
                <w:kern w:val="22"/>
                <w:szCs w:val="22"/>
              </w:rPr>
            </w:pPr>
            <w:r w:rsidRPr="008A445E">
              <w:rPr>
                <w:snapToGrid w:val="0"/>
                <w:color w:val="000000"/>
                <w:kern w:val="22"/>
                <w:szCs w:val="22"/>
              </w:rPr>
              <w:t>In collaboration with CEPA-IAC and other relevant actors, conduct mid-decade review and report on activities and their impact, update the communications strategy based on advice from the Conference of the Parties</w:t>
            </w:r>
          </w:p>
        </w:tc>
        <w:tc>
          <w:tcPr>
            <w:tcW w:w="2912" w:type="dxa"/>
          </w:tcPr>
          <w:p w14:paraId="06C81AD9" w14:textId="77777777" w:rsidR="00DA0273" w:rsidRPr="008A445E" w:rsidRDefault="00DA0273" w:rsidP="00CB2DB9">
            <w:pPr>
              <w:spacing w:before="120" w:after="120"/>
              <w:jc w:val="left"/>
              <w:rPr>
                <w:snapToGrid w:val="0"/>
                <w:color w:val="000000"/>
                <w:kern w:val="22"/>
                <w:szCs w:val="22"/>
                <w:lang w:val="en-CA"/>
              </w:rPr>
            </w:pPr>
            <w:r w:rsidRPr="008A445E">
              <w:rPr>
                <w:snapToGrid w:val="0"/>
                <w:color w:val="000000"/>
                <w:kern w:val="22"/>
                <w:szCs w:val="22"/>
              </w:rPr>
              <w:t>Report on activities in the seventh national report, if appropriate during the biennium, and share relevant information through the CHM, national Bioland CHM sites and adjust as appropriate.</w:t>
            </w:r>
          </w:p>
        </w:tc>
      </w:tr>
      <w:tr w:rsidR="00DA0273" w:rsidRPr="008A445E" w14:paraId="6C6A39E1" w14:textId="77777777" w:rsidTr="00F03EE2">
        <w:trPr>
          <w:jc w:val="center"/>
        </w:trPr>
        <w:tc>
          <w:tcPr>
            <w:tcW w:w="2427" w:type="dxa"/>
          </w:tcPr>
          <w:p w14:paraId="2327A144"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By the sixth meeting of the Subsidiary Body on Implementation, to be negotiated by the Conference of the Parties at its eighteenth meeting (2028)</w:t>
            </w:r>
          </w:p>
        </w:tc>
        <w:tc>
          <w:tcPr>
            <w:tcW w:w="4015" w:type="dxa"/>
          </w:tcPr>
          <w:p w14:paraId="42626141"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In collaboration with CEPA-IAC and other relevant actors, review and report on activities and their impact, and update the communications strategy based on advice from the Conference of the Parties</w:t>
            </w:r>
          </w:p>
        </w:tc>
        <w:tc>
          <w:tcPr>
            <w:tcW w:w="2912" w:type="dxa"/>
          </w:tcPr>
          <w:p w14:paraId="5339D341"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lang w:val="en-CA"/>
              </w:rPr>
              <w:t>Endeavour, as appropriate, to integrate relevant actions from the communications strategy in their planning and reporting mechanisms.</w:t>
            </w:r>
          </w:p>
        </w:tc>
      </w:tr>
      <w:tr w:rsidR="00DA0273" w:rsidRPr="00060F33" w14:paraId="24A50FC9" w14:textId="77777777" w:rsidTr="00F03EE2">
        <w:trPr>
          <w:jc w:val="center"/>
        </w:trPr>
        <w:tc>
          <w:tcPr>
            <w:tcW w:w="2427" w:type="dxa"/>
          </w:tcPr>
          <w:p w14:paraId="423B61B4"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By the seventh meeting of the Subsidiary Body on Implementation, to be negotiated by the Conference of the Parties at its nineteenth meeting (2030)</w:t>
            </w:r>
          </w:p>
        </w:tc>
        <w:tc>
          <w:tcPr>
            <w:tcW w:w="4015" w:type="dxa"/>
          </w:tcPr>
          <w:p w14:paraId="7B1FFEB1" w14:textId="77777777" w:rsidR="00DA0273" w:rsidRPr="008A445E" w:rsidRDefault="00DA0273" w:rsidP="00CB2DB9">
            <w:pPr>
              <w:spacing w:before="120" w:after="120"/>
              <w:jc w:val="left"/>
              <w:rPr>
                <w:snapToGrid w:val="0"/>
                <w:color w:val="000000"/>
                <w:kern w:val="22"/>
                <w:szCs w:val="22"/>
              </w:rPr>
            </w:pPr>
            <w:r w:rsidRPr="008A445E">
              <w:rPr>
                <w:snapToGrid w:val="0"/>
                <w:color w:val="000000"/>
                <w:kern w:val="22"/>
                <w:szCs w:val="22"/>
              </w:rPr>
              <w:t xml:space="preserve">Create final report on activities, including any observed changes in the perception of biodiversity conservation to contribute to the second stocktaking </w:t>
            </w:r>
          </w:p>
        </w:tc>
        <w:tc>
          <w:tcPr>
            <w:tcW w:w="2912" w:type="dxa"/>
          </w:tcPr>
          <w:p w14:paraId="157AD75F" w14:textId="77777777" w:rsidR="00DA0273" w:rsidRPr="00060F33" w:rsidRDefault="00DA0273" w:rsidP="00CB2DB9">
            <w:pPr>
              <w:spacing w:before="120" w:after="120"/>
              <w:jc w:val="left"/>
              <w:rPr>
                <w:snapToGrid w:val="0"/>
                <w:color w:val="000000"/>
                <w:kern w:val="22"/>
                <w:szCs w:val="22"/>
                <w:lang w:val="en-CA"/>
              </w:rPr>
            </w:pPr>
            <w:r w:rsidRPr="008A445E">
              <w:rPr>
                <w:snapToGrid w:val="0"/>
                <w:color w:val="000000"/>
                <w:kern w:val="22"/>
                <w:szCs w:val="22"/>
                <w:lang w:val="en-CA"/>
              </w:rPr>
              <w:t>Endeavour, as appropriate, to integrate relevant actions from the communications strategy in their planning and reporting mechanisms.</w:t>
            </w:r>
          </w:p>
        </w:tc>
      </w:tr>
    </w:tbl>
    <w:p w14:paraId="6B5B554E" w14:textId="77777777" w:rsidR="00DA0273" w:rsidRPr="00060F33" w:rsidRDefault="00DA0273" w:rsidP="00CF4F84">
      <w:pPr>
        <w:keepNext/>
        <w:spacing w:before="240" w:after="120"/>
        <w:jc w:val="center"/>
        <w:rPr>
          <w:b/>
          <w:bCs/>
          <w:snapToGrid w:val="0"/>
          <w:szCs w:val="22"/>
        </w:rPr>
      </w:pPr>
      <w:bookmarkStart w:id="168" w:name="_Toc129621623"/>
      <w:r w:rsidRPr="00060F33">
        <w:rPr>
          <w:b/>
          <w:bCs/>
          <w:snapToGrid w:val="0"/>
          <w:szCs w:val="22"/>
        </w:rPr>
        <w:t>IV.</w:t>
      </w:r>
      <w:r w:rsidRPr="00060F33">
        <w:rPr>
          <w:b/>
          <w:bCs/>
          <w:snapToGrid w:val="0"/>
          <w:szCs w:val="22"/>
        </w:rPr>
        <w:tab/>
      </w:r>
      <w:r w:rsidRPr="00F03EE2">
        <w:rPr>
          <w:rFonts w:ascii="Times New Roman Bold" w:hAnsi="Times New Roman Bold"/>
          <w:b/>
          <w:bCs/>
          <w:caps/>
          <w:snapToGrid w:val="0"/>
          <w:szCs w:val="22"/>
        </w:rPr>
        <w:t>Goals</w:t>
      </w:r>
      <w:bookmarkEnd w:id="168"/>
    </w:p>
    <w:p w14:paraId="29E46F86"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Communication, education and awareness-raising efforts in the context of this strategy need to support actions throughout the whole</w:t>
      </w:r>
      <w:r>
        <w:rPr>
          <w:snapToGrid w:val="0"/>
          <w:color w:val="000000"/>
          <w:kern w:val="22"/>
          <w:szCs w:val="22"/>
        </w:rPr>
        <w:t xml:space="preserve"> </w:t>
      </w:r>
      <w:r w:rsidRPr="00060F33">
        <w:rPr>
          <w:snapToGrid w:val="0"/>
          <w:color w:val="000000"/>
          <w:kern w:val="22"/>
          <w:szCs w:val="22"/>
        </w:rPr>
        <w:t>of</w:t>
      </w:r>
      <w:r>
        <w:rPr>
          <w:snapToGrid w:val="0"/>
          <w:color w:val="000000"/>
          <w:kern w:val="22"/>
          <w:szCs w:val="22"/>
        </w:rPr>
        <w:t xml:space="preserve"> </w:t>
      </w:r>
      <w:r w:rsidRPr="00060F33">
        <w:rPr>
          <w:snapToGrid w:val="0"/>
          <w:color w:val="000000"/>
          <w:kern w:val="22"/>
          <w:szCs w:val="22"/>
        </w:rPr>
        <w:t xml:space="preserve">society towards the </w:t>
      </w:r>
      <w:r>
        <w:rPr>
          <w:snapToGrid w:val="0"/>
        </w:rPr>
        <w:t>Kunming-Montreal</w:t>
      </w:r>
      <w:r w:rsidRPr="00060F33">
        <w:rPr>
          <w:snapToGrid w:val="0"/>
        </w:rPr>
        <w:t xml:space="preserve"> </w:t>
      </w:r>
      <w:r>
        <w:rPr>
          <w:snapToGrid w:val="0"/>
        </w:rPr>
        <w:t>G</w:t>
      </w:r>
      <w:r w:rsidRPr="00060F33">
        <w:rPr>
          <w:snapToGrid w:val="0"/>
        </w:rPr>
        <w:t xml:space="preserve">lobal </w:t>
      </w:r>
      <w:r>
        <w:rPr>
          <w:snapToGrid w:val="0"/>
        </w:rPr>
        <w:t>B</w:t>
      </w:r>
      <w:r w:rsidRPr="00060F33">
        <w:rPr>
          <w:snapToGrid w:val="0"/>
        </w:rPr>
        <w:t xml:space="preserve">iodiversity </w:t>
      </w:r>
      <w:r>
        <w:rPr>
          <w:snapToGrid w:val="0"/>
        </w:rPr>
        <w:t>F</w:t>
      </w:r>
      <w:r w:rsidRPr="00060F33">
        <w:rPr>
          <w:snapToGrid w:val="0"/>
        </w:rPr>
        <w:t>ramework</w:t>
      </w:r>
      <w:r w:rsidRPr="00060F33">
        <w:rPr>
          <w:snapToGrid w:val="0"/>
          <w:color w:val="000000"/>
          <w:kern w:val="22"/>
          <w:szCs w:val="22"/>
        </w:rPr>
        <w:t>. Overall, the strateg</w:t>
      </w:r>
      <w:r w:rsidRPr="00E34509">
        <w:rPr>
          <w:snapToGrid w:val="0"/>
          <w:color w:val="000000"/>
          <w:kern w:val="22"/>
          <w:szCs w:val="22"/>
        </w:rPr>
        <w:t xml:space="preserve">y is meant to support the realization not only of the 2030 mission, but also of the 2050 Vision for </w:t>
      </w:r>
      <w:r w:rsidRPr="00F03EE2">
        <w:rPr>
          <w:snapToGrid w:val="0"/>
          <w:color w:val="000000"/>
          <w:kern w:val="22"/>
          <w:szCs w:val="22"/>
        </w:rPr>
        <w:t>b</w:t>
      </w:r>
      <w:r w:rsidRPr="00E34509">
        <w:rPr>
          <w:snapToGrid w:val="0"/>
          <w:color w:val="000000"/>
          <w:kern w:val="22"/>
          <w:szCs w:val="22"/>
        </w:rPr>
        <w:t>iodiversity.</w:t>
      </w:r>
    </w:p>
    <w:p w14:paraId="3B972798" w14:textId="77777777" w:rsidR="00DA0273" w:rsidRPr="00F03EE2"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CE31DF">
        <w:rPr>
          <w:color w:val="000000" w:themeColor="text1"/>
          <w:szCs w:val="22"/>
        </w:rPr>
        <w:t>Enhancing</w:t>
      </w:r>
      <w:r w:rsidRPr="00CE31DF">
        <w:rPr>
          <w:color w:val="000000" w:themeColor="text1"/>
          <w:kern w:val="22"/>
          <w:szCs w:val="22"/>
        </w:rPr>
        <w:t xml:space="preserve"> communication, education, and awareness on biodiversity and the uptake of the </w:t>
      </w:r>
      <w:r w:rsidRPr="00CE31DF">
        <w:rPr>
          <w:szCs w:val="22"/>
        </w:rPr>
        <w:t>Kunming-Montreal Global Biodiversity</w:t>
      </w:r>
      <w:r w:rsidRPr="00CE31DF">
        <w:rPr>
          <w:color w:val="000000" w:themeColor="text1"/>
          <w:kern w:val="22"/>
          <w:szCs w:val="22"/>
        </w:rPr>
        <w:t xml:space="preserve"> Framework by all actors is essential to achieve its effective implementation and behavioural change, and to promote sustainable lifestyles and biodiversity values, including by</w:t>
      </w:r>
      <w:r w:rsidRPr="00060F33">
        <w:rPr>
          <w:snapToGrid w:val="0"/>
          <w:kern w:val="22"/>
          <w:szCs w:val="22"/>
        </w:rPr>
        <w:t>:</w:t>
      </w:r>
    </w:p>
    <w:p w14:paraId="30D6C9BC" w14:textId="77777777" w:rsidR="00DA0273" w:rsidRPr="005E3681" w:rsidRDefault="00DA0273" w:rsidP="00F03EE2">
      <w:pPr>
        <w:pBdr>
          <w:top w:val="nil"/>
          <w:left w:val="nil"/>
          <w:bottom w:val="nil"/>
          <w:right w:val="nil"/>
          <w:between w:val="nil"/>
        </w:pBdr>
        <w:spacing w:before="120" w:after="120"/>
        <w:ind w:firstLine="720"/>
        <w:rPr>
          <w:snapToGrid w:val="0"/>
          <w:color w:val="000000"/>
          <w:kern w:val="22"/>
          <w:szCs w:val="22"/>
        </w:rPr>
      </w:pPr>
      <w:r w:rsidRPr="005E3681">
        <w:rPr>
          <w:snapToGrid w:val="0"/>
          <w:color w:val="000000"/>
          <w:kern w:val="22"/>
          <w:szCs w:val="22"/>
        </w:rPr>
        <w:t>(a)</w:t>
      </w:r>
      <w:r w:rsidRPr="005E3681">
        <w:rPr>
          <w:snapToGrid w:val="0"/>
          <w:color w:val="000000"/>
          <w:kern w:val="22"/>
          <w:szCs w:val="22"/>
        </w:rPr>
        <w:tab/>
      </w:r>
      <w:r w:rsidRPr="00F03EE2">
        <w:rPr>
          <w:snapToGrid w:val="0"/>
          <w:kern w:val="22"/>
          <w:szCs w:val="22"/>
        </w:rPr>
        <w:t>Increasing</w:t>
      </w:r>
      <w:r w:rsidRPr="005E3681">
        <w:rPr>
          <w:snapToGrid w:val="0"/>
          <w:color w:val="000000"/>
          <w:kern w:val="22"/>
          <w:szCs w:val="22"/>
        </w:rPr>
        <w:t xml:space="preserve"> awareness, understanding and appreciation of the knowledge systems, diverse values of biodiversity and nature’s contributions to people, including ecosystems functions and services and traditional knowledge and worldviews of indigenous peoples and local communities as well as of biodiversity’s contribution to sustainable development;</w:t>
      </w:r>
    </w:p>
    <w:p w14:paraId="3B061121" w14:textId="77777777" w:rsidR="00DA0273" w:rsidRPr="005E3681" w:rsidRDefault="00DA0273" w:rsidP="00F03EE2">
      <w:pPr>
        <w:pBdr>
          <w:top w:val="nil"/>
          <w:left w:val="nil"/>
          <w:bottom w:val="nil"/>
          <w:right w:val="nil"/>
          <w:between w:val="nil"/>
        </w:pBdr>
        <w:spacing w:before="120" w:after="120"/>
        <w:ind w:firstLine="720"/>
        <w:rPr>
          <w:snapToGrid w:val="0"/>
          <w:color w:val="000000"/>
          <w:kern w:val="22"/>
          <w:szCs w:val="22"/>
        </w:rPr>
      </w:pPr>
      <w:r w:rsidRPr="005E3681">
        <w:rPr>
          <w:snapToGrid w:val="0"/>
          <w:color w:val="000000"/>
          <w:kern w:val="22"/>
          <w:szCs w:val="22"/>
        </w:rPr>
        <w:lastRenderedPageBreak/>
        <w:t>(b)</w:t>
      </w:r>
      <w:r w:rsidRPr="005E3681">
        <w:rPr>
          <w:snapToGrid w:val="0"/>
          <w:color w:val="000000"/>
          <w:kern w:val="22"/>
          <w:szCs w:val="22"/>
        </w:rPr>
        <w:tab/>
        <w:t xml:space="preserve">Increasing </w:t>
      </w:r>
      <w:r w:rsidRPr="00F03EE2">
        <w:rPr>
          <w:snapToGrid w:val="0"/>
          <w:kern w:val="22"/>
          <w:szCs w:val="22"/>
        </w:rPr>
        <w:t>awareness</w:t>
      </w:r>
      <w:r w:rsidRPr="005E3681">
        <w:rPr>
          <w:snapToGrid w:val="0"/>
          <w:color w:val="000000"/>
          <w:kern w:val="22"/>
          <w:szCs w:val="22"/>
        </w:rPr>
        <w:t xml:space="preserve"> on the importance of conservation and sustainable use of biodiversity and of the fair and equitable sharing of the benefits arising from the utilization of genetic resources for sustainable development, including improving sustainable livelihoods and poverty eradication efforts and its overall contribution to global and/or national sustainable development strategies;</w:t>
      </w:r>
    </w:p>
    <w:p w14:paraId="72CC050A" w14:textId="77777777" w:rsidR="00DA0273" w:rsidRPr="005E3681" w:rsidRDefault="00DA0273" w:rsidP="00F03EE2">
      <w:pPr>
        <w:pBdr>
          <w:top w:val="nil"/>
          <w:left w:val="nil"/>
          <w:bottom w:val="nil"/>
          <w:right w:val="nil"/>
          <w:between w:val="nil"/>
        </w:pBdr>
        <w:spacing w:before="120" w:after="120"/>
        <w:ind w:firstLine="720"/>
        <w:rPr>
          <w:snapToGrid w:val="0"/>
          <w:color w:val="000000"/>
          <w:kern w:val="22"/>
          <w:szCs w:val="22"/>
        </w:rPr>
      </w:pPr>
      <w:r w:rsidRPr="005E3681">
        <w:rPr>
          <w:snapToGrid w:val="0"/>
          <w:color w:val="000000"/>
          <w:kern w:val="22"/>
          <w:szCs w:val="22"/>
        </w:rPr>
        <w:t>(c)</w:t>
      </w:r>
      <w:r w:rsidRPr="005E3681">
        <w:rPr>
          <w:snapToGrid w:val="0"/>
          <w:color w:val="000000"/>
          <w:kern w:val="22"/>
          <w:szCs w:val="22"/>
        </w:rPr>
        <w:tab/>
        <w:t xml:space="preserve">Raising </w:t>
      </w:r>
      <w:r w:rsidRPr="00F03EE2">
        <w:rPr>
          <w:snapToGrid w:val="0"/>
          <w:kern w:val="22"/>
          <w:szCs w:val="22"/>
        </w:rPr>
        <w:t>awareness</w:t>
      </w:r>
      <w:r w:rsidRPr="005E3681">
        <w:rPr>
          <w:snapToGrid w:val="0"/>
          <w:color w:val="000000"/>
          <w:kern w:val="22"/>
          <w:szCs w:val="22"/>
        </w:rPr>
        <w:t xml:space="preserve"> among all sectors and actors of the need for urgent action to implement the Framework, while enabling their active engagement in the implementation and monitoring of progress towards the achievement of its goals and targets;</w:t>
      </w:r>
    </w:p>
    <w:p w14:paraId="17EA399C" w14:textId="77777777" w:rsidR="00DA0273" w:rsidRPr="005E3681" w:rsidRDefault="00DA0273" w:rsidP="00F03EE2">
      <w:pPr>
        <w:pBdr>
          <w:top w:val="nil"/>
          <w:left w:val="nil"/>
          <w:bottom w:val="nil"/>
          <w:right w:val="nil"/>
          <w:between w:val="nil"/>
        </w:pBdr>
        <w:spacing w:before="120" w:after="120"/>
        <w:ind w:firstLine="720"/>
        <w:rPr>
          <w:snapToGrid w:val="0"/>
          <w:color w:val="000000"/>
          <w:kern w:val="22"/>
          <w:szCs w:val="22"/>
        </w:rPr>
      </w:pPr>
      <w:r w:rsidRPr="005E3681">
        <w:rPr>
          <w:snapToGrid w:val="0"/>
          <w:color w:val="000000"/>
          <w:kern w:val="22"/>
          <w:szCs w:val="22"/>
        </w:rPr>
        <w:t>(d)</w:t>
      </w:r>
      <w:r w:rsidRPr="005E3681">
        <w:rPr>
          <w:snapToGrid w:val="0"/>
          <w:color w:val="000000"/>
          <w:kern w:val="22"/>
          <w:szCs w:val="22"/>
        </w:rPr>
        <w:tab/>
        <w:t>Facilitating understanding of the Framework, including by targeted communication, adapting the language used, level of complexity and thematic content to relevant groups of actors, considering their socioeconomic and cultural context, including by developing material that can be translated into indigenous and local languages;</w:t>
      </w:r>
    </w:p>
    <w:p w14:paraId="0FB0DB95" w14:textId="77777777" w:rsidR="00DA0273" w:rsidRPr="005E3681" w:rsidRDefault="00DA0273" w:rsidP="00F03EE2">
      <w:pPr>
        <w:pBdr>
          <w:top w:val="nil"/>
          <w:left w:val="nil"/>
          <w:bottom w:val="nil"/>
          <w:right w:val="nil"/>
          <w:between w:val="nil"/>
        </w:pBdr>
        <w:spacing w:before="120" w:after="120"/>
        <w:ind w:firstLine="720"/>
        <w:rPr>
          <w:snapToGrid w:val="0"/>
          <w:color w:val="000000"/>
          <w:kern w:val="22"/>
          <w:szCs w:val="22"/>
        </w:rPr>
      </w:pPr>
      <w:r w:rsidRPr="005E3681">
        <w:rPr>
          <w:snapToGrid w:val="0"/>
          <w:color w:val="000000"/>
          <w:kern w:val="22"/>
          <w:szCs w:val="22"/>
        </w:rPr>
        <w:t>(e)</w:t>
      </w:r>
      <w:r w:rsidRPr="005E3681">
        <w:rPr>
          <w:snapToGrid w:val="0"/>
          <w:color w:val="000000"/>
          <w:kern w:val="22"/>
          <w:szCs w:val="22"/>
        </w:rPr>
        <w:tab/>
        <w:t>Promoting or developing platforms, partnerships and action agendas, including with media, civil society and educational institutions, including academia, to share information on successes, lessons learned and experiences and to allow for adaptive learning and participation in acting for biodiversity;</w:t>
      </w:r>
    </w:p>
    <w:p w14:paraId="0EE4A8AA" w14:textId="77777777" w:rsidR="00DA0273" w:rsidRPr="005E3681" w:rsidRDefault="00DA0273" w:rsidP="00F03EE2">
      <w:pPr>
        <w:pBdr>
          <w:top w:val="nil"/>
          <w:left w:val="nil"/>
          <w:bottom w:val="nil"/>
          <w:right w:val="nil"/>
          <w:between w:val="nil"/>
        </w:pBdr>
        <w:spacing w:before="120" w:after="120"/>
        <w:ind w:firstLine="720"/>
        <w:rPr>
          <w:snapToGrid w:val="0"/>
          <w:color w:val="000000"/>
          <w:kern w:val="22"/>
          <w:szCs w:val="22"/>
        </w:rPr>
      </w:pPr>
      <w:r w:rsidRPr="005E3681">
        <w:rPr>
          <w:snapToGrid w:val="0"/>
          <w:color w:val="000000"/>
          <w:kern w:val="22"/>
          <w:szCs w:val="22"/>
        </w:rPr>
        <w:t>(f)</w:t>
      </w:r>
      <w:r w:rsidRPr="005E3681">
        <w:rPr>
          <w:snapToGrid w:val="0"/>
          <w:color w:val="000000"/>
          <w:kern w:val="22"/>
          <w:szCs w:val="22"/>
        </w:rPr>
        <w:tab/>
        <w:t xml:space="preserve">Integrating </w:t>
      </w:r>
      <w:r w:rsidRPr="00F03EE2">
        <w:rPr>
          <w:snapToGrid w:val="0"/>
          <w:kern w:val="22"/>
          <w:szCs w:val="22"/>
        </w:rPr>
        <w:t>transformative</w:t>
      </w:r>
      <w:r w:rsidRPr="005E3681">
        <w:rPr>
          <w:snapToGrid w:val="0"/>
          <w:color w:val="000000"/>
          <w:kern w:val="22"/>
          <w:szCs w:val="22"/>
        </w:rPr>
        <w:t xml:space="preserve"> education on biodiversity into formal, non-formal and informal educational programmes, promoting curriculum on biodiversity conservation and sustainable use in educational institutions, and promoting knowledge, attitudes, values, behaviours and lifestyles that are consistent with living in harmony with nature;</w:t>
      </w:r>
    </w:p>
    <w:p w14:paraId="75274ACF" w14:textId="77777777" w:rsidR="00DA0273" w:rsidRPr="00F03EE2" w:rsidRDefault="00DA0273" w:rsidP="00F03EE2">
      <w:pPr>
        <w:pBdr>
          <w:top w:val="nil"/>
          <w:left w:val="nil"/>
          <w:bottom w:val="nil"/>
          <w:right w:val="nil"/>
          <w:between w:val="nil"/>
        </w:pBdr>
        <w:spacing w:before="120" w:after="120"/>
        <w:ind w:firstLine="720"/>
        <w:rPr>
          <w:snapToGrid w:val="0"/>
          <w:kern w:val="22"/>
          <w:szCs w:val="22"/>
          <w:lang w:val="en-CA"/>
        </w:rPr>
      </w:pPr>
      <w:r w:rsidRPr="005E3681">
        <w:rPr>
          <w:snapToGrid w:val="0"/>
          <w:color w:val="000000"/>
          <w:kern w:val="22"/>
          <w:szCs w:val="22"/>
        </w:rPr>
        <w:t>(g)</w:t>
      </w:r>
      <w:r w:rsidRPr="005E3681">
        <w:rPr>
          <w:snapToGrid w:val="0"/>
          <w:color w:val="000000"/>
          <w:kern w:val="22"/>
          <w:szCs w:val="22"/>
        </w:rPr>
        <w:tab/>
        <w:t xml:space="preserve">Raising awareness </w:t>
      </w:r>
      <w:r w:rsidRPr="00F03EE2">
        <w:rPr>
          <w:snapToGrid w:val="0"/>
          <w:kern w:val="22"/>
          <w:szCs w:val="22"/>
        </w:rPr>
        <w:t>on</w:t>
      </w:r>
      <w:r w:rsidRPr="005E3681">
        <w:rPr>
          <w:snapToGrid w:val="0"/>
          <w:color w:val="000000"/>
          <w:kern w:val="22"/>
          <w:szCs w:val="22"/>
        </w:rPr>
        <w:t xml:space="preserve"> the critical role of science, technology and innovation to strengthen scientific and technical capacities to monitor biodiversity, address knowledge gaps and develop innovative solutions to improve the conservation and sustainable use of biodiversity.</w:t>
      </w:r>
    </w:p>
    <w:p w14:paraId="7F6DEB38" w14:textId="77777777" w:rsidR="00DA0273" w:rsidRPr="00872BF8"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872BF8">
        <w:rPr>
          <w:snapToGrid w:val="0"/>
          <w:color w:val="000000"/>
          <w:kern w:val="22"/>
          <w:szCs w:val="22"/>
        </w:rPr>
        <w:t>Within this context, the following are the main goals of the communications strategy:</w:t>
      </w:r>
    </w:p>
    <w:p w14:paraId="36E5C5A5" w14:textId="77777777" w:rsidR="00DA0273" w:rsidRPr="00060F33" w:rsidRDefault="00DA0273" w:rsidP="00CF4F84">
      <w:pPr>
        <w:pStyle w:val="ListParagraph"/>
        <w:keepNext/>
        <w:keepLines/>
        <w:pBdr>
          <w:top w:val="nil"/>
          <w:left w:val="nil"/>
          <w:bottom w:val="nil"/>
          <w:right w:val="nil"/>
          <w:between w:val="nil"/>
        </w:pBdr>
        <w:spacing w:before="120" w:after="120"/>
        <w:ind w:left="0"/>
        <w:contextualSpacing w:val="0"/>
        <w:rPr>
          <w:b/>
          <w:bCs/>
          <w:snapToGrid w:val="0"/>
          <w:kern w:val="22"/>
          <w:szCs w:val="22"/>
        </w:rPr>
      </w:pPr>
      <w:bookmarkStart w:id="169" w:name="_Toc129621624"/>
      <w:r w:rsidRPr="00060F33">
        <w:rPr>
          <w:b/>
          <w:bCs/>
          <w:snapToGrid w:val="0"/>
          <w:kern w:val="22"/>
          <w:szCs w:val="22"/>
        </w:rPr>
        <w:t xml:space="preserve">Goal A – </w:t>
      </w:r>
      <w:r w:rsidRPr="0084069D">
        <w:rPr>
          <w:b/>
          <w:bCs/>
          <w:snapToGrid w:val="0"/>
          <w:kern w:val="22"/>
          <w:szCs w:val="22"/>
        </w:rPr>
        <w:t>Increase understanding, awareness and appreciation of the different visions and approaches to achieve sustainable development and</w:t>
      </w:r>
      <w:r w:rsidRPr="00060F33">
        <w:rPr>
          <w:b/>
          <w:bCs/>
          <w:snapToGrid w:val="0"/>
          <w:kern w:val="22"/>
          <w:szCs w:val="22"/>
        </w:rPr>
        <w:t xml:space="preserve"> the multiple values of biodiversity, including the associated systems of knowledge, values and approaches used by indigenous peoples and local communities</w:t>
      </w:r>
      <w:bookmarkEnd w:id="169"/>
      <w:r w:rsidRPr="00060F33">
        <w:rPr>
          <w:b/>
          <w:bCs/>
          <w:snapToGrid w:val="0"/>
          <w:kern w:val="22"/>
          <w:szCs w:val="22"/>
        </w:rPr>
        <w:t xml:space="preserve"> </w:t>
      </w:r>
    </w:p>
    <w:p w14:paraId="27DC1FFD" w14:textId="77777777" w:rsidR="00DA0273" w:rsidRPr="00F6510B"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 xml:space="preserve">This goal continues to support the work conducted under Aichi </w:t>
      </w:r>
      <w:r>
        <w:rPr>
          <w:snapToGrid w:val="0"/>
          <w:kern w:val="22"/>
          <w:szCs w:val="22"/>
        </w:rPr>
        <w:t xml:space="preserve">Biodiversity </w:t>
      </w:r>
      <w:r w:rsidRPr="00060F33">
        <w:rPr>
          <w:snapToGrid w:val="0"/>
          <w:kern w:val="22"/>
          <w:szCs w:val="22"/>
        </w:rPr>
        <w:t xml:space="preserve">Target 1 during the previous decade but has important distinctions. This goal will require some of the </w:t>
      </w:r>
      <w:r w:rsidRPr="00F6510B">
        <w:rPr>
          <w:snapToGrid w:val="0"/>
          <w:kern w:val="22"/>
          <w:szCs w:val="22"/>
        </w:rPr>
        <w:t>following activities to support its realization:</w:t>
      </w:r>
    </w:p>
    <w:p w14:paraId="42C3E69B" w14:textId="77777777" w:rsidR="00DA0273" w:rsidRPr="00060F33" w:rsidRDefault="00DA0273" w:rsidP="00950BE4">
      <w:pPr>
        <w:pStyle w:val="ListParagraph"/>
        <w:numPr>
          <w:ilvl w:val="0"/>
          <w:numId w:val="53"/>
        </w:numPr>
        <w:pBdr>
          <w:top w:val="nil"/>
          <w:left w:val="nil"/>
          <w:bottom w:val="nil"/>
          <w:right w:val="nil"/>
          <w:between w:val="nil"/>
        </w:pBdr>
        <w:spacing w:before="120" w:after="120"/>
        <w:ind w:left="0" w:firstLine="709"/>
        <w:contextualSpacing w:val="0"/>
        <w:rPr>
          <w:snapToGrid w:val="0"/>
          <w:kern w:val="22"/>
          <w:szCs w:val="22"/>
        </w:rPr>
      </w:pPr>
      <w:r w:rsidRPr="00060F33">
        <w:rPr>
          <w:snapToGrid w:val="0"/>
          <w:kern w:val="22"/>
          <w:szCs w:val="22"/>
        </w:rPr>
        <w:t>Recognition and awareness</w:t>
      </w:r>
      <w:r w:rsidRPr="00060F33">
        <w:rPr>
          <w:snapToGrid w:val="0"/>
          <w:kern w:val="22"/>
          <w:szCs w:val="22"/>
        </w:rPr>
        <w:noBreakHyphen/>
        <w:t xml:space="preserve">raising of different visions, approaches and knowledge systems, including those of indigenous peoples and local communities to live in harmony with nature </w:t>
      </w:r>
      <w:r w:rsidRPr="00060F33">
        <w:rPr>
          <w:snapToGrid w:val="0"/>
          <w:color w:val="000000"/>
          <w:kern w:val="22"/>
          <w:szCs w:val="22"/>
        </w:rPr>
        <w:t>and, as recognized in some cultures and countries, Mother Earth</w:t>
      </w:r>
      <w:r w:rsidRPr="00060F33">
        <w:rPr>
          <w:snapToGrid w:val="0"/>
          <w:kern w:val="22"/>
          <w:szCs w:val="22"/>
        </w:rPr>
        <w:t>;</w:t>
      </w:r>
      <w:r w:rsidRPr="00610646">
        <w:rPr>
          <w:rStyle w:val="FootnoteReference"/>
        </w:rPr>
        <w:footnoteReference w:id="144"/>
      </w:r>
    </w:p>
    <w:p w14:paraId="70729CE6" w14:textId="77777777" w:rsidR="00DA0273" w:rsidRPr="008A445E" w:rsidRDefault="00DA0273" w:rsidP="00950BE4">
      <w:pPr>
        <w:pStyle w:val="ListParagraph"/>
        <w:numPr>
          <w:ilvl w:val="0"/>
          <w:numId w:val="53"/>
        </w:numPr>
        <w:pBdr>
          <w:top w:val="nil"/>
          <w:left w:val="nil"/>
          <w:bottom w:val="nil"/>
          <w:right w:val="nil"/>
          <w:between w:val="nil"/>
        </w:pBdr>
        <w:spacing w:before="120" w:after="120"/>
        <w:ind w:left="0" w:firstLine="709"/>
        <w:contextualSpacing w:val="0"/>
        <w:rPr>
          <w:snapToGrid w:val="0"/>
          <w:kern w:val="22"/>
          <w:szCs w:val="22"/>
        </w:rPr>
      </w:pPr>
      <w:r w:rsidRPr="00060F33">
        <w:rPr>
          <w:snapToGrid w:val="0"/>
          <w:kern w:val="22"/>
          <w:szCs w:val="22"/>
        </w:rPr>
        <w:t xml:space="preserve">Creation of </w:t>
      </w:r>
      <w:r w:rsidRPr="008A445E">
        <w:rPr>
          <w:snapToGrid w:val="0"/>
          <w:kern w:val="22"/>
          <w:szCs w:val="22"/>
        </w:rPr>
        <w:t>awareness-raising campaigns that show the values of biodiversity;</w:t>
      </w:r>
    </w:p>
    <w:p w14:paraId="77FA2687" w14:textId="77777777" w:rsidR="00DA0273" w:rsidRPr="008A445E" w:rsidRDefault="00DA0273" w:rsidP="00950BE4">
      <w:pPr>
        <w:pStyle w:val="ListParagraph"/>
        <w:numPr>
          <w:ilvl w:val="0"/>
          <w:numId w:val="53"/>
        </w:numPr>
        <w:pBdr>
          <w:top w:val="nil"/>
          <w:left w:val="nil"/>
          <w:bottom w:val="nil"/>
          <w:right w:val="nil"/>
          <w:between w:val="nil"/>
        </w:pBdr>
        <w:spacing w:before="120" w:after="120"/>
        <w:ind w:left="0" w:firstLine="709"/>
        <w:contextualSpacing w:val="0"/>
        <w:rPr>
          <w:snapToGrid w:val="0"/>
          <w:kern w:val="22"/>
          <w:szCs w:val="22"/>
        </w:rPr>
      </w:pPr>
      <w:r w:rsidRPr="00B56FDA">
        <w:rPr>
          <w:snapToGrid w:val="0"/>
          <w:kern w:val="22"/>
          <w:szCs w:val="22"/>
        </w:rPr>
        <w:t>Products and</w:t>
      </w:r>
      <w:r w:rsidRPr="008A445E">
        <w:rPr>
          <w:snapToGrid w:val="0"/>
          <w:kern w:val="22"/>
          <w:szCs w:val="22"/>
        </w:rPr>
        <w:t xml:space="preserve"> research that integrate and communicate the values of biodiversity represented in the traditional knowledge and practices of indigenous peoples and local communities;</w:t>
      </w:r>
    </w:p>
    <w:p w14:paraId="52A4F65D" w14:textId="77777777" w:rsidR="00DA0273" w:rsidRPr="00060F33" w:rsidRDefault="00DA0273" w:rsidP="00950BE4">
      <w:pPr>
        <w:pStyle w:val="ListParagraph"/>
        <w:numPr>
          <w:ilvl w:val="0"/>
          <w:numId w:val="53"/>
        </w:numPr>
        <w:pBdr>
          <w:top w:val="nil"/>
          <w:left w:val="nil"/>
          <w:bottom w:val="nil"/>
          <w:right w:val="nil"/>
          <w:between w:val="nil"/>
        </w:pBdr>
        <w:spacing w:before="120" w:after="120"/>
        <w:ind w:left="0" w:firstLine="709"/>
        <w:contextualSpacing w:val="0"/>
        <w:rPr>
          <w:snapToGrid w:val="0"/>
          <w:kern w:val="22"/>
          <w:szCs w:val="22"/>
        </w:rPr>
      </w:pPr>
      <w:r w:rsidRPr="008A445E">
        <w:rPr>
          <w:snapToGrid w:val="0"/>
          <w:kern w:val="22"/>
          <w:szCs w:val="22"/>
        </w:rPr>
        <w:t>Support to media</w:t>
      </w:r>
      <w:r w:rsidRPr="00060F33">
        <w:rPr>
          <w:snapToGrid w:val="0"/>
          <w:kern w:val="22"/>
          <w:szCs w:val="22"/>
        </w:rPr>
        <w:t xml:space="preserve"> and film projects that create multimedia stories and narratives about biodiversity and its values;</w:t>
      </w:r>
    </w:p>
    <w:p w14:paraId="1D8C283A" w14:textId="77777777" w:rsidR="00DA0273" w:rsidRPr="00060F33" w:rsidRDefault="00DA0273" w:rsidP="00950BE4">
      <w:pPr>
        <w:pStyle w:val="ListParagraph"/>
        <w:numPr>
          <w:ilvl w:val="0"/>
          <w:numId w:val="53"/>
        </w:numPr>
        <w:pBdr>
          <w:top w:val="nil"/>
          <w:left w:val="nil"/>
          <w:bottom w:val="nil"/>
          <w:right w:val="nil"/>
          <w:between w:val="nil"/>
        </w:pBdr>
        <w:spacing w:before="120" w:after="120"/>
        <w:ind w:left="0" w:firstLine="709"/>
        <w:contextualSpacing w:val="0"/>
        <w:rPr>
          <w:snapToGrid w:val="0"/>
          <w:kern w:val="22"/>
          <w:szCs w:val="22"/>
        </w:rPr>
      </w:pPr>
      <w:r w:rsidRPr="00060F33">
        <w:rPr>
          <w:snapToGrid w:val="0"/>
          <w:color w:val="000000"/>
          <w:kern w:val="22"/>
          <w:szCs w:val="22"/>
        </w:rPr>
        <w:t>Development and/or distribution of education content to education institutions to help spread the values of biodiversity;</w:t>
      </w:r>
    </w:p>
    <w:p w14:paraId="24EFF5C4" w14:textId="77777777" w:rsidR="00DA0273" w:rsidRPr="00060F33" w:rsidRDefault="00DA0273" w:rsidP="00950BE4">
      <w:pPr>
        <w:pStyle w:val="ListParagraph"/>
        <w:numPr>
          <w:ilvl w:val="0"/>
          <w:numId w:val="53"/>
        </w:numPr>
        <w:pBdr>
          <w:top w:val="nil"/>
          <w:left w:val="nil"/>
          <w:bottom w:val="nil"/>
          <w:right w:val="nil"/>
          <w:between w:val="nil"/>
        </w:pBdr>
        <w:spacing w:before="120" w:after="120"/>
        <w:ind w:left="0" w:firstLine="709"/>
        <w:contextualSpacing w:val="0"/>
        <w:rPr>
          <w:snapToGrid w:val="0"/>
          <w:kern w:val="22"/>
          <w:szCs w:val="22"/>
        </w:rPr>
      </w:pPr>
      <w:r w:rsidRPr="00060F33">
        <w:rPr>
          <w:snapToGrid w:val="0"/>
          <w:color w:val="000000"/>
          <w:kern w:val="22"/>
          <w:szCs w:val="22"/>
        </w:rPr>
        <w:t>Revision of education curricula to include biodiversity values and the importance of a reconnection with nature;</w:t>
      </w:r>
    </w:p>
    <w:p w14:paraId="24B418A0" w14:textId="77777777" w:rsidR="00DA0273" w:rsidRPr="00060F33" w:rsidRDefault="00DA0273" w:rsidP="00950BE4">
      <w:pPr>
        <w:pStyle w:val="ListParagraph"/>
        <w:numPr>
          <w:ilvl w:val="0"/>
          <w:numId w:val="53"/>
        </w:numPr>
        <w:pBdr>
          <w:top w:val="nil"/>
          <w:left w:val="nil"/>
          <w:bottom w:val="nil"/>
          <w:right w:val="nil"/>
          <w:between w:val="nil"/>
        </w:pBdr>
        <w:spacing w:before="120" w:after="120"/>
        <w:ind w:left="0" w:firstLine="709"/>
        <w:contextualSpacing w:val="0"/>
        <w:rPr>
          <w:snapToGrid w:val="0"/>
          <w:kern w:val="22"/>
          <w:szCs w:val="22"/>
        </w:rPr>
      </w:pPr>
      <w:r w:rsidRPr="00060F33">
        <w:rPr>
          <w:snapToGrid w:val="0"/>
          <w:kern w:val="22"/>
          <w:szCs w:val="22"/>
        </w:rPr>
        <w:lastRenderedPageBreak/>
        <w:t xml:space="preserve">Promotion of reconnection with nature through </w:t>
      </w:r>
      <w:r w:rsidRPr="008A445E">
        <w:rPr>
          <w:snapToGrid w:val="0"/>
          <w:kern w:val="22"/>
          <w:szCs w:val="22"/>
        </w:rPr>
        <w:t>formal and informal education, in line with Sustainable Development Goals 4.7 and 12.8 to promote sustainable lifestyles and ensure that people have the relevant information and awareness for sustainable development and lifestyles in harmony</w:t>
      </w:r>
      <w:r w:rsidRPr="00060F33">
        <w:rPr>
          <w:snapToGrid w:val="0"/>
          <w:kern w:val="22"/>
          <w:szCs w:val="22"/>
        </w:rPr>
        <w:t xml:space="preserve"> with nature.</w:t>
      </w:r>
    </w:p>
    <w:p w14:paraId="2C218359" w14:textId="77777777" w:rsidR="00DA0273" w:rsidRPr="00060F33" w:rsidRDefault="00DA0273" w:rsidP="00001405">
      <w:pPr>
        <w:pStyle w:val="ListParagraph"/>
        <w:keepNext/>
        <w:pBdr>
          <w:top w:val="nil"/>
          <w:left w:val="nil"/>
          <w:bottom w:val="nil"/>
          <w:right w:val="nil"/>
          <w:between w:val="nil"/>
        </w:pBdr>
        <w:spacing w:before="120" w:after="120"/>
        <w:ind w:left="0"/>
        <w:contextualSpacing w:val="0"/>
        <w:jc w:val="left"/>
        <w:rPr>
          <w:b/>
          <w:bCs/>
          <w:snapToGrid w:val="0"/>
          <w:kern w:val="22"/>
          <w:szCs w:val="22"/>
        </w:rPr>
      </w:pPr>
      <w:bookmarkStart w:id="170" w:name="_Toc129621625"/>
      <w:r w:rsidRPr="00060F33">
        <w:rPr>
          <w:b/>
          <w:bCs/>
          <w:snapToGrid w:val="0"/>
          <w:kern w:val="22"/>
          <w:szCs w:val="22"/>
        </w:rPr>
        <w:t xml:space="preserve">Goal B – Raise awareness among all actors of the existence of the goals and targets of the </w:t>
      </w:r>
      <w:r>
        <w:rPr>
          <w:b/>
          <w:bCs/>
          <w:snapToGrid w:val="0"/>
          <w:kern w:val="22"/>
          <w:szCs w:val="22"/>
        </w:rPr>
        <w:t>Kunming-Montreal</w:t>
      </w:r>
      <w:r w:rsidRPr="00060F33">
        <w:rPr>
          <w:b/>
          <w:bCs/>
          <w:snapToGrid w:val="0"/>
          <w:kern w:val="22"/>
          <w:szCs w:val="22"/>
        </w:rPr>
        <w:t xml:space="preserve"> </w:t>
      </w:r>
      <w:r>
        <w:rPr>
          <w:b/>
          <w:bCs/>
          <w:snapToGrid w:val="0"/>
          <w:kern w:val="22"/>
          <w:szCs w:val="22"/>
        </w:rPr>
        <w:t>G</w:t>
      </w:r>
      <w:r w:rsidRPr="00060F33">
        <w:rPr>
          <w:b/>
          <w:bCs/>
          <w:snapToGrid w:val="0"/>
          <w:kern w:val="22"/>
          <w:szCs w:val="22"/>
        </w:rPr>
        <w:t xml:space="preserve">lobal </w:t>
      </w:r>
      <w:r>
        <w:rPr>
          <w:b/>
          <w:bCs/>
          <w:snapToGrid w:val="0"/>
          <w:kern w:val="22"/>
          <w:szCs w:val="22"/>
        </w:rPr>
        <w:t>B</w:t>
      </w:r>
      <w:r w:rsidRPr="00060F33">
        <w:rPr>
          <w:b/>
          <w:bCs/>
          <w:snapToGrid w:val="0"/>
          <w:kern w:val="22"/>
          <w:szCs w:val="22"/>
        </w:rPr>
        <w:t xml:space="preserve">iodiversity </w:t>
      </w:r>
      <w:r>
        <w:rPr>
          <w:b/>
          <w:bCs/>
          <w:snapToGrid w:val="0"/>
          <w:kern w:val="22"/>
          <w:szCs w:val="22"/>
        </w:rPr>
        <w:t>F</w:t>
      </w:r>
      <w:r w:rsidRPr="00060F33">
        <w:rPr>
          <w:b/>
          <w:bCs/>
          <w:snapToGrid w:val="0"/>
          <w:kern w:val="22"/>
          <w:szCs w:val="22"/>
        </w:rPr>
        <w:t>ramework and progress made towards their achievement</w:t>
      </w:r>
      <w:bookmarkEnd w:id="170"/>
    </w:p>
    <w:p w14:paraId="1CB8C347" w14:textId="77777777" w:rsidR="00DA0273" w:rsidRPr="00CB6C6B"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bCs/>
          <w:snapToGrid w:val="0"/>
          <w:kern w:val="22"/>
          <w:szCs w:val="22"/>
        </w:rPr>
      </w:pPr>
      <w:r w:rsidRPr="00060F33">
        <w:rPr>
          <w:bCs/>
          <w:snapToGrid w:val="0"/>
          <w:color w:val="000000"/>
          <w:kern w:val="22"/>
          <w:szCs w:val="22"/>
        </w:rPr>
        <w:t xml:space="preserve">Awareness-raising needs to be linked to transformations of intentions and actions. The goal mandates a broad range of communications actions to support </w:t>
      </w:r>
      <w:r>
        <w:rPr>
          <w:bCs/>
          <w:snapToGrid w:val="0"/>
          <w:color w:val="000000"/>
          <w:kern w:val="22"/>
          <w:szCs w:val="22"/>
        </w:rPr>
        <w:t xml:space="preserve">the </w:t>
      </w:r>
      <w:r w:rsidRPr="00060F33">
        <w:rPr>
          <w:bCs/>
          <w:snapToGrid w:val="0"/>
          <w:color w:val="000000"/>
          <w:kern w:val="22"/>
          <w:szCs w:val="22"/>
        </w:rPr>
        <w:t xml:space="preserve">visibility of the </w:t>
      </w:r>
      <w:r>
        <w:rPr>
          <w:snapToGrid w:val="0"/>
          <w:color w:val="000000"/>
          <w:kern w:val="22"/>
          <w:szCs w:val="22"/>
        </w:rPr>
        <w:t>Framework</w:t>
      </w:r>
      <w:r w:rsidRPr="00060F33">
        <w:rPr>
          <w:bCs/>
          <w:snapToGrid w:val="0"/>
          <w:color w:val="000000"/>
          <w:kern w:val="22"/>
          <w:szCs w:val="22"/>
        </w:rPr>
        <w:t xml:space="preserve"> at all levels, and its relevance to all stakeholders. It also supports ongoing efforts to show progress, and to highlight implementation that provides inspiration for further action towards </w:t>
      </w:r>
      <w:r w:rsidRPr="00CB6C6B">
        <w:rPr>
          <w:bCs/>
          <w:snapToGrid w:val="0"/>
          <w:color w:val="000000"/>
          <w:kern w:val="22"/>
          <w:szCs w:val="22"/>
        </w:rPr>
        <w:t xml:space="preserve">the 2050 Vision for </w:t>
      </w:r>
      <w:r w:rsidRPr="00F03EE2">
        <w:rPr>
          <w:bCs/>
          <w:snapToGrid w:val="0"/>
          <w:color w:val="000000"/>
          <w:kern w:val="22"/>
          <w:szCs w:val="22"/>
        </w:rPr>
        <w:t>b</w:t>
      </w:r>
      <w:r w:rsidRPr="00CB6C6B">
        <w:rPr>
          <w:bCs/>
          <w:snapToGrid w:val="0"/>
          <w:color w:val="000000"/>
          <w:kern w:val="22"/>
          <w:szCs w:val="22"/>
        </w:rPr>
        <w:t>iodiversity.</w:t>
      </w:r>
    </w:p>
    <w:p w14:paraId="77283B61"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color w:val="000000"/>
          <w:kern w:val="22"/>
          <w:szCs w:val="22"/>
        </w:rPr>
        <w:t xml:space="preserve">Communications also need to promote additional actions related to those goals and targets of the </w:t>
      </w:r>
      <w:r>
        <w:rPr>
          <w:snapToGrid w:val="0"/>
          <w:color w:val="000000"/>
          <w:kern w:val="22"/>
          <w:szCs w:val="22"/>
        </w:rPr>
        <w:t>F</w:t>
      </w:r>
      <w:r w:rsidRPr="00060F33">
        <w:rPr>
          <w:snapToGrid w:val="0"/>
          <w:color w:val="000000"/>
          <w:kern w:val="22"/>
          <w:szCs w:val="22"/>
        </w:rPr>
        <w:t xml:space="preserve">ramework where there has not been sufficient progress. </w:t>
      </w:r>
      <w:r w:rsidRPr="00060F33">
        <w:rPr>
          <w:snapToGrid w:val="0"/>
          <w:kern w:val="22"/>
          <w:szCs w:val="22"/>
        </w:rPr>
        <w:t>Communications should promote positive results-driven action by supporting efforts in a positive way, offering cautions as to the consequences of failure, or demonstrating ways in which action in other domains can be emulated to produce progress towards the mission</w:t>
      </w:r>
      <w:r w:rsidRPr="00060F33">
        <w:rPr>
          <w:snapToGrid w:val="0"/>
          <w:color w:val="000000"/>
          <w:kern w:val="22"/>
          <w:szCs w:val="22"/>
        </w:rPr>
        <w:t>.</w:t>
      </w:r>
    </w:p>
    <w:p w14:paraId="5D7AE81B" w14:textId="77777777" w:rsidR="00DA0273" w:rsidRPr="00060F33" w:rsidRDefault="00DA0273" w:rsidP="00001405">
      <w:pPr>
        <w:pStyle w:val="ListParagraph"/>
        <w:keepNext/>
        <w:pBdr>
          <w:top w:val="nil"/>
          <w:left w:val="nil"/>
          <w:bottom w:val="nil"/>
          <w:right w:val="nil"/>
          <w:between w:val="nil"/>
        </w:pBdr>
        <w:spacing w:before="120" w:after="120"/>
        <w:ind w:left="0"/>
        <w:contextualSpacing w:val="0"/>
        <w:rPr>
          <w:b/>
          <w:bCs/>
          <w:snapToGrid w:val="0"/>
          <w:kern w:val="22"/>
          <w:szCs w:val="22"/>
        </w:rPr>
      </w:pPr>
      <w:bookmarkStart w:id="171" w:name="_Toc129621626"/>
      <w:r w:rsidRPr="00060F33">
        <w:rPr>
          <w:b/>
          <w:bCs/>
          <w:snapToGrid w:val="0"/>
          <w:kern w:val="22"/>
          <w:szCs w:val="22"/>
        </w:rPr>
        <w:t xml:space="preserve">Goal C </w:t>
      </w:r>
      <w:r w:rsidRPr="008C599C">
        <w:rPr>
          <w:b/>
          <w:bCs/>
          <w:snapToGrid w:val="0"/>
          <w:kern w:val="22"/>
          <w:szCs w:val="22"/>
        </w:rPr>
        <w:t xml:space="preserve">– </w:t>
      </w:r>
      <w:r w:rsidRPr="007E0905">
        <w:rPr>
          <w:b/>
          <w:bCs/>
          <w:snapToGrid w:val="0"/>
          <w:kern w:val="22"/>
          <w:szCs w:val="22"/>
        </w:rPr>
        <w:t>Develop and promote</w:t>
      </w:r>
      <w:r w:rsidRPr="008C599C">
        <w:rPr>
          <w:b/>
          <w:bCs/>
          <w:snapToGrid w:val="0"/>
          <w:kern w:val="22"/>
          <w:szCs w:val="22"/>
        </w:rPr>
        <w:t xml:space="preserve"> platforms</w:t>
      </w:r>
      <w:r w:rsidRPr="00060F33">
        <w:rPr>
          <w:b/>
          <w:bCs/>
          <w:snapToGrid w:val="0"/>
          <w:kern w:val="22"/>
          <w:szCs w:val="22"/>
        </w:rPr>
        <w:t xml:space="preserve"> and partnerships, including with media, educators and civil society, to share information on successes, lessons learned and experiences in acting for biodiversity</w:t>
      </w:r>
      <w:bookmarkEnd w:id="171"/>
    </w:p>
    <w:p w14:paraId="4F2734FD"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Data on these should be made available in a format that can be easily accessed by media and educators, both traditional and online, and then processed for media articles and educational resources. Partnerships with media outlets and educators that are experts in this regard are important ways forward. Data sources and the rationale for all indicators should be easily available and explained in both technical and non-technical ways and linked to the monitoring framework.</w:t>
      </w:r>
    </w:p>
    <w:p w14:paraId="2E28BE4E"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Communications related to the monitoring element should</w:t>
      </w:r>
      <w:r>
        <w:rPr>
          <w:snapToGrid w:val="0"/>
          <w:kern w:val="22"/>
          <w:szCs w:val="22"/>
        </w:rPr>
        <w:t xml:space="preserve"> be aligned with national reporting periods.</w:t>
      </w:r>
      <w:r w:rsidRPr="00060F33">
        <w:rPr>
          <w:snapToGrid w:val="0"/>
          <w:kern w:val="22"/>
          <w:szCs w:val="22"/>
        </w:rPr>
        <w:t xml:space="preserve"> </w:t>
      </w:r>
    </w:p>
    <w:p w14:paraId="6C197B7E"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 xml:space="preserve">Other actors should be encouraged to publish reports that support lessons learned or successes, where appropriate in coordination with the Executive Secretary. </w:t>
      </w:r>
    </w:p>
    <w:p w14:paraId="28A383B7"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 xml:space="preserve">Joint communication actions with the Harmony with Mother Earth Interactive Dialogue of the General Assembly of the United Nations may be sought to enhance the outreach and visibility of the </w:t>
      </w:r>
      <w:r>
        <w:rPr>
          <w:snapToGrid w:val="0"/>
          <w:kern w:val="22"/>
          <w:szCs w:val="22"/>
        </w:rPr>
        <w:t>Kunming-Montreal</w:t>
      </w:r>
      <w:r w:rsidRPr="00060F33">
        <w:rPr>
          <w:snapToGrid w:val="0"/>
          <w:kern w:val="22"/>
          <w:szCs w:val="22"/>
        </w:rPr>
        <w:t xml:space="preserve"> </w:t>
      </w:r>
      <w:r>
        <w:rPr>
          <w:snapToGrid w:val="0"/>
          <w:kern w:val="22"/>
          <w:szCs w:val="22"/>
        </w:rPr>
        <w:t>G</w:t>
      </w:r>
      <w:r w:rsidRPr="00060F33">
        <w:rPr>
          <w:snapToGrid w:val="0"/>
          <w:kern w:val="22"/>
          <w:szCs w:val="22"/>
        </w:rPr>
        <w:t xml:space="preserve">lobal </w:t>
      </w:r>
      <w:r>
        <w:rPr>
          <w:snapToGrid w:val="0"/>
          <w:kern w:val="22"/>
          <w:szCs w:val="22"/>
        </w:rPr>
        <w:t>B</w:t>
      </w:r>
      <w:r w:rsidRPr="00060F33">
        <w:rPr>
          <w:snapToGrid w:val="0"/>
          <w:kern w:val="22"/>
          <w:szCs w:val="22"/>
        </w:rPr>
        <w:t xml:space="preserve">iodiversity </w:t>
      </w:r>
      <w:r>
        <w:rPr>
          <w:snapToGrid w:val="0"/>
          <w:kern w:val="22"/>
          <w:szCs w:val="22"/>
        </w:rPr>
        <w:t>F</w:t>
      </w:r>
      <w:r w:rsidRPr="00060F33">
        <w:rPr>
          <w:snapToGrid w:val="0"/>
          <w:kern w:val="22"/>
          <w:szCs w:val="22"/>
        </w:rPr>
        <w:t>ramework.</w:t>
      </w:r>
    </w:p>
    <w:p w14:paraId="2400CF89"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 xml:space="preserve">Collaboration is needed to promote and develop ways to integrate biodiversity into the education system in order to equip and empower learners with the knowledge, skills, values and attitudes to act for biodiversity and the </w:t>
      </w:r>
      <w:r w:rsidRPr="00F324F1">
        <w:rPr>
          <w:snapToGrid w:val="0"/>
          <w:kern w:val="22"/>
          <w:szCs w:val="22"/>
        </w:rPr>
        <w:t>planet, building on synergies with Sustainable Development Goals 4.7 and 12.8. This can be done by creating and promoting “learning ecosystems” connecting families, schools, community actors, public</w:t>
      </w:r>
      <w:r w:rsidRPr="00F03EE2">
        <w:rPr>
          <w:snapToGrid w:val="0"/>
          <w:kern w:val="22"/>
          <w:szCs w:val="22"/>
        </w:rPr>
        <w:t>-facing</w:t>
      </w:r>
      <w:r w:rsidRPr="00F324F1">
        <w:rPr>
          <w:snapToGrid w:val="0"/>
          <w:kern w:val="22"/>
          <w:szCs w:val="22"/>
        </w:rPr>
        <w:t xml:space="preserve"> institutions </w:t>
      </w:r>
      <w:r w:rsidRPr="00F03EE2">
        <w:rPr>
          <w:snapToGrid w:val="0"/>
          <w:kern w:val="22"/>
          <w:szCs w:val="22"/>
        </w:rPr>
        <w:t xml:space="preserve">such </w:t>
      </w:r>
      <w:r w:rsidRPr="00F324F1">
        <w:rPr>
          <w:snapToGrid w:val="0"/>
          <w:kern w:val="22"/>
          <w:szCs w:val="22"/>
        </w:rPr>
        <w:t>as zoos, aquariums</w:t>
      </w:r>
      <w:r w:rsidRPr="00FD2C6B">
        <w:rPr>
          <w:snapToGrid w:val="0"/>
          <w:kern w:val="22"/>
          <w:szCs w:val="22"/>
        </w:rPr>
        <w:t xml:space="preserve">, museums, botanical gardens and libraries, and businesses and </w:t>
      </w:r>
      <w:r w:rsidRPr="00FD2C6B">
        <w:rPr>
          <w:snapToGrid w:val="0"/>
          <w:color w:val="000000"/>
          <w:kern w:val="22"/>
          <w:szCs w:val="22"/>
        </w:rPr>
        <w:t>non-governmental organizations (</w:t>
      </w:r>
      <w:r w:rsidRPr="00FD2C6B">
        <w:rPr>
          <w:snapToGrid w:val="0"/>
          <w:kern w:val="22"/>
          <w:szCs w:val="22"/>
        </w:rPr>
        <w:t>NGO</w:t>
      </w:r>
      <w:r w:rsidRPr="00060F33">
        <w:rPr>
          <w:snapToGrid w:val="0"/>
          <w:kern w:val="22"/>
          <w:szCs w:val="22"/>
        </w:rPr>
        <w:t>s), which allow for direct translation of biodiversity awareness and knowledge into action on the ground.</w:t>
      </w:r>
    </w:p>
    <w:p w14:paraId="4E267C42" w14:textId="77777777" w:rsidR="00DA0273" w:rsidRPr="008C4F4C"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 xml:space="preserve">It is also possible to promote personal and societal transformative action in </w:t>
      </w:r>
      <w:r w:rsidRPr="008C4F4C">
        <w:rPr>
          <w:snapToGrid w:val="0"/>
          <w:kern w:val="22"/>
          <w:szCs w:val="22"/>
        </w:rPr>
        <w:t>learners of all ages by providing them with the tools to design new sustainable systems and ways of living. Educational work needs to be coordinated with the United Nations Educational, Scientific and Cultural Organization (UNESCO), to assist in engagement with educators in formal, informal and non-formal settings.</w:t>
      </w:r>
    </w:p>
    <w:p w14:paraId="3579C060" w14:textId="77777777" w:rsidR="00DA0273" w:rsidRPr="00060F33" w:rsidRDefault="00DA0273" w:rsidP="00001405">
      <w:pPr>
        <w:pStyle w:val="ListParagraph"/>
        <w:keepNext/>
        <w:pBdr>
          <w:top w:val="nil"/>
          <w:left w:val="nil"/>
          <w:bottom w:val="nil"/>
          <w:right w:val="nil"/>
          <w:between w:val="nil"/>
        </w:pBdr>
        <w:spacing w:before="120" w:after="120"/>
        <w:ind w:left="0"/>
        <w:contextualSpacing w:val="0"/>
        <w:rPr>
          <w:b/>
          <w:bCs/>
          <w:snapToGrid w:val="0"/>
          <w:kern w:val="22"/>
          <w:szCs w:val="22"/>
        </w:rPr>
      </w:pPr>
      <w:bookmarkStart w:id="172" w:name="_Toc129621627"/>
      <w:r w:rsidRPr="00060F33">
        <w:rPr>
          <w:b/>
          <w:bCs/>
          <w:snapToGrid w:val="0"/>
          <w:kern w:val="22"/>
          <w:szCs w:val="22"/>
        </w:rPr>
        <w:t xml:space="preserve">Goal D – Demonstrate the relevance of the </w:t>
      </w:r>
      <w:r w:rsidRPr="00F01FD4">
        <w:rPr>
          <w:b/>
          <w:bCs/>
          <w:snapToGrid w:val="0"/>
          <w:kern w:val="22"/>
          <w:szCs w:val="22"/>
        </w:rPr>
        <w:t>Kunming-Montreal Global Biodiversity Framework</w:t>
      </w:r>
      <w:r w:rsidRPr="00F01FD4" w:rsidDel="00F01FD4">
        <w:rPr>
          <w:b/>
          <w:bCs/>
          <w:snapToGrid w:val="0"/>
          <w:kern w:val="22"/>
          <w:szCs w:val="22"/>
        </w:rPr>
        <w:t xml:space="preserve"> </w:t>
      </w:r>
      <w:r w:rsidRPr="00060F33">
        <w:rPr>
          <w:b/>
          <w:bCs/>
          <w:snapToGrid w:val="0"/>
          <w:kern w:val="22"/>
          <w:szCs w:val="22"/>
        </w:rPr>
        <w:t>to poverty eradication, climate change, land degradation, human health, human rights, equity and sustainable development</w:t>
      </w:r>
      <w:bookmarkEnd w:id="172"/>
    </w:p>
    <w:p w14:paraId="1AD5F8E5"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Communication efforts will show the interlinkages between biodiversity and a variety of key issues:</w:t>
      </w:r>
    </w:p>
    <w:p w14:paraId="1DBA30C0"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(a)</w:t>
      </w:r>
      <w:r w:rsidRPr="00060F33">
        <w:rPr>
          <w:snapToGrid w:val="0"/>
          <w:color w:val="000000"/>
          <w:kern w:val="22"/>
          <w:szCs w:val="22"/>
        </w:rPr>
        <w:tab/>
        <w:t xml:space="preserve">The Sustainable Development Goals. The close linkage of the Convention and its </w:t>
      </w:r>
      <w:r>
        <w:rPr>
          <w:snapToGrid w:val="0"/>
          <w:kern w:val="22"/>
          <w:szCs w:val="22"/>
        </w:rPr>
        <w:t>Kunming-Montreal</w:t>
      </w:r>
      <w:r w:rsidRPr="00060F33">
        <w:rPr>
          <w:snapToGrid w:val="0"/>
          <w:kern w:val="22"/>
          <w:szCs w:val="22"/>
        </w:rPr>
        <w:t xml:space="preserve"> </w:t>
      </w:r>
      <w:r>
        <w:rPr>
          <w:snapToGrid w:val="0"/>
          <w:kern w:val="22"/>
          <w:szCs w:val="22"/>
        </w:rPr>
        <w:t>G</w:t>
      </w:r>
      <w:r w:rsidRPr="00060F33">
        <w:rPr>
          <w:snapToGrid w:val="0"/>
          <w:kern w:val="22"/>
          <w:szCs w:val="22"/>
        </w:rPr>
        <w:t xml:space="preserve">lobal </w:t>
      </w:r>
      <w:r>
        <w:rPr>
          <w:snapToGrid w:val="0"/>
          <w:kern w:val="22"/>
          <w:szCs w:val="22"/>
        </w:rPr>
        <w:t>B</w:t>
      </w:r>
      <w:r w:rsidRPr="00060F33">
        <w:rPr>
          <w:snapToGrid w:val="0"/>
          <w:kern w:val="22"/>
          <w:szCs w:val="22"/>
        </w:rPr>
        <w:t xml:space="preserve">iodiversity </w:t>
      </w:r>
      <w:r>
        <w:rPr>
          <w:snapToGrid w:val="0"/>
          <w:kern w:val="22"/>
          <w:szCs w:val="22"/>
        </w:rPr>
        <w:t>F</w:t>
      </w:r>
      <w:r w:rsidRPr="00060F33">
        <w:rPr>
          <w:snapToGrid w:val="0"/>
          <w:kern w:val="22"/>
          <w:szCs w:val="22"/>
        </w:rPr>
        <w:t>ramework</w:t>
      </w:r>
      <w:r w:rsidRPr="00060F33">
        <w:rPr>
          <w:snapToGrid w:val="0"/>
          <w:color w:val="000000"/>
          <w:kern w:val="22"/>
          <w:szCs w:val="22"/>
        </w:rPr>
        <w:t xml:space="preserve"> with the goals of the 2030 Agenda for Sustainable </w:t>
      </w:r>
      <w:r w:rsidRPr="00060F33">
        <w:rPr>
          <w:snapToGrid w:val="0"/>
          <w:color w:val="000000"/>
          <w:kern w:val="22"/>
          <w:szCs w:val="22"/>
        </w:rPr>
        <w:lastRenderedPageBreak/>
        <w:t>Development</w:t>
      </w:r>
      <w:r w:rsidRPr="00610646">
        <w:rPr>
          <w:rStyle w:val="FootnoteReference"/>
        </w:rPr>
        <w:footnoteReference w:id="145"/>
      </w:r>
      <w:r w:rsidRPr="00060F33">
        <w:rPr>
          <w:snapToGrid w:val="0"/>
          <w:color w:val="000000"/>
          <w:kern w:val="22"/>
          <w:szCs w:val="22"/>
        </w:rPr>
        <w:t xml:space="preserve"> will be an important point for realizing synergy in messaging. The close alignment of these two agendas will make this a more straightforward effort, highlighting the importance of sustainable use and of access and benefit-sharing for poverty eradication efforts;</w:t>
      </w:r>
    </w:p>
    <w:p w14:paraId="0AECFB23" w14:textId="77777777" w:rsidR="00DA0273" w:rsidRPr="00A03DB9"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(b)</w:t>
      </w:r>
      <w:r w:rsidRPr="00060F33">
        <w:rPr>
          <w:snapToGrid w:val="0"/>
          <w:color w:val="000000"/>
          <w:kern w:val="22"/>
          <w:szCs w:val="22"/>
        </w:rPr>
        <w:tab/>
        <w:t xml:space="preserve">It will be important to develop messaging on the relationship between climate change and biodiversity and the synergies between the </w:t>
      </w:r>
      <w:r w:rsidRPr="00B0164C">
        <w:rPr>
          <w:snapToGrid w:val="0"/>
          <w:color w:val="000000"/>
          <w:kern w:val="22"/>
          <w:szCs w:val="22"/>
        </w:rPr>
        <w:t>Kunming-Montreal Global Biodiversity Framework</w:t>
      </w:r>
      <w:r w:rsidRPr="00B0164C" w:rsidDel="00B0164C">
        <w:rPr>
          <w:snapToGrid w:val="0"/>
          <w:color w:val="000000"/>
          <w:kern w:val="22"/>
          <w:szCs w:val="22"/>
        </w:rPr>
        <w:t xml:space="preserve"> </w:t>
      </w:r>
      <w:r w:rsidRPr="00060F33">
        <w:rPr>
          <w:snapToGrid w:val="0"/>
          <w:color w:val="000000"/>
          <w:kern w:val="22"/>
          <w:szCs w:val="22"/>
        </w:rPr>
        <w:t xml:space="preserve">and the commitments adopted under the United Nations Framework Convention on Climate Change, its Kyoto Protocol and the Paris Agreement, in line with </w:t>
      </w:r>
      <w:r w:rsidRPr="00E61DA0">
        <w:rPr>
          <w:snapToGrid w:val="0"/>
          <w:color w:val="000000"/>
          <w:kern w:val="22"/>
          <w:szCs w:val="22"/>
        </w:rPr>
        <w:t xml:space="preserve">their respective mandates. The messaging may also include ecosystem-based approaches to climate change and collective action, </w:t>
      </w:r>
      <w:r w:rsidRPr="00A03DB9">
        <w:rPr>
          <w:snapToGrid w:val="0"/>
          <w:color w:val="000000"/>
          <w:kern w:val="22"/>
          <w:szCs w:val="22"/>
        </w:rPr>
        <w:t>including those by indigenous peoples and local communities;</w:t>
      </w:r>
    </w:p>
    <w:p w14:paraId="406B28D5"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A03DB9">
        <w:rPr>
          <w:snapToGrid w:val="0"/>
          <w:color w:val="000000"/>
          <w:kern w:val="22"/>
          <w:szCs w:val="22"/>
        </w:rPr>
        <w:t>(c)</w:t>
      </w:r>
      <w:r w:rsidRPr="00A03DB9">
        <w:rPr>
          <w:snapToGrid w:val="0"/>
          <w:color w:val="000000"/>
          <w:kern w:val="22"/>
          <w:szCs w:val="22"/>
        </w:rPr>
        <w:tab/>
        <w:t>Similarly, the strategy will need to show how the work</w:t>
      </w:r>
      <w:r w:rsidRPr="00060F33">
        <w:rPr>
          <w:snapToGrid w:val="0"/>
          <w:color w:val="000000"/>
          <w:kern w:val="22"/>
          <w:szCs w:val="22"/>
        </w:rPr>
        <w:t xml:space="preserve"> under the </w:t>
      </w:r>
      <w:r w:rsidRPr="00B0164C">
        <w:rPr>
          <w:snapToGrid w:val="0"/>
          <w:color w:val="000000"/>
          <w:kern w:val="22"/>
          <w:szCs w:val="22"/>
        </w:rPr>
        <w:t>Kunming-Montreal Global Biodiversity Framework</w:t>
      </w:r>
      <w:r w:rsidRPr="00060F33">
        <w:rPr>
          <w:snapToGrid w:val="0"/>
          <w:color w:val="000000"/>
          <w:kern w:val="22"/>
          <w:szCs w:val="22"/>
        </w:rPr>
        <w:t xml:space="preserve"> contributes to the United Nations Convention to Combat Desertification. Links with land degradation neutrality as well as the goals of the United Nations Decade on Ecosystem Restoration will be highlighted.</w:t>
      </w:r>
    </w:p>
    <w:p w14:paraId="6A0A5947" w14:textId="77777777" w:rsidR="00DA0273" w:rsidRPr="007C2466"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The importance of marine and coastal areas will also need to be captured, including synergy with the United Nations Decade of Ocean Science for Sustainable Development</w:t>
      </w:r>
      <w:r w:rsidRPr="00610646">
        <w:rPr>
          <w:rStyle w:val="FootnoteReference"/>
        </w:rPr>
        <w:footnoteReference w:id="146"/>
      </w:r>
      <w:r w:rsidRPr="00060F33">
        <w:rPr>
          <w:snapToGrid w:val="0"/>
          <w:color w:val="000000"/>
          <w:kern w:val="22"/>
          <w:szCs w:val="22"/>
        </w:rPr>
        <w:t xml:space="preserve"> and the United Nations Convention on the Law of the Sea, for the conservation and sustainable </w:t>
      </w:r>
      <w:r w:rsidRPr="007C2466">
        <w:rPr>
          <w:snapToGrid w:val="0"/>
          <w:color w:val="000000"/>
          <w:kern w:val="22"/>
          <w:szCs w:val="22"/>
        </w:rPr>
        <w:t>use of marine biological diversity of areas beyond national jurisdiction.</w:t>
      </w:r>
    </w:p>
    <w:p w14:paraId="2A0FFA32"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Human health and biodiversity also represent a key area in which the contribution of implementation of the framework needs to be highlighted, taking into account health-biodiversity linkages, including the contribution of the One Health approach and other holistic approaches. </w:t>
      </w:r>
    </w:p>
    <w:p w14:paraId="41FE1E3D" w14:textId="77777777" w:rsidR="00DA0273" w:rsidRPr="001E0287"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1E0287">
        <w:rPr>
          <w:snapToGrid w:val="0"/>
          <w:color w:val="000000"/>
          <w:kern w:val="22"/>
          <w:szCs w:val="22"/>
        </w:rPr>
        <w:t>Human rights and biodiversity is another area for messaging, including by drawing upon elements in r</w:t>
      </w:r>
      <w:r w:rsidRPr="001E0287">
        <w:t>esolution 76/300, adopted by the United Nations General Assembly, on the human right to a clean, healthy and sustainable environment</w:t>
      </w:r>
      <w:r w:rsidRPr="001E0287">
        <w:rPr>
          <w:snapToGrid w:val="0"/>
          <w:color w:val="000000"/>
          <w:kern w:val="22"/>
          <w:szCs w:val="22"/>
        </w:rPr>
        <w:t>.</w:t>
      </w:r>
    </w:p>
    <w:p w14:paraId="4CDAEE57" w14:textId="77777777" w:rsidR="00DA0273" w:rsidRPr="00060F33" w:rsidRDefault="00DA0273" w:rsidP="005C2995">
      <w:pPr>
        <w:keepNext/>
        <w:spacing w:before="120" w:after="120"/>
        <w:ind w:left="142"/>
        <w:jc w:val="center"/>
        <w:rPr>
          <w:b/>
          <w:bCs/>
          <w:caps/>
          <w:snapToGrid w:val="0"/>
          <w:szCs w:val="22"/>
        </w:rPr>
      </w:pPr>
      <w:bookmarkStart w:id="173" w:name="_Toc129621628"/>
      <w:r w:rsidRPr="00060F33">
        <w:rPr>
          <w:b/>
          <w:bCs/>
          <w:caps/>
          <w:snapToGrid w:val="0"/>
          <w:szCs w:val="22"/>
        </w:rPr>
        <w:t>V.</w:t>
      </w:r>
      <w:r w:rsidRPr="00060F33">
        <w:rPr>
          <w:b/>
          <w:bCs/>
          <w:caps/>
          <w:snapToGrid w:val="0"/>
          <w:szCs w:val="22"/>
        </w:rPr>
        <w:tab/>
        <w:t>Audiences</w:t>
      </w:r>
      <w:bookmarkEnd w:id="173"/>
    </w:p>
    <w:p w14:paraId="05F653D4"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Given the global audience for the Convention, it is important to identify audience segments and to link communications with each of these to the different goals of the strategy and design messages accordingly, taking into account cultural differences in terms of tone and visuals. For the audience groups below, it is important to note that they will be both audiences receiving messages and groups that transform and/or transmit messages to other subsidiary target groups.</w:t>
      </w:r>
    </w:p>
    <w:p w14:paraId="55FAA5C9"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Note that some of these audiences are multipliers of the messages and will need to adapt the strategy to their needs. Other audiences are the objects of communications activities.</w:t>
      </w:r>
    </w:p>
    <w:p w14:paraId="0BB6EB96" w14:textId="77777777" w:rsidR="00DA0273" w:rsidRPr="00060F33" w:rsidRDefault="00DA0273" w:rsidP="005C2995">
      <w:pPr>
        <w:spacing w:before="120" w:after="120"/>
        <w:ind w:left="1122" w:right="289" w:hanging="561"/>
        <w:rPr>
          <w:b/>
          <w:bCs/>
          <w:snapToGrid w:val="0"/>
          <w:szCs w:val="22"/>
        </w:rPr>
      </w:pPr>
      <w:bookmarkStart w:id="174" w:name="_Toc129621629"/>
      <w:r w:rsidRPr="00060F33">
        <w:rPr>
          <w:b/>
          <w:bCs/>
          <w:snapToGrid w:val="0"/>
          <w:szCs w:val="22"/>
        </w:rPr>
        <w:t>A.</w:t>
      </w:r>
      <w:r w:rsidRPr="00060F33">
        <w:rPr>
          <w:b/>
          <w:bCs/>
          <w:snapToGrid w:val="0"/>
          <w:szCs w:val="22"/>
        </w:rPr>
        <w:tab/>
        <w:t>Parties to the Convention on Biological Diversity and its Protocols and other relevant multilateral environmental agreements</w:t>
      </w:r>
      <w:bookmarkEnd w:id="174"/>
    </w:p>
    <w:p w14:paraId="03788BA0" w14:textId="77777777" w:rsidR="00DA0273" w:rsidRPr="007C2466"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The Convention is implemented at the national level by national Governments, and therefore the work of the Executive Secretary for this audience is to provide tools for use by focal points to the Convention and its Protocols as they </w:t>
      </w:r>
      <w:r w:rsidRPr="007C2466">
        <w:rPr>
          <w:snapToGrid w:val="0"/>
          <w:color w:val="000000"/>
          <w:kern w:val="22"/>
          <w:szCs w:val="22"/>
        </w:rPr>
        <w:t xml:space="preserve">develop their strategies to reach out to ministries and government departments and build regional or national communication and education coalitions. This is to ensure mainstreaming of biodiversity into the work of other sectors, including formal, non-formal and informal education. </w:t>
      </w:r>
    </w:p>
    <w:p w14:paraId="42911A18" w14:textId="77777777" w:rsidR="00DA0273" w:rsidRPr="00055591"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7C2466">
        <w:rPr>
          <w:snapToGrid w:val="0"/>
          <w:color w:val="000000"/>
          <w:kern w:val="22"/>
          <w:szCs w:val="22"/>
        </w:rPr>
        <w:t>Subnational governments, cities and oth</w:t>
      </w:r>
      <w:r w:rsidRPr="00060F33">
        <w:rPr>
          <w:snapToGrid w:val="0"/>
          <w:color w:val="000000"/>
          <w:kern w:val="22"/>
          <w:szCs w:val="22"/>
        </w:rPr>
        <w:t xml:space="preserve">er local authorities that plan, coordinate, regulate, monitor and enforce patterns of production and consumption will need to deliver on the biodiversity targets set out in the </w:t>
      </w:r>
      <w:r w:rsidRPr="003745C0">
        <w:rPr>
          <w:snapToGrid w:val="0"/>
          <w:color w:val="000000"/>
          <w:kern w:val="22"/>
          <w:szCs w:val="22"/>
        </w:rPr>
        <w:t>Kunming-Montreal Global Biodiversity Framework</w:t>
      </w:r>
      <w:r w:rsidRPr="00060F33">
        <w:rPr>
          <w:snapToGrid w:val="0"/>
          <w:color w:val="000000"/>
          <w:kern w:val="22"/>
          <w:szCs w:val="22"/>
        </w:rPr>
        <w:t>. It is at the local level where subnational governments and other local authorities, including cities</w:t>
      </w:r>
      <w:r>
        <w:rPr>
          <w:snapToGrid w:val="0"/>
          <w:color w:val="000000"/>
          <w:kern w:val="22"/>
          <w:szCs w:val="22"/>
        </w:rPr>
        <w:t>,</w:t>
      </w:r>
      <w:r w:rsidRPr="00060F33">
        <w:rPr>
          <w:snapToGrid w:val="0"/>
          <w:color w:val="000000"/>
          <w:kern w:val="22"/>
          <w:szCs w:val="22"/>
        </w:rPr>
        <w:t xml:space="preserve"> have </w:t>
      </w:r>
      <w:r w:rsidRPr="00055591">
        <w:rPr>
          <w:snapToGrid w:val="0"/>
          <w:color w:val="000000"/>
          <w:kern w:val="22"/>
          <w:szCs w:val="22"/>
        </w:rPr>
        <w:t xml:space="preserve">the demonstrated capacity to undertake </w:t>
      </w:r>
      <w:r w:rsidRPr="00055591">
        <w:rPr>
          <w:snapToGrid w:val="0"/>
          <w:color w:val="000000"/>
          <w:kern w:val="22"/>
          <w:szCs w:val="22"/>
        </w:rPr>
        <w:lastRenderedPageBreak/>
        <w:t>implementation and ensure transformative change. They are both an important audience, but also essential transmitters of information to their residents.</w:t>
      </w:r>
    </w:p>
    <w:p w14:paraId="53A2E18F"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Parties should shape national versions of communication and education activities to support access to information and awareness that is consonant with the policies needed to implement the </w:t>
      </w:r>
      <w:r w:rsidRPr="00380218">
        <w:rPr>
          <w:snapToGrid w:val="0"/>
          <w:color w:val="000000"/>
          <w:kern w:val="22"/>
          <w:szCs w:val="22"/>
        </w:rPr>
        <w:t>Kunming-Montreal Global Biodiversity Framework</w:t>
      </w:r>
      <w:r w:rsidRPr="00380218" w:rsidDel="00380218">
        <w:rPr>
          <w:snapToGrid w:val="0"/>
          <w:color w:val="000000"/>
          <w:kern w:val="22"/>
          <w:szCs w:val="22"/>
        </w:rPr>
        <w:t xml:space="preserve"> </w:t>
      </w:r>
      <w:r w:rsidRPr="00060F33">
        <w:rPr>
          <w:snapToGrid w:val="0"/>
          <w:color w:val="000000"/>
          <w:kern w:val="22"/>
          <w:szCs w:val="22"/>
        </w:rPr>
        <w:t xml:space="preserve">at the national level. Therefore, all the messaging and structure will need to be aligned with national priorities. </w:t>
      </w:r>
    </w:p>
    <w:p w14:paraId="2AB418CC" w14:textId="77777777" w:rsidR="00DA0273" w:rsidRPr="00060F33" w:rsidRDefault="00DA0273" w:rsidP="005C2995">
      <w:pPr>
        <w:spacing w:before="120" w:after="120"/>
        <w:ind w:right="289"/>
        <w:jc w:val="center"/>
        <w:rPr>
          <w:b/>
          <w:bCs/>
          <w:snapToGrid w:val="0"/>
          <w:szCs w:val="22"/>
        </w:rPr>
      </w:pPr>
      <w:bookmarkStart w:id="175" w:name="_Toc129621630"/>
      <w:r w:rsidRPr="00060F33">
        <w:rPr>
          <w:b/>
          <w:bCs/>
          <w:snapToGrid w:val="0"/>
          <w:szCs w:val="22"/>
        </w:rPr>
        <w:t>B.</w:t>
      </w:r>
      <w:r w:rsidRPr="00060F33">
        <w:rPr>
          <w:b/>
          <w:bCs/>
          <w:snapToGrid w:val="0"/>
          <w:szCs w:val="22"/>
        </w:rPr>
        <w:tab/>
        <w:t>Specialized audiences of the Convention</w:t>
      </w:r>
      <w:bookmarkEnd w:id="175"/>
    </w:p>
    <w:p w14:paraId="5A280886"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kern w:val="22"/>
          <w:szCs w:val="22"/>
        </w:rPr>
        <w:t>Whil</w:t>
      </w:r>
      <w:r w:rsidRPr="00060F33">
        <w:rPr>
          <w:snapToGrid w:val="0"/>
          <w:color w:val="000000"/>
          <w:kern w:val="22"/>
          <w:szCs w:val="22"/>
        </w:rPr>
        <w:t xml:space="preserve">e Parties are the primary focus of the Convention, there are a number of other actors and stakeholders that provide supportive roles to Parties or also have a role to play in </w:t>
      </w:r>
      <w:r>
        <w:rPr>
          <w:snapToGrid w:val="0"/>
          <w:color w:val="000000"/>
          <w:kern w:val="22"/>
          <w:szCs w:val="22"/>
        </w:rPr>
        <w:t xml:space="preserve">the </w:t>
      </w:r>
      <w:r w:rsidRPr="00060F33">
        <w:rPr>
          <w:snapToGrid w:val="0"/>
          <w:color w:val="000000"/>
          <w:kern w:val="22"/>
          <w:szCs w:val="22"/>
        </w:rPr>
        <w:t>implementation of the Convention. Because these actors are not Parties, communications addressed to them will have a different character. At the same time, when these actors carry out supportive activities at the national or regional level, they may be included in these campaigns.</w:t>
      </w:r>
    </w:p>
    <w:p w14:paraId="4CDBE248"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United Nations system partners that are involved in the work of the Convention, as well as other regional organizations, are also important. These actors will not only transmit the work of the Convention to others, but also will use the opportunity to promote their own work and its relevance to the sustainable development agenda. Lessons are to be learned from previous United Nations campaigns such as #GenerationRestoration, #CleanSeas, #DontChooseExtinction, etc. The United Nations Department of Global Communications will be invited to create a biodiversity communications group, which will work with the Executive Secretary to coordinate communications across the system. The Communications Division of </w:t>
      </w:r>
      <w:r>
        <w:rPr>
          <w:snapToGrid w:val="0"/>
          <w:color w:val="000000"/>
          <w:kern w:val="22"/>
          <w:szCs w:val="22"/>
        </w:rPr>
        <w:t>the United Nations Environment Programme (</w:t>
      </w:r>
      <w:r w:rsidRPr="00060F33">
        <w:rPr>
          <w:snapToGrid w:val="0"/>
          <w:color w:val="000000"/>
          <w:kern w:val="22"/>
          <w:szCs w:val="22"/>
        </w:rPr>
        <w:t>UNEP</w:t>
      </w:r>
      <w:r>
        <w:rPr>
          <w:snapToGrid w:val="0"/>
          <w:color w:val="000000"/>
          <w:kern w:val="22"/>
          <w:szCs w:val="22"/>
        </w:rPr>
        <w:t>)</w:t>
      </w:r>
      <w:r w:rsidRPr="00060F33">
        <w:rPr>
          <w:snapToGrid w:val="0"/>
          <w:color w:val="000000"/>
          <w:kern w:val="22"/>
          <w:szCs w:val="22"/>
        </w:rPr>
        <w:t xml:space="preserve"> will also be invited to create a dedicated communications focal point. UNESCO will be invited to contribute its expertise in education, science and culture.</w:t>
      </w:r>
    </w:p>
    <w:p w14:paraId="2A84C9B0" w14:textId="77777777" w:rsidR="00DA0273" w:rsidRPr="00887E72"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Multilateral environmental agreements, both those directly related to biodiversity and those that deal with other issues, will be important multipliers and places for coordination. To this end, the Joint Liaison Group</w:t>
      </w:r>
      <w:r w:rsidRPr="00DC65D8">
        <w:rPr>
          <w:kern w:val="22"/>
          <w:szCs w:val="22"/>
        </w:rPr>
        <w:t xml:space="preserve"> of the Rio </w:t>
      </w:r>
      <w:r w:rsidRPr="00497660">
        <w:rPr>
          <w:kern w:val="22"/>
          <w:szCs w:val="22"/>
        </w:rPr>
        <w:t>Conventions</w:t>
      </w:r>
      <w:r w:rsidRPr="00497660">
        <w:rPr>
          <w:snapToGrid w:val="0"/>
          <w:color w:val="000000"/>
          <w:kern w:val="22"/>
          <w:szCs w:val="22"/>
        </w:rPr>
        <w:t xml:space="preserve"> and</w:t>
      </w:r>
      <w:r w:rsidRPr="00060F33">
        <w:rPr>
          <w:snapToGrid w:val="0"/>
          <w:color w:val="000000"/>
          <w:kern w:val="22"/>
          <w:szCs w:val="22"/>
        </w:rPr>
        <w:t xml:space="preserve"> the Liaison Group of Biodiversity-related Conventions</w:t>
      </w:r>
      <w:r w:rsidRPr="00610646">
        <w:rPr>
          <w:rStyle w:val="FootnoteReference"/>
        </w:rPr>
        <w:footnoteReference w:id="147"/>
      </w:r>
      <w:r w:rsidRPr="00060F33">
        <w:rPr>
          <w:snapToGrid w:val="0"/>
          <w:color w:val="000000"/>
          <w:kern w:val="22"/>
          <w:szCs w:val="22"/>
        </w:rPr>
        <w:t xml:space="preserve"> should be invited to ensure that communication is a permanent item on their annual </w:t>
      </w:r>
      <w:r w:rsidRPr="00887E72">
        <w:rPr>
          <w:snapToGrid w:val="0"/>
          <w:color w:val="000000"/>
          <w:kern w:val="22"/>
          <w:szCs w:val="22"/>
        </w:rPr>
        <w:t>agendas and focal points should be named.</w:t>
      </w:r>
    </w:p>
    <w:p w14:paraId="433A1D22"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Natural history and science museums, botanical gardens and national protected areas systems, and zoos and aquariums are other groups whose work is key </w:t>
      </w:r>
      <w:r w:rsidRPr="00FB1700">
        <w:rPr>
          <w:snapToGrid w:val="0"/>
          <w:color w:val="000000"/>
          <w:kern w:val="22"/>
          <w:szCs w:val="22"/>
        </w:rPr>
        <w:t>to the Convention, both in terms of specific conservation actions</w:t>
      </w:r>
      <w:r w:rsidRPr="001A1087">
        <w:rPr>
          <w:snapToGrid w:val="0"/>
          <w:color w:val="000000"/>
          <w:kern w:val="22"/>
          <w:szCs w:val="22"/>
        </w:rPr>
        <w:t xml:space="preserve"> and</w:t>
      </w:r>
      <w:r w:rsidRPr="00FB1700">
        <w:rPr>
          <w:snapToGrid w:val="0"/>
          <w:color w:val="000000"/>
          <w:kern w:val="22"/>
          <w:szCs w:val="22"/>
        </w:rPr>
        <w:t xml:space="preserve"> research and in raising awareness about biodiversity. Bringing together these institutions and organizations, as well as research centres and universities, natural reserves</w:t>
      </w:r>
      <w:r w:rsidRPr="00060F33">
        <w:rPr>
          <w:snapToGrid w:val="0"/>
          <w:color w:val="000000"/>
          <w:kern w:val="22"/>
          <w:szCs w:val="22"/>
        </w:rPr>
        <w:t xml:space="preserve"> and protected areas visitor centres, and museums can help show the importance of nature for humanity.</w:t>
      </w:r>
    </w:p>
    <w:p w14:paraId="277C8409"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Large international NGOs that have national chapters are also important stakeholders for work. </w:t>
      </w:r>
      <w:r w:rsidRPr="00060F33">
        <w:rPr>
          <w:snapToGrid w:val="0"/>
          <w:kern w:val="22"/>
          <w:szCs w:val="22"/>
        </w:rPr>
        <w:t xml:space="preserve">They can retransmit the messages of the strategy and can provide models of reference for promoting good practices related to conservation, sustainable use and equitable sharing of benefits. </w:t>
      </w:r>
      <w:r w:rsidRPr="00060F33">
        <w:rPr>
          <w:snapToGrid w:val="0"/>
          <w:color w:val="000000"/>
          <w:kern w:val="22"/>
          <w:szCs w:val="22"/>
        </w:rPr>
        <w:t xml:space="preserve">The Secretariat and the Parties to the Convention have an extensive history of working with such organizations. </w:t>
      </w:r>
    </w:p>
    <w:p w14:paraId="6EE20936"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The finance and business communities are extremely important audiences to target with communications efforts. As important users of biodiversity and ecosystem services </w:t>
      </w:r>
      <w:r w:rsidRPr="00060F33">
        <w:rPr>
          <w:snapToGrid w:val="0"/>
          <w:kern w:val="22"/>
          <w:szCs w:val="22"/>
        </w:rPr>
        <w:t>whose operations have direct and indirect impacts on biodiversity</w:t>
      </w:r>
      <w:r w:rsidRPr="00060F33">
        <w:rPr>
          <w:snapToGrid w:val="0"/>
          <w:color w:val="000000"/>
          <w:kern w:val="22"/>
          <w:szCs w:val="22"/>
        </w:rPr>
        <w:t xml:space="preserve">, the ability of business to support sustainable consumption and production will be crucial for </w:t>
      </w:r>
      <w:r>
        <w:rPr>
          <w:snapToGrid w:val="0"/>
          <w:color w:val="000000"/>
          <w:kern w:val="22"/>
          <w:szCs w:val="22"/>
        </w:rPr>
        <w:t xml:space="preserve">the </w:t>
      </w:r>
      <w:r w:rsidRPr="00060F33">
        <w:rPr>
          <w:snapToGrid w:val="0"/>
          <w:color w:val="000000"/>
          <w:kern w:val="22"/>
          <w:szCs w:val="22"/>
        </w:rPr>
        <w:t>achievement of the goals of the Convention. In this context:</w:t>
      </w:r>
    </w:p>
    <w:p w14:paraId="70884271"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(a)</w:t>
      </w:r>
      <w:r w:rsidRPr="00060F33">
        <w:rPr>
          <w:snapToGrid w:val="0"/>
          <w:color w:val="000000"/>
          <w:kern w:val="22"/>
          <w:szCs w:val="22"/>
        </w:rPr>
        <w:tab/>
        <w:t>The linkage of biodiversity conservation and sustainable use for environmental, social and governance (ESG) criteria is important;</w:t>
      </w:r>
    </w:p>
    <w:p w14:paraId="3669E38F"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lastRenderedPageBreak/>
        <w:t>(b)</w:t>
      </w:r>
      <w:r w:rsidRPr="00060F33">
        <w:rPr>
          <w:snapToGrid w:val="0"/>
          <w:color w:val="000000"/>
          <w:kern w:val="22"/>
          <w:szCs w:val="22"/>
        </w:rPr>
        <w:tab/>
        <w:t>A strong basis for communication is the business and financial case for biodiversity action;</w:t>
      </w:r>
    </w:p>
    <w:p w14:paraId="174BBE31"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(c)</w:t>
      </w:r>
      <w:r w:rsidRPr="00060F33">
        <w:rPr>
          <w:snapToGrid w:val="0"/>
          <w:color w:val="000000"/>
          <w:kern w:val="22"/>
          <w:szCs w:val="22"/>
        </w:rPr>
        <w:tab/>
        <w:t xml:space="preserve">The role of business as a user of genetic resources in the context of the Nagoya Protocol on </w:t>
      </w:r>
      <w:r>
        <w:rPr>
          <w:snapToGrid w:val="0"/>
          <w:color w:val="000000"/>
          <w:kern w:val="22"/>
          <w:szCs w:val="22"/>
        </w:rPr>
        <w:t>A</w:t>
      </w:r>
      <w:r w:rsidRPr="00060F33">
        <w:rPr>
          <w:snapToGrid w:val="0"/>
          <w:color w:val="000000"/>
          <w:kern w:val="22"/>
          <w:szCs w:val="22"/>
        </w:rPr>
        <w:t xml:space="preserve">ccess and </w:t>
      </w:r>
      <w:r>
        <w:rPr>
          <w:snapToGrid w:val="0"/>
          <w:color w:val="000000"/>
          <w:kern w:val="22"/>
          <w:szCs w:val="22"/>
        </w:rPr>
        <w:t>B</w:t>
      </w:r>
      <w:r w:rsidRPr="00060F33">
        <w:rPr>
          <w:snapToGrid w:val="0"/>
          <w:color w:val="000000"/>
          <w:kern w:val="22"/>
          <w:szCs w:val="22"/>
        </w:rPr>
        <w:t>enefit-sharing is also an important element;</w:t>
      </w:r>
    </w:p>
    <w:p w14:paraId="4FCC1E17"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(d)</w:t>
      </w:r>
      <w:r w:rsidRPr="00060F33">
        <w:rPr>
          <w:snapToGrid w:val="0"/>
          <w:color w:val="000000"/>
          <w:kern w:val="22"/>
          <w:szCs w:val="22"/>
        </w:rPr>
        <w:tab/>
        <w:t>Existing business-led initiatives, business associations, coalitions and networks will be key multipliers to reach out to these audiences.</w:t>
      </w:r>
    </w:p>
    <w:p w14:paraId="64AB2C59" w14:textId="77777777" w:rsidR="00DA0273" w:rsidRPr="00834AEE"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Global, regional and national </w:t>
      </w:r>
      <w:r w:rsidRPr="00834AEE">
        <w:rPr>
          <w:snapToGrid w:val="0"/>
          <w:color w:val="000000"/>
          <w:kern w:val="22"/>
          <w:szCs w:val="22"/>
        </w:rPr>
        <w:t>organizations that are dealing with or responsible for education and learning, like environmental education, education for sustainability, nature education, education for conservation and sustainable use, and global education, play a key role in learning. Therefore, education organizations, from schools to universities, but also permanent and continuing education institutions, authorities and decision makers are relevant stakeholders in achieving the goals of the Convention.</w:t>
      </w:r>
    </w:p>
    <w:p w14:paraId="15D143ED" w14:textId="77777777" w:rsidR="00DA0273" w:rsidRPr="00060F33" w:rsidRDefault="00DA0273" w:rsidP="005C2995">
      <w:pPr>
        <w:keepNext/>
        <w:spacing w:before="120" w:after="120"/>
        <w:ind w:right="289"/>
        <w:jc w:val="center"/>
        <w:rPr>
          <w:b/>
          <w:bCs/>
          <w:snapToGrid w:val="0"/>
          <w:szCs w:val="22"/>
        </w:rPr>
      </w:pPr>
      <w:bookmarkStart w:id="176" w:name="_Toc129621631"/>
      <w:r w:rsidRPr="00834AEE">
        <w:rPr>
          <w:b/>
          <w:bCs/>
          <w:snapToGrid w:val="0"/>
          <w:szCs w:val="22"/>
        </w:rPr>
        <w:t>C.</w:t>
      </w:r>
      <w:r w:rsidRPr="00834AEE">
        <w:rPr>
          <w:b/>
          <w:bCs/>
          <w:snapToGrid w:val="0"/>
          <w:szCs w:val="22"/>
        </w:rPr>
        <w:tab/>
        <w:t>Indigenous peoples and local communities</w:t>
      </w:r>
      <w:bookmarkEnd w:id="176"/>
    </w:p>
    <w:p w14:paraId="18279CAA"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It is very important to work with indigenous peoples and local communities to ensure communication of their role in the conservation and sustainable use of biodiversity, recognizing different visions and approaches in relation to nature and Mother Earth, as appropriate, and to show how their activities contribute to the implementation of the Convention and other biodiversity-related conventions based on their own systems of knowledge. In this regard, communication should enable indigenous peoples and local communities to share their perceptions of nature and Mother Earth, and to highlight their traditional knowledge and practices related to the conservation of biodiversity in the context of regional and national implementation of the Convention. </w:t>
      </w:r>
    </w:p>
    <w:p w14:paraId="42B1D6C3"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The work of indigenous peoples and local communities should also be seen as an important source for practices and educational approaches for the conservation and sustainable use of biodiversity, and the fair and equitable sharing of benefits arising from the utilization of genetic resources. In this regard, communication should seek to </w:t>
      </w:r>
      <w:r w:rsidRPr="00060F33">
        <w:rPr>
          <w:snapToGrid w:val="0"/>
          <w:color w:val="000000" w:themeColor="text1"/>
          <w:kern w:val="22"/>
          <w:szCs w:val="22"/>
        </w:rPr>
        <w:t xml:space="preserve">celebrate, promote and communicate different visions and approaches, traditional systems of knowledge related to the conservation and sustainable use of biodiversity at the local, national, regional and global levels, </w:t>
      </w:r>
      <w:r>
        <w:rPr>
          <w:snapToGrid w:val="0"/>
          <w:color w:val="000000" w:themeColor="text1"/>
          <w:kern w:val="22"/>
          <w:szCs w:val="22"/>
        </w:rPr>
        <w:t xml:space="preserve">including living well and in harmony with Mother Earth. </w:t>
      </w:r>
      <w:r w:rsidRPr="00060F33">
        <w:rPr>
          <w:snapToGrid w:val="0"/>
          <w:color w:val="000000" w:themeColor="text1"/>
          <w:kern w:val="22"/>
          <w:szCs w:val="22"/>
        </w:rPr>
        <w:t xml:space="preserve">This should </w:t>
      </w:r>
      <w:r w:rsidRPr="00060F33">
        <w:rPr>
          <w:snapToGrid w:val="0"/>
          <w:color w:val="000000"/>
          <w:kern w:val="22"/>
          <w:szCs w:val="22"/>
        </w:rPr>
        <w:t>be done in coordination with indigenous peoples and local communities representatives and through consultation with the view of obtaining prior and informed consent, free, prior and informed consent, or approval and involvement of indigenous peoples and local communities, and with respect for the terms of use for all traditional knowledge and practices.</w:t>
      </w:r>
    </w:p>
    <w:p w14:paraId="3B88C8BD" w14:textId="77777777" w:rsidR="00DA0273" w:rsidRPr="00337B49"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In this regard, the global and national strategies should work to develop </w:t>
      </w:r>
      <w:r w:rsidRPr="00337B49">
        <w:rPr>
          <w:snapToGrid w:val="0"/>
          <w:color w:val="000000"/>
          <w:kern w:val="22"/>
          <w:szCs w:val="22"/>
        </w:rPr>
        <w:t>components of this strategy, including tools and messages that can be translated into indigenous and local languages and contexts.</w:t>
      </w:r>
    </w:p>
    <w:p w14:paraId="0989C298" w14:textId="77777777" w:rsidR="00DA0273" w:rsidRPr="00337B49" w:rsidRDefault="00DA0273" w:rsidP="00A21D0D">
      <w:pPr>
        <w:keepNext/>
        <w:spacing w:before="120" w:after="120"/>
        <w:ind w:right="289"/>
        <w:jc w:val="center"/>
        <w:rPr>
          <w:b/>
          <w:bCs/>
          <w:snapToGrid w:val="0"/>
          <w:szCs w:val="22"/>
        </w:rPr>
      </w:pPr>
      <w:bookmarkStart w:id="177" w:name="_Toc129621632"/>
      <w:r w:rsidRPr="00337B49">
        <w:rPr>
          <w:b/>
          <w:bCs/>
          <w:snapToGrid w:val="0"/>
          <w:szCs w:val="22"/>
        </w:rPr>
        <w:t>D.</w:t>
      </w:r>
      <w:r w:rsidRPr="00337B49">
        <w:rPr>
          <w:b/>
          <w:bCs/>
          <w:snapToGrid w:val="0"/>
          <w:szCs w:val="22"/>
        </w:rPr>
        <w:tab/>
        <w:t>Women</w:t>
      </w:r>
      <w:bookmarkEnd w:id="177"/>
    </w:p>
    <w:p w14:paraId="04FB0316" w14:textId="77777777" w:rsidR="00DA0273" w:rsidRPr="00337B49"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zCs w:val="22"/>
        </w:rPr>
      </w:pPr>
      <w:r w:rsidRPr="00337B49">
        <w:rPr>
          <w:snapToGrid w:val="0"/>
          <w:color w:val="000000"/>
          <w:kern w:val="22"/>
          <w:szCs w:val="22"/>
        </w:rPr>
        <w:t>As women are key stakeholders in both conservation and sustainable use of resources, special focus should be made in mainstreaming gender in all engagements. The work in the communication strategy should complement and draw upon the Gender Plan of Action adopted under the Convention on Biological Diversity in decision 15/11</w:t>
      </w:r>
      <w:r>
        <w:rPr>
          <w:snapToGrid w:val="0"/>
          <w:color w:val="000000"/>
          <w:kern w:val="22"/>
          <w:szCs w:val="22"/>
        </w:rPr>
        <w:t>.</w:t>
      </w:r>
      <w:r w:rsidRPr="00337B49">
        <w:rPr>
          <w:snapToGrid w:val="0"/>
          <w:color w:val="000000"/>
          <w:kern w:val="22"/>
          <w:szCs w:val="22"/>
        </w:rPr>
        <w:t xml:space="preserve"> The United Nations Entity for Gender Equality and the Empowerment of Women (UN-Women) is an important actor with which collaboration and coordination can be undertaken at the international level. Gender considerations need to be mainstreamed in all materials and messages.</w:t>
      </w:r>
    </w:p>
    <w:p w14:paraId="2CB20982" w14:textId="77777777" w:rsidR="00DA0273" w:rsidRPr="00060F33" w:rsidRDefault="00DA0273" w:rsidP="00A21D0D">
      <w:pPr>
        <w:keepNext/>
        <w:spacing w:before="120" w:after="120"/>
        <w:ind w:right="289"/>
        <w:jc w:val="center"/>
        <w:rPr>
          <w:b/>
          <w:bCs/>
          <w:snapToGrid w:val="0"/>
          <w:szCs w:val="22"/>
        </w:rPr>
      </w:pPr>
      <w:bookmarkStart w:id="178" w:name="_Toc129621633"/>
      <w:r w:rsidRPr="00060F33">
        <w:rPr>
          <w:b/>
          <w:bCs/>
          <w:snapToGrid w:val="0"/>
          <w:szCs w:val="22"/>
        </w:rPr>
        <w:t>E.</w:t>
      </w:r>
      <w:r w:rsidRPr="00060F33">
        <w:rPr>
          <w:b/>
          <w:bCs/>
          <w:snapToGrid w:val="0"/>
          <w:szCs w:val="22"/>
        </w:rPr>
        <w:tab/>
        <w:t>Youth</w:t>
      </w:r>
      <w:bookmarkEnd w:id="178"/>
    </w:p>
    <w:p w14:paraId="452381A4"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zCs w:val="22"/>
        </w:rPr>
      </w:pPr>
      <w:r w:rsidRPr="00060F33">
        <w:rPr>
          <w:snapToGrid w:val="0"/>
          <w:color w:val="000000"/>
          <w:kern w:val="22"/>
          <w:szCs w:val="22"/>
        </w:rPr>
        <w:t>Youth, including their organizations and representatives, are both key audiences and powerful partners in creating and delivering the activities of a communications strategy. These important actors can be reached via work through United Nations system-wide activities related to youth, including YOUNGO</w:t>
      </w:r>
      <w:r>
        <w:rPr>
          <w:snapToGrid w:val="0"/>
          <w:color w:val="000000"/>
          <w:kern w:val="22"/>
          <w:szCs w:val="22"/>
        </w:rPr>
        <w:t>,</w:t>
      </w:r>
      <w:r w:rsidRPr="00610646">
        <w:rPr>
          <w:rStyle w:val="FootnoteReference"/>
        </w:rPr>
        <w:footnoteReference w:id="148"/>
      </w:r>
      <w:r w:rsidRPr="00060F33">
        <w:rPr>
          <w:snapToGrid w:val="0"/>
          <w:color w:val="000000"/>
          <w:kern w:val="22"/>
          <w:szCs w:val="22"/>
        </w:rPr>
        <w:t xml:space="preserve"> through the Global Youth Biodiversity Network and its national chapters, and through other initiatives, such </w:t>
      </w:r>
      <w:r w:rsidRPr="00060F33">
        <w:rPr>
          <w:snapToGrid w:val="0"/>
          <w:color w:val="000000"/>
          <w:kern w:val="22"/>
          <w:szCs w:val="22"/>
        </w:rPr>
        <w:lastRenderedPageBreak/>
        <w:t>as the United Nations Decade on Ecosystem Restoration and the United Nations Secretary-General Youth Advisory Group on Climate Change.</w:t>
      </w:r>
    </w:p>
    <w:p w14:paraId="7E313A01" w14:textId="77777777" w:rsidR="00DA0273" w:rsidRPr="00060F33" w:rsidRDefault="00DA0273" w:rsidP="00A21D0D">
      <w:pPr>
        <w:keepNext/>
        <w:spacing w:before="120" w:after="120"/>
        <w:ind w:right="289"/>
        <w:jc w:val="center"/>
        <w:rPr>
          <w:b/>
          <w:bCs/>
          <w:snapToGrid w:val="0"/>
          <w:szCs w:val="22"/>
        </w:rPr>
      </w:pPr>
      <w:bookmarkStart w:id="179" w:name="_Toc129621634"/>
      <w:r w:rsidRPr="00060F33">
        <w:rPr>
          <w:b/>
          <w:bCs/>
          <w:snapToGrid w:val="0"/>
          <w:szCs w:val="22"/>
        </w:rPr>
        <w:t>F.</w:t>
      </w:r>
      <w:r w:rsidRPr="00060F33">
        <w:rPr>
          <w:b/>
          <w:bCs/>
          <w:snapToGrid w:val="0"/>
          <w:szCs w:val="22"/>
        </w:rPr>
        <w:tab/>
        <w:t>The public</w:t>
      </w:r>
      <w:bookmarkEnd w:id="179"/>
    </w:p>
    <w:p w14:paraId="418B38DE"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While it is true that the audience for communications is a global one and should encompass everyone, it is also clear that the notion that a single public to whom all messages could be directed is overly simplistic and hides some important differences between audience segments. The so-called “public” is a number of different audience segments distinguished by country, culture, gender, socioeconomic level, education, experience, age, and languages, each requiring a targeted approach.</w:t>
      </w:r>
    </w:p>
    <w:p w14:paraId="151163E8"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The most important segmentation for the public remains at the national level. An understanding of biodiversity, environmental functions and ecosystem services and their relevance to the general public is very much shaped by national and subnational circumstances and national “narratives” about people and nature and how biodiversity provides them with values. Therefore, attempts to engage the public need to be crafted at the national level, based on an overarching narrative.</w:t>
      </w:r>
    </w:p>
    <w:p w14:paraId="57328B27"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Important ways to reach the public are through awareness campaigns, education and the media – radio, television and print forms, and social media in particular. In this way, the media should be seen as a multiplier and a channel, as is indicated below.</w:t>
      </w:r>
    </w:p>
    <w:p w14:paraId="49114922"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It is important to involve the arts and cultural sector, to stimulate new forms of creativity and human imagination that can promote the kind of transformational change needed. Art and new cultural paradigms can become powerful tools for the transformation of intentions.</w:t>
      </w:r>
    </w:p>
    <w:p w14:paraId="372F81C2" w14:textId="77777777" w:rsidR="00DA0273" w:rsidRPr="00060F33" w:rsidRDefault="00DA0273" w:rsidP="00F87291">
      <w:pPr>
        <w:keepNext/>
        <w:spacing w:before="120" w:after="120"/>
        <w:ind w:right="289"/>
        <w:jc w:val="center"/>
        <w:rPr>
          <w:b/>
          <w:bCs/>
          <w:snapToGrid w:val="0"/>
          <w:szCs w:val="22"/>
        </w:rPr>
      </w:pPr>
      <w:bookmarkStart w:id="180" w:name="_Toc129621635"/>
      <w:bookmarkStart w:id="181" w:name="_Hlk88391151"/>
      <w:r w:rsidRPr="00060F33">
        <w:rPr>
          <w:b/>
          <w:bCs/>
          <w:snapToGrid w:val="0"/>
          <w:szCs w:val="22"/>
        </w:rPr>
        <w:t>G.</w:t>
      </w:r>
      <w:r w:rsidRPr="00060F33">
        <w:rPr>
          <w:b/>
          <w:bCs/>
          <w:snapToGrid w:val="0"/>
          <w:szCs w:val="22"/>
        </w:rPr>
        <w:tab/>
        <w:t>The media</w:t>
      </w:r>
      <w:bookmarkEnd w:id="180"/>
    </w:p>
    <w:bookmarkEnd w:id="181"/>
    <w:p w14:paraId="3491B23D" w14:textId="77777777" w:rsidR="00DA0273" w:rsidRPr="007578F1"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The varied platforms, organizations and representatives of the media are key. Media from all regions must be addressed. The large “wire services</w:t>
      </w:r>
      <w:r>
        <w:rPr>
          <w:snapToGrid w:val="0"/>
          <w:kern w:val="22"/>
          <w:szCs w:val="22"/>
        </w:rPr>
        <w:t>”</w:t>
      </w:r>
      <w:r w:rsidRPr="00060F33">
        <w:rPr>
          <w:snapToGrid w:val="0"/>
          <w:kern w:val="22"/>
          <w:szCs w:val="22"/>
        </w:rPr>
        <w:t xml:space="preserve">, national newspaper chains, and large media conglomerates need to be engaged. Media partnerships should be explored at the international and national levels. The work of such partnerships could include creation of a package of regular news features and </w:t>
      </w:r>
      <w:r w:rsidRPr="007578F1">
        <w:rPr>
          <w:snapToGrid w:val="0"/>
          <w:kern w:val="22"/>
          <w:szCs w:val="22"/>
        </w:rPr>
        <w:t>capsules; and creation of a shared library of “B-roll” footage, with open-source rights.</w:t>
      </w:r>
    </w:p>
    <w:p w14:paraId="546FA1EE"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7578F1">
        <w:rPr>
          <w:snapToGrid w:val="0"/>
          <w:color w:val="000000"/>
          <w:kern w:val="22"/>
          <w:szCs w:val="22"/>
        </w:rPr>
        <w:t>Engagement with journalist associations that focus on biodiversity and</w:t>
      </w:r>
      <w:r w:rsidRPr="00B300EC">
        <w:rPr>
          <w:snapToGrid w:val="0"/>
          <w:color w:val="000000"/>
          <w:kern w:val="22"/>
          <w:szCs w:val="22"/>
        </w:rPr>
        <w:t xml:space="preserve"> other environmental issues should be a priority, including the Earth Journalism Network and the Society of Environmental Journalists. In working with journalists, particular emphasis should be given to working with journalists that represent indigenous peoples and local communities, youth and women</w:t>
      </w:r>
      <w:r w:rsidRPr="00060F33">
        <w:rPr>
          <w:snapToGrid w:val="0"/>
          <w:color w:val="000000"/>
          <w:kern w:val="22"/>
          <w:szCs w:val="22"/>
        </w:rPr>
        <w:t>.</w:t>
      </w:r>
    </w:p>
    <w:p w14:paraId="59A40425"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In addition to news organizations, work with film and television production </w:t>
      </w:r>
      <w:r w:rsidRPr="00E2268F">
        <w:rPr>
          <w:snapToGrid w:val="0"/>
          <w:color w:val="000000"/>
          <w:kern w:val="22"/>
          <w:szCs w:val="22"/>
        </w:rPr>
        <w:t xml:space="preserve">organizations should be explored. Work should be done to encourage the production of films for television and streaming platforms that highlight the different issues under the Kunming-Montreal Global </w:t>
      </w:r>
      <w:r w:rsidRPr="00F03EE2">
        <w:rPr>
          <w:snapToGrid w:val="0"/>
          <w:color w:val="000000"/>
          <w:kern w:val="22"/>
          <w:szCs w:val="22"/>
        </w:rPr>
        <w:t>B</w:t>
      </w:r>
      <w:r w:rsidRPr="00E2268F">
        <w:rPr>
          <w:snapToGrid w:val="0"/>
          <w:color w:val="000000"/>
          <w:kern w:val="22"/>
          <w:szCs w:val="22"/>
        </w:rPr>
        <w:t xml:space="preserve">iodiversity </w:t>
      </w:r>
      <w:r w:rsidRPr="00F03EE2">
        <w:rPr>
          <w:snapToGrid w:val="0"/>
          <w:color w:val="000000"/>
          <w:kern w:val="22"/>
          <w:szCs w:val="22"/>
        </w:rPr>
        <w:t>F</w:t>
      </w:r>
      <w:r w:rsidRPr="00E2268F">
        <w:rPr>
          <w:snapToGrid w:val="0"/>
          <w:color w:val="000000"/>
          <w:kern w:val="22"/>
          <w:szCs w:val="22"/>
        </w:rPr>
        <w:t xml:space="preserve">ramework. In exchange for coverage, agencies can be given freedom to use branding from the </w:t>
      </w:r>
      <w:r w:rsidRPr="00F03EE2">
        <w:rPr>
          <w:snapToGrid w:val="0"/>
          <w:color w:val="000000"/>
          <w:kern w:val="22"/>
          <w:szCs w:val="22"/>
        </w:rPr>
        <w:t>F</w:t>
      </w:r>
      <w:r w:rsidRPr="00E2268F">
        <w:rPr>
          <w:snapToGrid w:val="0"/>
          <w:color w:val="000000"/>
          <w:kern w:val="22"/>
          <w:szCs w:val="22"/>
        </w:rPr>
        <w:t>ramework. Im</w:t>
      </w:r>
      <w:r w:rsidRPr="00060F33">
        <w:rPr>
          <w:snapToGrid w:val="0"/>
          <w:color w:val="000000"/>
          <w:kern w:val="22"/>
          <w:szCs w:val="22"/>
        </w:rPr>
        <w:t>portant global production houses, such as Amazon, BBC Natural History, Disney Nature, Icon Productions, National Geographic and Netflix, should be explored. In addition, regional production houses should be approached, among others.</w:t>
      </w:r>
    </w:p>
    <w:p w14:paraId="043FF3BC"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color w:val="000000"/>
          <w:kern w:val="22"/>
          <w:szCs w:val="22"/>
        </w:rPr>
        <w:t xml:space="preserve">Film festivals should be encouraged around the world. Jackson Wild (formerly the Jackson Hole Wildlife Film Festival), the International Wildlife Film Festival and Wildscreen could have films about the </w:t>
      </w:r>
      <w:bookmarkStart w:id="182" w:name="_Hlk125994922"/>
      <w:r>
        <w:rPr>
          <w:snapToGrid w:val="0"/>
          <w:color w:val="000000"/>
          <w:kern w:val="22"/>
          <w:szCs w:val="22"/>
        </w:rPr>
        <w:t>Kunming-Montreal</w:t>
      </w:r>
      <w:r w:rsidRPr="00060F33">
        <w:rPr>
          <w:snapToGrid w:val="0"/>
          <w:color w:val="000000"/>
          <w:kern w:val="22"/>
          <w:szCs w:val="22"/>
        </w:rPr>
        <w:t xml:space="preserve"> </w:t>
      </w:r>
      <w:r>
        <w:rPr>
          <w:snapToGrid w:val="0"/>
          <w:color w:val="000000"/>
          <w:kern w:val="22"/>
          <w:szCs w:val="22"/>
        </w:rPr>
        <w:t>G</w:t>
      </w:r>
      <w:r w:rsidRPr="00060F33">
        <w:rPr>
          <w:snapToGrid w:val="0"/>
          <w:color w:val="000000"/>
          <w:kern w:val="22"/>
          <w:szCs w:val="22"/>
        </w:rPr>
        <w:t xml:space="preserve">lobal </w:t>
      </w:r>
      <w:r>
        <w:rPr>
          <w:snapToGrid w:val="0"/>
          <w:color w:val="000000"/>
          <w:kern w:val="22"/>
          <w:szCs w:val="22"/>
        </w:rPr>
        <w:t>B</w:t>
      </w:r>
      <w:r w:rsidRPr="00060F33">
        <w:rPr>
          <w:snapToGrid w:val="0"/>
          <w:color w:val="000000"/>
          <w:kern w:val="22"/>
          <w:szCs w:val="22"/>
        </w:rPr>
        <w:t xml:space="preserve">iodiversity </w:t>
      </w:r>
      <w:r>
        <w:rPr>
          <w:snapToGrid w:val="0"/>
          <w:color w:val="000000"/>
          <w:kern w:val="22"/>
          <w:szCs w:val="22"/>
        </w:rPr>
        <w:t>F</w:t>
      </w:r>
      <w:r w:rsidRPr="00060F33">
        <w:rPr>
          <w:snapToGrid w:val="0"/>
          <w:color w:val="000000"/>
          <w:kern w:val="22"/>
          <w:szCs w:val="22"/>
        </w:rPr>
        <w:t>ramework</w:t>
      </w:r>
      <w:bookmarkEnd w:id="182"/>
      <w:r w:rsidRPr="00060F33">
        <w:rPr>
          <w:snapToGrid w:val="0"/>
          <w:color w:val="000000"/>
          <w:kern w:val="22"/>
          <w:szCs w:val="22"/>
        </w:rPr>
        <w:t>. Other international and regional film festivals in all United Nations regions should be encouraged to create categories of films relating to action that support nature. The possibility of holding a film festival at each meeting of the Conference of the Parties should be considered. A film festival to coincide with the annual celebrations of the International Day for Biodiversity should also be considered.</w:t>
      </w:r>
    </w:p>
    <w:p w14:paraId="2476232E" w14:textId="77777777" w:rsidR="00DA0273" w:rsidRPr="00060F33" w:rsidRDefault="00DA0273" w:rsidP="00EE7D55">
      <w:pPr>
        <w:keepNext/>
        <w:spacing w:before="120" w:after="120"/>
        <w:jc w:val="center"/>
        <w:rPr>
          <w:b/>
          <w:bCs/>
          <w:caps/>
          <w:snapToGrid w:val="0"/>
          <w:szCs w:val="22"/>
        </w:rPr>
      </w:pPr>
      <w:bookmarkStart w:id="183" w:name="_Toc129621636"/>
      <w:r w:rsidRPr="00060F33">
        <w:rPr>
          <w:b/>
          <w:bCs/>
          <w:caps/>
          <w:snapToGrid w:val="0"/>
          <w:szCs w:val="22"/>
        </w:rPr>
        <w:t>VI.</w:t>
      </w:r>
      <w:r w:rsidRPr="00060F33">
        <w:rPr>
          <w:b/>
          <w:bCs/>
          <w:caps/>
          <w:snapToGrid w:val="0"/>
          <w:szCs w:val="22"/>
        </w:rPr>
        <w:tab/>
        <w:t>Branding</w:t>
      </w:r>
      <w:bookmarkEnd w:id="183"/>
    </w:p>
    <w:p w14:paraId="633051CF"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 xml:space="preserve">The </w:t>
      </w:r>
      <w:r w:rsidRPr="00273B22">
        <w:rPr>
          <w:snapToGrid w:val="0"/>
          <w:kern w:val="22"/>
          <w:szCs w:val="22"/>
        </w:rPr>
        <w:t>Kunming-Montreal Global Biodiversity Framework</w:t>
      </w:r>
      <w:r w:rsidRPr="00273B22" w:rsidDel="00273B22">
        <w:rPr>
          <w:snapToGrid w:val="0"/>
          <w:kern w:val="22"/>
          <w:szCs w:val="22"/>
        </w:rPr>
        <w:t xml:space="preserve"> </w:t>
      </w:r>
      <w:r w:rsidRPr="00060F33">
        <w:rPr>
          <w:snapToGrid w:val="0"/>
          <w:kern w:val="22"/>
          <w:szCs w:val="22"/>
        </w:rPr>
        <w:t xml:space="preserve">should be accompanied by a clear global brand that is extendable to other contexts (national, subnational, local), with easy terms for use and </w:t>
      </w:r>
      <w:r w:rsidRPr="00060F33">
        <w:rPr>
          <w:snapToGrid w:val="0"/>
          <w:kern w:val="22"/>
          <w:szCs w:val="22"/>
        </w:rPr>
        <w:lastRenderedPageBreak/>
        <w:t>licensing. Branding can be presented according to the dimensions of brand voice, identity, promise, values, targeting and positioning, as shown in table 2.</w:t>
      </w:r>
    </w:p>
    <w:p w14:paraId="4FBF5195" w14:textId="77777777" w:rsidR="00DA0273" w:rsidRPr="00060F33" w:rsidRDefault="00DA0273" w:rsidP="0019488A">
      <w:pPr>
        <w:keepNext/>
        <w:pBdr>
          <w:top w:val="nil"/>
          <w:left w:val="nil"/>
          <w:bottom w:val="nil"/>
          <w:right w:val="nil"/>
          <w:between w:val="nil"/>
        </w:pBdr>
        <w:spacing w:before="240" w:after="120"/>
        <w:rPr>
          <w:b/>
          <w:bCs/>
          <w:snapToGrid w:val="0"/>
          <w:kern w:val="22"/>
          <w:szCs w:val="22"/>
        </w:rPr>
      </w:pPr>
      <w:bookmarkStart w:id="184" w:name="_Toc129621637"/>
      <w:r w:rsidRPr="00060F33">
        <w:rPr>
          <w:b/>
          <w:bCs/>
          <w:snapToGrid w:val="0"/>
          <w:kern w:val="22"/>
          <w:szCs w:val="22"/>
        </w:rPr>
        <w:t>Table 2. Elements for branding</w:t>
      </w:r>
      <w:bookmarkEnd w:id="184"/>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973"/>
        <w:gridCol w:w="7367"/>
      </w:tblGrid>
      <w:tr w:rsidR="00DA0273" w:rsidRPr="00060F33" w14:paraId="709EB6DF" w14:textId="77777777" w:rsidTr="009756D4">
        <w:tc>
          <w:tcPr>
            <w:tcW w:w="1973" w:type="dxa"/>
          </w:tcPr>
          <w:p w14:paraId="79A9A3BB" w14:textId="77777777" w:rsidR="00DA0273" w:rsidRPr="00060F33" w:rsidRDefault="00DA0273" w:rsidP="00CB2DB9">
            <w:pPr>
              <w:spacing w:before="120" w:after="120"/>
              <w:rPr>
                <w:snapToGrid w:val="0"/>
                <w:kern w:val="22"/>
                <w:szCs w:val="22"/>
              </w:rPr>
            </w:pPr>
            <w:r w:rsidRPr="00060F33">
              <w:rPr>
                <w:snapToGrid w:val="0"/>
                <w:color w:val="202124"/>
                <w:kern w:val="22"/>
                <w:szCs w:val="22"/>
              </w:rPr>
              <w:t>Voice</w:t>
            </w:r>
          </w:p>
        </w:tc>
        <w:tc>
          <w:tcPr>
            <w:tcW w:w="7367" w:type="dxa"/>
          </w:tcPr>
          <w:p w14:paraId="7BFB3EA2" w14:textId="77777777" w:rsidR="00DA0273" w:rsidRPr="00060F33" w:rsidRDefault="00DA0273" w:rsidP="00CB2DB9">
            <w:pPr>
              <w:spacing w:before="120" w:after="120"/>
              <w:rPr>
                <w:snapToGrid w:val="0"/>
                <w:kern w:val="22"/>
                <w:szCs w:val="22"/>
              </w:rPr>
            </w:pPr>
            <w:r w:rsidRPr="00060F33">
              <w:rPr>
                <w:snapToGrid w:val="0"/>
                <w:kern w:val="22"/>
                <w:szCs w:val="22"/>
              </w:rPr>
              <w:t xml:space="preserve">The </w:t>
            </w:r>
            <w:r w:rsidRPr="003840ED">
              <w:rPr>
                <w:snapToGrid w:val="0"/>
                <w:color w:val="000000"/>
                <w:kern w:val="22"/>
                <w:szCs w:val="22"/>
              </w:rPr>
              <w:t>Kunming-Montreal Global Biodiversity Framework</w:t>
            </w:r>
            <w:r w:rsidRPr="003840ED" w:rsidDel="003840ED">
              <w:rPr>
                <w:snapToGrid w:val="0"/>
                <w:color w:val="000000"/>
                <w:kern w:val="22"/>
                <w:szCs w:val="22"/>
              </w:rPr>
              <w:t xml:space="preserve"> </w:t>
            </w:r>
            <w:r w:rsidRPr="00060F33">
              <w:rPr>
                <w:snapToGrid w:val="0"/>
                <w:kern w:val="22"/>
                <w:szCs w:val="22"/>
              </w:rPr>
              <w:t>is the effort and wishes of the global community to realize a future of life in harmony with nature.</w:t>
            </w:r>
          </w:p>
        </w:tc>
      </w:tr>
      <w:tr w:rsidR="00DA0273" w:rsidRPr="00060F33" w14:paraId="6210BA9D" w14:textId="77777777" w:rsidTr="009756D4">
        <w:tc>
          <w:tcPr>
            <w:tcW w:w="1973" w:type="dxa"/>
          </w:tcPr>
          <w:p w14:paraId="13DA8A1E" w14:textId="77777777" w:rsidR="00DA0273" w:rsidRPr="00060F33" w:rsidRDefault="00DA0273" w:rsidP="00CB2DB9">
            <w:pPr>
              <w:spacing w:before="120" w:after="120"/>
              <w:rPr>
                <w:snapToGrid w:val="0"/>
                <w:kern w:val="22"/>
                <w:szCs w:val="22"/>
              </w:rPr>
            </w:pPr>
            <w:r w:rsidRPr="00060F33">
              <w:rPr>
                <w:snapToGrid w:val="0"/>
                <w:color w:val="202124"/>
                <w:kern w:val="22"/>
                <w:szCs w:val="22"/>
              </w:rPr>
              <w:t>Identity</w:t>
            </w:r>
          </w:p>
        </w:tc>
        <w:tc>
          <w:tcPr>
            <w:tcW w:w="7367" w:type="dxa"/>
          </w:tcPr>
          <w:p w14:paraId="41F1532D" w14:textId="77777777" w:rsidR="00DA0273" w:rsidRPr="00AB18E7" w:rsidRDefault="00DA0273" w:rsidP="00CB2DB9">
            <w:pPr>
              <w:spacing w:before="120" w:after="120"/>
              <w:rPr>
                <w:snapToGrid w:val="0"/>
                <w:kern w:val="22"/>
                <w:szCs w:val="22"/>
              </w:rPr>
            </w:pPr>
            <w:r w:rsidRPr="00AB18E7">
              <w:rPr>
                <w:snapToGrid w:val="0"/>
                <w:kern w:val="22"/>
                <w:szCs w:val="22"/>
              </w:rPr>
              <w:t>The visual look, including palette, logo, fonts and visual rules, will need to reflect the voice, the variety of life, and include human representations and align with cultural preferences. The identity should be used throughout the period of implementation of the Kunming-Montreal Global Biodiversity Framework.</w:t>
            </w:r>
          </w:p>
        </w:tc>
      </w:tr>
      <w:tr w:rsidR="00DA0273" w:rsidRPr="00060F33" w14:paraId="613F5B2B" w14:textId="77777777" w:rsidTr="009756D4">
        <w:tc>
          <w:tcPr>
            <w:tcW w:w="1973" w:type="dxa"/>
          </w:tcPr>
          <w:p w14:paraId="36D40E00" w14:textId="77777777" w:rsidR="00DA0273" w:rsidRPr="00060F33" w:rsidRDefault="00DA0273" w:rsidP="00CB2DB9">
            <w:pPr>
              <w:spacing w:before="120" w:after="120"/>
              <w:rPr>
                <w:snapToGrid w:val="0"/>
                <w:kern w:val="22"/>
                <w:szCs w:val="22"/>
              </w:rPr>
            </w:pPr>
            <w:r w:rsidRPr="00060F33">
              <w:rPr>
                <w:snapToGrid w:val="0"/>
                <w:color w:val="202124"/>
                <w:kern w:val="22"/>
                <w:szCs w:val="22"/>
              </w:rPr>
              <w:t>Promise</w:t>
            </w:r>
          </w:p>
        </w:tc>
        <w:tc>
          <w:tcPr>
            <w:tcW w:w="7367" w:type="dxa"/>
          </w:tcPr>
          <w:p w14:paraId="0029DE3C" w14:textId="77777777" w:rsidR="00DA0273" w:rsidRPr="00AB18E7" w:rsidRDefault="00DA0273" w:rsidP="00CB2DB9">
            <w:pPr>
              <w:spacing w:before="120" w:after="120"/>
              <w:rPr>
                <w:snapToGrid w:val="0"/>
                <w:kern w:val="22"/>
                <w:szCs w:val="22"/>
              </w:rPr>
            </w:pPr>
            <w:r w:rsidRPr="00AB18E7">
              <w:rPr>
                <w:snapToGrid w:val="0"/>
                <w:kern w:val="22"/>
                <w:szCs w:val="22"/>
              </w:rPr>
              <w:t xml:space="preserve">The 2050 Vision for </w:t>
            </w:r>
            <w:r w:rsidRPr="00F03EE2">
              <w:rPr>
                <w:snapToGrid w:val="0"/>
                <w:kern w:val="22"/>
                <w:szCs w:val="22"/>
              </w:rPr>
              <w:t>b</w:t>
            </w:r>
            <w:r w:rsidRPr="00AB18E7">
              <w:rPr>
                <w:snapToGrid w:val="0"/>
                <w:kern w:val="22"/>
                <w:szCs w:val="22"/>
              </w:rPr>
              <w:t>iodiversity and the 2030 mission represent the promise of the brand.</w:t>
            </w:r>
          </w:p>
        </w:tc>
      </w:tr>
      <w:tr w:rsidR="00DA0273" w:rsidRPr="00060F33" w14:paraId="1CF2D1AF" w14:textId="77777777" w:rsidTr="009756D4">
        <w:tc>
          <w:tcPr>
            <w:tcW w:w="1973" w:type="dxa"/>
          </w:tcPr>
          <w:p w14:paraId="56996361" w14:textId="77777777" w:rsidR="00DA0273" w:rsidRPr="00060F33" w:rsidRDefault="00DA0273" w:rsidP="00CB2DB9">
            <w:pPr>
              <w:spacing w:before="120" w:after="120"/>
              <w:rPr>
                <w:snapToGrid w:val="0"/>
                <w:kern w:val="22"/>
                <w:szCs w:val="22"/>
              </w:rPr>
            </w:pPr>
            <w:r w:rsidRPr="00060F33">
              <w:rPr>
                <w:snapToGrid w:val="0"/>
                <w:color w:val="202124"/>
                <w:kern w:val="22"/>
                <w:szCs w:val="22"/>
              </w:rPr>
              <w:t>Values</w:t>
            </w:r>
          </w:p>
        </w:tc>
        <w:tc>
          <w:tcPr>
            <w:tcW w:w="7367" w:type="dxa"/>
          </w:tcPr>
          <w:p w14:paraId="55865189" w14:textId="77777777" w:rsidR="00DA0273" w:rsidRPr="00060F33" w:rsidRDefault="00DA0273" w:rsidP="00CB2DB9">
            <w:pPr>
              <w:spacing w:before="120" w:after="120"/>
              <w:rPr>
                <w:snapToGrid w:val="0"/>
                <w:kern w:val="22"/>
                <w:szCs w:val="22"/>
              </w:rPr>
            </w:pPr>
            <w:r w:rsidRPr="00060F33">
              <w:rPr>
                <w:snapToGrid w:val="0"/>
                <w:kern w:val="22"/>
                <w:szCs w:val="22"/>
              </w:rPr>
              <w:t>The brand values will reflect the objectives of the Convention and the principles of the United Nations.</w:t>
            </w:r>
          </w:p>
        </w:tc>
      </w:tr>
      <w:tr w:rsidR="00DA0273" w:rsidRPr="00060F33" w14:paraId="3A21FCF6" w14:textId="77777777" w:rsidTr="009756D4">
        <w:tc>
          <w:tcPr>
            <w:tcW w:w="1973" w:type="dxa"/>
          </w:tcPr>
          <w:p w14:paraId="2A62E30B" w14:textId="77777777" w:rsidR="00DA0273" w:rsidRPr="00060F33" w:rsidRDefault="00DA0273" w:rsidP="00CB2DB9">
            <w:pPr>
              <w:spacing w:before="120" w:after="120"/>
              <w:rPr>
                <w:snapToGrid w:val="0"/>
                <w:kern w:val="22"/>
                <w:szCs w:val="22"/>
              </w:rPr>
            </w:pPr>
            <w:r w:rsidRPr="00060F33">
              <w:rPr>
                <w:snapToGrid w:val="0"/>
                <w:color w:val="202124"/>
                <w:kern w:val="22"/>
                <w:szCs w:val="22"/>
              </w:rPr>
              <w:t>Targeting</w:t>
            </w:r>
          </w:p>
        </w:tc>
        <w:tc>
          <w:tcPr>
            <w:tcW w:w="7367" w:type="dxa"/>
          </w:tcPr>
          <w:p w14:paraId="2EACE6E0" w14:textId="77777777" w:rsidR="00DA0273" w:rsidRPr="00060F33" w:rsidRDefault="00DA0273" w:rsidP="00CB2DB9">
            <w:pPr>
              <w:spacing w:before="120" w:after="120"/>
              <w:rPr>
                <w:snapToGrid w:val="0"/>
                <w:kern w:val="22"/>
                <w:szCs w:val="22"/>
              </w:rPr>
            </w:pPr>
            <w:r w:rsidRPr="00060F33">
              <w:rPr>
                <w:snapToGrid w:val="0"/>
                <w:kern w:val="22"/>
                <w:szCs w:val="22"/>
              </w:rPr>
              <w:t xml:space="preserve">As the overall reach of the </w:t>
            </w:r>
            <w:r w:rsidRPr="003840ED">
              <w:rPr>
                <w:snapToGrid w:val="0"/>
                <w:kern w:val="22"/>
                <w:szCs w:val="22"/>
              </w:rPr>
              <w:t>Kunming-Montreal Global Biodiversity Framework</w:t>
            </w:r>
            <w:r w:rsidRPr="003840ED" w:rsidDel="003840ED">
              <w:rPr>
                <w:snapToGrid w:val="0"/>
                <w:kern w:val="22"/>
                <w:szCs w:val="22"/>
              </w:rPr>
              <w:t xml:space="preserve"> </w:t>
            </w:r>
            <w:r w:rsidRPr="00060F33">
              <w:rPr>
                <w:snapToGrid w:val="0"/>
                <w:kern w:val="22"/>
                <w:szCs w:val="22"/>
              </w:rPr>
              <w:t>is global, there will need to be specific articulations of the brand for different audiences.</w:t>
            </w:r>
          </w:p>
        </w:tc>
      </w:tr>
      <w:tr w:rsidR="00DA0273" w:rsidRPr="00060F33" w14:paraId="24C6BBD1" w14:textId="77777777" w:rsidTr="009756D4">
        <w:tc>
          <w:tcPr>
            <w:tcW w:w="1973" w:type="dxa"/>
          </w:tcPr>
          <w:p w14:paraId="44F23E30" w14:textId="77777777" w:rsidR="00DA0273" w:rsidRPr="00060F33" w:rsidRDefault="00DA0273" w:rsidP="00CB2DB9">
            <w:pPr>
              <w:spacing w:before="120" w:after="120"/>
              <w:rPr>
                <w:snapToGrid w:val="0"/>
                <w:kern w:val="22"/>
                <w:szCs w:val="22"/>
              </w:rPr>
            </w:pPr>
            <w:r w:rsidRPr="00060F33">
              <w:rPr>
                <w:snapToGrid w:val="0"/>
                <w:color w:val="202124"/>
                <w:kern w:val="22"/>
                <w:szCs w:val="22"/>
              </w:rPr>
              <w:t>Positioning</w:t>
            </w:r>
          </w:p>
        </w:tc>
        <w:tc>
          <w:tcPr>
            <w:tcW w:w="7367" w:type="dxa"/>
          </w:tcPr>
          <w:p w14:paraId="1C488298" w14:textId="77777777" w:rsidR="00DA0273" w:rsidRPr="00060F33" w:rsidRDefault="00DA0273" w:rsidP="00CB2DB9">
            <w:pPr>
              <w:spacing w:before="120" w:after="120"/>
              <w:rPr>
                <w:snapToGrid w:val="0"/>
                <w:kern w:val="22"/>
                <w:szCs w:val="22"/>
              </w:rPr>
            </w:pPr>
            <w:r w:rsidRPr="00060F33">
              <w:rPr>
                <w:snapToGrid w:val="0"/>
                <w:kern w:val="22"/>
                <w:szCs w:val="22"/>
              </w:rPr>
              <w:t xml:space="preserve">The </w:t>
            </w:r>
            <w:r w:rsidRPr="003840ED">
              <w:rPr>
                <w:snapToGrid w:val="0"/>
                <w:color w:val="000000"/>
                <w:kern w:val="22"/>
                <w:szCs w:val="22"/>
              </w:rPr>
              <w:t>Kunming-Montreal Global Biodiversity Framework</w:t>
            </w:r>
            <w:r w:rsidRPr="003840ED" w:rsidDel="003840ED">
              <w:rPr>
                <w:snapToGrid w:val="0"/>
                <w:color w:val="000000"/>
                <w:kern w:val="22"/>
                <w:szCs w:val="22"/>
              </w:rPr>
              <w:t xml:space="preserve"> </w:t>
            </w:r>
            <w:r w:rsidRPr="00060F33">
              <w:rPr>
                <w:snapToGrid w:val="0"/>
                <w:kern w:val="22"/>
                <w:szCs w:val="22"/>
              </w:rPr>
              <w:t xml:space="preserve">will be presented as a framework relevant to multiple initiatives on biodiversity, supportive of the 2030 Agenda </w:t>
            </w:r>
            <w:r w:rsidRPr="00801C0E">
              <w:rPr>
                <w:snapToGrid w:val="0"/>
                <w:kern w:val="22"/>
                <w:szCs w:val="22"/>
              </w:rPr>
              <w:t xml:space="preserve">for Sustainable Development </w:t>
            </w:r>
            <w:r w:rsidRPr="00060F33">
              <w:rPr>
                <w:snapToGrid w:val="0"/>
                <w:kern w:val="22"/>
                <w:szCs w:val="22"/>
              </w:rPr>
              <w:t xml:space="preserve">and its </w:t>
            </w:r>
            <w:r w:rsidRPr="00060F33">
              <w:rPr>
                <w:snapToGrid w:val="0"/>
                <w:color w:val="000000"/>
                <w:kern w:val="22"/>
                <w:szCs w:val="22"/>
              </w:rPr>
              <w:t>Sustainable Development Goal</w:t>
            </w:r>
            <w:r w:rsidRPr="00060F33">
              <w:rPr>
                <w:snapToGrid w:val="0"/>
                <w:kern w:val="22"/>
                <w:szCs w:val="22"/>
              </w:rPr>
              <w:t>s, the United Nations Decade of Action to deliver the Sustainable Development Goals, the United Nations Decade on Ecosystem Restoration, the biodiversity-related conventions, the</w:t>
            </w:r>
            <w:r w:rsidRPr="00060F33">
              <w:rPr>
                <w:szCs w:val="22"/>
              </w:rPr>
              <w:t xml:space="preserve"> </w:t>
            </w:r>
            <w:r w:rsidRPr="00060F33">
              <w:rPr>
                <w:snapToGrid w:val="0"/>
                <w:kern w:val="22"/>
                <w:szCs w:val="22"/>
              </w:rPr>
              <w:t>United Nations Framework Convention on Climate Change and the United Nations Convention to Combat Desertification</w:t>
            </w:r>
          </w:p>
        </w:tc>
      </w:tr>
    </w:tbl>
    <w:p w14:paraId="771FF60C"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The creation of the brand will be done after the</w:t>
      </w:r>
      <w:r>
        <w:rPr>
          <w:snapToGrid w:val="0"/>
          <w:kern w:val="22"/>
          <w:szCs w:val="22"/>
        </w:rPr>
        <w:t xml:space="preserve"> adoption</w:t>
      </w:r>
      <w:r w:rsidRPr="00060F33">
        <w:rPr>
          <w:snapToGrid w:val="0"/>
          <w:kern w:val="22"/>
          <w:szCs w:val="22"/>
        </w:rPr>
        <w:t xml:space="preserve"> of the </w:t>
      </w:r>
      <w:r w:rsidRPr="00AC1D28">
        <w:rPr>
          <w:snapToGrid w:val="0"/>
          <w:kern w:val="22"/>
          <w:szCs w:val="22"/>
        </w:rPr>
        <w:t>Kunming-Montreal Global Biodiversity Framework</w:t>
      </w:r>
      <w:r w:rsidRPr="00060F33">
        <w:rPr>
          <w:snapToGrid w:val="0"/>
          <w:kern w:val="22"/>
          <w:szCs w:val="22"/>
        </w:rPr>
        <w:t xml:space="preserve">. It will be led by the Executive Secretary, in consultation with </w:t>
      </w:r>
      <w:r>
        <w:rPr>
          <w:snapToGrid w:val="0"/>
          <w:kern w:val="22"/>
          <w:szCs w:val="22"/>
        </w:rPr>
        <w:t xml:space="preserve">the </w:t>
      </w:r>
      <w:r w:rsidRPr="00060F33">
        <w:rPr>
          <w:snapToGrid w:val="0"/>
          <w:color w:val="000000"/>
          <w:kern w:val="22"/>
          <w:szCs w:val="22"/>
        </w:rPr>
        <w:t>Informal Advisory Committee on Communication, Education and Public Awareness</w:t>
      </w:r>
      <w:r w:rsidRPr="00060F33">
        <w:rPr>
          <w:snapToGrid w:val="0"/>
          <w:kern w:val="22"/>
          <w:szCs w:val="22"/>
        </w:rPr>
        <w:t xml:space="preserve">, the United Nations Department of Global Communications, the UNEP Communications Division, </w:t>
      </w:r>
      <w:r w:rsidRPr="00C05B7D">
        <w:rPr>
          <w:snapToGrid w:val="0"/>
          <w:kern w:val="22"/>
          <w:szCs w:val="22"/>
        </w:rPr>
        <w:t>and the open-source coordination mechanism articulated below. A marketing company with global reach should be contracted to assist in this.</w:t>
      </w:r>
      <w:r w:rsidRPr="00060F33">
        <w:rPr>
          <w:snapToGrid w:val="0"/>
          <w:kern w:val="22"/>
          <w:szCs w:val="22"/>
        </w:rPr>
        <w:t xml:space="preserve"> </w:t>
      </w:r>
    </w:p>
    <w:p w14:paraId="202F223F" w14:textId="77777777" w:rsidR="00DA0273" w:rsidRPr="00060F33" w:rsidRDefault="00DA0273" w:rsidP="00BA5FF6">
      <w:pPr>
        <w:keepNext/>
        <w:spacing w:before="120" w:after="120"/>
        <w:ind w:left="1412" w:hanging="851"/>
        <w:jc w:val="left"/>
        <w:rPr>
          <w:b/>
          <w:bCs/>
          <w:caps/>
          <w:snapToGrid w:val="0"/>
          <w:szCs w:val="22"/>
        </w:rPr>
      </w:pPr>
      <w:bookmarkStart w:id="185" w:name="_Toc129621638"/>
      <w:r w:rsidRPr="00060F33">
        <w:rPr>
          <w:b/>
          <w:bCs/>
          <w:caps/>
          <w:snapToGrid w:val="0"/>
          <w:szCs w:val="22"/>
        </w:rPr>
        <w:t>VII.</w:t>
      </w:r>
      <w:r w:rsidRPr="00060F33">
        <w:rPr>
          <w:b/>
          <w:bCs/>
          <w:caps/>
          <w:snapToGrid w:val="0"/>
          <w:szCs w:val="22"/>
        </w:rPr>
        <w:tab/>
        <w:t>Open-source coordination mechanism, and channels and multipliers</w:t>
      </w:r>
      <w:bookmarkEnd w:id="185"/>
    </w:p>
    <w:p w14:paraId="4B419657"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While the broad outlines of the strategy will be kept under review as per the terms of reference outlined in section III above, implementation of the communications strategy at the global level will best be realized through an open-source coordination mechanism. Such a mechanism needs a low cost of participation, with members free to participate in some elements and not others. The principle of open source should govern the products shared by the group, with inclusivity, transparency and neutrality as important elements.</w:t>
      </w:r>
    </w:p>
    <w:p w14:paraId="2E315E13"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Participation in the </w:t>
      </w:r>
      <w:r w:rsidRPr="008901E3">
        <w:rPr>
          <w:snapToGrid w:val="0"/>
          <w:color w:val="000000"/>
          <w:kern w:val="22"/>
          <w:szCs w:val="22"/>
        </w:rPr>
        <w:t>mechanism will be voluntary, open to all actors who commit to transparent participation and adherence to the principle of open-source work, and who will contribute to the implementation of the Kunming-Montreal Global Biodiversity Framework. Representatives of national and subnational governments are encouraged to participate, as are representatives of intergovernmental organizations, NGOs and other civil society actors, business, youth, indigenous peoples and local communities, and women. The mechanism will not have formal decision-making</w:t>
      </w:r>
      <w:r w:rsidRPr="00060F33">
        <w:rPr>
          <w:snapToGrid w:val="0"/>
          <w:color w:val="000000"/>
          <w:kern w:val="22"/>
          <w:szCs w:val="22"/>
        </w:rPr>
        <w:t xml:space="preserve"> power.</w:t>
      </w:r>
    </w:p>
    <w:p w14:paraId="36F2C9E8"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kern w:val="22"/>
          <w:szCs w:val="22"/>
        </w:rPr>
        <w:lastRenderedPageBreak/>
        <w:t xml:space="preserve">At the national level, Parties will be free to create mechanisms as appropriate. These mechanisms should be inclusive and transparent and should ensure the full and effective participation of all relevant actors and stakeholders, including </w:t>
      </w:r>
      <w:r w:rsidRPr="00060F33">
        <w:rPr>
          <w:snapToGrid w:val="0"/>
          <w:color w:val="000000"/>
          <w:kern w:val="22"/>
          <w:szCs w:val="22"/>
        </w:rPr>
        <w:t>indigenous peoples and local communitie</w:t>
      </w:r>
      <w:r w:rsidRPr="00060F33">
        <w:rPr>
          <w:snapToGrid w:val="0"/>
          <w:kern w:val="22"/>
          <w:szCs w:val="22"/>
        </w:rPr>
        <w:t>s, youth, and women.</w:t>
      </w:r>
    </w:p>
    <w:p w14:paraId="1B389C4E" w14:textId="77777777" w:rsidR="00DA0273" w:rsidRPr="00060F33" w:rsidRDefault="00DA0273" w:rsidP="0089447E">
      <w:pPr>
        <w:keepNext/>
        <w:pBdr>
          <w:top w:val="nil"/>
          <w:left w:val="nil"/>
          <w:bottom w:val="nil"/>
          <w:right w:val="nil"/>
          <w:between w:val="nil"/>
        </w:pBdr>
        <w:tabs>
          <w:tab w:val="left" w:pos="360"/>
        </w:tabs>
        <w:spacing w:before="120" w:after="120"/>
        <w:jc w:val="center"/>
        <w:rPr>
          <w:b/>
          <w:bCs/>
          <w:snapToGrid w:val="0"/>
          <w:color w:val="000000"/>
          <w:kern w:val="22"/>
          <w:szCs w:val="22"/>
        </w:rPr>
      </w:pPr>
      <w:bookmarkStart w:id="186" w:name="_Toc129621639"/>
      <w:r w:rsidRPr="00060F33">
        <w:rPr>
          <w:b/>
          <w:bCs/>
          <w:snapToGrid w:val="0"/>
          <w:color w:val="000000"/>
          <w:kern w:val="22"/>
          <w:szCs w:val="22"/>
        </w:rPr>
        <w:t>A.</w:t>
      </w:r>
      <w:r w:rsidRPr="00060F33">
        <w:rPr>
          <w:b/>
          <w:bCs/>
          <w:snapToGrid w:val="0"/>
          <w:color w:val="000000"/>
          <w:kern w:val="22"/>
          <w:szCs w:val="22"/>
        </w:rPr>
        <w:tab/>
        <w:t>Social media</w:t>
      </w:r>
      <w:bookmarkEnd w:id="186"/>
    </w:p>
    <w:p w14:paraId="65D119B3" w14:textId="77777777" w:rsidR="00DA0273" w:rsidRPr="00EB4842"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The strategy will need to take advantage of existing social media and new technologies. An exhaustive list of the technologies to use is not appropriate, given that the platforms for these vary across regions and that the pace of change in the field of social media is such that certain platforms are rendered irrelevant over time. Nevertheless, implementation of this strategy should seek to incorporate the most up-to-date platforms and technologies, including through corporate partnerships. The security of data, and protection of all rights to privacy of users, as covered in </w:t>
      </w:r>
      <w:r w:rsidRPr="00EB4842">
        <w:rPr>
          <w:snapToGrid w:val="0"/>
          <w:color w:val="000000"/>
          <w:kern w:val="22"/>
          <w:szCs w:val="22"/>
        </w:rPr>
        <w:t>different legislation, needs to be taken into account.</w:t>
      </w:r>
    </w:p>
    <w:p w14:paraId="21D3DF2A"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EB4842">
        <w:rPr>
          <w:snapToGrid w:val="0"/>
          <w:color w:val="000000"/>
          <w:kern w:val="22"/>
          <w:szCs w:val="22"/>
        </w:rPr>
        <w:t xml:space="preserve">A list of agreed hashtags and common tagging words needs to be created, for each platform, to properly aggregate conversations in support of the Kunming-Montreal Global Biodiversity Framework. These should be aligned with the messaging </w:t>
      </w:r>
      <w:r w:rsidRPr="000309BE">
        <w:rPr>
          <w:snapToGrid w:val="0"/>
          <w:color w:val="000000"/>
          <w:kern w:val="22"/>
          <w:szCs w:val="22"/>
        </w:rPr>
        <w:t>outlined in table 3 and translated into other languages. This list should be created by the first coordination meeting, immediat</w:t>
      </w:r>
      <w:r w:rsidRPr="00EB4842">
        <w:rPr>
          <w:snapToGrid w:val="0"/>
          <w:color w:val="000000"/>
          <w:kern w:val="22"/>
          <w:szCs w:val="22"/>
        </w:rPr>
        <w:t>ely after the fifteenth meeting of the Conference of the Parties.</w:t>
      </w:r>
    </w:p>
    <w:p w14:paraId="582520C1"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Partnerships with social media organizations, such as Google, Meta, WeChat, Weibo, Twitter and LinkedIn, should be secured, with the goal of highlighting the messages and progress of the </w:t>
      </w:r>
      <w:r w:rsidRPr="004861B7">
        <w:rPr>
          <w:snapToGrid w:val="0"/>
          <w:color w:val="000000"/>
          <w:kern w:val="22"/>
          <w:szCs w:val="22"/>
        </w:rPr>
        <w:t>Kunming-Montreal Global Biodiversity Framework</w:t>
      </w:r>
      <w:r w:rsidRPr="004861B7" w:rsidDel="004861B7">
        <w:rPr>
          <w:snapToGrid w:val="0"/>
          <w:color w:val="000000"/>
          <w:kern w:val="22"/>
          <w:szCs w:val="22"/>
        </w:rPr>
        <w:t xml:space="preserve"> </w:t>
      </w:r>
      <w:r w:rsidRPr="00060F33">
        <w:rPr>
          <w:snapToGrid w:val="0"/>
          <w:color w:val="000000"/>
          <w:kern w:val="22"/>
          <w:szCs w:val="22"/>
        </w:rPr>
        <w:t>in campaigns and other promotions.</w:t>
      </w:r>
    </w:p>
    <w:p w14:paraId="2366656E" w14:textId="77777777" w:rsidR="00DA0273" w:rsidRPr="00060F33" w:rsidRDefault="00DA0273" w:rsidP="0089447E">
      <w:pPr>
        <w:keepNext/>
        <w:pBdr>
          <w:top w:val="nil"/>
          <w:left w:val="nil"/>
          <w:bottom w:val="nil"/>
          <w:right w:val="nil"/>
          <w:between w:val="nil"/>
        </w:pBdr>
        <w:tabs>
          <w:tab w:val="left" w:pos="360"/>
        </w:tabs>
        <w:spacing w:before="120" w:after="120"/>
        <w:jc w:val="center"/>
        <w:rPr>
          <w:b/>
          <w:bCs/>
          <w:snapToGrid w:val="0"/>
          <w:color w:val="000000"/>
          <w:kern w:val="22"/>
          <w:szCs w:val="22"/>
        </w:rPr>
      </w:pPr>
      <w:bookmarkStart w:id="187" w:name="_Toc129621640"/>
      <w:r w:rsidRPr="00060F33">
        <w:rPr>
          <w:b/>
          <w:bCs/>
          <w:snapToGrid w:val="0"/>
          <w:color w:val="000000"/>
          <w:kern w:val="22"/>
          <w:szCs w:val="22"/>
        </w:rPr>
        <w:t>B.</w:t>
      </w:r>
      <w:r w:rsidRPr="00060F33">
        <w:rPr>
          <w:b/>
          <w:bCs/>
          <w:snapToGrid w:val="0"/>
          <w:color w:val="000000"/>
          <w:kern w:val="22"/>
          <w:szCs w:val="22"/>
        </w:rPr>
        <w:tab/>
        <w:t>Events</w:t>
      </w:r>
      <w:bookmarkEnd w:id="187"/>
    </w:p>
    <w:p w14:paraId="2A4DF438"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Events represent important communications opportunities, where messages can be disseminated to a variety of audiences, in a setting which is usually media-rich and of interest to a variety of communities. These include, among others, the meetings of the following:</w:t>
      </w:r>
    </w:p>
    <w:p w14:paraId="0B9ED839"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(a)</w:t>
      </w:r>
      <w:r w:rsidRPr="00060F33">
        <w:rPr>
          <w:snapToGrid w:val="0"/>
          <w:color w:val="000000"/>
          <w:kern w:val="22"/>
          <w:szCs w:val="22"/>
        </w:rPr>
        <w:tab/>
        <w:t>The Conference of the Parties to the Convention on Biological Diversity;</w:t>
      </w:r>
    </w:p>
    <w:p w14:paraId="67D9A7F2" w14:textId="77777777" w:rsidR="00DA0273" w:rsidRPr="00060F33" w:rsidRDefault="00DA0273" w:rsidP="00CB2DB9">
      <w:pPr>
        <w:pBdr>
          <w:top w:val="nil"/>
          <w:left w:val="nil"/>
          <w:bottom w:val="nil"/>
          <w:right w:val="nil"/>
          <w:between w:val="nil"/>
        </w:pBdr>
        <w:spacing w:before="120" w:after="120"/>
        <w:ind w:firstLine="720"/>
        <w:rPr>
          <w:snapToGrid w:val="0"/>
          <w:color w:val="000000"/>
          <w:spacing w:val="-5"/>
          <w:kern w:val="22"/>
          <w:szCs w:val="22"/>
        </w:rPr>
      </w:pPr>
      <w:r w:rsidRPr="00060F33">
        <w:rPr>
          <w:snapToGrid w:val="0"/>
          <w:color w:val="000000"/>
          <w:spacing w:val="-5"/>
          <w:kern w:val="22"/>
          <w:szCs w:val="22"/>
        </w:rPr>
        <w:t>(b)</w:t>
      </w:r>
      <w:r w:rsidRPr="00060F33">
        <w:rPr>
          <w:snapToGrid w:val="0"/>
          <w:color w:val="000000"/>
          <w:spacing w:val="-5"/>
          <w:kern w:val="22"/>
          <w:szCs w:val="22"/>
        </w:rPr>
        <w:tab/>
        <w:t>The Conference of the Parties to the United Nations Framework Convention on Climate Change;</w:t>
      </w:r>
    </w:p>
    <w:p w14:paraId="240CD352"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(c)</w:t>
      </w:r>
      <w:r w:rsidRPr="00060F33">
        <w:rPr>
          <w:snapToGrid w:val="0"/>
          <w:color w:val="000000"/>
          <w:kern w:val="22"/>
          <w:szCs w:val="22"/>
        </w:rPr>
        <w:tab/>
        <w:t xml:space="preserve">The Conference of the Parties to the United Nations Convention to Combat Desertification; </w:t>
      </w:r>
    </w:p>
    <w:p w14:paraId="1B13B38E"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(d)</w:t>
      </w:r>
      <w:r w:rsidRPr="00060F33">
        <w:rPr>
          <w:snapToGrid w:val="0"/>
          <w:color w:val="000000"/>
          <w:kern w:val="22"/>
          <w:szCs w:val="22"/>
        </w:rPr>
        <w:tab/>
        <w:t>The Intergovernmental Oceanographic Commission of UNESCO;</w:t>
      </w:r>
    </w:p>
    <w:p w14:paraId="5DDBFBFE"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(e)</w:t>
      </w:r>
      <w:r w:rsidRPr="00060F33">
        <w:rPr>
          <w:snapToGrid w:val="0"/>
          <w:color w:val="000000"/>
          <w:kern w:val="22"/>
          <w:szCs w:val="22"/>
        </w:rPr>
        <w:tab/>
        <w:t>The Conference of the Parties to the other biodiversity-related conventions;</w:t>
      </w:r>
    </w:p>
    <w:p w14:paraId="5B5F1BF5" w14:textId="77777777" w:rsidR="00DA0273" w:rsidRPr="00060F33" w:rsidRDefault="00DA0273" w:rsidP="00CB2DB9">
      <w:pPr>
        <w:pBdr>
          <w:top w:val="nil"/>
          <w:left w:val="nil"/>
          <w:bottom w:val="nil"/>
          <w:right w:val="nil"/>
          <w:between w:val="nil"/>
        </w:pBdr>
        <w:spacing w:before="120" w:after="120"/>
        <w:ind w:firstLine="720"/>
        <w:rPr>
          <w:snapToGrid w:val="0"/>
          <w:color w:val="000000"/>
          <w:spacing w:val="-8"/>
          <w:kern w:val="22"/>
          <w:szCs w:val="22"/>
        </w:rPr>
      </w:pPr>
      <w:r w:rsidRPr="00060F33">
        <w:rPr>
          <w:snapToGrid w:val="0"/>
          <w:color w:val="000000"/>
          <w:spacing w:val="-8"/>
          <w:kern w:val="22"/>
          <w:szCs w:val="22"/>
        </w:rPr>
        <w:t>(f)</w:t>
      </w:r>
      <w:r w:rsidRPr="00060F33">
        <w:rPr>
          <w:snapToGrid w:val="0"/>
          <w:color w:val="000000"/>
          <w:spacing w:val="-8"/>
          <w:kern w:val="22"/>
          <w:szCs w:val="22"/>
        </w:rPr>
        <w:tab/>
        <w:t>The Intergovernmental Science-Policy Platform on Biodiversity and Ecosystem Services (IPBES);</w:t>
      </w:r>
    </w:p>
    <w:p w14:paraId="6AC07A4A"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(g)</w:t>
      </w:r>
      <w:r w:rsidRPr="00060F33">
        <w:rPr>
          <w:snapToGrid w:val="0"/>
          <w:color w:val="000000"/>
          <w:kern w:val="22"/>
          <w:szCs w:val="22"/>
        </w:rPr>
        <w:tab/>
        <w:t>The United Nations General Assembly;</w:t>
      </w:r>
    </w:p>
    <w:p w14:paraId="7520657C"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(h)</w:t>
      </w:r>
      <w:r w:rsidRPr="00060F33">
        <w:rPr>
          <w:snapToGrid w:val="0"/>
          <w:color w:val="000000"/>
          <w:kern w:val="22"/>
          <w:szCs w:val="22"/>
        </w:rPr>
        <w:tab/>
        <w:t>The United Nations High-level Political Forum on Sustainable Development;</w:t>
      </w:r>
    </w:p>
    <w:p w14:paraId="76E248DE"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(j)</w:t>
      </w:r>
      <w:r w:rsidRPr="00060F33">
        <w:rPr>
          <w:snapToGrid w:val="0"/>
          <w:color w:val="000000"/>
          <w:kern w:val="22"/>
          <w:szCs w:val="22"/>
        </w:rPr>
        <w:tab/>
        <w:t>The United Nations Environment Assembly;</w:t>
      </w:r>
    </w:p>
    <w:p w14:paraId="6212728B"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(k)</w:t>
      </w:r>
      <w:r w:rsidRPr="00060F33">
        <w:rPr>
          <w:snapToGrid w:val="0"/>
          <w:color w:val="000000"/>
          <w:kern w:val="22"/>
          <w:szCs w:val="22"/>
        </w:rPr>
        <w:tab/>
        <w:t>The World Economic Forum</w:t>
      </w:r>
      <w:r w:rsidRPr="00060F33">
        <w:rPr>
          <w:snapToGrid w:val="0"/>
          <w:kern w:val="22"/>
          <w:szCs w:val="22"/>
        </w:rPr>
        <w:t>;</w:t>
      </w:r>
    </w:p>
    <w:p w14:paraId="78C12F1C" w14:textId="77777777" w:rsidR="00DA0273" w:rsidRPr="00060F33" w:rsidRDefault="00DA0273" w:rsidP="00CB2DB9">
      <w:pPr>
        <w:pBdr>
          <w:top w:val="nil"/>
          <w:left w:val="nil"/>
          <w:bottom w:val="nil"/>
          <w:right w:val="nil"/>
          <w:between w:val="nil"/>
        </w:pBdr>
        <w:spacing w:before="120" w:after="120"/>
        <w:ind w:firstLine="720"/>
        <w:rPr>
          <w:snapToGrid w:val="0"/>
          <w:kern w:val="22"/>
          <w:szCs w:val="22"/>
        </w:rPr>
      </w:pPr>
      <w:r w:rsidRPr="00060F33">
        <w:rPr>
          <w:snapToGrid w:val="0"/>
          <w:kern w:val="22"/>
          <w:szCs w:val="22"/>
        </w:rPr>
        <w:t>(l)</w:t>
      </w:r>
      <w:r w:rsidRPr="00060F33">
        <w:rPr>
          <w:snapToGrid w:val="0"/>
          <w:kern w:val="22"/>
          <w:szCs w:val="22"/>
        </w:rPr>
        <w:tab/>
        <w:t>The G7 and G20.</w:t>
      </w:r>
    </w:p>
    <w:p w14:paraId="2639459A"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National events that may be related to the biodiversity agenda, but are distinct from it, represent important communications opportunities as well. National cultural celebrations or celebrations of independence could also be used to show the linkages of biodiversity with national identity.</w:t>
      </w:r>
    </w:p>
    <w:p w14:paraId="7E2FE54E" w14:textId="77777777" w:rsidR="00DA0273" w:rsidRPr="00EB4842"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International days of the United Nations and others also represent important events during which the work of the Convention can be noted and celebrated. For these international days, messaging should be aligned in a way that shows how implementation of the Convention can contribute to the goals for each day. Some of the most important days to consider include the following: World Wetlands Day, World Wildlife Day, World Water Day, International Day of Forests, International Women’s Day, World Health Day, Earth Hour, Oceans Day, Earth Day, Mother Earth Day, Earth Overshoot Day, World Environment Day, World Day to Combat Desertification, World Cities </w:t>
      </w:r>
      <w:r w:rsidRPr="00EB4842">
        <w:rPr>
          <w:snapToGrid w:val="0"/>
          <w:color w:val="000000"/>
          <w:kern w:val="22"/>
          <w:szCs w:val="22"/>
        </w:rPr>
        <w:t>Day, World Soil Day and World Food Day.</w:t>
      </w:r>
    </w:p>
    <w:p w14:paraId="0E7CE2AA"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EB4842">
        <w:rPr>
          <w:snapToGrid w:val="0"/>
          <w:color w:val="000000"/>
          <w:kern w:val="22"/>
          <w:szCs w:val="22"/>
        </w:rPr>
        <w:lastRenderedPageBreak/>
        <w:t>The International Day for Biological Diversity, celebrated on 22 May of each year, should also be an extremely important event for any communications. Guided by the theme determined by the Executive Secretary, national-level actors should use the day as an opportunit</w:t>
      </w:r>
      <w:r w:rsidRPr="00060F33">
        <w:rPr>
          <w:snapToGrid w:val="0"/>
          <w:color w:val="000000"/>
          <w:kern w:val="22"/>
          <w:szCs w:val="22"/>
        </w:rPr>
        <w:t>y to articulate national visions and responses.</w:t>
      </w:r>
    </w:p>
    <w:p w14:paraId="68105B03" w14:textId="77777777" w:rsidR="00DA0273" w:rsidRPr="00060F33" w:rsidRDefault="00DA0273" w:rsidP="0089447E">
      <w:pPr>
        <w:keepNext/>
        <w:pBdr>
          <w:top w:val="nil"/>
          <w:left w:val="nil"/>
          <w:bottom w:val="nil"/>
          <w:right w:val="nil"/>
          <w:between w:val="nil"/>
        </w:pBdr>
        <w:tabs>
          <w:tab w:val="left" w:pos="360"/>
        </w:tabs>
        <w:spacing w:before="120" w:after="120"/>
        <w:jc w:val="center"/>
        <w:rPr>
          <w:b/>
          <w:bCs/>
          <w:snapToGrid w:val="0"/>
          <w:color w:val="000000"/>
          <w:kern w:val="22"/>
          <w:szCs w:val="22"/>
        </w:rPr>
      </w:pPr>
      <w:bookmarkStart w:id="188" w:name="_Toc129621641"/>
      <w:r w:rsidRPr="00060F33">
        <w:rPr>
          <w:b/>
          <w:bCs/>
          <w:snapToGrid w:val="0"/>
          <w:color w:val="000000"/>
          <w:kern w:val="22"/>
          <w:szCs w:val="22"/>
        </w:rPr>
        <w:t>C.</w:t>
      </w:r>
      <w:r w:rsidRPr="00060F33">
        <w:rPr>
          <w:b/>
          <w:bCs/>
          <w:snapToGrid w:val="0"/>
          <w:color w:val="000000"/>
          <w:kern w:val="22"/>
          <w:szCs w:val="22"/>
        </w:rPr>
        <w:tab/>
        <w:t>Champions, Messengers of Peace and Goodwill Ambassadors</w:t>
      </w:r>
      <w:bookmarkEnd w:id="188"/>
    </w:p>
    <w:p w14:paraId="56807853"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bCs/>
          <w:snapToGrid w:val="0"/>
          <w:kern w:val="22"/>
          <w:szCs w:val="22"/>
        </w:rPr>
      </w:pPr>
      <w:r w:rsidRPr="00060F33">
        <w:rPr>
          <w:bCs/>
          <w:snapToGrid w:val="0"/>
          <w:kern w:val="22"/>
          <w:szCs w:val="22"/>
        </w:rPr>
        <w:t xml:space="preserve">A programme of “Champions for the </w:t>
      </w:r>
      <w:r w:rsidRPr="00251B53">
        <w:rPr>
          <w:bCs/>
          <w:snapToGrid w:val="0"/>
          <w:kern w:val="22"/>
          <w:szCs w:val="22"/>
        </w:rPr>
        <w:t>Kunming-Montreal Global Biodiversity Framework</w:t>
      </w:r>
      <w:r w:rsidRPr="00060F33">
        <w:rPr>
          <w:bCs/>
          <w:snapToGrid w:val="0"/>
          <w:kern w:val="22"/>
          <w:szCs w:val="22"/>
        </w:rPr>
        <w:t xml:space="preserve">” should be created that celebrates successes and inspiring actions in support of the </w:t>
      </w:r>
      <w:r>
        <w:rPr>
          <w:bCs/>
          <w:snapToGrid w:val="0"/>
          <w:kern w:val="22"/>
          <w:szCs w:val="22"/>
        </w:rPr>
        <w:t>F</w:t>
      </w:r>
      <w:r w:rsidRPr="00060F33">
        <w:rPr>
          <w:bCs/>
          <w:snapToGrid w:val="0"/>
          <w:kern w:val="22"/>
          <w:szCs w:val="22"/>
        </w:rPr>
        <w:t xml:space="preserve">ramework. The Champions programme should have awards, for example for individuals, youth, organizations, businesses, and governments. The programme would declare awards annually on the International Day for Biodiversity. A sponsor which could offer financial resources for the award should be identified, as should a global media partner. The prizes would be awarded according to the recommendations by a panel that includes representatives of UNEP, the Food and Agriculture Organization of the United Nations, </w:t>
      </w:r>
      <w:r>
        <w:rPr>
          <w:bCs/>
          <w:snapToGrid w:val="0"/>
          <w:kern w:val="22"/>
          <w:szCs w:val="22"/>
        </w:rPr>
        <w:t xml:space="preserve">the United Nations Development </w:t>
      </w:r>
      <w:r w:rsidRPr="00706703">
        <w:rPr>
          <w:bCs/>
          <w:snapToGrid w:val="0"/>
          <w:kern w:val="22"/>
          <w:szCs w:val="22"/>
        </w:rPr>
        <w:t>Programme (UNDP), IPBES</w:t>
      </w:r>
      <w:r w:rsidRPr="00060F33">
        <w:rPr>
          <w:bCs/>
          <w:snapToGrid w:val="0"/>
          <w:kern w:val="22"/>
          <w:szCs w:val="22"/>
        </w:rPr>
        <w:t xml:space="preserve">, </w:t>
      </w:r>
      <w:r>
        <w:rPr>
          <w:bCs/>
          <w:snapToGrid w:val="0"/>
          <w:kern w:val="22"/>
          <w:szCs w:val="22"/>
        </w:rPr>
        <w:t xml:space="preserve">and </w:t>
      </w:r>
      <w:r w:rsidRPr="00060F33">
        <w:rPr>
          <w:bCs/>
          <w:snapToGrid w:val="0"/>
          <w:kern w:val="22"/>
          <w:szCs w:val="22"/>
        </w:rPr>
        <w:t xml:space="preserve">the </w:t>
      </w:r>
      <w:r w:rsidRPr="00060F33">
        <w:rPr>
          <w:snapToGrid w:val="0"/>
          <w:kern w:val="22"/>
          <w:szCs w:val="22"/>
        </w:rPr>
        <w:t>World Economic Forum</w:t>
      </w:r>
      <w:r w:rsidRPr="00060F33">
        <w:rPr>
          <w:bCs/>
          <w:snapToGrid w:val="0"/>
          <w:kern w:val="22"/>
          <w:szCs w:val="22"/>
        </w:rPr>
        <w:t>, among others, as well as the Executive Secretary. Nominations would be delivered to the Executive Secretary.</w:t>
      </w:r>
    </w:p>
    <w:p w14:paraId="1994FA1F"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bCs/>
          <w:snapToGrid w:val="0"/>
          <w:kern w:val="22"/>
          <w:szCs w:val="22"/>
        </w:rPr>
      </w:pPr>
      <w:r w:rsidRPr="00060F33">
        <w:rPr>
          <w:bCs/>
          <w:snapToGrid w:val="0"/>
          <w:kern w:val="22"/>
          <w:szCs w:val="22"/>
        </w:rPr>
        <w:t xml:space="preserve">The United Nations should be invited to create a </w:t>
      </w:r>
      <w:r w:rsidRPr="00060F33">
        <w:rPr>
          <w:snapToGrid w:val="0"/>
          <w:kern w:val="22"/>
          <w:szCs w:val="22"/>
        </w:rPr>
        <w:t>Messenger of Peace</w:t>
      </w:r>
      <w:r w:rsidRPr="00060F33">
        <w:rPr>
          <w:bCs/>
          <w:snapToGrid w:val="0"/>
          <w:kern w:val="22"/>
          <w:szCs w:val="22"/>
        </w:rPr>
        <w:t xml:space="preserve"> for the </w:t>
      </w:r>
      <w:r w:rsidRPr="00620E07">
        <w:rPr>
          <w:bCs/>
          <w:snapToGrid w:val="0"/>
          <w:kern w:val="22"/>
          <w:szCs w:val="22"/>
        </w:rPr>
        <w:t>Kunming-Montreal Global Biodiversity Framework</w:t>
      </w:r>
      <w:r w:rsidRPr="00060F33">
        <w:rPr>
          <w:bCs/>
          <w:snapToGrid w:val="0"/>
          <w:kern w:val="22"/>
          <w:szCs w:val="22"/>
        </w:rPr>
        <w:t xml:space="preserve">, and also </w:t>
      </w:r>
      <w:r>
        <w:rPr>
          <w:bCs/>
          <w:snapToGrid w:val="0"/>
          <w:kern w:val="22"/>
          <w:szCs w:val="22"/>
        </w:rPr>
        <w:t xml:space="preserve">to </w:t>
      </w:r>
      <w:r w:rsidRPr="00060F33">
        <w:rPr>
          <w:bCs/>
          <w:snapToGrid w:val="0"/>
          <w:kern w:val="22"/>
          <w:szCs w:val="22"/>
        </w:rPr>
        <w:t xml:space="preserve">name </w:t>
      </w:r>
      <w:r w:rsidRPr="00060F33">
        <w:rPr>
          <w:snapToGrid w:val="0"/>
          <w:kern w:val="22"/>
          <w:szCs w:val="22"/>
        </w:rPr>
        <w:t>Goodwill Ambassadors</w:t>
      </w:r>
      <w:r w:rsidRPr="00060F33">
        <w:rPr>
          <w:bCs/>
          <w:snapToGrid w:val="0"/>
          <w:kern w:val="22"/>
          <w:szCs w:val="22"/>
        </w:rPr>
        <w:t xml:space="preserve"> for each of the United Nations regions to support the </w:t>
      </w:r>
      <w:r w:rsidRPr="00620E07">
        <w:rPr>
          <w:bCs/>
          <w:snapToGrid w:val="0"/>
          <w:kern w:val="22"/>
          <w:szCs w:val="22"/>
        </w:rPr>
        <w:t>Kunming-Montreal Global Biodiversity Framewor</w:t>
      </w:r>
      <w:r>
        <w:rPr>
          <w:bCs/>
          <w:snapToGrid w:val="0"/>
          <w:kern w:val="22"/>
          <w:szCs w:val="22"/>
        </w:rPr>
        <w:t>k</w:t>
      </w:r>
      <w:r w:rsidRPr="00060F33">
        <w:rPr>
          <w:bCs/>
          <w:snapToGrid w:val="0"/>
          <w:kern w:val="22"/>
          <w:szCs w:val="22"/>
        </w:rPr>
        <w:t xml:space="preserve">. These Ambassadors will provide support and messages for the </w:t>
      </w:r>
      <w:r>
        <w:rPr>
          <w:snapToGrid w:val="0"/>
          <w:color w:val="000000"/>
          <w:kern w:val="22"/>
          <w:szCs w:val="22"/>
        </w:rPr>
        <w:t>F</w:t>
      </w:r>
      <w:r w:rsidRPr="00060F33">
        <w:rPr>
          <w:snapToGrid w:val="0"/>
          <w:color w:val="000000"/>
          <w:kern w:val="22"/>
          <w:szCs w:val="22"/>
        </w:rPr>
        <w:t>ramework</w:t>
      </w:r>
      <w:r w:rsidRPr="00060F33">
        <w:rPr>
          <w:bCs/>
          <w:snapToGrid w:val="0"/>
          <w:kern w:val="22"/>
          <w:szCs w:val="22"/>
        </w:rPr>
        <w:t xml:space="preserve">. </w:t>
      </w:r>
    </w:p>
    <w:p w14:paraId="034C354E" w14:textId="77777777" w:rsidR="00DA0273" w:rsidRPr="0089447E" w:rsidRDefault="00DA0273" w:rsidP="0089447E">
      <w:pPr>
        <w:keepNext/>
        <w:pBdr>
          <w:top w:val="nil"/>
          <w:left w:val="nil"/>
          <w:bottom w:val="nil"/>
          <w:right w:val="nil"/>
          <w:between w:val="nil"/>
        </w:pBdr>
        <w:tabs>
          <w:tab w:val="left" w:pos="360"/>
        </w:tabs>
        <w:spacing w:before="120" w:after="120"/>
        <w:jc w:val="center"/>
        <w:rPr>
          <w:b/>
          <w:bCs/>
          <w:snapToGrid w:val="0"/>
          <w:color w:val="000000"/>
          <w:kern w:val="22"/>
          <w:szCs w:val="22"/>
        </w:rPr>
      </w:pPr>
      <w:bookmarkStart w:id="189" w:name="_Toc129621642"/>
      <w:r w:rsidRPr="0089447E">
        <w:rPr>
          <w:b/>
          <w:bCs/>
          <w:snapToGrid w:val="0"/>
          <w:color w:val="000000"/>
          <w:kern w:val="22"/>
          <w:szCs w:val="22"/>
        </w:rPr>
        <w:t>D.</w:t>
      </w:r>
      <w:r w:rsidRPr="0089447E">
        <w:rPr>
          <w:b/>
          <w:bCs/>
          <w:snapToGrid w:val="0"/>
          <w:color w:val="000000"/>
          <w:kern w:val="22"/>
          <w:szCs w:val="22"/>
        </w:rPr>
        <w:tab/>
        <w:t>Website in support of the Kunming-Montreal Global Biodiversity Framework</w:t>
      </w:r>
      <w:bookmarkEnd w:id="189"/>
      <w:r w:rsidRPr="0089447E" w:rsidDel="0068359F">
        <w:rPr>
          <w:b/>
          <w:bCs/>
          <w:snapToGrid w:val="0"/>
          <w:color w:val="000000"/>
          <w:kern w:val="22"/>
          <w:szCs w:val="22"/>
        </w:rPr>
        <w:t xml:space="preserve"> </w:t>
      </w:r>
    </w:p>
    <w:p w14:paraId="1DA5B419"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A dedicated website should be established, with a unique URL and identity, consistent with the branding above. This would be different from the main website of the Convention with the aim of reaching a global audience. Such a website would reflect efforts to capture audiences and directing them to the resources tailored to their needs. The website would be linked to matching social-media campaigns.</w:t>
      </w:r>
    </w:p>
    <w:p w14:paraId="78FAF6DA"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This would require early and ongoing focus on search engine optimization, accessibility, social media campaigns alignment, analytics, and bidirectional interoperability with other information sources both within the Convention (main Convention website, national and central clearing-house mechanisms, and others), through InforMEA, and with both institutional and thematic partners. Country-specific mailing lists may need to be developed.</w:t>
      </w:r>
    </w:p>
    <w:p w14:paraId="4EDCFCE2"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kern w:val="22"/>
          <w:szCs w:val="22"/>
        </w:rPr>
      </w:pPr>
      <w:r w:rsidRPr="00060F33">
        <w:rPr>
          <w:snapToGrid w:val="0"/>
          <w:kern w:val="22"/>
          <w:szCs w:val="22"/>
        </w:rPr>
        <w:t>The website can also serve as the media hub for reusable media material, including both public and partner-only resources. Such resources can also include links to exhibitions of museums, botanical gardens and zoos and aquariums.</w:t>
      </w:r>
    </w:p>
    <w:p w14:paraId="0EDE5554" w14:textId="77777777" w:rsidR="00DA0273" w:rsidRPr="00060F33" w:rsidRDefault="00DA0273" w:rsidP="0089447E">
      <w:pPr>
        <w:keepNext/>
        <w:spacing w:before="120" w:after="120"/>
        <w:jc w:val="center"/>
        <w:rPr>
          <w:b/>
          <w:bCs/>
          <w:caps/>
          <w:snapToGrid w:val="0"/>
          <w:szCs w:val="22"/>
        </w:rPr>
      </w:pPr>
      <w:bookmarkStart w:id="190" w:name="_Toc129621643"/>
      <w:r w:rsidRPr="00060F33">
        <w:rPr>
          <w:b/>
          <w:bCs/>
          <w:caps/>
          <w:snapToGrid w:val="0"/>
          <w:szCs w:val="22"/>
        </w:rPr>
        <w:t>VIII.</w:t>
      </w:r>
      <w:r w:rsidRPr="00060F33">
        <w:rPr>
          <w:b/>
          <w:bCs/>
          <w:caps/>
          <w:snapToGrid w:val="0"/>
          <w:szCs w:val="22"/>
        </w:rPr>
        <w:tab/>
        <w:t>Key messaging</w:t>
      </w:r>
      <w:bookmarkEnd w:id="190"/>
    </w:p>
    <w:p w14:paraId="027C2839" w14:textId="77777777" w:rsidR="00DA0273" w:rsidRPr="007C2466"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AB18E7">
        <w:rPr>
          <w:snapToGrid w:val="0"/>
          <w:color w:val="000000"/>
          <w:kern w:val="22"/>
          <w:szCs w:val="22"/>
        </w:rPr>
        <w:t>Messaging for the Kunming-Montreal Global Biodiversity Framework</w:t>
      </w:r>
      <w:r w:rsidRPr="00AB18E7" w:rsidDel="0068359F">
        <w:rPr>
          <w:snapToGrid w:val="0"/>
          <w:color w:val="000000"/>
          <w:kern w:val="22"/>
          <w:szCs w:val="22"/>
        </w:rPr>
        <w:t xml:space="preserve"> </w:t>
      </w:r>
      <w:r w:rsidRPr="00AB18E7">
        <w:rPr>
          <w:snapToGrid w:val="0"/>
          <w:color w:val="000000"/>
          <w:kern w:val="22"/>
          <w:szCs w:val="22"/>
        </w:rPr>
        <w:t>needs to be consistent with previously developed messaging, in line with decision XIII/22. This includes the messaging for the 2050</w:t>
      </w:r>
      <w:r w:rsidRPr="00F03EE2">
        <w:rPr>
          <w:snapToGrid w:val="0"/>
          <w:color w:val="000000"/>
          <w:kern w:val="22"/>
          <w:szCs w:val="22"/>
        </w:rPr>
        <w:t> </w:t>
      </w:r>
      <w:r w:rsidRPr="00AB18E7">
        <w:rPr>
          <w:snapToGrid w:val="0"/>
          <w:color w:val="000000"/>
          <w:kern w:val="22"/>
          <w:szCs w:val="22"/>
        </w:rPr>
        <w:t xml:space="preserve">Vision for </w:t>
      </w:r>
      <w:r w:rsidRPr="00F03EE2">
        <w:rPr>
          <w:snapToGrid w:val="0"/>
          <w:color w:val="000000"/>
          <w:kern w:val="22"/>
          <w:szCs w:val="22"/>
        </w:rPr>
        <w:t>b</w:t>
      </w:r>
      <w:r w:rsidRPr="00AB18E7">
        <w:rPr>
          <w:snapToGrid w:val="0"/>
          <w:color w:val="000000"/>
          <w:kern w:val="22"/>
          <w:szCs w:val="22"/>
        </w:rPr>
        <w:t>iodiversity,</w:t>
      </w:r>
      <w:r w:rsidRPr="00060F33">
        <w:rPr>
          <w:snapToGrid w:val="0"/>
          <w:color w:val="000000"/>
          <w:kern w:val="22"/>
          <w:szCs w:val="22"/>
        </w:rPr>
        <w:t xml:space="preserve"> the 2030 Agenda </w:t>
      </w:r>
      <w:r w:rsidRPr="00D16B9C">
        <w:rPr>
          <w:snapToGrid w:val="0"/>
          <w:color w:val="000000"/>
          <w:kern w:val="22"/>
          <w:szCs w:val="22"/>
        </w:rPr>
        <w:t xml:space="preserve">for Sustainable Development </w:t>
      </w:r>
      <w:r w:rsidRPr="00060F33">
        <w:rPr>
          <w:snapToGrid w:val="0"/>
          <w:color w:val="000000"/>
          <w:kern w:val="22"/>
          <w:szCs w:val="22"/>
        </w:rPr>
        <w:t xml:space="preserve">and its Sustainable Development Goals, the United Nations Decade on Ecosystem Restoration, </w:t>
      </w:r>
      <w:r>
        <w:rPr>
          <w:snapToGrid w:val="0"/>
          <w:color w:val="000000"/>
          <w:kern w:val="22"/>
          <w:szCs w:val="22"/>
        </w:rPr>
        <w:t>t</w:t>
      </w:r>
      <w:r w:rsidRPr="00060F33">
        <w:rPr>
          <w:snapToGrid w:val="0"/>
          <w:color w:val="000000"/>
          <w:kern w:val="22"/>
          <w:szCs w:val="22"/>
        </w:rPr>
        <w:t>he United Nations Decade of Action to deliver the Sustainable Development Goals</w:t>
      </w:r>
      <w:r>
        <w:rPr>
          <w:snapToGrid w:val="0"/>
          <w:color w:val="000000"/>
          <w:kern w:val="22"/>
          <w:szCs w:val="22"/>
        </w:rPr>
        <w:t>,</w:t>
      </w:r>
      <w:r w:rsidRPr="00060F33">
        <w:rPr>
          <w:snapToGrid w:val="0"/>
          <w:color w:val="000000"/>
          <w:kern w:val="22"/>
          <w:szCs w:val="22"/>
        </w:rPr>
        <w:t xml:space="preserve"> the United Nations Decade of Ocean Science for Sustainable Development, the conclusions of the fifth edition of the </w:t>
      </w:r>
      <w:r w:rsidRPr="00060F33">
        <w:rPr>
          <w:i/>
          <w:snapToGrid w:val="0"/>
          <w:color w:val="000000"/>
          <w:kern w:val="22"/>
          <w:szCs w:val="22"/>
        </w:rPr>
        <w:t>Global Biodiversity Outlook</w:t>
      </w:r>
      <w:r w:rsidRPr="00060F33">
        <w:rPr>
          <w:iCs/>
          <w:snapToGrid w:val="0"/>
          <w:color w:val="000000"/>
          <w:kern w:val="22"/>
          <w:szCs w:val="22"/>
        </w:rPr>
        <w:t>,</w:t>
      </w:r>
      <w:r w:rsidRPr="00060F33">
        <w:rPr>
          <w:snapToGrid w:val="0"/>
          <w:color w:val="000000"/>
          <w:kern w:val="22"/>
          <w:szCs w:val="22"/>
        </w:rPr>
        <w:t xml:space="preserve"> the second edition of the </w:t>
      </w:r>
      <w:r w:rsidRPr="00060F33">
        <w:rPr>
          <w:i/>
          <w:iCs/>
          <w:snapToGrid w:val="0"/>
          <w:color w:val="000000"/>
          <w:kern w:val="22"/>
          <w:szCs w:val="22"/>
        </w:rPr>
        <w:t>Local Biodiversity Outlooks</w:t>
      </w:r>
      <w:r w:rsidRPr="00F03EE2">
        <w:rPr>
          <w:snapToGrid w:val="0"/>
          <w:color w:val="000000"/>
          <w:kern w:val="22"/>
          <w:szCs w:val="22"/>
        </w:rPr>
        <w:t>,</w:t>
      </w:r>
      <w:r w:rsidRPr="00B06B22">
        <w:rPr>
          <w:snapToGrid w:val="0"/>
          <w:color w:val="000000"/>
          <w:kern w:val="22"/>
          <w:szCs w:val="22"/>
        </w:rPr>
        <w:t xml:space="preserve"> </w:t>
      </w:r>
      <w:r w:rsidRPr="007C2466">
        <w:rPr>
          <w:snapToGrid w:val="0"/>
          <w:color w:val="000000"/>
          <w:kern w:val="22"/>
          <w:szCs w:val="22"/>
        </w:rPr>
        <w:t>and the overall messaging for the Convention.</w:t>
      </w:r>
    </w:p>
    <w:p w14:paraId="701FC8BA"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7C2466">
        <w:rPr>
          <w:snapToGrid w:val="0"/>
          <w:color w:val="000000"/>
          <w:kern w:val="22"/>
          <w:szCs w:val="22"/>
        </w:rPr>
        <w:t>Messaging needs to be evidence-based and scientifically credible, drawing upon the work of IPBES and its global assessments, among others. It also needs to be consistent with different knowledge systems, including the relevant traditional knowledge</w:t>
      </w:r>
      <w:r w:rsidRPr="00060F33">
        <w:rPr>
          <w:snapToGrid w:val="0"/>
          <w:color w:val="000000"/>
          <w:kern w:val="22"/>
          <w:szCs w:val="22"/>
        </w:rPr>
        <w:t xml:space="preserve"> systems of indigenous peoples and local communities.</w:t>
      </w:r>
    </w:p>
    <w:p w14:paraId="0E64865B" w14:textId="77777777" w:rsidR="00DA0273" w:rsidRPr="00FA320D"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Messages need to be adapted and translated into </w:t>
      </w:r>
      <w:r>
        <w:rPr>
          <w:snapToGrid w:val="0"/>
          <w:color w:val="000000"/>
          <w:kern w:val="22"/>
          <w:szCs w:val="22"/>
        </w:rPr>
        <w:t xml:space="preserve">indigenous and </w:t>
      </w:r>
      <w:r w:rsidRPr="00060F33">
        <w:rPr>
          <w:snapToGrid w:val="0"/>
          <w:color w:val="000000"/>
          <w:kern w:val="22"/>
          <w:szCs w:val="22"/>
        </w:rPr>
        <w:t xml:space="preserve">local languages, with resources </w:t>
      </w:r>
      <w:r w:rsidRPr="00FA320D">
        <w:rPr>
          <w:snapToGrid w:val="0"/>
          <w:color w:val="000000"/>
          <w:kern w:val="22"/>
          <w:szCs w:val="22"/>
        </w:rPr>
        <w:t>made available for this purpose.</w:t>
      </w:r>
    </w:p>
    <w:p w14:paraId="41830223" w14:textId="77777777" w:rsidR="00DA0273" w:rsidRPr="00FA320D"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FA320D">
        <w:rPr>
          <w:snapToGrid w:val="0"/>
          <w:kern w:val="22"/>
          <w:szCs w:val="22"/>
        </w:rPr>
        <w:t xml:space="preserve">Communicating the importance of awareness and change to promote sustainable development and lifestyles in harmony with nature will be a key element to support the implementation of the </w:t>
      </w:r>
      <w:r w:rsidRPr="00016958">
        <w:rPr>
          <w:snapToGrid w:val="0"/>
          <w:kern w:val="22"/>
          <w:szCs w:val="22"/>
        </w:rPr>
        <w:t>Kunming-</w:t>
      </w:r>
      <w:r w:rsidRPr="00016958">
        <w:rPr>
          <w:snapToGrid w:val="0"/>
          <w:kern w:val="22"/>
          <w:szCs w:val="22"/>
        </w:rPr>
        <w:lastRenderedPageBreak/>
        <w:t>Montreal Global Biodiversity Framework</w:t>
      </w:r>
      <w:r w:rsidRPr="00FA320D">
        <w:rPr>
          <w:snapToGrid w:val="0"/>
          <w:kern w:val="22"/>
          <w:szCs w:val="22"/>
        </w:rPr>
        <w:t>. In order to foster transformative change, key messages will take into account scientific evidence, and, at the national level, they may also address norms, attitudes and consumption choices.</w:t>
      </w:r>
    </w:p>
    <w:p w14:paraId="59F5D194" w14:textId="77777777" w:rsidR="00DA0273" w:rsidRPr="00FA320D"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FA320D">
        <w:rPr>
          <w:snapToGrid w:val="0"/>
          <w:color w:val="000000"/>
          <w:kern w:val="22"/>
          <w:szCs w:val="22"/>
        </w:rPr>
        <w:t>Elements for messaging will be the following:</w:t>
      </w:r>
    </w:p>
    <w:p w14:paraId="467604F0"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(a)</w:t>
      </w:r>
      <w:r w:rsidRPr="00060F33">
        <w:rPr>
          <w:snapToGrid w:val="0"/>
          <w:color w:val="000000"/>
          <w:kern w:val="22"/>
          <w:szCs w:val="22"/>
        </w:rPr>
        <w:tab/>
        <w:t>Overall, messages should communicate general elements about the connections of people to biodiversity and show how people are connected to biodiversity in almost all aspects of their lives;</w:t>
      </w:r>
    </w:p>
    <w:p w14:paraId="38A853CA" w14:textId="77777777" w:rsidR="00DA0273" w:rsidRPr="00E25E2B"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(b)</w:t>
      </w:r>
      <w:r w:rsidRPr="00060F33">
        <w:rPr>
          <w:snapToGrid w:val="0"/>
          <w:color w:val="000000"/>
          <w:kern w:val="22"/>
          <w:szCs w:val="22"/>
        </w:rPr>
        <w:tab/>
        <w:t xml:space="preserve">Messages should promote </w:t>
      </w:r>
      <w:r w:rsidRPr="007C2466">
        <w:rPr>
          <w:snapToGrid w:val="0"/>
          <w:color w:val="000000"/>
          <w:kern w:val="22"/>
          <w:szCs w:val="22"/>
        </w:rPr>
        <w:t xml:space="preserve">immediate </w:t>
      </w:r>
      <w:r w:rsidRPr="0099300B">
        <w:rPr>
          <w:snapToGrid w:val="0"/>
          <w:color w:val="000000"/>
          <w:kern w:val="22"/>
          <w:szCs w:val="22"/>
        </w:rPr>
        <w:t xml:space="preserve">action to halt </w:t>
      </w:r>
      <w:r w:rsidRPr="00F03EE2">
        <w:rPr>
          <w:snapToGrid w:val="0"/>
          <w:color w:val="000000"/>
          <w:kern w:val="22"/>
          <w:szCs w:val="22"/>
        </w:rPr>
        <w:t xml:space="preserve">and reverse </w:t>
      </w:r>
      <w:r w:rsidRPr="0099300B">
        <w:rPr>
          <w:snapToGrid w:val="0"/>
          <w:color w:val="000000"/>
          <w:kern w:val="22"/>
          <w:szCs w:val="22"/>
        </w:rPr>
        <w:t>biodiversity loss, and</w:t>
      </w:r>
      <w:r w:rsidRPr="007C2466">
        <w:rPr>
          <w:snapToGrid w:val="0"/>
          <w:color w:val="000000"/>
          <w:kern w:val="22"/>
          <w:szCs w:val="22"/>
        </w:rPr>
        <w:t xml:space="preserve"> encourage action by stakeholders in the context of the Kun</w:t>
      </w:r>
      <w:r w:rsidRPr="007B3178">
        <w:rPr>
          <w:snapToGrid w:val="0"/>
          <w:color w:val="000000"/>
          <w:kern w:val="22"/>
          <w:szCs w:val="22"/>
        </w:rPr>
        <w:t>ming-</w:t>
      </w:r>
      <w:r w:rsidRPr="00E25E2B">
        <w:rPr>
          <w:snapToGrid w:val="0"/>
          <w:color w:val="000000"/>
          <w:kern w:val="22"/>
          <w:szCs w:val="22"/>
        </w:rPr>
        <w:t>Montreal Global Biodiversity Framework</w:t>
      </w:r>
      <w:r w:rsidRPr="00E25E2B" w:rsidDel="007B3178">
        <w:rPr>
          <w:snapToGrid w:val="0"/>
          <w:color w:val="000000"/>
          <w:kern w:val="22"/>
          <w:szCs w:val="22"/>
        </w:rPr>
        <w:t xml:space="preserve"> </w:t>
      </w:r>
      <w:r w:rsidRPr="00E25E2B">
        <w:rPr>
          <w:snapToGrid w:val="0"/>
          <w:color w:val="000000"/>
          <w:kern w:val="22"/>
          <w:szCs w:val="22"/>
        </w:rPr>
        <w:t>as a means to achieve this goal;</w:t>
      </w:r>
    </w:p>
    <w:p w14:paraId="2CA335BD" w14:textId="77777777" w:rsidR="00DA0273" w:rsidRPr="00AB18E7" w:rsidRDefault="00DA0273" w:rsidP="00CB2DB9">
      <w:pPr>
        <w:pBdr>
          <w:top w:val="nil"/>
          <w:left w:val="nil"/>
          <w:bottom w:val="nil"/>
          <w:right w:val="nil"/>
          <w:between w:val="nil"/>
        </w:pBdr>
        <w:spacing w:before="120" w:after="120"/>
        <w:ind w:firstLine="720"/>
        <w:rPr>
          <w:snapToGrid w:val="0"/>
          <w:color w:val="000000"/>
          <w:kern w:val="22"/>
          <w:szCs w:val="22"/>
        </w:rPr>
      </w:pPr>
      <w:r w:rsidRPr="00E25E2B">
        <w:rPr>
          <w:snapToGrid w:val="0"/>
          <w:color w:val="000000"/>
          <w:kern w:val="22"/>
          <w:szCs w:val="22"/>
        </w:rPr>
        <w:t>(c)</w:t>
      </w:r>
      <w:r w:rsidRPr="00E25E2B">
        <w:rPr>
          <w:snapToGrid w:val="0"/>
          <w:color w:val="000000"/>
          <w:kern w:val="22"/>
          <w:szCs w:val="22"/>
        </w:rPr>
        <w:tab/>
        <w:t xml:space="preserve">The messages should also highlight the longer time horizon, including the 2050 Vision for </w:t>
      </w:r>
      <w:r w:rsidRPr="00F03EE2">
        <w:rPr>
          <w:snapToGrid w:val="0"/>
          <w:color w:val="000000"/>
          <w:kern w:val="22"/>
          <w:szCs w:val="22"/>
        </w:rPr>
        <w:t>b</w:t>
      </w:r>
      <w:r w:rsidRPr="00E25E2B">
        <w:rPr>
          <w:snapToGrid w:val="0"/>
          <w:color w:val="000000"/>
          <w:kern w:val="22"/>
          <w:szCs w:val="22"/>
        </w:rPr>
        <w:t>iodiversity,</w:t>
      </w:r>
      <w:r w:rsidRPr="00610646">
        <w:rPr>
          <w:rStyle w:val="FootnoteReference"/>
        </w:rPr>
        <w:footnoteReference w:id="149"/>
      </w:r>
      <w:r w:rsidRPr="00E25E2B">
        <w:rPr>
          <w:snapToGrid w:val="0"/>
          <w:color w:val="000000"/>
          <w:kern w:val="22"/>
          <w:szCs w:val="22"/>
        </w:rPr>
        <w:t xml:space="preserve"> and the 2030 Agenda for Sustainable Development, and should include linkages to climate-related targets;</w:t>
      </w:r>
    </w:p>
    <w:p w14:paraId="0C5166D6"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AB18E7">
        <w:rPr>
          <w:snapToGrid w:val="0"/>
          <w:color w:val="000000"/>
          <w:kern w:val="22"/>
          <w:szCs w:val="22"/>
        </w:rPr>
        <w:t>(d)</w:t>
      </w:r>
      <w:r w:rsidRPr="00AB18E7">
        <w:rPr>
          <w:snapToGrid w:val="0"/>
          <w:color w:val="000000"/>
          <w:kern w:val="22"/>
          <w:szCs w:val="22"/>
        </w:rPr>
        <w:tab/>
        <w:t xml:space="preserve">The importance of applying a human rights-based approach for achieving the 2050 Vision for </w:t>
      </w:r>
      <w:r w:rsidRPr="00F03EE2">
        <w:rPr>
          <w:snapToGrid w:val="0"/>
          <w:color w:val="000000"/>
          <w:kern w:val="22"/>
          <w:szCs w:val="22"/>
        </w:rPr>
        <w:t>b</w:t>
      </w:r>
      <w:r w:rsidRPr="00AB18E7">
        <w:rPr>
          <w:snapToGrid w:val="0"/>
          <w:color w:val="000000"/>
          <w:kern w:val="22"/>
          <w:szCs w:val="22"/>
        </w:rPr>
        <w:t>iodiversity;</w:t>
      </w:r>
    </w:p>
    <w:p w14:paraId="29E2C4AF"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(e)</w:t>
      </w:r>
      <w:r w:rsidRPr="00060F33">
        <w:rPr>
          <w:snapToGrid w:val="0"/>
          <w:color w:val="000000"/>
          <w:kern w:val="22"/>
          <w:szCs w:val="22"/>
        </w:rPr>
        <w:tab/>
        <w:t>Messages should also link the goals of the framework with specific national development priorities, as well as with the important roles of local and subnational governments in delivering said priorities, demonstrating how achieving sustainable development at the national level requires integration of biodiversity into these activities;</w:t>
      </w:r>
    </w:p>
    <w:p w14:paraId="7BA0361A"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(f)</w:t>
      </w:r>
      <w:r w:rsidRPr="00060F33">
        <w:rPr>
          <w:snapToGrid w:val="0"/>
          <w:color w:val="000000"/>
          <w:kern w:val="22"/>
          <w:szCs w:val="22"/>
        </w:rPr>
        <w:tab/>
        <w:t>Specific messages and campaigns should be sensitive to the values of the target audience and should express biodiversity and actions to conserve and sustainably use it in the context of these values. Therefore, audience research is a key element to any message customization;</w:t>
      </w:r>
    </w:p>
    <w:p w14:paraId="4C487D0E"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(g)</w:t>
      </w:r>
      <w:r w:rsidRPr="00060F33">
        <w:rPr>
          <w:snapToGrid w:val="0"/>
          <w:color w:val="000000"/>
          <w:kern w:val="22"/>
          <w:szCs w:val="22"/>
        </w:rPr>
        <w:tab/>
        <w:t xml:space="preserve">Messages need to be translated into </w:t>
      </w:r>
      <w:r>
        <w:rPr>
          <w:snapToGrid w:val="0"/>
          <w:color w:val="000000"/>
          <w:kern w:val="22"/>
          <w:szCs w:val="22"/>
        </w:rPr>
        <w:t xml:space="preserve">indigenous and </w:t>
      </w:r>
      <w:r w:rsidRPr="00060F33">
        <w:rPr>
          <w:snapToGrid w:val="0"/>
          <w:color w:val="000000"/>
          <w:kern w:val="22"/>
          <w:szCs w:val="22"/>
        </w:rPr>
        <w:t>local languages, including a sensitivity to the social and cultural context in which local languages are embedded;</w:t>
      </w:r>
    </w:p>
    <w:p w14:paraId="13F2546F"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(h)</w:t>
      </w:r>
      <w:r w:rsidRPr="00060F33">
        <w:rPr>
          <w:snapToGrid w:val="0"/>
          <w:color w:val="000000"/>
          <w:kern w:val="22"/>
          <w:szCs w:val="22"/>
        </w:rPr>
        <w:tab/>
        <w:t xml:space="preserve">Messages need to be gender-inclusive and in line with the principles of the </w:t>
      </w:r>
      <w:r>
        <w:rPr>
          <w:snapToGrid w:val="0"/>
          <w:color w:val="000000"/>
          <w:kern w:val="22"/>
          <w:szCs w:val="22"/>
        </w:rPr>
        <w:t>G</w:t>
      </w:r>
      <w:r w:rsidRPr="00060F33">
        <w:rPr>
          <w:snapToGrid w:val="0"/>
          <w:color w:val="000000"/>
          <w:kern w:val="22"/>
          <w:szCs w:val="22"/>
        </w:rPr>
        <w:t xml:space="preserve">ender </w:t>
      </w:r>
      <w:r>
        <w:rPr>
          <w:snapToGrid w:val="0"/>
          <w:color w:val="000000"/>
          <w:kern w:val="22"/>
          <w:szCs w:val="22"/>
        </w:rPr>
        <w:t>P</w:t>
      </w:r>
      <w:r w:rsidRPr="00060F33">
        <w:rPr>
          <w:snapToGrid w:val="0"/>
          <w:color w:val="000000"/>
          <w:kern w:val="22"/>
          <w:szCs w:val="22"/>
        </w:rPr>
        <w:t xml:space="preserve">lan of </w:t>
      </w:r>
      <w:r w:rsidRPr="00FA3FE8">
        <w:rPr>
          <w:snapToGrid w:val="0"/>
          <w:color w:val="000000"/>
          <w:kern w:val="22"/>
          <w:szCs w:val="22"/>
        </w:rPr>
        <w:t>Action;</w:t>
      </w:r>
      <w:r w:rsidRPr="00610646">
        <w:rPr>
          <w:rStyle w:val="FootnoteReference"/>
        </w:rPr>
        <w:footnoteReference w:id="150"/>
      </w:r>
    </w:p>
    <w:p w14:paraId="529DF1B4"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(i)</w:t>
      </w:r>
      <w:r w:rsidRPr="00060F33">
        <w:rPr>
          <w:snapToGrid w:val="0"/>
          <w:color w:val="000000"/>
          <w:kern w:val="22"/>
          <w:szCs w:val="22"/>
        </w:rPr>
        <w:tab/>
        <w:t xml:space="preserve">The message </w:t>
      </w:r>
      <w:r w:rsidRPr="00CE3748">
        <w:rPr>
          <w:snapToGrid w:val="0"/>
          <w:color w:val="000000"/>
          <w:kern w:val="22"/>
          <w:szCs w:val="22"/>
        </w:rPr>
        <w:t>structure presented in table 3 below is meant to suggest the direction of messages. An overall umbrella set of messages which could apply to public mobilization and advocacy campaigns, is suggested to be used by all actors;</w:t>
      </w:r>
    </w:p>
    <w:p w14:paraId="104E55E5"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(j)</w:t>
      </w:r>
      <w:r w:rsidRPr="00060F33">
        <w:rPr>
          <w:snapToGrid w:val="0"/>
          <w:color w:val="000000"/>
          <w:kern w:val="22"/>
          <w:szCs w:val="22"/>
        </w:rPr>
        <w:tab/>
        <w:t>Sector-specific messages will be tailored for specific audiences. These will be developed by organizations which are engaged with these sectors;</w:t>
      </w:r>
    </w:p>
    <w:p w14:paraId="2841DAF4" w14:textId="77777777" w:rsidR="00DA0273" w:rsidRPr="00060F33"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(k)</w:t>
      </w:r>
      <w:r w:rsidRPr="00060F33">
        <w:rPr>
          <w:snapToGrid w:val="0"/>
          <w:color w:val="000000"/>
          <w:kern w:val="22"/>
          <w:szCs w:val="22"/>
        </w:rPr>
        <w:tab/>
        <w:t>The messaging structure will also pursue the principle of “open source” campaign, which maintains core messaging, but also permits different organizations to customize this under their own brand. These messages are also meant to have an iteration designed for national and subnational levels;</w:t>
      </w:r>
    </w:p>
    <w:p w14:paraId="0179954A" w14:textId="77777777" w:rsidR="00DA0273" w:rsidRPr="007C2466" w:rsidRDefault="00DA0273" w:rsidP="00CB2DB9">
      <w:pPr>
        <w:pBdr>
          <w:top w:val="nil"/>
          <w:left w:val="nil"/>
          <w:bottom w:val="nil"/>
          <w:right w:val="nil"/>
          <w:between w:val="nil"/>
        </w:pBdr>
        <w:spacing w:before="120" w:after="120"/>
        <w:ind w:firstLine="720"/>
        <w:rPr>
          <w:snapToGrid w:val="0"/>
          <w:color w:val="000000"/>
          <w:kern w:val="22"/>
          <w:szCs w:val="22"/>
        </w:rPr>
      </w:pPr>
      <w:r w:rsidRPr="00060F33">
        <w:rPr>
          <w:snapToGrid w:val="0"/>
          <w:color w:val="000000"/>
          <w:kern w:val="22"/>
          <w:szCs w:val="22"/>
        </w:rPr>
        <w:t>(l)</w:t>
      </w:r>
      <w:r w:rsidRPr="00060F33">
        <w:rPr>
          <w:snapToGrid w:val="0"/>
          <w:color w:val="000000"/>
          <w:kern w:val="22"/>
          <w:szCs w:val="22"/>
        </w:rPr>
        <w:tab/>
        <w:t xml:space="preserve">Parties, subnational governments, cities and local governments and other relevant organizations are invited to hold national workshops for the creation of </w:t>
      </w:r>
      <w:r w:rsidRPr="007C2466">
        <w:rPr>
          <w:snapToGrid w:val="0"/>
          <w:color w:val="000000"/>
          <w:kern w:val="22"/>
          <w:szCs w:val="22"/>
        </w:rPr>
        <w:t>messages.</w:t>
      </w:r>
    </w:p>
    <w:p w14:paraId="3060F8C6" w14:textId="77777777" w:rsidR="00DA0273" w:rsidRPr="007C2466" w:rsidRDefault="00DA0273" w:rsidP="0019488A">
      <w:pPr>
        <w:keepNext/>
        <w:pBdr>
          <w:top w:val="nil"/>
          <w:left w:val="nil"/>
          <w:bottom w:val="nil"/>
          <w:right w:val="nil"/>
          <w:between w:val="nil"/>
        </w:pBdr>
        <w:spacing w:before="120" w:after="120"/>
        <w:rPr>
          <w:b/>
          <w:bCs/>
          <w:snapToGrid w:val="0"/>
          <w:color w:val="000000"/>
          <w:kern w:val="22"/>
          <w:szCs w:val="22"/>
        </w:rPr>
      </w:pPr>
      <w:bookmarkStart w:id="191" w:name="_Toc129621644"/>
      <w:r w:rsidRPr="007C2466">
        <w:rPr>
          <w:b/>
          <w:bCs/>
          <w:snapToGrid w:val="0"/>
          <w:color w:val="000000"/>
          <w:kern w:val="22"/>
          <w:szCs w:val="22"/>
        </w:rPr>
        <w:lastRenderedPageBreak/>
        <w:t>Table 3. Themes for messaging</w:t>
      </w:r>
      <w:bookmarkEnd w:id="191"/>
    </w:p>
    <w:tbl>
      <w:tblPr>
        <w:tblW w:w="5000" w:type="pct"/>
        <w:tblCellMar>
          <w:left w:w="0" w:type="dxa"/>
          <w:right w:w="0" w:type="dxa"/>
        </w:tblCellMar>
        <w:tblLook w:val="04A0" w:firstRow="1" w:lastRow="0" w:firstColumn="1" w:lastColumn="0" w:noHBand="0" w:noVBand="1"/>
      </w:tblPr>
      <w:tblGrid>
        <w:gridCol w:w="5741"/>
        <w:gridCol w:w="1540"/>
        <w:gridCol w:w="142"/>
        <w:gridCol w:w="1921"/>
      </w:tblGrid>
      <w:tr w:rsidR="00DA0273" w:rsidRPr="007C2466" w14:paraId="60905A09" w14:textId="77777777" w:rsidTr="009756D4">
        <w:trPr>
          <w:cantSplit/>
          <w:trHeight w:val="435"/>
          <w:tblHeader/>
        </w:trPr>
        <w:tc>
          <w:tcPr>
            <w:tcW w:w="5000" w:type="pct"/>
            <w:gridSpan w:val="4"/>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133482F3" w14:textId="77777777" w:rsidR="00DA0273" w:rsidRPr="007C2466" w:rsidRDefault="00DA0273" w:rsidP="001F0CCB">
            <w:pPr>
              <w:keepNext/>
              <w:pBdr>
                <w:top w:val="nil"/>
                <w:left w:val="nil"/>
                <w:bottom w:val="nil"/>
                <w:right w:val="nil"/>
                <w:between w:val="nil"/>
              </w:pBdr>
              <w:spacing w:before="60" w:after="60"/>
              <w:jc w:val="left"/>
              <w:rPr>
                <w:snapToGrid w:val="0"/>
                <w:color w:val="000000"/>
                <w:kern w:val="22"/>
                <w:szCs w:val="22"/>
                <w:lang w:val="en-CA"/>
              </w:rPr>
            </w:pPr>
            <w:r w:rsidRPr="007C2466">
              <w:rPr>
                <w:b/>
                <w:bCs/>
                <w:snapToGrid w:val="0"/>
                <w:color w:val="000000"/>
                <w:kern w:val="22"/>
                <w:szCs w:val="22"/>
              </w:rPr>
              <w:t>Top-line message</w:t>
            </w:r>
            <w:r w:rsidRPr="007C2466">
              <w:rPr>
                <w:b/>
                <w:bCs/>
                <w:snapToGrid w:val="0"/>
                <w:color w:val="000000"/>
                <w:kern w:val="22"/>
                <w:szCs w:val="22"/>
                <w:lang w:val="en-CA"/>
              </w:rPr>
              <w:t xml:space="preserve">: </w:t>
            </w:r>
            <w:r w:rsidRPr="007C2466">
              <w:rPr>
                <w:snapToGrid w:val="0"/>
                <w:color w:val="000000"/>
                <w:kern w:val="22"/>
                <w:szCs w:val="22"/>
                <w:lang w:val="en-CA"/>
              </w:rPr>
              <w:t xml:space="preserve">By acting for nature/biodiversity, we can all create a just, healthier and more sustainable world </w:t>
            </w:r>
          </w:p>
        </w:tc>
      </w:tr>
      <w:tr w:rsidR="00DA0273" w:rsidRPr="007C2466" w14:paraId="4B720F6E" w14:textId="77777777" w:rsidTr="009756D4">
        <w:trPr>
          <w:cantSplit/>
          <w:trHeight w:val="23"/>
          <w:tblHeader/>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CDB04D8" w14:textId="77777777" w:rsidR="00DA0273" w:rsidRPr="007C2466" w:rsidRDefault="00DA0273" w:rsidP="001F0CCB">
            <w:pPr>
              <w:keepNext/>
              <w:pBdr>
                <w:top w:val="nil"/>
                <w:left w:val="nil"/>
                <w:bottom w:val="nil"/>
                <w:right w:val="nil"/>
                <w:between w:val="nil"/>
              </w:pBdr>
              <w:spacing w:before="60" w:after="60"/>
              <w:jc w:val="left"/>
              <w:rPr>
                <w:b/>
                <w:bCs/>
                <w:snapToGrid w:val="0"/>
                <w:color w:val="000000"/>
                <w:kern w:val="22"/>
                <w:szCs w:val="22"/>
                <w:lang w:val="en-CA"/>
              </w:rPr>
            </w:pPr>
            <w:r w:rsidRPr="007C2466">
              <w:rPr>
                <w:b/>
                <w:bCs/>
                <w:snapToGrid w:val="0"/>
                <w:color w:val="000000"/>
                <w:kern w:val="22"/>
                <w:szCs w:val="22"/>
                <w:lang w:val="en-CA"/>
              </w:rPr>
              <w:t>General theme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19558E1D" w14:textId="77777777" w:rsidR="00DA0273" w:rsidRPr="007C2466" w:rsidRDefault="00DA0273" w:rsidP="001F0CCB">
            <w:pPr>
              <w:keepNext/>
              <w:pBdr>
                <w:top w:val="nil"/>
                <w:left w:val="nil"/>
                <w:bottom w:val="nil"/>
                <w:right w:val="nil"/>
                <w:between w:val="nil"/>
              </w:pBdr>
              <w:spacing w:before="60" w:after="60"/>
              <w:jc w:val="left"/>
              <w:rPr>
                <w:b/>
                <w:bCs/>
                <w:snapToGrid w:val="0"/>
                <w:color w:val="000000"/>
                <w:kern w:val="22"/>
                <w:szCs w:val="22"/>
                <w:lang w:val="en-CA"/>
              </w:rPr>
            </w:pPr>
            <w:r w:rsidRPr="007C2466">
              <w:rPr>
                <w:b/>
                <w:bCs/>
                <w:snapToGrid w:val="0"/>
                <w:color w:val="000000"/>
                <w:kern w:val="22"/>
                <w:szCs w:val="22"/>
                <w:lang w:val="en-CA"/>
              </w:rPr>
              <w:t>Public message</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0239B87E" w14:textId="77777777" w:rsidR="00DA0273" w:rsidRPr="007C2466" w:rsidRDefault="00DA0273" w:rsidP="001F0CCB">
            <w:pPr>
              <w:keepNext/>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B6777F6" w14:textId="77777777" w:rsidR="00DA0273" w:rsidRPr="007C2466" w:rsidRDefault="00DA0273" w:rsidP="001F0CCB">
            <w:pPr>
              <w:keepNext/>
              <w:pBdr>
                <w:top w:val="nil"/>
                <w:left w:val="nil"/>
                <w:bottom w:val="nil"/>
                <w:right w:val="nil"/>
                <w:between w:val="nil"/>
              </w:pBdr>
              <w:spacing w:before="60" w:after="60"/>
              <w:jc w:val="left"/>
              <w:rPr>
                <w:b/>
                <w:bCs/>
                <w:snapToGrid w:val="0"/>
                <w:color w:val="000000"/>
                <w:kern w:val="22"/>
                <w:szCs w:val="22"/>
                <w:lang w:val="en-CA"/>
              </w:rPr>
            </w:pPr>
            <w:r w:rsidRPr="007C2466">
              <w:rPr>
                <w:b/>
                <w:bCs/>
                <w:snapToGrid w:val="0"/>
                <w:color w:val="000000"/>
                <w:kern w:val="22"/>
                <w:szCs w:val="22"/>
                <w:lang w:val="en-CA"/>
              </w:rPr>
              <w:t>Policy message</w:t>
            </w:r>
          </w:p>
        </w:tc>
      </w:tr>
      <w:tr w:rsidR="00DA0273" w:rsidRPr="00060F33" w14:paraId="13FA0385" w14:textId="77777777" w:rsidTr="009756D4">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1C6D17D" w14:textId="77777777" w:rsidR="00DA0273" w:rsidRPr="007C2466" w:rsidRDefault="00DA0273" w:rsidP="001F0CCB">
            <w:pPr>
              <w:pBdr>
                <w:top w:val="nil"/>
                <w:left w:val="nil"/>
                <w:bottom w:val="nil"/>
                <w:right w:val="nil"/>
                <w:between w:val="nil"/>
              </w:pBdr>
              <w:spacing w:before="60" w:after="60"/>
              <w:jc w:val="left"/>
              <w:rPr>
                <w:snapToGrid w:val="0"/>
                <w:color w:val="000000"/>
                <w:kern w:val="22"/>
                <w:szCs w:val="22"/>
                <w:lang w:val="en-CA"/>
              </w:rPr>
            </w:pPr>
            <w:r w:rsidRPr="007C2466">
              <w:rPr>
                <w:snapToGrid w:val="0"/>
                <w:color w:val="000000"/>
                <w:kern w:val="22"/>
                <w:szCs w:val="22"/>
                <w:lang w:val="en-CA"/>
              </w:rPr>
              <w:t>We need to halt and reverse biodiversity loss and ensure sustainable development for all</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735FA324" w14:textId="77777777" w:rsidR="00DA0273" w:rsidRPr="007C2466" w:rsidRDefault="00DA0273" w:rsidP="001F0CCB">
            <w:pPr>
              <w:pBdr>
                <w:top w:val="nil"/>
                <w:left w:val="nil"/>
                <w:bottom w:val="nil"/>
                <w:right w:val="nil"/>
                <w:between w:val="nil"/>
              </w:pBdr>
              <w:spacing w:before="60" w:after="60"/>
              <w:jc w:val="left"/>
              <w:rPr>
                <w:snapToGrid w:val="0"/>
                <w:color w:val="000000"/>
                <w:kern w:val="22"/>
                <w:szCs w:val="22"/>
                <w:lang w:val="en-CA"/>
              </w:rPr>
            </w:pPr>
            <w:r w:rsidRPr="007C2466">
              <w:rPr>
                <w:snapToGrid w:val="0"/>
                <w:color w:val="000000"/>
                <w:kern w:val="22"/>
                <w:szCs w:val="22"/>
                <w:lang w:val="en-CA"/>
              </w:rPr>
              <w:t>To be determined (TBD)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7028A4C" w14:textId="77777777" w:rsidR="00DA0273" w:rsidRPr="007C2466"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78066F0"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7C2466">
              <w:rPr>
                <w:snapToGrid w:val="0"/>
                <w:color w:val="000000"/>
                <w:kern w:val="22"/>
                <w:szCs w:val="22"/>
                <w:lang w:val="en-CA"/>
              </w:rPr>
              <w:t>TBD</w:t>
            </w:r>
          </w:p>
        </w:tc>
      </w:tr>
      <w:tr w:rsidR="00DA0273" w:rsidRPr="00060F33" w14:paraId="5D925C71" w14:textId="77777777" w:rsidTr="009756D4">
        <w:trPr>
          <w:cantSplit/>
          <w:trHeight w:val="220"/>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965C261"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Nature/biodiversity is essential for our survival on the planet. It</w:t>
            </w:r>
            <w:r>
              <w:rPr>
                <w:snapToGrid w:val="0"/>
                <w:color w:val="000000"/>
                <w:kern w:val="22"/>
                <w:szCs w:val="22"/>
                <w:lang w:val="en-CA"/>
              </w:rPr>
              <w:t> </w:t>
            </w:r>
            <w:r w:rsidRPr="00060F33">
              <w:rPr>
                <w:snapToGrid w:val="0"/>
                <w:color w:val="000000"/>
                <w:kern w:val="22"/>
                <w:szCs w:val="22"/>
                <w:lang w:val="en-CA"/>
              </w:rPr>
              <w:t>matters for our prosperity, happiness and well-being and for sustainable development</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FDF04DD"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 xml:space="preserve"> 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9CA756A"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7074943"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1A80AE80" w14:textId="77777777" w:rsidTr="009756D4">
        <w:trPr>
          <w:cantSplit/>
          <w:trHeight w:val="449"/>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2F1315E"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Nature/biodiversity has intrinsic value as well as multiple other values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09FFC695"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3471F708"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131EAA87"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04BDFDAA" w14:textId="77777777" w:rsidTr="009756D4">
        <w:trPr>
          <w:cantSplit/>
          <w:trHeight w:val="62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5B3137B"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The nature/biodiversity crisis poses a threat to humankind and needs to be addressed urgently and in a coherent manner</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51FF2B40"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52B20B9"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2933752"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22878D39" w14:textId="77777777" w:rsidTr="009756D4">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07B91111"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Innovative approaches to the conservation and sustainable use of biodiversity</w:t>
            </w:r>
            <w:r w:rsidRPr="00060F33" w:rsidDel="0089044A">
              <w:rPr>
                <w:snapToGrid w:val="0"/>
                <w:color w:val="000000"/>
                <w:kern w:val="22"/>
                <w:szCs w:val="22"/>
                <w:lang w:val="en-CA"/>
              </w:rPr>
              <w:t xml:space="preserve"> </w:t>
            </w:r>
            <w:r w:rsidRPr="00060F33">
              <w:rPr>
                <w:snapToGrid w:val="0"/>
                <w:color w:val="000000"/>
                <w:kern w:val="22"/>
                <w:szCs w:val="22"/>
                <w:lang w:val="en-CA"/>
              </w:rPr>
              <w:t>hold the key to support poverty eradication efforts</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61D07664"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55AC388"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560BECC8"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2C0A930B" w14:textId="77777777" w:rsidTr="009756D4">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45419202"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Protecting nature should leave no one behind</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7F8B2972"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18C1E8A3"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6206702F"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779320F9" w14:textId="77777777" w:rsidTr="009756D4">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CB7C9EA"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The world needs to cooperate to tackle the loss of nature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1C9E356"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9231F1A"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336CFF83"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5540CBA9" w14:textId="77777777" w:rsidTr="009756D4">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6264EF3C"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Action for people underpins action for biodiversity</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553AB786"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489F6AA4"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26CB030D"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75FF0229" w14:textId="77777777" w:rsidTr="009756D4">
        <w:trPr>
          <w:cantSplit/>
          <w:trHeight w:val="558"/>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1D1E63E"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Plans to affect the future of our planet need to be fair, inclusive and equitable</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5C7A95D0"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65D23CBA"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4D70A88D"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275F086C" w14:textId="77777777" w:rsidTr="009756D4">
        <w:trPr>
          <w:cantSplit/>
          <w:trHeight w:val="841"/>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5302D009"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 xml:space="preserve">Economies and societies need transformational change to achieve </w:t>
            </w:r>
            <w:r w:rsidRPr="00060F33">
              <w:rPr>
                <w:snapToGrid w:val="0"/>
                <w:kern w:val="22"/>
                <w:szCs w:val="22"/>
              </w:rPr>
              <w:t>sustainable development and lifestyles in harmony with nature</w:t>
            </w:r>
            <w:r w:rsidRPr="00060F33">
              <w:rPr>
                <w:snapToGrid w:val="0"/>
                <w:color w:val="000000"/>
                <w:kern w:val="22"/>
                <w:szCs w:val="22"/>
                <w:lang w:val="en-CA"/>
              </w:rPr>
              <w:t xml:space="preserve"> </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DF3CDE6" w14:textId="77777777" w:rsidR="00DA0273" w:rsidRPr="00060F33" w:rsidRDefault="00DA0273" w:rsidP="001F0CCB">
            <w:pP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7D2EC838"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shd w:val="clear" w:color="auto" w:fill="FFFFFF"/>
            <w:tcMar>
              <w:top w:w="30" w:type="dxa"/>
              <w:left w:w="45" w:type="dxa"/>
              <w:bottom w:w="30" w:type="dxa"/>
              <w:right w:w="45" w:type="dxa"/>
            </w:tcMar>
            <w:vAlign w:val="center"/>
          </w:tcPr>
          <w:p w14:paraId="06C3FA1E"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365B9ED4" w14:textId="77777777" w:rsidTr="009756D4">
        <w:trPr>
          <w:cantSplit/>
          <w:trHeight w:val="586"/>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03D2E191"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Our relationship with nature/biodiversity can increase the risk of infections</w:t>
            </w:r>
            <w:r>
              <w:rPr>
                <w:snapToGrid w:val="0"/>
                <w:color w:val="000000"/>
                <w:kern w:val="22"/>
                <w:szCs w:val="22"/>
                <w:lang w:val="en-CA"/>
              </w:rPr>
              <w:t xml:space="preserve"> and spread</w:t>
            </w:r>
            <w:r w:rsidRPr="00060F33">
              <w:rPr>
                <w:snapToGrid w:val="0"/>
                <w:color w:val="000000"/>
                <w:kern w:val="22"/>
                <w:szCs w:val="22"/>
                <w:lang w:val="en-CA"/>
              </w:rPr>
              <w:t xml:space="preserve"> of diseases of zoonotic origin</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C243258"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3AC3C6D"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196EF00"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0E24D054" w14:textId="77777777" w:rsidTr="009756D4">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73E8FDF5"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Immediate action is required to protect the health of our people and planet</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4C63A321"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575FE09"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3A9F58F7"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719299B7" w14:textId="77777777" w:rsidTr="009756D4">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hideMark/>
          </w:tcPr>
          <w:p w14:paraId="3558DCC4"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We are all accountable for our actions to protect the planet</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2D1A1229"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5C378942"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59998510"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sidRPr="00060F33">
              <w:rPr>
                <w:snapToGrid w:val="0"/>
                <w:color w:val="000000"/>
                <w:kern w:val="22"/>
                <w:szCs w:val="22"/>
                <w:lang w:val="en-CA"/>
              </w:rPr>
              <w:t>TBD</w:t>
            </w:r>
          </w:p>
        </w:tc>
      </w:tr>
      <w:tr w:rsidR="00DA0273" w:rsidRPr="00060F33" w14:paraId="186A737F" w14:textId="77777777" w:rsidTr="009756D4">
        <w:trPr>
          <w:cantSplit/>
          <w:trHeight w:val="514"/>
        </w:trPr>
        <w:tc>
          <w:tcPr>
            <w:tcW w:w="3072"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201FF8B2"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Pr>
                <w:snapToGrid w:val="0"/>
                <w:color w:val="000000"/>
                <w:kern w:val="22"/>
                <w:szCs w:val="22"/>
                <w:lang w:val="en-CA"/>
              </w:rPr>
              <w:t xml:space="preserve">Living well and in harmony with Mother </w:t>
            </w:r>
            <w:r w:rsidRPr="00D63577">
              <w:rPr>
                <w:snapToGrid w:val="0"/>
                <w:color w:val="000000"/>
                <w:kern w:val="22"/>
                <w:szCs w:val="22"/>
                <w:lang w:val="en-CA"/>
              </w:rPr>
              <w:t>Earth, aimed at the conservation and sustainable use of biodiversity</w:t>
            </w:r>
          </w:p>
        </w:tc>
        <w:tc>
          <w:tcPr>
            <w:tcW w:w="824" w:type="pct"/>
            <w:tcBorders>
              <w:top w:val="single" w:sz="6" w:space="0" w:color="CCCCCC"/>
              <w:left w:val="single" w:sz="6" w:space="0" w:color="CCCCCC"/>
              <w:bottom w:val="single" w:sz="6" w:space="0" w:color="CCCCCC"/>
            </w:tcBorders>
            <w:tcMar>
              <w:top w:w="30" w:type="dxa"/>
              <w:left w:w="45" w:type="dxa"/>
              <w:bottom w:w="30" w:type="dxa"/>
              <w:right w:w="45" w:type="dxa"/>
            </w:tcMar>
            <w:vAlign w:val="center"/>
          </w:tcPr>
          <w:p w14:paraId="059477D8"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Pr>
                <w:snapToGrid w:val="0"/>
                <w:color w:val="000000"/>
                <w:kern w:val="22"/>
                <w:szCs w:val="22"/>
                <w:lang w:val="en-CA"/>
              </w:rPr>
              <w:t>TBD</w:t>
            </w:r>
          </w:p>
        </w:tc>
        <w:tc>
          <w:tcPr>
            <w:tcW w:w="76" w:type="pct"/>
            <w:tcBorders>
              <w:top w:val="single" w:sz="6" w:space="0" w:color="CCCCCC"/>
              <w:bottom w:val="single" w:sz="6" w:space="0" w:color="CCCCCC"/>
              <w:right w:val="single" w:sz="6" w:space="0" w:color="CCCCCC"/>
            </w:tcBorders>
            <w:tcMar>
              <w:top w:w="30" w:type="dxa"/>
              <w:left w:w="45" w:type="dxa"/>
              <w:bottom w:w="30" w:type="dxa"/>
              <w:right w:w="45" w:type="dxa"/>
            </w:tcMar>
            <w:vAlign w:val="center"/>
          </w:tcPr>
          <w:p w14:paraId="2BC64F45"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p>
        </w:tc>
        <w:tc>
          <w:tcPr>
            <w:tcW w:w="1028" w:type="pct"/>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center"/>
          </w:tcPr>
          <w:p w14:paraId="71DBCD93" w14:textId="77777777" w:rsidR="00DA0273" w:rsidRPr="00060F33" w:rsidRDefault="00DA0273" w:rsidP="001F0CCB">
            <w:pPr>
              <w:pBdr>
                <w:top w:val="nil"/>
                <w:left w:val="nil"/>
                <w:bottom w:val="nil"/>
                <w:right w:val="nil"/>
                <w:between w:val="nil"/>
              </w:pBdr>
              <w:spacing w:before="60" w:after="60"/>
              <w:jc w:val="left"/>
              <w:rPr>
                <w:snapToGrid w:val="0"/>
                <w:color w:val="000000"/>
                <w:kern w:val="22"/>
                <w:szCs w:val="22"/>
                <w:lang w:val="en-CA"/>
              </w:rPr>
            </w:pPr>
            <w:r>
              <w:rPr>
                <w:snapToGrid w:val="0"/>
                <w:color w:val="000000"/>
                <w:kern w:val="22"/>
                <w:szCs w:val="22"/>
                <w:lang w:val="en-CA"/>
              </w:rPr>
              <w:t>TBD</w:t>
            </w:r>
          </w:p>
        </w:tc>
      </w:tr>
    </w:tbl>
    <w:p w14:paraId="46DD829D" w14:textId="77777777" w:rsidR="00DA0273" w:rsidRPr="00060F33" w:rsidRDefault="00DA0273" w:rsidP="0089447E">
      <w:pPr>
        <w:keepNext/>
        <w:spacing w:before="240" w:after="120"/>
        <w:jc w:val="center"/>
        <w:rPr>
          <w:b/>
          <w:bCs/>
          <w:caps/>
          <w:snapToGrid w:val="0"/>
          <w:szCs w:val="22"/>
        </w:rPr>
      </w:pPr>
      <w:bookmarkStart w:id="192" w:name="_Toc129621645"/>
      <w:r w:rsidRPr="00060F33">
        <w:rPr>
          <w:b/>
          <w:bCs/>
          <w:caps/>
          <w:snapToGrid w:val="0"/>
          <w:szCs w:val="22"/>
        </w:rPr>
        <w:t>IX.</w:t>
      </w:r>
      <w:r w:rsidRPr="00060F33">
        <w:rPr>
          <w:b/>
          <w:bCs/>
          <w:caps/>
          <w:snapToGrid w:val="0"/>
          <w:szCs w:val="22"/>
        </w:rPr>
        <w:tab/>
        <w:t>Measuring progress</w:t>
      </w:r>
      <w:bookmarkEnd w:id="192"/>
    </w:p>
    <w:p w14:paraId="3AE892B5"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The assessment of progress for the strategy needs to be linked with progress in achieving the goals and targets of the </w:t>
      </w:r>
      <w:r w:rsidRPr="00771E73">
        <w:rPr>
          <w:snapToGrid w:val="0"/>
          <w:color w:val="000000"/>
          <w:kern w:val="22"/>
          <w:szCs w:val="22"/>
        </w:rPr>
        <w:t>Kunming-Montreal Global Biodiversity Framework</w:t>
      </w:r>
      <w:r w:rsidRPr="00060F33">
        <w:rPr>
          <w:snapToGrid w:val="0"/>
          <w:color w:val="000000"/>
          <w:kern w:val="22"/>
          <w:szCs w:val="22"/>
        </w:rPr>
        <w:t xml:space="preserve">, as well as traditional metrics for </w:t>
      </w:r>
      <w:r w:rsidRPr="00060F33">
        <w:rPr>
          <w:snapToGrid w:val="0"/>
          <w:color w:val="000000"/>
          <w:kern w:val="22"/>
          <w:szCs w:val="22"/>
        </w:rPr>
        <w:lastRenderedPageBreak/>
        <w:t>reach and impact. Assessment also needs to capture important changes over time and to assess progress towards access to relevant information, and increased awareness and willingness to act for biodiversity.</w:t>
      </w:r>
    </w:p>
    <w:p w14:paraId="07510326" w14:textId="77777777" w:rsidR="00DA0273" w:rsidRPr="00060F33" w:rsidRDefault="00DA0273" w:rsidP="0089447E">
      <w:pPr>
        <w:keepNext/>
        <w:pBdr>
          <w:top w:val="nil"/>
          <w:left w:val="nil"/>
          <w:bottom w:val="nil"/>
          <w:right w:val="nil"/>
          <w:between w:val="nil"/>
        </w:pBdr>
        <w:tabs>
          <w:tab w:val="left" w:pos="360"/>
        </w:tabs>
        <w:spacing w:before="120" w:after="120"/>
        <w:jc w:val="center"/>
        <w:rPr>
          <w:b/>
          <w:bCs/>
          <w:snapToGrid w:val="0"/>
          <w:color w:val="000000"/>
          <w:kern w:val="22"/>
          <w:szCs w:val="22"/>
        </w:rPr>
      </w:pPr>
      <w:bookmarkStart w:id="193" w:name="_Toc129621646"/>
      <w:r w:rsidRPr="00060F33">
        <w:rPr>
          <w:b/>
          <w:bCs/>
          <w:snapToGrid w:val="0"/>
          <w:color w:val="000000"/>
          <w:kern w:val="22"/>
          <w:szCs w:val="22"/>
        </w:rPr>
        <w:t>A.</w:t>
      </w:r>
      <w:r w:rsidRPr="00060F33">
        <w:rPr>
          <w:b/>
          <w:bCs/>
          <w:snapToGrid w:val="0"/>
          <w:color w:val="000000"/>
          <w:kern w:val="22"/>
          <w:szCs w:val="22"/>
        </w:rPr>
        <w:tab/>
        <w:t>Campaigns, and media reach</w:t>
      </w:r>
      <w:bookmarkEnd w:id="193"/>
    </w:p>
    <w:p w14:paraId="49F270AB"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At the global level, partners to the coordination mechanism should report results of campaigns, and media reach (including social media reach), to the Executive Secretary. Initiatives can be captured by an aggregator tool, such as the People for our Planet Aggregator.</w:t>
      </w:r>
      <w:r w:rsidRPr="00610646">
        <w:rPr>
          <w:rStyle w:val="FootnoteReference"/>
        </w:rPr>
        <w:footnoteReference w:id="151"/>
      </w:r>
      <w:r w:rsidRPr="00060F33">
        <w:rPr>
          <w:snapToGrid w:val="0"/>
          <w:color w:val="000000"/>
          <w:kern w:val="22"/>
          <w:szCs w:val="22"/>
        </w:rPr>
        <w:t xml:space="preserve"> </w:t>
      </w:r>
    </w:p>
    <w:p w14:paraId="74D91BDF"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At the national level, Parties to the Convention should also gather the above data for inclusion in their national reporting.</w:t>
      </w:r>
    </w:p>
    <w:p w14:paraId="480F2C5A" w14:textId="77777777" w:rsidR="00DA0273" w:rsidRPr="00060F33" w:rsidRDefault="00DA0273" w:rsidP="0089447E">
      <w:pPr>
        <w:keepNext/>
        <w:pBdr>
          <w:top w:val="nil"/>
          <w:left w:val="nil"/>
          <w:bottom w:val="nil"/>
          <w:right w:val="nil"/>
          <w:between w:val="nil"/>
        </w:pBdr>
        <w:tabs>
          <w:tab w:val="left" w:pos="360"/>
        </w:tabs>
        <w:spacing w:before="120" w:after="120"/>
        <w:jc w:val="center"/>
        <w:rPr>
          <w:b/>
          <w:bCs/>
          <w:snapToGrid w:val="0"/>
          <w:color w:val="000000"/>
          <w:kern w:val="22"/>
          <w:szCs w:val="22"/>
        </w:rPr>
      </w:pPr>
      <w:bookmarkStart w:id="194" w:name="_Toc129621647"/>
      <w:r w:rsidRPr="00060F33">
        <w:rPr>
          <w:b/>
          <w:bCs/>
          <w:snapToGrid w:val="0"/>
          <w:color w:val="000000"/>
          <w:kern w:val="22"/>
          <w:szCs w:val="22"/>
        </w:rPr>
        <w:t>B.</w:t>
      </w:r>
      <w:r w:rsidRPr="00060F33">
        <w:rPr>
          <w:b/>
          <w:bCs/>
          <w:snapToGrid w:val="0"/>
          <w:color w:val="000000"/>
          <w:kern w:val="22"/>
          <w:szCs w:val="22"/>
        </w:rPr>
        <w:tab/>
        <w:t>Linkage with the targets</w:t>
      </w:r>
      <w:bookmarkEnd w:id="194"/>
    </w:p>
    <w:p w14:paraId="092559BB" w14:textId="77777777" w:rsidR="00DA0273" w:rsidRPr="009C5145"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060F33">
        <w:rPr>
          <w:snapToGrid w:val="0"/>
          <w:color w:val="000000"/>
          <w:kern w:val="22"/>
          <w:szCs w:val="22"/>
        </w:rPr>
        <w:t xml:space="preserve">The strategy will communicate progress in the </w:t>
      </w:r>
      <w:r w:rsidRPr="009C5145">
        <w:rPr>
          <w:snapToGrid w:val="0"/>
          <w:color w:val="000000"/>
          <w:kern w:val="22"/>
          <w:szCs w:val="22"/>
        </w:rPr>
        <w:t>implementation of the Kunming-Montreal Global Biodiversity Framework</w:t>
      </w:r>
      <w:r w:rsidRPr="009C5145" w:rsidDel="00184B11">
        <w:rPr>
          <w:snapToGrid w:val="0"/>
          <w:color w:val="000000"/>
          <w:kern w:val="22"/>
          <w:szCs w:val="22"/>
        </w:rPr>
        <w:t xml:space="preserve"> </w:t>
      </w:r>
      <w:r w:rsidRPr="009C5145">
        <w:rPr>
          <w:snapToGrid w:val="0"/>
          <w:color w:val="000000"/>
          <w:kern w:val="22"/>
          <w:szCs w:val="22"/>
        </w:rPr>
        <w:t>using the agreed-upon set of indicators under the monitoring and reporting framework.</w:t>
      </w:r>
      <w:r w:rsidRPr="00610646">
        <w:rPr>
          <w:rStyle w:val="FootnoteReference"/>
        </w:rPr>
        <w:footnoteReference w:id="152"/>
      </w:r>
      <w:r w:rsidRPr="009C5145">
        <w:rPr>
          <w:snapToGrid w:val="0"/>
          <w:color w:val="000000"/>
          <w:kern w:val="22"/>
          <w:szCs w:val="22"/>
        </w:rPr>
        <w:t xml:space="preserve"> Innovative and multi-channel ways of communicating the information will be developed, with modalities suitable for different Parties.</w:t>
      </w:r>
    </w:p>
    <w:p w14:paraId="78F01706"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color w:val="000000"/>
          <w:kern w:val="22"/>
          <w:szCs w:val="22"/>
        </w:rPr>
      </w:pPr>
      <w:r w:rsidRPr="009C5145">
        <w:rPr>
          <w:snapToGrid w:val="0"/>
          <w:color w:val="000000"/>
          <w:kern w:val="22"/>
          <w:szCs w:val="22"/>
        </w:rPr>
        <w:t>Reports by other bodies and organizations should also p</w:t>
      </w:r>
      <w:r w:rsidRPr="00060F33">
        <w:rPr>
          <w:snapToGrid w:val="0"/>
          <w:color w:val="000000"/>
          <w:kern w:val="22"/>
          <w:szCs w:val="22"/>
        </w:rPr>
        <w:t xml:space="preserve">rovide additional outreach on progress. The WWF </w:t>
      </w:r>
      <w:r w:rsidRPr="00060F33">
        <w:rPr>
          <w:i/>
          <w:iCs/>
          <w:snapToGrid w:val="0"/>
          <w:color w:val="000000"/>
          <w:kern w:val="22"/>
          <w:szCs w:val="22"/>
        </w:rPr>
        <w:t>Living Planet Report</w:t>
      </w:r>
      <w:r w:rsidRPr="00060F33">
        <w:rPr>
          <w:snapToGrid w:val="0"/>
          <w:color w:val="000000"/>
          <w:kern w:val="22"/>
          <w:szCs w:val="22"/>
        </w:rPr>
        <w:t xml:space="preserve">, the publications of the </w:t>
      </w:r>
      <w:r w:rsidRPr="00060F33">
        <w:rPr>
          <w:snapToGrid w:val="0"/>
          <w:kern w:val="22"/>
          <w:szCs w:val="22"/>
        </w:rPr>
        <w:t>World Economic Forum</w:t>
      </w:r>
      <w:r w:rsidRPr="00060F33">
        <w:rPr>
          <w:snapToGrid w:val="0"/>
          <w:color w:val="000000"/>
          <w:kern w:val="22"/>
          <w:szCs w:val="22"/>
        </w:rPr>
        <w:t xml:space="preserve">, the </w:t>
      </w:r>
      <w:r w:rsidRPr="00060F33">
        <w:rPr>
          <w:i/>
          <w:iCs/>
          <w:snapToGrid w:val="0"/>
          <w:color w:val="000000"/>
          <w:kern w:val="22"/>
          <w:szCs w:val="22"/>
        </w:rPr>
        <w:t>Human Development Report</w:t>
      </w:r>
      <w:r w:rsidRPr="00060F33">
        <w:rPr>
          <w:snapToGrid w:val="0"/>
          <w:color w:val="000000"/>
          <w:kern w:val="22"/>
          <w:szCs w:val="22"/>
        </w:rPr>
        <w:t xml:space="preserve"> published by UNDP, and the UNEP </w:t>
      </w:r>
      <w:r w:rsidRPr="00060F33">
        <w:rPr>
          <w:i/>
          <w:iCs/>
          <w:snapToGrid w:val="0"/>
          <w:color w:val="000000"/>
          <w:kern w:val="22"/>
          <w:szCs w:val="22"/>
        </w:rPr>
        <w:t>Global Environment Outlook</w:t>
      </w:r>
      <w:r w:rsidRPr="00060F33">
        <w:rPr>
          <w:snapToGrid w:val="0"/>
          <w:color w:val="000000"/>
          <w:kern w:val="22"/>
          <w:szCs w:val="22"/>
        </w:rPr>
        <w:t xml:space="preserve"> could all devote issues, during the period of the </w:t>
      </w:r>
      <w:r>
        <w:rPr>
          <w:snapToGrid w:val="0"/>
          <w:color w:val="000000"/>
          <w:kern w:val="22"/>
          <w:szCs w:val="22"/>
        </w:rPr>
        <w:t>Kunming-Montreal G</w:t>
      </w:r>
      <w:r w:rsidRPr="00060F33">
        <w:rPr>
          <w:snapToGrid w:val="0"/>
          <w:color w:val="000000"/>
          <w:kern w:val="22"/>
          <w:szCs w:val="22"/>
        </w:rPr>
        <w:t xml:space="preserve">lobal </w:t>
      </w:r>
      <w:r>
        <w:rPr>
          <w:snapToGrid w:val="0"/>
          <w:color w:val="000000"/>
          <w:kern w:val="22"/>
          <w:szCs w:val="22"/>
        </w:rPr>
        <w:t>B</w:t>
      </w:r>
      <w:r w:rsidRPr="00060F33">
        <w:rPr>
          <w:snapToGrid w:val="0"/>
          <w:color w:val="000000"/>
          <w:kern w:val="22"/>
          <w:szCs w:val="22"/>
        </w:rPr>
        <w:t xml:space="preserve">iodiversity </w:t>
      </w:r>
      <w:r>
        <w:rPr>
          <w:snapToGrid w:val="0"/>
          <w:color w:val="000000"/>
          <w:kern w:val="22"/>
          <w:szCs w:val="22"/>
        </w:rPr>
        <w:t>F</w:t>
      </w:r>
      <w:r w:rsidRPr="00060F33">
        <w:rPr>
          <w:snapToGrid w:val="0"/>
          <w:color w:val="000000"/>
          <w:kern w:val="22"/>
          <w:szCs w:val="22"/>
        </w:rPr>
        <w:t xml:space="preserve">ramework, to results under the </w:t>
      </w:r>
      <w:r>
        <w:rPr>
          <w:snapToGrid w:val="0"/>
          <w:color w:val="000000"/>
          <w:kern w:val="22"/>
          <w:szCs w:val="22"/>
        </w:rPr>
        <w:t>F</w:t>
      </w:r>
      <w:r w:rsidRPr="00060F33">
        <w:rPr>
          <w:snapToGrid w:val="0"/>
          <w:color w:val="000000"/>
          <w:kern w:val="22"/>
          <w:szCs w:val="22"/>
        </w:rPr>
        <w:t>ramework.</w:t>
      </w:r>
    </w:p>
    <w:p w14:paraId="2DB034F2" w14:textId="77777777" w:rsidR="00DA0273" w:rsidRPr="00060F33" w:rsidRDefault="00DA0273" w:rsidP="0089447E">
      <w:pPr>
        <w:keepNext/>
        <w:spacing w:before="120" w:after="120"/>
        <w:jc w:val="center"/>
        <w:rPr>
          <w:b/>
          <w:bCs/>
          <w:caps/>
          <w:snapToGrid w:val="0"/>
          <w:szCs w:val="22"/>
        </w:rPr>
      </w:pPr>
      <w:bookmarkStart w:id="195" w:name="_Toc129621648"/>
      <w:bookmarkStart w:id="196" w:name="_Hlk89089611"/>
      <w:r w:rsidRPr="00060F33">
        <w:rPr>
          <w:b/>
          <w:bCs/>
          <w:caps/>
          <w:snapToGrid w:val="0"/>
          <w:szCs w:val="22"/>
        </w:rPr>
        <w:t>X.</w:t>
      </w:r>
      <w:r w:rsidRPr="00060F33">
        <w:rPr>
          <w:b/>
          <w:bCs/>
          <w:caps/>
          <w:snapToGrid w:val="0"/>
          <w:szCs w:val="22"/>
        </w:rPr>
        <w:tab/>
        <w:t>Resources</w:t>
      </w:r>
      <w:bookmarkEnd w:id="195"/>
    </w:p>
    <w:bookmarkEnd w:id="196"/>
    <w:p w14:paraId="5BEBF3D1" w14:textId="77777777" w:rsidR="00DA0273" w:rsidRPr="00060F33" w:rsidRDefault="00DA0273" w:rsidP="00950BE4">
      <w:pPr>
        <w:pStyle w:val="ListParagraph"/>
        <w:numPr>
          <w:ilvl w:val="0"/>
          <w:numId w:val="54"/>
        </w:numPr>
        <w:pBdr>
          <w:top w:val="nil"/>
          <w:left w:val="nil"/>
          <w:bottom w:val="nil"/>
          <w:right w:val="nil"/>
          <w:between w:val="nil"/>
        </w:pBdr>
        <w:spacing w:before="120" w:after="120"/>
        <w:ind w:left="0" w:firstLine="0"/>
        <w:contextualSpacing w:val="0"/>
        <w:rPr>
          <w:snapToGrid w:val="0"/>
        </w:rPr>
      </w:pPr>
      <w:r w:rsidRPr="00060F33">
        <w:rPr>
          <w:snapToGrid w:val="0"/>
          <w:color w:val="000000"/>
          <w:kern w:val="22"/>
          <w:szCs w:val="22"/>
        </w:rPr>
        <w:t>Resources will be needed to support the Executive Secretary and at the national level, with an important focus on the needs of developing countries, especially small island developing States</w:t>
      </w:r>
      <w:r>
        <w:rPr>
          <w:snapToGrid w:val="0"/>
          <w:color w:val="000000"/>
          <w:kern w:val="22"/>
          <w:szCs w:val="22"/>
        </w:rPr>
        <w:t>,</w:t>
      </w:r>
      <w:r w:rsidRPr="00060F33">
        <w:rPr>
          <w:snapToGrid w:val="0"/>
          <w:color w:val="000000"/>
          <w:kern w:val="22"/>
          <w:szCs w:val="22"/>
        </w:rPr>
        <w:t xml:space="preserve"> and economies in transition. The level required will be determined as the communications strategy is further elaborated. </w:t>
      </w:r>
    </w:p>
    <w:bookmarkEnd w:id="158"/>
    <w:bookmarkEnd w:id="159"/>
    <w:p w14:paraId="11BDB70C" w14:textId="77777777" w:rsidR="00DA0273" w:rsidRDefault="00DA0273" w:rsidP="0037418A">
      <w:pPr>
        <w:pStyle w:val="Para1"/>
        <w:numPr>
          <w:ilvl w:val="0"/>
          <w:numId w:val="0"/>
        </w:numPr>
        <w:shd w:val="clear" w:color="auto" w:fill="FFFFFF" w:themeFill="background1"/>
        <w:jc w:val="center"/>
        <w:sectPr w:rsidR="00DA0273" w:rsidSect="00441700">
          <w:footnotePr>
            <w:numRestart w:val="eachSect"/>
          </w:footnotePr>
          <w:pgSz w:w="12240" w:h="15840"/>
          <w:pgMar w:top="567" w:right="1440" w:bottom="1134" w:left="1440" w:header="709" w:footer="709" w:gutter="0"/>
          <w:cols w:space="708"/>
          <w:docGrid w:linePitch="360"/>
        </w:sectPr>
      </w:pPr>
    </w:p>
    <w:p w14:paraId="2CA6C1C9" w14:textId="77777777" w:rsidR="00DA0273" w:rsidRPr="0089447E" w:rsidRDefault="00DA0273" w:rsidP="0089447E">
      <w:pPr>
        <w:pStyle w:val="decision"/>
        <w:rPr>
          <w:b w:val="0"/>
          <w:bCs/>
          <w:caps/>
        </w:rPr>
      </w:pPr>
      <w:bookmarkStart w:id="197" w:name="_Toc150438813"/>
      <w:bookmarkStart w:id="198" w:name="_Toc150670513"/>
      <w:bookmarkStart w:id="199" w:name="_Toc150670623"/>
      <w:bookmarkStart w:id="200" w:name="_Toc150761125"/>
      <w:r w:rsidRPr="0089447E">
        <w:rPr>
          <w:rStyle w:val="Heading2Char"/>
          <w:rFonts w:eastAsia="Malgun Gothic"/>
          <w:b/>
          <w:bCs w:val="0"/>
        </w:rPr>
        <w:lastRenderedPageBreak/>
        <w:t>15/15.</w:t>
      </w:r>
      <w:r w:rsidRPr="0089447E">
        <w:rPr>
          <w:rStyle w:val="Heading2Char"/>
          <w:rFonts w:eastAsia="Malgun Gothic"/>
          <w:b/>
          <w:bCs w:val="0"/>
        </w:rPr>
        <w:tab/>
        <w:t>Financial mechanism</w:t>
      </w:r>
      <w:bookmarkEnd w:id="197"/>
      <w:bookmarkEnd w:id="198"/>
      <w:bookmarkEnd w:id="199"/>
      <w:bookmarkEnd w:id="200"/>
      <w:r w:rsidRPr="0089447E">
        <w:rPr>
          <w:b w:val="0"/>
          <w:bCs/>
          <w:caps/>
        </w:rPr>
        <w:t xml:space="preserve"> </w:t>
      </w:r>
    </w:p>
    <w:p w14:paraId="1464F68B" w14:textId="77777777" w:rsidR="00DA0273" w:rsidRPr="00D71BEC" w:rsidRDefault="00DA0273" w:rsidP="00FB5720">
      <w:pPr>
        <w:suppressLineNumbers/>
        <w:suppressAutoHyphens/>
        <w:adjustRightInd w:val="0"/>
        <w:snapToGrid w:val="0"/>
        <w:spacing w:before="120" w:after="120"/>
        <w:ind w:firstLine="720"/>
        <w:rPr>
          <w:snapToGrid w:val="0"/>
          <w:kern w:val="22"/>
          <w:szCs w:val="22"/>
          <w:lang w:eastAsia="zh-CN"/>
        </w:rPr>
      </w:pPr>
      <w:r w:rsidRPr="00D71BEC">
        <w:rPr>
          <w:i/>
          <w:snapToGrid w:val="0"/>
          <w:kern w:val="22"/>
          <w:szCs w:val="22"/>
          <w:lang w:eastAsia="zh-CN"/>
        </w:rPr>
        <w:t>The Conference of the Parties</w:t>
      </w:r>
      <w:r w:rsidRPr="00D71BEC">
        <w:rPr>
          <w:snapToGrid w:val="0"/>
          <w:kern w:val="22"/>
          <w:szCs w:val="22"/>
          <w:lang w:eastAsia="zh-CN"/>
        </w:rPr>
        <w:t>,</w:t>
      </w:r>
    </w:p>
    <w:p w14:paraId="0052E0A8" w14:textId="77777777" w:rsidR="00DA0273" w:rsidRDefault="00DA0273" w:rsidP="00FB5720">
      <w:pPr>
        <w:suppressLineNumbers/>
        <w:suppressAutoHyphens/>
        <w:adjustRightInd w:val="0"/>
        <w:snapToGrid w:val="0"/>
        <w:spacing w:before="120" w:after="120"/>
        <w:ind w:firstLine="720"/>
        <w:rPr>
          <w:snapToGrid w:val="0"/>
          <w:kern w:val="22"/>
          <w:szCs w:val="22"/>
          <w:lang w:val="en-US" w:eastAsia="zh-CN"/>
        </w:rPr>
      </w:pPr>
      <w:r w:rsidRPr="00D71BEC">
        <w:rPr>
          <w:i/>
          <w:iCs/>
          <w:snapToGrid w:val="0"/>
          <w:kern w:val="22"/>
          <w:szCs w:val="22"/>
          <w:lang w:val="en-US" w:eastAsia="zh-CN"/>
        </w:rPr>
        <w:t>Reaffirming</w:t>
      </w:r>
      <w:r w:rsidRPr="00D71BEC">
        <w:rPr>
          <w:snapToGrid w:val="0"/>
          <w:kern w:val="22"/>
          <w:szCs w:val="22"/>
          <w:lang w:val="en-US" w:eastAsia="zh-CN"/>
        </w:rPr>
        <w:t xml:space="preserve"> the importance of the full application of </w:t>
      </w:r>
      <w:r>
        <w:rPr>
          <w:snapToGrid w:val="0"/>
          <w:kern w:val="22"/>
          <w:szCs w:val="22"/>
          <w:lang w:val="en-US" w:eastAsia="zh-CN"/>
        </w:rPr>
        <w:t xml:space="preserve">the </w:t>
      </w:r>
      <w:r w:rsidRPr="00D71BEC">
        <w:rPr>
          <w:snapToGrid w:val="0"/>
          <w:kern w:val="22"/>
          <w:szCs w:val="22"/>
          <w:lang w:val="en-US" w:eastAsia="zh-CN"/>
        </w:rPr>
        <w:t xml:space="preserve">provisions of Article 21 </w:t>
      </w:r>
      <w:r w:rsidRPr="00855972">
        <w:rPr>
          <w:snapToGrid w:val="0"/>
          <w:kern w:val="22"/>
          <w:szCs w:val="22"/>
          <w:lang w:val="en-US" w:eastAsia="zh-CN"/>
        </w:rPr>
        <w:t>and of access</w:t>
      </w:r>
      <w:r w:rsidRPr="00D71BEC">
        <w:rPr>
          <w:snapToGrid w:val="0"/>
          <w:kern w:val="22"/>
          <w:szCs w:val="22"/>
          <w:lang w:val="en-US" w:eastAsia="zh-CN"/>
        </w:rPr>
        <w:t xml:space="preserve"> to the financial mechanism for all eligible Parties for the full implementation of the Convention,</w:t>
      </w:r>
      <w:r w:rsidRPr="00D71BEC">
        <w:rPr>
          <w:snapToGrid w:val="0"/>
          <w:kern w:val="22"/>
          <w:szCs w:val="22"/>
          <w:lang w:eastAsia="zh-CN"/>
        </w:rPr>
        <w:t xml:space="preserve"> and </w:t>
      </w:r>
      <w:r w:rsidRPr="000E778E">
        <w:rPr>
          <w:snapToGrid w:val="0"/>
          <w:kern w:val="22"/>
          <w:szCs w:val="22"/>
          <w:lang w:eastAsia="zh-CN"/>
        </w:rPr>
        <w:t>welcoming</w:t>
      </w:r>
      <w:r w:rsidRPr="00D71BEC">
        <w:rPr>
          <w:snapToGrid w:val="0"/>
          <w:kern w:val="22"/>
          <w:szCs w:val="22"/>
          <w:lang w:eastAsia="zh-CN"/>
        </w:rPr>
        <w:t xml:space="preserve"> the valuable role of the Global Environment Facility as the institutional structure operating the financial mechanism of the Convention on an interim and ongoing basis</w:t>
      </w:r>
      <w:r w:rsidRPr="00D71BEC">
        <w:rPr>
          <w:snapToGrid w:val="0"/>
          <w:kern w:val="22"/>
          <w:szCs w:val="22"/>
          <w:lang w:val="en-US" w:eastAsia="zh-CN"/>
        </w:rPr>
        <w:t>,</w:t>
      </w:r>
    </w:p>
    <w:p w14:paraId="06813C51" w14:textId="77777777" w:rsidR="00DA0273" w:rsidRPr="00D71BEC" w:rsidRDefault="00DA0273" w:rsidP="00E3358D">
      <w:pPr>
        <w:suppressLineNumbers/>
        <w:suppressAutoHyphens/>
        <w:adjustRightInd w:val="0"/>
        <w:snapToGrid w:val="0"/>
        <w:spacing w:before="120" w:after="120"/>
        <w:ind w:firstLine="720"/>
        <w:rPr>
          <w:snapToGrid w:val="0"/>
          <w:kern w:val="22"/>
          <w:szCs w:val="22"/>
          <w:lang w:eastAsia="zh-CN"/>
        </w:rPr>
      </w:pPr>
      <w:r w:rsidRPr="00410F56">
        <w:rPr>
          <w:i/>
          <w:iCs/>
          <w:snapToGrid w:val="0"/>
          <w:kern w:val="22"/>
          <w:szCs w:val="22"/>
          <w:lang w:eastAsia="zh-CN"/>
        </w:rPr>
        <w:t>Emphasizing</w:t>
      </w:r>
      <w:r>
        <w:rPr>
          <w:snapToGrid w:val="0"/>
          <w:kern w:val="22"/>
          <w:szCs w:val="22"/>
          <w:lang w:eastAsia="zh-CN"/>
        </w:rPr>
        <w:t xml:space="preserve"> the importance for </w:t>
      </w:r>
      <w:r w:rsidRPr="00E3358D">
        <w:rPr>
          <w:snapToGrid w:val="0"/>
          <w:kern w:val="22"/>
          <w:szCs w:val="22"/>
          <w:lang w:eastAsia="zh-CN"/>
        </w:rPr>
        <w:t>the Global Environment Facility, as appropriate, to ensure that its policies and procedures related to the consideration and review of funding proposals be duly followed in an efficient and transparent manner</w:t>
      </w:r>
      <w:r>
        <w:rPr>
          <w:snapToGrid w:val="0"/>
          <w:kern w:val="22"/>
          <w:szCs w:val="22"/>
          <w:lang w:eastAsia="zh-CN"/>
        </w:rPr>
        <w:t>,</w:t>
      </w:r>
    </w:p>
    <w:p w14:paraId="26F39425" w14:textId="77777777" w:rsidR="00DA0273" w:rsidRPr="00D71BEC" w:rsidRDefault="00DA0273" w:rsidP="00FB5720">
      <w:pPr>
        <w:suppressLineNumbers/>
        <w:suppressAutoHyphens/>
        <w:adjustRightInd w:val="0"/>
        <w:snapToGrid w:val="0"/>
        <w:spacing w:before="120" w:after="120"/>
        <w:ind w:firstLine="720"/>
        <w:rPr>
          <w:snapToGrid w:val="0"/>
          <w:kern w:val="22"/>
          <w:szCs w:val="22"/>
        </w:rPr>
      </w:pPr>
      <w:r w:rsidRPr="00D71BEC">
        <w:rPr>
          <w:i/>
          <w:snapToGrid w:val="0"/>
          <w:kern w:val="22"/>
          <w:szCs w:val="22"/>
        </w:rPr>
        <w:t xml:space="preserve">Recalling </w:t>
      </w:r>
      <w:r w:rsidRPr="00D71BEC">
        <w:rPr>
          <w:snapToGrid w:val="0"/>
          <w:kern w:val="22"/>
          <w:szCs w:val="22"/>
        </w:rPr>
        <w:t>Article 21, paragraph 3, of the Convention, providing that the Conference of the Parties shall review the effectiveness of the financial mechanism,</w:t>
      </w:r>
    </w:p>
    <w:p w14:paraId="69871170" w14:textId="77777777" w:rsidR="00DA0273" w:rsidRPr="00D71BEC" w:rsidRDefault="00DA0273" w:rsidP="00FB5720">
      <w:pPr>
        <w:suppressLineNumbers/>
        <w:suppressAutoHyphens/>
        <w:adjustRightInd w:val="0"/>
        <w:snapToGrid w:val="0"/>
        <w:spacing w:before="120" w:after="120"/>
        <w:ind w:firstLine="720"/>
        <w:rPr>
          <w:i/>
          <w:snapToGrid w:val="0"/>
          <w:kern w:val="22"/>
          <w:szCs w:val="22"/>
        </w:rPr>
      </w:pPr>
      <w:r w:rsidRPr="00D71BEC">
        <w:rPr>
          <w:i/>
          <w:snapToGrid w:val="0"/>
          <w:kern w:val="22"/>
          <w:szCs w:val="22"/>
        </w:rPr>
        <w:t xml:space="preserve">Reaffirming </w:t>
      </w:r>
      <w:r w:rsidRPr="00D71BEC">
        <w:rPr>
          <w:snapToGrid w:val="0"/>
          <w:kern w:val="22"/>
          <w:szCs w:val="22"/>
        </w:rPr>
        <w:t xml:space="preserve">the commitment of the Conference of the Parties to periodically review the effectiveness of the financial mechanism in implementing the Convention in the memorandum of understanding with the Council of the Global Environment Facility contained in </w:t>
      </w:r>
      <w:r w:rsidRPr="00D71BEC">
        <w:rPr>
          <w:snapToGrid w:val="0"/>
          <w:kern w:val="22"/>
          <w:szCs w:val="22"/>
          <w:lang w:eastAsia="zh-CN"/>
        </w:rPr>
        <w:t>decision III/8,</w:t>
      </w:r>
    </w:p>
    <w:p w14:paraId="7DB4DFF8" w14:textId="77777777" w:rsidR="00DA0273" w:rsidRPr="00D71BEC" w:rsidRDefault="00DA0273" w:rsidP="00FB5720">
      <w:pPr>
        <w:suppressLineNumbers/>
        <w:suppressAutoHyphens/>
        <w:adjustRightInd w:val="0"/>
        <w:snapToGrid w:val="0"/>
        <w:spacing w:before="120" w:after="120"/>
        <w:ind w:firstLine="720"/>
        <w:rPr>
          <w:snapToGrid w:val="0"/>
          <w:kern w:val="22"/>
          <w:szCs w:val="22"/>
          <w:lang w:eastAsia="zh-CN"/>
        </w:rPr>
      </w:pPr>
      <w:r w:rsidRPr="00D71BEC">
        <w:rPr>
          <w:i/>
          <w:snapToGrid w:val="0"/>
          <w:kern w:val="22"/>
          <w:szCs w:val="22"/>
          <w:lang w:eastAsia="zh-CN"/>
        </w:rPr>
        <w:t>Reaffirming also</w:t>
      </w:r>
      <w:r w:rsidRPr="00D71BEC">
        <w:rPr>
          <w:snapToGrid w:val="0"/>
          <w:kern w:val="22"/>
          <w:szCs w:val="22"/>
          <w:lang w:eastAsia="zh-CN"/>
        </w:rPr>
        <w:t xml:space="preserve"> decision XI/5, paragraph 7, on the quadrennial arrangement for the review of the effectiveness of the financial mechanism,</w:t>
      </w:r>
    </w:p>
    <w:p w14:paraId="1F01335E" w14:textId="77777777" w:rsidR="00DA0273" w:rsidRPr="00D71BEC" w:rsidRDefault="00DA0273" w:rsidP="00FB5720">
      <w:pPr>
        <w:suppressLineNumbers/>
        <w:suppressAutoHyphens/>
        <w:adjustRightInd w:val="0"/>
        <w:snapToGrid w:val="0"/>
        <w:spacing w:before="120" w:after="120"/>
        <w:ind w:firstLine="720"/>
        <w:rPr>
          <w:snapToGrid w:val="0"/>
          <w:kern w:val="22"/>
          <w:szCs w:val="22"/>
          <w:lang w:eastAsia="zh-CN"/>
        </w:rPr>
      </w:pPr>
      <w:r w:rsidRPr="00D71BEC">
        <w:rPr>
          <w:i/>
          <w:snapToGrid w:val="0"/>
          <w:kern w:val="22"/>
          <w:szCs w:val="22"/>
          <w:lang w:eastAsia="zh-CN"/>
        </w:rPr>
        <w:t xml:space="preserve">Recalling </w:t>
      </w:r>
      <w:r w:rsidRPr="00D71BEC">
        <w:rPr>
          <w:snapToGrid w:val="0"/>
          <w:kern w:val="22"/>
          <w:szCs w:val="22"/>
          <w:lang w:eastAsia="zh-CN"/>
        </w:rPr>
        <w:t>decision 14/23, paragraph 13, regarding the terms of reference for the sixth review of the effectiveness of the financial mechanism, for consideration by the Conference of the Parties at its fifteenth meeting,</w:t>
      </w:r>
    </w:p>
    <w:p w14:paraId="0C1C63CF" w14:textId="77777777" w:rsidR="00DA0273" w:rsidRPr="00D71BEC" w:rsidRDefault="00DA0273" w:rsidP="00FB5720">
      <w:pPr>
        <w:suppressLineNumbers/>
        <w:suppressAutoHyphens/>
        <w:adjustRightInd w:val="0"/>
        <w:snapToGrid w:val="0"/>
        <w:spacing w:before="120" w:after="120"/>
        <w:ind w:firstLine="720"/>
        <w:rPr>
          <w:snapToGrid w:val="0"/>
          <w:kern w:val="22"/>
          <w:szCs w:val="22"/>
          <w:lang w:eastAsia="zh-CN"/>
        </w:rPr>
      </w:pPr>
      <w:r w:rsidRPr="00D71BEC">
        <w:rPr>
          <w:i/>
          <w:snapToGrid w:val="0"/>
          <w:kern w:val="22"/>
          <w:szCs w:val="22"/>
          <w:lang w:eastAsia="zh-CN"/>
        </w:rPr>
        <w:t>Reaffirming</w:t>
      </w:r>
      <w:r w:rsidRPr="00D71BEC">
        <w:rPr>
          <w:snapToGrid w:val="0"/>
          <w:kern w:val="22"/>
          <w:szCs w:val="22"/>
          <w:lang w:eastAsia="zh-CN"/>
        </w:rPr>
        <w:t xml:space="preserve"> the importance of the review of the effectiveness of the financial mechanism in the implementation of the Convention and its Protocols, strategies and programmes,</w:t>
      </w:r>
    </w:p>
    <w:p w14:paraId="382DBAB1" w14:textId="77777777" w:rsidR="00DA0273" w:rsidRPr="00D71BEC" w:rsidRDefault="00DA0273" w:rsidP="00FB5720">
      <w:pPr>
        <w:suppressLineNumbers/>
        <w:suppressAutoHyphens/>
        <w:adjustRightInd w:val="0"/>
        <w:snapToGrid w:val="0"/>
        <w:spacing w:before="120" w:after="120"/>
        <w:ind w:firstLine="720"/>
        <w:rPr>
          <w:b/>
          <w:snapToGrid w:val="0"/>
          <w:kern w:val="22"/>
          <w:szCs w:val="22"/>
        </w:rPr>
      </w:pPr>
      <w:r w:rsidRPr="00D71BEC">
        <w:rPr>
          <w:snapToGrid w:val="0"/>
          <w:kern w:val="22"/>
          <w:szCs w:val="22"/>
          <w:lang w:eastAsia="zh-CN"/>
        </w:rPr>
        <w:t>1.</w:t>
      </w:r>
      <w:r w:rsidRPr="00D71BEC">
        <w:rPr>
          <w:i/>
          <w:snapToGrid w:val="0"/>
          <w:kern w:val="22"/>
          <w:szCs w:val="22"/>
          <w:lang w:eastAsia="zh-CN"/>
        </w:rPr>
        <w:tab/>
        <w:t>Welcomes</w:t>
      </w:r>
      <w:r w:rsidRPr="00D71BEC">
        <w:rPr>
          <w:snapToGrid w:val="0"/>
          <w:kern w:val="22"/>
          <w:szCs w:val="22"/>
          <w:lang w:eastAsia="zh-CN"/>
        </w:rPr>
        <w:t xml:space="preserve"> the </w:t>
      </w:r>
      <w:r w:rsidRPr="00D71BEC">
        <w:rPr>
          <w:snapToGrid w:val="0"/>
          <w:kern w:val="22"/>
          <w:szCs w:val="22"/>
        </w:rPr>
        <w:t xml:space="preserve">report of the Council of the Global Environment Facility to the Conference of </w:t>
      </w:r>
      <w:r w:rsidRPr="00D71BEC">
        <w:rPr>
          <w:snapToGrid w:val="0"/>
          <w:kern w:val="22"/>
          <w:szCs w:val="22"/>
          <w:lang w:eastAsia="zh-CN"/>
        </w:rPr>
        <w:t>the</w:t>
      </w:r>
      <w:r w:rsidRPr="00D71BEC">
        <w:rPr>
          <w:snapToGrid w:val="0"/>
          <w:kern w:val="22"/>
          <w:szCs w:val="22"/>
        </w:rPr>
        <w:t xml:space="preserve"> Parties at its fifteenth meeting;</w:t>
      </w:r>
      <w:r w:rsidRPr="00610646">
        <w:rPr>
          <w:rStyle w:val="FootnoteReference"/>
        </w:rPr>
        <w:footnoteReference w:id="153"/>
      </w:r>
    </w:p>
    <w:p w14:paraId="4D5FDE82" w14:textId="77777777" w:rsidR="00DA0273" w:rsidRPr="00D71BEC" w:rsidRDefault="00DA0273" w:rsidP="00FB5720">
      <w:pPr>
        <w:suppressLineNumbers/>
        <w:suppressAutoHyphens/>
        <w:adjustRightInd w:val="0"/>
        <w:snapToGrid w:val="0"/>
        <w:spacing w:before="120" w:after="120"/>
        <w:ind w:firstLine="720"/>
        <w:rPr>
          <w:snapToGrid w:val="0"/>
          <w:kern w:val="22"/>
          <w:szCs w:val="22"/>
        </w:rPr>
      </w:pPr>
      <w:r w:rsidRPr="00D71BEC">
        <w:rPr>
          <w:snapToGrid w:val="0"/>
          <w:kern w:val="22"/>
          <w:szCs w:val="22"/>
        </w:rPr>
        <w:t>2.</w:t>
      </w:r>
      <w:r w:rsidRPr="00D71BEC">
        <w:rPr>
          <w:i/>
          <w:snapToGrid w:val="0"/>
          <w:kern w:val="22"/>
          <w:szCs w:val="22"/>
        </w:rPr>
        <w:tab/>
        <w:t>Takes note</w:t>
      </w:r>
      <w:r w:rsidRPr="00D71BEC">
        <w:rPr>
          <w:snapToGrid w:val="0"/>
          <w:kern w:val="22"/>
          <w:szCs w:val="22"/>
        </w:rPr>
        <w:t xml:space="preserve"> of the </w:t>
      </w:r>
      <w:r w:rsidRPr="00855972">
        <w:rPr>
          <w:bCs/>
          <w:snapToGrid w:val="0"/>
          <w:kern w:val="22"/>
          <w:szCs w:val="22"/>
        </w:rPr>
        <w:t>importance of a realistic</w:t>
      </w:r>
      <w:r w:rsidRPr="00D71BEC">
        <w:rPr>
          <w:snapToGrid w:val="0"/>
          <w:kern w:val="22"/>
          <w:szCs w:val="22"/>
        </w:rPr>
        <w:t xml:space="preserve"> assessment of funding necessary and available for the implementation of the Convention and its Protocols for the eighth replenishment period of the Global Environment Facility, aligned with </w:t>
      </w:r>
      <w:r w:rsidRPr="00D71BEC">
        <w:rPr>
          <w:snapToGrid w:val="0"/>
          <w:kern w:val="22"/>
          <w:szCs w:val="22"/>
          <w:lang w:eastAsia="zh-CN"/>
        </w:rPr>
        <w:t>the</w:t>
      </w:r>
      <w:r w:rsidRPr="00D71BEC">
        <w:rPr>
          <w:snapToGrid w:val="0"/>
          <w:kern w:val="22"/>
          <w:szCs w:val="22"/>
        </w:rPr>
        <w:t xml:space="preserve"> draft post-2020 global biodiversity framework</w:t>
      </w:r>
      <w:r w:rsidRPr="00D71BEC">
        <w:rPr>
          <w:bCs/>
          <w:snapToGrid w:val="0"/>
          <w:kern w:val="22"/>
          <w:szCs w:val="22"/>
        </w:rPr>
        <w:t xml:space="preserve"> at the time of the </w:t>
      </w:r>
      <w:r>
        <w:rPr>
          <w:bCs/>
          <w:snapToGrid w:val="0"/>
          <w:kern w:val="22"/>
          <w:szCs w:val="22"/>
        </w:rPr>
        <w:t>conclusion</w:t>
      </w:r>
      <w:r w:rsidRPr="00D71BEC">
        <w:rPr>
          <w:bCs/>
          <w:snapToGrid w:val="0"/>
          <w:kern w:val="22"/>
          <w:szCs w:val="22"/>
        </w:rPr>
        <w:t xml:space="preserve"> of the eighth replenishment</w:t>
      </w:r>
      <w:r w:rsidRPr="00D71BEC">
        <w:rPr>
          <w:snapToGrid w:val="0"/>
          <w:kern w:val="22"/>
          <w:szCs w:val="22"/>
        </w:rPr>
        <w:t>;</w:t>
      </w:r>
      <w:r w:rsidRPr="00610646">
        <w:rPr>
          <w:rStyle w:val="FootnoteReference"/>
        </w:rPr>
        <w:footnoteReference w:id="154"/>
      </w:r>
    </w:p>
    <w:p w14:paraId="71E802A1" w14:textId="77777777" w:rsidR="00DA0273" w:rsidRPr="00D71BEC" w:rsidRDefault="00DA0273" w:rsidP="00FB5720">
      <w:pPr>
        <w:suppressLineNumbers/>
        <w:suppressAutoHyphens/>
        <w:adjustRightInd w:val="0"/>
        <w:snapToGrid w:val="0"/>
        <w:spacing w:before="120" w:after="120"/>
        <w:ind w:firstLine="709"/>
        <w:rPr>
          <w:bCs/>
          <w:snapToGrid w:val="0"/>
          <w:kern w:val="22"/>
          <w:szCs w:val="22"/>
        </w:rPr>
      </w:pPr>
      <w:r w:rsidRPr="00D71BEC">
        <w:rPr>
          <w:bCs/>
          <w:snapToGrid w:val="0"/>
          <w:kern w:val="22"/>
          <w:szCs w:val="22"/>
        </w:rPr>
        <w:t>3.</w:t>
      </w:r>
      <w:r w:rsidRPr="00D71BEC">
        <w:rPr>
          <w:bCs/>
          <w:snapToGrid w:val="0"/>
          <w:kern w:val="22"/>
          <w:szCs w:val="22"/>
        </w:rPr>
        <w:tab/>
      </w:r>
      <w:r w:rsidRPr="00D71BEC">
        <w:rPr>
          <w:bCs/>
          <w:i/>
          <w:iCs/>
          <w:snapToGrid w:val="0"/>
          <w:kern w:val="22"/>
          <w:szCs w:val="22"/>
        </w:rPr>
        <w:t>Requests</w:t>
      </w:r>
      <w:r w:rsidRPr="00D71BEC">
        <w:rPr>
          <w:bCs/>
          <w:snapToGrid w:val="0"/>
          <w:kern w:val="22"/>
          <w:szCs w:val="22"/>
        </w:rPr>
        <w:t xml:space="preserve"> the Global Environment Facility to include in its report to the Conference of the Parties and the Conference of the Parties serving as the meetings of the Parties to the Protocols an explanation of how the eighth replenishment period of the Global Environment Facility</w:t>
      </w:r>
      <w:r>
        <w:rPr>
          <w:bCs/>
          <w:snapToGrid w:val="0"/>
          <w:kern w:val="22"/>
          <w:szCs w:val="22"/>
        </w:rPr>
        <w:t>,</w:t>
      </w:r>
      <w:r w:rsidRPr="00610646">
        <w:rPr>
          <w:rStyle w:val="FootnoteReference"/>
        </w:rPr>
        <w:footnoteReference w:id="155"/>
      </w:r>
      <w:r w:rsidRPr="00D71BEC">
        <w:rPr>
          <w:bCs/>
          <w:snapToGrid w:val="0"/>
          <w:kern w:val="22"/>
          <w:szCs w:val="22"/>
        </w:rPr>
        <w:t xml:space="preserve"> through the elements of its programming directions is contributing to the implementation of the Convention and its Protocols and </w:t>
      </w:r>
      <w:r>
        <w:rPr>
          <w:bCs/>
          <w:snapToGrid w:val="0"/>
          <w:kern w:val="22"/>
          <w:szCs w:val="22"/>
        </w:rPr>
        <w:t xml:space="preserve">to </w:t>
      </w:r>
      <w:r w:rsidRPr="00D71BEC">
        <w:rPr>
          <w:bCs/>
          <w:snapToGrid w:val="0"/>
          <w:kern w:val="22"/>
          <w:szCs w:val="22"/>
        </w:rPr>
        <w:t xml:space="preserve">the goals and targets of the </w:t>
      </w:r>
      <w:r>
        <w:rPr>
          <w:kern w:val="22"/>
        </w:rPr>
        <w:t xml:space="preserve">Kunming-Montreal </w:t>
      </w:r>
      <w:r w:rsidRPr="00D71BEC">
        <w:rPr>
          <w:bCs/>
          <w:snapToGrid w:val="0"/>
          <w:kern w:val="22"/>
          <w:szCs w:val="22"/>
        </w:rPr>
        <w:t>Global Biodiversity Framework</w:t>
      </w:r>
      <w:r w:rsidRPr="00610646">
        <w:rPr>
          <w:rStyle w:val="FootnoteReference"/>
        </w:rPr>
        <w:footnoteReference w:id="156"/>
      </w:r>
      <w:r w:rsidRPr="00D71BEC">
        <w:rPr>
          <w:bCs/>
          <w:snapToGrid w:val="0"/>
          <w:kern w:val="22"/>
          <w:szCs w:val="22"/>
        </w:rPr>
        <w:t xml:space="preserve"> and its monitoring framework;</w:t>
      </w:r>
      <w:r w:rsidRPr="00610646">
        <w:rPr>
          <w:rStyle w:val="FootnoteReference"/>
        </w:rPr>
        <w:footnoteReference w:id="157"/>
      </w:r>
    </w:p>
    <w:p w14:paraId="6CB9DFC9" w14:textId="77777777" w:rsidR="00DA0273" w:rsidRPr="00D71BEC" w:rsidRDefault="00DA0273" w:rsidP="00FB5720">
      <w:pPr>
        <w:suppressLineNumbers/>
        <w:suppressAutoHyphens/>
        <w:adjustRightInd w:val="0"/>
        <w:snapToGrid w:val="0"/>
        <w:spacing w:before="120" w:after="120"/>
        <w:ind w:firstLine="709"/>
        <w:rPr>
          <w:bCs/>
          <w:snapToGrid w:val="0"/>
          <w:kern w:val="22"/>
          <w:szCs w:val="22"/>
        </w:rPr>
      </w:pPr>
      <w:r w:rsidRPr="00D71BEC">
        <w:rPr>
          <w:bCs/>
          <w:snapToGrid w:val="0"/>
          <w:kern w:val="22"/>
          <w:szCs w:val="22"/>
        </w:rPr>
        <w:t>4.</w:t>
      </w:r>
      <w:r w:rsidRPr="00D71BEC">
        <w:rPr>
          <w:bCs/>
          <w:snapToGrid w:val="0"/>
          <w:kern w:val="22"/>
          <w:szCs w:val="22"/>
        </w:rPr>
        <w:tab/>
      </w:r>
      <w:r w:rsidRPr="00D71BEC">
        <w:rPr>
          <w:bCs/>
          <w:i/>
          <w:iCs/>
          <w:snapToGrid w:val="0"/>
          <w:kern w:val="22"/>
          <w:szCs w:val="22"/>
        </w:rPr>
        <w:t>Urges</w:t>
      </w:r>
      <w:r w:rsidRPr="00D71BEC">
        <w:rPr>
          <w:bCs/>
          <w:snapToGrid w:val="0"/>
          <w:kern w:val="22"/>
          <w:szCs w:val="22"/>
        </w:rPr>
        <w:t xml:space="preserve"> the Global Environment Facility to support Parties in their effort to enhance policy coherence as part of biodiversity mainstreaming to facilitate the effective and efficient implementation of the </w:t>
      </w:r>
      <w:r>
        <w:rPr>
          <w:kern w:val="22"/>
        </w:rPr>
        <w:t xml:space="preserve">Kunming-Montreal </w:t>
      </w:r>
      <w:r w:rsidRPr="00D71BEC">
        <w:rPr>
          <w:bCs/>
          <w:snapToGrid w:val="0"/>
          <w:kern w:val="22"/>
          <w:szCs w:val="22"/>
        </w:rPr>
        <w:t>Global Biodiversity Framework;</w:t>
      </w:r>
    </w:p>
    <w:p w14:paraId="31CB0141" w14:textId="77777777" w:rsidR="00DA0273" w:rsidRPr="00D71BEC" w:rsidRDefault="00DA0273" w:rsidP="00FB5720">
      <w:pPr>
        <w:suppressLineNumbers/>
        <w:suppressAutoHyphens/>
        <w:adjustRightInd w:val="0"/>
        <w:snapToGrid w:val="0"/>
        <w:spacing w:before="120" w:after="120"/>
        <w:ind w:firstLine="720"/>
        <w:rPr>
          <w:snapToGrid w:val="0"/>
          <w:kern w:val="22"/>
          <w:szCs w:val="22"/>
        </w:rPr>
      </w:pPr>
      <w:r w:rsidRPr="00D71BEC">
        <w:rPr>
          <w:snapToGrid w:val="0"/>
          <w:kern w:val="22"/>
          <w:szCs w:val="22"/>
        </w:rPr>
        <w:t>5.</w:t>
      </w:r>
      <w:r w:rsidRPr="00D71BEC">
        <w:rPr>
          <w:i/>
          <w:snapToGrid w:val="0"/>
          <w:kern w:val="22"/>
          <w:szCs w:val="22"/>
        </w:rPr>
        <w:tab/>
        <w:t>Adopts</w:t>
      </w:r>
      <w:r w:rsidRPr="00D71BEC">
        <w:rPr>
          <w:snapToGrid w:val="0"/>
          <w:kern w:val="22"/>
          <w:szCs w:val="22"/>
        </w:rPr>
        <w:t xml:space="preserve"> the four-year outcome-oriented framework of programme priorities </w:t>
      </w:r>
      <w:r w:rsidRPr="00D71BEC">
        <w:rPr>
          <w:snapToGrid w:val="0"/>
          <w:szCs w:val="22"/>
        </w:rPr>
        <w:t>of the Convention on Biological Diversity</w:t>
      </w:r>
      <w:r w:rsidRPr="00D71BEC">
        <w:rPr>
          <w:snapToGrid w:val="0"/>
          <w:kern w:val="22"/>
          <w:szCs w:val="22"/>
        </w:rPr>
        <w:t xml:space="preserve"> for the eighth replenishment period (July 2022 to June 2026) of the Global Environment Facility, aligned with the </w:t>
      </w:r>
      <w:r>
        <w:rPr>
          <w:kern w:val="22"/>
        </w:rPr>
        <w:t xml:space="preserve">Kunming-Montreal </w:t>
      </w:r>
      <w:r w:rsidRPr="00D71BEC">
        <w:rPr>
          <w:bCs/>
          <w:snapToGrid w:val="0"/>
          <w:kern w:val="22"/>
          <w:szCs w:val="22"/>
        </w:rPr>
        <w:t>Global Biodiversity Framework</w:t>
      </w:r>
      <w:r w:rsidRPr="00D71BEC">
        <w:rPr>
          <w:snapToGrid w:val="0"/>
          <w:kern w:val="22"/>
          <w:szCs w:val="22"/>
        </w:rPr>
        <w:t>, contained in annex I to the present decision;</w:t>
      </w:r>
    </w:p>
    <w:p w14:paraId="53FBEF5B" w14:textId="77777777" w:rsidR="00DA0273" w:rsidRPr="00D71BEC" w:rsidRDefault="00DA0273" w:rsidP="00092FE4">
      <w:pPr>
        <w:suppressLineNumbers/>
        <w:suppressAutoHyphens/>
        <w:adjustRightInd w:val="0"/>
        <w:snapToGrid w:val="0"/>
        <w:spacing w:before="120" w:after="120"/>
        <w:ind w:firstLine="709"/>
        <w:rPr>
          <w:bCs/>
          <w:snapToGrid w:val="0"/>
          <w:kern w:val="22"/>
          <w:szCs w:val="22"/>
        </w:rPr>
      </w:pPr>
      <w:r w:rsidRPr="00D71BEC">
        <w:rPr>
          <w:bCs/>
          <w:snapToGrid w:val="0"/>
          <w:kern w:val="22"/>
          <w:szCs w:val="22"/>
        </w:rPr>
        <w:lastRenderedPageBreak/>
        <w:t>6.</w:t>
      </w:r>
      <w:r w:rsidRPr="00D71BEC">
        <w:rPr>
          <w:bCs/>
          <w:snapToGrid w:val="0"/>
          <w:kern w:val="22"/>
          <w:szCs w:val="22"/>
        </w:rPr>
        <w:tab/>
      </w:r>
      <w:r w:rsidRPr="00D71BEC">
        <w:rPr>
          <w:bCs/>
          <w:i/>
          <w:iCs/>
          <w:snapToGrid w:val="0"/>
          <w:kern w:val="22"/>
          <w:szCs w:val="22"/>
        </w:rPr>
        <w:t>Welcomes</w:t>
      </w:r>
      <w:r w:rsidRPr="00D71BEC">
        <w:rPr>
          <w:bCs/>
          <w:snapToGrid w:val="0"/>
          <w:kern w:val="22"/>
          <w:szCs w:val="22"/>
        </w:rPr>
        <w:t xml:space="preserve"> the eighth replenishment of the Global Environment Facility and notes that its associated programming directions and strateg</w:t>
      </w:r>
      <w:r>
        <w:rPr>
          <w:bCs/>
          <w:snapToGrid w:val="0"/>
          <w:kern w:val="22"/>
          <w:szCs w:val="22"/>
        </w:rPr>
        <w:t>ies</w:t>
      </w:r>
      <w:r w:rsidRPr="00D71BEC">
        <w:rPr>
          <w:bCs/>
          <w:snapToGrid w:val="0"/>
          <w:kern w:val="22"/>
          <w:szCs w:val="22"/>
        </w:rPr>
        <w:t xml:space="preserve">, including for the biodiversity focal area, have taken into account the draft post-2020 global biodiversity framework at the time of the </w:t>
      </w:r>
      <w:r>
        <w:rPr>
          <w:bCs/>
          <w:snapToGrid w:val="0"/>
          <w:kern w:val="22"/>
          <w:szCs w:val="22"/>
        </w:rPr>
        <w:t>conclusion</w:t>
      </w:r>
      <w:r w:rsidRPr="00D71BEC">
        <w:rPr>
          <w:bCs/>
          <w:snapToGrid w:val="0"/>
          <w:kern w:val="22"/>
          <w:szCs w:val="22"/>
        </w:rPr>
        <w:t xml:space="preserve"> of the eighth replenishment; </w:t>
      </w:r>
    </w:p>
    <w:p w14:paraId="031A609C" w14:textId="77777777" w:rsidR="00DA0273" w:rsidRPr="00D71BEC" w:rsidRDefault="00DA0273" w:rsidP="00092FE4">
      <w:pPr>
        <w:suppressLineNumbers/>
        <w:suppressAutoHyphens/>
        <w:adjustRightInd w:val="0"/>
        <w:snapToGrid w:val="0"/>
        <w:spacing w:before="120" w:after="120"/>
        <w:ind w:firstLine="709"/>
        <w:rPr>
          <w:bCs/>
          <w:snapToGrid w:val="0"/>
          <w:kern w:val="22"/>
          <w:szCs w:val="22"/>
        </w:rPr>
      </w:pPr>
      <w:r w:rsidRPr="00D71BEC">
        <w:rPr>
          <w:bCs/>
          <w:snapToGrid w:val="0"/>
          <w:kern w:val="22"/>
          <w:szCs w:val="22"/>
        </w:rPr>
        <w:t>7.</w:t>
      </w:r>
      <w:r w:rsidRPr="00D71BEC">
        <w:rPr>
          <w:bCs/>
          <w:snapToGrid w:val="0"/>
          <w:kern w:val="22"/>
          <w:szCs w:val="22"/>
        </w:rPr>
        <w:tab/>
      </w:r>
      <w:r w:rsidRPr="00D71BEC">
        <w:rPr>
          <w:bCs/>
          <w:i/>
          <w:iCs/>
          <w:snapToGrid w:val="0"/>
          <w:kern w:val="22"/>
          <w:szCs w:val="22"/>
        </w:rPr>
        <w:t>Urges</w:t>
      </w:r>
      <w:r w:rsidRPr="00D71BEC">
        <w:rPr>
          <w:bCs/>
          <w:snapToGrid w:val="0"/>
          <w:kern w:val="22"/>
          <w:szCs w:val="22"/>
        </w:rPr>
        <w:t xml:space="preserve"> relevant Parties to make prompt and full use of the programming directions and resource allocation for the eighth replenishment of the Global Environment Facility;</w:t>
      </w:r>
    </w:p>
    <w:p w14:paraId="25F8FF64" w14:textId="77777777" w:rsidR="00DA0273" w:rsidRPr="00D71BEC" w:rsidRDefault="00DA0273" w:rsidP="00092FE4">
      <w:pPr>
        <w:suppressLineNumbers/>
        <w:suppressAutoHyphens/>
        <w:adjustRightInd w:val="0"/>
        <w:snapToGrid w:val="0"/>
        <w:spacing w:before="120" w:after="120"/>
        <w:ind w:firstLine="709"/>
        <w:rPr>
          <w:bCs/>
          <w:snapToGrid w:val="0"/>
          <w:kern w:val="22"/>
          <w:szCs w:val="22"/>
        </w:rPr>
      </w:pPr>
      <w:r w:rsidRPr="00D71BEC">
        <w:rPr>
          <w:bCs/>
          <w:snapToGrid w:val="0"/>
          <w:kern w:val="22"/>
          <w:szCs w:val="22"/>
        </w:rPr>
        <w:t>8.</w:t>
      </w:r>
      <w:r w:rsidRPr="00D71BEC">
        <w:rPr>
          <w:bCs/>
          <w:snapToGrid w:val="0"/>
          <w:kern w:val="22"/>
          <w:szCs w:val="22"/>
        </w:rPr>
        <w:tab/>
      </w:r>
      <w:r w:rsidRPr="00D71BEC">
        <w:rPr>
          <w:bCs/>
          <w:i/>
          <w:iCs/>
          <w:snapToGrid w:val="0"/>
          <w:kern w:val="22"/>
          <w:szCs w:val="22"/>
        </w:rPr>
        <w:t>Requests</w:t>
      </w:r>
      <w:r w:rsidRPr="00D71BEC">
        <w:rPr>
          <w:bCs/>
          <w:snapToGrid w:val="0"/>
          <w:kern w:val="22"/>
          <w:szCs w:val="22"/>
        </w:rPr>
        <w:t xml:space="preserve"> the Executive Secretary to collaborate with the Global Environment Facility and related agencies, as appropriate, in: </w:t>
      </w:r>
    </w:p>
    <w:p w14:paraId="5C6A5414" w14:textId="77777777" w:rsidR="00DA0273" w:rsidRPr="00D71BEC" w:rsidRDefault="00DA0273" w:rsidP="00092FE4">
      <w:pPr>
        <w:suppressLineNumbers/>
        <w:suppressAutoHyphens/>
        <w:adjustRightInd w:val="0"/>
        <w:snapToGrid w:val="0"/>
        <w:spacing w:before="120" w:after="120"/>
        <w:ind w:firstLine="709"/>
        <w:rPr>
          <w:bCs/>
          <w:snapToGrid w:val="0"/>
          <w:kern w:val="22"/>
          <w:szCs w:val="22"/>
        </w:rPr>
      </w:pPr>
      <w:r w:rsidRPr="00D71BEC">
        <w:rPr>
          <w:bCs/>
          <w:snapToGrid w:val="0"/>
          <w:kern w:val="22"/>
          <w:szCs w:val="22"/>
        </w:rPr>
        <w:t xml:space="preserve">(a) </w:t>
      </w:r>
      <w:r w:rsidRPr="00D71BEC">
        <w:rPr>
          <w:bCs/>
          <w:snapToGrid w:val="0"/>
          <w:kern w:val="22"/>
          <w:szCs w:val="22"/>
        </w:rPr>
        <w:tab/>
        <w:t>The fast-</w:t>
      </w:r>
      <w:r w:rsidRPr="007C73D9">
        <w:rPr>
          <w:bCs/>
          <w:snapToGrid w:val="0"/>
          <w:kern w:val="22"/>
          <w:szCs w:val="22"/>
        </w:rPr>
        <w:t xml:space="preserve">tracking of the implementation of the </w:t>
      </w:r>
      <w:r w:rsidRPr="007C73D9">
        <w:rPr>
          <w:kern w:val="22"/>
        </w:rPr>
        <w:t>Kunming-Montreal Global Biodiversity Framework</w:t>
      </w:r>
      <w:r w:rsidRPr="007C73D9">
        <w:rPr>
          <w:bCs/>
          <w:snapToGrid w:val="0"/>
          <w:kern w:val="22"/>
          <w:szCs w:val="22"/>
        </w:rPr>
        <w:t>, in particular for the intermediate phase (2023</w:t>
      </w:r>
      <w:r>
        <w:rPr>
          <w:iCs/>
          <w:snapToGrid w:val="0"/>
          <w:kern w:val="22"/>
          <w:szCs w:val="22"/>
          <w:lang w:eastAsia="zh-CN"/>
        </w:rPr>
        <w:t>–</w:t>
      </w:r>
      <w:r w:rsidRPr="007C73D9">
        <w:rPr>
          <w:bCs/>
          <w:snapToGrid w:val="0"/>
          <w:kern w:val="22"/>
          <w:szCs w:val="22"/>
        </w:rPr>
        <w:t xml:space="preserve">2024) of the </w:t>
      </w:r>
      <w:r w:rsidRPr="008E5C31">
        <w:rPr>
          <w:bCs/>
          <w:snapToGrid w:val="0"/>
          <w:kern w:val="22"/>
          <w:szCs w:val="22"/>
        </w:rPr>
        <w:t>strategy for resource mobilization</w:t>
      </w:r>
      <w:r w:rsidRPr="007C73D9">
        <w:rPr>
          <w:bCs/>
          <w:snapToGrid w:val="0"/>
          <w:kern w:val="22"/>
          <w:szCs w:val="22"/>
        </w:rPr>
        <w:t xml:space="preserve"> and in the reporting of progress in the mobilization of new and additional resources to the Conference of the Parties at its sixteenth meeting;</w:t>
      </w:r>
      <w:r w:rsidRPr="00D71BEC">
        <w:rPr>
          <w:bCs/>
          <w:snapToGrid w:val="0"/>
          <w:kern w:val="22"/>
          <w:szCs w:val="22"/>
        </w:rPr>
        <w:t xml:space="preserve"> </w:t>
      </w:r>
    </w:p>
    <w:p w14:paraId="76286F4F" w14:textId="77777777" w:rsidR="00DA0273" w:rsidRPr="00D71BEC" w:rsidRDefault="00DA0273" w:rsidP="00092FE4">
      <w:pPr>
        <w:suppressLineNumbers/>
        <w:suppressAutoHyphens/>
        <w:adjustRightInd w:val="0"/>
        <w:snapToGrid w:val="0"/>
        <w:spacing w:before="120" w:after="120"/>
        <w:ind w:firstLine="709"/>
        <w:rPr>
          <w:bCs/>
          <w:snapToGrid w:val="0"/>
          <w:kern w:val="22"/>
          <w:szCs w:val="22"/>
        </w:rPr>
      </w:pPr>
      <w:r w:rsidRPr="00D71BEC">
        <w:rPr>
          <w:bCs/>
          <w:snapToGrid w:val="0"/>
          <w:kern w:val="22"/>
          <w:szCs w:val="22"/>
        </w:rPr>
        <w:t xml:space="preserve">(b) </w:t>
      </w:r>
      <w:r w:rsidRPr="00D71BEC">
        <w:rPr>
          <w:bCs/>
          <w:snapToGrid w:val="0"/>
          <w:kern w:val="22"/>
          <w:szCs w:val="22"/>
        </w:rPr>
        <w:tab/>
        <w:t>The development and implementation of the relevant integrated programmes and the country engagement strategy for the eighth replenishment period, promoting the involvement of biodiversity</w:t>
      </w:r>
      <w:r>
        <w:rPr>
          <w:bCs/>
          <w:snapToGrid w:val="0"/>
          <w:kern w:val="22"/>
          <w:szCs w:val="22"/>
        </w:rPr>
        <w:noBreakHyphen/>
      </w:r>
      <w:r w:rsidRPr="00D71BEC">
        <w:rPr>
          <w:bCs/>
          <w:snapToGrid w:val="0"/>
          <w:kern w:val="22"/>
          <w:szCs w:val="22"/>
        </w:rPr>
        <w:t>related conventions and instruments at national level, and promot</w:t>
      </w:r>
      <w:r>
        <w:rPr>
          <w:bCs/>
          <w:snapToGrid w:val="0"/>
          <w:kern w:val="22"/>
          <w:szCs w:val="22"/>
        </w:rPr>
        <w:t>ing</w:t>
      </w:r>
      <w:r w:rsidRPr="00D71BEC">
        <w:rPr>
          <w:bCs/>
          <w:snapToGrid w:val="0"/>
          <w:kern w:val="22"/>
          <w:szCs w:val="22"/>
        </w:rPr>
        <w:t xml:space="preserve"> synergies and complementarities with other relevant financial instruments, such as the Green Climate Fund, towards the effective implementation of the </w:t>
      </w:r>
      <w:r>
        <w:rPr>
          <w:bCs/>
          <w:snapToGrid w:val="0"/>
          <w:kern w:val="22"/>
          <w:szCs w:val="22"/>
        </w:rPr>
        <w:t>Kunming-Montreal</w:t>
      </w:r>
      <w:r w:rsidRPr="00D71BEC">
        <w:rPr>
          <w:bCs/>
          <w:snapToGrid w:val="0"/>
          <w:kern w:val="22"/>
          <w:szCs w:val="22"/>
        </w:rPr>
        <w:t xml:space="preserve"> </w:t>
      </w:r>
      <w:r>
        <w:rPr>
          <w:bCs/>
          <w:snapToGrid w:val="0"/>
          <w:kern w:val="22"/>
          <w:szCs w:val="22"/>
        </w:rPr>
        <w:t>G</w:t>
      </w:r>
      <w:r w:rsidRPr="00D71BEC">
        <w:rPr>
          <w:bCs/>
          <w:snapToGrid w:val="0"/>
          <w:kern w:val="22"/>
          <w:szCs w:val="22"/>
        </w:rPr>
        <w:t xml:space="preserve">lobal </w:t>
      </w:r>
      <w:r>
        <w:rPr>
          <w:bCs/>
          <w:snapToGrid w:val="0"/>
          <w:kern w:val="22"/>
          <w:szCs w:val="22"/>
        </w:rPr>
        <w:t>B</w:t>
      </w:r>
      <w:r w:rsidRPr="00D71BEC">
        <w:rPr>
          <w:bCs/>
          <w:snapToGrid w:val="0"/>
          <w:kern w:val="22"/>
          <w:szCs w:val="22"/>
        </w:rPr>
        <w:t xml:space="preserve">iodiversity </w:t>
      </w:r>
      <w:r>
        <w:rPr>
          <w:bCs/>
          <w:snapToGrid w:val="0"/>
          <w:kern w:val="22"/>
          <w:szCs w:val="22"/>
        </w:rPr>
        <w:t>F</w:t>
      </w:r>
      <w:r w:rsidRPr="00D71BEC">
        <w:rPr>
          <w:bCs/>
          <w:snapToGrid w:val="0"/>
          <w:kern w:val="22"/>
          <w:szCs w:val="22"/>
        </w:rPr>
        <w:t>ramework;</w:t>
      </w:r>
    </w:p>
    <w:p w14:paraId="0843270F" w14:textId="77777777" w:rsidR="00DA0273" w:rsidRPr="00D71BEC" w:rsidRDefault="00DA0273" w:rsidP="00FB5720">
      <w:pPr>
        <w:suppressLineNumbers/>
        <w:suppressAutoHyphens/>
        <w:adjustRightInd w:val="0"/>
        <w:snapToGrid w:val="0"/>
        <w:spacing w:before="120" w:after="120"/>
        <w:ind w:firstLine="720"/>
        <w:rPr>
          <w:b/>
          <w:snapToGrid w:val="0"/>
          <w:kern w:val="22"/>
          <w:szCs w:val="22"/>
        </w:rPr>
      </w:pPr>
      <w:r w:rsidRPr="00C26EDA">
        <w:rPr>
          <w:bCs/>
          <w:snapToGrid w:val="0"/>
          <w:kern w:val="22"/>
          <w:szCs w:val="22"/>
        </w:rPr>
        <w:t>9.</w:t>
      </w:r>
      <w:r w:rsidRPr="00C26EDA">
        <w:rPr>
          <w:bCs/>
          <w:snapToGrid w:val="0"/>
          <w:kern w:val="22"/>
          <w:szCs w:val="22"/>
        </w:rPr>
        <w:tab/>
      </w:r>
      <w:r w:rsidRPr="00C26EDA">
        <w:rPr>
          <w:bCs/>
          <w:i/>
          <w:iCs/>
          <w:snapToGrid w:val="0"/>
          <w:kern w:val="22"/>
          <w:szCs w:val="22"/>
        </w:rPr>
        <w:t>Adopts</w:t>
      </w:r>
      <w:r w:rsidRPr="00C26EDA">
        <w:rPr>
          <w:bCs/>
          <w:snapToGrid w:val="0"/>
          <w:kern w:val="22"/>
          <w:szCs w:val="22"/>
        </w:rPr>
        <w:t xml:space="preserve"> the consolidated previous guidance to the Global Environment Facility contained in annex II A to the present decision, decides to retire the previous decisions and elements of decisions, as related to the financial mechanism and limited only to those provisions related to the financial mechanism</w:t>
      </w:r>
      <w:r w:rsidRPr="00C26EDA">
        <w:rPr>
          <w:bCs/>
          <w:i/>
          <w:snapToGrid w:val="0"/>
          <w:kern w:val="22"/>
          <w:szCs w:val="22"/>
        </w:rPr>
        <w:t xml:space="preserve"> </w:t>
      </w:r>
      <w:r w:rsidRPr="00C26EDA">
        <w:rPr>
          <w:bCs/>
          <w:iCs/>
          <w:snapToGrid w:val="0"/>
          <w:kern w:val="22"/>
          <w:szCs w:val="22"/>
        </w:rPr>
        <w:t xml:space="preserve">and </w:t>
      </w:r>
      <w:r w:rsidRPr="000E778E">
        <w:rPr>
          <w:iCs/>
          <w:snapToGrid w:val="0"/>
          <w:kern w:val="22"/>
          <w:szCs w:val="22"/>
        </w:rPr>
        <w:t>also adopts</w:t>
      </w:r>
      <w:r w:rsidRPr="00C26EDA">
        <w:rPr>
          <w:i/>
          <w:snapToGrid w:val="0"/>
          <w:kern w:val="22"/>
          <w:szCs w:val="22"/>
        </w:rPr>
        <w:t xml:space="preserve"> </w:t>
      </w:r>
      <w:r w:rsidRPr="00C26EDA">
        <w:rPr>
          <w:snapToGrid w:val="0"/>
          <w:kern w:val="22"/>
          <w:szCs w:val="22"/>
        </w:rPr>
        <w:t>additional guidance to the Global Environment Facility contained in annex II B to the present decision;</w:t>
      </w:r>
    </w:p>
    <w:p w14:paraId="133E1995" w14:textId="77777777" w:rsidR="00DA0273" w:rsidRPr="00D71BEC" w:rsidRDefault="00DA0273" w:rsidP="00092FE4">
      <w:pPr>
        <w:suppressLineNumbers/>
        <w:suppressAutoHyphens/>
        <w:adjustRightInd w:val="0"/>
        <w:snapToGrid w:val="0"/>
        <w:spacing w:before="120" w:after="120"/>
        <w:ind w:firstLine="709"/>
        <w:rPr>
          <w:iCs/>
          <w:snapToGrid w:val="0"/>
          <w:kern w:val="22"/>
          <w:szCs w:val="22"/>
          <w:lang w:eastAsia="zh-CN"/>
        </w:rPr>
      </w:pPr>
      <w:r w:rsidRPr="00D71BEC">
        <w:rPr>
          <w:iCs/>
          <w:snapToGrid w:val="0"/>
          <w:kern w:val="22"/>
          <w:szCs w:val="22"/>
          <w:lang w:eastAsia="zh-CN"/>
        </w:rPr>
        <w:t>10.</w:t>
      </w:r>
      <w:r w:rsidRPr="00D71BEC">
        <w:rPr>
          <w:iCs/>
          <w:snapToGrid w:val="0"/>
          <w:kern w:val="22"/>
          <w:szCs w:val="22"/>
          <w:lang w:eastAsia="zh-CN"/>
        </w:rPr>
        <w:tab/>
      </w:r>
      <w:r w:rsidRPr="00D71BEC">
        <w:rPr>
          <w:i/>
          <w:snapToGrid w:val="0"/>
          <w:kern w:val="22"/>
          <w:szCs w:val="22"/>
          <w:lang w:eastAsia="zh-CN"/>
        </w:rPr>
        <w:t>Decides</w:t>
      </w:r>
      <w:r w:rsidRPr="00D71BEC">
        <w:rPr>
          <w:iCs/>
          <w:snapToGrid w:val="0"/>
          <w:kern w:val="22"/>
          <w:szCs w:val="22"/>
          <w:lang w:eastAsia="zh-CN"/>
        </w:rPr>
        <w:t xml:space="preserve"> </w:t>
      </w:r>
      <w:r w:rsidRPr="00AE2CF9">
        <w:rPr>
          <w:iCs/>
          <w:snapToGrid w:val="0"/>
          <w:kern w:val="22"/>
          <w:szCs w:val="22"/>
          <w:lang w:eastAsia="zh-CN"/>
        </w:rPr>
        <w:t>to adopt,</w:t>
      </w:r>
      <w:r w:rsidRPr="00D71BEC">
        <w:rPr>
          <w:iCs/>
          <w:snapToGrid w:val="0"/>
          <w:kern w:val="22"/>
          <w:szCs w:val="22"/>
          <w:lang w:eastAsia="zh-CN"/>
        </w:rPr>
        <w:t xml:space="preserve"> at its sixteenth meeting, a four-year outcome-oriented framework of programme priorities for the implementation of the Convention and its Protocols aligned with the </w:t>
      </w:r>
      <w:r>
        <w:rPr>
          <w:iCs/>
          <w:snapToGrid w:val="0"/>
          <w:kern w:val="22"/>
          <w:szCs w:val="22"/>
          <w:lang w:eastAsia="zh-CN"/>
        </w:rPr>
        <w:t>Kunming</w:t>
      </w:r>
      <w:r>
        <w:rPr>
          <w:iCs/>
          <w:snapToGrid w:val="0"/>
          <w:kern w:val="22"/>
          <w:szCs w:val="22"/>
          <w:lang w:eastAsia="zh-CN"/>
        </w:rPr>
        <w:noBreakHyphen/>
        <w:t>Montreal</w:t>
      </w:r>
      <w:r w:rsidRPr="00D71BEC">
        <w:rPr>
          <w:iCs/>
          <w:snapToGrid w:val="0"/>
          <w:kern w:val="22"/>
          <w:szCs w:val="22"/>
          <w:lang w:eastAsia="zh-CN"/>
        </w:rPr>
        <w:t xml:space="preserve"> </w:t>
      </w:r>
      <w:r>
        <w:rPr>
          <w:iCs/>
          <w:snapToGrid w:val="0"/>
          <w:kern w:val="22"/>
          <w:szCs w:val="22"/>
          <w:lang w:eastAsia="zh-CN"/>
        </w:rPr>
        <w:t>G</w:t>
      </w:r>
      <w:r w:rsidRPr="00D71BEC">
        <w:rPr>
          <w:iCs/>
          <w:snapToGrid w:val="0"/>
          <w:kern w:val="22"/>
          <w:szCs w:val="22"/>
          <w:lang w:eastAsia="zh-CN"/>
        </w:rPr>
        <w:t xml:space="preserve">lobal </w:t>
      </w:r>
      <w:r>
        <w:rPr>
          <w:iCs/>
          <w:snapToGrid w:val="0"/>
          <w:kern w:val="22"/>
          <w:szCs w:val="22"/>
          <w:lang w:eastAsia="zh-CN"/>
        </w:rPr>
        <w:t>B</w:t>
      </w:r>
      <w:r w:rsidRPr="00D71BEC">
        <w:rPr>
          <w:iCs/>
          <w:snapToGrid w:val="0"/>
          <w:kern w:val="22"/>
          <w:szCs w:val="22"/>
          <w:lang w:eastAsia="zh-CN"/>
        </w:rPr>
        <w:t xml:space="preserve">iodiversity </w:t>
      </w:r>
      <w:r>
        <w:rPr>
          <w:iCs/>
          <w:snapToGrid w:val="0"/>
          <w:kern w:val="22"/>
          <w:szCs w:val="22"/>
          <w:lang w:eastAsia="zh-CN"/>
        </w:rPr>
        <w:t>F</w:t>
      </w:r>
      <w:r w:rsidRPr="00D71BEC">
        <w:rPr>
          <w:iCs/>
          <w:snapToGrid w:val="0"/>
          <w:kern w:val="22"/>
          <w:szCs w:val="22"/>
          <w:lang w:eastAsia="zh-CN"/>
        </w:rPr>
        <w:t>ramework to inform the ninth replenishment of the Global Environment Facility Trust Fund (2026</w:t>
      </w:r>
      <w:r>
        <w:rPr>
          <w:iCs/>
          <w:snapToGrid w:val="0"/>
          <w:kern w:val="22"/>
          <w:szCs w:val="22"/>
          <w:lang w:eastAsia="zh-CN"/>
        </w:rPr>
        <w:t>–</w:t>
      </w:r>
      <w:r w:rsidRPr="00D71BEC">
        <w:rPr>
          <w:iCs/>
          <w:snapToGrid w:val="0"/>
          <w:kern w:val="22"/>
          <w:szCs w:val="22"/>
          <w:lang w:eastAsia="zh-CN"/>
        </w:rPr>
        <w:t>2030);</w:t>
      </w:r>
    </w:p>
    <w:p w14:paraId="50682645" w14:textId="77777777" w:rsidR="00DA0273" w:rsidRPr="00D71BEC" w:rsidRDefault="00DA0273" w:rsidP="00092FE4">
      <w:pPr>
        <w:suppressLineNumbers/>
        <w:suppressAutoHyphens/>
        <w:adjustRightInd w:val="0"/>
        <w:snapToGrid w:val="0"/>
        <w:spacing w:before="120" w:after="120"/>
        <w:ind w:firstLine="709"/>
        <w:rPr>
          <w:iCs/>
          <w:snapToGrid w:val="0"/>
          <w:kern w:val="22"/>
          <w:szCs w:val="22"/>
          <w:lang w:eastAsia="zh-CN"/>
        </w:rPr>
      </w:pPr>
      <w:r w:rsidRPr="00D71BEC">
        <w:rPr>
          <w:iCs/>
          <w:snapToGrid w:val="0"/>
          <w:kern w:val="22"/>
          <w:szCs w:val="22"/>
          <w:lang w:eastAsia="zh-CN"/>
        </w:rPr>
        <w:t>11.</w:t>
      </w:r>
      <w:r w:rsidRPr="00D71BEC">
        <w:rPr>
          <w:iCs/>
          <w:snapToGrid w:val="0"/>
          <w:kern w:val="22"/>
          <w:szCs w:val="22"/>
          <w:lang w:eastAsia="zh-CN"/>
        </w:rPr>
        <w:tab/>
      </w:r>
      <w:r w:rsidRPr="00D71BEC">
        <w:rPr>
          <w:i/>
          <w:snapToGrid w:val="0"/>
          <w:kern w:val="22"/>
          <w:szCs w:val="22"/>
          <w:lang w:eastAsia="zh-CN"/>
        </w:rPr>
        <w:t>Requests</w:t>
      </w:r>
      <w:r w:rsidRPr="00D71BEC">
        <w:rPr>
          <w:iCs/>
          <w:snapToGrid w:val="0"/>
          <w:kern w:val="22"/>
          <w:szCs w:val="22"/>
          <w:lang w:eastAsia="zh-CN"/>
        </w:rPr>
        <w:t xml:space="preserve"> the Executive Secretary to prepare elements of a draft four-year outcome-oriented framework of programme priorities for the implementation of the Convention and its Protocols aligned with the </w:t>
      </w:r>
      <w:r>
        <w:rPr>
          <w:iCs/>
          <w:snapToGrid w:val="0"/>
          <w:kern w:val="22"/>
          <w:szCs w:val="22"/>
          <w:lang w:eastAsia="zh-CN"/>
        </w:rPr>
        <w:t>Kunming-Montreal</w:t>
      </w:r>
      <w:r w:rsidRPr="00D71BEC">
        <w:rPr>
          <w:iCs/>
          <w:snapToGrid w:val="0"/>
          <w:kern w:val="22"/>
          <w:szCs w:val="22"/>
          <w:lang w:eastAsia="zh-CN"/>
        </w:rPr>
        <w:t xml:space="preserve"> </w:t>
      </w:r>
      <w:r>
        <w:rPr>
          <w:iCs/>
          <w:snapToGrid w:val="0"/>
          <w:kern w:val="22"/>
          <w:szCs w:val="22"/>
          <w:lang w:eastAsia="zh-CN"/>
        </w:rPr>
        <w:t>G</w:t>
      </w:r>
      <w:r w:rsidRPr="00D71BEC">
        <w:rPr>
          <w:iCs/>
          <w:snapToGrid w:val="0"/>
          <w:kern w:val="22"/>
          <w:szCs w:val="22"/>
          <w:lang w:eastAsia="zh-CN"/>
        </w:rPr>
        <w:t xml:space="preserve">lobal </w:t>
      </w:r>
      <w:r>
        <w:rPr>
          <w:iCs/>
          <w:snapToGrid w:val="0"/>
          <w:kern w:val="22"/>
          <w:szCs w:val="22"/>
          <w:lang w:eastAsia="zh-CN"/>
        </w:rPr>
        <w:t>B</w:t>
      </w:r>
      <w:r w:rsidRPr="00D71BEC">
        <w:rPr>
          <w:iCs/>
          <w:snapToGrid w:val="0"/>
          <w:kern w:val="22"/>
          <w:szCs w:val="22"/>
          <w:lang w:eastAsia="zh-CN"/>
        </w:rPr>
        <w:t xml:space="preserve">iodiversity </w:t>
      </w:r>
      <w:r>
        <w:rPr>
          <w:iCs/>
          <w:snapToGrid w:val="0"/>
          <w:kern w:val="22"/>
          <w:szCs w:val="22"/>
          <w:lang w:eastAsia="zh-CN"/>
        </w:rPr>
        <w:t>F</w:t>
      </w:r>
      <w:r w:rsidRPr="00D71BEC">
        <w:rPr>
          <w:iCs/>
          <w:snapToGrid w:val="0"/>
          <w:kern w:val="22"/>
          <w:szCs w:val="22"/>
          <w:lang w:eastAsia="zh-CN"/>
        </w:rPr>
        <w:t>ramework in anticipation of the ninth replenishment of the Global Environment Facility Trust Fund (2026</w:t>
      </w:r>
      <w:r>
        <w:rPr>
          <w:iCs/>
          <w:snapToGrid w:val="0"/>
          <w:kern w:val="22"/>
          <w:szCs w:val="22"/>
          <w:lang w:eastAsia="zh-CN"/>
        </w:rPr>
        <w:t>–</w:t>
      </w:r>
      <w:r w:rsidRPr="00D71BEC">
        <w:rPr>
          <w:iCs/>
          <w:snapToGrid w:val="0"/>
          <w:kern w:val="22"/>
          <w:szCs w:val="22"/>
          <w:lang w:eastAsia="zh-CN"/>
        </w:rPr>
        <w:t xml:space="preserve">2030), for consideration by the Subsidiary Body on Implementation at </w:t>
      </w:r>
      <w:r>
        <w:rPr>
          <w:iCs/>
          <w:snapToGrid w:val="0"/>
          <w:kern w:val="22"/>
          <w:szCs w:val="22"/>
          <w:lang w:eastAsia="zh-CN"/>
        </w:rPr>
        <w:t>a</w:t>
      </w:r>
      <w:r w:rsidRPr="00D71BEC">
        <w:rPr>
          <w:iCs/>
          <w:snapToGrid w:val="0"/>
          <w:kern w:val="22"/>
          <w:szCs w:val="22"/>
          <w:lang w:eastAsia="zh-CN"/>
        </w:rPr>
        <w:t xml:space="preserve"> meeting</w:t>
      </w:r>
      <w:r>
        <w:rPr>
          <w:iCs/>
          <w:snapToGrid w:val="0"/>
          <w:kern w:val="22"/>
          <w:szCs w:val="22"/>
          <w:lang w:eastAsia="zh-CN"/>
        </w:rPr>
        <w:t xml:space="preserve"> prior to the sixteenth meeting of the Conference of the Parties</w:t>
      </w:r>
      <w:r w:rsidRPr="00D71BEC">
        <w:rPr>
          <w:iCs/>
          <w:snapToGrid w:val="0"/>
          <w:kern w:val="22"/>
          <w:szCs w:val="22"/>
          <w:lang w:eastAsia="zh-CN"/>
        </w:rPr>
        <w:t>;</w:t>
      </w:r>
    </w:p>
    <w:p w14:paraId="4691074C" w14:textId="77777777" w:rsidR="00DA0273" w:rsidRPr="00D71BEC" w:rsidRDefault="00DA0273" w:rsidP="00092FE4">
      <w:pPr>
        <w:suppressLineNumbers/>
        <w:suppressAutoHyphens/>
        <w:adjustRightInd w:val="0"/>
        <w:snapToGrid w:val="0"/>
        <w:spacing w:before="120" w:after="120"/>
        <w:ind w:firstLine="709"/>
        <w:rPr>
          <w:iCs/>
          <w:snapToGrid w:val="0"/>
          <w:kern w:val="22"/>
          <w:szCs w:val="22"/>
          <w:lang w:eastAsia="zh-CN"/>
        </w:rPr>
      </w:pPr>
      <w:r w:rsidRPr="00D71BEC">
        <w:rPr>
          <w:iCs/>
          <w:snapToGrid w:val="0"/>
          <w:kern w:val="22"/>
          <w:szCs w:val="22"/>
          <w:lang w:eastAsia="zh-CN"/>
        </w:rPr>
        <w:t>12.</w:t>
      </w:r>
      <w:r w:rsidRPr="00D71BEC">
        <w:rPr>
          <w:iCs/>
          <w:snapToGrid w:val="0"/>
          <w:kern w:val="22"/>
          <w:szCs w:val="22"/>
          <w:lang w:eastAsia="zh-CN"/>
        </w:rPr>
        <w:tab/>
      </w:r>
      <w:r w:rsidRPr="00D71BEC">
        <w:rPr>
          <w:i/>
          <w:snapToGrid w:val="0"/>
          <w:kern w:val="22"/>
          <w:szCs w:val="22"/>
          <w:lang w:eastAsia="zh-CN"/>
        </w:rPr>
        <w:t>Requests</w:t>
      </w:r>
      <w:r w:rsidRPr="00D71BEC">
        <w:rPr>
          <w:iCs/>
          <w:snapToGrid w:val="0"/>
          <w:kern w:val="22"/>
          <w:szCs w:val="22"/>
          <w:lang w:eastAsia="zh-CN"/>
        </w:rPr>
        <w:t xml:space="preserve"> the Subsidiary Body on Implementation to prepare proposals for a draft four-year outcome-oriented framework of programme priorities for the implementation of the Convention and its Protocols aligned with the </w:t>
      </w:r>
      <w:r>
        <w:rPr>
          <w:iCs/>
          <w:snapToGrid w:val="0"/>
          <w:kern w:val="22"/>
          <w:szCs w:val="22"/>
          <w:lang w:eastAsia="zh-CN"/>
        </w:rPr>
        <w:t>Kunming-Montreal</w:t>
      </w:r>
      <w:r w:rsidRPr="00D71BEC">
        <w:rPr>
          <w:iCs/>
          <w:snapToGrid w:val="0"/>
          <w:kern w:val="22"/>
          <w:szCs w:val="22"/>
          <w:lang w:eastAsia="zh-CN"/>
        </w:rPr>
        <w:t xml:space="preserve"> </w:t>
      </w:r>
      <w:r>
        <w:rPr>
          <w:iCs/>
          <w:snapToGrid w:val="0"/>
          <w:kern w:val="22"/>
          <w:szCs w:val="22"/>
          <w:lang w:eastAsia="zh-CN"/>
        </w:rPr>
        <w:t>G</w:t>
      </w:r>
      <w:r w:rsidRPr="00D71BEC">
        <w:rPr>
          <w:iCs/>
          <w:snapToGrid w:val="0"/>
          <w:kern w:val="22"/>
          <w:szCs w:val="22"/>
          <w:lang w:eastAsia="zh-CN"/>
        </w:rPr>
        <w:t xml:space="preserve">lobal </w:t>
      </w:r>
      <w:r>
        <w:rPr>
          <w:iCs/>
          <w:snapToGrid w:val="0"/>
          <w:kern w:val="22"/>
          <w:szCs w:val="22"/>
          <w:lang w:eastAsia="zh-CN"/>
        </w:rPr>
        <w:t>B</w:t>
      </w:r>
      <w:r w:rsidRPr="00D71BEC">
        <w:rPr>
          <w:iCs/>
          <w:snapToGrid w:val="0"/>
          <w:kern w:val="22"/>
          <w:szCs w:val="22"/>
          <w:lang w:eastAsia="zh-CN"/>
        </w:rPr>
        <w:t xml:space="preserve">iodiversity </w:t>
      </w:r>
      <w:r>
        <w:rPr>
          <w:iCs/>
          <w:snapToGrid w:val="0"/>
          <w:kern w:val="22"/>
          <w:szCs w:val="22"/>
          <w:lang w:eastAsia="zh-CN"/>
        </w:rPr>
        <w:t>F</w:t>
      </w:r>
      <w:r w:rsidRPr="00D71BEC">
        <w:rPr>
          <w:iCs/>
          <w:snapToGrid w:val="0"/>
          <w:kern w:val="22"/>
          <w:szCs w:val="22"/>
          <w:lang w:eastAsia="zh-CN"/>
        </w:rPr>
        <w:t>ramework</w:t>
      </w:r>
      <w:r>
        <w:rPr>
          <w:iCs/>
          <w:snapToGrid w:val="0"/>
          <w:kern w:val="22"/>
          <w:szCs w:val="22"/>
          <w:lang w:eastAsia="zh-CN"/>
        </w:rPr>
        <w:t>,</w:t>
      </w:r>
      <w:r w:rsidRPr="00D71BEC">
        <w:rPr>
          <w:iCs/>
          <w:snapToGrid w:val="0"/>
          <w:kern w:val="22"/>
          <w:szCs w:val="22"/>
          <w:lang w:eastAsia="zh-CN"/>
        </w:rPr>
        <w:t xml:space="preserve"> in anticipation of the ninth replenishment of the Global Environment Facility Trust Fund (2026</w:t>
      </w:r>
      <w:r>
        <w:rPr>
          <w:iCs/>
          <w:snapToGrid w:val="0"/>
          <w:kern w:val="22"/>
          <w:szCs w:val="22"/>
          <w:lang w:eastAsia="zh-CN"/>
        </w:rPr>
        <w:t>–</w:t>
      </w:r>
      <w:r w:rsidRPr="00D71BEC">
        <w:rPr>
          <w:iCs/>
          <w:snapToGrid w:val="0"/>
          <w:kern w:val="22"/>
          <w:szCs w:val="22"/>
          <w:lang w:eastAsia="zh-CN"/>
        </w:rPr>
        <w:t>2030), for consideration by the Conference of the Parties at its sixteenth meeting;</w:t>
      </w:r>
    </w:p>
    <w:p w14:paraId="44D1CD78" w14:textId="77777777" w:rsidR="00DA0273" w:rsidRPr="00D71BEC" w:rsidRDefault="00DA0273" w:rsidP="00092FE4">
      <w:pPr>
        <w:suppressLineNumbers/>
        <w:suppressAutoHyphens/>
        <w:adjustRightInd w:val="0"/>
        <w:snapToGrid w:val="0"/>
        <w:spacing w:before="120" w:after="120"/>
        <w:ind w:firstLine="709"/>
        <w:rPr>
          <w:iCs/>
          <w:snapToGrid w:val="0"/>
          <w:kern w:val="22"/>
          <w:szCs w:val="22"/>
          <w:lang w:eastAsia="zh-CN"/>
        </w:rPr>
      </w:pPr>
      <w:r w:rsidRPr="00D71BEC">
        <w:rPr>
          <w:iCs/>
          <w:snapToGrid w:val="0"/>
          <w:kern w:val="22"/>
          <w:szCs w:val="22"/>
          <w:lang w:eastAsia="zh-CN"/>
        </w:rPr>
        <w:t>13.</w:t>
      </w:r>
      <w:r w:rsidRPr="00D71BEC">
        <w:rPr>
          <w:iCs/>
          <w:snapToGrid w:val="0"/>
          <w:kern w:val="22"/>
          <w:szCs w:val="22"/>
          <w:lang w:eastAsia="zh-CN"/>
        </w:rPr>
        <w:tab/>
      </w:r>
      <w:r w:rsidRPr="00D71BEC">
        <w:rPr>
          <w:i/>
          <w:snapToGrid w:val="0"/>
          <w:kern w:val="22"/>
          <w:szCs w:val="22"/>
          <w:lang w:eastAsia="zh-CN"/>
        </w:rPr>
        <w:t>Adopts</w:t>
      </w:r>
      <w:r w:rsidRPr="00D71BEC">
        <w:rPr>
          <w:iCs/>
          <w:snapToGrid w:val="0"/>
          <w:kern w:val="22"/>
          <w:szCs w:val="22"/>
          <w:lang w:eastAsia="zh-CN"/>
        </w:rPr>
        <w:t xml:space="preserve"> the terms of reference for a full assessment of the amount of funds that are necessary to assist developing countries and countries with economies in transition, in accordance with the guidance provided by the Conference of the Parties, in fulfilling their commitments under the Convention </w:t>
      </w:r>
      <w:r>
        <w:rPr>
          <w:iCs/>
          <w:snapToGrid w:val="0"/>
          <w:kern w:val="22"/>
          <w:szCs w:val="22"/>
          <w:lang w:eastAsia="zh-CN"/>
        </w:rPr>
        <w:t xml:space="preserve">and its Protocols </w:t>
      </w:r>
      <w:r w:rsidRPr="00D71BEC">
        <w:rPr>
          <w:iCs/>
          <w:snapToGrid w:val="0"/>
          <w:kern w:val="22"/>
          <w:szCs w:val="22"/>
          <w:lang w:eastAsia="zh-CN"/>
        </w:rPr>
        <w:t>for the ninth replenishment period of the Global Environment Facility</w:t>
      </w:r>
      <w:r w:rsidRPr="002C5C05">
        <w:rPr>
          <w:iCs/>
          <w:snapToGrid w:val="0"/>
          <w:kern w:val="22"/>
          <w:szCs w:val="22"/>
          <w:lang w:eastAsia="zh-CN"/>
        </w:rPr>
        <w:t xml:space="preserve">, as contained </w:t>
      </w:r>
      <w:r w:rsidRPr="008D4247">
        <w:rPr>
          <w:iCs/>
          <w:snapToGrid w:val="0"/>
          <w:kern w:val="22"/>
          <w:szCs w:val="22"/>
          <w:lang w:eastAsia="zh-CN"/>
        </w:rPr>
        <w:t>in annex III to</w:t>
      </w:r>
      <w:r w:rsidRPr="00D71BEC">
        <w:rPr>
          <w:iCs/>
          <w:snapToGrid w:val="0"/>
          <w:kern w:val="22"/>
          <w:szCs w:val="22"/>
          <w:lang w:eastAsia="zh-CN"/>
        </w:rPr>
        <w:t xml:space="preserve"> the present decision;</w:t>
      </w:r>
    </w:p>
    <w:p w14:paraId="3FC44CC9" w14:textId="77777777" w:rsidR="00DA0273" w:rsidRPr="00D71BEC" w:rsidRDefault="00DA0273" w:rsidP="00092FE4">
      <w:pPr>
        <w:suppressLineNumbers/>
        <w:suppressAutoHyphens/>
        <w:adjustRightInd w:val="0"/>
        <w:snapToGrid w:val="0"/>
        <w:spacing w:before="120" w:after="120"/>
        <w:ind w:firstLine="709"/>
        <w:rPr>
          <w:iCs/>
          <w:snapToGrid w:val="0"/>
          <w:kern w:val="22"/>
          <w:szCs w:val="22"/>
          <w:lang w:eastAsia="zh-CN"/>
        </w:rPr>
      </w:pPr>
      <w:r w:rsidRPr="00D71BEC">
        <w:rPr>
          <w:iCs/>
          <w:snapToGrid w:val="0"/>
          <w:kern w:val="22"/>
          <w:szCs w:val="22"/>
          <w:lang w:eastAsia="zh-CN"/>
        </w:rPr>
        <w:t>14.</w:t>
      </w:r>
      <w:r w:rsidRPr="00D71BEC">
        <w:rPr>
          <w:iCs/>
          <w:snapToGrid w:val="0"/>
          <w:kern w:val="22"/>
          <w:szCs w:val="22"/>
          <w:lang w:eastAsia="zh-CN"/>
        </w:rPr>
        <w:tab/>
      </w:r>
      <w:r w:rsidRPr="00D71BEC">
        <w:rPr>
          <w:i/>
          <w:snapToGrid w:val="0"/>
          <w:kern w:val="22"/>
          <w:szCs w:val="22"/>
          <w:lang w:eastAsia="zh-CN"/>
        </w:rPr>
        <w:t>Requests</w:t>
      </w:r>
      <w:r w:rsidRPr="00D71BEC">
        <w:rPr>
          <w:iCs/>
          <w:snapToGrid w:val="0"/>
          <w:kern w:val="22"/>
          <w:szCs w:val="22"/>
          <w:lang w:eastAsia="zh-CN"/>
        </w:rPr>
        <w:t xml:space="preserve"> the Executive Secretary to ensure completion of the assessment according to the terms of reference </w:t>
      </w:r>
      <w:r w:rsidRPr="00755D6F">
        <w:rPr>
          <w:iCs/>
          <w:snapToGrid w:val="0"/>
          <w:kern w:val="22"/>
          <w:szCs w:val="22"/>
          <w:lang w:eastAsia="zh-CN"/>
        </w:rPr>
        <w:t>set out in</w:t>
      </w:r>
      <w:r w:rsidRPr="00D71BEC">
        <w:rPr>
          <w:iCs/>
          <w:snapToGrid w:val="0"/>
          <w:kern w:val="22"/>
          <w:szCs w:val="22"/>
          <w:lang w:eastAsia="zh-CN"/>
        </w:rPr>
        <w:t xml:space="preserve"> </w:t>
      </w:r>
      <w:r w:rsidRPr="008D4247">
        <w:rPr>
          <w:iCs/>
          <w:snapToGrid w:val="0"/>
          <w:kern w:val="22"/>
          <w:szCs w:val="22"/>
          <w:lang w:eastAsia="zh-CN"/>
        </w:rPr>
        <w:t>annex III to</w:t>
      </w:r>
      <w:r>
        <w:rPr>
          <w:iCs/>
          <w:snapToGrid w:val="0"/>
          <w:kern w:val="22"/>
          <w:szCs w:val="22"/>
          <w:lang w:eastAsia="zh-CN"/>
        </w:rPr>
        <w:t xml:space="preserve"> the present decision</w:t>
      </w:r>
      <w:r w:rsidRPr="00D71BEC">
        <w:rPr>
          <w:iCs/>
          <w:snapToGrid w:val="0"/>
          <w:kern w:val="22"/>
          <w:szCs w:val="22"/>
          <w:lang w:eastAsia="zh-CN"/>
        </w:rPr>
        <w:t>, in time for consideration by the Subsidiary Body on Implementation, and subsequently by the Conference of the Parties at its sixteenth meeting;</w:t>
      </w:r>
    </w:p>
    <w:p w14:paraId="68C28CD7" w14:textId="77777777" w:rsidR="00DA0273" w:rsidRPr="00D71BEC" w:rsidRDefault="00DA0273" w:rsidP="00092FE4">
      <w:pPr>
        <w:suppressLineNumbers/>
        <w:suppressAutoHyphens/>
        <w:adjustRightInd w:val="0"/>
        <w:snapToGrid w:val="0"/>
        <w:spacing w:before="120" w:after="120"/>
        <w:ind w:firstLine="709"/>
        <w:rPr>
          <w:iCs/>
          <w:snapToGrid w:val="0"/>
          <w:kern w:val="22"/>
          <w:szCs w:val="22"/>
          <w:lang w:eastAsia="zh-CN"/>
        </w:rPr>
      </w:pPr>
      <w:r w:rsidRPr="00D71BEC">
        <w:rPr>
          <w:iCs/>
          <w:snapToGrid w:val="0"/>
          <w:kern w:val="22"/>
          <w:szCs w:val="22"/>
          <w:lang w:eastAsia="zh-CN"/>
        </w:rPr>
        <w:t>15.</w:t>
      </w:r>
      <w:r w:rsidRPr="00D71BEC">
        <w:rPr>
          <w:iCs/>
          <w:snapToGrid w:val="0"/>
          <w:kern w:val="22"/>
          <w:szCs w:val="22"/>
          <w:lang w:eastAsia="zh-CN"/>
        </w:rPr>
        <w:tab/>
      </w:r>
      <w:r w:rsidRPr="00D71BEC">
        <w:rPr>
          <w:i/>
          <w:snapToGrid w:val="0"/>
          <w:kern w:val="22"/>
          <w:szCs w:val="22"/>
          <w:lang w:eastAsia="zh-CN"/>
        </w:rPr>
        <w:t>Invites</w:t>
      </w:r>
      <w:r w:rsidRPr="00D71BEC">
        <w:rPr>
          <w:iCs/>
          <w:snapToGrid w:val="0"/>
          <w:kern w:val="22"/>
          <w:szCs w:val="22"/>
          <w:lang w:eastAsia="zh-CN"/>
        </w:rPr>
        <w:t xml:space="preserve"> developing country Parties and Parties with economies in transition to identify related national funding priorities, including nationally prioritized funding needs that could be considered </w:t>
      </w:r>
      <w:r w:rsidRPr="00D71BEC">
        <w:rPr>
          <w:iCs/>
          <w:snapToGrid w:val="0"/>
          <w:kern w:val="22"/>
          <w:szCs w:val="22"/>
          <w:lang w:eastAsia="zh-CN"/>
        </w:rPr>
        <w:lastRenderedPageBreak/>
        <w:t>as eligible for funding under the financial mechanism specifically for the period July 2026 to June 2030, and submit the results to the Executive Secretary for inclusion in the funding needs assessment;</w:t>
      </w:r>
    </w:p>
    <w:p w14:paraId="0AA1FB6F" w14:textId="77777777" w:rsidR="00DA0273" w:rsidRPr="00D71BEC" w:rsidRDefault="00DA0273" w:rsidP="00092FE4">
      <w:pPr>
        <w:suppressLineNumbers/>
        <w:suppressAutoHyphens/>
        <w:adjustRightInd w:val="0"/>
        <w:snapToGrid w:val="0"/>
        <w:spacing w:before="120" w:after="120"/>
        <w:ind w:firstLine="709"/>
        <w:rPr>
          <w:iCs/>
          <w:snapToGrid w:val="0"/>
          <w:kern w:val="22"/>
          <w:szCs w:val="22"/>
          <w:lang w:eastAsia="zh-CN"/>
        </w:rPr>
      </w:pPr>
      <w:r w:rsidRPr="00D71BEC">
        <w:rPr>
          <w:iCs/>
          <w:snapToGrid w:val="0"/>
          <w:kern w:val="22"/>
          <w:szCs w:val="22"/>
          <w:lang w:eastAsia="zh-CN"/>
        </w:rPr>
        <w:t>16.</w:t>
      </w:r>
      <w:r w:rsidRPr="00D71BEC">
        <w:rPr>
          <w:iCs/>
          <w:snapToGrid w:val="0"/>
          <w:kern w:val="22"/>
          <w:szCs w:val="22"/>
          <w:lang w:eastAsia="zh-CN"/>
        </w:rPr>
        <w:tab/>
      </w:r>
      <w:r w:rsidRPr="00D71BEC">
        <w:rPr>
          <w:i/>
          <w:snapToGrid w:val="0"/>
          <w:kern w:val="22"/>
          <w:szCs w:val="22"/>
          <w:lang w:eastAsia="zh-CN"/>
        </w:rPr>
        <w:t>Invites</w:t>
      </w:r>
      <w:r w:rsidRPr="00D71BEC">
        <w:rPr>
          <w:iCs/>
          <w:snapToGrid w:val="0"/>
          <w:kern w:val="22"/>
          <w:szCs w:val="22"/>
          <w:lang w:eastAsia="zh-CN"/>
        </w:rPr>
        <w:t xml:space="preserve"> the governing bodies of the various biodiversity-related conventions, further to paragraphs 2, 3 and 4 of decision XII/30</w:t>
      </w:r>
      <w:r>
        <w:rPr>
          <w:iCs/>
          <w:snapToGrid w:val="0"/>
          <w:kern w:val="22"/>
          <w:szCs w:val="22"/>
          <w:lang w:eastAsia="zh-CN"/>
        </w:rPr>
        <w:t>,</w:t>
      </w:r>
      <w:r w:rsidRPr="00D71BEC">
        <w:rPr>
          <w:iCs/>
          <w:snapToGrid w:val="0"/>
          <w:kern w:val="22"/>
          <w:szCs w:val="22"/>
          <w:lang w:eastAsia="zh-CN"/>
        </w:rPr>
        <w:t xml:space="preserve"> and paragraph 10 of decision XIII/21, to repeat the exercise described therein for the development of strategic guidance for the ninth replenishment of the Global Environment Facility in time for consideration by the Conference of the Parties at its sixteenth meeting;</w:t>
      </w:r>
    </w:p>
    <w:p w14:paraId="03379750" w14:textId="77777777" w:rsidR="00DA0273" w:rsidRPr="00D71BEC" w:rsidRDefault="00DA0273" w:rsidP="00FB5720">
      <w:pPr>
        <w:suppressLineNumbers/>
        <w:suppressAutoHyphens/>
        <w:adjustRightInd w:val="0"/>
        <w:snapToGrid w:val="0"/>
        <w:spacing w:before="120" w:after="120"/>
        <w:ind w:firstLine="720"/>
        <w:rPr>
          <w:snapToGrid w:val="0"/>
          <w:kern w:val="22"/>
          <w:szCs w:val="22"/>
          <w:lang w:eastAsia="zh-CN"/>
        </w:rPr>
      </w:pPr>
      <w:r w:rsidRPr="00D71BEC">
        <w:rPr>
          <w:iCs/>
          <w:snapToGrid w:val="0"/>
          <w:kern w:val="22"/>
          <w:szCs w:val="22"/>
          <w:lang w:eastAsia="zh-CN"/>
        </w:rPr>
        <w:t>1</w:t>
      </w:r>
      <w:r w:rsidRPr="00D71BEC">
        <w:rPr>
          <w:snapToGrid w:val="0"/>
          <w:kern w:val="22"/>
          <w:szCs w:val="22"/>
          <w:lang w:eastAsia="zh-CN"/>
        </w:rPr>
        <w:t>7.</w:t>
      </w:r>
      <w:r w:rsidRPr="00D71BEC">
        <w:rPr>
          <w:i/>
          <w:snapToGrid w:val="0"/>
          <w:kern w:val="22"/>
          <w:szCs w:val="22"/>
          <w:lang w:eastAsia="zh-CN"/>
        </w:rPr>
        <w:tab/>
      </w:r>
      <w:r>
        <w:rPr>
          <w:i/>
          <w:snapToGrid w:val="0"/>
          <w:kern w:val="22"/>
          <w:szCs w:val="22"/>
          <w:lang w:eastAsia="zh-CN"/>
        </w:rPr>
        <w:t>A</w:t>
      </w:r>
      <w:r w:rsidRPr="00D71BEC">
        <w:rPr>
          <w:i/>
          <w:snapToGrid w:val="0"/>
          <w:kern w:val="22"/>
          <w:szCs w:val="22"/>
          <w:lang w:eastAsia="zh-CN"/>
        </w:rPr>
        <w:t>dopts</w:t>
      </w:r>
      <w:r w:rsidRPr="00D71BEC">
        <w:rPr>
          <w:snapToGrid w:val="0"/>
          <w:kern w:val="22"/>
          <w:szCs w:val="22"/>
          <w:lang w:eastAsia="zh-CN"/>
        </w:rPr>
        <w:t xml:space="preserve"> the terms of reference for the sixth quadrennial review of the effectiveness of the financial </w:t>
      </w:r>
      <w:r w:rsidRPr="002C5C05">
        <w:rPr>
          <w:snapToGrid w:val="0"/>
          <w:kern w:val="22"/>
          <w:szCs w:val="22"/>
          <w:lang w:eastAsia="zh-CN"/>
        </w:rPr>
        <w:t xml:space="preserve">mechanism contained in </w:t>
      </w:r>
      <w:r w:rsidRPr="008D4247">
        <w:rPr>
          <w:snapToGrid w:val="0"/>
          <w:kern w:val="22"/>
          <w:szCs w:val="22"/>
          <w:lang w:eastAsia="zh-CN"/>
        </w:rPr>
        <w:t>annex IV to the present</w:t>
      </w:r>
      <w:r w:rsidRPr="00D71BEC">
        <w:rPr>
          <w:snapToGrid w:val="0"/>
          <w:kern w:val="22"/>
          <w:szCs w:val="22"/>
          <w:lang w:eastAsia="zh-CN"/>
        </w:rPr>
        <w:t xml:space="preserve"> decision, and requests the </w:t>
      </w:r>
      <w:r w:rsidRPr="00D71BEC">
        <w:rPr>
          <w:snapToGrid w:val="0"/>
          <w:kern w:val="22"/>
          <w:szCs w:val="22"/>
        </w:rPr>
        <w:t>Executive</w:t>
      </w:r>
      <w:r w:rsidRPr="00D71BEC">
        <w:rPr>
          <w:snapToGrid w:val="0"/>
          <w:kern w:val="22"/>
          <w:szCs w:val="22"/>
          <w:lang w:eastAsia="zh-CN"/>
        </w:rPr>
        <w:t xml:space="preserve"> Secretary to </w:t>
      </w:r>
      <w:r w:rsidRPr="006F496A">
        <w:rPr>
          <w:snapToGrid w:val="0"/>
          <w:kern w:val="22"/>
          <w:szCs w:val="22"/>
          <w:lang w:eastAsia="zh-CN"/>
        </w:rPr>
        <w:t xml:space="preserve">ensure </w:t>
      </w:r>
      <w:r w:rsidRPr="000E778E">
        <w:rPr>
          <w:snapToGrid w:val="0"/>
          <w:kern w:val="22"/>
          <w:szCs w:val="22"/>
          <w:lang w:eastAsia="zh-CN"/>
        </w:rPr>
        <w:t xml:space="preserve">that </w:t>
      </w:r>
      <w:r w:rsidRPr="006F496A">
        <w:rPr>
          <w:snapToGrid w:val="0"/>
          <w:kern w:val="22"/>
          <w:szCs w:val="22"/>
          <w:lang w:eastAsia="zh-CN"/>
        </w:rPr>
        <w:t xml:space="preserve">the report on the sixth quadrennial review of the effectiveness of the financial mechanism </w:t>
      </w:r>
      <w:r w:rsidRPr="000E778E">
        <w:rPr>
          <w:snapToGrid w:val="0"/>
          <w:kern w:val="22"/>
          <w:szCs w:val="22"/>
          <w:lang w:eastAsia="zh-CN"/>
        </w:rPr>
        <w:t>is</w:t>
      </w:r>
      <w:r w:rsidRPr="006F496A">
        <w:rPr>
          <w:snapToGrid w:val="0"/>
          <w:kern w:val="22"/>
          <w:szCs w:val="22"/>
          <w:lang w:eastAsia="zh-CN"/>
        </w:rPr>
        <w:t xml:space="preserve"> </w:t>
      </w:r>
      <w:r w:rsidRPr="000E778E">
        <w:rPr>
          <w:snapToGrid w:val="0"/>
          <w:kern w:val="22"/>
          <w:szCs w:val="22"/>
          <w:lang w:eastAsia="zh-CN"/>
        </w:rPr>
        <w:t>made available</w:t>
      </w:r>
      <w:r w:rsidRPr="006F496A">
        <w:rPr>
          <w:snapToGrid w:val="0"/>
          <w:kern w:val="22"/>
          <w:szCs w:val="22"/>
          <w:lang w:eastAsia="zh-CN"/>
        </w:rPr>
        <w:t xml:space="preserve"> three months </w:t>
      </w:r>
      <w:r w:rsidRPr="000E778E">
        <w:rPr>
          <w:snapToGrid w:val="0"/>
          <w:kern w:val="22"/>
          <w:szCs w:val="22"/>
          <w:lang w:eastAsia="zh-CN"/>
        </w:rPr>
        <w:t xml:space="preserve">prior to </w:t>
      </w:r>
      <w:r w:rsidRPr="006F496A">
        <w:rPr>
          <w:snapToGrid w:val="0"/>
          <w:kern w:val="22"/>
          <w:szCs w:val="22"/>
          <w:lang w:eastAsia="zh-CN"/>
        </w:rPr>
        <w:t xml:space="preserve">the </w:t>
      </w:r>
      <w:r w:rsidRPr="000E778E">
        <w:rPr>
          <w:snapToGrid w:val="0"/>
          <w:kern w:val="22"/>
          <w:szCs w:val="22"/>
          <w:lang w:eastAsia="zh-CN"/>
        </w:rPr>
        <w:t xml:space="preserve">sixteenth meeting of the </w:t>
      </w:r>
      <w:r w:rsidRPr="006F496A">
        <w:rPr>
          <w:snapToGrid w:val="0"/>
          <w:kern w:val="22"/>
          <w:szCs w:val="22"/>
          <w:lang w:eastAsia="zh-CN"/>
        </w:rPr>
        <w:t>Conference of the Parties</w:t>
      </w:r>
      <w:r w:rsidRPr="000E778E">
        <w:rPr>
          <w:snapToGrid w:val="0"/>
          <w:kern w:val="22"/>
          <w:szCs w:val="22"/>
          <w:lang w:eastAsia="zh-CN"/>
        </w:rPr>
        <w:t>;</w:t>
      </w:r>
    </w:p>
    <w:p w14:paraId="06B47E34" w14:textId="77777777" w:rsidR="00DA0273" w:rsidRPr="00D71BEC" w:rsidRDefault="00DA0273" w:rsidP="00E21EEB">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sidRPr="00D71BEC">
        <w:rPr>
          <w:iCs/>
          <w:snapToGrid w:val="0"/>
          <w:kern w:val="22"/>
          <w:szCs w:val="22"/>
        </w:rPr>
        <w:t xml:space="preserve">18. </w:t>
      </w:r>
      <w:r w:rsidRPr="00D71BEC">
        <w:rPr>
          <w:iCs/>
          <w:snapToGrid w:val="0"/>
          <w:kern w:val="22"/>
          <w:szCs w:val="22"/>
        </w:rPr>
        <w:tab/>
      </w:r>
      <w:r w:rsidRPr="00D71BEC">
        <w:rPr>
          <w:i/>
          <w:snapToGrid w:val="0"/>
          <w:kern w:val="22"/>
          <w:szCs w:val="22"/>
        </w:rPr>
        <w:t>Calls upon</w:t>
      </w:r>
      <w:r w:rsidRPr="00D71BEC">
        <w:rPr>
          <w:iCs/>
          <w:snapToGrid w:val="0"/>
          <w:kern w:val="22"/>
          <w:szCs w:val="22"/>
        </w:rPr>
        <w:t xml:space="preserve"> the Global Environment Facility to further reform its operations to ensure adequacy, predictability, and the timely flow of funds by establishing easy and effective access modalities, including by scaling fast-track systems, and by facilitating new contributors</w:t>
      </w:r>
      <w:r>
        <w:rPr>
          <w:iCs/>
          <w:snapToGrid w:val="0"/>
          <w:kern w:val="22"/>
          <w:szCs w:val="22"/>
        </w:rPr>
        <w:t>;</w:t>
      </w:r>
    </w:p>
    <w:p w14:paraId="555A55D3" w14:textId="77777777" w:rsidR="00DA0273" w:rsidRPr="00D71BEC" w:rsidRDefault="00DA0273" w:rsidP="000E778E">
      <w:pPr>
        <w:pStyle w:val="BodyText"/>
        <w:spacing w:before="240"/>
        <w:ind w:right="117" w:firstLine="0"/>
        <w:rPr>
          <w:b/>
          <w:bCs/>
          <w:iCs w:val="0"/>
        </w:rPr>
      </w:pPr>
      <w:bookmarkStart w:id="202" w:name="_Hlk126231620"/>
      <w:r w:rsidRPr="00D71BEC">
        <w:rPr>
          <w:b/>
          <w:bCs/>
          <w:iCs w:val="0"/>
        </w:rPr>
        <w:t xml:space="preserve">Global Biodiversity Framework Fund </w:t>
      </w:r>
      <w:bookmarkEnd w:id="202"/>
    </w:p>
    <w:p w14:paraId="059B74AF" w14:textId="77777777" w:rsidR="00DA0273" w:rsidRPr="00D71BEC" w:rsidRDefault="00DA0273" w:rsidP="00463BD3">
      <w:pPr>
        <w:pStyle w:val="BodyText"/>
        <w:ind w:right="117" w:firstLine="630"/>
        <w:rPr>
          <w:iCs w:val="0"/>
        </w:rPr>
      </w:pPr>
      <w:r w:rsidRPr="00D71BEC">
        <w:rPr>
          <w:iCs w:val="0"/>
        </w:rPr>
        <w:t>19.</w:t>
      </w:r>
      <w:r w:rsidRPr="00D71BEC">
        <w:rPr>
          <w:iCs w:val="0"/>
        </w:rPr>
        <w:tab/>
      </w:r>
      <w:r w:rsidRPr="00D71BEC">
        <w:rPr>
          <w:i/>
        </w:rPr>
        <w:t>Recognizes</w:t>
      </w:r>
      <w:r w:rsidRPr="00D71BEC">
        <w:rPr>
          <w:iCs w:val="0"/>
        </w:rPr>
        <w:t xml:space="preserve"> the urgency to increase international biodiversity finance and to establish a dedicated and </w:t>
      </w:r>
      <w:r w:rsidRPr="006F496A">
        <w:rPr>
          <w:iCs w:val="0"/>
        </w:rPr>
        <w:t xml:space="preserve">accessible </w:t>
      </w:r>
      <w:r w:rsidRPr="00E129DD">
        <w:rPr>
          <w:iCs w:val="0"/>
        </w:rPr>
        <w:t>f</w:t>
      </w:r>
      <w:r w:rsidRPr="0064536A">
        <w:rPr>
          <w:iCs w:val="0"/>
        </w:rPr>
        <w:t>und</w:t>
      </w:r>
      <w:r>
        <w:rPr>
          <w:iCs w:val="0"/>
        </w:rPr>
        <w:t xml:space="preserve"> </w:t>
      </w:r>
      <w:r w:rsidRPr="00D71BEC">
        <w:rPr>
          <w:iCs w:val="0"/>
        </w:rPr>
        <w:t xml:space="preserve">in 2023 </w:t>
      </w:r>
      <w:r w:rsidRPr="001664EA">
        <w:rPr>
          <w:iCs w:val="0"/>
        </w:rPr>
        <w:t xml:space="preserve">for the </w:t>
      </w:r>
      <w:r w:rsidRPr="000E778E">
        <w:rPr>
          <w:iCs w:val="0"/>
        </w:rPr>
        <w:t xml:space="preserve">Kunming-Montreal </w:t>
      </w:r>
      <w:r w:rsidRPr="001664EA">
        <w:rPr>
          <w:iCs w:val="0"/>
        </w:rPr>
        <w:t>Global Biodiversity Framework</w:t>
      </w:r>
      <w:r w:rsidRPr="006F496A">
        <w:rPr>
          <w:iCs w:val="0"/>
        </w:rPr>
        <w:t xml:space="preserve"> </w:t>
      </w:r>
      <w:r w:rsidRPr="00D71BEC">
        <w:rPr>
          <w:iCs w:val="0"/>
        </w:rPr>
        <w:t xml:space="preserve">that can quickly mobilize and disburse new and additional resources from all sources, commensurate with the ambition of the </w:t>
      </w:r>
      <w:r>
        <w:rPr>
          <w:iCs w:val="0"/>
        </w:rPr>
        <w:t>F</w:t>
      </w:r>
      <w:r w:rsidRPr="00D71BEC">
        <w:rPr>
          <w:iCs w:val="0"/>
        </w:rPr>
        <w:t>ramework;</w:t>
      </w:r>
    </w:p>
    <w:p w14:paraId="37D81D7D" w14:textId="77777777" w:rsidR="00DA0273" w:rsidRPr="00D71BEC" w:rsidRDefault="00DA0273" w:rsidP="00463BD3">
      <w:pPr>
        <w:pStyle w:val="BodyText"/>
        <w:ind w:right="117" w:firstLine="630"/>
        <w:rPr>
          <w:iCs w:val="0"/>
        </w:rPr>
      </w:pPr>
      <w:r w:rsidRPr="00D71BEC">
        <w:rPr>
          <w:iCs w:val="0"/>
        </w:rPr>
        <w:t>20.</w:t>
      </w:r>
      <w:r w:rsidRPr="00D71BEC">
        <w:rPr>
          <w:iCs w:val="0"/>
        </w:rPr>
        <w:tab/>
      </w:r>
      <w:r w:rsidRPr="00D71BEC">
        <w:rPr>
          <w:i/>
        </w:rPr>
        <w:t>Requests</w:t>
      </w:r>
      <w:r w:rsidRPr="00D71BEC">
        <w:rPr>
          <w:iCs w:val="0"/>
        </w:rPr>
        <w:t xml:space="preserve"> the Global Environment Facility to establish, in 2023, and until 2030 unless the Conference of the Parties decides </w:t>
      </w:r>
      <w:r w:rsidRPr="00492FE3">
        <w:rPr>
          <w:iCs w:val="0"/>
        </w:rPr>
        <w:t xml:space="preserve">otherwise, a </w:t>
      </w:r>
      <w:r w:rsidRPr="000E778E">
        <w:rPr>
          <w:iCs w:val="0"/>
        </w:rPr>
        <w:t>s</w:t>
      </w:r>
      <w:r w:rsidRPr="00492FE3">
        <w:rPr>
          <w:iCs w:val="0"/>
        </w:rPr>
        <w:t xml:space="preserve">pecial </w:t>
      </w:r>
      <w:r w:rsidRPr="000E778E">
        <w:rPr>
          <w:iCs w:val="0"/>
        </w:rPr>
        <w:t>t</w:t>
      </w:r>
      <w:r w:rsidRPr="00492FE3">
        <w:rPr>
          <w:iCs w:val="0"/>
        </w:rPr>
        <w:t xml:space="preserve">rust </w:t>
      </w:r>
      <w:r w:rsidRPr="000E778E">
        <w:rPr>
          <w:iCs w:val="0"/>
        </w:rPr>
        <w:t>f</w:t>
      </w:r>
      <w:r w:rsidRPr="00492FE3">
        <w:rPr>
          <w:iCs w:val="0"/>
        </w:rPr>
        <w:t>und to support</w:t>
      </w:r>
      <w:r w:rsidRPr="00D71BEC">
        <w:rPr>
          <w:iCs w:val="0"/>
        </w:rPr>
        <w:t xml:space="preserve"> </w:t>
      </w:r>
      <w:r w:rsidRPr="00D71BEC">
        <w:rPr>
          <w:snapToGrid w:val="0"/>
          <w:kern w:val="20"/>
        </w:rPr>
        <w:t xml:space="preserve">the implementation of the </w:t>
      </w:r>
      <w:r w:rsidRPr="009626DB">
        <w:rPr>
          <w:snapToGrid w:val="0"/>
          <w:kern w:val="20"/>
        </w:rPr>
        <w:t>Kunming-Montreal Global Biodiversity Framework</w:t>
      </w:r>
      <w:r w:rsidRPr="009626DB">
        <w:rPr>
          <w:iCs w:val="0"/>
        </w:rPr>
        <w:t>, to</w:t>
      </w:r>
      <w:r w:rsidRPr="00D71BEC">
        <w:rPr>
          <w:iCs w:val="0"/>
        </w:rPr>
        <w:t xml:space="preserve"> complement existing support and scale up financing to ensure its timely implementation, taking into account the need for adequacy, predictability, and timely flow of funds;</w:t>
      </w:r>
    </w:p>
    <w:p w14:paraId="78F01BEC" w14:textId="77777777" w:rsidR="00DA0273" w:rsidRPr="00D71BEC" w:rsidRDefault="00DA0273" w:rsidP="00463BD3">
      <w:pPr>
        <w:pStyle w:val="BodyText"/>
        <w:ind w:right="117" w:firstLine="630"/>
        <w:rPr>
          <w:iCs w:val="0"/>
        </w:rPr>
      </w:pPr>
      <w:r w:rsidRPr="00D71BEC">
        <w:rPr>
          <w:iCs w:val="0"/>
        </w:rPr>
        <w:t>21.</w:t>
      </w:r>
      <w:r w:rsidRPr="00D71BEC">
        <w:rPr>
          <w:iCs w:val="0"/>
        </w:rPr>
        <w:tab/>
      </w:r>
      <w:r>
        <w:rPr>
          <w:i/>
        </w:rPr>
        <w:t>Also r</w:t>
      </w:r>
      <w:r w:rsidRPr="00D71BEC">
        <w:rPr>
          <w:i/>
        </w:rPr>
        <w:t>equests</w:t>
      </w:r>
      <w:r w:rsidRPr="00D71BEC">
        <w:rPr>
          <w:iCs w:val="0"/>
        </w:rPr>
        <w:t xml:space="preserve"> the Global Environmental Facility to prepare a decision to be considered by the Council</w:t>
      </w:r>
      <w:r>
        <w:rPr>
          <w:iCs w:val="0"/>
        </w:rPr>
        <w:t>,</w:t>
      </w:r>
      <w:r w:rsidRPr="00D71BEC">
        <w:rPr>
          <w:iCs w:val="0"/>
        </w:rPr>
        <w:t xml:space="preserve"> on the </w:t>
      </w:r>
      <w:r w:rsidRPr="00FA29C2">
        <w:rPr>
          <w:iCs w:val="0"/>
        </w:rPr>
        <w:t xml:space="preserve">approval of </w:t>
      </w:r>
      <w:r w:rsidRPr="000E778E">
        <w:rPr>
          <w:iCs w:val="0"/>
        </w:rPr>
        <w:t>the</w:t>
      </w:r>
      <w:r w:rsidRPr="0044733B">
        <w:rPr>
          <w:iCs w:val="0"/>
        </w:rPr>
        <w:t xml:space="preserve"> Global Biodiversity Framewor</w:t>
      </w:r>
      <w:r w:rsidRPr="00FA29C2">
        <w:rPr>
          <w:iCs w:val="0"/>
        </w:rPr>
        <w:t>k Fund</w:t>
      </w:r>
      <w:r w:rsidRPr="00D71BEC">
        <w:rPr>
          <w:iCs w:val="0"/>
        </w:rPr>
        <w:t xml:space="preserve">, with its own equitable governing body, to be dedicated exclusively to supporting the implementation of the goals and targets of the </w:t>
      </w:r>
      <w:r>
        <w:rPr>
          <w:iCs w:val="0"/>
          <w:snapToGrid w:val="0"/>
          <w:kern w:val="22"/>
          <w:szCs w:val="22"/>
          <w:lang w:eastAsia="zh-CN"/>
        </w:rPr>
        <w:t>Kunming-Montreal</w:t>
      </w:r>
      <w:r w:rsidRPr="00D71BEC">
        <w:rPr>
          <w:snapToGrid w:val="0"/>
          <w:kern w:val="22"/>
          <w:szCs w:val="22"/>
          <w:lang w:eastAsia="zh-CN"/>
        </w:rPr>
        <w:t xml:space="preserve"> </w:t>
      </w:r>
      <w:r>
        <w:rPr>
          <w:iCs w:val="0"/>
          <w:snapToGrid w:val="0"/>
          <w:kern w:val="22"/>
          <w:szCs w:val="22"/>
          <w:lang w:eastAsia="zh-CN"/>
        </w:rPr>
        <w:t>G</w:t>
      </w:r>
      <w:r w:rsidRPr="00D71BEC">
        <w:rPr>
          <w:snapToGrid w:val="0"/>
          <w:kern w:val="22"/>
          <w:szCs w:val="22"/>
          <w:lang w:eastAsia="zh-CN"/>
        </w:rPr>
        <w:t xml:space="preserve">lobal </w:t>
      </w:r>
      <w:r>
        <w:rPr>
          <w:iCs w:val="0"/>
          <w:snapToGrid w:val="0"/>
          <w:kern w:val="22"/>
          <w:szCs w:val="22"/>
          <w:lang w:eastAsia="zh-CN"/>
        </w:rPr>
        <w:t>B</w:t>
      </w:r>
      <w:r w:rsidRPr="00D71BEC">
        <w:rPr>
          <w:snapToGrid w:val="0"/>
          <w:kern w:val="22"/>
          <w:szCs w:val="22"/>
          <w:lang w:eastAsia="zh-CN"/>
        </w:rPr>
        <w:t xml:space="preserve">iodiversity </w:t>
      </w:r>
      <w:r>
        <w:rPr>
          <w:iCs w:val="0"/>
          <w:snapToGrid w:val="0"/>
          <w:kern w:val="22"/>
          <w:szCs w:val="22"/>
          <w:lang w:eastAsia="zh-CN"/>
        </w:rPr>
        <w:t>F</w:t>
      </w:r>
      <w:r w:rsidRPr="00D71BEC">
        <w:rPr>
          <w:snapToGrid w:val="0"/>
          <w:kern w:val="22"/>
          <w:szCs w:val="22"/>
          <w:lang w:eastAsia="zh-CN"/>
        </w:rPr>
        <w:t>ramework</w:t>
      </w:r>
      <w:r w:rsidRPr="00D71BEC">
        <w:rPr>
          <w:iCs w:val="0"/>
        </w:rPr>
        <w:t xml:space="preserve">; </w:t>
      </w:r>
    </w:p>
    <w:p w14:paraId="2E6C32EF" w14:textId="77777777" w:rsidR="00DA0273" w:rsidRPr="00D71BEC" w:rsidRDefault="00DA0273" w:rsidP="00463BD3">
      <w:pPr>
        <w:pStyle w:val="BodyText"/>
        <w:ind w:right="117" w:firstLine="630"/>
        <w:rPr>
          <w:iCs w:val="0"/>
        </w:rPr>
      </w:pPr>
      <w:r w:rsidRPr="00D71BEC">
        <w:rPr>
          <w:iCs w:val="0"/>
        </w:rPr>
        <w:t>22.</w:t>
      </w:r>
      <w:r w:rsidRPr="00D71BEC">
        <w:rPr>
          <w:iCs w:val="0"/>
        </w:rPr>
        <w:tab/>
      </w:r>
      <w:r>
        <w:rPr>
          <w:i/>
        </w:rPr>
        <w:t>Further r</w:t>
      </w:r>
      <w:r w:rsidRPr="00D71BEC">
        <w:rPr>
          <w:i/>
        </w:rPr>
        <w:t>equests</w:t>
      </w:r>
      <w:r w:rsidRPr="00D71BEC">
        <w:rPr>
          <w:iCs w:val="0"/>
        </w:rPr>
        <w:t xml:space="preserve"> the Global Environment Facility to advance the necessary institutional and governance arrangements to allow for th</w:t>
      </w:r>
      <w:r>
        <w:rPr>
          <w:iCs w:val="0"/>
        </w:rPr>
        <w:t>e</w:t>
      </w:r>
      <w:r w:rsidRPr="00D71BEC">
        <w:rPr>
          <w:iCs w:val="0"/>
        </w:rPr>
        <w:t xml:space="preserve"> </w:t>
      </w:r>
      <w:r w:rsidRPr="0044733B">
        <w:rPr>
          <w:iCs w:val="0"/>
        </w:rPr>
        <w:t>Global Biodiversity Framework Fund</w:t>
      </w:r>
      <w:r>
        <w:rPr>
          <w:iCs w:val="0"/>
        </w:rPr>
        <w:t xml:space="preserve"> </w:t>
      </w:r>
      <w:r w:rsidRPr="00D71BEC">
        <w:rPr>
          <w:iCs w:val="0"/>
        </w:rPr>
        <w:t xml:space="preserve">to receive </w:t>
      </w:r>
      <w:r w:rsidRPr="00FC0675">
        <w:rPr>
          <w:iCs w:val="0"/>
        </w:rPr>
        <w:t>financing</w:t>
      </w:r>
      <w:r w:rsidRPr="00D71BEC">
        <w:rPr>
          <w:iCs w:val="0"/>
        </w:rPr>
        <w:t xml:space="preserve"> from all sources</w:t>
      </w:r>
      <w:r>
        <w:rPr>
          <w:iCs w:val="0"/>
        </w:rPr>
        <w:t>,</w:t>
      </w:r>
      <w:r w:rsidRPr="00CC0F22">
        <w:rPr>
          <w:iCs w:val="0"/>
        </w:rPr>
        <w:t xml:space="preserve"> </w:t>
      </w:r>
      <w:r w:rsidRPr="00D71BEC">
        <w:rPr>
          <w:iCs w:val="0"/>
        </w:rPr>
        <w:t xml:space="preserve">in addition </w:t>
      </w:r>
      <w:r w:rsidRPr="00FC0675">
        <w:rPr>
          <w:iCs w:val="0"/>
        </w:rPr>
        <w:t xml:space="preserve">to </w:t>
      </w:r>
      <w:r>
        <w:rPr>
          <w:iCs w:val="0"/>
        </w:rPr>
        <w:t>o</w:t>
      </w:r>
      <w:r w:rsidRPr="00A83FA0">
        <w:rPr>
          <w:iCs w:val="0"/>
        </w:rPr>
        <w:t>fficial</w:t>
      </w:r>
      <w:r w:rsidRPr="00FC0675">
        <w:rPr>
          <w:iCs w:val="0"/>
        </w:rPr>
        <w:t xml:space="preserve"> </w:t>
      </w:r>
      <w:r>
        <w:rPr>
          <w:iCs w:val="0"/>
        </w:rPr>
        <w:t>d</w:t>
      </w:r>
      <w:r w:rsidRPr="00FC0675">
        <w:rPr>
          <w:iCs w:val="0"/>
        </w:rPr>
        <w:t xml:space="preserve">evelopment </w:t>
      </w:r>
      <w:r>
        <w:rPr>
          <w:iCs w:val="0"/>
        </w:rPr>
        <w:t>a</w:t>
      </w:r>
      <w:r w:rsidRPr="00FC0675">
        <w:rPr>
          <w:iCs w:val="0"/>
        </w:rPr>
        <w:t>ssistance</w:t>
      </w:r>
      <w:r w:rsidRPr="00D71BEC">
        <w:rPr>
          <w:iCs w:val="0"/>
        </w:rPr>
        <w:t xml:space="preserve">;  </w:t>
      </w:r>
    </w:p>
    <w:p w14:paraId="07EABA98" w14:textId="77777777" w:rsidR="00DA0273" w:rsidRPr="00D71BEC" w:rsidRDefault="00DA0273" w:rsidP="00463BD3">
      <w:pPr>
        <w:pStyle w:val="BodyText"/>
        <w:ind w:right="117" w:firstLine="630"/>
        <w:rPr>
          <w:iCs w:val="0"/>
        </w:rPr>
      </w:pPr>
      <w:r w:rsidRPr="00D71BEC">
        <w:rPr>
          <w:iCs w:val="0"/>
        </w:rPr>
        <w:t>23.</w:t>
      </w:r>
      <w:r w:rsidRPr="00D71BEC">
        <w:rPr>
          <w:iCs w:val="0"/>
        </w:rPr>
        <w:tab/>
      </w:r>
      <w:r w:rsidRPr="00D71BEC">
        <w:rPr>
          <w:i/>
        </w:rPr>
        <w:t>Requests</w:t>
      </w:r>
      <w:r w:rsidRPr="00D71BEC">
        <w:rPr>
          <w:iCs w:val="0"/>
        </w:rPr>
        <w:t xml:space="preserve"> the Global Environment Facility to design and implement a project cycle with a simple and effective application and approval process, providing easy and efficient access to resources of the </w:t>
      </w:r>
      <w:r w:rsidRPr="0044733B">
        <w:rPr>
          <w:iCs w:val="0"/>
        </w:rPr>
        <w:t xml:space="preserve">Global Biodiversity </w:t>
      </w:r>
      <w:r w:rsidRPr="00FA29C2">
        <w:rPr>
          <w:iCs w:val="0"/>
        </w:rPr>
        <w:t xml:space="preserve">Framework </w:t>
      </w:r>
      <w:r w:rsidRPr="000E778E">
        <w:rPr>
          <w:iCs w:val="0"/>
        </w:rPr>
        <w:t>F</w:t>
      </w:r>
      <w:r w:rsidRPr="00FA29C2">
        <w:rPr>
          <w:iCs w:val="0"/>
        </w:rPr>
        <w:t>und;</w:t>
      </w:r>
    </w:p>
    <w:p w14:paraId="5304FC6F" w14:textId="77777777" w:rsidR="00DA0273" w:rsidRPr="00D71BEC" w:rsidRDefault="00DA0273" w:rsidP="00463BD3">
      <w:pPr>
        <w:pStyle w:val="BodyText"/>
        <w:ind w:right="117" w:firstLine="630"/>
        <w:rPr>
          <w:iCs w:val="0"/>
        </w:rPr>
      </w:pPr>
      <w:r w:rsidRPr="00D71BEC">
        <w:rPr>
          <w:iCs w:val="0"/>
        </w:rPr>
        <w:t>24.</w:t>
      </w:r>
      <w:r w:rsidRPr="00D71BEC">
        <w:rPr>
          <w:iCs w:val="0"/>
        </w:rPr>
        <w:tab/>
      </w:r>
      <w:r w:rsidRPr="00D71BEC">
        <w:rPr>
          <w:i/>
        </w:rPr>
        <w:t>Calls upon</w:t>
      </w:r>
      <w:r w:rsidRPr="00D71BEC">
        <w:rPr>
          <w:iCs w:val="0"/>
        </w:rPr>
        <w:t xml:space="preserve"> the Global Environment Facility to approve these decisions at the next possible session of the Council and its ratification at the next possible session of the Assembly in 2023;</w:t>
      </w:r>
    </w:p>
    <w:p w14:paraId="01551667" w14:textId="77777777" w:rsidR="00DA0273" w:rsidRPr="00D71BEC" w:rsidRDefault="00DA0273" w:rsidP="00463BD3">
      <w:pPr>
        <w:pStyle w:val="BodyText"/>
        <w:ind w:right="117" w:firstLine="630"/>
        <w:rPr>
          <w:iCs w:val="0"/>
        </w:rPr>
      </w:pPr>
      <w:r w:rsidRPr="00D71BEC">
        <w:rPr>
          <w:iCs w:val="0"/>
        </w:rPr>
        <w:t>25.</w:t>
      </w:r>
      <w:r w:rsidRPr="00D71BEC">
        <w:rPr>
          <w:iCs w:val="0"/>
        </w:rPr>
        <w:tab/>
      </w:r>
      <w:r w:rsidRPr="00D71BEC">
        <w:rPr>
          <w:i/>
        </w:rPr>
        <w:t>Calls for</w:t>
      </w:r>
      <w:r w:rsidRPr="00D71BEC">
        <w:rPr>
          <w:iCs w:val="0"/>
        </w:rPr>
        <w:t xml:space="preserve"> immediate substantive contributions from all sources, in line with </w:t>
      </w:r>
      <w:r w:rsidRPr="006F2BC8">
        <w:rPr>
          <w:iCs w:val="0"/>
        </w:rPr>
        <w:t>Target 19</w:t>
      </w:r>
      <w:r w:rsidRPr="00D71BEC">
        <w:rPr>
          <w:iCs w:val="0"/>
        </w:rPr>
        <w:t xml:space="preserve"> of the </w:t>
      </w:r>
      <w:r>
        <w:rPr>
          <w:iCs w:val="0"/>
          <w:snapToGrid w:val="0"/>
          <w:kern w:val="22"/>
          <w:szCs w:val="22"/>
          <w:lang w:eastAsia="zh-CN"/>
        </w:rPr>
        <w:t>Kunming-Montreal</w:t>
      </w:r>
      <w:r w:rsidRPr="00D71BEC">
        <w:rPr>
          <w:snapToGrid w:val="0"/>
          <w:kern w:val="22"/>
          <w:szCs w:val="22"/>
          <w:lang w:eastAsia="zh-CN"/>
        </w:rPr>
        <w:t xml:space="preserve"> </w:t>
      </w:r>
      <w:r>
        <w:rPr>
          <w:iCs w:val="0"/>
          <w:snapToGrid w:val="0"/>
          <w:kern w:val="22"/>
          <w:szCs w:val="22"/>
          <w:lang w:eastAsia="zh-CN"/>
        </w:rPr>
        <w:t>G</w:t>
      </w:r>
      <w:r w:rsidRPr="00D71BEC">
        <w:rPr>
          <w:snapToGrid w:val="0"/>
          <w:kern w:val="22"/>
          <w:szCs w:val="22"/>
          <w:lang w:eastAsia="zh-CN"/>
        </w:rPr>
        <w:t xml:space="preserve">lobal </w:t>
      </w:r>
      <w:r>
        <w:rPr>
          <w:iCs w:val="0"/>
          <w:snapToGrid w:val="0"/>
          <w:kern w:val="22"/>
          <w:szCs w:val="22"/>
          <w:lang w:eastAsia="zh-CN"/>
        </w:rPr>
        <w:t>B</w:t>
      </w:r>
      <w:r w:rsidRPr="00D71BEC">
        <w:rPr>
          <w:snapToGrid w:val="0"/>
          <w:kern w:val="22"/>
          <w:szCs w:val="22"/>
          <w:lang w:eastAsia="zh-CN"/>
        </w:rPr>
        <w:t xml:space="preserve">iodiversity </w:t>
      </w:r>
      <w:r>
        <w:rPr>
          <w:iCs w:val="0"/>
          <w:snapToGrid w:val="0"/>
          <w:kern w:val="22"/>
          <w:szCs w:val="22"/>
          <w:lang w:eastAsia="zh-CN"/>
        </w:rPr>
        <w:t>F</w:t>
      </w:r>
      <w:r w:rsidRPr="00D71BEC">
        <w:rPr>
          <w:snapToGrid w:val="0"/>
          <w:kern w:val="22"/>
          <w:szCs w:val="22"/>
          <w:lang w:eastAsia="zh-CN"/>
        </w:rPr>
        <w:t>ramework</w:t>
      </w:r>
      <w:r w:rsidRPr="00D71BEC">
        <w:rPr>
          <w:iCs w:val="0"/>
        </w:rPr>
        <w:t>;</w:t>
      </w:r>
    </w:p>
    <w:p w14:paraId="38492C5C" w14:textId="77777777" w:rsidR="00DA0273" w:rsidRPr="00D71BEC" w:rsidRDefault="00DA0273" w:rsidP="00463BD3">
      <w:pPr>
        <w:pStyle w:val="BodyText"/>
        <w:ind w:right="117" w:firstLine="630"/>
        <w:rPr>
          <w:iCs w:val="0"/>
        </w:rPr>
      </w:pPr>
      <w:r w:rsidRPr="00D71BEC">
        <w:rPr>
          <w:iCs w:val="0"/>
        </w:rPr>
        <w:t>26.</w:t>
      </w:r>
      <w:r w:rsidRPr="00D71BEC">
        <w:rPr>
          <w:iCs w:val="0"/>
        </w:rPr>
        <w:tab/>
      </w:r>
      <w:r w:rsidRPr="00D71BEC">
        <w:rPr>
          <w:i/>
        </w:rPr>
        <w:t>Requests</w:t>
      </w:r>
      <w:r w:rsidRPr="00D71BEC">
        <w:rPr>
          <w:iCs w:val="0"/>
        </w:rPr>
        <w:t xml:space="preserve"> the Global Environmental Facility to engage all </w:t>
      </w:r>
      <w:r>
        <w:rPr>
          <w:iCs w:val="0"/>
        </w:rPr>
        <w:t>m</w:t>
      </w:r>
      <w:r w:rsidRPr="00D71BEC">
        <w:rPr>
          <w:iCs w:val="0"/>
        </w:rPr>
        <w:t xml:space="preserve">ultilateral </w:t>
      </w:r>
      <w:r>
        <w:rPr>
          <w:iCs w:val="0"/>
        </w:rPr>
        <w:t>d</w:t>
      </w:r>
      <w:r w:rsidRPr="00D71BEC">
        <w:rPr>
          <w:iCs w:val="0"/>
        </w:rPr>
        <w:t xml:space="preserve">evelopment </w:t>
      </w:r>
      <w:r>
        <w:rPr>
          <w:iCs w:val="0"/>
        </w:rPr>
        <w:t>b</w:t>
      </w:r>
      <w:r w:rsidRPr="00D71BEC">
        <w:rPr>
          <w:iCs w:val="0"/>
        </w:rPr>
        <w:t xml:space="preserve">anks </w:t>
      </w:r>
      <w:r w:rsidRPr="004D060A">
        <w:rPr>
          <w:iCs w:val="0"/>
        </w:rPr>
        <w:t xml:space="preserve">and other </w:t>
      </w:r>
      <w:r w:rsidRPr="000E778E">
        <w:rPr>
          <w:iCs w:val="0"/>
        </w:rPr>
        <w:t>i</w:t>
      </w:r>
      <w:r w:rsidRPr="004D060A">
        <w:rPr>
          <w:iCs w:val="0"/>
        </w:rPr>
        <w:t>nternational</w:t>
      </w:r>
      <w:r w:rsidRPr="00B94409">
        <w:rPr>
          <w:iCs w:val="0"/>
        </w:rPr>
        <w:t xml:space="preserve"> </w:t>
      </w:r>
      <w:r w:rsidRPr="000E778E">
        <w:rPr>
          <w:iCs w:val="0"/>
        </w:rPr>
        <w:t>f</w:t>
      </w:r>
      <w:r w:rsidRPr="00B94409">
        <w:rPr>
          <w:iCs w:val="0"/>
        </w:rPr>
        <w:t xml:space="preserve">inancial </w:t>
      </w:r>
      <w:r w:rsidRPr="000E778E">
        <w:rPr>
          <w:iCs w:val="0"/>
        </w:rPr>
        <w:t>i</w:t>
      </w:r>
      <w:r w:rsidRPr="00B94409">
        <w:rPr>
          <w:iCs w:val="0"/>
        </w:rPr>
        <w:t>nstitutions in</w:t>
      </w:r>
      <w:r w:rsidRPr="00D71BEC">
        <w:rPr>
          <w:iCs w:val="0"/>
        </w:rPr>
        <w:t xml:space="preserve"> the design and operationalization of the </w:t>
      </w:r>
      <w:r w:rsidRPr="0044733B">
        <w:rPr>
          <w:iCs w:val="0"/>
        </w:rPr>
        <w:t xml:space="preserve">Global Biodiversity </w:t>
      </w:r>
      <w:r w:rsidRPr="00FA29C2">
        <w:rPr>
          <w:iCs w:val="0"/>
        </w:rPr>
        <w:t xml:space="preserve">Framework </w:t>
      </w:r>
      <w:r w:rsidRPr="000E778E">
        <w:rPr>
          <w:iCs w:val="0"/>
        </w:rPr>
        <w:t>F</w:t>
      </w:r>
      <w:r w:rsidRPr="00FA29C2">
        <w:rPr>
          <w:iCs w:val="0"/>
        </w:rPr>
        <w:t>und, with</w:t>
      </w:r>
      <w:r w:rsidRPr="00D71BEC">
        <w:rPr>
          <w:iCs w:val="0"/>
        </w:rPr>
        <w:t xml:space="preserve"> the view of leveraging additional resources from and </w:t>
      </w:r>
      <w:r w:rsidRPr="00FA29C2">
        <w:rPr>
          <w:iCs w:val="0"/>
        </w:rPr>
        <w:t>for the Fund and</w:t>
      </w:r>
      <w:r w:rsidRPr="00D71BEC">
        <w:rPr>
          <w:iCs w:val="0"/>
        </w:rPr>
        <w:t xml:space="preserve"> channel them through new and existing biodiversity portfolios, which need to be aligned with the goals and targets of the </w:t>
      </w:r>
      <w:r>
        <w:rPr>
          <w:iCs w:val="0"/>
        </w:rPr>
        <w:t>Kunming-Montreal G</w:t>
      </w:r>
      <w:r w:rsidRPr="00D71BEC">
        <w:rPr>
          <w:iCs w:val="0"/>
        </w:rPr>
        <w:t xml:space="preserve">lobal </w:t>
      </w:r>
      <w:r>
        <w:rPr>
          <w:iCs w:val="0"/>
        </w:rPr>
        <w:t>B</w:t>
      </w:r>
      <w:r w:rsidRPr="00D71BEC">
        <w:rPr>
          <w:iCs w:val="0"/>
        </w:rPr>
        <w:t xml:space="preserve">iodiversity </w:t>
      </w:r>
      <w:r>
        <w:rPr>
          <w:iCs w:val="0"/>
        </w:rPr>
        <w:t>F</w:t>
      </w:r>
      <w:r w:rsidRPr="00D71BEC">
        <w:rPr>
          <w:iCs w:val="0"/>
        </w:rPr>
        <w:t>ramework;</w:t>
      </w:r>
    </w:p>
    <w:p w14:paraId="6A378F13" w14:textId="77777777" w:rsidR="00DA0273" w:rsidRPr="00D71BEC" w:rsidRDefault="00DA0273" w:rsidP="00463BD3">
      <w:pPr>
        <w:pStyle w:val="BodyText"/>
        <w:ind w:right="117" w:firstLine="630"/>
        <w:rPr>
          <w:iCs w:val="0"/>
        </w:rPr>
      </w:pPr>
      <w:r w:rsidRPr="00D71BEC">
        <w:rPr>
          <w:iCs w:val="0"/>
        </w:rPr>
        <w:t>27</w:t>
      </w:r>
      <w:r w:rsidRPr="00817192">
        <w:rPr>
          <w:iCs w:val="0"/>
        </w:rPr>
        <w:t>.</w:t>
      </w:r>
      <w:r w:rsidRPr="00817192">
        <w:rPr>
          <w:iCs w:val="0"/>
        </w:rPr>
        <w:tab/>
      </w:r>
      <w:r w:rsidRPr="00817192">
        <w:rPr>
          <w:i/>
        </w:rPr>
        <w:t>Also requests</w:t>
      </w:r>
      <w:r w:rsidRPr="00817192">
        <w:rPr>
          <w:iCs w:val="0"/>
        </w:rPr>
        <w:t xml:space="preserve"> the Global Environment Facility to report on the progress in establishing</w:t>
      </w:r>
      <w:r>
        <w:rPr>
          <w:iCs w:val="0"/>
        </w:rPr>
        <w:t>,</w:t>
      </w:r>
      <w:r w:rsidRPr="00817192">
        <w:rPr>
          <w:iCs w:val="0"/>
        </w:rPr>
        <w:t xml:space="preserve"> and on the operations and performance of</w:t>
      </w:r>
      <w:r>
        <w:rPr>
          <w:iCs w:val="0"/>
        </w:rPr>
        <w:t>,</w:t>
      </w:r>
      <w:r w:rsidRPr="00817192">
        <w:rPr>
          <w:iCs w:val="0"/>
        </w:rPr>
        <w:t xml:space="preserve"> the Global Biodiversity Framework </w:t>
      </w:r>
      <w:r w:rsidRPr="000E778E">
        <w:rPr>
          <w:iCs w:val="0"/>
        </w:rPr>
        <w:t>F</w:t>
      </w:r>
      <w:r w:rsidRPr="00817192">
        <w:rPr>
          <w:iCs w:val="0"/>
        </w:rPr>
        <w:t>und</w:t>
      </w:r>
      <w:r>
        <w:rPr>
          <w:iCs w:val="0"/>
        </w:rPr>
        <w:t>,</w:t>
      </w:r>
      <w:r w:rsidRPr="000E778E">
        <w:rPr>
          <w:iCs w:val="0"/>
        </w:rPr>
        <w:t xml:space="preserve"> to future meetings of the Conference of the Parties</w:t>
      </w:r>
      <w:r w:rsidRPr="00817192">
        <w:rPr>
          <w:iCs w:val="0"/>
        </w:rPr>
        <w:t>;</w:t>
      </w:r>
    </w:p>
    <w:p w14:paraId="7078C668" w14:textId="77777777" w:rsidR="00DA0273" w:rsidRPr="00D71BEC" w:rsidRDefault="00DA0273" w:rsidP="00463BD3">
      <w:pPr>
        <w:pStyle w:val="BodyText"/>
        <w:ind w:right="117" w:firstLine="630"/>
        <w:rPr>
          <w:iCs w:val="0"/>
        </w:rPr>
      </w:pPr>
      <w:r w:rsidRPr="00D71BEC">
        <w:rPr>
          <w:iCs w:val="0"/>
        </w:rPr>
        <w:lastRenderedPageBreak/>
        <w:t>28.</w:t>
      </w:r>
      <w:r w:rsidRPr="00D71BEC">
        <w:rPr>
          <w:iCs w:val="0"/>
        </w:rPr>
        <w:tab/>
      </w:r>
      <w:r w:rsidRPr="00D71BEC">
        <w:rPr>
          <w:i/>
        </w:rPr>
        <w:t>Decides</w:t>
      </w:r>
      <w:r w:rsidRPr="00D71BEC">
        <w:rPr>
          <w:iCs w:val="0"/>
        </w:rPr>
        <w:t xml:space="preserve"> to assess the progress made in establishing, and </w:t>
      </w:r>
      <w:r>
        <w:rPr>
          <w:iCs w:val="0"/>
        </w:rPr>
        <w:t xml:space="preserve">on </w:t>
      </w:r>
      <w:r w:rsidRPr="00D71BEC">
        <w:rPr>
          <w:iCs w:val="0"/>
        </w:rPr>
        <w:t xml:space="preserve">the operations and performance of, the </w:t>
      </w:r>
      <w:r w:rsidRPr="0044733B">
        <w:rPr>
          <w:iCs w:val="0"/>
        </w:rPr>
        <w:t xml:space="preserve">Global Biodiversity </w:t>
      </w:r>
      <w:r w:rsidRPr="00FA29C2">
        <w:rPr>
          <w:iCs w:val="0"/>
        </w:rPr>
        <w:t xml:space="preserve">Framework </w:t>
      </w:r>
      <w:r w:rsidRPr="000E778E">
        <w:rPr>
          <w:iCs w:val="0"/>
        </w:rPr>
        <w:t>F</w:t>
      </w:r>
      <w:r w:rsidRPr="00FA29C2">
        <w:rPr>
          <w:iCs w:val="0"/>
        </w:rPr>
        <w:t>und,</w:t>
      </w:r>
      <w:r w:rsidRPr="00D71BEC">
        <w:rPr>
          <w:iCs w:val="0"/>
        </w:rPr>
        <w:t xml:space="preserve"> and to consider and adopt further guidance to the Global Environment Facility and to the governing body referred to paragraph </w:t>
      </w:r>
      <w:r>
        <w:rPr>
          <w:iCs w:val="0"/>
        </w:rPr>
        <w:t>21</w:t>
      </w:r>
      <w:r w:rsidRPr="00D71BEC">
        <w:rPr>
          <w:iCs w:val="0"/>
        </w:rPr>
        <w:t xml:space="preserve"> above, on the modalities and operation of </w:t>
      </w:r>
      <w:r w:rsidRPr="00604C84">
        <w:rPr>
          <w:iCs w:val="0"/>
        </w:rPr>
        <w:t xml:space="preserve">the </w:t>
      </w:r>
      <w:r w:rsidRPr="001A0282">
        <w:rPr>
          <w:iCs w:val="0"/>
        </w:rPr>
        <w:t>Fund, at its future meetings;</w:t>
      </w:r>
    </w:p>
    <w:p w14:paraId="6460834F" w14:textId="77777777" w:rsidR="00DA0273" w:rsidRPr="00D71BEC" w:rsidRDefault="00DA0273" w:rsidP="00E21EEB">
      <w:pPr>
        <w:pStyle w:val="BodyText"/>
        <w:ind w:right="117" w:firstLine="630"/>
      </w:pPr>
      <w:r w:rsidRPr="00D71BEC">
        <w:rPr>
          <w:iCs w:val="0"/>
        </w:rPr>
        <w:t>29.</w:t>
      </w:r>
      <w:r w:rsidRPr="00D71BEC">
        <w:rPr>
          <w:iCs w:val="0"/>
        </w:rPr>
        <w:tab/>
      </w:r>
      <w:r>
        <w:rPr>
          <w:i/>
        </w:rPr>
        <w:t>Also d</w:t>
      </w:r>
      <w:r w:rsidRPr="00D71BEC">
        <w:rPr>
          <w:i/>
        </w:rPr>
        <w:t>ecides</w:t>
      </w:r>
      <w:r w:rsidRPr="00D71BEC">
        <w:rPr>
          <w:iCs w:val="0"/>
        </w:rPr>
        <w:t xml:space="preserve"> to undertake and act </w:t>
      </w:r>
      <w:r w:rsidRPr="009120D1">
        <w:rPr>
          <w:iCs w:val="0"/>
        </w:rPr>
        <w:t>upon, at its eighteenth meeting, a</w:t>
      </w:r>
      <w:r w:rsidRPr="00D71BEC">
        <w:rPr>
          <w:iCs w:val="0"/>
        </w:rPr>
        <w:t xml:space="preserve"> stocktake review on the operations and performance of the </w:t>
      </w:r>
      <w:r w:rsidRPr="0044733B">
        <w:rPr>
          <w:iCs w:val="0"/>
        </w:rPr>
        <w:t xml:space="preserve">Global Biodiversity </w:t>
      </w:r>
      <w:r w:rsidRPr="00604C84">
        <w:rPr>
          <w:iCs w:val="0"/>
        </w:rPr>
        <w:t xml:space="preserve">Framework </w:t>
      </w:r>
      <w:r w:rsidRPr="000E778E">
        <w:rPr>
          <w:iCs w:val="0"/>
        </w:rPr>
        <w:t>F</w:t>
      </w:r>
      <w:r w:rsidRPr="00604C84">
        <w:rPr>
          <w:iCs w:val="0"/>
        </w:rPr>
        <w:t>und</w:t>
      </w:r>
      <w:r>
        <w:rPr>
          <w:iCs w:val="0"/>
        </w:rPr>
        <w:t xml:space="preserve"> </w:t>
      </w:r>
      <w:r w:rsidRPr="00D71BEC">
        <w:rPr>
          <w:iCs w:val="0"/>
        </w:rPr>
        <w:t>regarding its scale, speed, accessibility, and future arrangements.</w:t>
      </w:r>
    </w:p>
    <w:p w14:paraId="6B9D4075" w14:textId="77777777" w:rsidR="00DA0273" w:rsidRPr="00853C76" w:rsidRDefault="00DA0273" w:rsidP="00D037D5">
      <w:pPr>
        <w:keepNext/>
        <w:keepLines/>
        <w:suppressLineNumbers/>
        <w:suppressAutoHyphens/>
        <w:adjustRightInd w:val="0"/>
        <w:snapToGrid w:val="0"/>
        <w:spacing w:before="120" w:after="120"/>
        <w:jc w:val="center"/>
        <w:rPr>
          <w:i/>
          <w:snapToGrid w:val="0"/>
          <w:kern w:val="22"/>
          <w:szCs w:val="22"/>
        </w:rPr>
      </w:pPr>
      <w:bookmarkStart w:id="203" w:name="_Toc118354994"/>
      <w:r w:rsidRPr="00853C76">
        <w:rPr>
          <w:i/>
          <w:snapToGrid w:val="0"/>
          <w:kern w:val="22"/>
          <w:szCs w:val="22"/>
        </w:rPr>
        <w:t>Annex I</w:t>
      </w:r>
      <w:bookmarkEnd w:id="203"/>
    </w:p>
    <w:p w14:paraId="0ABEB17B" w14:textId="77777777" w:rsidR="00DA0273" w:rsidRPr="006B08B1" w:rsidRDefault="00DA0273" w:rsidP="006B08B1">
      <w:pPr>
        <w:pStyle w:val="BodyText"/>
        <w:jc w:val="center"/>
        <w:rPr>
          <w:b/>
          <w:bCs/>
          <w:lang w:val="en-US" w:eastAsia="en-CA"/>
        </w:rPr>
      </w:pPr>
      <w:bookmarkStart w:id="204" w:name="_Toc118354995"/>
      <w:r w:rsidRPr="006B08B1">
        <w:rPr>
          <w:b/>
          <w:bCs/>
        </w:rPr>
        <w:t>FOUR-YEAR OUTCOME-ORIENTED FRAMEWORK OF PROGRAMME PRIORITIES OF THE CONVENTION ON BIOLOGICAL DIVERSITY FOR THE EIGHTH REPLENISHMENT PERIOD (2022–2026) OF THE GLOBAL ENVIRONMENT FACILITY TRUST FUND</w:t>
      </w:r>
      <w:bookmarkEnd w:id="204"/>
    </w:p>
    <w:p w14:paraId="50AB8197" w14:textId="77777777" w:rsidR="00DA0273" w:rsidRPr="006B08B1" w:rsidRDefault="00DA0273" w:rsidP="006B08B1">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6B08B1">
        <w:rPr>
          <w:b/>
          <w:bCs/>
          <w:snapToGrid w:val="0"/>
          <w:color w:val="000000"/>
          <w:kern w:val="22"/>
          <w:szCs w:val="22"/>
        </w:rPr>
        <w:t>A.</w:t>
      </w:r>
      <w:r w:rsidRPr="006B08B1">
        <w:rPr>
          <w:b/>
          <w:bCs/>
          <w:snapToGrid w:val="0"/>
          <w:color w:val="000000"/>
          <w:kern w:val="22"/>
          <w:szCs w:val="22"/>
        </w:rPr>
        <w:tab/>
        <w:t>Objective</w:t>
      </w:r>
    </w:p>
    <w:p w14:paraId="5E9769C0" w14:textId="77777777" w:rsidR="00DA0273" w:rsidRPr="00853C76" w:rsidRDefault="00DA0273" w:rsidP="00FB5720">
      <w:pPr>
        <w:tabs>
          <w:tab w:val="left" w:pos="720"/>
        </w:tabs>
        <w:snapToGrid w:val="0"/>
        <w:spacing w:before="120" w:after="120"/>
        <w:rPr>
          <w:iCs/>
          <w:szCs w:val="22"/>
        </w:rPr>
      </w:pPr>
      <w:r w:rsidRPr="00853C76">
        <w:rPr>
          <w:iCs/>
          <w:szCs w:val="22"/>
          <w:lang w:val="en-US"/>
        </w:rPr>
        <w:t>1.</w:t>
      </w:r>
      <w:bookmarkStart w:id="205" w:name="_Hlk94131801"/>
      <w:r w:rsidRPr="00853C76">
        <w:rPr>
          <w:iCs/>
          <w:szCs w:val="22"/>
          <w:lang w:val="en-US"/>
        </w:rPr>
        <w:tab/>
      </w:r>
      <w:bookmarkEnd w:id="205"/>
      <w:r w:rsidRPr="00853C76">
        <w:rPr>
          <w:iCs/>
          <w:szCs w:val="22"/>
          <w:lang w:val="en-US"/>
        </w:rPr>
        <w:t>Th</w:t>
      </w:r>
      <w:r>
        <w:rPr>
          <w:iCs/>
          <w:szCs w:val="22"/>
          <w:lang w:val="en-US"/>
        </w:rPr>
        <w:t>e present</w:t>
      </w:r>
      <w:r w:rsidRPr="00853C76">
        <w:rPr>
          <w:iCs/>
          <w:szCs w:val="22"/>
        </w:rPr>
        <w:t xml:space="preserve"> four-year outcome-oriented framework of programme priorities provides guidance to the Global Environment Facility (GEF) for the eighth replenishment period (GEF-8), 2022</w:t>
      </w:r>
      <w:r>
        <w:rPr>
          <w:b/>
          <w:bCs/>
          <w:iCs/>
          <w:szCs w:val="22"/>
        </w:rPr>
        <w:t>–</w:t>
      </w:r>
      <w:r w:rsidRPr="00853C76">
        <w:rPr>
          <w:iCs/>
          <w:szCs w:val="22"/>
        </w:rPr>
        <w:t xml:space="preserve">2026, and is within the context of the GEF mandate to provide resources to achieve global environmental benefits and the mandate provided to GEF by the Conference of the Parties. It utilizes the Convention </w:t>
      </w:r>
      <w:r>
        <w:rPr>
          <w:iCs/>
          <w:szCs w:val="22"/>
        </w:rPr>
        <w:t xml:space="preserve">and its Protocols, </w:t>
      </w:r>
      <w:r w:rsidRPr="00853C76">
        <w:rPr>
          <w:iCs/>
          <w:szCs w:val="22"/>
        </w:rPr>
        <w:t xml:space="preserve">and the </w:t>
      </w:r>
      <w:r w:rsidRPr="00853C76">
        <w:rPr>
          <w:iCs/>
          <w:snapToGrid w:val="0"/>
          <w:kern w:val="22"/>
          <w:szCs w:val="22"/>
          <w:lang w:eastAsia="zh-CN"/>
        </w:rPr>
        <w:t xml:space="preserve">Kunming-Montreal Global Biodiversity Framework </w:t>
      </w:r>
      <w:r w:rsidRPr="00853C76">
        <w:rPr>
          <w:iCs/>
          <w:szCs w:val="22"/>
        </w:rPr>
        <w:t xml:space="preserve">to set priorities for the financial mechanism. In particular, the goals and targets of the </w:t>
      </w:r>
      <w:r w:rsidRPr="000E778E">
        <w:rPr>
          <w:iCs/>
          <w:szCs w:val="22"/>
        </w:rPr>
        <w:t>Framework</w:t>
      </w:r>
      <w:r w:rsidRPr="00853C76">
        <w:rPr>
          <w:iCs/>
          <w:snapToGrid w:val="0"/>
          <w:kern w:val="22"/>
          <w:szCs w:val="22"/>
          <w:lang w:eastAsia="zh-CN"/>
        </w:rPr>
        <w:t xml:space="preserve"> </w:t>
      </w:r>
      <w:r w:rsidRPr="00853C76">
        <w:rPr>
          <w:iCs/>
          <w:szCs w:val="22"/>
        </w:rPr>
        <w:t>provide direction for the outcomes of this four-year framework, bearing in mind that GEF-8 and GEF-9 will together cover the expected eight years to the 2030 deadlines of the targets, while recognizing that the three objectives of the Convention should be considered by GEF when designing and implementing biodiver</w:t>
      </w:r>
      <w:r w:rsidRPr="00F544BE">
        <w:rPr>
          <w:iCs/>
          <w:szCs w:val="22"/>
        </w:rPr>
        <w:t>sity strategy and</w:t>
      </w:r>
      <w:r w:rsidRPr="00853C76">
        <w:rPr>
          <w:iCs/>
          <w:szCs w:val="22"/>
        </w:rPr>
        <w:t xml:space="preserve"> programming directions.</w:t>
      </w:r>
    </w:p>
    <w:p w14:paraId="71C0DA2A" w14:textId="77777777" w:rsidR="00DA0273" w:rsidRPr="00853C76" w:rsidRDefault="00DA0273" w:rsidP="00FB5720">
      <w:pPr>
        <w:tabs>
          <w:tab w:val="left" w:pos="720"/>
        </w:tabs>
        <w:snapToGrid w:val="0"/>
        <w:spacing w:before="120" w:after="120"/>
        <w:rPr>
          <w:rFonts w:eastAsia="Calibri"/>
          <w:b/>
          <w:bCs/>
          <w:iCs/>
          <w:szCs w:val="22"/>
        </w:rPr>
      </w:pPr>
      <w:r w:rsidRPr="00853C76">
        <w:rPr>
          <w:iCs/>
          <w:szCs w:val="22"/>
        </w:rPr>
        <w:t>2.</w:t>
      </w:r>
      <w:r w:rsidRPr="00853C76">
        <w:rPr>
          <w:iCs/>
          <w:szCs w:val="22"/>
        </w:rPr>
        <w:tab/>
        <w:t xml:space="preserve">In that regard, it is envisaged that following the adoption of the Kunming-Montreal Global Biodiversity Framework and the conclusion of the GEF-8 replenishment under their respective processes, </w:t>
      </w:r>
      <w:r w:rsidRPr="00853C76">
        <w:rPr>
          <w:iCs/>
          <w:szCs w:val="22"/>
          <w:lang w:val="en-US"/>
        </w:rPr>
        <w:t>GEF will include in its report to the Conference of the Parties an explanation on how GEF-8, through the elements of its programming directions, is contributing</w:t>
      </w:r>
      <w:r w:rsidRPr="00853C76">
        <w:rPr>
          <w:iCs/>
          <w:szCs w:val="22"/>
        </w:rPr>
        <w:t xml:space="preserve"> to the implementation of the Convention and its Protocols, and to each goal and target of the Framework and its monitoring framework.</w:t>
      </w:r>
    </w:p>
    <w:p w14:paraId="0E7E8149" w14:textId="77777777" w:rsidR="00DA0273" w:rsidRPr="00853C76" w:rsidRDefault="00DA0273" w:rsidP="00FB5720">
      <w:pPr>
        <w:tabs>
          <w:tab w:val="left" w:pos="720"/>
        </w:tabs>
        <w:snapToGrid w:val="0"/>
        <w:spacing w:before="120" w:after="120"/>
        <w:rPr>
          <w:iCs/>
          <w:szCs w:val="22"/>
        </w:rPr>
      </w:pPr>
      <w:r w:rsidRPr="00853C76">
        <w:rPr>
          <w:rFonts w:eastAsia="Calibri"/>
          <w:iCs/>
          <w:szCs w:val="22"/>
        </w:rPr>
        <w:t>3.</w:t>
      </w:r>
      <w:r w:rsidRPr="00853C76">
        <w:rPr>
          <w:rFonts w:eastAsia="Calibri"/>
          <w:iCs/>
          <w:szCs w:val="22"/>
        </w:rPr>
        <w:tab/>
        <w:t xml:space="preserve">This four-year outcome-oriented framework of programme priorities recognizes that the </w:t>
      </w:r>
      <w:r w:rsidRPr="00853C76">
        <w:rPr>
          <w:iCs/>
          <w:snapToGrid w:val="0"/>
          <w:kern w:val="22"/>
          <w:szCs w:val="22"/>
          <w:lang w:eastAsia="zh-CN"/>
        </w:rPr>
        <w:t xml:space="preserve">Kunming-Montreal Global Biodiversity </w:t>
      </w:r>
      <w:r w:rsidRPr="00853C76">
        <w:rPr>
          <w:rFonts w:eastAsia="Calibri"/>
          <w:iCs/>
          <w:szCs w:val="22"/>
        </w:rPr>
        <w:t>Framework is an overarching framework of high relevance to all biodiversity</w:t>
      </w:r>
      <w:r>
        <w:rPr>
          <w:rFonts w:eastAsia="Calibri"/>
          <w:iCs/>
          <w:szCs w:val="22"/>
        </w:rPr>
        <w:noBreakHyphen/>
      </w:r>
      <w:r w:rsidRPr="00853C76">
        <w:rPr>
          <w:rFonts w:eastAsia="Calibri"/>
          <w:iCs/>
          <w:szCs w:val="22"/>
        </w:rPr>
        <w:t xml:space="preserve">related conventions and agreements, and seeks to promote the implementation of complementary measures that may enhance programmatic synergies and efficiencies, among the Convention, its Protocols and other biodiversity-related conventions and agreements, relevant to the Kunming-Montreal Global Biodiversity Framework and </w:t>
      </w:r>
      <w:r>
        <w:rPr>
          <w:rFonts w:eastAsia="Calibri"/>
          <w:iCs/>
          <w:szCs w:val="22"/>
        </w:rPr>
        <w:t xml:space="preserve">the </w:t>
      </w:r>
      <w:r w:rsidRPr="00853C76">
        <w:rPr>
          <w:rFonts w:eastAsia="Calibri"/>
          <w:iCs/>
          <w:szCs w:val="22"/>
        </w:rPr>
        <w:t>mandate of the Global Environment Facility.</w:t>
      </w:r>
    </w:p>
    <w:p w14:paraId="26328318" w14:textId="77777777" w:rsidR="00DA0273" w:rsidRPr="000E778E" w:rsidRDefault="00DA0273" w:rsidP="006B08B1">
      <w:pPr>
        <w:keepNext/>
        <w:tabs>
          <w:tab w:val="left" w:pos="567"/>
        </w:tabs>
        <w:spacing w:before="120" w:after="120"/>
        <w:jc w:val="center"/>
        <w:rPr>
          <w:b/>
          <w:bCs/>
          <w:szCs w:val="22"/>
          <w:lang w:val="en-US"/>
        </w:rPr>
      </w:pPr>
      <w:r w:rsidRPr="000E778E">
        <w:rPr>
          <w:b/>
          <w:bCs/>
          <w:szCs w:val="22"/>
          <w:lang w:val="en-US"/>
        </w:rPr>
        <w:t>B.</w:t>
      </w:r>
      <w:r w:rsidRPr="000E778E">
        <w:rPr>
          <w:b/>
          <w:bCs/>
          <w:szCs w:val="22"/>
          <w:lang w:val="en-US"/>
        </w:rPr>
        <w:tab/>
        <w:t>Elements</w:t>
      </w:r>
    </w:p>
    <w:p w14:paraId="7ADC04AF"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4.</w:t>
      </w:r>
      <w:r w:rsidRPr="00853C76">
        <w:rPr>
          <w:iCs/>
          <w:szCs w:val="22"/>
          <w:lang w:val="en-US"/>
        </w:rPr>
        <w:tab/>
        <w:t>The four-year outcome-oriented framework of programme priorities for the period 2022–2026 consists of the following elements to which effective implementation support is to be provided:</w:t>
      </w:r>
    </w:p>
    <w:p w14:paraId="65ACAD06" w14:textId="77777777" w:rsidR="00DA0273" w:rsidRPr="00853C76" w:rsidRDefault="00DA0273" w:rsidP="00FB5720">
      <w:pPr>
        <w:tabs>
          <w:tab w:val="left" w:pos="720"/>
        </w:tabs>
        <w:snapToGrid w:val="0"/>
        <w:spacing w:before="120" w:after="120"/>
        <w:ind w:firstLine="709"/>
        <w:rPr>
          <w:iCs/>
          <w:szCs w:val="22"/>
          <w:lang w:val="en-US"/>
        </w:rPr>
      </w:pPr>
      <w:r w:rsidRPr="00853C76">
        <w:rPr>
          <w:iCs/>
          <w:szCs w:val="22"/>
          <w:lang w:val="en-US"/>
        </w:rPr>
        <w:t>(a)</w:t>
      </w:r>
      <w:r w:rsidRPr="00853C76">
        <w:rPr>
          <w:iCs/>
          <w:szCs w:val="22"/>
          <w:lang w:val="en-US"/>
        </w:rPr>
        <w:tab/>
        <w:t>The Kunming-Montreal Global Biodiversity Framework, including its goals and targets which define the outcomes being sought;</w:t>
      </w:r>
    </w:p>
    <w:p w14:paraId="2C76BE56" w14:textId="77777777" w:rsidR="00DA0273" w:rsidRPr="00853C76" w:rsidRDefault="00DA0273" w:rsidP="00FB5720">
      <w:pPr>
        <w:tabs>
          <w:tab w:val="left" w:pos="720"/>
        </w:tabs>
        <w:snapToGrid w:val="0"/>
        <w:spacing w:before="120" w:after="120"/>
        <w:ind w:firstLine="709"/>
        <w:rPr>
          <w:iCs/>
          <w:szCs w:val="22"/>
          <w:lang w:val="en-US"/>
        </w:rPr>
      </w:pPr>
      <w:r w:rsidRPr="00853C76">
        <w:rPr>
          <w:iCs/>
          <w:szCs w:val="22"/>
          <w:lang w:val="en-US"/>
        </w:rPr>
        <w:t>(b)</w:t>
      </w:r>
      <w:r w:rsidRPr="00853C76">
        <w:rPr>
          <w:iCs/>
          <w:szCs w:val="22"/>
          <w:lang w:val="en-US"/>
        </w:rPr>
        <w:tab/>
        <w:t xml:space="preserve">National biodiversity strategies and action plans (NBSAPs); </w:t>
      </w:r>
    </w:p>
    <w:p w14:paraId="6270A615" w14:textId="77777777" w:rsidR="00DA0273" w:rsidRPr="00853C76" w:rsidRDefault="00DA0273" w:rsidP="00FB5720">
      <w:pPr>
        <w:tabs>
          <w:tab w:val="left" w:pos="720"/>
        </w:tabs>
        <w:snapToGrid w:val="0"/>
        <w:spacing w:before="120" w:after="120"/>
        <w:ind w:firstLine="709"/>
        <w:rPr>
          <w:iCs/>
          <w:szCs w:val="22"/>
          <w:lang w:val="en-US"/>
        </w:rPr>
      </w:pPr>
      <w:r w:rsidRPr="00853C76">
        <w:rPr>
          <w:iCs/>
          <w:szCs w:val="22"/>
          <w:lang w:val="en-US"/>
        </w:rPr>
        <w:t>(c)</w:t>
      </w:r>
      <w:r w:rsidRPr="00853C76">
        <w:rPr>
          <w:iCs/>
          <w:szCs w:val="22"/>
          <w:lang w:val="en-US"/>
        </w:rPr>
        <w:tab/>
        <w:t>National biodiversity finance plans;</w:t>
      </w:r>
    </w:p>
    <w:p w14:paraId="16A0605A" w14:textId="77777777" w:rsidR="00DA0273" w:rsidRPr="00853C76" w:rsidRDefault="00DA0273" w:rsidP="00FB5720">
      <w:pPr>
        <w:tabs>
          <w:tab w:val="left" w:pos="720"/>
        </w:tabs>
        <w:snapToGrid w:val="0"/>
        <w:spacing w:before="120" w:after="120"/>
        <w:ind w:firstLine="709"/>
        <w:rPr>
          <w:iCs/>
          <w:szCs w:val="22"/>
          <w:lang w:val="en-US"/>
        </w:rPr>
      </w:pPr>
      <w:r w:rsidRPr="00853C76">
        <w:rPr>
          <w:iCs/>
          <w:szCs w:val="22"/>
          <w:lang w:val="en-US"/>
        </w:rPr>
        <w:t xml:space="preserve">(d) </w:t>
      </w:r>
      <w:r w:rsidRPr="00853C76">
        <w:rPr>
          <w:iCs/>
          <w:szCs w:val="22"/>
          <w:lang w:val="en-US"/>
        </w:rPr>
        <w:tab/>
        <w:t>The implementation of the three objectives of the Convention;</w:t>
      </w:r>
    </w:p>
    <w:p w14:paraId="219D25AD" w14:textId="77777777" w:rsidR="00DA0273" w:rsidRPr="00853C76" w:rsidRDefault="00DA0273" w:rsidP="00FB5720">
      <w:pPr>
        <w:tabs>
          <w:tab w:val="left" w:pos="720"/>
        </w:tabs>
        <w:snapToGrid w:val="0"/>
        <w:spacing w:before="120" w:after="120"/>
        <w:ind w:firstLine="709"/>
        <w:rPr>
          <w:bCs/>
          <w:iCs/>
          <w:szCs w:val="22"/>
          <w:lang w:val="en-US"/>
        </w:rPr>
      </w:pPr>
      <w:r w:rsidRPr="00853C76">
        <w:rPr>
          <w:bCs/>
          <w:iCs/>
          <w:szCs w:val="22"/>
        </w:rPr>
        <w:t>(e)</w:t>
      </w:r>
      <w:r w:rsidRPr="00853C76">
        <w:rPr>
          <w:bCs/>
          <w:iCs/>
          <w:szCs w:val="22"/>
        </w:rPr>
        <w:tab/>
        <w:t xml:space="preserve">The implementation support mechanisms adopted under the Convention associated with the </w:t>
      </w:r>
      <w:r>
        <w:rPr>
          <w:bCs/>
          <w:iCs/>
          <w:szCs w:val="22"/>
          <w:lang w:val="en-US"/>
        </w:rPr>
        <w:t>Kunming-Montreal</w:t>
      </w:r>
      <w:r w:rsidRPr="00853C76">
        <w:rPr>
          <w:bCs/>
          <w:iCs/>
          <w:szCs w:val="22"/>
          <w:lang w:val="en-US"/>
        </w:rPr>
        <w:t xml:space="preserve"> </w:t>
      </w:r>
      <w:r>
        <w:rPr>
          <w:bCs/>
          <w:iCs/>
          <w:szCs w:val="22"/>
          <w:lang w:val="en-US"/>
        </w:rPr>
        <w:t>G</w:t>
      </w:r>
      <w:r w:rsidRPr="00853C76">
        <w:rPr>
          <w:bCs/>
          <w:iCs/>
          <w:szCs w:val="22"/>
          <w:lang w:val="en-US"/>
        </w:rPr>
        <w:t xml:space="preserve">lobal </w:t>
      </w:r>
      <w:r>
        <w:rPr>
          <w:bCs/>
          <w:iCs/>
          <w:szCs w:val="22"/>
          <w:lang w:val="en-US"/>
        </w:rPr>
        <w:t>B</w:t>
      </w:r>
      <w:r w:rsidRPr="00853C76">
        <w:rPr>
          <w:bCs/>
          <w:iCs/>
          <w:szCs w:val="22"/>
          <w:lang w:val="en-US"/>
        </w:rPr>
        <w:t xml:space="preserve">iodiversity </w:t>
      </w:r>
      <w:r w:rsidRPr="00134919">
        <w:rPr>
          <w:bCs/>
          <w:iCs/>
          <w:szCs w:val="22"/>
          <w:lang w:val="en-US"/>
        </w:rPr>
        <w:t>Framework</w:t>
      </w:r>
      <w:r w:rsidRPr="000E778E" w:rsidDel="00134919">
        <w:rPr>
          <w:bCs/>
          <w:iCs/>
          <w:szCs w:val="22"/>
        </w:rPr>
        <w:t xml:space="preserve"> </w:t>
      </w:r>
      <w:r w:rsidRPr="00134919">
        <w:rPr>
          <w:bCs/>
          <w:iCs/>
          <w:szCs w:val="22"/>
        </w:rPr>
        <w:t>related</w:t>
      </w:r>
      <w:r w:rsidRPr="00853C76">
        <w:rPr>
          <w:bCs/>
          <w:iCs/>
          <w:szCs w:val="22"/>
        </w:rPr>
        <w:t xml:space="preserve"> to: mobilizing sufficient</w:t>
      </w:r>
      <w:r w:rsidRPr="000E778E">
        <w:rPr>
          <w:bCs/>
          <w:iCs/>
          <w:szCs w:val="22"/>
        </w:rPr>
        <w:t xml:space="preserve"> </w:t>
      </w:r>
      <w:r w:rsidRPr="00853C76">
        <w:rPr>
          <w:bCs/>
          <w:iCs/>
          <w:szCs w:val="22"/>
        </w:rPr>
        <w:t xml:space="preserve">resources from all sources towards implementing the </w:t>
      </w:r>
      <w:r>
        <w:rPr>
          <w:bCs/>
          <w:iCs/>
          <w:szCs w:val="22"/>
        </w:rPr>
        <w:t>F</w:t>
      </w:r>
      <w:r w:rsidRPr="00853C76">
        <w:rPr>
          <w:bCs/>
          <w:iCs/>
          <w:szCs w:val="22"/>
        </w:rPr>
        <w:t>ramework and achieving its goals and targets; mainstreaming; capacity</w:t>
      </w:r>
      <w:r>
        <w:rPr>
          <w:bCs/>
          <w:iCs/>
          <w:szCs w:val="22"/>
        </w:rPr>
        <w:noBreakHyphen/>
      </w:r>
      <w:r w:rsidRPr="00853C76">
        <w:rPr>
          <w:bCs/>
          <w:iCs/>
          <w:szCs w:val="22"/>
        </w:rPr>
        <w:t xml:space="preserve">building and development; generation, management and sharing of knowledge for effective </w:t>
      </w:r>
      <w:r w:rsidRPr="00853C76">
        <w:rPr>
          <w:bCs/>
          <w:iCs/>
          <w:szCs w:val="22"/>
        </w:rPr>
        <w:lastRenderedPageBreak/>
        <w:t>biodiversity planning, policy development and coherence, decision</w:t>
      </w:r>
      <w:r w:rsidRPr="00853C76">
        <w:rPr>
          <w:bCs/>
          <w:iCs/>
          <w:szCs w:val="22"/>
        </w:rPr>
        <w:noBreakHyphen/>
        <w:t>making and implementation; and technical and scientific cooperation, technology transfer and innovation. Examples include:</w:t>
      </w:r>
    </w:p>
    <w:p w14:paraId="24BB348B" w14:textId="77777777" w:rsidR="00DA0273" w:rsidRPr="00853C76" w:rsidRDefault="00DA0273" w:rsidP="000E778E">
      <w:pPr>
        <w:snapToGrid w:val="0"/>
        <w:spacing w:before="120" w:after="120"/>
        <w:ind w:left="2410" w:hanging="851"/>
        <w:rPr>
          <w:bCs/>
          <w:iCs/>
          <w:szCs w:val="22"/>
        </w:rPr>
      </w:pPr>
      <w:r w:rsidRPr="00853C76">
        <w:rPr>
          <w:bCs/>
          <w:iCs/>
          <w:szCs w:val="22"/>
        </w:rPr>
        <w:t>(i)</w:t>
      </w:r>
      <w:r w:rsidRPr="00853C76">
        <w:rPr>
          <w:bCs/>
          <w:iCs/>
          <w:szCs w:val="22"/>
        </w:rPr>
        <w:tab/>
        <w:t xml:space="preserve">The strategy </w:t>
      </w:r>
      <w:r>
        <w:rPr>
          <w:bCs/>
          <w:iCs/>
          <w:szCs w:val="22"/>
        </w:rPr>
        <w:t xml:space="preserve">for </w:t>
      </w:r>
      <w:r w:rsidRPr="00853C76">
        <w:rPr>
          <w:bCs/>
          <w:iCs/>
          <w:szCs w:val="22"/>
        </w:rPr>
        <w:t xml:space="preserve">resource mobilization, including the establishment </w:t>
      </w:r>
      <w:r w:rsidRPr="00A462EE">
        <w:rPr>
          <w:bCs/>
          <w:iCs/>
          <w:szCs w:val="22"/>
        </w:rPr>
        <w:t>of a global</w:t>
      </w:r>
      <w:r w:rsidRPr="00135B65">
        <w:rPr>
          <w:bCs/>
          <w:iCs/>
          <w:szCs w:val="22"/>
        </w:rPr>
        <w:t xml:space="preserve"> biodiversity framework fund by GEF;</w:t>
      </w:r>
      <w:r w:rsidRPr="00610646">
        <w:rPr>
          <w:rStyle w:val="FootnoteReference"/>
        </w:rPr>
        <w:footnoteReference w:id="158"/>
      </w:r>
    </w:p>
    <w:p w14:paraId="3CDB720B" w14:textId="77777777" w:rsidR="00DA0273" w:rsidRPr="00853C76" w:rsidRDefault="00DA0273" w:rsidP="000E778E">
      <w:pPr>
        <w:snapToGrid w:val="0"/>
        <w:spacing w:before="120" w:after="120"/>
        <w:ind w:left="2410" w:hanging="851"/>
        <w:rPr>
          <w:bCs/>
          <w:iCs/>
          <w:szCs w:val="22"/>
        </w:rPr>
      </w:pPr>
      <w:r w:rsidRPr="00853C76">
        <w:rPr>
          <w:bCs/>
          <w:iCs/>
          <w:szCs w:val="22"/>
        </w:rPr>
        <w:t>(ii)</w:t>
      </w:r>
      <w:r w:rsidRPr="00853C76">
        <w:rPr>
          <w:bCs/>
          <w:iCs/>
          <w:szCs w:val="22"/>
        </w:rPr>
        <w:tab/>
        <w:t>The long-term strategic framework for capacity-building and development;</w:t>
      </w:r>
      <w:r w:rsidRPr="00610646">
        <w:rPr>
          <w:rStyle w:val="FootnoteReference"/>
        </w:rPr>
        <w:footnoteReference w:id="159"/>
      </w:r>
    </w:p>
    <w:p w14:paraId="49B2D6A7" w14:textId="77777777" w:rsidR="00DA0273" w:rsidRPr="00853C76" w:rsidRDefault="00DA0273" w:rsidP="000E778E">
      <w:pPr>
        <w:snapToGrid w:val="0"/>
        <w:spacing w:before="120" w:after="120"/>
        <w:ind w:left="2410" w:hanging="851"/>
        <w:rPr>
          <w:bCs/>
          <w:iCs/>
          <w:szCs w:val="22"/>
        </w:rPr>
      </w:pPr>
      <w:r w:rsidRPr="00853C76">
        <w:rPr>
          <w:bCs/>
          <w:iCs/>
          <w:szCs w:val="22"/>
        </w:rPr>
        <w:t>(i</w:t>
      </w:r>
      <w:r>
        <w:rPr>
          <w:bCs/>
          <w:iCs/>
          <w:szCs w:val="22"/>
        </w:rPr>
        <w:t>ii</w:t>
      </w:r>
      <w:r w:rsidRPr="00853C76">
        <w:rPr>
          <w:bCs/>
          <w:iCs/>
          <w:szCs w:val="22"/>
        </w:rPr>
        <w:t>)</w:t>
      </w:r>
      <w:r w:rsidRPr="00853C76">
        <w:rPr>
          <w:bCs/>
          <w:iCs/>
          <w:szCs w:val="22"/>
        </w:rPr>
        <w:tab/>
        <w:t xml:space="preserve">The </w:t>
      </w:r>
      <w:r>
        <w:rPr>
          <w:bCs/>
          <w:iCs/>
          <w:szCs w:val="22"/>
        </w:rPr>
        <w:t>P</w:t>
      </w:r>
      <w:r w:rsidRPr="00853C76">
        <w:rPr>
          <w:bCs/>
          <w:iCs/>
          <w:szCs w:val="22"/>
        </w:rPr>
        <w:t xml:space="preserve">lan of </w:t>
      </w:r>
      <w:r>
        <w:rPr>
          <w:bCs/>
          <w:iCs/>
          <w:szCs w:val="22"/>
        </w:rPr>
        <w:t>A</w:t>
      </w:r>
      <w:r w:rsidRPr="00853C76">
        <w:rPr>
          <w:bCs/>
          <w:iCs/>
          <w:szCs w:val="22"/>
        </w:rPr>
        <w:t xml:space="preserve">ction on </w:t>
      </w:r>
      <w:r>
        <w:rPr>
          <w:bCs/>
          <w:iCs/>
          <w:szCs w:val="22"/>
        </w:rPr>
        <w:t>S</w:t>
      </w:r>
      <w:r w:rsidRPr="00853C76">
        <w:rPr>
          <w:bCs/>
          <w:iCs/>
          <w:szCs w:val="22"/>
        </w:rPr>
        <w:t>ubnational</w:t>
      </w:r>
      <w:r>
        <w:rPr>
          <w:bCs/>
          <w:iCs/>
          <w:szCs w:val="22"/>
        </w:rPr>
        <w:t xml:space="preserve"> G</w:t>
      </w:r>
      <w:r w:rsidRPr="00853C76">
        <w:rPr>
          <w:bCs/>
          <w:iCs/>
          <w:szCs w:val="22"/>
        </w:rPr>
        <w:t xml:space="preserve">overnments, </w:t>
      </w:r>
      <w:r>
        <w:rPr>
          <w:bCs/>
          <w:iCs/>
          <w:szCs w:val="22"/>
        </w:rPr>
        <w:t>C</w:t>
      </w:r>
      <w:r w:rsidRPr="00853C76">
        <w:rPr>
          <w:bCs/>
          <w:iCs/>
          <w:szCs w:val="22"/>
        </w:rPr>
        <w:t xml:space="preserve">ities and </w:t>
      </w:r>
      <w:r>
        <w:rPr>
          <w:bCs/>
          <w:iCs/>
          <w:szCs w:val="22"/>
        </w:rPr>
        <w:t>O</w:t>
      </w:r>
      <w:r w:rsidRPr="00853C76">
        <w:rPr>
          <w:bCs/>
          <w:iCs/>
          <w:szCs w:val="22"/>
        </w:rPr>
        <w:t xml:space="preserve">ther </w:t>
      </w:r>
      <w:r>
        <w:rPr>
          <w:bCs/>
          <w:iCs/>
          <w:szCs w:val="22"/>
        </w:rPr>
        <w:t>L</w:t>
      </w:r>
      <w:r w:rsidRPr="00853C76">
        <w:rPr>
          <w:bCs/>
          <w:iCs/>
          <w:szCs w:val="22"/>
        </w:rPr>
        <w:t xml:space="preserve">ocal </w:t>
      </w:r>
      <w:r>
        <w:rPr>
          <w:bCs/>
          <w:iCs/>
          <w:szCs w:val="22"/>
        </w:rPr>
        <w:t>A</w:t>
      </w:r>
      <w:r w:rsidRPr="00853C76">
        <w:rPr>
          <w:bCs/>
          <w:iCs/>
          <w:szCs w:val="22"/>
        </w:rPr>
        <w:t xml:space="preserve">uthorities for </w:t>
      </w:r>
      <w:r>
        <w:rPr>
          <w:bCs/>
          <w:iCs/>
          <w:szCs w:val="22"/>
        </w:rPr>
        <w:t>B</w:t>
      </w:r>
      <w:r w:rsidRPr="00853C76">
        <w:rPr>
          <w:bCs/>
          <w:iCs/>
          <w:szCs w:val="22"/>
        </w:rPr>
        <w:t>iodiversity</w:t>
      </w:r>
      <w:r>
        <w:rPr>
          <w:bCs/>
          <w:iCs/>
          <w:szCs w:val="22"/>
        </w:rPr>
        <w:t xml:space="preserve"> (2023–2030)</w:t>
      </w:r>
      <w:r w:rsidRPr="00853C76">
        <w:rPr>
          <w:bCs/>
          <w:iCs/>
          <w:szCs w:val="22"/>
        </w:rPr>
        <w:t>;</w:t>
      </w:r>
      <w:r w:rsidRPr="00610646">
        <w:rPr>
          <w:rStyle w:val="FootnoteReference"/>
        </w:rPr>
        <w:footnoteReference w:id="160"/>
      </w:r>
    </w:p>
    <w:p w14:paraId="6CE1A985" w14:textId="77777777" w:rsidR="00DA0273" w:rsidRPr="00853C76" w:rsidRDefault="00DA0273" w:rsidP="000E778E">
      <w:pPr>
        <w:snapToGrid w:val="0"/>
        <w:spacing w:before="120" w:after="120"/>
        <w:ind w:left="2410" w:hanging="851"/>
        <w:rPr>
          <w:bCs/>
          <w:iCs/>
          <w:szCs w:val="22"/>
        </w:rPr>
      </w:pPr>
      <w:r w:rsidRPr="00853C76">
        <w:rPr>
          <w:bCs/>
          <w:iCs/>
          <w:szCs w:val="22"/>
        </w:rPr>
        <w:t>(</w:t>
      </w:r>
      <w:r>
        <w:rPr>
          <w:bCs/>
          <w:iCs/>
          <w:szCs w:val="22"/>
        </w:rPr>
        <w:t>i</w:t>
      </w:r>
      <w:r w:rsidRPr="00853C76">
        <w:rPr>
          <w:bCs/>
          <w:iCs/>
          <w:szCs w:val="22"/>
        </w:rPr>
        <w:t>v)</w:t>
      </w:r>
      <w:r w:rsidRPr="00853C76">
        <w:rPr>
          <w:bCs/>
          <w:iCs/>
          <w:szCs w:val="22"/>
        </w:rPr>
        <w:tab/>
        <w:t xml:space="preserve">The </w:t>
      </w:r>
      <w:r>
        <w:rPr>
          <w:bCs/>
          <w:iCs/>
          <w:szCs w:val="22"/>
        </w:rPr>
        <w:t>G</w:t>
      </w:r>
      <w:r w:rsidRPr="00853C76">
        <w:rPr>
          <w:bCs/>
          <w:iCs/>
          <w:szCs w:val="22"/>
        </w:rPr>
        <w:t xml:space="preserve">ender </w:t>
      </w:r>
      <w:r>
        <w:rPr>
          <w:bCs/>
          <w:iCs/>
          <w:szCs w:val="22"/>
        </w:rPr>
        <w:t>P</w:t>
      </w:r>
      <w:r w:rsidRPr="00853C76">
        <w:rPr>
          <w:bCs/>
          <w:iCs/>
          <w:szCs w:val="22"/>
        </w:rPr>
        <w:t xml:space="preserve">lan of </w:t>
      </w:r>
      <w:r>
        <w:rPr>
          <w:bCs/>
          <w:iCs/>
          <w:szCs w:val="22"/>
        </w:rPr>
        <w:t>A</w:t>
      </w:r>
      <w:r w:rsidRPr="00853C76">
        <w:rPr>
          <w:bCs/>
          <w:iCs/>
          <w:szCs w:val="22"/>
        </w:rPr>
        <w:t xml:space="preserve">ction </w:t>
      </w:r>
      <w:r>
        <w:rPr>
          <w:bCs/>
          <w:iCs/>
          <w:szCs w:val="22"/>
        </w:rPr>
        <w:t>(2023-2030)</w:t>
      </w:r>
      <w:r w:rsidRPr="00853C76">
        <w:rPr>
          <w:bCs/>
          <w:iCs/>
          <w:szCs w:val="22"/>
        </w:rPr>
        <w:t>.</w:t>
      </w:r>
      <w:r w:rsidRPr="00610646">
        <w:rPr>
          <w:rStyle w:val="FootnoteReference"/>
        </w:rPr>
        <w:footnoteReference w:id="161"/>
      </w:r>
    </w:p>
    <w:p w14:paraId="28313FE4" w14:textId="77777777" w:rsidR="00DA0273" w:rsidRPr="000E778E" w:rsidRDefault="00DA0273" w:rsidP="0057467C">
      <w:pPr>
        <w:tabs>
          <w:tab w:val="left" w:pos="720"/>
        </w:tabs>
        <w:snapToGrid w:val="0"/>
        <w:spacing w:before="120" w:after="120"/>
        <w:ind w:firstLine="709"/>
        <w:rPr>
          <w:bCs/>
          <w:iCs/>
          <w:szCs w:val="22"/>
        </w:rPr>
      </w:pPr>
      <w:r w:rsidRPr="00853C76">
        <w:rPr>
          <w:bCs/>
          <w:iCs/>
          <w:szCs w:val="22"/>
          <w:lang w:val="en-US"/>
        </w:rPr>
        <w:t>(f)</w:t>
      </w:r>
      <w:r w:rsidRPr="00853C76">
        <w:rPr>
          <w:bCs/>
          <w:iCs/>
          <w:szCs w:val="22"/>
          <w:lang w:val="en-US"/>
        </w:rPr>
        <w:tab/>
      </w:r>
      <w:r w:rsidRPr="00853C76">
        <w:rPr>
          <w:bCs/>
          <w:iCs/>
          <w:szCs w:val="22"/>
        </w:rPr>
        <w:t>The mechanisms for planning, monitoring, reporting and review</w:t>
      </w:r>
      <w:r w:rsidRPr="00853C76">
        <w:rPr>
          <w:bCs/>
          <w:iCs/>
          <w:szCs w:val="22"/>
          <w:lang w:val="en-US"/>
        </w:rPr>
        <w:t>;</w:t>
      </w:r>
      <w:r w:rsidRPr="00610646">
        <w:rPr>
          <w:rStyle w:val="FootnoteReference"/>
        </w:rPr>
        <w:footnoteReference w:id="162"/>
      </w:r>
    </w:p>
    <w:p w14:paraId="046CC8F3" w14:textId="77777777" w:rsidR="00DA0273" w:rsidRPr="00853C76" w:rsidRDefault="00DA0273" w:rsidP="00FB5720">
      <w:pPr>
        <w:tabs>
          <w:tab w:val="left" w:pos="720"/>
        </w:tabs>
        <w:snapToGrid w:val="0"/>
        <w:spacing w:before="120" w:after="120"/>
        <w:ind w:firstLine="709"/>
        <w:rPr>
          <w:bCs/>
          <w:iCs/>
          <w:szCs w:val="22"/>
        </w:rPr>
      </w:pPr>
      <w:r w:rsidRPr="00853C76">
        <w:rPr>
          <w:bCs/>
          <w:iCs/>
          <w:szCs w:val="22"/>
        </w:rPr>
        <w:t>(g)</w:t>
      </w:r>
      <w:r w:rsidRPr="00853C76">
        <w:rPr>
          <w:bCs/>
          <w:iCs/>
          <w:szCs w:val="22"/>
        </w:rPr>
        <w:tab/>
        <w:t xml:space="preserve">The enabling conditions outlined in the </w:t>
      </w:r>
      <w:r>
        <w:rPr>
          <w:bCs/>
          <w:iCs/>
          <w:szCs w:val="22"/>
          <w:lang w:val="en-US"/>
        </w:rPr>
        <w:t>Kunming-Montreal</w:t>
      </w:r>
      <w:r w:rsidRPr="00853C76">
        <w:rPr>
          <w:bCs/>
          <w:iCs/>
          <w:szCs w:val="22"/>
          <w:lang w:val="en-US"/>
        </w:rPr>
        <w:t xml:space="preserve"> </w:t>
      </w:r>
      <w:r>
        <w:rPr>
          <w:bCs/>
          <w:iCs/>
          <w:szCs w:val="22"/>
          <w:lang w:val="en-US"/>
        </w:rPr>
        <w:t>G</w:t>
      </w:r>
      <w:r w:rsidRPr="00853C76">
        <w:rPr>
          <w:bCs/>
          <w:iCs/>
          <w:szCs w:val="22"/>
          <w:lang w:val="en-US"/>
        </w:rPr>
        <w:t xml:space="preserve">lobal </w:t>
      </w:r>
      <w:r>
        <w:rPr>
          <w:bCs/>
          <w:iCs/>
          <w:szCs w:val="22"/>
          <w:lang w:val="en-US"/>
        </w:rPr>
        <w:t>B</w:t>
      </w:r>
      <w:r w:rsidRPr="00853C76">
        <w:rPr>
          <w:bCs/>
          <w:iCs/>
          <w:szCs w:val="22"/>
          <w:lang w:val="en-US"/>
        </w:rPr>
        <w:t xml:space="preserve">iodiversity </w:t>
      </w:r>
      <w:r>
        <w:rPr>
          <w:bCs/>
          <w:iCs/>
          <w:szCs w:val="22"/>
          <w:lang w:val="en-US"/>
        </w:rPr>
        <w:t>F</w:t>
      </w:r>
      <w:r w:rsidRPr="00853C76">
        <w:rPr>
          <w:bCs/>
          <w:iCs/>
          <w:szCs w:val="22"/>
          <w:lang w:val="en-US"/>
        </w:rPr>
        <w:t>ramework</w:t>
      </w:r>
      <w:r w:rsidRPr="00853C76" w:rsidDel="000F2288">
        <w:rPr>
          <w:bCs/>
          <w:iCs/>
          <w:szCs w:val="22"/>
        </w:rPr>
        <w:t xml:space="preserve"> </w:t>
      </w:r>
      <w:r w:rsidRPr="00853C76">
        <w:rPr>
          <w:bCs/>
          <w:iCs/>
          <w:szCs w:val="22"/>
        </w:rPr>
        <w:t>required for its implementation;</w:t>
      </w:r>
    </w:p>
    <w:p w14:paraId="5C65D1D1" w14:textId="77777777" w:rsidR="00DA0273" w:rsidRPr="00853C76" w:rsidRDefault="00DA0273" w:rsidP="00FB5720">
      <w:pPr>
        <w:tabs>
          <w:tab w:val="left" w:pos="720"/>
        </w:tabs>
        <w:snapToGrid w:val="0"/>
        <w:spacing w:before="120" w:after="120"/>
        <w:ind w:firstLine="709"/>
        <w:rPr>
          <w:iCs/>
          <w:szCs w:val="22"/>
          <w:lang w:val="en-US"/>
        </w:rPr>
      </w:pPr>
      <w:r w:rsidRPr="00853C76">
        <w:rPr>
          <w:iCs/>
          <w:szCs w:val="22"/>
          <w:lang w:val="en-US"/>
        </w:rPr>
        <w:t>(h)</w:t>
      </w:r>
      <w:r w:rsidRPr="00853C76">
        <w:rPr>
          <w:iCs/>
          <w:szCs w:val="22"/>
          <w:lang w:val="en-US"/>
        </w:rPr>
        <w:tab/>
        <w:t xml:space="preserve">The </w:t>
      </w:r>
      <w:r>
        <w:rPr>
          <w:iCs/>
          <w:szCs w:val="22"/>
        </w:rPr>
        <w:t>I</w:t>
      </w:r>
      <w:r w:rsidRPr="00853C76">
        <w:rPr>
          <w:iCs/>
          <w:szCs w:val="22"/>
        </w:rPr>
        <w:t xml:space="preserve">mplementation </w:t>
      </w:r>
      <w:r>
        <w:rPr>
          <w:iCs/>
          <w:szCs w:val="22"/>
        </w:rPr>
        <w:t>P</w:t>
      </w:r>
      <w:r w:rsidRPr="00853C76">
        <w:rPr>
          <w:iCs/>
          <w:szCs w:val="22"/>
        </w:rPr>
        <w:t>lan for the Cartagena Protocol</w:t>
      </w:r>
      <w:r w:rsidRPr="00853C76">
        <w:rPr>
          <w:iCs/>
          <w:szCs w:val="22"/>
          <w:lang w:val="en-US"/>
        </w:rPr>
        <w:t xml:space="preserve"> on Biosafety</w:t>
      </w:r>
      <w:r w:rsidRPr="00610646">
        <w:rPr>
          <w:rStyle w:val="FootnoteReference"/>
        </w:rPr>
        <w:footnoteReference w:id="163"/>
      </w:r>
      <w:r w:rsidRPr="00853C76">
        <w:rPr>
          <w:iCs/>
          <w:szCs w:val="22"/>
        </w:rPr>
        <w:t xml:space="preserve"> and the Capacity-building </w:t>
      </w:r>
      <w:r>
        <w:rPr>
          <w:iCs/>
          <w:szCs w:val="22"/>
        </w:rPr>
        <w:t>A</w:t>
      </w:r>
      <w:r w:rsidRPr="00853C76">
        <w:rPr>
          <w:iCs/>
          <w:szCs w:val="22"/>
        </w:rPr>
        <w:t xml:space="preserve">ction </w:t>
      </w:r>
      <w:r>
        <w:rPr>
          <w:iCs/>
          <w:szCs w:val="22"/>
        </w:rPr>
        <w:t>P</w:t>
      </w:r>
      <w:r w:rsidRPr="00853C76">
        <w:rPr>
          <w:iCs/>
          <w:szCs w:val="22"/>
        </w:rPr>
        <w:t>lan for the Cartagena Protocol</w:t>
      </w:r>
      <w:r w:rsidRPr="00853C76">
        <w:rPr>
          <w:iCs/>
          <w:szCs w:val="22"/>
          <w:lang w:val="en-US"/>
        </w:rPr>
        <w:t xml:space="preserve"> on Biosafety;</w:t>
      </w:r>
      <w:r w:rsidRPr="00610646">
        <w:rPr>
          <w:rStyle w:val="FootnoteReference"/>
        </w:rPr>
        <w:footnoteReference w:id="164"/>
      </w:r>
    </w:p>
    <w:p w14:paraId="492F19F7" w14:textId="77777777" w:rsidR="00DA0273" w:rsidRPr="00853C76" w:rsidRDefault="00DA0273" w:rsidP="00FB5720">
      <w:pPr>
        <w:tabs>
          <w:tab w:val="left" w:pos="720"/>
        </w:tabs>
        <w:snapToGrid w:val="0"/>
        <w:spacing w:before="120" w:after="120"/>
        <w:ind w:firstLine="709"/>
        <w:rPr>
          <w:iCs/>
          <w:szCs w:val="22"/>
          <w:lang w:val="en-US"/>
        </w:rPr>
      </w:pPr>
      <w:r w:rsidRPr="00853C76">
        <w:rPr>
          <w:iCs/>
          <w:szCs w:val="22"/>
          <w:lang w:val="en-US"/>
        </w:rPr>
        <w:t>(i)</w:t>
      </w:r>
      <w:r w:rsidRPr="00853C76">
        <w:rPr>
          <w:iCs/>
          <w:szCs w:val="22"/>
          <w:lang w:val="en-US"/>
        </w:rPr>
        <w:tab/>
        <w:t>The guidance to the Global Environment Facility on programme priorities to support the implementation of the Nagoya Protocol on Access and Benefit-sharing adopted by the Conference of the Parties serving as the meeting of the Parties to the Protocol at its fourth meeting, contained in appendix I</w:t>
      </w:r>
      <w:r>
        <w:rPr>
          <w:iCs/>
          <w:szCs w:val="22"/>
          <w:lang w:val="en-US"/>
        </w:rPr>
        <w:t>.</w:t>
      </w:r>
    </w:p>
    <w:p w14:paraId="2F03E6CF" w14:textId="77777777" w:rsidR="00DA0273" w:rsidRPr="006B08B1" w:rsidRDefault="00DA0273" w:rsidP="006B08B1">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6B08B1">
        <w:rPr>
          <w:b/>
          <w:bCs/>
          <w:snapToGrid w:val="0"/>
          <w:color w:val="000000"/>
          <w:kern w:val="22"/>
          <w:szCs w:val="22"/>
        </w:rPr>
        <w:t>C.</w:t>
      </w:r>
      <w:r w:rsidRPr="006B08B1">
        <w:rPr>
          <w:b/>
          <w:bCs/>
          <w:snapToGrid w:val="0"/>
          <w:color w:val="000000"/>
          <w:kern w:val="22"/>
          <w:szCs w:val="22"/>
        </w:rPr>
        <w:tab/>
        <w:t>Additional strategic considerations</w:t>
      </w:r>
    </w:p>
    <w:p w14:paraId="43BA5104"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5.</w:t>
      </w:r>
      <w:r w:rsidRPr="00853C76">
        <w:rPr>
          <w:iCs/>
          <w:szCs w:val="22"/>
          <w:lang w:val="en-US"/>
        </w:rPr>
        <w:tab/>
        <w:t xml:space="preserve">The GEF-8 biodiversity strategy and programming directions should support the rapid </w:t>
      </w:r>
      <w:r w:rsidRPr="00853C76">
        <w:rPr>
          <w:iCs/>
          <w:szCs w:val="22"/>
          <w:shd w:val="clear" w:color="auto" w:fill="FFFFFF"/>
          <w:lang w:val="en-US"/>
        </w:rPr>
        <w:t xml:space="preserve">and effective </w:t>
      </w:r>
      <w:r w:rsidRPr="00853C76">
        <w:rPr>
          <w:iCs/>
          <w:szCs w:val="22"/>
          <w:lang w:val="en-US"/>
        </w:rPr>
        <w:t xml:space="preserve">implementation of the </w:t>
      </w:r>
      <w:r>
        <w:rPr>
          <w:kern w:val="22"/>
        </w:rPr>
        <w:t xml:space="preserve">Kunming-Montreal </w:t>
      </w:r>
      <w:r w:rsidRPr="00D71BEC">
        <w:rPr>
          <w:bCs/>
          <w:snapToGrid w:val="0"/>
          <w:kern w:val="22"/>
          <w:szCs w:val="22"/>
        </w:rPr>
        <w:t>Global Biodiversity Framework</w:t>
      </w:r>
      <w:r w:rsidRPr="00853C76" w:rsidDel="00A24066">
        <w:rPr>
          <w:iCs/>
          <w:szCs w:val="22"/>
          <w:lang w:val="en-US"/>
        </w:rPr>
        <w:t xml:space="preserve"> </w:t>
      </w:r>
      <w:r w:rsidRPr="00853C76">
        <w:rPr>
          <w:iCs/>
          <w:szCs w:val="22"/>
          <w:shd w:val="clear" w:color="auto" w:fill="FFFFFF"/>
          <w:lang w:val="en-US"/>
        </w:rPr>
        <w:t xml:space="preserve">by contributing to resource mobilization from all sources, including through increased GEF funding, which is adequate, predictable, sustainable, timely and accessible </w:t>
      </w:r>
      <w:r w:rsidRPr="00853C76">
        <w:rPr>
          <w:iCs/>
          <w:szCs w:val="22"/>
          <w:lang w:val="en-US"/>
        </w:rPr>
        <w:t>and through allocations dedicated to the biodiversity focal area and co-benefits for biodiversity across other focal areas and global programmes, including integrated programmes, recognizing the need for streamlined programming and approval process to enable timely disbursement of resources.</w:t>
      </w:r>
      <w:r w:rsidRPr="00610646">
        <w:rPr>
          <w:rStyle w:val="FootnoteReference"/>
        </w:rPr>
        <w:footnoteReference w:id="165"/>
      </w:r>
      <w:r w:rsidRPr="00853C76">
        <w:rPr>
          <w:iCs/>
          <w:szCs w:val="22"/>
          <w:lang w:val="en-US"/>
        </w:rPr>
        <w:t xml:space="preserve"> </w:t>
      </w:r>
    </w:p>
    <w:p w14:paraId="5DC2DAAC"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6.</w:t>
      </w:r>
      <w:r w:rsidRPr="00853C76">
        <w:rPr>
          <w:iCs/>
          <w:szCs w:val="22"/>
          <w:lang w:val="en-US"/>
        </w:rPr>
        <w:tab/>
        <w:t xml:space="preserve">The GEF-8 biodiversity strategy and programming directions should recognize the contribution of multi-country, regional, transboundary and global projects, to the implementation of the objectives of the Convention, its Protocols and the </w:t>
      </w:r>
      <w:r>
        <w:rPr>
          <w:kern w:val="22"/>
        </w:rPr>
        <w:t xml:space="preserve">Kunming-Montreal </w:t>
      </w:r>
      <w:r w:rsidRPr="00D71BEC">
        <w:rPr>
          <w:bCs/>
          <w:snapToGrid w:val="0"/>
          <w:kern w:val="22"/>
          <w:szCs w:val="22"/>
        </w:rPr>
        <w:t>Global Biodiversity Framework</w:t>
      </w:r>
      <w:r w:rsidRPr="00853C76">
        <w:rPr>
          <w:iCs/>
          <w:szCs w:val="22"/>
          <w:lang w:val="en-US"/>
        </w:rPr>
        <w:t xml:space="preserve">, </w:t>
      </w:r>
      <w:r w:rsidRPr="009E4CD4">
        <w:rPr>
          <w:iCs/>
          <w:szCs w:val="22"/>
          <w:lang w:val="en-US"/>
        </w:rPr>
        <w:t>including to the implementation of global initiatives adopted under the Convention and its Protocols, and</w:t>
      </w:r>
      <w:r w:rsidRPr="00853C76">
        <w:rPr>
          <w:iCs/>
          <w:szCs w:val="22"/>
          <w:lang w:val="en-US"/>
        </w:rPr>
        <w:t xml:space="preserve"> multi-country, regional, transboundary and global initiatives that leverage contributions from biodiversity-related conventions and agreements.</w:t>
      </w:r>
    </w:p>
    <w:p w14:paraId="174BD89F"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7.</w:t>
      </w:r>
      <w:r w:rsidRPr="00853C76">
        <w:rPr>
          <w:iCs/>
          <w:szCs w:val="22"/>
          <w:lang w:val="en-US"/>
        </w:rPr>
        <w:tab/>
        <w:t xml:space="preserve">The GEF-8 biodiversity strategy and programming directions should recognize that the implementation of biodiversity-related conventions and agreements in the context of national biodiversity priorities and strategies will contribute to the three objectives of the Convention and its Protocols and the goals and targets of the </w:t>
      </w:r>
      <w:r>
        <w:rPr>
          <w:kern w:val="22"/>
        </w:rPr>
        <w:t xml:space="preserve">Kunming-Montreal </w:t>
      </w:r>
      <w:r w:rsidRPr="00D71BEC">
        <w:rPr>
          <w:bCs/>
          <w:snapToGrid w:val="0"/>
          <w:kern w:val="22"/>
          <w:szCs w:val="22"/>
        </w:rPr>
        <w:t>Global Biodiversity Framework</w:t>
      </w:r>
      <w:r w:rsidRPr="00853C76">
        <w:rPr>
          <w:iCs/>
          <w:szCs w:val="22"/>
          <w:lang w:val="en-US"/>
        </w:rPr>
        <w:t>.</w:t>
      </w:r>
    </w:p>
    <w:p w14:paraId="53C200F6"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8.</w:t>
      </w:r>
      <w:r w:rsidRPr="00853C76">
        <w:rPr>
          <w:iCs/>
          <w:szCs w:val="22"/>
          <w:lang w:val="en-US"/>
        </w:rPr>
        <w:tab/>
        <w:t xml:space="preserve">The GEF-8 biodiversity strategy and programming directions should take into account coherence with, and synergies among, country-driven programmes and priorities set out in national biodiversity strategies and action plans to support implementation of the </w:t>
      </w:r>
      <w:r>
        <w:rPr>
          <w:kern w:val="22"/>
        </w:rPr>
        <w:t xml:space="preserve">Kunming-Montreal </w:t>
      </w:r>
      <w:r w:rsidRPr="00D71BEC">
        <w:rPr>
          <w:bCs/>
          <w:snapToGrid w:val="0"/>
          <w:kern w:val="22"/>
          <w:szCs w:val="22"/>
        </w:rPr>
        <w:t>Global Biodiversity Framework</w:t>
      </w:r>
      <w:r w:rsidRPr="00853C76">
        <w:rPr>
          <w:iCs/>
          <w:szCs w:val="22"/>
          <w:lang w:val="en-US"/>
        </w:rPr>
        <w:t>.</w:t>
      </w:r>
    </w:p>
    <w:p w14:paraId="54ABB5DB"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lastRenderedPageBreak/>
        <w:t>9.</w:t>
      </w:r>
      <w:r w:rsidRPr="00853C76">
        <w:rPr>
          <w:iCs/>
          <w:szCs w:val="22"/>
          <w:lang w:val="en-US"/>
        </w:rPr>
        <w:tab/>
        <w:t xml:space="preserve">The GEF-8 biodiversity strategy and programming directions should be developed in a fully transparent and inclusive manner, with a view to ensuring that projects to be funded by GEF during its eighth </w:t>
      </w:r>
      <w:r w:rsidRPr="00441EDB">
        <w:rPr>
          <w:iCs/>
          <w:szCs w:val="22"/>
          <w:lang w:val="en-US"/>
        </w:rPr>
        <w:t>replenishment are to be</w:t>
      </w:r>
      <w:r w:rsidRPr="00853C76">
        <w:rPr>
          <w:iCs/>
          <w:szCs w:val="22"/>
          <w:lang w:val="en-US"/>
        </w:rPr>
        <w:t xml:space="preserve"> developed on a context-specific and country-driven basis, addressing the priority needs of recipient countries.</w:t>
      </w:r>
    </w:p>
    <w:p w14:paraId="5A6C8041"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10.</w:t>
      </w:r>
      <w:r w:rsidRPr="00853C76">
        <w:rPr>
          <w:iCs/>
          <w:szCs w:val="22"/>
          <w:lang w:val="en-US"/>
        </w:rPr>
        <w:tab/>
        <w:t>The GEF-8 biodiversity strategy and programming directions should promote</w:t>
      </w:r>
      <w:r w:rsidRPr="00853C76">
        <w:rPr>
          <w:szCs w:val="22"/>
          <w:lang w:val="en-US"/>
        </w:rPr>
        <w:t xml:space="preserve"> agreed global environmental benefits and </w:t>
      </w:r>
      <w:r w:rsidRPr="00853C76">
        <w:rPr>
          <w:iCs/>
          <w:szCs w:val="22"/>
          <w:lang w:val="en-US"/>
        </w:rPr>
        <w:t>development pathways that benefit biodiversity and are also carbon-neutral and pollution-free, including through coherence and synergies among the GEF integrated programmes and focal areas of biodiversity, land degradation, international waters, climate change (both mitigation and adaptation), and chemicals and waste, and within the context of country</w:t>
      </w:r>
      <w:r w:rsidRPr="00853C76">
        <w:rPr>
          <w:iCs/>
          <w:szCs w:val="22"/>
          <w:lang w:val="en-US"/>
        </w:rPr>
        <w:noBreakHyphen/>
        <w:t xml:space="preserve">driven programmes and priorities. </w:t>
      </w:r>
    </w:p>
    <w:p w14:paraId="0F811475" w14:textId="77777777" w:rsidR="00DA0273" w:rsidRPr="00853C76" w:rsidRDefault="00DA0273" w:rsidP="00A425B2">
      <w:pPr>
        <w:tabs>
          <w:tab w:val="left" w:pos="720"/>
        </w:tabs>
        <w:snapToGrid w:val="0"/>
        <w:spacing w:before="120" w:after="120"/>
        <w:rPr>
          <w:bCs/>
          <w:iCs/>
          <w:szCs w:val="22"/>
          <w:lang w:val="en-US"/>
        </w:rPr>
      </w:pPr>
      <w:r w:rsidRPr="00853C76">
        <w:rPr>
          <w:bCs/>
          <w:iCs/>
          <w:szCs w:val="22"/>
          <w:lang w:val="en-US"/>
        </w:rPr>
        <w:t>11.</w:t>
      </w:r>
      <w:r w:rsidRPr="00853C76">
        <w:rPr>
          <w:bCs/>
          <w:iCs/>
          <w:szCs w:val="22"/>
          <w:lang w:val="en-US"/>
        </w:rPr>
        <w:tab/>
      </w:r>
      <w:bookmarkStart w:id="206" w:name="_Hlk122272289"/>
      <w:r w:rsidRPr="00853C76">
        <w:rPr>
          <w:bCs/>
          <w:iCs/>
          <w:szCs w:val="22"/>
          <w:lang w:val="en-US"/>
        </w:rPr>
        <w:t xml:space="preserve">The GEF-8 biodiversity strategy and programming directions should promote </w:t>
      </w:r>
      <w:bookmarkEnd w:id="206"/>
      <w:r w:rsidRPr="00853C76">
        <w:rPr>
          <w:bCs/>
          <w:iCs/>
          <w:szCs w:val="22"/>
          <w:lang w:val="en-US"/>
        </w:rPr>
        <w:t>and implement, as appropriate, the ecosystem approach</w:t>
      </w:r>
      <w:r>
        <w:rPr>
          <w:bCs/>
          <w:iCs/>
          <w:szCs w:val="22"/>
          <w:lang w:val="en-US"/>
        </w:rPr>
        <w:t>,</w:t>
      </w:r>
      <w:r w:rsidRPr="00610646">
        <w:rPr>
          <w:rStyle w:val="FootnoteReference"/>
        </w:rPr>
        <w:footnoteReference w:id="166"/>
      </w:r>
      <w:r w:rsidRPr="00853C76">
        <w:rPr>
          <w:bCs/>
          <w:iCs/>
          <w:szCs w:val="22"/>
          <w:lang w:val="en-US"/>
        </w:rPr>
        <w:t xml:space="preserve"> and/or nature-based solutions </w:t>
      </w:r>
      <w:r w:rsidRPr="00853C76">
        <w:rPr>
          <w:bCs/>
          <w:szCs w:val="22"/>
        </w:rPr>
        <w:t>as defined by the United Nations Environment Assembly at its fifth session</w:t>
      </w:r>
      <w:r>
        <w:rPr>
          <w:bCs/>
          <w:szCs w:val="22"/>
        </w:rPr>
        <w:t>.</w:t>
      </w:r>
      <w:r w:rsidRPr="00610646">
        <w:rPr>
          <w:rStyle w:val="FootnoteReference"/>
        </w:rPr>
        <w:footnoteReference w:id="167"/>
      </w:r>
    </w:p>
    <w:p w14:paraId="65FA93FC"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12.</w:t>
      </w:r>
      <w:r w:rsidRPr="00853C76">
        <w:rPr>
          <w:iCs/>
          <w:szCs w:val="22"/>
          <w:lang w:val="en-US"/>
        </w:rPr>
        <w:tab/>
        <w:t xml:space="preserve">The GEF-8 biodiversity strategy and programming directions should promote, synergies, cooperation and complementarity in the implementation of the three objectives of the Convention with those of the other conventions served by GEF, as well as with other biodiversity-related conventions and agreements, recognizing the important contributions that these instruments can make to the objectives of the Convention on Biological Diversity, its Protocols and the </w:t>
      </w:r>
      <w:r>
        <w:rPr>
          <w:iCs/>
          <w:szCs w:val="22"/>
          <w:lang w:val="en-US"/>
        </w:rPr>
        <w:t>Kunming-Montreal</w:t>
      </w:r>
      <w:r w:rsidRPr="00853C76">
        <w:rPr>
          <w:iCs/>
          <w:szCs w:val="22"/>
          <w:lang w:val="en-US"/>
        </w:rPr>
        <w:t xml:space="preserve"> </w:t>
      </w:r>
      <w:r>
        <w:rPr>
          <w:iCs/>
          <w:szCs w:val="22"/>
          <w:lang w:val="en-US"/>
        </w:rPr>
        <w:t>G</w:t>
      </w:r>
      <w:r w:rsidRPr="00853C76">
        <w:rPr>
          <w:iCs/>
          <w:szCs w:val="22"/>
          <w:lang w:val="en-US"/>
        </w:rPr>
        <w:t xml:space="preserve">lobal </w:t>
      </w:r>
      <w:r>
        <w:rPr>
          <w:iCs/>
          <w:szCs w:val="22"/>
          <w:lang w:val="en-US"/>
        </w:rPr>
        <w:t>B</w:t>
      </w:r>
      <w:r w:rsidRPr="00853C76">
        <w:rPr>
          <w:iCs/>
          <w:szCs w:val="22"/>
          <w:lang w:val="en-US"/>
        </w:rPr>
        <w:t xml:space="preserve">iodiversity </w:t>
      </w:r>
      <w:r>
        <w:rPr>
          <w:iCs/>
          <w:szCs w:val="22"/>
          <w:lang w:val="en-US"/>
        </w:rPr>
        <w:t>F</w:t>
      </w:r>
      <w:r w:rsidRPr="00853C76">
        <w:rPr>
          <w:iCs/>
          <w:szCs w:val="22"/>
          <w:lang w:val="en-US"/>
        </w:rPr>
        <w:t>ramework, and vice versa.</w:t>
      </w:r>
    </w:p>
    <w:p w14:paraId="590C0F53"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 xml:space="preserve">13. </w:t>
      </w:r>
      <w:r w:rsidRPr="00853C76">
        <w:rPr>
          <w:iCs/>
          <w:szCs w:val="22"/>
          <w:lang w:val="en-US"/>
        </w:rPr>
        <w:tab/>
        <w:t xml:space="preserve">During the GEF-8 period, GEF should further interact and cooperate with multilateral development banks and other public and private financial institutions to integrate the objectives of the Convention on Biological Diversity and its Protocols and the </w:t>
      </w:r>
      <w:r>
        <w:rPr>
          <w:kern w:val="22"/>
        </w:rPr>
        <w:t xml:space="preserve">Kunming-Montreal </w:t>
      </w:r>
      <w:r w:rsidRPr="00D71BEC">
        <w:rPr>
          <w:bCs/>
          <w:snapToGrid w:val="0"/>
          <w:kern w:val="22"/>
          <w:szCs w:val="22"/>
        </w:rPr>
        <w:t>Global Biodiversity Framework</w:t>
      </w:r>
      <w:r w:rsidRPr="00853C76">
        <w:rPr>
          <w:iCs/>
          <w:szCs w:val="22"/>
          <w:lang w:val="en-US"/>
        </w:rPr>
        <w:t>, as well as the contributions of the other biodiversity-related conventions within their activities and report on funding contributing to their implementation.</w:t>
      </w:r>
    </w:p>
    <w:p w14:paraId="3EB4C8C1"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14.</w:t>
      </w:r>
      <w:r w:rsidRPr="00853C76">
        <w:rPr>
          <w:iCs/>
          <w:szCs w:val="22"/>
          <w:lang w:val="en-US"/>
        </w:rPr>
        <w:tab/>
      </w:r>
      <w:bookmarkStart w:id="207" w:name="_Hlk94282923"/>
      <w:r w:rsidRPr="00853C76">
        <w:rPr>
          <w:iCs/>
          <w:szCs w:val="22"/>
          <w:lang w:val="en-US"/>
        </w:rPr>
        <w:t xml:space="preserve">The GEF-8 outcome and impact indicators and associated monitoring processes should be effectively used to assess the contribution of the GEF-8 to the implementation of the three objectives of the Convention, </w:t>
      </w:r>
      <w:r>
        <w:rPr>
          <w:iCs/>
          <w:szCs w:val="22"/>
          <w:lang w:val="en-US"/>
        </w:rPr>
        <w:t>its</w:t>
      </w:r>
      <w:r w:rsidRPr="00853C76">
        <w:rPr>
          <w:iCs/>
          <w:szCs w:val="22"/>
          <w:lang w:val="en-US"/>
        </w:rPr>
        <w:t xml:space="preserve"> Protocols, and the </w:t>
      </w:r>
      <w:r>
        <w:rPr>
          <w:kern w:val="22"/>
        </w:rPr>
        <w:t xml:space="preserve">Kunming-Montreal </w:t>
      </w:r>
      <w:r w:rsidRPr="00D71BEC">
        <w:rPr>
          <w:bCs/>
          <w:snapToGrid w:val="0"/>
          <w:kern w:val="22"/>
          <w:szCs w:val="22"/>
        </w:rPr>
        <w:t>Global Biodiversity Framework</w:t>
      </w:r>
      <w:r w:rsidRPr="00853C76">
        <w:rPr>
          <w:iCs/>
          <w:szCs w:val="22"/>
          <w:lang w:val="en-US"/>
        </w:rPr>
        <w:t>, including through measuring the co-benefits for biodiversity across all relevant GEF activities.</w:t>
      </w:r>
      <w:bookmarkEnd w:id="207"/>
    </w:p>
    <w:p w14:paraId="388679A4" w14:textId="77777777" w:rsidR="00DA0273" w:rsidRPr="00853C76" w:rsidRDefault="00DA0273" w:rsidP="005930B9">
      <w:pPr>
        <w:tabs>
          <w:tab w:val="left" w:pos="720"/>
        </w:tabs>
        <w:snapToGrid w:val="0"/>
        <w:spacing w:before="120" w:after="120"/>
        <w:rPr>
          <w:iCs/>
          <w:szCs w:val="22"/>
          <w:lang w:val="en-US"/>
        </w:rPr>
      </w:pPr>
      <w:r w:rsidRPr="00853C76">
        <w:rPr>
          <w:rFonts w:eastAsia="MS Mincho"/>
          <w:iCs/>
          <w:szCs w:val="22"/>
          <w:lang w:val="en-US" w:eastAsia="ja-JP"/>
        </w:rPr>
        <w:t>15.</w:t>
      </w:r>
      <w:r w:rsidRPr="00853C76">
        <w:rPr>
          <w:rFonts w:eastAsia="MS Mincho"/>
          <w:iCs/>
          <w:szCs w:val="22"/>
          <w:lang w:val="en-US" w:eastAsia="ja-JP"/>
        </w:rPr>
        <w:tab/>
      </w:r>
      <w:r w:rsidRPr="00853C76">
        <w:rPr>
          <w:iCs/>
          <w:szCs w:val="22"/>
          <w:lang w:val="en-US"/>
        </w:rPr>
        <w:t>The GEF</w:t>
      </w:r>
      <w:r>
        <w:rPr>
          <w:iCs/>
          <w:szCs w:val="22"/>
          <w:lang w:val="en-US"/>
        </w:rPr>
        <w:t>,</w:t>
      </w:r>
      <w:r w:rsidRPr="00853C76">
        <w:rPr>
          <w:iCs/>
          <w:szCs w:val="22"/>
          <w:lang w:val="en-US"/>
        </w:rPr>
        <w:t xml:space="preserve"> in its eighth replenishment period</w:t>
      </w:r>
      <w:r>
        <w:rPr>
          <w:iCs/>
          <w:szCs w:val="22"/>
          <w:lang w:val="en-US"/>
        </w:rPr>
        <w:t>,</w:t>
      </w:r>
      <w:r w:rsidRPr="00853C76">
        <w:rPr>
          <w:iCs/>
          <w:szCs w:val="22"/>
          <w:lang w:val="en-US"/>
        </w:rPr>
        <w:t xml:space="preserve"> should explore ways to significantly improve the access to funding for all recipient countries</w:t>
      </w:r>
      <w:r>
        <w:rPr>
          <w:iCs/>
          <w:szCs w:val="22"/>
          <w:lang w:val="en-US"/>
        </w:rPr>
        <w:t>.</w:t>
      </w:r>
    </w:p>
    <w:p w14:paraId="19F56724"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 xml:space="preserve">16. </w:t>
      </w:r>
      <w:r w:rsidRPr="00853C76">
        <w:rPr>
          <w:iCs/>
          <w:szCs w:val="22"/>
          <w:lang w:val="en-US"/>
        </w:rPr>
        <w:tab/>
        <w:t>The GEF</w:t>
      </w:r>
      <w:r>
        <w:rPr>
          <w:iCs/>
          <w:szCs w:val="22"/>
          <w:lang w:val="en-US"/>
        </w:rPr>
        <w:t>,</w:t>
      </w:r>
      <w:r w:rsidRPr="00853C76">
        <w:rPr>
          <w:iCs/>
          <w:szCs w:val="22"/>
          <w:lang w:val="en-US"/>
        </w:rPr>
        <w:t xml:space="preserve"> in its eighth replenishment period</w:t>
      </w:r>
      <w:r>
        <w:rPr>
          <w:iCs/>
          <w:szCs w:val="22"/>
          <w:lang w:val="en-US"/>
        </w:rPr>
        <w:t>,</w:t>
      </w:r>
      <w:r w:rsidRPr="00853C76">
        <w:rPr>
          <w:iCs/>
          <w:szCs w:val="22"/>
          <w:lang w:val="en-US"/>
        </w:rPr>
        <w:t xml:space="preserve"> should explore ways to improve the access to funding for indigenous peoples and local communities.</w:t>
      </w:r>
    </w:p>
    <w:p w14:paraId="76828C64" w14:textId="77777777" w:rsidR="00DA0273" w:rsidRPr="00853C76" w:rsidRDefault="00DA0273" w:rsidP="00FB5720">
      <w:pPr>
        <w:tabs>
          <w:tab w:val="left" w:pos="720"/>
        </w:tabs>
        <w:snapToGrid w:val="0"/>
        <w:spacing w:before="120" w:after="120"/>
        <w:rPr>
          <w:szCs w:val="22"/>
          <w:lang w:val="en-US"/>
        </w:rPr>
      </w:pPr>
      <w:r w:rsidRPr="00853C76">
        <w:rPr>
          <w:iCs/>
          <w:szCs w:val="22"/>
          <w:lang w:val="en-US"/>
        </w:rPr>
        <w:t>17.</w:t>
      </w:r>
      <w:r w:rsidRPr="00853C76">
        <w:rPr>
          <w:iCs/>
          <w:szCs w:val="22"/>
          <w:lang w:val="en-US"/>
        </w:rPr>
        <w:tab/>
        <w:t xml:space="preserve">The GEF-8 biodiversity strategy and programming directions should promote </w:t>
      </w:r>
      <w:r w:rsidRPr="00853C76">
        <w:rPr>
          <w:szCs w:val="22"/>
          <w:lang w:val="en-US"/>
        </w:rPr>
        <w:t>engagement with recipient countries to support national resource mobilization and the development and implementation of national biodiversity finance plans.</w:t>
      </w:r>
    </w:p>
    <w:p w14:paraId="0950E100" w14:textId="77777777" w:rsidR="00DA0273" w:rsidRPr="00853C76" w:rsidRDefault="00DA0273" w:rsidP="00FB5720">
      <w:pPr>
        <w:tabs>
          <w:tab w:val="left" w:pos="720"/>
        </w:tabs>
        <w:snapToGrid w:val="0"/>
        <w:spacing w:before="120" w:after="120"/>
        <w:rPr>
          <w:iCs/>
          <w:szCs w:val="22"/>
          <w:lang w:val="en-US"/>
        </w:rPr>
      </w:pPr>
      <w:r w:rsidRPr="00853C76">
        <w:rPr>
          <w:iCs/>
          <w:szCs w:val="22"/>
          <w:lang w:val="en-US"/>
        </w:rPr>
        <w:t>18.</w:t>
      </w:r>
      <w:r w:rsidRPr="00853C76">
        <w:rPr>
          <w:iCs/>
          <w:szCs w:val="22"/>
          <w:lang w:val="en-US"/>
        </w:rPr>
        <w:tab/>
        <w:t>The GEF-8 biodiversity strategy, programming directions and policy recommendations should reinforce the GEF’s efforts to mobilize and engage with different stakeholders including the private sector.</w:t>
      </w:r>
    </w:p>
    <w:p w14:paraId="7ED47C76" w14:textId="77777777" w:rsidR="00DA0273" w:rsidRPr="00853C76" w:rsidRDefault="00DA0273" w:rsidP="0097293F">
      <w:pPr>
        <w:rPr>
          <w:szCs w:val="22"/>
          <w:lang w:val="en-US"/>
        </w:rPr>
      </w:pPr>
      <w:r w:rsidRPr="00853C76">
        <w:rPr>
          <w:iCs/>
          <w:szCs w:val="22"/>
          <w:lang w:val="en-US"/>
        </w:rPr>
        <w:t>19.</w:t>
      </w:r>
      <w:r w:rsidRPr="00853C76">
        <w:rPr>
          <w:iCs/>
          <w:szCs w:val="22"/>
          <w:lang w:val="en-US"/>
        </w:rPr>
        <w:tab/>
      </w:r>
      <w:r w:rsidRPr="00853C76">
        <w:rPr>
          <w:szCs w:val="22"/>
          <w:lang w:val="en-US"/>
        </w:rPr>
        <w:t>To improve its efficiency and effectiveness in delivering sustainable results during the GEF</w:t>
      </w:r>
      <w:r w:rsidRPr="00853C76">
        <w:rPr>
          <w:szCs w:val="22"/>
          <w:lang w:val="en-US"/>
        </w:rPr>
        <w:noBreakHyphen/>
        <w:t>8 replenishment period, GEF should continue to improve its policies regarding governance and the standards its implementing partners are held to.</w:t>
      </w:r>
    </w:p>
    <w:p w14:paraId="38B7B54D" w14:textId="77777777" w:rsidR="00DA0273" w:rsidRDefault="00DA0273" w:rsidP="00BC046B">
      <w:pPr>
        <w:keepNext/>
        <w:keepLines/>
        <w:suppressLineNumbers/>
        <w:suppressAutoHyphens/>
        <w:adjustRightInd w:val="0"/>
        <w:snapToGrid w:val="0"/>
        <w:spacing w:before="120" w:after="120"/>
        <w:jc w:val="center"/>
        <w:rPr>
          <w:i/>
          <w:iCs/>
          <w:szCs w:val="22"/>
          <w:lang w:val="en-US"/>
        </w:rPr>
      </w:pPr>
      <w:r w:rsidRPr="00853C76">
        <w:rPr>
          <w:i/>
          <w:snapToGrid w:val="0"/>
          <w:kern w:val="22"/>
          <w:szCs w:val="22"/>
        </w:rPr>
        <w:lastRenderedPageBreak/>
        <w:t>Appendix</w:t>
      </w:r>
      <w:r w:rsidRPr="00853C76">
        <w:rPr>
          <w:i/>
          <w:iCs/>
          <w:szCs w:val="22"/>
          <w:lang w:val="en-US"/>
        </w:rPr>
        <w:t xml:space="preserve"> I</w:t>
      </w:r>
    </w:p>
    <w:p w14:paraId="7AB31D51" w14:textId="6CB56492" w:rsidR="00DA0273" w:rsidRPr="00AF42B7" w:rsidRDefault="00AF42B7" w:rsidP="00BC046B">
      <w:pPr>
        <w:pStyle w:val="BodyText"/>
        <w:keepNext/>
        <w:keepLines/>
        <w:ind w:firstLine="0"/>
        <w:jc w:val="center"/>
        <w:rPr>
          <w:b/>
          <w:bCs/>
          <w:i/>
          <w:lang w:val="en-US"/>
        </w:rPr>
      </w:pPr>
      <w:r w:rsidRPr="00AF42B7">
        <w:rPr>
          <w:b/>
          <w:bCs/>
          <w:snapToGrid w:val="0"/>
        </w:rPr>
        <w:t>ELEMENTS FOR THE FOUR-YEAR OUTCOME-ORIENTED FRAMEWORK OF PROGRAMME PRIORITIES FOR THE EIGHTH REPLENISHMENT PERIOD OF THE GLOBAL ENVIRONMENT FACILITY TRUST FUND (2022</w:t>
      </w:r>
      <w:r w:rsidRPr="00AF42B7">
        <w:rPr>
          <w:b/>
          <w:bCs/>
        </w:rPr>
        <w:t>–</w:t>
      </w:r>
      <w:r w:rsidRPr="00AF42B7">
        <w:rPr>
          <w:b/>
          <w:bCs/>
          <w:snapToGrid w:val="0"/>
        </w:rPr>
        <w:t xml:space="preserve">2026) </w:t>
      </w:r>
      <w:r w:rsidRPr="00AF42B7">
        <w:rPr>
          <w:b/>
          <w:bCs/>
          <w:snapToGrid w:val="0"/>
          <w:lang w:val="en-US"/>
        </w:rPr>
        <w:t>TO SUPPORT THE IMPLEMENTATION OF THE NAGOYA PROTOCOL ON ACCESS AND BENEFIT-SHARING</w:t>
      </w:r>
    </w:p>
    <w:p w14:paraId="44789E2B" w14:textId="77777777" w:rsidR="00DA0273" w:rsidRPr="00853C76" w:rsidRDefault="00DA0273" w:rsidP="00EB3B78">
      <w:pPr>
        <w:spacing w:before="120" w:after="120"/>
        <w:ind w:firstLine="709"/>
        <w:rPr>
          <w:rFonts w:asciiTheme="majorBidi" w:hAnsiTheme="majorBidi" w:cstheme="majorBidi"/>
          <w:snapToGrid w:val="0"/>
          <w:kern w:val="22"/>
          <w:szCs w:val="22"/>
        </w:rPr>
      </w:pPr>
      <w:r w:rsidRPr="0043093F">
        <w:rPr>
          <w:rFonts w:asciiTheme="majorBidi" w:hAnsiTheme="majorBidi" w:cstheme="majorBidi"/>
          <w:snapToGrid w:val="0"/>
          <w:kern w:val="22"/>
          <w:szCs w:val="22"/>
        </w:rPr>
        <w:t>Elements for the four-year outcome-oriented framework of programme priorities for the eighth replenishment period of the Global Environment Facility Trust Fund (2022</w:t>
      </w:r>
      <w:r w:rsidRPr="0043093F">
        <w:rPr>
          <w:b/>
          <w:bCs/>
          <w:iCs/>
          <w:szCs w:val="22"/>
        </w:rPr>
        <w:t>–</w:t>
      </w:r>
      <w:r w:rsidRPr="0043093F">
        <w:rPr>
          <w:rFonts w:asciiTheme="majorBidi" w:hAnsiTheme="majorBidi" w:cstheme="majorBidi"/>
          <w:snapToGrid w:val="0"/>
          <w:kern w:val="22"/>
          <w:szCs w:val="22"/>
        </w:rPr>
        <w:t xml:space="preserve">2026) </w:t>
      </w:r>
      <w:r w:rsidRPr="0043093F">
        <w:rPr>
          <w:rFonts w:asciiTheme="majorBidi" w:hAnsiTheme="majorBidi" w:cstheme="majorBidi"/>
          <w:iCs/>
          <w:snapToGrid w:val="0"/>
          <w:kern w:val="22"/>
          <w:szCs w:val="22"/>
          <w:lang w:val="en-US"/>
        </w:rPr>
        <w:t>to support the implementation of the Nagoya Protocol on Access and Benefit-sharing, adopted by the Conference of the Parties serving as the meeting of the Parties to the Protocol at its fourth meeting</w:t>
      </w:r>
      <w:r>
        <w:rPr>
          <w:rFonts w:asciiTheme="majorBidi" w:hAnsiTheme="majorBidi" w:cstheme="majorBidi"/>
          <w:iCs/>
          <w:snapToGrid w:val="0"/>
          <w:kern w:val="22"/>
          <w:szCs w:val="22"/>
          <w:lang w:val="en-US"/>
        </w:rPr>
        <w:t xml:space="preserve">, </w:t>
      </w:r>
      <w:r w:rsidRPr="007F2F5D">
        <w:rPr>
          <w:rFonts w:asciiTheme="majorBidi" w:hAnsiTheme="majorBidi" w:cstheme="majorBidi"/>
          <w:iCs/>
          <w:snapToGrid w:val="0"/>
          <w:kern w:val="22"/>
          <w:szCs w:val="22"/>
          <w:lang w:val="en-US"/>
        </w:rPr>
        <w:t>include</w:t>
      </w:r>
      <w:r w:rsidRPr="007F2F5D">
        <w:rPr>
          <w:rFonts w:asciiTheme="majorBidi" w:hAnsiTheme="majorBidi" w:cstheme="majorBidi"/>
          <w:snapToGrid w:val="0"/>
          <w:kern w:val="22"/>
          <w:szCs w:val="22"/>
        </w:rPr>
        <w:t>:</w:t>
      </w:r>
      <w:r w:rsidRPr="00853C76">
        <w:rPr>
          <w:rFonts w:asciiTheme="majorBidi" w:hAnsiTheme="majorBidi" w:cstheme="majorBidi"/>
          <w:snapToGrid w:val="0"/>
          <w:kern w:val="22"/>
          <w:szCs w:val="22"/>
        </w:rPr>
        <w:t xml:space="preserve"> </w:t>
      </w:r>
    </w:p>
    <w:p w14:paraId="6258A745" w14:textId="77777777" w:rsidR="00DA0273" w:rsidRPr="00853C76" w:rsidRDefault="00DA0273" w:rsidP="00B07C20">
      <w:pPr>
        <w:spacing w:before="120" w:after="120"/>
        <w:ind w:firstLine="709"/>
        <w:rPr>
          <w:rFonts w:asciiTheme="majorBidi" w:hAnsiTheme="majorBidi" w:cstheme="majorBidi"/>
          <w:snapToGrid w:val="0"/>
          <w:kern w:val="22"/>
          <w:szCs w:val="22"/>
        </w:rPr>
      </w:pPr>
      <w:r w:rsidRPr="00853C76">
        <w:rPr>
          <w:snapToGrid w:val="0"/>
          <w:szCs w:val="22"/>
        </w:rPr>
        <w:t xml:space="preserve">(a) </w:t>
      </w:r>
      <w:r w:rsidRPr="00853C76">
        <w:rPr>
          <w:snapToGrid w:val="0"/>
          <w:szCs w:val="22"/>
        </w:rPr>
        <w:tab/>
        <w:t>Specific priorities for continued capacity-building to support the implementation of the Nagoya Protocol;</w:t>
      </w:r>
      <w:r w:rsidRPr="00610646">
        <w:rPr>
          <w:rStyle w:val="FootnoteReference"/>
        </w:rPr>
        <w:footnoteReference w:id="168"/>
      </w:r>
      <w:r w:rsidRPr="00853C76">
        <w:rPr>
          <w:snapToGrid w:val="0"/>
          <w:szCs w:val="22"/>
          <w:vertAlign w:val="superscript"/>
        </w:rPr>
        <w:t xml:space="preserve"> </w:t>
      </w:r>
    </w:p>
    <w:p w14:paraId="7E15DF20" w14:textId="77777777" w:rsidR="00DA0273" w:rsidRPr="00853C76" w:rsidRDefault="00DA0273" w:rsidP="00B07C20">
      <w:pPr>
        <w:spacing w:before="120" w:after="120"/>
        <w:ind w:firstLine="709"/>
        <w:rPr>
          <w:rFonts w:asciiTheme="majorBidi" w:hAnsiTheme="majorBidi" w:cstheme="majorBidi"/>
          <w:snapToGrid w:val="0"/>
          <w:kern w:val="22"/>
          <w:szCs w:val="22"/>
        </w:rPr>
      </w:pPr>
      <w:r w:rsidRPr="007F2F5D">
        <w:rPr>
          <w:rFonts w:asciiTheme="majorBidi" w:hAnsiTheme="majorBidi" w:cstheme="majorBidi"/>
          <w:snapToGrid w:val="0"/>
          <w:kern w:val="22"/>
          <w:szCs w:val="22"/>
        </w:rPr>
        <w:t xml:space="preserve">(b) </w:t>
      </w:r>
      <w:r w:rsidRPr="007F2F5D">
        <w:rPr>
          <w:rFonts w:asciiTheme="majorBidi" w:hAnsiTheme="majorBidi" w:cstheme="majorBidi"/>
          <w:snapToGrid w:val="0"/>
          <w:kern w:val="22"/>
          <w:szCs w:val="22"/>
        </w:rPr>
        <w:tab/>
        <w:t>Support for the integration and mainstreaming of access and benefit-sharing on genetic</w:t>
      </w:r>
      <w:r w:rsidRPr="00853C76">
        <w:rPr>
          <w:rFonts w:asciiTheme="majorBidi" w:hAnsiTheme="majorBidi" w:cstheme="majorBidi"/>
          <w:snapToGrid w:val="0"/>
          <w:kern w:val="22"/>
          <w:szCs w:val="22"/>
        </w:rPr>
        <w:t xml:space="preserve"> resources and traditional knowledge associated with genetic resources in </w:t>
      </w:r>
      <w:r>
        <w:rPr>
          <w:rFonts w:asciiTheme="majorBidi" w:hAnsiTheme="majorBidi" w:cstheme="majorBidi"/>
          <w:snapToGrid w:val="0"/>
          <w:kern w:val="22"/>
          <w:szCs w:val="22"/>
        </w:rPr>
        <w:t xml:space="preserve">policies and activities related to </w:t>
      </w:r>
      <w:r w:rsidRPr="00853C76">
        <w:rPr>
          <w:rFonts w:asciiTheme="majorBidi" w:hAnsiTheme="majorBidi" w:cstheme="majorBidi"/>
          <w:snapToGrid w:val="0"/>
          <w:kern w:val="22"/>
          <w:szCs w:val="22"/>
        </w:rPr>
        <w:t>biodiversity and sustainable development;</w:t>
      </w:r>
    </w:p>
    <w:p w14:paraId="18444768" w14:textId="25184E4E" w:rsidR="00DA0273" w:rsidRPr="00BC046B" w:rsidRDefault="00DA0273" w:rsidP="00BC046B">
      <w:pPr>
        <w:spacing w:before="120" w:after="120"/>
        <w:ind w:firstLine="709"/>
        <w:rPr>
          <w:rFonts w:asciiTheme="majorBidi" w:hAnsiTheme="majorBidi" w:cstheme="majorBidi"/>
          <w:snapToGrid w:val="0"/>
          <w:kern w:val="22"/>
          <w:szCs w:val="22"/>
        </w:rPr>
      </w:pPr>
      <w:r w:rsidRPr="00853C76">
        <w:rPr>
          <w:rFonts w:asciiTheme="majorBidi" w:hAnsiTheme="majorBidi" w:cstheme="majorBidi"/>
          <w:snapToGrid w:val="0"/>
          <w:kern w:val="22"/>
          <w:szCs w:val="22"/>
        </w:rPr>
        <w:t xml:space="preserve">(c) </w:t>
      </w:r>
      <w:r w:rsidRPr="00853C76">
        <w:rPr>
          <w:rFonts w:asciiTheme="majorBidi" w:hAnsiTheme="majorBidi" w:cstheme="majorBidi"/>
          <w:snapToGrid w:val="0"/>
          <w:kern w:val="22"/>
          <w:szCs w:val="22"/>
        </w:rPr>
        <w:tab/>
        <w:t>Support for the development and sustainment of long-term institutional capacities for managing, monitoring and evaluating national access and benefit-sharing frameworks</w:t>
      </w:r>
      <w:r>
        <w:rPr>
          <w:rFonts w:asciiTheme="majorBidi" w:hAnsiTheme="majorBidi" w:cstheme="majorBidi"/>
          <w:snapToGrid w:val="0"/>
          <w:kern w:val="22"/>
          <w:szCs w:val="22"/>
        </w:rPr>
        <w:t>.</w:t>
      </w:r>
    </w:p>
    <w:p w14:paraId="17F1C5DD" w14:textId="77777777" w:rsidR="00DA0273" w:rsidRPr="00853C76" w:rsidRDefault="00DA0273" w:rsidP="00BC046B">
      <w:pPr>
        <w:keepNext/>
        <w:suppressLineNumbers/>
        <w:suppressAutoHyphens/>
        <w:adjustRightInd w:val="0"/>
        <w:snapToGrid w:val="0"/>
        <w:spacing w:before="120" w:after="120"/>
        <w:jc w:val="center"/>
        <w:rPr>
          <w:i/>
          <w:snapToGrid w:val="0"/>
          <w:kern w:val="22"/>
          <w:szCs w:val="22"/>
        </w:rPr>
      </w:pPr>
      <w:bookmarkStart w:id="208" w:name="_Toc118354996"/>
      <w:r w:rsidRPr="00853C76">
        <w:rPr>
          <w:i/>
          <w:snapToGrid w:val="0"/>
          <w:kern w:val="22"/>
          <w:szCs w:val="22"/>
        </w:rPr>
        <w:t>Annex II A</w:t>
      </w:r>
      <w:bookmarkEnd w:id="208"/>
    </w:p>
    <w:p w14:paraId="314077F8" w14:textId="50D1057D" w:rsidR="00DA0273" w:rsidRPr="0081037E" w:rsidRDefault="0081037E" w:rsidP="0081037E">
      <w:pPr>
        <w:pStyle w:val="BodyText"/>
        <w:jc w:val="center"/>
        <w:rPr>
          <w:b/>
          <w:bCs/>
        </w:rPr>
      </w:pPr>
      <w:bookmarkStart w:id="209" w:name="_Toc118354997"/>
      <w:r w:rsidRPr="0081037E">
        <w:rPr>
          <w:b/>
          <w:bCs/>
        </w:rPr>
        <w:t>CONSOLIDATED PREVIOUS GUIDANCE TO THE GLOBAL ENVIRONMENT FACILITY (2022, THIRD EDITION)</w:t>
      </w:r>
      <w:bookmarkEnd w:id="209"/>
    </w:p>
    <w:p w14:paraId="11471FEA" w14:textId="77777777" w:rsidR="00DA0273" w:rsidRPr="00853C76" w:rsidRDefault="00DA0273" w:rsidP="00FB5720">
      <w:pPr>
        <w:spacing w:after="120"/>
        <w:rPr>
          <w:snapToGrid w:val="0"/>
          <w:kern w:val="22"/>
          <w:szCs w:val="22"/>
        </w:rPr>
      </w:pPr>
      <w:bookmarkStart w:id="210" w:name="_Toc259455678"/>
      <w:bookmarkStart w:id="211" w:name="_Toc260384328"/>
      <w:bookmarkStart w:id="212" w:name="_Toc263089318"/>
      <w:r w:rsidRPr="00853C76">
        <w:rPr>
          <w:snapToGrid w:val="0"/>
          <w:kern w:val="22"/>
          <w:szCs w:val="22"/>
        </w:rPr>
        <w:t>1.</w:t>
      </w:r>
      <w:r w:rsidRPr="00853C76">
        <w:rPr>
          <w:snapToGrid w:val="0"/>
          <w:kern w:val="22"/>
          <w:szCs w:val="22"/>
        </w:rPr>
        <w:tab/>
        <w:t>Guidance to the Global Environment Facility should be incorporated into a single decision, including the identification of priority issues which will provide support for cross-cutting issues and capacity-building, especially for developing countries and countries with economies in transition, in a manner that: (a) is transparent; (b) allows participation; and (c) allows full consideration of its other decisions.</w:t>
      </w:r>
      <w:r w:rsidRPr="00610646">
        <w:rPr>
          <w:rStyle w:val="FootnoteReference"/>
        </w:rPr>
        <w:footnoteReference w:id="169"/>
      </w:r>
    </w:p>
    <w:p w14:paraId="70A01E09" w14:textId="77777777" w:rsidR="00DA0273" w:rsidRPr="00853C76" w:rsidRDefault="00DA0273" w:rsidP="00931166">
      <w:pPr>
        <w:spacing w:after="120"/>
        <w:rPr>
          <w:snapToGrid w:val="0"/>
          <w:kern w:val="22"/>
          <w:szCs w:val="22"/>
        </w:rPr>
      </w:pPr>
      <w:r w:rsidRPr="00853C76">
        <w:rPr>
          <w:snapToGrid w:val="0"/>
          <w:kern w:val="22"/>
          <w:szCs w:val="22"/>
        </w:rPr>
        <w:t>2.</w:t>
      </w:r>
      <w:r w:rsidRPr="00853C76">
        <w:rPr>
          <w:snapToGrid w:val="0"/>
          <w:kern w:val="22"/>
          <w:szCs w:val="22"/>
        </w:rPr>
        <w:tab/>
        <w:t>Guidance to the Global Environment Facility, for a specific replenishment period, consists of a consolidated list of programme priorities that defines what to be financed, and an outcome-oriented framework, taking into account the strategies and plans under the Convention and its Protocols and associated indicators. With a view to further streamlining guidance to the Global Environment Facility, proposed new guidance will be reviewed to avoid or reduce repetitiveness, to consolidate previous guidance where appropriate</w:t>
      </w:r>
      <w:r>
        <w:rPr>
          <w:snapToGrid w:val="0"/>
          <w:kern w:val="22"/>
          <w:szCs w:val="22"/>
        </w:rPr>
        <w:t>,</w:t>
      </w:r>
      <w:r w:rsidRPr="00853C76">
        <w:rPr>
          <w:snapToGrid w:val="0"/>
          <w:kern w:val="22"/>
          <w:szCs w:val="22"/>
        </w:rPr>
        <w:t xml:space="preserve"> and to prioritize guidance in the context of the goals and targets of the </w:t>
      </w:r>
      <w:r>
        <w:rPr>
          <w:kern w:val="22"/>
        </w:rPr>
        <w:t xml:space="preserve">Kunming-Montreal </w:t>
      </w:r>
      <w:r w:rsidRPr="00D71BEC">
        <w:rPr>
          <w:bCs/>
          <w:snapToGrid w:val="0"/>
          <w:kern w:val="22"/>
          <w:szCs w:val="22"/>
        </w:rPr>
        <w:t>Global Biodiversity Framework</w:t>
      </w:r>
      <w:r w:rsidRPr="00853C76">
        <w:rPr>
          <w:snapToGrid w:val="0"/>
          <w:kern w:val="22"/>
          <w:szCs w:val="22"/>
        </w:rPr>
        <w:t>.</w:t>
      </w:r>
      <w:r w:rsidRPr="00610646">
        <w:rPr>
          <w:rStyle w:val="FootnoteReference"/>
        </w:rPr>
        <w:footnoteReference w:id="170"/>
      </w:r>
    </w:p>
    <w:p w14:paraId="49AD2ACB" w14:textId="77777777" w:rsidR="00DA0273" w:rsidRPr="0081037E" w:rsidRDefault="00DA0273" w:rsidP="0081037E">
      <w:pPr>
        <w:keepNext/>
        <w:pBdr>
          <w:top w:val="nil"/>
          <w:left w:val="nil"/>
          <w:bottom w:val="nil"/>
          <w:right w:val="nil"/>
          <w:between w:val="nil"/>
        </w:pBdr>
        <w:spacing w:before="120" w:after="120"/>
        <w:jc w:val="center"/>
        <w:rPr>
          <w:b/>
          <w:bCs/>
          <w:snapToGrid w:val="0"/>
          <w:color w:val="000000"/>
          <w:kern w:val="22"/>
          <w:szCs w:val="22"/>
        </w:rPr>
      </w:pPr>
      <w:r w:rsidRPr="0081037E">
        <w:rPr>
          <w:b/>
          <w:bCs/>
          <w:snapToGrid w:val="0"/>
          <w:color w:val="000000"/>
          <w:kern w:val="22"/>
          <w:szCs w:val="22"/>
        </w:rPr>
        <w:t>A.</w:t>
      </w:r>
      <w:r w:rsidRPr="0081037E">
        <w:rPr>
          <w:b/>
          <w:bCs/>
          <w:snapToGrid w:val="0"/>
          <w:color w:val="000000"/>
          <w:kern w:val="22"/>
          <w:szCs w:val="22"/>
        </w:rPr>
        <w:tab/>
        <w:t>Policy and strategy</w:t>
      </w:r>
      <w:bookmarkEnd w:id="210"/>
      <w:bookmarkEnd w:id="211"/>
      <w:bookmarkEnd w:id="212"/>
    </w:p>
    <w:p w14:paraId="134F7A67" w14:textId="77777777" w:rsidR="00DA0273" w:rsidRPr="00853C76" w:rsidRDefault="00DA0273" w:rsidP="00FB5720">
      <w:pPr>
        <w:spacing w:after="120"/>
        <w:rPr>
          <w:snapToGrid w:val="0"/>
          <w:kern w:val="22"/>
          <w:szCs w:val="22"/>
        </w:rPr>
      </w:pPr>
      <w:r w:rsidRPr="00853C76">
        <w:rPr>
          <w:snapToGrid w:val="0"/>
          <w:kern w:val="22"/>
          <w:szCs w:val="22"/>
        </w:rPr>
        <w:t>3.</w:t>
      </w:r>
      <w:r w:rsidRPr="00853C76">
        <w:rPr>
          <w:snapToGrid w:val="0"/>
          <w:kern w:val="22"/>
          <w:szCs w:val="22"/>
        </w:rPr>
        <w:tab/>
        <w:t>Financial resources should be allocated to projects that fulfil the eligibility criteria and are endorsed and promoted by the Parties concerned. Projects should contribute to the extent possible to build cooperation at the subregional, regional and international levels in the implementation of the Convention. Projects should promote the utilization of local and regional expertise. The conservation of biological diversity and sustainable use of its components is one of the key elements in achieving sustainable development and therefore contributing to combating poverty.</w:t>
      </w:r>
      <w:r w:rsidRPr="00610646">
        <w:rPr>
          <w:rStyle w:val="FootnoteReference"/>
        </w:rPr>
        <w:footnoteReference w:id="171"/>
      </w:r>
    </w:p>
    <w:p w14:paraId="6B176DEC" w14:textId="77777777" w:rsidR="00DA0273" w:rsidRPr="0081037E" w:rsidRDefault="00DA0273" w:rsidP="0081037E">
      <w:pPr>
        <w:keepNext/>
        <w:pBdr>
          <w:top w:val="nil"/>
          <w:left w:val="nil"/>
          <w:bottom w:val="nil"/>
          <w:right w:val="nil"/>
          <w:between w:val="nil"/>
        </w:pBdr>
        <w:tabs>
          <w:tab w:val="left" w:pos="360"/>
        </w:tabs>
        <w:spacing w:before="120" w:after="120"/>
        <w:jc w:val="center"/>
        <w:rPr>
          <w:b/>
          <w:bCs/>
          <w:snapToGrid w:val="0"/>
          <w:color w:val="000000"/>
          <w:kern w:val="22"/>
          <w:szCs w:val="22"/>
        </w:rPr>
      </w:pPr>
      <w:bookmarkStart w:id="213" w:name="_Toc260384331"/>
      <w:bookmarkStart w:id="214" w:name="_Toc263089321"/>
      <w:r w:rsidRPr="0081037E">
        <w:rPr>
          <w:b/>
          <w:bCs/>
          <w:snapToGrid w:val="0"/>
          <w:color w:val="000000"/>
          <w:kern w:val="22"/>
          <w:szCs w:val="22"/>
        </w:rPr>
        <w:t>B.</w:t>
      </w:r>
      <w:r w:rsidRPr="0081037E">
        <w:rPr>
          <w:b/>
          <w:bCs/>
          <w:snapToGrid w:val="0"/>
          <w:color w:val="000000"/>
          <w:kern w:val="22"/>
          <w:szCs w:val="22"/>
        </w:rPr>
        <w:tab/>
        <w:t>Programme priorities</w:t>
      </w:r>
      <w:bookmarkEnd w:id="213"/>
      <w:bookmarkEnd w:id="214"/>
    </w:p>
    <w:p w14:paraId="7CE0F2E3" w14:textId="77777777" w:rsidR="00DA0273" w:rsidRPr="00853C76" w:rsidRDefault="00DA0273" w:rsidP="00FB5720">
      <w:pPr>
        <w:spacing w:after="120"/>
        <w:rPr>
          <w:snapToGrid w:val="0"/>
          <w:kern w:val="22"/>
          <w:szCs w:val="22"/>
        </w:rPr>
      </w:pPr>
      <w:r w:rsidRPr="00853C76">
        <w:rPr>
          <w:snapToGrid w:val="0"/>
          <w:kern w:val="22"/>
          <w:szCs w:val="22"/>
        </w:rPr>
        <w:t>4.</w:t>
      </w:r>
      <w:r w:rsidRPr="00853C76">
        <w:rPr>
          <w:snapToGrid w:val="0"/>
          <w:kern w:val="22"/>
          <w:szCs w:val="22"/>
        </w:rPr>
        <w:tab/>
        <w:t xml:space="preserve">The Global Environment Facility should provide financial resources to developing country Parties, taking into account the special needs of the least developed countries and small island developing States, </w:t>
      </w:r>
      <w:r w:rsidRPr="00853C76">
        <w:rPr>
          <w:snapToGrid w:val="0"/>
          <w:kern w:val="22"/>
          <w:szCs w:val="22"/>
        </w:rPr>
        <w:lastRenderedPageBreak/>
        <w:t>as well as Parties with economies in transition, for country-driven activities and programmes, consistent with national priorities and objectives and in accordance with the following programme priorities, recognizing that economic and social development and poverty eradication are the first and overriding priorities of developing countries, and taking fully into consideration all relevant decisions from the Conference of the Parties.</w:t>
      </w:r>
      <w:r w:rsidRPr="00610646">
        <w:rPr>
          <w:rStyle w:val="FootnoteReference"/>
        </w:rPr>
        <w:footnoteReference w:id="172"/>
      </w:r>
    </w:p>
    <w:p w14:paraId="5CD2EDEB"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1. Objectives</w:t>
      </w:r>
    </w:p>
    <w:p w14:paraId="22FE292A" w14:textId="77777777" w:rsidR="00DA0273" w:rsidRPr="00853C76" w:rsidRDefault="00DA0273" w:rsidP="00FB5720">
      <w:pPr>
        <w:spacing w:after="120"/>
        <w:rPr>
          <w:snapToGrid w:val="0"/>
          <w:kern w:val="22"/>
          <w:szCs w:val="22"/>
        </w:rPr>
      </w:pPr>
      <w:r w:rsidRPr="00853C76">
        <w:rPr>
          <w:snapToGrid w:val="0"/>
          <w:kern w:val="22"/>
          <w:szCs w:val="22"/>
        </w:rPr>
        <w:t>5.</w:t>
      </w:r>
      <w:r w:rsidRPr="00853C76">
        <w:rPr>
          <w:snapToGrid w:val="0"/>
          <w:kern w:val="22"/>
          <w:szCs w:val="22"/>
        </w:rPr>
        <w:tab/>
        <w:t>Projects that utilize the ecosystem approach, without prejudice to differing national needs and priorities which may require the application of approaches such as single species conservation programmes.</w:t>
      </w:r>
      <w:r w:rsidRPr="00610646">
        <w:rPr>
          <w:rStyle w:val="FootnoteReference"/>
        </w:rPr>
        <w:footnoteReference w:id="173"/>
      </w:r>
    </w:p>
    <w:p w14:paraId="0B7DED1A" w14:textId="77777777" w:rsidR="00DA0273" w:rsidRPr="00853C76" w:rsidRDefault="00DA0273" w:rsidP="00FB5720">
      <w:pPr>
        <w:spacing w:before="120" w:after="120"/>
        <w:rPr>
          <w:b/>
          <w:bCs/>
          <w:iCs/>
          <w:snapToGrid w:val="0"/>
          <w:szCs w:val="22"/>
        </w:rPr>
      </w:pPr>
      <w:r w:rsidRPr="00853C76">
        <w:rPr>
          <w:b/>
          <w:bCs/>
          <w:iCs/>
          <w:snapToGrid w:val="0"/>
          <w:szCs w:val="22"/>
        </w:rPr>
        <w:t>Ecosystem restoration</w:t>
      </w:r>
    </w:p>
    <w:p w14:paraId="78FDC4CD" w14:textId="77777777" w:rsidR="00DA0273" w:rsidRPr="00853C76" w:rsidRDefault="00DA0273" w:rsidP="00FB5720">
      <w:pPr>
        <w:autoSpaceDE w:val="0"/>
        <w:autoSpaceDN w:val="0"/>
        <w:spacing w:before="120" w:after="120"/>
        <w:rPr>
          <w:snapToGrid w:val="0"/>
          <w:kern w:val="22"/>
          <w:szCs w:val="22"/>
        </w:rPr>
      </w:pPr>
      <w:r w:rsidRPr="00853C76">
        <w:rPr>
          <w:snapToGrid w:val="0"/>
          <w:kern w:val="22"/>
          <w:szCs w:val="22"/>
        </w:rPr>
        <w:t>6.</w:t>
      </w:r>
      <w:r w:rsidRPr="00853C76">
        <w:rPr>
          <w:snapToGrid w:val="0"/>
          <w:kern w:val="22"/>
          <w:szCs w:val="22"/>
        </w:rPr>
        <w:tab/>
      </w:r>
      <w:r w:rsidRPr="00787BEF">
        <w:rPr>
          <w:snapToGrid w:val="0"/>
          <w:kern w:val="22"/>
          <w:szCs w:val="22"/>
        </w:rPr>
        <w:t xml:space="preserve">Ecosystem restoration activities, </w:t>
      </w:r>
      <w:r w:rsidRPr="00787BEF">
        <w:rPr>
          <w:snapToGrid w:val="0"/>
          <w:color w:val="000000"/>
          <w:kern w:val="22"/>
          <w:szCs w:val="22"/>
        </w:rPr>
        <w:t>as</w:t>
      </w:r>
      <w:r w:rsidRPr="00787BEF">
        <w:rPr>
          <w:snapToGrid w:val="0"/>
          <w:kern w:val="22"/>
          <w:szCs w:val="22"/>
        </w:rPr>
        <w:t xml:space="preserve"> well as monitoring processes as appropriate, and integrated where relevant into programmes and initiatives for sustainable development, food</w:t>
      </w:r>
      <w:r w:rsidRPr="00853C76">
        <w:rPr>
          <w:snapToGrid w:val="0"/>
          <w:kern w:val="22"/>
          <w:szCs w:val="22"/>
        </w:rPr>
        <w:t>, water and energy security, job creation, climate change mitigation, adaptation, disaster risk reduction, and poverty eradication;</w:t>
      </w:r>
      <w:r w:rsidRPr="00610646">
        <w:rPr>
          <w:rStyle w:val="FootnoteReference"/>
          <w:rFonts w:eastAsiaTheme="majorEastAsia"/>
        </w:rPr>
        <w:footnoteReference w:id="174"/>
      </w:r>
    </w:p>
    <w:p w14:paraId="3A73DBD1" w14:textId="77777777" w:rsidR="00DA0273" w:rsidRPr="00853C76" w:rsidRDefault="00DA0273" w:rsidP="000E778E">
      <w:pPr>
        <w:keepNext/>
        <w:spacing w:before="120" w:after="120"/>
        <w:rPr>
          <w:b/>
          <w:bCs/>
          <w:iCs/>
          <w:snapToGrid w:val="0"/>
          <w:szCs w:val="22"/>
        </w:rPr>
      </w:pPr>
      <w:r w:rsidRPr="00853C76">
        <w:rPr>
          <w:b/>
          <w:bCs/>
          <w:iCs/>
          <w:snapToGrid w:val="0"/>
          <w:szCs w:val="22"/>
        </w:rPr>
        <w:t>Ecosystem resilience and climate change</w:t>
      </w:r>
    </w:p>
    <w:p w14:paraId="09C4B7C5" w14:textId="77777777" w:rsidR="00DA0273" w:rsidRPr="00853C76" w:rsidRDefault="00DA0273" w:rsidP="00FB5720">
      <w:pPr>
        <w:spacing w:after="120"/>
        <w:rPr>
          <w:snapToGrid w:val="0"/>
          <w:kern w:val="22"/>
          <w:szCs w:val="22"/>
        </w:rPr>
      </w:pPr>
      <w:r w:rsidRPr="00853C76">
        <w:rPr>
          <w:snapToGrid w:val="0"/>
          <w:kern w:val="22"/>
          <w:szCs w:val="22"/>
        </w:rPr>
        <w:t>7.</w:t>
      </w:r>
      <w:r w:rsidRPr="00853C76">
        <w:rPr>
          <w:snapToGrid w:val="0"/>
          <w:kern w:val="22"/>
          <w:szCs w:val="22"/>
        </w:rPr>
        <w:tab/>
        <w:t>Ecosystem resilience and climate change:</w:t>
      </w:r>
      <w:r w:rsidRPr="00610646">
        <w:rPr>
          <w:rStyle w:val="FootnoteReference"/>
        </w:rPr>
        <w:footnoteReference w:id="175"/>
      </w:r>
    </w:p>
    <w:p w14:paraId="5ACAC80C" w14:textId="77777777" w:rsidR="00DA0273" w:rsidRPr="00853C76" w:rsidRDefault="00DA0273" w:rsidP="00950BE4">
      <w:pPr>
        <w:numPr>
          <w:ilvl w:val="0"/>
          <w:numId w:val="56"/>
        </w:numPr>
        <w:spacing w:after="200"/>
        <w:ind w:left="0" w:firstLine="698"/>
        <w:rPr>
          <w:snapToGrid w:val="0"/>
          <w:kern w:val="22"/>
          <w:szCs w:val="22"/>
        </w:rPr>
      </w:pPr>
      <w:r w:rsidRPr="00853C76">
        <w:rPr>
          <w:snapToGrid w:val="0"/>
          <w:kern w:val="22"/>
          <w:szCs w:val="22"/>
        </w:rPr>
        <w:t>Capacity-building with the aim of increasing the effectiveness in addressing environmental issues through their commitments under the Convention on Biological Diversity, the United Nations Framework Convention on Climate Change, and the United Nations Convention to Combat Desertification, inter alia, by applying the ecosystem approach;</w:t>
      </w:r>
    </w:p>
    <w:p w14:paraId="30695924" w14:textId="77777777" w:rsidR="00DA0273" w:rsidRPr="00853C76" w:rsidRDefault="00DA0273" w:rsidP="00950BE4">
      <w:pPr>
        <w:numPr>
          <w:ilvl w:val="0"/>
          <w:numId w:val="56"/>
        </w:numPr>
        <w:spacing w:after="200"/>
        <w:ind w:left="0" w:firstLine="698"/>
        <w:rPr>
          <w:snapToGrid w:val="0"/>
          <w:kern w:val="22"/>
          <w:szCs w:val="22"/>
        </w:rPr>
      </w:pPr>
      <w:r w:rsidRPr="00853C76">
        <w:rPr>
          <w:snapToGrid w:val="0"/>
          <w:kern w:val="22"/>
          <w:szCs w:val="22"/>
        </w:rPr>
        <w:t>Developing synergy-oriented programmes to conserve and sustainably manage all ecosystems, such as forests, wetlands and marine environments, that also contribute to poverty eradication;</w:t>
      </w:r>
    </w:p>
    <w:p w14:paraId="548D7951" w14:textId="77777777" w:rsidR="00DA0273" w:rsidRPr="00853C76" w:rsidRDefault="00DA0273" w:rsidP="00950BE4">
      <w:pPr>
        <w:numPr>
          <w:ilvl w:val="0"/>
          <w:numId w:val="56"/>
        </w:numPr>
        <w:spacing w:after="200"/>
        <w:ind w:left="0" w:firstLine="698"/>
        <w:rPr>
          <w:snapToGrid w:val="0"/>
          <w:kern w:val="22"/>
          <w:szCs w:val="22"/>
        </w:rPr>
      </w:pPr>
      <w:r w:rsidRPr="00853C76">
        <w:rPr>
          <w:snapToGrid w:val="0"/>
          <w:kern w:val="22"/>
          <w:szCs w:val="22"/>
        </w:rPr>
        <w:t>Country-driven activities, including pilot projects, aimed at projects related to ecosystem conservation, restoration of degraded lands and marine environments and overall ecosystem integrity that take into account impacts of climate change.</w:t>
      </w:r>
    </w:p>
    <w:p w14:paraId="5273FDF4" w14:textId="77777777" w:rsidR="00DA0273" w:rsidRPr="00853C76" w:rsidRDefault="00DA0273" w:rsidP="000E778E">
      <w:pPr>
        <w:keepNext/>
        <w:spacing w:before="120" w:after="120"/>
        <w:rPr>
          <w:b/>
          <w:bCs/>
          <w:iCs/>
          <w:snapToGrid w:val="0"/>
          <w:szCs w:val="22"/>
        </w:rPr>
      </w:pPr>
      <w:r w:rsidRPr="00853C76">
        <w:rPr>
          <w:b/>
          <w:bCs/>
          <w:iCs/>
          <w:snapToGrid w:val="0"/>
          <w:szCs w:val="22"/>
        </w:rPr>
        <w:t>Marine and coastal ecosystems</w:t>
      </w:r>
    </w:p>
    <w:p w14:paraId="46E25833" w14:textId="77777777" w:rsidR="00DA0273" w:rsidRPr="00853C76" w:rsidRDefault="00DA0273" w:rsidP="00FB5720">
      <w:pPr>
        <w:spacing w:after="120"/>
        <w:rPr>
          <w:snapToGrid w:val="0"/>
          <w:kern w:val="22"/>
          <w:szCs w:val="22"/>
        </w:rPr>
      </w:pPr>
      <w:r w:rsidRPr="00853C76">
        <w:rPr>
          <w:snapToGrid w:val="0"/>
          <w:kern w:val="22"/>
          <w:szCs w:val="22"/>
        </w:rPr>
        <w:t>8.</w:t>
      </w:r>
      <w:r w:rsidRPr="00853C76">
        <w:rPr>
          <w:snapToGrid w:val="0"/>
          <w:kern w:val="22"/>
          <w:szCs w:val="22"/>
        </w:rPr>
        <w:tab/>
        <w:t>Marine and coastal ecosystems:</w:t>
      </w:r>
      <w:r w:rsidRPr="00610646">
        <w:rPr>
          <w:rStyle w:val="FootnoteReference"/>
        </w:rPr>
        <w:footnoteReference w:id="176"/>
      </w:r>
    </w:p>
    <w:p w14:paraId="745E7F34" w14:textId="77777777" w:rsidR="00DA0273" w:rsidRPr="00853C76" w:rsidRDefault="00DA0273" w:rsidP="00950BE4">
      <w:pPr>
        <w:numPr>
          <w:ilvl w:val="0"/>
          <w:numId w:val="55"/>
        </w:numPr>
        <w:spacing w:after="200"/>
        <w:ind w:left="0" w:firstLine="709"/>
        <w:rPr>
          <w:snapToGrid w:val="0"/>
          <w:kern w:val="22"/>
          <w:szCs w:val="22"/>
        </w:rPr>
      </w:pPr>
      <w:r w:rsidRPr="00853C76">
        <w:rPr>
          <w:snapToGrid w:val="0"/>
          <w:kern w:val="22"/>
          <w:szCs w:val="22"/>
        </w:rPr>
        <w:t>Projects that promote the conservation and sustainable use of marine and coastal biodiversity under threat, and implement the elaborated programme of work on marine and coastal biodiversity and the programme of work on island biodiversity;</w:t>
      </w:r>
    </w:p>
    <w:p w14:paraId="6842F68F" w14:textId="77777777" w:rsidR="00DA0273" w:rsidRPr="00853C76" w:rsidRDefault="00DA0273" w:rsidP="00950BE4">
      <w:pPr>
        <w:numPr>
          <w:ilvl w:val="0"/>
          <w:numId w:val="55"/>
        </w:numPr>
        <w:spacing w:after="200"/>
        <w:ind w:left="0" w:firstLine="709"/>
        <w:rPr>
          <w:snapToGrid w:val="0"/>
          <w:kern w:val="22"/>
          <w:szCs w:val="22"/>
        </w:rPr>
      </w:pPr>
      <w:r w:rsidRPr="00853C76">
        <w:rPr>
          <w:snapToGrid w:val="0"/>
          <w:kern w:val="22"/>
          <w:szCs w:val="22"/>
        </w:rPr>
        <w:t>Country-driven activities aimed at enhancing capabilities to address the impacts of mortality related to coral bleaching and physical degradation and destruction of coral reefs, including developing rapid response capabilities to implement measures to address coral-reef degradation, mortality and subsequent recovery;</w:t>
      </w:r>
    </w:p>
    <w:p w14:paraId="6BF9B1C6" w14:textId="77777777" w:rsidR="00DA0273" w:rsidRPr="00853C76" w:rsidRDefault="00DA0273" w:rsidP="00950BE4">
      <w:pPr>
        <w:numPr>
          <w:ilvl w:val="0"/>
          <w:numId w:val="55"/>
        </w:numPr>
        <w:spacing w:after="200"/>
        <w:ind w:left="0" w:firstLine="709"/>
        <w:rPr>
          <w:snapToGrid w:val="0"/>
          <w:kern w:val="22"/>
          <w:szCs w:val="22"/>
        </w:rPr>
      </w:pPr>
      <w:r w:rsidRPr="00853C76">
        <w:rPr>
          <w:snapToGrid w:val="0"/>
          <w:kern w:val="22"/>
          <w:szCs w:val="22"/>
        </w:rPr>
        <w:t>Implementation of training and capacity</w:t>
      </w:r>
      <w:r w:rsidRPr="00853C76">
        <w:rPr>
          <w:snapToGrid w:val="0"/>
          <w:kern w:val="22"/>
          <w:szCs w:val="22"/>
        </w:rPr>
        <w:noBreakHyphen/>
        <w:t>building and other activities related to ecologically or biologically significant marine areas (EBSAs);</w:t>
      </w:r>
    </w:p>
    <w:p w14:paraId="6525F35C" w14:textId="77777777" w:rsidR="00DA0273" w:rsidRPr="00853C76" w:rsidRDefault="00DA0273" w:rsidP="00950BE4">
      <w:pPr>
        <w:numPr>
          <w:ilvl w:val="0"/>
          <w:numId w:val="55"/>
        </w:numPr>
        <w:spacing w:after="200"/>
        <w:ind w:left="0" w:firstLine="709"/>
        <w:rPr>
          <w:snapToGrid w:val="0"/>
          <w:kern w:val="22"/>
          <w:szCs w:val="22"/>
        </w:rPr>
      </w:pPr>
      <w:r w:rsidRPr="00853C76">
        <w:rPr>
          <w:snapToGrid w:val="0"/>
          <w:kern w:val="22"/>
          <w:szCs w:val="22"/>
        </w:rPr>
        <w:t xml:space="preserve">Support for capacity-building in order to further accelerate existing efforts towards achieving the goals and targets of the </w:t>
      </w:r>
      <w:r>
        <w:rPr>
          <w:kern w:val="22"/>
        </w:rPr>
        <w:t xml:space="preserve">Kunming-Montreal </w:t>
      </w:r>
      <w:r w:rsidRPr="00D71BEC">
        <w:rPr>
          <w:bCs/>
          <w:snapToGrid w:val="0"/>
          <w:kern w:val="22"/>
          <w:szCs w:val="22"/>
        </w:rPr>
        <w:t>Global Biodiversity Framework</w:t>
      </w:r>
      <w:r>
        <w:rPr>
          <w:bCs/>
          <w:snapToGrid w:val="0"/>
          <w:kern w:val="22"/>
          <w:szCs w:val="22"/>
        </w:rPr>
        <w:t xml:space="preserve"> </w:t>
      </w:r>
      <w:r w:rsidRPr="00853C76">
        <w:rPr>
          <w:snapToGrid w:val="0"/>
          <w:kern w:val="22"/>
          <w:szCs w:val="22"/>
        </w:rPr>
        <w:t>in marine and coastal areas.</w:t>
      </w:r>
    </w:p>
    <w:p w14:paraId="7BF60921" w14:textId="77777777" w:rsidR="00DA0273" w:rsidRPr="00853C76" w:rsidRDefault="00DA0273" w:rsidP="000E778E">
      <w:pPr>
        <w:keepNext/>
        <w:spacing w:before="120" w:after="120"/>
        <w:rPr>
          <w:b/>
          <w:bCs/>
          <w:iCs/>
          <w:snapToGrid w:val="0"/>
          <w:szCs w:val="22"/>
        </w:rPr>
      </w:pPr>
      <w:r w:rsidRPr="00853C76">
        <w:rPr>
          <w:b/>
          <w:bCs/>
          <w:iCs/>
          <w:snapToGrid w:val="0"/>
          <w:szCs w:val="22"/>
        </w:rPr>
        <w:t>Forest biological diversity</w:t>
      </w:r>
    </w:p>
    <w:p w14:paraId="28C928BB" w14:textId="77777777" w:rsidR="00DA0273" w:rsidRPr="00853C76" w:rsidRDefault="00DA0273" w:rsidP="00FB5720">
      <w:pPr>
        <w:spacing w:after="120"/>
        <w:rPr>
          <w:snapToGrid w:val="0"/>
          <w:kern w:val="22"/>
          <w:szCs w:val="22"/>
        </w:rPr>
      </w:pPr>
      <w:r w:rsidRPr="00853C76">
        <w:rPr>
          <w:snapToGrid w:val="0"/>
          <w:kern w:val="22"/>
          <w:szCs w:val="22"/>
        </w:rPr>
        <w:t>9.</w:t>
      </w:r>
      <w:r w:rsidRPr="00853C76">
        <w:rPr>
          <w:snapToGrid w:val="0"/>
          <w:kern w:val="22"/>
          <w:szCs w:val="22"/>
        </w:rPr>
        <w:tab/>
        <w:t>Projects focusing on the identified national priorities, as well as regional and international actions that assist the implementation of the expanded work programme on forest biological diversity considering conservation of biological diversity, sustainable use of its components and fair and equitable sharing of the benefits from genetic resources in a balanced way, underscoring the importance of ensuring long-term conservation, sustainable use, and benefit-sharing of native forests, and the use of the clearing-house mechanism to include activities that contribute to halting and addressing deforestation, basic assessments and monitoring of forest biological diversity, including taxonomic studies and inventories, focusing on forest species, other important components of forest biological diversity and ecosystems under threat.</w:t>
      </w:r>
      <w:r w:rsidRPr="00610646">
        <w:rPr>
          <w:rStyle w:val="FootnoteReference"/>
        </w:rPr>
        <w:footnoteReference w:id="177"/>
      </w:r>
    </w:p>
    <w:p w14:paraId="482C5D95" w14:textId="77777777" w:rsidR="00DA0273" w:rsidRPr="00853C76" w:rsidRDefault="00DA0273" w:rsidP="000E778E">
      <w:pPr>
        <w:keepNext/>
        <w:spacing w:before="120" w:after="120"/>
        <w:rPr>
          <w:b/>
          <w:bCs/>
          <w:iCs/>
          <w:snapToGrid w:val="0"/>
          <w:szCs w:val="22"/>
        </w:rPr>
      </w:pPr>
      <w:r w:rsidRPr="00853C76">
        <w:rPr>
          <w:b/>
          <w:bCs/>
          <w:iCs/>
          <w:snapToGrid w:val="0"/>
          <w:szCs w:val="22"/>
        </w:rPr>
        <w:t>Inland water ecosystems</w:t>
      </w:r>
    </w:p>
    <w:p w14:paraId="690EFA30" w14:textId="77777777" w:rsidR="00DA0273" w:rsidRPr="00853C76" w:rsidRDefault="00DA0273" w:rsidP="00FB5720">
      <w:pPr>
        <w:spacing w:after="120"/>
        <w:rPr>
          <w:snapToGrid w:val="0"/>
          <w:kern w:val="22"/>
          <w:szCs w:val="22"/>
        </w:rPr>
      </w:pPr>
      <w:r w:rsidRPr="00853C76">
        <w:rPr>
          <w:snapToGrid w:val="0"/>
          <w:kern w:val="22"/>
          <w:szCs w:val="22"/>
        </w:rPr>
        <w:t>10.</w:t>
      </w:r>
      <w:r w:rsidRPr="00853C76">
        <w:rPr>
          <w:snapToGrid w:val="0"/>
          <w:kern w:val="22"/>
          <w:szCs w:val="22"/>
        </w:rPr>
        <w:tab/>
        <w:t>Projects that assist with the implementation of the programme of work on biological diversity of inland water ecosystems, and which help Parties to develop and implement national, sectoral and cross-sectoral plans for the conservation and sustainable use of biological diversity of inland water ecosystems, including comprehensive assessments of the biological diversity of inland waters, and capacity-building programmes for monitoring the implementation of the programme of work and the trends in inland water biological diversity and for information gathering and dissemination among riparian communities.</w:t>
      </w:r>
      <w:r w:rsidRPr="00610646">
        <w:rPr>
          <w:rStyle w:val="FootnoteReference"/>
        </w:rPr>
        <w:footnoteReference w:id="178"/>
      </w:r>
    </w:p>
    <w:p w14:paraId="7EA0F433" w14:textId="77777777" w:rsidR="00DA0273" w:rsidRPr="00853C76" w:rsidRDefault="00DA0273" w:rsidP="000E778E">
      <w:pPr>
        <w:keepNext/>
        <w:spacing w:before="120" w:after="120"/>
        <w:rPr>
          <w:b/>
          <w:bCs/>
          <w:iCs/>
          <w:snapToGrid w:val="0"/>
          <w:szCs w:val="22"/>
        </w:rPr>
      </w:pPr>
      <w:r w:rsidRPr="00853C76">
        <w:rPr>
          <w:b/>
          <w:bCs/>
          <w:iCs/>
          <w:snapToGrid w:val="0"/>
          <w:szCs w:val="22"/>
        </w:rPr>
        <w:t>Arid and semi-arid areas</w:t>
      </w:r>
    </w:p>
    <w:p w14:paraId="7FC556E3" w14:textId="77777777" w:rsidR="00DA0273" w:rsidRPr="00853C76" w:rsidRDefault="00DA0273" w:rsidP="00FB5720">
      <w:pPr>
        <w:spacing w:after="120"/>
        <w:rPr>
          <w:snapToGrid w:val="0"/>
          <w:kern w:val="22"/>
          <w:szCs w:val="22"/>
        </w:rPr>
      </w:pPr>
      <w:r w:rsidRPr="00853C76">
        <w:rPr>
          <w:snapToGrid w:val="0"/>
          <w:kern w:val="22"/>
          <w:szCs w:val="22"/>
        </w:rPr>
        <w:t>11.</w:t>
      </w:r>
      <w:r w:rsidRPr="00853C76">
        <w:rPr>
          <w:snapToGrid w:val="0"/>
          <w:kern w:val="22"/>
          <w:szCs w:val="22"/>
        </w:rPr>
        <w:tab/>
        <w:t>Projects that promote the conservation and sustainable use of biological diversity in arid and semi-arid areas, including the implementation of the Convention’s programme of work on biodiversity of dry and sub-humid lands.</w:t>
      </w:r>
      <w:r w:rsidRPr="00610646">
        <w:rPr>
          <w:rStyle w:val="FootnoteReference"/>
        </w:rPr>
        <w:footnoteReference w:id="179"/>
      </w:r>
    </w:p>
    <w:p w14:paraId="50A3472A" w14:textId="77777777" w:rsidR="00DA0273" w:rsidRPr="00853C76" w:rsidRDefault="00DA0273" w:rsidP="00FB5720">
      <w:pPr>
        <w:keepNext/>
        <w:spacing w:before="120" w:after="120"/>
        <w:rPr>
          <w:b/>
          <w:bCs/>
          <w:iCs/>
          <w:snapToGrid w:val="0"/>
          <w:szCs w:val="22"/>
        </w:rPr>
      </w:pPr>
      <w:r w:rsidRPr="00853C76">
        <w:rPr>
          <w:b/>
          <w:bCs/>
          <w:iCs/>
          <w:snapToGrid w:val="0"/>
          <w:szCs w:val="22"/>
        </w:rPr>
        <w:t>Mountainous areas</w:t>
      </w:r>
    </w:p>
    <w:p w14:paraId="22EDE41C" w14:textId="77777777" w:rsidR="00DA0273" w:rsidRPr="00853C76" w:rsidRDefault="00DA0273" w:rsidP="00FB5720">
      <w:pPr>
        <w:spacing w:after="120"/>
        <w:rPr>
          <w:snapToGrid w:val="0"/>
          <w:kern w:val="22"/>
          <w:szCs w:val="22"/>
        </w:rPr>
      </w:pPr>
      <w:r w:rsidRPr="00853C76">
        <w:rPr>
          <w:snapToGrid w:val="0"/>
          <w:kern w:val="22"/>
          <w:szCs w:val="22"/>
        </w:rPr>
        <w:t>12.</w:t>
      </w:r>
      <w:r w:rsidRPr="00853C76">
        <w:rPr>
          <w:snapToGrid w:val="0"/>
          <w:kern w:val="22"/>
          <w:szCs w:val="22"/>
        </w:rPr>
        <w:tab/>
        <w:t>Projects which promote the conservation and sustainable use of biological diversity in mountainous areas.</w:t>
      </w:r>
      <w:r w:rsidRPr="00610646">
        <w:rPr>
          <w:rStyle w:val="FootnoteReference"/>
        </w:rPr>
        <w:footnoteReference w:id="180"/>
      </w:r>
    </w:p>
    <w:p w14:paraId="1B54D573" w14:textId="77777777" w:rsidR="00DA0273" w:rsidRPr="00853C76" w:rsidRDefault="00DA0273" w:rsidP="00FB5720">
      <w:pPr>
        <w:keepNext/>
        <w:spacing w:before="120" w:after="120"/>
        <w:rPr>
          <w:b/>
          <w:bCs/>
          <w:iCs/>
          <w:snapToGrid w:val="0"/>
          <w:szCs w:val="22"/>
        </w:rPr>
      </w:pPr>
      <w:r w:rsidRPr="00853C76">
        <w:rPr>
          <w:b/>
          <w:bCs/>
          <w:iCs/>
          <w:snapToGrid w:val="0"/>
          <w:szCs w:val="22"/>
        </w:rPr>
        <w:t>Agricultural biodiversity</w:t>
      </w:r>
    </w:p>
    <w:p w14:paraId="208D5700" w14:textId="77777777" w:rsidR="00DA0273" w:rsidRPr="00853C76" w:rsidRDefault="00DA0273" w:rsidP="00FB5720">
      <w:pPr>
        <w:spacing w:after="120"/>
        <w:rPr>
          <w:snapToGrid w:val="0"/>
          <w:kern w:val="22"/>
          <w:szCs w:val="22"/>
        </w:rPr>
      </w:pPr>
      <w:r w:rsidRPr="00853C76">
        <w:rPr>
          <w:snapToGrid w:val="0"/>
          <w:kern w:val="22"/>
          <w:szCs w:val="22"/>
        </w:rPr>
        <w:t>13.</w:t>
      </w:r>
      <w:r w:rsidRPr="00853C76">
        <w:rPr>
          <w:snapToGrid w:val="0"/>
          <w:kern w:val="22"/>
          <w:szCs w:val="22"/>
        </w:rPr>
        <w:tab/>
        <w:t>Projects which implement the Convention’s programme of work on agricultural biodiversity.</w:t>
      </w:r>
      <w:r w:rsidRPr="00610646">
        <w:rPr>
          <w:rStyle w:val="FootnoteReference"/>
        </w:rPr>
        <w:footnoteReference w:id="181"/>
      </w:r>
    </w:p>
    <w:p w14:paraId="694F53A5" w14:textId="77777777" w:rsidR="00DA0273" w:rsidRPr="00853C76" w:rsidRDefault="00DA0273" w:rsidP="00FB5720">
      <w:pPr>
        <w:kinsoku w:val="0"/>
        <w:overflowPunct w:val="0"/>
        <w:autoSpaceDE w:val="0"/>
        <w:autoSpaceDN w:val="0"/>
        <w:spacing w:before="120" w:after="120"/>
        <w:rPr>
          <w:snapToGrid w:val="0"/>
          <w:kern w:val="22"/>
          <w:szCs w:val="22"/>
        </w:rPr>
      </w:pPr>
      <w:r w:rsidRPr="00853C76">
        <w:rPr>
          <w:snapToGrid w:val="0"/>
          <w:kern w:val="22"/>
          <w:szCs w:val="22"/>
        </w:rPr>
        <w:t>14.</w:t>
      </w:r>
      <w:r w:rsidRPr="00853C76">
        <w:rPr>
          <w:snapToGrid w:val="0"/>
          <w:kern w:val="22"/>
          <w:szCs w:val="22"/>
        </w:rPr>
        <w:tab/>
        <w:t>National and regional projects that address the implementation of the Plan of Action 2018</w:t>
      </w:r>
      <w:r>
        <w:rPr>
          <w:b/>
          <w:bCs/>
          <w:iCs/>
          <w:szCs w:val="22"/>
        </w:rPr>
        <w:t>–</w:t>
      </w:r>
      <w:r w:rsidRPr="00853C76">
        <w:rPr>
          <w:snapToGrid w:val="0"/>
          <w:kern w:val="22"/>
          <w:szCs w:val="22"/>
        </w:rPr>
        <w:t>2030 for the International Initiative for the Conservation and Sustainable Use of Pollinators;</w:t>
      </w:r>
      <w:r w:rsidRPr="00610646">
        <w:rPr>
          <w:rStyle w:val="FootnoteReference"/>
          <w:rFonts w:eastAsiaTheme="majorEastAsia"/>
        </w:rPr>
        <w:footnoteReference w:id="182"/>
      </w:r>
    </w:p>
    <w:p w14:paraId="2348C712"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5. Cooperation</w:t>
      </w:r>
    </w:p>
    <w:p w14:paraId="3A09C71F" w14:textId="77777777" w:rsidR="00DA0273" w:rsidRPr="00853C76" w:rsidRDefault="00DA0273" w:rsidP="00FB5720">
      <w:pPr>
        <w:spacing w:after="120"/>
        <w:rPr>
          <w:snapToGrid w:val="0"/>
          <w:kern w:val="22"/>
          <w:szCs w:val="22"/>
        </w:rPr>
      </w:pPr>
      <w:r w:rsidRPr="0008440E">
        <w:rPr>
          <w:snapToGrid w:val="0"/>
          <w:kern w:val="22"/>
          <w:szCs w:val="22"/>
        </w:rPr>
        <w:t>15.</w:t>
      </w:r>
      <w:r w:rsidRPr="0008440E">
        <w:rPr>
          <w:snapToGrid w:val="0"/>
          <w:kern w:val="22"/>
          <w:szCs w:val="22"/>
        </w:rPr>
        <w:tab/>
        <w:t>Consideration of establishing a South-South biodiversity cooperation trust fund for the implementation of the Kunming-Montreal Global Biodiversity Framework based on voluntary contributions.</w:t>
      </w:r>
      <w:r w:rsidRPr="00610646">
        <w:rPr>
          <w:rStyle w:val="FootnoteReference"/>
        </w:rPr>
        <w:footnoteReference w:id="183"/>
      </w:r>
    </w:p>
    <w:p w14:paraId="2428B1FA"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6. General measures for conservation and sustainable use</w:t>
      </w:r>
    </w:p>
    <w:p w14:paraId="484082C3" w14:textId="77777777" w:rsidR="00DA0273" w:rsidRPr="00853C76" w:rsidRDefault="00DA0273" w:rsidP="00FB5720">
      <w:pPr>
        <w:keepNext/>
        <w:spacing w:before="120" w:after="120"/>
        <w:rPr>
          <w:b/>
          <w:bCs/>
          <w:iCs/>
          <w:snapToGrid w:val="0"/>
          <w:szCs w:val="22"/>
        </w:rPr>
      </w:pPr>
      <w:r w:rsidRPr="00853C76">
        <w:rPr>
          <w:b/>
          <w:bCs/>
          <w:iCs/>
          <w:snapToGrid w:val="0"/>
          <w:szCs w:val="22"/>
        </w:rPr>
        <w:t>National biodiversity strategies and action plans</w:t>
      </w:r>
    </w:p>
    <w:p w14:paraId="6DE53C7E" w14:textId="77777777" w:rsidR="00DA0273" w:rsidRPr="00853C76" w:rsidRDefault="00DA0273" w:rsidP="00FB5720">
      <w:pPr>
        <w:spacing w:after="120"/>
        <w:rPr>
          <w:snapToGrid w:val="0"/>
          <w:kern w:val="22"/>
          <w:szCs w:val="22"/>
        </w:rPr>
      </w:pPr>
      <w:r w:rsidRPr="00853C76">
        <w:rPr>
          <w:snapToGrid w:val="0"/>
          <w:kern w:val="22"/>
          <w:szCs w:val="22"/>
        </w:rPr>
        <w:t>16.</w:t>
      </w:r>
      <w:r w:rsidRPr="00853C76">
        <w:rPr>
          <w:snapToGrid w:val="0"/>
          <w:kern w:val="22"/>
          <w:szCs w:val="22"/>
        </w:rPr>
        <w:tab/>
        <w:t>Review, revision, updating, and implementation of national biodiversity strategies and action plans.</w:t>
      </w:r>
      <w:r w:rsidRPr="00610646">
        <w:rPr>
          <w:rStyle w:val="FootnoteReference"/>
        </w:rPr>
        <w:footnoteReference w:id="184"/>
      </w:r>
    </w:p>
    <w:p w14:paraId="0E4E9CD2" w14:textId="77777777" w:rsidR="00DA0273" w:rsidRPr="00853C76" w:rsidRDefault="00DA0273" w:rsidP="00FB5720">
      <w:pPr>
        <w:autoSpaceDE w:val="0"/>
        <w:autoSpaceDN w:val="0"/>
        <w:spacing w:before="120" w:after="120"/>
        <w:rPr>
          <w:snapToGrid w:val="0"/>
          <w:kern w:val="22"/>
          <w:szCs w:val="22"/>
        </w:rPr>
      </w:pPr>
      <w:r w:rsidRPr="00853C76">
        <w:rPr>
          <w:snapToGrid w:val="0"/>
          <w:kern w:val="22"/>
          <w:szCs w:val="22"/>
        </w:rPr>
        <w:t>17.</w:t>
      </w:r>
      <w:r w:rsidRPr="00853C76">
        <w:rPr>
          <w:snapToGrid w:val="0"/>
          <w:kern w:val="22"/>
          <w:szCs w:val="22"/>
        </w:rPr>
        <w:tab/>
        <w:t>Development and implementation of national biodiversity strategies and action plans, in line with the strategy and targets for resource mobilization agreed to in decision XII/3.</w:t>
      </w:r>
      <w:r w:rsidRPr="00610646">
        <w:rPr>
          <w:rStyle w:val="FootnoteReference"/>
          <w:rFonts w:eastAsiaTheme="majorEastAsia"/>
        </w:rPr>
        <w:footnoteReference w:id="185"/>
      </w:r>
    </w:p>
    <w:p w14:paraId="78E2DF41" w14:textId="77777777" w:rsidR="00DA0273" w:rsidRPr="00853C76" w:rsidRDefault="00DA0273" w:rsidP="00FB5720">
      <w:pPr>
        <w:keepNext/>
        <w:spacing w:before="120" w:after="120"/>
        <w:rPr>
          <w:b/>
          <w:bCs/>
          <w:iCs/>
          <w:snapToGrid w:val="0"/>
          <w:szCs w:val="22"/>
        </w:rPr>
      </w:pPr>
      <w:r w:rsidRPr="00853C76">
        <w:rPr>
          <w:b/>
          <w:bCs/>
          <w:iCs/>
          <w:snapToGrid w:val="0"/>
          <w:szCs w:val="22"/>
        </w:rPr>
        <w:t>Mainstreaming and integration</w:t>
      </w:r>
    </w:p>
    <w:p w14:paraId="329BBEF2" w14:textId="77777777" w:rsidR="00DA0273" w:rsidRPr="00853C76" w:rsidRDefault="00DA0273" w:rsidP="00FB5720">
      <w:pPr>
        <w:spacing w:after="120"/>
        <w:rPr>
          <w:snapToGrid w:val="0"/>
          <w:kern w:val="22"/>
          <w:szCs w:val="22"/>
        </w:rPr>
      </w:pPr>
      <w:r w:rsidRPr="00853C76">
        <w:rPr>
          <w:snapToGrid w:val="0"/>
          <w:kern w:val="22"/>
          <w:szCs w:val="22"/>
        </w:rPr>
        <w:t>18.</w:t>
      </w:r>
      <w:r w:rsidRPr="00853C76">
        <w:rPr>
          <w:snapToGrid w:val="0"/>
          <w:kern w:val="22"/>
          <w:szCs w:val="22"/>
        </w:rPr>
        <w:tab/>
        <w:t>Further development of approaches on the integration of biodiversity into poverty eradication and development processes.</w:t>
      </w:r>
      <w:r w:rsidRPr="00610646">
        <w:rPr>
          <w:rStyle w:val="FootnoteReference"/>
        </w:rPr>
        <w:footnoteReference w:id="186"/>
      </w:r>
    </w:p>
    <w:p w14:paraId="1BF906FC" w14:textId="77777777" w:rsidR="00DA0273" w:rsidRPr="00853C76" w:rsidRDefault="00DA0273" w:rsidP="00FB5720">
      <w:pPr>
        <w:autoSpaceDE w:val="0"/>
        <w:autoSpaceDN w:val="0"/>
        <w:spacing w:before="120" w:after="120"/>
        <w:rPr>
          <w:snapToGrid w:val="0"/>
          <w:kern w:val="22"/>
          <w:szCs w:val="22"/>
        </w:rPr>
      </w:pPr>
      <w:r w:rsidRPr="00853C76">
        <w:rPr>
          <w:iCs/>
          <w:snapToGrid w:val="0"/>
          <w:kern w:val="22"/>
          <w:szCs w:val="22"/>
        </w:rPr>
        <w:t>19.</w:t>
      </w:r>
      <w:r w:rsidRPr="00853C76">
        <w:rPr>
          <w:iCs/>
          <w:snapToGrid w:val="0"/>
          <w:kern w:val="22"/>
          <w:szCs w:val="22"/>
        </w:rPr>
        <w:tab/>
        <w:t>C</w:t>
      </w:r>
      <w:r w:rsidRPr="00853C76">
        <w:rPr>
          <w:snapToGrid w:val="0"/>
          <w:kern w:val="22"/>
          <w:szCs w:val="22"/>
        </w:rPr>
        <w:t>ountry-driven projects that address cross-sectoral mainstreaming.</w:t>
      </w:r>
      <w:r w:rsidRPr="00610646">
        <w:rPr>
          <w:rStyle w:val="FootnoteReference"/>
          <w:rFonts w:eastAsiaTheme="majorEastAsia"/>
        </w:rPr>
        <w:footnoteReference w:id="187"/>
      </w:r>
    </w:p>
    <w:p w14:paraId="3B8DA672"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7. Identification and monitoring</w:t>
      </w:r>
    </w:p>
    <w:p w14:paraId="44374665" w14:textId="77777777" w:rsidR="00DA0273" w:rsidRPr="00853C76" w:rsidRDefault="00DA0273" w:rsidP="00FB5720">
      <w:pPr>
        <w:spacing w:after="120"/>
        <w:rPr>
          <w:snapToGrid w:val="0"/>
          <w:kern w:val="22"/>
          <w:szCs w:val="22"/>
        </w:rPr>
      </w:pPr>
      <w:r w:rsidRPr="00853C76">
        <w:rPr>
          <w:snapToGrid w:val="0"/>
          <w:kern w:val="22"/>
          <w:szCs w:val="22"/>
        </w:rPr>
        <w:t>20.</w:t>
      </w:r>
      <w:r w:rsidRPr="00853C76">
        <w:rPr>
          <w:snapToGrid w:val="0"/>
          <w:kern w:val="22"/>
          <w:szCs w:val="22"/>
        </w:rPr>
        <w:tab/>
        <w:t>Development and implementation of national biodiversity targets, indicator framework, and monitoring programmes.</w:t>
      </w:r>
      <w:r w:rsidRPr="00610646">
        <w:rPr>
          <w:rStyle w:val="FootnoteReference"/>
        </w:rPr>
        <w:footnoteReference w:id="188"/>
      </w:r>
    </w:p>
    <w:p w14:paraId="17946883"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8. In situ conservation</w:t>
      </w:r>
    </w:p>
    <w:p w14:paraId="337A1892" w14:textId="77777777" w:rsidR="00DA0273" w:rsidRPr="00853C76" w:rsidRDefault="00DA0273" w:rsidP="00FB5720">
      <w:pPr>
        <w:keepNext/>
        <w:spacing w:before="120" w:after="120"/>
        <w:rPr>
          <w:b/>
          <w:bCs/>
          <w:iCs/>
          <w:snapToGrid w:val="0"/>
          <w:szCs w:val="22"/>
        </w:rPr>
      </w:pPr>
      <w:r w:rsidRPr="00853C76">
        <w:rPr>
          <w:b/>
          <w:bCs/>
          <w:iCs/>
          <w:snapToGrid w:val="0"/>
          <w:szCs w:val="22"/>
        </w:rPr>
        <w:t>Area-based conservation</w:t>
      </w:r>
    </w:p>
    <w:p w14:paraId="6E0D6E9B" w14:textId="77777777" w:rsidR="00DA0273" w:rsidRPr="00853C76" w:rsidRDefault="00DA0273" w:rsidP="00FB5720">
      <w:pPr>
        <w:spacing w:after="120"/>
        <w:rPr>
          <w:snapToGrid w:val="0"/>
          <w:kern w:val="22"/>
          <w:szCs w:val="22"/>
        </w:rPr>
      </w:pPr>
      <w:r w:rsidRPr="00853C76">
        <w:rPr>
          <w:snapToGrid w:val="0"/>
          <w:kern w:val="22"/>
          <w:szCs w:val="22"/>
        </w:rPr>
        <w:t>21.</w:t>
      </w:r>
      <w:r w:rsidRPr="00853C76">
        <w:rPr>
          <w:snapToGrid w:val="0"/>
          <w:kern w:val="22"/>
          <w:szCs w:val="22"/>
        </w:rPr>
        <w:tab/>
        <w:t>Community conserved areas, national and regional systems of protected areas, further development of the portfolio on protected areas towards comprehensive, representative and effectively managed protected area systems addressing system wide needs, country driven early action activities of the programme of work on protected areas to enable its full implementation, projects that demonstrate the role-protected areas play in addressing climate change, and address the long-term financial sustainability of protected areas, including through different mechanisms and instruments.</w:t>
      </w:r>
      <w:r w:rsidRPr="00610646">
        <w:rPr>
          <w:rStyle w:val="FootnoteReference"/>
        </w:rPr>
        <w:footnoteReference w:id="189"/>
      </w:r>
    </w:p>
    <w:p w14:paraId="14591AC9" w14:textId="77777777" w:rsidR="00DA0273" w:rsidRPr="00853C76" w:rsidRDefault="00DA0273" w:rsidP="00FB5720">
      <w:pPr>
        <w:keepNext/>
        <w:spacing w:before="120" w:after="120"/>
        <w:rPr>
          <w:b/>
          <w:bCs/>
          <w:iCs/>
          <w:snapToGrid w:val="0"/>
          <w:szCs w:val="22"/>
        </w:rPr>
      </w:pPr>
      <w:r w:rsidRPr="00853C76">
        <w:rPr>
          <w:b/>
          <w:bCs/>
          <w:iCs/>
          <w:snapToGrid w:val="0"/>
          <w:szCs w:val="22"/>
        </w:rPr>
        <w:t>Diversity of species and genetic resources</w:t>
      </w:r>
    </w:p>
    <w:p w14:paraId="396548D8" w14:textId="77777777" w:rsidR="00DA0273" w:rsidRPr="00853C76" w:rsidRDefault="00DA0273" w:rsidP="00FB5720">
      <w:pPr>
        <w:spacing w:after="120"/>
        <w:rPr>
          <w:snapToGrid w:val="0"/>
          <w:kern w:val="22"/>
          <w:szCs w:val="22"/>
        </w:rPr>
      </w:pPr>
      <w:r w:rsidRPr="00853C76">
        <w:rPr>
          <w:snapToGrid w:val="0"/>
          <w:kern w:val="22"/>
          <w:szCs w:val="22"/>
        </w:rPr>
        <w:t>22.</w:t>
      </w:r>
      <w:r w:rsidRPr="00853C76">
        <w:rPr>
          <w:snapToGrid w:val="0"/>
          <w:kern w:val="22"/>
          <w:szCs w:val="22"/>
        </w:rPr>
        <w:tab/>
        <w:t>Projects that promote the conservation and/or sustainable use of endemic species</w:t>
      </w:r>
      <w:r>
        <w:rPr>
          <w:snapToGrid w:val="0"/>
          <w:kern w:val="22"/>
          <w:szCs w:val="22"/>
          <w:vertAlign w:val="superscript"/>
        </w:rPr>
        <w:t>.</w:t>
      </w:r>
      <w:r w:rsidRPr="00610646">
        <w:rPr>
          <w:rStyle w:val="FootnoteReference"/>
        </w:rPr>
        <w:footnoteReference w:id="190"/>
      </w:r>
    </w:p>
    <w:p w14:paraId="7DA8464E" w14:textId="77777777" w:rsidR="00DA0273" w:rsidRPr="00853C76" w:rsidRDefault="00DA0273" w:rsidP="00FB5720">
      <w:pPr>
        <w:spacing w:after="120"/>
        <w:rPr>
          <w:snapToGrid w:val="0"/>
          <w:kern w:val="22"/>
          <w:szCs w:val="22"/>
        </w:rPr>
      </w:pPr>
      <w:r w:rsidRPr="00853C76">
        <w:rPr>
          <w:snapToGrid w:val="0"/>
          <w:kern w:val="22"/>
          <w:szCs w:val="22"/>
        </w:rPr>
        <w:t>23.</w:t>
      </w:r>
      <w:r w:rsidRPr="00853C76">
        <w:rPr>
          <w:snapToGrid w:val="0"/>
          <w:kern w:val="22"/>
          <w:szCs w:val="22"/>
        </w:rPr>
        <w:tab/>
        <w:t>Implementation of the Global Strategy for Plant Conservation 2011</w:t>
      </w:r>
      <w:r>
        <w:rPr>
          <w:b/>
          <w:bCs/>
          <w:iCs/>
          <w:szCs w:val="22"/>
        </w:rPr>
        <w:t>–</w:t>
      </w:r>
      <w:r w:rsidRPr="00853C76">
        <w:rPr>
          <w:snapToGrid w:val="0"/>
          <w:kern w:val="22"/>
          <w:szCs w:val="22"/>
        </w:rPr>
        <w:t>2020</w:t>
      </w:r>
      <w:r>
        <w:rPr>
          <w:snapToGrid w:val="0"/>
          <w:kern w:val="22"/>
          <w:szCs w:val="22"/>
        </w:rPr>
        <w:t>.</w:t>
      </w:r>
      <w:r w:rsidRPr="00610646">
        <w:rPr>
          <w:rStyle w:val="FootnoteReference"/>
        </w:rPr>
        <w:footnoteReference w:id="191"/>
      </w:r>
    </w:p>
    <w:p w14:paraId="3B9E153F" w14:textId="77777777" w:rsidR="00DA0273" w:rsidRPr="00853C76" w:rsidRDefault="00DA0273" w:rsidP="00FB5720">
      <w:pPr>
        <w:spacing w:after="120"/>
        <w:rPr>
          <w:snapToGrid w:val="0"/>
          <w:kern w:val="22"/>
          <w:szCs w:val="22"/>
        </w:rPr>
      </w:pPr>
      <w:r w:rsidRPr="00853C76">
        <w:rPr>
          <w:snapToGrid w:val="0"/>
          <w:kern w:val="22"/>
          <w:szCs w:val="22"/>
        </w:rPr>
        <w:t>24.</w:t>
      </w:r>
      <w:r w:rsidRPr="00853C76">
        <w:rPr>
          <w:snapToGrid w:val="0"/>
          <w:kern w:val="22"/>
          <w:szCs w:val="22"/>
        </w:rPr>
        <w:tab/>
        <w:t>National and regional taxonomic capacity-building activities for the Global Taxonomy Initiative, and project components that address taxonomic needs in the achievement of the Convention’s objectives</w:t>
      </w:r>
      <w:r>
        <w:rPr>
          <w:snapToGrid w:val="0"/>
          <w:kern w:val="22"/>
          <w:szCs w:val="22"/>
        </w:rPr>
        <w:t>.</w:t>
      </w:r>
      <w:r w:rsidRPr="00610646">
        <w:rPr>
          <w:rStyle w:val="FootnoteReference"/>
        </w:rPr>
        <w:footnoteReference w:id="192"/>
      </w:r>
    </w:p>
    <w:p w14:paraId="3AA1F5EB" w14:textId="77777777" w:rsidR="00DA0273" w:rsidRPr="00853C76" w:rsidRDefault="00DA0273" w:rsidP="00FB5720">
      <w:pPr>
        <w:keepNext/>
        <w:spacing w:before="120" w:after="120"/>
        <w:rPr>
          <w:b/>
          <w:bCs/>
          <w:iCs/>
          <w:snapToGrid w:val="0"/>
          <w:szCs w:val="22"/>
        </w:rPr>
      </w:pPr>
      <w:r w:rsidRPr="00853C76">
        <w:rPr>
          <w:b/>
          <w:bCs/>
          <w:iCs/>
          <w:snapToGrid w:val="0"/>
          <w:szCs w:val="22"/>
        </w:rPr>
        <w:t>Invasive alien species</w:t>
      </w:r>
    </w:p>
    <w:p w14:paraId="7263FEA7" w14:textId="77777777" w:rsidR="00DA0273" w:rsidRPr="00853C76" w:rsidRDefault="00DA0273" w:rsidP="00FB5720">
      <w:pPr>
        <w:spacing w:after="120"/>
        <w:rPr>
          <w:snapToGrid w:val="0"/>
          <w:kern w:val="22"/>
          <w:szCs w:val="22"/>
        </w:rPr>
      </w:pPr>
      <w:r w:rsidRPr="00853C76">
        <w:rPr>
          <w:snapToGrid w:val="0"/>
          <w:kern w:val="22"/>
          <w:szCs w:val="22"/>
        </w:rPr>
        <w:t>25.</w:t>
      </w:r>
      <w:r w:rsidRPr="00853C76">
        <w:rPr>
          <w:snapToGrid w:val="0"/>
          <w:kern w:val="22"/>
          <w:szCs w:val="22"/>
        </w:rPr>
        <w:tab/>
        <w:t>Projects that assist with the development and implementation, at national and regional levels, of invasive alien species strategies and action plans, in particular those strategies and actions related to geographically and evolutionarily isolated ecosystems, capacity-building to prevent or minimize the risks of the dispersal and establishment of invasive alien species, improved prevention, rapid response and management measures to address threats of alien invasive species.</w:t>
      </w:r>
      <w:r w:rsidRPr="00610646">
        <w:rPr>
          <w:rStyle w:val="FootnoteReference"/>
        </w:rPr>
        <w:footnoteReference w:id="193"/>
      </w:r>
    </w:p>
    <w:p w14:paraId="012D350C" w14:textId="77777777" w:rsidR="00DA0273" w:rsidRPr="00853C76" w:rsidRDefault="00DA0273" w:rsidP="00FB5720">
      <w:pPr>
        <w:keepNext/>
        <w:spacing w:before="120" w:after="120"/>
        <w:rPr>
          <w:b/>
          <w:bCs/>
          <w:iCs/>
          <w:snapToGrid w:val="0"/>
          <w:szCs w:val="22"/>
        </w:rPr>
      </w:pPr>
      <w:r w:rsidRPr="00853C76">
        <w:rPr>
          <w:b/>
          <w:bCs/>
          <w:iCs/>
          <w:snapToGrid w:val="0"/>
          <w:szCs w:val="22"/>
        </w:rPr>
        <w:t>Article 8(j) and related provisions</w:t>
      </w:r>
    </w:p>
    <w:p w14:paraId="3E58C1E2" w14:textId="77777777" w:rsidR="00DA0273" w:rsidRPr="00853C76" w:rsidRDefault="00DA0273" w:rsidP="00FB5720">
      <w:pPr>
        <w:spacing w:after="200"/>
        <w:rPr>
          <w:snapToGrid w:val="0"/>
          <w:kern w:val="22"/>
          <w:szCs w:val="22"/>
        </w:rPr>
      </w:pPr>
      <w:r w:rsidRPr="00853C76">
        <w:rPr>
          <w:rFonts w:eastAsia="SimSun"/>
          <w:snapToGrid w:val="0"/>
          <w:kern w:val="22"/>
          <w:szCs w:val="22"/>
          <w:lang w:eastAsia="zh-CN"/>
        </w:rPr>
        <w:t>26.</w:t>
      </w:r>
      <w:r w:rsidRPr="00853C76">
        <w:rPr>
          <w:rFonts w:eastAsia="SimSun"/>
          <w:snapToGrid w:val="0"/>
          <w:kern w:val="22"/>
          <w:szCs w:val="22"/>
          <w:lang w:eastAsia="zh-CN"/>
        </w:rPr>
        <w:tab/>
        <w:t>Inclusion of</w:t>
      </w:r>
      <w:r w:rsidRPr="00853C76">
        <w:rPr>
          <w:snapToGrid w:val="0"/>
          <w:kern w:val="22"/>
          <w:szCs w:val="22"/>
        </w:rPr>
        <w:t xml:space="preserve"> perspectives of indigenous peoples and local communities</w:t>
      </w:r>
      <w:r w:rsidRPr="00853C76">
        <w:rPr>
          <w:rFonts w:eastAsia="SimSun"/>
          <w:snapToGrid w:val="0"/>
          <w:kern w:val="22"/>
          <w:szCs w:val="22"/>
          <w:lang w:eastAsia="zh-CN"/>
        </w:rPr>
        <w:t>, particularly women,</w:t>
      </w:r>
      <w:r w:rsidRPr="00853C76">
        <w:rPr>
          <w:snapToGrid w:val="0"/>
          <w:kern w:val="22"/>
          <w:szCs w:val="22"/>
        </w:rPr>
        <w:t xml:space="preserve"> in the financing of biodiversity and ecosystem services</w:t>
      </w:r>
      <w:r w:rsidRPr="000E778E">
        <w:rPr>
          <w:snapToGrid w:val="0"/>
          <w:szCs w:val="22"/>
        </w:rPr>
        <w:t>.</w:t>
      </w:r>
      <w:r w:rsidRPr="00610646">
        <w:rPr>
          <w:rStyle w:val="FootnoteReference"/>
        </w:rPr>
        <w:footnoteReference w:id="194"/>
      </w:r>
    </w:p>
    <w:p w14:paraId="6E12E19A" w14:textId="77777777" w:rsidR="00DA0273" w:rsidRPr="00853C76" w:rsidRDefault="00DA0273" w:rsidP="00FB5720">
      <w:pPr>
        <w:spacing w:after="120"/>
        <w:rPr>
          <w:snapToGrid w:val="0"/>
          <w:kern w:val="22"/>
          <w:szCs w:val="22"/>
        </w:rPr>
      </w:pPr>
      <w:r w:rsidRPr="00853C76">
        <w:rPr>
          <w:snapToGrid w:val="0"/>
          <w:kern w:val="22"/>
          <w:szCs w:val="22"/>
          <w:lang w:eastAsia="zh-CN"/>
        </w:rPr>
        <w:t>27.</w:t>
      </w:r>
      <w:r w:rsidRPr="00853C76">
        <w:rPr>
          <w:snapToGrid w:val="0"/>
          <w:kern w:val="22"/>
          <w:szCs w:val="22"/>
          <w:lang w:eastAsia="zh-CN"/>
        </w:rPr>
        <w:tab/>
      </w:r>
      <w:r w:rsidRPr="00853C76">
        <w:rPr>
          <w:snapToGrid w:val="0"/>
          <w:kern w:val="22"/>
          <w:szCs w:val="22"/>
        </w:rPr>
        <w:t>Implementation of programmes and projects that strengthen the involvement of indigenous peoples and local communities, advance community conservation, promote customary sustainable use of biological diversity</w:t>
      </w:r>
      <w:r w:rsidRPr="000E778E">
        <w:rPr>
          <w:snapToGrid w:val="0"/>
          <w:szCs w:val="22"/>
        </w:rPr>
        <w:t>.</w:t>
      </w:r>
      <w:r w:rsidRPr="00610646">
        <w:rPr>
          <w:rStyle w:val="FootnoteReference"/>
        </w:rPr>
        <w:footnoteReference w:id="195"/>
      </w:r>
    </w:p>
    <w:p w14:paraId="6565C8D4" w14:textId="77777777" w:rsidR="00DA0273" w:rsidRPr="00853C76" w:rsidRDefault="00DA0273" w:rsidP="00FB5720">
      <w:pPr>
        <w:spacing w:after="120"/>
        <w:rPr>
          <w:snapToGrid w:val="0"/>
          <w:kern w:val="22"/>
          <w:szCs w:val="22"/>
        </w:rPr>
      </w:pPr>
      <w:r w:rsidRPr="00853C76">
        <w:rPr>
          <w:snapToGrid w:val="0"/>
          <w:kern w:val="22"/>
          <w:szCs w:val="22"/>
        </w:rPr>
        <w:t>28.</w:t>
      </w:r>
      <w:r w:rsidRPr="00853C76">
        <w:rPr>
          <w:snapToGrid w:val="0"/>
          <w:kern w:val="22"/>
          <w:szCs w:val="22"/>
        </w:rPr>
        <w:tab/>
        <w:t xml:space="preserve">Raising awareness and building capacity relevant to the implementation of the </w:t>
      </w:r>
      <w:r w:rsidRPr="00853C76">
        <w:rPr>
          <w:noProof/>
          <w:snapToGrid w:val="0"/>
          <w:kern w:val="22"/>
          <w:szCs w:val="22"/>
        </w:rPr>
        <w:t>Rutzolijirisaxik</w:t>
      </w:r>
      <w:r w:rsidRPr="00853C76">
        <w:rPr>
          <w:snapToGrid w:val="0"/>
          <w:color w:val="333333"/>
          <w:kern w:val="22"/>
          <w:szCs w:val="22"/>
        </w:rPr>
        <w:t xml:space="preserve"> Voluntary Guidelines for the Repatriation of Traditional Knowledge of Indigenous Peoples and Local Communities Relevant for the Conservation and Sustainable Use of Biological Diversity</w:t>
      </w:r>
      <w:r w:rsidRPr="00853C76">
        <w:rPr>
          <w:snapToGrid w:val="0"/>
          <w:kern w:val="22"/>
          <w:szCs w:val="22"/>
        </w:rPr>
        <w:t>, and developing, as appropriate, community protocols or processes for “prior and informed consent” or “free, prior and informed consent”, depending on national circumstances, or “approval and involvement”, and fair and equitable benefit-sharing.</w:t>
      </w:r>
      <w:r w:rsidRPr="00610646">
        <w:rPr>
          <w:rStyle w:val="FootnoteReference"/>
          <w:rFonts w:eastAsiaTheme="majorEastAsia"/>
        </w:rPr>
        <w:footnoteReference w:id="196"/>
      </w:r>
    </w:p>
    <w:p w14:paraId="0CD65ED6" w14:textId="77777777" w:rsidR="00DA0273" w:rsidRPr="00853C76" w:rsidRDefault="00DA0273" w:rsidP="00FB5720">
      <w:pPr>
        <w:kinsoku w:val="0"/>
        <w:overflowPunct w:val="0"/>
        <w:autoSpaceDE w:val="0"/>
        <w:autoSpaceDN w:val="0"/>
        <w:spacing w:before="120" w:after="120"/>
        <w:rPr>
          <w:snapToGrid w:val="0"/>
          <w:kern w:val="22"/>
          <w:szCs w:val="22"/>
        </w:rPr>
      </w:pPr>
      <w:r w:rsidRPr="00853C76">
        <w:rPr>
          <w:snapToGrid w:val="0"/>
          <w:kern w:val="22"/>
          <w:szCs w:val="22"/>
        </w:rPr>
        <w:t>29.</w:t>
      </w:r>
      <w:r w:rsidRPr="00853C76">
        <w:rPr>
          <w:snapToGrid w:val="0"/>
          <w:kern w:val="22"/>
          <w:szCs w:val="22"/>
        </w:rPr>
        <w:tab/>
        <w:t>Raising awareness and building capacity relevant to the implementation of the guidelines (Mo’otz Kuxtal voluntary guidelines for the development of mechanisms, legislation or other appropriate initiatives to ensure the “prior and informed consent”, “free, prior and informed consent” or “approval and involvement”, 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 and developing, as appropriate, community protocols or processes for “prior and informed consent”, “free, prior and informed consent” or “approval and involvement”, depending on national circumstances, for fair and equitable benefit-sharing.</w:t>
      </w:r>
      <w:r w:rsidRPr="00610646">
        <w:rPr>
          <w:rStyle w:val="FootnoteReference"/>
          <w:rFonts w:eastAsiaTheme="majorEastAsia"/>
        </w:rPr>
        <w:footnoteReference w:id="197"/>
      </w:r>
    </w:p>
    <w:p w14:paraId="1700E7D9" w14:textId="77777777" w:rsidR="00DA0273" w:rsidRPr="00853C76" w:rsidRDefault="00DA0273" w:rsidP="00FB5720">
      <w:pPr>
        <w:keepNext/>
        <w:tabs>
          <w:tab w:val="left" w:pos="567"/>
        </w:tabs>
        <w:spacing w:before="120" w:after="120"/>
        <w:jc w:val="center"/>
        <w:rPr>
          <w:i/>
          <w:iCs/>
          <w:snapToGrid w:val="0"/>
          <w:szCs w:val="22"/>
          <w:lang w:val="fr-FR"/>
        </w:rPr>
      </w:pPr>
      <w:r w:rsidRPr="00853C76">
        <w:rPr>
          <w:i/>
          <w:iCs/>
          <w:snapToGrid w:val="0"/>
          <w:szCs w:val="22"/>
          <w:lang w:val="fr-FR"/>
        </w:rPr>
        <w:t>Article 9. Ex situ conservation</w:t>
      </w:r>
    </w:p>
    <w:p w14:paraId="18CB3AD7"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lang w:val="fr-FR"/>
        </w:rPr>
        <w:t xml:space="preserve">Article 10. </w:t>
      </w:r>
      <w:r w:rsidRPr="00853C76">
        <w:rPr>
          <w:i/>
          <w:iCs/>
          <w:snapToGrid w:val="0"/>
          <w:szCs w:val="22"/>
        </w:rPr>
        <w:t>Sustainable use of components of biological diversity</w:t>
      </w:r>
    </w:p>
    <w:p w14:paraId="479CF6C3" w14:textId="77777777" w:rsidR="00DA0273" w:rsidRPr="00853C76" w:rsidRDefault="00DA0273" w:rsidP="00FB5720">
      <w:pPr>
        <w:spacing w:after="120"/>
        <w:rPr>
          <w:snapToGrid w:val="0"/>
          <w:kern w:val="22"/>
          <w:szCs w:val="22"/>
        </w:rPr>
      </w:pPr>
      <w:r w:rsidRPr="00853C76">
        <w:rPr>
          <w:snapToGrid w:val="0"/>
          <w:kern w:val="22"/>
          <w:szCs w:val="22"/>
        </w:rPr>
        <w:t>30.</w:t>
      </w:r>
      <w:r w:rsidRPr="00853C76">
        <w:rPr>
          <w:snapToGrid w:val="0"/>
          <w:kern w:val="22"/>
          <w:szCs w:val="22"/>
        </w:rPr>
        <w:tab/>
        <w:t>Implementation of the Addis Ababa Principles and Guidelines at the national level to ensure that the use of biological diversity is sustainable.</w:t>
      </w:r>
      <w:r w:rsidRPr="00610646">
        <w:rPr>
          <w:rStyle w:val="FootnoteReference"/>
        </w:rPr>
        <w:footnoteReference w:id="198"/>
      </w:r>
    </w:p>
    <w:p w14:paraId="6BB37A91" w14:textId="77777777" w:rsidR="00DA0273" w:rsidRPr="00853C76" w:rsidRDefault="00DA0273" w:rsidP="00FB5720">
      <w:pPr>
        <w:spacing w:after="120"/>
        <w:rPr>
          <w:snapToGrid w:val="0"/>
          <w:kern w:val="22"/>
          <w:szCs w:val="22"/>
        </w:rPr>
      </w:pPr>
      <w:r w:rsidRPr="00853C76">
        <w:rPr>
          <w:snapToGrid w:val="0"/>
          <w:kern w:val="22"/>
          <w:szCs w:val="22"/>
        </w:rPr>
        <w:t>31.</w:t>
      </w:r>
      <w:r w:rsidRPr="00853C76">
        <w:rPr>
          <w:snapToGrid w:val="0"/>
          <w:kern w:val="22"/>
          <w:szCs w:val="22"/>
        </w:rPr>
        <w:tab/>
        <w:t>Sustainable tourism that contributes to the objectives of the Convention.</w:t>
      </w:r>
      <w:r w:rsidRPr="00610646">
        <w:rPr>
          <w:rStyle w:val="FootnoteReference"/>
        </w:rPr>
        <w:footnoteReference w:id="199"/>
      </w:r>
    </w:p>
    <w:p w14:paraId="5F7203CF"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11. Incentive measures</w:t>
      </w:r>
    </w:p>
    <w:p w14:paraId="34091536" w14:textId="77777777" w:rsidR="00DA0273" w:rsidRPr="00853C76" w:rsidRDefault="00DA0273" w:rsidP="00FB5720">
      <w:pPr>
        <w:spacing w:after="120"/>
        <w:rPr>
          <w:snapToGrid w:val="0"/>
          <w:kern w:val="22"/>
          <w:szCs w:val="22"/>
        </w:rPr>
      </w:pPr>
      <w:r w:rsidRPr="00853C76">
        <w:rPr>
          <w:snapToGrid w:val="0"/>
          <w:kern w:val="22"/>
          <w:szCs w:val="22"/>
        </w:rPr>
        <w:t>32.</w:t>
      </w:r>
      <w:r w:rsidRPr="00853C76">
        <w:rPr>
          <w:snapToGrid w:val="0"/>
          <w:kern w:val="22"/>
          <w:szCs w:val="22"/>
        </w:rPr>
        <w:tab/>
        <w:t>Development and implementation of innovative measures, including in the field of economic incentives and those which assist developing countries to address situations where opportunity costs are incurred by local communities and to identify ways and means by which these can be compensated.</w:t>
      </w:r>
      <w:r w:rsidRPr="00610646">
        <w:rPr>
          <w:rStyle w:val="FootnoteReference"/>
        </w:rPr>
        <w:footnoteReference w:id="200"/>
      </w:r>
    </w:p>
    <w:p w14:paraId="5B7F7981"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12. Research and training</w:t>
      </w:r>
    </w:p>
    <w:p w14:paraId="44652F3E" w14:textId="77777777" w:rsidR="00DA0273" w:rsidRPr="00853C76" w:rsidRDefault="00DA0273" w:rsidP="00FB5720">
      <w:pPr>
        <w:spacing w:after="120"/>
        <w:rPr>
          <w:snapToGrid w:val="0"/>
          <w:kern w:val="22"/>
          <w:szCs w:val="22"/>
        </w:rPr>
      </w:pPr>
      <w:r w:rsidRPr="00853C76">
        <w:rPr>
          <w:snapToGrid w:val="0"/>
          <w:kern w:val="22"/>
          <w:szCs w:val="22"/>
        </w:rPr>
        <w:t>33.</w:t>
      </w:r>
      <w:r w:rsidRPr="00853C76">
        <w:rPr>
          <w:snapToGrid w:val="0"/>
          <w:kern w:val="22"/>
          <w:szCs w:val="22"/>
        </w:rPr>
        <w:tab/>
        <w:t xml:space="preserve">Project components addressing targeted research which contributes to </w:t>
      </w:r>
      <w:r>
        <w:rPr>
          <w:snapToGrid w:val="0"/>
          <w:kern w:val="22"/>
          <w:szCs w:val="22"/>
        </w:rPr>
        <w:t xml:space="preserve">the </w:t>
      </w:r>
      <w:r w:rsidRPr="00853C76">
        <w:rPr>
          <w:snapToGrid w:val="0"/>
          <w:kern w:val="22"/>
          <w:szCs w:val="22"/>
        </w:rPr>
        <w:t>conservation of biological diversity and sustainable use of its components including research for reversing current trends of biodiversity loss and species extinction.</w:t>
      </w:r>
      <w:r w:rsidRPr="00610646">
        <w:rPr>
          <w:rStyle w:val="FootnoteReference"/>
        </w:rPr>
        <w:footnoteReference w:id="201"/>
      </w:r>
    </w:p>
    <w:p w14:paraId="78D22E25"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13. Public education and awareness</w:t>
      </w:r>
    </w:p>
    <w:p w14:paraId="32412C5E" w14:textId="77777777" w:rsidR="00DA0273" w:rsidRPr="00853C76" w:rsidRDefault="00DA0273" w:rsidP="00FB5720">
      <w:pPr>
        <w:spacing w:after="120"/>
        <w:rPr>
          <w:snapToGrid w:val="0"/>
          <w:kern w:val="22"/>
          <w:szCs w:val="22"/>
        </w:rPr>
      </w:pPr>
      <w:r w:rsidRPr="00853C76">
        <w:rPr>
          <w:snapToGrid w:val="0"/>
          <w:kern w:val="22"/>
          <w:szCs w:val="22"/>
        </w:rPr>
        <w:t>34.</w:t>
      </w:r>
      <w:r w:rsidRPr="00853C76">
        <w:rPr>
          <w:snapToGrid w:val="0"/>
          <w:kern w:val="22"/>
          <w:szCs w:val="22"/>
        </w:rPr>
        <w:tab/>
        <w:t>Development and implementation of communication, education and public awareness priority activities at the national and regional levels.</w:t>
      </w:r>
      <w:r w:rsidRPr="00610646">
        <w:rPr>
          <w:rStyle w:val="FootnoteReference"/>
        </w:rPr>
        <w:footnoteReference w:id="202"/>
      </w:r>
    </w:p>
    <w:p w14:paraId="094FCD6C"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14. Impact assessment and minimizing adverse impacts</w:t>
      </w:r>
    </w:p>
    <w:p w14:paraId="55884F59"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 xml:space="preserve">Article 15. Access to genetic resources (Nagoya Protocol on </w:t>
      </w:r>
      <w:r>
        <w:rPr>
          <w:i/>
          <w:iCs/>
          <w:snapToGrid w:val="0"/>
          <w:szCs w:val="22"/>
        </w:rPr>
        <w:t>A</w:t>
      </w:r>
      <w:r w:rsidRPr="00853C76">
        <w:rPr>
          <w:i/>
          <w:iCs/>
          <w:snapToGrid w:val="0"/>
          <w:szCs w:val="22"/>
        </w:rPr>
        <w:t xml:space="preserve">ccess and </w:t>
      </w:r>
      <w:r>
        <w:rPr>
          <w:i/>
          <w:iCs/>
          <w:snapToGrid w:val="0"/>
          <w:szCs w:val="22"/>
        </w:rPr>
        <w:t>B</w:t>
      </w:r>
      <w:r w:rsidRPr="00853C76">
        <w:rPr>
          <w:i/>
          <w:iCs/>
          <w:snapToGrid w:val="0"/>
          <w:szCs w:val="22"/>
        </w:rPr>
        <w:t>enefit</w:t>
      </w:r>
      <w:r>
        <w:rPr>
          <w:i/>
          <w:iCs/>
          <w:snapToGrid w:val="0"/>
          <w:szCs w:val="22"/>
        </w:rPr>
        <w:t>-s</w:t>
      </w:r>
      <w:r w:rsidRPr="00853C76">
        <w:rPr>
          <w:i/>
          <w:iCs/>
          <w:snapToGrid w:val="0"/>
          <w:szCs w:val="22"/>
        </w:rPr>
        <w:t>haring)</w:t>
      </w:r>
    </w:p>
    <w:p w14:paraId="6958DC20" w14:textId="77777777" w:rsidR="00DA0273" w:rsidRPr="00853C76" w:rsidRDefault="00DA0273" w:rsidP="00FB5720">
      <w:pPr>
        <w:keepNext/>
        <w:spacing w:before="120" w:after="120"/>
        <w:rPr>
          <w:b/>
          <w:bCs/>
          <w:iCs/>
          <w:snapToGrid w:val="0"/>
          <w:szCs w:val="22"/>
        </w:rPr>
      </w:pPr>
      <w:r w:rsidRPr="00853C76">
        <w:rPr>
          <w:b/>
          <w:bCs/>
          <w:iCs/>
          <w:snapToGrid w:val="0"/>
          <w:szCs w:val="22"/>
        </w:rPr>
        <w:t>National measures</w:t>
      </w:r>
    </w:p>
    <w:p w14:paraId="1101ACD1" w14:textId="77777777" w:rsidR="00DA0273" w:rsidRPr="00853C76" w:rsidRDefault="00DA0273" w:rsidP="000E778E">
      <w:pPr>
        <w:spacing w:after="200"/>
        <w:rPr>
          <w:snapToGrid w:val="0"/>
          <w:kern w:val="22"/>
          <w:szCs w:val="22"/>
        </w:rPr>
      </w:pPr>
      <w:r w:rsidRPr="00853C76">
        <w:rPr>
          <w:snapToGrid w:val="0"/>
          <w:kern w:val="22"/>
          <w:szCs w:val="22"/>
        </w:rPr>
        <w:t>35.</w:t>
      </w:r>
      <w:r w:rsidRPr="00853C76">
        <w:rPr>
          <w:snapToGrid w:val="0"/>
          <w:kern w:val="22"/>
          <w:szCs w:val="22"/>
        </w:rPr>
        <w:tab/>
        <w:t xml:space="preserve">Projects that support the ratification and implementation of the Nagoya Protocol on </w:t>
      </w:r>
      <w:r>
        <w:rPr>
          <w:snapToGrid w:val="0"/>
          <w:kern w:val="22"/>
          <w:szCs w:val="22"/>
        </w:rPr>
        <w:t>A</w:t>
      </w:r>
      <w:r w:rsidRPr="00853C76">
        <w:rPr>
          <w:snapToGrid w:val="0"/>
          <w:kern w:val="22"/>
          <w:szCs w:val="22"/>
        </w:rPr>
        <w:t xml:space="preserve">ccess and </w:t>
      </w:r>
      <w:r>
        <w:rPr>
          <w:snapToGrid w:val="0"/>
          <w:kern w:val="22"/>
          <w:szCs w:val="22"/>
        </w:rPr>
        <w:t>B</w:t>
      </w:r>
      <w:r w:rsidRPr="00853C76">
        <w:rPr>
          <w:snapToGrid w:val="0"/>
          <w:kern w:val="22"/>
          <w:szCs w:val="22"/>
        </w:rPr>
        <w:t>enefit</w:t>
      </w:r>
      <w:r>
        <w:rPr>
          <w:snapToGrid w:val="0"/>
          <w:kern w:val="22"/>
          <w:szCs w:val="22"/>
        </w:rPr>
        <w:t>-</w:t>
      </w:r>
      <w:r w:rsidRPr="00853C76">
        <w:rPr>
          <w:snapToGrid w:val="0"/>
          <w:kern w:val="22"/>
          <w:szCs w:val="22"/>
        </w:rPr>
        <w:t>sharing</w:t>
      </w:r>
      <w:r w:rsidRPr="00853C76">
        <w:rPr>
          <w:kern w:val="22"/>
          <w:szCs w:val="22"/>
        </w:rPr>
        <w:t>, including the establishment of legislative, administrative and policy measures on access and benefit-sharing and related institutional arrangements</w:t>
      </w:r>
      <w:r w:rsidRPr="000E778E">
        <w:rPr>
          <w:snapToGrid w:val="0"/>
          <w:kern w:val="22"/>
          <w:szCs w:val="22"/>
        </w:rPr>
        <w:t>.</w:t>
      </w:r>
      <w:r w:rsidRPr="00610646">
        <w:rPr>
          <w:rStyle w:val="FootnoteReference"/>
        </w:rPr>
        <w:footnoteReference w:id="203"/>
      </w:r>
    </w:p>
    <w:p w14:paraId="084F84B4" w14:textId="77777777" w:rsidR="00DA0273" w:rsidRPr="00853C76" w:rsidRDefault="00DA0273" w:rsidP="00FB5720">
      <w:pPr>
        <w:keepNext/>
        <w:spacing w:before="120" w:after="120"/>
        <w:rPr>
          <w:b/>
          <w:bCs/>
          <w:iCs/>
          <w:snapToGrid w:val="0"/>
          <w:szCs w:val="22"/>
        </w:rPr>
      </w:pPr>
      <w:r w:rsidRPr="00853C76">
        <w:rPr>
          <w:b/>
          <w:bCs/>
          <w:iCs/>
          <w:snapToGrid w:val="0"/>
          <w:szCs w:val="22"/>
        </w:rPr>
        <w:t>Capacity-building</w:t>
      </w:r>
    </w:p>
    <w:p w14:paraId="6DA29866" w14:textId="77777777" w:rsidR="00DA0273" w:rsidRPr="00853C76" w:rsidRDefault="00DA0273" w:rsidP="000E778E">
      <w:pPr>
        <w:spacing w:after="200"/>
        <w:rPr>
          <w:snapToGrid w:val="0"/>
          <w:kern w:val="22"/>
          <w:szCs w:val="22"/>
        </w:rPr>
      </w:pPr>
      <w:r w:rsidRPr="00853C76">
        <w:rPr>
          <w:snapToGrid w:val="0"/>
          <w:kern w:val="22"/>
          <w:szCs w:val="22"/>
        </w:rPr>
        <w:t>36.</w:t>
      </w:r>
      <w:r w:rsidRPr="00853C76">
        <w:rPr>
          <w:snapToGrid w:val="0"/>
          <w:kern w:val="22"/>
          <w:szCs w:val="22"/>
        </w:rPr>
        <w:tab/>
        <w:t>Building the capacity to develop, implement and enforce domestic legislative, administrative or policy measures on access and benefit-sharing, thereby contributing to the conservation of biological diversity and sustainable use of its components</w:t>
      </w:r>
      <w:r>
        <w:rPr>
          <w:snapToGrid w:val="0"/>
          <w:kern w:val="22"/>
          <w:szCs w:val="22"/>
        </w:rPr>
        <w:t>,</w:t>
      </w:r>
      <w:r w:rsidRPr="00610646">
        <w:rPr>
          <w:rStyle w:val="FootnoteReference"/>
        </w:rPr>
        <w:footnoteReference w:id="204"/>
      </w:r>
      <w:r w:rsidRPr="00853C76">
        <w:rPr>
          <w:snapToGrid w:val="0"/>
          <w:kern w:val="22"/>
          <w:szCs w:val="22"/>
        </w:rPr>
        <w:t xml:space="preserve"> including through:</w:t>
      </w:r>
    </w:p>
    <w:p w14:paraId="11BD64F0" w14:textId="77777777" w:rsidR="00DA0273" w:rsidRPr="00853C76" w:rsidRDefault="00DA0273" w:rsidP="00950BE4">
      <w:pPr>
        <w:numPr>
          <w:ilvl w:val="0"/>
          <w:numId w:val="57"/>
        </w:numPr>
        <w:tabs>
          <w:tab w:val="left" w:pos="1134"/>
        </w:tabs>
        <w:spacing w:before="120" w:after="120"/>
        <w:ind w:left="0" w:firstLine="709"/>
        <w:rPr>
          <w:snapToGrid w:val="0"/>
          <w:kern w:val="22"/>
          <w:szCs w:val="22"/>
        </w:rPr>
      </w:pPr>
      <w:r w:rsidRPr="00853C76">
        <w:rPr>
          <w:snapToGrid w:val="0"/>
          <w:kern w:val="22"/>
          <w:szCs w:val="22"/>
        </w:rPr>
        <w:t>Identification of relevant actors and existing legal and institutional expertise for the implementation of the Nagoya Protocol;</w:t>
      </w:r>
    </w:p>
    <w:p w14:paraId="29D6039C" w14:textId="77777777" w:rsidR="00DA0273" w:rsidRPr="00853C76" w:rsidRDefault="00DA0273" w:rsidP="00950BE4">
      <w:pPr>
        <w:numPr>
          <w:ilvl w:val="0"/>
          <w:numId w:val="57"/>
        </w:numPr>
        <w:tabs>
          <w:tab w:val="left" w:pos="1134"/>
        </w:tabs>
        <w:spacing w:before="120" w:after="120"/>
        <w:ind w:left="0" w:firstLine="709"/>
        <w:rPr>
          <w:snapToGrid w:val="0"/>
          <w:kern w:val="22"/>
          <w:szCs w:val="22"/>
        </w:rPr>
      </w:pPr>
      <w:r w:rsidRPr="00853C76">
        <w:rPr>
          <w:snapToGrid w:val="0"/>
          <w:kern w:val="22"/>
          <w:szCs w:val="22"/>
        </w:rPr>
        <w:t xml:space="preserve">Taking stock of domestic measures relevant to access and benefit-sharing in </w:t>
      </w:r>
      <w:r>
        <w:rPr>
          <w:snapToGrid w:val="0"/>
          <w:kern w:val="22"/>
          <w:szCs w:val="22"/>
        </w:rPr>
        <w:t xml:space="preserve">the </w:t>
      </w:r>
      <w:r w:rsidRPr="00853C76">
        <w:rPr>
          <w:snapToGrid w:val="0"/>
          <w:kern w:val="22"/>
          <w:szCs w:val="22"/>
        </w:rPr>
        <w:t>light of the obligations of the Nagoya Protocol;</w:t>
      </w:r>
    </w:p>
    <w:p w14:paraId="125548E6" w14:textId="77777777" w:rsidR="00DA0273" w:rsidRPr="00853C76" w:rsidRDefault="00DA0273" w:rsidP="00950BE4">
      <w:pPr>
        <w:numPr>
          <w:ilvl w:val="0"/>
          <w:numId w:val="57"/>
        </w:numPr>
        <w:tabs>
          <w:tab w:val="left" w:pos="1134"/>
        </w:tabs>
        <w:spacing w:before="120" w:after="120"/>
        <w:ind w:left="0" w:firstLine="709"/>
        <w:rPr>
          <w:snapToGrid w:val="0"/>
          <w:kern w:val="22"/>
          <w:szCs w:val="22"/>
        </w:rPr>
      </w:pPr>
      <w:r w:rsidRPr="00853C76">
        <w:rPr>
          <w:snapToGrid w:val="0"/>
          <w:kern w:val="22"/>
          <w:szCs w:val="22"/>
        </w:rPr>
        <w:t>Development and/or amendment of access and benefit-sharing legislative, administrative or policy measures with a view to implementing their obligations under the Nagoya Protocol;</w:t>
      </w:r>
    </w:p>
    <w:p w14:paraId="6CDA4F22" w14:textId="77777777" w:rsidR="00DA0273" w:rsidRPr="00853C76" w:rsidRDefault="00DA0273" w:rsidP="00950BE4">
      <w:pPr>
        <w:numPr>
          <w:ilvl w:val="0"/>
          <w:numId w:val="57"/>
        </w:numPr>
        <w:tabs>
          <w:tab w:val="left" w:pos="1134"/>
        </w:tabs>
        <w:spacing w:before="120" w:after="120"/>
        <w:ind w:left="0" w:firstLine="709"/>
        <w:rPr>
          <w:snapToGrid w:val="0"/>
          <w:kern w:val="22"/>
          <w:szCs w:val="22"/>
        </w:rPr>
      </w:pPr>
      <w:r w:rsidRPr="00853C76">
        <w:rPr>
          <w:snapToGrid w:val="0"/>
          <w:kern w:val="22"/>
          <w:szCs w:val="22"/>
        </w:rPr>
        <w:t>Establishment of ways to address transboundary issues;</w:t>
      </w:r>
    </w:p>
    <w:p w14:paraId="0E1AB24E" w14:textId="77777777" w:rsidR="00DA0273" w:rsidRPr="00853C76" w:rsidRDefault="00DA0273" w:rsidP="00950BE4">
      <w:pPr>
        <w:numPr>
          <w:ilvl w:val="0"/>
          <w:numId w:val="57"/>
        </w:numPr>
        <w:tabs>
          <w:tab w:val="left" w:pos="1134"/>
        </w:tabs>
        <w:spacing w:before="120" w:after="120"/>
        <w:ind w:left="0" w:firstLine="709"/>
        <w:rPr>
          <w:snapToGrid w:val="0"/>
          <w:kern w:val="22"/>
          <w:szCs w:val="22"/>
        </w:rPr>
      </w:pPr>
      <w:r w:rsidRPr="00853C76">
        <w:rPr>
          <w:snapToGrid w:val="0"/>
          <w:kern w:val="22"/>
          <w:szCs w:val="22"/>
        </w:rPr>
        <w:t>Establishment of institutional arrangements and administrative systems to provide access to genetic resources, ensure benefit-sharing, support compliance with prior informed consent and mutually agreed terms and monitor the utilization of genetic resources and traditional knowledge associated with genetic resources, including support for the establishment of check points;</w:t>
      </w:r>
    </w:p>
    <w:p w14:paraId="313723FE" w14:textId="77777777" w:rsidR="00DA0273" w:rsidRPr="00853C76" w:rsidRDefault="00DA0273" w:rsidP="000E778E">
      <w:pPr>
        <w:spacing w:after="200"/>
        <w:rPr>
          <w:snapToGrid w:val="0"/>
          <w:kern w:val="22"/>
          <w:szCs w:val="22"/>
        </w:rPr>
      </w:pPr>
      <w:r w:rsidRPr="00853C76">
        <w:rPr>
          <w:snapToGrid w:val="0"/>
          <w:kern w:val="22"/>
          <w:szCs w:val="22"/>
        </w:rPr>
        <w:t>37.</w:t>
      </w:r>
      <w:r w:rsidRPr="00853C76">
        <w:rPr>
          <w:snapToGrid w:val="0"/>
          <w:kern w:val="22"/>
          <w:szCs w:val="22"/>
        </w:rPr>
        <w:tab/>
        <w:t xml:space="preserve">Supporting the implementation of the strategic framework for capacity-building and development </w:t>
      </w:r>
      <w:r>
        <w:rPr>
          <w:snapToGrid w:val="0"/>
          <w:kern w:val="22"/>
          <w:szCs w:val="22"/>
        </w:rPr>
        <w:t>to</w:t>
      </w:r>
      <w:r w:rsidRPr="00853C76">
        <w:rPr>
          <w:snapToGrid w:val="0"/>
          <w:kern w:val="22"/>
          <w:szCs w:val="22"/>
        </w:rPr>
        <w:t xml:space="preserve"> support the </w:t>
      </w:r>
      <w:r>
        <w:rPr>
          <w:snapToGrid w:val="0"/>
          <w:kern w:val="22"/>
          <w:szCs w:val="22"/>
        </w:rPr>
        <w:t xml:space="preserve">effective </w:t>
      </w:r>
      <w:r w:rsidRPr="00853C76">
        <w:rPr>
          <w:snapToGrid w:val="0"/>
          <w:kern w:val="22"/>
          <w:szCs w:val="22"/>
        </w:rPr>
        <w:t xml:space="preserve">implementation of the </w:t>
      </w:r>
      <w:r>
        <w:rPr>
          <w:snapToGrid w:val="0"/>
          <w:kern w:val="22"/>
          <w:szCs w:val="22"/>
        </w:rPr>
        <w:t xml:space="preserve">Nagoya </w:t>
      </w:r>
      <w:r w:rsidRPr="00853C76">
        <w:rPr>
          <w:snapToGrid w:val="0"/>
          <w:kern w:val="22"/>
          <w:szCs w:val="22"/>
        </w:rPr>
        <w:t>Protocol.</w:t>
      </w:r>
      <w:r w:rsidRPr="00610646">
        <w:rPr>
          <w:rStyle w:val="FootnoteReference"/>
        </w:rPr>
        <w:footnoteReference w:id="205"/>
      </w:r>
    </w:p>
    <w:p w14:paraId="2B6C8FF5" w14:textId="77777777" w:rsidR="00DA0273" w:rsidRPr="00853C76" w:rsidRDefault="00DA0273" w:rsidP="00FB5720">
      <w:pPr>
        <w:keepNext/>
        <w:spacing w:before="120" w:after="120"/>
        <w:rPr>
          <w:b/>
          <w:bCs/>
          <w:iCs/>
          <w:snapToGrid w:val="0"/>
          <w:szCs w:val="22"/>
        </w:rPr>
      </w:pPr>
      <w:r w:rsidRPr="00853C76">
        <w:rPr>
          <w:b/>
          <w:bCs/>
          <w:iCs/>
          <w:snapToGrid w:val="0"/>
          <w:szCs w:val="22"/>
        </w:rPr>
        <w:t>Capacity on mutually agreed terms</w:t>
      </w:r>
    </w:p>
    <w:p w14:paraId="7EDB64D2" w14:textId="77777777" w:rsidR="00DA0273" w:rsidRPr="00853C76" w:rsidRDefault="00DA0273" w:rsidP="00FB5720">
      <w:pPr>
        <w:spacing w:after="200"/>
        <w:rPr>
          <w:snapToGrid w:val="0"/>
          <w:kern w:val="22"/>
          <w:szCs w:val="22"/>
        </w:rPr>
      </w:pPr>
      <w:r w:rsidRPr="00853C76">
        <w:rPr>
          <w:snapToGrid w:val="0"/>
          <w:kern w:val="22"/>
          <w:szCs w:val="22"/>
        </w:rPr>
        <w:t>38.</w:t>
      </w:r>
      <w:r w:rsidRPr="00853C76">
        <w:rPr>
          <w:snapToGrid w:val="0"/>
          <w:kern w:val="22"/>
          <w:szCs w:val="22"/>
        </w:rPr>
        <w:tab/>
        <w:t>Building the capacity to negotiate mutually agreed terms to promote equity and fairness in negotiations in the development and implementation of access and benefit-sharing agreements, including through enhanced understanding of business models and intellectual property rights</w:t>
      </w:r>
      <w:r w:rsidRPr="000E778E">
        <w:rPr>
          <w:snapToGrid w:val="0"/>
          <w:kern w:val="22"/>
          <w:szCs w:val="22"/>
        </w:rPr>
        <w:t>.</w:t>
      </w:r>
      <w:r w:rsidRPr="00610646">
        <w:rPr>
          <w:rStyle w:val="FootnoteReference"/>
        </w:rPr>
        <w:footnoteReference w:id="206"/>
      </w:r>
    </w:p>
    <w:p w14:paraId="41B7BCAF" w14:textId="77777777" w:rsidR="00DA0273" w:rsidRPr="00853C76" w:rsidRDefault="00DA0273" w:rsidP="00FB5720">
      <w:pPr>
        <w:keepNext/>
        <w:spacing w:before="120" w:after="120"/>
        <w:rPr>
          <w:b/>
          <w:bCs/>
          <w:iCs/>
          <w:snapToGrid w:val="0"/>
          <w:szCs w:val="22"/>
        </w:rPr>
      </w:pPr>
      <w:r w:rsidRPr="00853C76">
        <w:rPr>
          <w:b/>
          <w:bCs/>
          <w:iCs/>
          <w:snapToGrid w:val="0"/>
          <w:szCs w:val="22"/>
        </w:rPr>
        <w:t>Endogenous research capabilities</w:t>
      </w:r>
    </w:p>
    <w:p w14:paraId="40CE4ABC" w14:textId="77777777" w:rsidR="00DA0273" w:rsidRPr="00853C76" w:rsidRDefault="00DA0273" w:rsidP="001565A6">
      <w:pPr>
        <w:spacing w:after="200"/>
        <w:rPr>
          <w:snapToGrid w:val="0"/>
          <w:kern w:val="22"/>
          <w:szCs w:val="22"/>
        </w:rPr>
      </w:pPr>
      <w:r w:rsidRPr="00853C76">
        <w:rPr>
          <w:snapToGrid w:val="0"/>
          <w:kern w:val="22"/>
          <w:szCs w:val="22"/>
        </w:rPr>
        <w:t>39.</w:t>
      </w:r>
      <w:r w:rsidRPr="00853C76">
        <w:rPr>
          <w:snapToGrid w:val="0"/>
          <w:kern w:val="22"/>
          <w:szCs w:val="22"/>
        </w:rPr>
        <w:tab/>
        <w:t>Building the capacity of Parties to develop their endogenous research capabilities to add value to their own genetic resources and traditional knowledge associated with genetic resources through, inter alia, technology transfer; bioprospecting and associated research and taxonomic studies; and development and use of valuation methods</w:t>
      </w:r>
      <w:r w:rsidRPr="000E778E">
        <w:rPr>
          <w:snapToGrid w:val="0"/>
          <w:kern w:val="22"/>
          <w:szCs w:val="22"/>
        </w:rPr>
        <w:t>.</w:t>
      </w:r>
      <w:r w:rsidRPr="00610646">
        <w:rPr>
          <w:rStyle w:val="FootnoteReference"/>
        </w:rPr>
        <w:footnoteReference w:id="207"/>
      </w:r>
    </w:p>
    <w:p w14:paraId="4515DAE0" w14:textId="77777777" w:rsidR="00DA0273" w:rsidRPr="00853C76" w:rsidRDefault="00DA0273" w:rsidP="00FB5720">
      <w:pPr>
        <w:keepNext/>
        <w:spacing w:before="120" w:after="120"/>
        <w:rPr>
          <w:rFonts w:asciiTheme="majorBidi" w:hAnsiTheme="majorBidi" w:cstheme="majorBidi"/>
          <w:iCs/>
          <w:snapToGrid w:val="0"/>
          <w:szCs w:val="22"/>
        </w:rPr>
      </w:pPr>
      <w:r w:rsidRPr="00853C76">
        <w:rPr>
          <w:b/>
          <w:bCs/>
          <w:iCs/>
          <w:snapToGrid w:val="0"/>
          <w:szCs w:val="22"/>
        </w:rPr>
        <w:t>Indigenous peoples and local communities and relevant stakeholders</w:t>
      </w:r>
    </w:p>
    <w:p w14:paraId="727A8F46" w14:textId="77777777" w:rsidR="00DA0273" w:rsidRPr="00853C76" w:rsidRDefault="00DA0273" w:rsidP="00FB5720">
      <w:pPr>
        <w:spacing w:after="200"/>
        <w:rPr>
          <w:snapToGrid w:val="0"/>
          <w:kern w:val="22"/>
          <w:szCs w:val="22"/>
        </w:rPr>
      </w:pPr>
      <w:r w:rsidRPr="00853C76">
        <w:rPr>
          <w:snapToGrid w:val="0"/>
          <w:kern w:val="22"/>
          <w:szCs w:val="22"/>
        </w:rPr>
        <w:t>40.</w:t>
      </w:r>
      <w:r w:rsidRPr="00853C76">
        <w:rPr>
          <w:snapToGrid w:val="0"/>
          <w:kern w:val="22"/>
          <w:szCs w:val="22"/>
        </w:rPr>
        <w:tab/>
        <w:t>Addressing the capacity needs and priorities of indigenous</w:t>
      </w:r>
      <w:r w:rsidRPr="00853C76">
        <w:rPr>
          <w:snapToGrid w:val="0"/>
          <w:kern w:val="22"/>
          <w:szCs w:val="22"/>
          <w:lang w:eastAsia="zh-CN"/>
        </w:rPr>
        <w:t xml:space="preserve"> peoples</w:t>
      </w:r>
      <w:r w:rsidRPr="00853C76">
        <w:rPr>
          <w:snapToGrid w:val="0"/>
          <w:kern w:val="22"/>
          <w:szCs w:val="22"/>
        </w:rPr>
        <w:t xml:space="preserve"> and local communities and relevant stakeholders</w:t>
      </w:r>
      <w:r>
        <w:rPr>
          <w:snapToGrid w:val="0"/>
          <w:kern w:val="22"/>
          <w:szCs w:val="22"/>
        </w:rPr>
        <w:t>,</w:t>
      </w:r>
      <w:r w:rsidRPr="00853C76">
        <w:rPr>
          <w:snapToGrid w:val="0"/>
          <w:kern w:val="22"/>
          <w:szCs w:val="22"/>
        </w:rPr>
        <w:t xml:space="preserve"> in particular projects that would:</w:t>
      </w:r>
      <w:r w:rsidRPr="00853C76">
        <w:rPr>
          <w:snapToGrid w:val="0"/>
          <w:kern w:val="22"/>
          <w:szCs w:val="22"/>
          <w:vertAlign w:val="superscript"/>
        </w:rPr>
        <w:t xml:space="preserve"> </w:t>
      </w:r>
      <w:r w:rsidRPr="00610646">
        <w:rPr>
          <w:rStyle w:val="FootnoteReference"/>
        </w:rPr>
        <w:footnoteReference w:id="208"/>
      </w:r>
    </w:p>
    <w:p w14:paraId="62D770B5" w14:textId="77777777" w:rsidR="00DA0273" w:rsidRPr="00853C76" w:rsidRDefault="00DA0273" w:rsidP="00950BE4">
      <w:pPr>
        <w:numPr>
          <w:ilvl w:val="0"/>
          <w:numId w:val="58"/>
        </w:numPr>
        <w:spacing w:before="120" w:after="120"/>
        <w:ind w:left="0" w:firstLine="754"/>
        <w:rPr>
          <w:snapToGrid w:val="0"/>
          <w:kern w:val="22"/>
          <w:szCs w:val="22"/>
        </w:rPr>
      </w:pPr>
      <w:r w:rsidRPr="00853C76">
        <w:rPr>
          <w:snapToGrid w:val="0"/>
          <w:kern w:val="22"/>
          <w:szCs w:val="22"/>
        </w:rPr>
        <w:t>Encourage their participation in legal, policy and decision-making processes;</w:t>
      </w:r>
      <w:r>
        <w:rPr>
          <w:snapToGrid w:val="0"/>
          <w:kern w:val="22"/>
          <w:szCs w:val="22"/>
        </w:rPr>
        <w:t xml:space="preserve"> </w:t>
      </w:r>
    </w:p>
    <w:p w14:paraId="7E0BA864" w14:textId="77777777" w:rsidR="00DA0273" w:rsidRPr="00853C76" w:rsidRDefault="00DA0273" w:rsidP="00950BE4">
      <w:pPr>
        <w:numPr>
          <w:ilvl w:val="0"/>
          <w:numId w:val="58"/>
        </w:numPr>
        <w:spacing w:before="120" w:after="120"/>
        <w:ind w:left="0" w:firstLine="754"/>
        <w:rPr>
          <w:snapToGrid w:val="0"/>
          <w:kern w:val="22"/>
          <w:szCs w:val="22"/>
        </w:rPr>
      </w:pPr>
      <w:r w:rsidRPr="00853C76">
        <w:rPr>
          <w:snapToGrid w:val="0"/>
          <w:kern w:val="22"/>
          <w:szCs w:val="22"/>
        </w:rPr>
        <w:t>Assist in building their capacity related to genetic resources and traditional knowledge associated with genetic resources, such as through the development of community protocols, model contractual clauses and minimum requirements for mutually agreed terms to secure the fair and equitable sharing of benefits;</w:t>
      </w:r>
      <w:r>
        <w:rPr>
          <w:snapToGrid w:val="0"/>
          <w:kern w:val="22"/>
          <w:szCs w:val="22"/>
        </w:rPr>
        <w:t xml:space="preserve"> </w:t>
      </w:r>
    </w:p>
    <w:p w14:paraId="2047FFF6" w14:textId="77777777" w:rsidR="00DA0273" w:rsidRPr="00853C76" w:rsidRDefault="00DA0273" w:rsidP="00FB5720">
      <w:pPr>
        <w:keepNext/>
        <w:spacing w:before="120" w:after="120"/>
        <w:rPr>
          <w:b/>
          <w:bCs/>
          <w:iCs/>
          <w:snapToGrid w:val="0"/>
          <w:szCs w:val="22"/>
        </w:rPr>
      </w:pPr>
      <w:r w:rsidRPr="00853C76">
        <w:rPr>
          <w:b/>
          <w:bCs/>
          <w:iCs/>
          <w:snapToGrid w:val="0"/>
          <w:szCs w:val="22"/>
        </w:rPr>
        <w:t>Clearing-</w:t>
      </w:r>
      <w:r>
        <w:rPr>
          <w:b/>
          <w:bCs/>
          <w:iCs/>
          <w:snapToGrid w:val="0"/>
          <w:szCs w:val="22"/>
        </w:rPr>
        <w:t>h</w:t>
      </w:r>
      <w:r w:rsidRPr="00853C76">
        <w:rPr>
          <w:b/>
          <w:bCs/>
          <w:iCs/>
          <w:snapToGrid w:val="0"/>
          <w:szCs w:val="22"/>
        </w:rPr>
        <w:t>ouse</w:t>
      </w:r>
    </w:p>
    <w:p w14:paraId="05334F1F" w14:textId="77777777" w:rsidR="00DA0273" w:rsidRPr="00853C76" w:rsidRDefault="00DA0273" w:rsidP="00FB5720">
      <w:pPr>
        <w:spacing w:after="200"/>
        <w:rPr>
          <w:snapToGrid w:val="0"/>
          <w:kern w:val="22"/>
          <w:szCs w:val="22"/>
          <w:vertAlign w:val="superscript"/>
        </w:rPr>
      </w:pPr>
      <w:r w:rsidRPr="00853C76">
        <w:rPr>
          <w:snapToGrid w:val="0"/>
          <w:kern w:val="22"/>
          <w:szCs w:val="22"/>
        </w:rPr>
        <w:t>41.</w:t>
      </w:r>
      <w:r w:rsidRPr="00853C76">
        <w:rPr>
          <w:snapToGrid w:val="0"/>
          <w:kern w:val="22"/>
          <w:szCs w:val="22"/>
        </w:rPr>
        <w:tab/>
        <w:t>Enabling Parties to actively participate in the Access and Benefit-sharing Clearing-House and use the best available communication tools and Internet-based systems for access and benefit-sharing</w:t>
      </w:r>
      <w:r>
        <w:rPr>
          <w:snapToGrid w:val="0"/>
          <w:kern w:val="22"/>
          <w:szCs w:val="22"/>
        </w:rPr>
        <w:t>.</w:t>
      </w:r>
      <w:r w:rsidRPr="00610646">
        <w:rPr>
          <w:rStyle w:val="FootnoteReference"/>
        </w:rPr>
        <w:footnoteReference w:id="209"/>
      </w:r>
    </w:p>
    <w:p w14:paraId="1C6F0812" w14:textId="77777777" w:rsidR="00DA0273" w:rsidRPr="00853C76" w:rsidRDefault="00DA0273" w:rsidP="00FB5720">
      <w:pPr>
        <w:keepNext/>
        <w:spacing w:before="120" w:after="120"/>
        <w:rPr>
          <w:b/>
          <w:bCs/>
          <w:iCs/>
          <w:snapToGrid w:val="0"/>
          <w:szCs w:val="22"/>
        </w:rPr>
      </w:pPr>
      <w:r w:rsidRPr="00853C76">
        <w:rPr>
          <w:b/>
          <w:bCs/>
          <w:iCs/>
          <w:snapToGrid w:val="0"/>
          <w:szCs w:val="22"/>
        </w:rPr>
        <w:t>Awareness</w:t>
      </w:r>
      <w:r>
        <w:rPr>
          <w:b/>
          <w:bCs/>
          <w:iCs/>
          <w:snapToGrid w:val="0"/>
          <w:szCs w:val="22"/>
        </w:rPr>
        <w:t>-</w:t>
      </w:r>
      <w:r w:rsidRPr="00853C76">
        <w:rPr>
          <w:b/>
          <w:bCs/>
          <w:iCs/>
          <w:snapToGrid w:val="0"/>
          <w:szCs w:val="22"/>
        </w:rPr>
        <w:t>raising</w:t>
      </w:r>
    </w:p>
    <w:p w14:paraId="6A9549AB" w14:textId="77777777" w:rsidR="00DA0273" w:rsidRPr="00853C76" w:rsidRDefault="00DA0273" w:rsidP="00FB5720">
      <w:pPr>
        <w:spacing w:after="200"/>
        <w:rPr>
          <w:snapToGrid w:val="0"/>
          <w:kern w:val="22"/>
          <w:szCs w:val="22"/>
        </w:rPr>
      </w:pPr>
      <w:r w:rsidRPr="00853C76">
        <w:rPr>
          <w:snapToGrid w:val="0"/>
          <w:kern w:val="22"/>
          <w:szCs w:val="22"/>
        </w:rPr>
        <w:t>42.</w:t>
      </w:r>
      <w:r w:rsidRPr="00853C76">
        <w:rPr>
          <w:snapToGrid w:val="0"/>
          <w:kern w:val="22"/>
          <w:szCs w:val="22"/>
        </w:rPr>
        <w:tab/>
        <w:t>Raising</w:t>
      </w:r>
      <w:r>
        <w:rPr>
          <w:snapToGrid w:val="0"/>
          <w:kern w:val="22"/>
          <w:szCs w:val="22"/>
        </w:rPr>
        <w:t xml:space="preserve"> </w:t>
      </w:r>
      <w:r w:rsidRPr="00853C76">
        <w:rPr>
          <w:snapToGrid w:val="0"/>
          <w:kern w:val="22"/>
          <w:szCs w:val="22"/>
        </w:rPr>
        <w:t>awareness of the importance of genetic resources and traditional knowledge associated with genetic resources, and related access and benefit</w:t>
      </w:r>
      <w:r>
        <w:rPr>
          <w:snapToGrid w:val="0"/>
          <w:kern w:val="22"/>
          <w:szCs w:val="22"/>
        </w:rPr>
        <w:noBreakHyphen/>
      </w:r>
      <w:r w:rsidRPr="00853C76">
        <w:rPr>
          <w:snapToGrid w:val="0"/>
          <w:kern w:val="22"/>
          <w:szCs w:val="22"/>
        </w:rPr>
        <w:t>sharing issues, notably through the development and implementation of national and regional awareness-raising strategies</w:t>
      </w:r>
      <w:r>
        <w:rPr>
          <w:snapToGrid w:val="0"/>
          <w:kern w:val="22"/>
          <w:szCs w:val="22"/>
        </w:rPr>
        <w:t>.</w:t>
      </w:r>
      <w:r w:rsidRPr="00610646">
        <w:rPr>
          <w:rStyle w:val="FootnoteReference"/>
        </w:rPr>
        <w:footnoteReference w:id="210"/>
      </w:r>
    </w:p>
    <w:p w14:paraId="7C38089F" w14:textId="77777777" w:rsidR="00DA0273" w:rsidRPr="00853C76" w:rsidRDefault="00DA0273" w:rsidP="00FB5720">
      <w:pPr>
        <w:keepNext/>
        <w:spacing w:before="120" w:after="120"/>
        <w:rPr>
          <w:b/>
          <w:bCs/>
          <w:iCs/>
          <w:snapToGrid w:val="0"/>
          <w:szCs w:val="22"/>
        </w:rPr>
      </w:pPr>
      <w:r w:rsidRPr="00853C76">
        <w:rPr>
          <w:b/>
          <w:bCs/>
          <w:iCs/>
          <w:snapToGrid w:val="0"/>
          <w:szCs w:val="22"/>
        </w:rPr>
        <w:t>National reporting</w:t>
      </w:r>
    </w:p>
    <w:p w14:paraId="0CAFC45C" w14:textId="77777777" w:rsidR="00DA0273" w:rsidRPr="00853C76" w:rsidRDefault="00DA0273" w:rsidP="00FB5720">
      <w:pPr>
        <w:spacing w:after="200"/>
        <w:rPr>
          <w:snapToGrid w:val="0"/>
          <w:kern w:val="22"/>
          <w:szCs w:val="22"/>
        </w:rPr>
      </w:pPr>
      <w:r w:rsidRPr="00853C76">
        <w:rPr>
          <w:snapToGrid w:val="0"/>
          <w:kern w:val="22"/>
          <w:szCs w:val="22"/>
        </w:rPr>
        <w:t>43.</w:t>
      </w:r>
      <w:r w:rsidRPr="00853C76">
        <w:rPr>
          <w:snapToGrid w:val="0"/>
          <w:kern w:val="22"/>
          <w:szCs w:val="22"/>
        </w:rPr>
        <w:tab/>
        <w:t>Making financial resources available to assist Parties in preparing their national report</w:t>
      </w:r>
      <w:r>
        <w:rPr>
          <w:snapToGrid w:val="0"/>
          <w:kern w:val="22"/>
          <w:szCs w:val="22"/>
        </w:rPr>
        <w:t>.</w:t>
      </w:r>
      <w:r w:rsidRPr="00610646">
        <w:rPr>
          <w:rStyle w:val="FootnoteReference"/>
        </w:rPr>
        <w:footnoteReference w:id="211"/>
      </w:r>
    </w:p>
    <w:p w14:paraId="4E0CB5FE" w14:textId="77777777" w:rsidR="00DA0273" w:rsidRPr="00853C76" w:rsidRDefault="00DA0273" w:rsidP="00FB5720">
      <w:pPr>
        <w:keepNext/>
        <w:spacing w:before="120" w:after="120"/>
        <w:rPr>
          <w:b/>
          <w:bCs/>
          <w:iCs/>
          <w:snapToGrid w:val="0"/>
          <w:szCs w:val="22"/>
        </w:rPr>
      </w:pPr>
      <w:r w:rsidRPr="00853C76">
        <w:rPr>
          <w:b/>
          <w:bCs/>
          <w:iCs/>
          <w:snapToGrid w:val="0"/>
          <w:szCs w:val="22"/>
        </w:rPr>
        <w:t>Regional cooperation</w:t>
      </w:r>
    </w:p>
    <w:p w14:paraId="58AEB06E" w14:textId="77777777" w:rsidR="00DA0273" w:rsidRPr="00853C76" w:rsidRDefault="00DA0273" w:rsidP="00FB5720">
      <w:pPr>
        <w:suppressLineNumbers/>
        <w:suppressAutoHyphens/>
        <w:kinsoku w:val="0"/>
        <w:overflowPunct w:val="0"/>
        <w:autoSpaceDE w:val="0"/>
        <w:autoSpaceDN w:val="0"/>
        <w:adjustRightInd w:val="0"/>
        <w:snapToGrid w:val="0"/>
        <w:spacing w:before="120" w:after="120"/>
        <w:rPr>
          <w:iCs/>
          <w:snapToGrid w:val="0"/>
          <w:kern w:val="22"/>
          <w:szCs w:val="22"/>
        </w:rPr>
      </w:pPr>
      <w:r w:rsidRPr="00853C76">
        <w:rPr>
          <w:snapToGrid w:val="0"/>
          <w:kern w:val="22"/>
          <w:szCs w:val="22"/>
        </w:rPr>
        <w:t>44.</w:t>
      </w:r>
      <w:r w:rsidRPr="00853C76">
        <w:rPr>
          <w:snapToGrid w:val="0"/>
          <w:kern w:val="22"/>
          <w:szCs w:val="22"/>
        </w:rPr>
        <w:tab/>
      </w:r>
      <w:r w:rsidRPr="00853C76">
        <w:rPr>
          <w:iCs/>
          <w:snapToGrid w:val="0"/>
          <w:kern w:val="22"/>
          <w:szCs w:val="22"/>
        </w:rPr>
        <w:t>Issues identified by the Parties to facilitate further implementation of the Nagoya Protocol on Access and Benefit-sharing, including regional cooperation projects, with a view to facilitating the sharing of experiences and lessons learned and harnessing associated synergies</w:t>
      </w:r>
      <w:r>
        <w:rPr>
          <w:iCs/>
          <w:snapToGrid w:val="0"/>
          <w:kern w:val="22"/>
          <w:szCs w:val="22"/>
        </w:rPr>
        <w:t>.</w:t>
      </w:r>
      <w:r w:rsidRPr="00610646">
        <w:rPr>
          <w:rStyle w:val="FootnoteReference"/>
          <w:rFonts w:eastAsiaTheme="majorEastAsia"/>
        </w:rPr>
        <w:footnoteReference w:id="212"/>
      </w:r>
    </w:p>
    <w:p w14:paraId="40B36006"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16. Access to and transfer of technology</w:t>
      </w:r>
    </w:p>
    <w:p w14:paraId="3C77ADE2" w14:textId="77777777" w:rsidR="00DA0273" w:rsidRPr="00853C76" w:rsidRDefault="00DA0273" w:rsidP="00FB5720">
      <w:pPr>
        <w:spacing w:after="120"/>
        <w:rPr>
          <w:snapToGrid w:val="0"/>
          <w:kern w:val="22"/>
          <w:szCs w:val="22"/>
        </w:rPr>
      </w:pPr>
      <w:r w:rsidRPr="00853C76">
        <w:rPr>
          <w:snapToGrid w:val="0"/>
          <w:kern w:val="22"/>
          <w:szCs w:val="22"/>
        </w:rPr>
        <w:t>45.</w:t>
      </w:r>
      <w:r w:rsidRPr="00853C76">
        <w:rPr>
          <w:snapToGrid w:val="0"/>
          <w:kern w:val="22"/>
          <w:szCs w:val="22"/>
        </w:rPr>
        <w:tab/>
        <w:t>Preparation of national assessments of technology needs for implementation of the Convention, and promotion of access to, transfer of and cooperation for joint development of technology</w:t>
      </w:r>
      <w:r>
        <w:rPr>
          <w:snapToGrid w:val="0"/>
          <w:kern w:val="22"/>
          <w:szCs w:val="22"/>
        </w:rPr>
        <w:t>.</w:t>
      </w:r>
      <w:r w:rsidRPr="00610646">
        <w:rPr>
          <w:rStyle w:val="FootnoteReference"/>
        </w:rPr>
        <w:footnoteReference w:id="213"/>
      </w:r>
    </w:p>
    <w:p w14:paraId="56567990"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17. Exchange of information</w:t>
      </w:r>
    </w:p>
    <w:p w14:paraId="4E826792"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18. Technical and scientific cooperation</w:t>
      </w:r>
    </w:p>
    <w:p w14:paraId="7BCC3935" w14:textId="77777777" w:rsidR="00DA0273" w:rsidRPr="00853C76" w:rsidRDefault="00DA0273" w:rsidP="00FB5720">
      <w:pPr>
        <w:spacing w:after="120"/>
        <w:rPr>
          <w:snapToGrid w:val="0"/>
          <w:kern w:val="22"/>
          <w:szCs w:val="22"/>
        </w:rPr>
      </w:pPr>
      <w:r w:rsidRPr="00853C76">
        <w:rPr>
          <w:snapToGrid w:val="0"/>
          <w:kern w:val="22"/>
          <w:szCs w:val="22"/>
        </w:rPr>
        <w:t>46.</w:t>
      </w:r>
      <w:r w:rsidRPr="00853C76">
        <w:rPr>
          <w:snapToGrid w:val="0"/>
          <w:kern w:val="22"/>
          <w:szCs w:val="22"/>
        </w:rPr>
        <w:tab/>
        <w:t>Strengthening biodiversity information systems such as, inter alia, training, technology and processes related to the collection, organization, maintenance and updating of data and information, and building capacity for the clearing-house mechanism, such as training in information and communication technologies and web content management that enable developing countries and countries with economies in transition to fully benefit from modern communication, including the Internet.</w:t>
      </w:r>
      <w:r w:rsidRPr="00610646">
        <w:rPr>
          <w:rStyle w:val="FootnoteReference"/>
        </w:rPr>
        <w:footnoteReference w:id="214"/>
      </w:r>
    </w:p>
    <w:p w14:paraId="64BB990B"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19. Handling of biotechnology and distribution of its benefits (Cartagena Protocol on Biosafety)</w:t>
      </w:r>
    </w:p>
    <w:p w14:paraId="0BEB1F54" w14:textId="77777777" w:rsidR="00DA0273" w:rsidRPr="00853C76" w:rsidRDefault="00DA0273" w:rsidP="00FB5720">
      <w:pPr>
        <w:keepNext/>
        <w:spacing w:before="120" w:after="120"/>
        <w:rPr>
          <w:b/>
          <w:bCs/>
          <w:iCs/>
          <w:snapToGrid w:val="0"/>
          <w:szCs w:val="22"/>
        </w:rPr>
      </w:pPr>
      <w:r w:rsidRPr="00853C76">
        <w:rPr>
          <w:b/>
          <w:bCs/>
          <w:iCs/>
          <w:snapToGrid w:val="0"/>
          <w:szCs w:val="22"/>
        </w:rPr>
        <w:t>National measures</w:t>
      </w:r>
    </w:p>
    <w:p w14:paraId="561D954F" w14:textId="77777777" w:rsidR="00DA0273" w:rsidRPr="00853C76" w:rsidRDefault="00DA0273" w:rsidP="00FB5720">
      <w:pPr>
        <w:spacing w:after="120"/>
        <w:rPr>
          <w:snapToGrid w:val="0"/>
          <w:kern w:val="22"/>
          <w:szCs w:val="22"/>
        </w:rPr>
      </w:pPr>
      <w:r w:rsidRPr="00853C76">
        <w:rPr>
          <w:kern w:val="22"/>
          <w:szCs w:val="22"/>
        </w:rPr>
        <w:t>47.</w:t>
      </w:r>
      <w:r w:rsidRPr="00853C76">
        <w:rPr>
          <w:kern w:val="22"/>
          <w:szCs w:val="22"/>
        </w:rPr>
        <w:tab/>
      </w:r>
      <w:r w:rsidRPr="00853C76">
        <w:rPr>
          <w:snapToGrid w:val="0"/>
          <w:kern w:val="22"/>
          <w:szCs w:val="22"/>
        </w:rPr>
        <w:t>Ratification and implementation of the Cartagena Protocol on Biosafety and the Nagoya–Kuala Lumpur Supplementary Protocol on Liability and Redress</w:t>
      </w:r>
      <w:r>
        <w:rPr>
          <w:snapToGrid w:val="0"/>
          <w:kern w:val="22"/>
          <w:szCs w:val="22"/>
        </w:rPr>
        <w:t>.</w:t>
      </w:r>
      <w:r w:rsidRPr="00610646">
        <w:rPr>
          <w:rStyle w:val="FootnoteReference"/>
        </w:rPr>
        <w:footnoteReference w:id="215"/>
      </w:r>
    </w:p>
    <w:p w14:paraId="47F5CF97" w14:textId="77777777" w:rsidR="00DA0273" w:rsidRPr="00853C76" w:rsidRDefault="00DA0273" w:rsidP="00FB5720">
      <w:pPr>
        <w:suppressLineNumbers/>
        <w:suppressAutoHyphens/>
        <w:kinsoku w:val="0"/>
        <w:overflowPunct w:val="0"/>
        <w:autoSpaceDE w:val="0"/>
        <w:autoSpaceDN w:val="0"/>
        <w:adjustRightInd w:val="0"/>
        <w:snapToGrid w:val="0"/>
        <w:spacing w:before="120" w:after="120"/>
        <w:rPr>
          <w:iCs/>
          <w:snapToGrid w:val="0"/>
          <w:spacing w:val="-4"/>
          <w:kern w:val="22"/>
          <w:szCs w:val="22"/>
        </w:rPr>
      </w:pPr>
      <w:r w:rsidRPr="00853C76">
        <w:rPr>
          <w:snapToGrid w:val="0"/>
          <w:kern w:val="22"/>
          <w:szCs w:val="22"/>
        </w:rPr>
        <w:t>48.</w:t>
      </w:r>
      <w:r w:rsidRPr="00853C76">
        <w:rPr>
          <w:snapToGrid w:val="0"/>
          <w:kern w:val="22"/>
          <w:szCs w:val="22"/>
        </w:rPr>
        <w:tab/>
        <w:t>Development and implementation of national biosafety frameworks, in particular biosafety legislation</w:t>
      </w:r>
      <w:r>
        <w:rPr>
          <w:snapToGrid w:val="0"/>
          <w:kern w:val="22"/>
          <w:szCs w:val="22"/>
        </w:rPr>
        <w:t>,</w:t>
      </w:r>
      <w:r w:rsidRPr="00610646">
        <w:rPr>
          <w:rStyle w:val="FootnoteReference"/>
        </w:rPr>
        <w:footnoteReference w:id="216"/>
      </w:r>
      <w:r w:rsidRPr="00853C76">
        <w:rPr>
          <w:snapToGrid w:val="0"/>
          <w:kern w:val="22"/>
          <w:szCs w:val="22"/>
        </w:rPr>
        <w:t xml:space="preserve"> including those Parties that have not yet done so in fully putting in place measures to implement the Protocol</w:t>
      </w:r>
      <w:r>
        <w:rPr>
          <w:snapToGrid w:val="0"/>
          <w:kern w:val="22"/>
          <w:szCs w:val="22"/>
        </w:rPr>
        <w:t>.</w:t>
      </w:r>
      <w:r w:rsidRPr="00610646">
        <w:rPr>
          <w:rStyle w:val="FootnoteReference"/>
          <w:rFonts w:eastAsiaTheme="majorEastAsia"/>
        </w:rPr>
        <w:footnoteReference w:id="217"/>
      </w:r>
    </w:p>
    <w:p w14:paraId="3C29B02B" w14:textId="77777777" w:rsidR="00DA0273" w:rsidRPr="00853C76" w:rsidRDefault="00DA0273" w:rsidP="00FB5720">
      <w:pPr>
        <w:keepNext/>
        <w:spacing w:before="120" w:after="120"/>
        <w:rPr>
          <w:b/>
          <w:bCs/>
          <w:iCs/>
          <w:snapToGrid w:val="0"/>
          <w:szCs w:val="22"/>
        </w:rPr>
      </w:pPr>
      <w:r w:rsidRPr="00853C76">
        <w:rPr>
          <w:b/>
          <w:bCs/>
          <w:iCs/>
          <w:snapToGrid w:val="0"/>
          <w:szCs w:val="22"/>
        </w:rPr>
        <w:t>Detection and identification</w:t>
      </w:r>
    </w:p>
    <w:p w14:paraId="26583312" w14:textId="77777777" w:rsidR="00DA0273" w:rsidRPr="00853C76" w:rsidRDefault="00DA0273" w:rsidP="00FB5720">
      <w:pPr>
        <w:spacing w:after="120"/>
        <w:rPr>
          <w:snapToGrid w:val="0"/>
          <w:kern w:val="22"/>
          <w:szCs w:val="22"/>
        </w:rPr>
      </w:pPr>
      <w:r w:rsidRPr="00853C76">
        <w:rPr>
          <w:snapToGrid w:val="0"/>
          <w:kern w:val="22"/>
          <w:szCs w:val="22"/>
        </w:rPr>
        <w:t>49.</w:t>
      </w:r>
      <w:r w:rsidRPr="00853C76">
        <w:rPr>
          <w:snapToGrid w:val="0"/>
          <w:kern w:val="22"/>
          <w:szCs w:val="22"/>
        </w:rPr>
        <w:tab/>
        <w:t>Identification of living modified organisms or specific traits that may have adverse effects on the conservation and sustainable use of biological diversity, taking also into account risks to human health</w:t>
      </w:r>
      <w:r>
        <w:rPr>
          <w:snapToGrid w:val="0"/>
          <w:kern w:val="22"/>
          <w:szCs w:val="22"/>
        </w:rPr>
        <w:t>.</w:t>
      </w:r>
      <w:r w:rsidRPr="00610646">
        <w:rPr>
          <w:rStyle w:val="FootnoteReference"/>
        </w:rPr>
        <w:footnoteReference w:id="218"/>
      </w:r>
    </w:p>
    <w:p w14:paraId="20ABFE07" w14:textId="77777777" w:rsidR="00DA0273" w:rsidRPr="00853C76" w:rsidRDefault="00DA0273" w:rsidP="00FB5720">
      <w:pPr>
        <w:suppressLineNumbers/>
        <w:suppressAutoHyphens/>
        <w:kinsoku w:val="0"/>
        <w:overflowPunct w:val="0"/>
        <w:autoSpaceDE w:val="0"/>
        <w:autoSpaceDN w:val="0"/>
        <w:adjustRightInd w:val="0"/>
        <w:snapToGrid w:val="0"/>
        <w:spacing w:before="120" w:after="120"/>
        <w:rPr>
          <w:snapToGrid w:val="0"/>
          <w:kern w:val="22"/>
          <w:szCs w:val="22"/>
        </w:rPr>
      </w:pPr>
      <w:r w:rsidRPr="00853C76">
        <w:rPr>
          <w:snapToGrid w:val="0"/>
          <w:kern w:val="22"/>
          <w:szCs w:val="22"/>
        </w:rPr>
        <w:t>50.</w:t>
      </w:r>
      <w:r w:rsidRPr="00853C76">
        <w:rPr>
          <w:snapToGrid w:val="0"/>
          <w:kern w:val="22"/>
          <w:szCs w:val="22"/>
        </w:rPr>
        <w:tab/>
        <w:t>Regional projects to support the implementation of the Cartagena Protocol, including projects aimed at building scientific capacity that could support countries’ actions towards detection and identification of living modified organisms, and in particular that could promote North-South and South-South sharing of experiences and lessons</w:t>
      </w:r>
      <w:r>
        <w:rPr>
          <w:snapToGrid w:val="0"/>
          <w:kern w:val="22"/>
          <w:szCs w:val="22"/>
        </w:rPr>
        <w:t>.</w:t>
      </w:r>
      <w:r w:rsidRPr="00610646">
        <w:rPr>
          <w:rStyle w:val="FootnoteReference"/>
          <w:rFonts w:eastAsiaTheme="majorEastAsia"/>
        </w:rPr>
        <w:footnoteReference w:id="219"/>
      </w:r>
    </w:p>
    <w:p w14:paraId="013D06C6" w14:textId="77777777" w:rsidR="00DA0273" w:rsidRPr="00853C76" w:rsidRDefault="00DA0273" w:rsidP="00FB5720">
      <w:pPr>
        <w:keepNext/>
        <w:spacing w:before="120" w:after="120"/>
        <w:rPr>
          <w:b/>
          <w:bCs/>
          <w:iCs/>
          <w:snapToGrid w:val="0"/>
          <w:szCs w:val="22"/>
        </w:rPr>
      </w:pPr>
      <w:r w:rsidRPr="00853C76">
        <w:rPr>
          <w:b/>
          <w:bCs/>
          <w:iCs/>
          <w:snapToGrid w:val="0"/>
          <w:szCs w:val="22"/>
        </w:rPr>
        <w:t>Risk assessment and risk management</w:t>
      </w:r>
    </w:p>
    <w:p w14:paraId="1D397E33" w14:textId="77777777" w:rsidR="00DA0273" w:rsidRPr="00853C76" w:rsidRDefault="00DA0273" w:rsidP="00FB5720">
      <w:pPr>
        <w:spacing w:after="120"/>
        <w:rPr>
          <w:snapToGrid w:val="0"/>
          <w:kern w:val="22"/>
          <w:szCs w:val="22"/>
          <w:vertAlign w:val="superscript"/>
        </w:rPr>
      </w:pPr>
      <w:r w:rsidRPr="00853C76">
        <w:rPr>
          <w:snapToGrid w:val="0"/>
          <w:kern w:val="22"/>
          <w:szCs w:val="22"/>
        </w:rPr>
        <w:t>51.</w:t>
      </w:r>
      <w:r w:rsidRPr="00853C76">
        <w:rPr>
          <w:snapToGrid w:val="0"/>
          <w:kern w:val="22"/>
          <w:szCs w:val="22"/>
        </w:rPr>
        <w:tab/>
        <w:t>Building, consolidating and enhancing sustainable human resource capacity in risk assessment and risk management</w:t>
      </w:r>
      <w:r w:rsidRPr="00610646">
        <w:rPr>
          <w:rStyle w:val="FootnoteReference"/>
        </w:rPr>
        <w:footnoteReference w:id="220"/>
      </w:r>
      <w:r w:rsidRPr="00853C76">
        <w:rPr>
          <w:snapToGrid w:val="0"/>
          <w:kern w:val="22"/>
          <w:szCs w:val="22"/>
          <w:vertAlign w:val="superscript"/>
        </w:rPr>
        <w:t xml:space="preserve"> </w:t>
      </w:r>
      <w:r w:rsidRPr="00853C76">
        <w:rPr>
          <w:snapToGrid w:val="0"/>
          <w:kern w:val="22"/>
          <w:szCs w:val="22"/>
        </w:rPr>
        <w:t>in the context of country-driven projects</w:t>
      </w:r>
      <w:r>
        <w:rPr>
          <w:snapToGrid w:val="0"/>
          <w:kern w:val="22"/>
          <w:szCs w:val="22"/>
        </w:rPr>
        <w:t>.</w:t>
      </w:r>
      <w:r w:rsidRPr="00610646">
        <w:rPr>
          <w:rStyle w:val="FootnoteReference"/>
          <w:rFonts w:eastAsiaTheme="majorEastAsia"/>
        </w:rPr>
        <w:footnoteReference w:id="221"/>
      </w:r>
    </w:p>
    <w:p w14:paraId="41AB1AB5" w14:textId="77777777" w:rsidR="00DA0273" w:rsidRPr="00853C76" w:rsidRDefault="00DA0273" w:rsidP="00FB5720">
      <w:pPr>
        <w:keepNext/>
        <w:spacing w:before="120" w:after="120"/>
        <w:rPr>
          <w:b/>
          <w:bCs/>
          <w:iCs/>
          <w:snapToGrid w:val="0"/>
          <w:szCs w:val="22"/>
        </w:rPr>
      </w:pPr>
      <w:r w:rsidRPr="00853C76">
        <w:rPr>
          <w:b/>
          <w:bCs/>
          <w:iCs/>
          <w:snapToGrid w:val="0"/>
          <w:szCs w:val="22"/>
        </w:rPr>
        <w:t>Socioeconomic considerations</w:t>
      </w:r>
    </w:p>
    <w:p w14:paraId="5C2C6F3A" w14:textId="77777777" w:rsidR="00DA0273" w:rsidRPr="00853C76" w:rsidRDefault="00DA0273" w:rsidP="00FB5720">
      <w:pPr>
        <w:spacing w:after="120"/>
        <w:rPr>
          <w:snapToGrid w:val="0"/>
          <w:kern w:val="22"/>
          <w:szCs w:val="22"/>
        </w:rPr>
      </w:pPr>
      <w:r w:rsidRPr="00853C76">
        <w:rPr>
          <w:snapToGrid w:val="0"/>
          <w:kern w:val="22"/>
          <w:szCs w:val="22"/>
        </w:rPr>
        <w:t>52.</w:t>
      </w:r>
      <w:r w:rsidRPr="00853C76">
        <w:rPr>
          <w:snapToGrid w:val="0"/>
          <w:kern w:val="22"/>
          <w:szCs w:val="22"/>
        </w:rPr>
        <w:tab/>
        <w:t>Capacity-building on socioeconomic considerations</w:t>
      </w:r>
      <w:r>
        <w:rPr>
          <w:snapToGrid w:val="0"/>
          <w:kern w:val="22"/>
          <w:szCs w:val="22"/>
        </w:rPr>
        <w:t>.</w:t>
      </w:r>
      <w:r w:rsidRPr="00610646">
        <w:rPr>
          <w:rStyle w:val="FootnoteReference"/>
        </w:rPr>
        <w:footnoteReference w:id="222"/>
      </w:r>
    </w:p>
    <w:p w14:paraId="2FB3E195" w14:textId="77777777" w:rsidR="00DA0273" w:rsidRPr="00853C76" w:rsidRDefault="00DA0273" w:rsidP="00FB5720">
      <w:pPr>
        <w:keepNext/>
        <w:spacing w:before="120" w:after="120"/>
        <w:rPr>
          <w:b/>
          <w:bCs/>
          <w:iCs/>
          <w:snapToGrid w:val="0"/>
          <w:szCs w:val="22"/>
        </w:rPr>
      </w:pPr>
      <w:r w:rsidRPr="00853C76">
        <w:rPr>
          <w:b/>
          <w:bCs/>
          <w:iCs/>
          <w:snapToGrid w:val="0"/>
          <w:szCs w:val="22"/>
        </w:rPr>
        <w:t>Unintentional release</w:t>
      </w:r>
    </w:p>
    <w:p w14:paraId="22E1DEFB" w14:textId="77777777" w:rsidR="00DA0273" w:rsidRPr="00853C76" w:rsidRDefault="00DA0273" w:rsidP="00FB5720">
      <w:pPr>
        <w:spacing w:after="120"/>
        <w:rPr>
          <w:snapToGrid w:val="0"/>
          <w:kern w:val="22"/>
          <w:szCs w:val="22"/>
        </w:rPr>
      </w:pPr>
      <w:r w:rsidRPr="00853C76">
        <w:rPr>
          <w:snapToGrid w:val="0"/>
          <w:kern w:val="22"/>
          <w:szCs w:val="22"/>
        </w:rPr>
        <w:t>53.</w:t>
      </w:r>
      <w:r w:rsidRPr="00853C76">
        <w:rPr>
          <w:snapToGrid w:val="0"/>
          <w:kern w:val="22"/>
          <w:szCs w:val="22"/>
        </w:rPr>
        <w:tab/>
        <w:t>Capacity-building to take appropriate measures in cases of unintentional release of living modified organisms</w:t>
      </w:r>
      <w:r>
        <w:rPr>
          <w:snapToGrid w:val="0"/>
          <w:kern w:val="22"/>
          <w:szCs w:val="22"/>
        </w:rPr>
        <w:t>.</w:t>
      </w:r>
      <w:r w:rsidRPr="00610646">
        <w:rPr>
          <w:rStyle w:val="FootnoteReference"/>
        </w:rPr>
        <w:footnoteReference w:id="223"/>
      </w:r>
    </w:p>
    <w:p w14:paraId="4E341275" w14:textId="77777777" w:rsidR="00DA0273" w:rsidRPr="00853C76" w:rsidRDefault="00DA0273" w:rsidP="00FB5720">
      <w:pPr>
        <w:keepNext/>
        <w:spacing w:before="120" w:after="120"/>
        <w:rPr>
          <w:b/>
          <w:bCs/>
          <w:iCs/>
          <w:snapToGrid w:val="0"/>
          <w:szCs w:val="22"/>
        </w:rPr>
      </w:pPr>
      <w:r w:rsidRPr="00853C76">
        <w:rPr>
          <w:b/>
          <w:bCs/>
          <w:iCs/>
          <w:snapToGrid w:val="0"/>
          <w:szCs w:val="22"/>
        </w:rPr>
        <w:t>Public awareness</w:t>
      </w:r>
    </w:p>
    <w:p w14:paraId="3EB4F316" w14:textId="77777777" w:rsidR="00DA0273" w:rsidRPr="00853C76" w:rsidRDefault="00DA0273" w:rsidP="00FB5720">
      <w:pPr>
        <w:spacing w:after="120"/>
        <w:rPr>
          <w:snapToGrid w:val="0"/>
          <w:kern w:val="22"/>
          <w:szCs w:val="22"/>
          <w:vertAlign w:val="superscript"/>
        </w:rPr>
      </w:pPr>
      <w:r w:rsidRPr="00853C76">
        <w:rPr>
          <w:snapToGrid w:val="0"/>
          <w:kern w:val="22"/>
          <w:szCs w:val="22"/>
        </w:rPr>
        <w:t>54.</w:t>
      </w:r>
      <w:r w:rsidRPr="00853C76">
        <w:rPr>
          <w:snapToGrid w:val="0"/>
          <w:kern w:val="22"/>
          <w:szCs w:val="22"/>
        </w:rPr>
        <w:tab/>
        <w:t xml:space="preserve">Enhancing capacity for public awareness, education and participation regarding the safe transfer, handling and use of living modified organisms, including for indigenous </w:t>
      </w:r>
      <w:r w:rsidRPr="00853C76">
        <w:rPr>
          <w:snapToGrid w:val="0"/>
          <w:kern w:val="22"/>
          <w:szCs w:val="22"/>
          <w:lang w:eastAsia="zh-CN"/>
        </w:rPr>
        <w:t xml:space="preserve">peoples </w:t>
      </w:r>
      <w:r w:rsidRPr="00853C76">
        <w:rPr>
          <w:snapToGrid w:val="0"/>
          <w:kern w:val="22"/>
          <w:szCs w:val="22"/>
        </w:rPr>
        <w:t>and local communities</w:t>
      </w:r>
      <w:r>
        <w:rPr>
          <w:snapToGrid w:val="0"/>
          <w:kern w:val="22"/>
          <w:szCs w:val="22"/>
        </w:rPr>
        <w:t>.</w:t>
      </w:r>
      <w:r w:rsidRPr="00610646">
        <w:rPr>
          <w:rStyle w:val="FootnoteReference"/>
        </w:rPr>
        <w:footnoteReference w:id="224"/>
      </w:r>
    </w:p>
    <w:p w14:paraId="3EDE7200" w14:textId="77777777" w:rsidR="00DA0273" w:rsidRPr="00853C76" w:rsidRDefault="00DA0273" w:rsidP="00FB5720">
      <w:pPr>
        <w:autoSpaceDE w:val="0"/>
        <w:autoSpaceDN w:val="0"/>
        <w:spacing w:before="120" w:after="120"/>
        <w:rPr>
          <w:snapToGrid w:val="0"/>
          <w:kern w:val="22"/>
          <w:szCs w:val="22"/>
        </w:rPr>
      </w:pPr>
      <w:r w:rsidRPr="00853C76">
        <w:rPr>
          <w:snapToGrid w:val="0"/>
          <w:kern w:val="22"/>
          <w:szCs w:val="22"/>
        </w:rPr>
        <w:t>55.</w:t>
      </w:r>
      <w:r w:rsidRPr="00853C76">
        <w:rPr>
          <w:snapToGrid w:val="0"/>
          <w:kern w:val="22"/>
          <w:szCs w:val="22"/>
        </w:rPr>
        <w:tab/>
        <w:t>Effective implementation of the programme of work on public awareness, education and participation concerning the safe transfer, handling and use of living modified organisms, in the context of relevant project activities and within its mandate</w:t>
      </w:r>
      <w:r>
        <w:rPr>
          <w:snapToGrid w:val="0"/>
          <w:kern w:val="22"/>
          <w:szCs w:val="22"/>
        </w:rPr>
        <w:t>.</w:t>
      </w:r>
      <w:r w:rsidRPr="00610646">
        <w:rPr>
          <w:rStyle w:val="FootnoteReference"/>
          <w:rFonts w:eastAsiaTheme="majorEastAsia"/>
        </w:rPr>
        <w:footnoteReference w:id="225"/>
      </w:r>
    </w:p>
    <w:p w14:paraId="76C85020" w14:textId="77777777" w:rsidR="00DA0273" w:rsidRPr="00853C76" w:rsidRDefault="00DA0273" w:rsidP="00FB5720">
      <w:pPr>
        <w:keepNext/>
        <w:spacing w:before="120" w:after="120"/>
        <w:rPr>
          <w:b/>
          <w:bCs/>
          <w:iCs/>
          <w:snapToGrid w:val="0"/>
          <w:szCs w:val="22"/>
        </w:rPr>
      </w:pPr>
      <w:r w:rsidRPr="00853C76">
        <w:rPr>
          <w:b/>
          <w:bCs/>
          <w:iCs/>
          <w:snapToGrid w:val="0"/>
          <w:szCs w:val="22"/>
        </w:rPr>
        <w:t>Clearing-house</w:t>
      </w:r>
    </w:p>
    <w:p w14:paraId="7DB6CB90" w14:textId="77777777" w:rsidR="00DA0273" w:rsidRPr="00853C76" w:rsidRDefault="00DA0273" w:rsidP="00FB5720">
      <w:pPr>
        <w:spacing w:after="120"/>
        <w:rPr>
          <w:snapToGrid w:val="0"/>
          <w:kern w:val="22"/>
          <w:szCs w:val="22"/>
        </w:rPr>
      </w:pPr>
      <w:r w:rsidRPr="00853C76">
        <w:rPr>
          <w:snapToGrid w:val="0"/>
          <w:kern w:val="22"/>
          <w:szCs w:val="22"/>
        </w:rPr>
        <w:t>56.</w:t>
      </w:r>
      <w:r w:rsidRPr="00853C76">
        <w:rPr>
          <w:snapToGrid w:val="0"/>
          <w:kern w:val="22"/>
          <w:szCs w:val="22"/>
        </w:rPr>
        <w:tab/>
        <w:t>Public participation and information sharing, and use of the Biosafety Clearing-House</w:t>
      </w:r>
      <w:r>
        <w:rPr>
          <w:snapToGrid w:val="0"/>
          <w:kern w:val="22"/>
          <w:szCs w:val="22"/>
        </w:rPr>
        <w:t>.</w:t>
      </w:r>
      <w:r w:rsidRPr="00610646">
        <w:rPr>
          <w:rStyle w:val="FootnoteReference"/>
        </w:rPr>
        <w:footnoteReference w:id="226"/>
      </w:r>
    </w:p>
    <w:p w14:paraId="68AC61E6" w14:textId="77777777" w:rsidR="00DA0273" w:rsidRPr="00853C76" w:rsidRDefault="00DA0273" w:rsidP="00FB5720">
      <w:pPr>
        <w:keepNext/>
        <w:spacing w:before="120" w:after="120"/>
        <w:rPr>
          <w:b/>
          <w:bCs/>
          <w:iCs/>
          <w:snapToGrid w:val="0"/>
          <w:szCs w:val="22"/>
        </w:rPr>
      </w:pPr>
      <w:r w:rsidRPr="00853C76">
        <w:rPr>
          <w:b/>
          <w:bCs/>
          <w:iCs/>
          <w:snapToGrid w:val="0"/>
          <w:szCs w:val="22"/>
        </w:rPr>
        <w:t>Capacity-building</w:t>
      </w:r>
    </w:p>
    <w:p w14:paraId="3834A7DF" w14:textId="77777777" w:rsidR="00DA0273" w:rsidRPr="00853C76" w:rsidRDefault="00DA0273" w:rsidP="00FB5720">
      <w:pPr>
        <w:autoSpaceDE w:val="0"/>
        <w:autoSpaceDN w:val="0"/>
        <w:spacing w:before="120" w:after="120"/>
        <w:rPr>
          <w:snapToGrid w:val="0"/>
          <w:kern w:val="22"/>
          <w:szCs w:val="22"/>
        </w:rPr>
      </w:pPr>
      <w:r w:rsidRPr="00853C76">
        <w:rPr>
          <w:iCs/>
          <w:snapToGrid w:val="0"/>
          <w:kern w:val="22"/>
          <w:szCs w:val="22"/>
        </w:rPr>
        <w:t>57.</w:t>
      </w:r>
      <w:r w:rsidRPr="00853C76">
        <w:rPr>
          <w:iCs/>
          <w:snapToGrid w:val="0"/>
          <w:kern w:val="22"/>
          <w:szCs w:val="22"/>
        </w:rPr>
        <w:tab/>
        <w:t>F</w:t>
      </w:r>
      <w:r w:rsidRPr="00853C76">
        <w:rPr>
          <w:snapToGrid w:val="0"/>
          <w:kern w:val="22"/>
          <w:szCs w:val="22"/>
        </w:rPr>
        <w:t>urther implementation of the Framework and Action Plan for Capacity-Building</w:t>
      </w:r>
      <w:r>
        <w:rPr>
          <w:snapToGrid w:val="0"/>
          <w:kern w:val="22"/>
          <w:szCs w:val="22"/>
        </w:rPr>
        <w:t>.</w:t>
      </w:r>
      <w:r w:rsidRPr="00610646">
        <w:rPr>
          <w:rStyle w:val="FootnoteReference"/>
          <w:rFonts w:eastAsiaTheme="majorEastAsia"/>
        </w:rPr>
        <w:footnoteReference w:id="227"/>
      </w:r>
    </w:p>
    <w:p w14:paraId="5718DE64" w14:textId="77777777" w:rsidR="00DA0273" w:rsidRPr="00853C76" w:rsidRDefault="00DA0273" w:rsidP="00FB5720">
      <w:pPr>
        <w:keepNext/>
        <w:spacing w:before="120" w:after="120"/>
        <w:rPr>
          <w:b/>
          <w:bCs/>
          <w:iCs/>
          <w:snapToGrid w:val="0"/>
          <w:szCs w:val="22"/>
        </w:rPr>
      </w:pPr>
      <w:r w:rsidRPr="00853C76">
        <w:rPr>
          <w:b/>
          <w:bCs/>
          <w:iCs/>
          <w:snapToGrid w:val="0"/>
          <w:szCs w:val="22"/>
        </w:rPr>
        <w:t>Reporting</w:t>
      </w:r>
    </w:p>
    <w:p w14:paraId="70188DFF" w14:textId="77777777" w:rsidR="00DA0273" w:rsidRPr="00853C76" w:rsidRDefault="00DA0273" w:rsidP="00FB5720">
      <w:pPr>
        <w:spacing w:after="120"/>
        <w:rPr>
          <w:snapToGrid w:val="0"/>
          <w:kern w:val="22"/>
          <w:szCs w:val="22"/>
        </w:rPr>
      </w:pPr>
      <w:r w:rsidRPr="00853C76">
        <w:rPr>
          <w:snapToGrid w:val="0"/>
          <w:kern w:val="22"/>
          <w:szCs w:val="22"/>
        </w:rPr>
        <w:t>58.</w:t>
      </w:r>
      <w:r w:rsidRPr="00853C76">
        <w:rPr>
          <w:snapToGrid w:val="0"/>
          <w:kern w:val="22"/>
          <w:szCs w:val="22"/>
        </w:rPr>
        <w:tab/>
        <w:t>National reports under the Cartagena Protocol on Biosafety.</w:t>
      </w:r>
      <w:r w:rsidRPr="00610646">
        <w:rPr>
          <w:rStyle w:val="FootnoteReference"/>
        </w:rPr>
        <w:footnoteReference w:id="228"/>
      </w:r>
    </w:p>
    <w:p w14:paraId="790C7083" w14:textId="77777777" w:rsidR="00DA0273" w:rsidRPr="00853C76" w:rsidRDefault="00DA0273" w:rsidP="00FB5720">
      <w:pPr>
        <w:keepNext/>
        <w:spacing w:before="120" w:after="120"/>
        <w:rPr>
          <w:b/>
          <w:bCs/>
          <w:iCs/>
          <w:snapToGrid w:val="0"/>
          <w:szCs w:val="22"/>
        </w:rPr>
      </w:pPr>
      <w:r w:rsidRPr="00853C76">
        <w:rPr>
          <w:b/>
          <w:bCs/>
          <w:iCs/>
          <w:snapToGrid w:val="0"/>
          <w:szCs w:val="22"/>
        </w:rPr>
        <w:t>Compliance</w:t>
      </w:r>
    </w:p>
    <w:p w14:paraId="6D453B9C" w14:textId="77777777" w:rsidR="00DA0273" w:rsidRPr="00853C76" w:rsidRDefault="00DA0273" w:rsidP="00FB5720">
      <w:pPr>
        <w:suppressLineNumbers/>
        <w:suppressAutoHyphens/>
        <w:kinsoku w:val="0"/>
        <w:overflowPunct w:val="0"/>
        <w:autoSpaceDE w:val="0"/>
        <w:autoSpaceDN w:val="0"/>
        <w:adjustRightInd w:val="0"/>
        <w:snapToGrid w:val="0"/>
        <w:spacing w:before="120" w:after="120"/>
        <w:rPr>
          <w:snapToGrid w:val="0"/>
          <w:kern w:val="22"/>
          <w:szCs w:val="22"/>
        </w:rPr>
      </w:pPr>
      <w:r w:rsidRPr="00853C76">
        <w:rPr>
          <w:snapToGrid w:val="0"/>
          <w:kern w:val="22"/>
          <w:szCs w:val="22"/>
        </w:rPr>
        <w:t>59.</w:t>
      </w:r>
      <w:r w:rsidRPr="00853C76">
        <w:rPr>
          <w:snapToGrid w:val="0"/>
          <w:kern w:val="22"/>
          <w:szCs w:val="22"/>
        </w:rPr>
        <w:tab/>
        <w:t>Implementing compliance action plans regarding the achievement of compliance with the Protocol</w:t>
      </w:r>
      <w:r w:rsidRPr="00853C76">
        <w:rPr>
          <w:rFonts w:eastAsiaTheme="majorEastAsia"/>
          <w:iCs/>
          <w:snapToGrid w:val="0"/>
          <w:spacing w:val="-4"/>
          <w:kern w:val="22"/>
          <w:szCs w:val="22"/>
        </w:rPr>
        <w:t>.</w:t>
      </w:r>
      <w:r w:rsidRPr="00610646">
        <w:rPr>
          <w:rStyle w:val="FootnoteReference"/>
          <w:rFonts w:eastAsiaTheme="majorEastAsia"/>
        </w:rPr>
        <w:footnoteReference w:id="229"/>
      </w:r>
    </w:p>
    <w:p w14:paraId="140CD0C7" w14:textId="77777777" w:rsidR="00DA0273" w:rsidRPr="00853C76" w:rsidRDefault="00DA0273" w:rsidP="00FB5720">
      <w:pPr>
        <w:keepNext/>
        <w:spacing w:before="120" w:after="120"/>
        <w:rPr>
          <w:b/>
          <w:bCs/>
          <w:iCs/>
          <w:snapToGrid w:val="0"/>
          <w:szCs w:val="22"/>
        </w:rPr>
      </w:pPr>
      <w:r w:rsidRPr="00853C76">
        <w:rPr>
          <w:b/>
          <w:bCs/>
          <w:iCs/>
          <w:snapToGrid w:val="0"/>
          <w:szCs w:val="22"/>
        </w:rPr>
        <w:t>Regional cooperation</w:t>
      </w:r>
    </w:p>
    <w:p w14:paraId="4AB21492" w14:textId="77777777" w:rsidR="00DA0273" w:rsidRPr="00853C76" w:rsidRDefault="00DA0273" w:rsidP="00FB5720">
      <w:pPr>
        <w:autoSpaceDE w:val="0"/>
        <w:autoSpaceDN w:val="0"/>
        <w:spacing w:before="120" w:after="120"/>
        <w:rPr>
          <w:snapToGrid w:val="0"/>
          <w:color w:val="000000"/>
          <w:kern w:val="22"/>
          <w:szCs w:val="22"/>
        </w:rPr>
      </w:pPr>
      <w:r w:rsidRPr="00853C76">
        <w:rPr>
          <w:iCs/>
          <w:snapToGrid w:val="0"/>
          <w:kern w:val="22"/>
          <w:szCs w:val="22"/>
        </w:rPr>
        <w:t xml:space="preserve">60. </w:t>
      </w:r>
      <w:r w:rsidRPr="00853C76">
        <w:rPr>
          <w:i/>
          <w:snapToGrid w:val="0"/>
          <w:kern w:val="22"/>
          <w:szCs w:val="22"/>
        </w:rPr>
        <w:tab/>
      </w:r>
      <w:r w:rsidRPr="00853C76">
        <w:rPr>
          <w:iCs/>
          <w:snapToGrid w:val="0"/>
          <w:kern w:val="22"/>
          <w:szCs w:val="22"/>
        </w:rPr>
        <w:t>P</w:t>
      </w:r>
      <w:r w:rsidRPr="00853C76">
        <w:rPr>
          <w:snapToGrid w:val="0"/>
          <w:color w:val="000000"/>
          <w:kern w:val="22"/>
          <w:szCs w:val="22"/>
        </w:rPr>
        <w:t>rojects and capacity-building activities on issues identified by the Parties to facilitate further implementation of the Cartagena Protocol on Biosafety, including regional cooperation projects, such as those using regional and subregional networks</w:t>
      </w:r>
      <w:r w:rsidRPr="00853C76">
        <w:rPr>
          <w:snapToGrid w:val="0"/>
          <w:kern w:val="22"/>
          <w:szCs w:val="22"/>
        </w:rPr>
        <w:t xml:space="preserve"> to build capacity for the detection of living modified organisms</w:t>
      </w:r>
      <w:r w:rsidRPr="00853C76">
        <w:rPr>
          <w:snapToGrid w:val="0"/>
          <w:color w:val="000000"/>
          <w:kern w:val="22"/>
          <w:szCs w:val="22"/>
        </w:rPr>
        <w:t>, with a view to</w:t>
      </w:r>
      <w:r w:rsidRPr="00853C76">
        <w:rPr>
          <w:snapToGrid w:val="0"/>
          <w:kern w:val="22"/>
          <w:szCs w:val="22"/>
        </w:rPr>
        <w:t xml:space="preserve"> facilitating the sharing of experiences and lessons learned, and harnessing associated synergies.</w:t>
      </w:r>
      <w:r w:rsidRPr="00610646">
        <w:rPr>
          <w:rStyle w:val="FootnoteReference"/>
          <w:rFonts w:eastAsiaTheme="majorEastAsia"/>
        </w:rPr>
        <w:footnoteReference w:id="230"/>
      </w:r>
    </w:p>
    <w:p w14:paraId="2CCBFA4F"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20. Financial resources</w:t>
      </w:r>
    </w:p>
    <w:p w14:paraId="284E774D" w14:textId="77777777" w:rsidR="00DA0273" w:rsidRPr="00853C76" w:rsidRDefault="00DA0273" w:rsidP="00FB5720">
      <w:pPr>
        <w:spacing w:after="120"/>
        <w:rPr>
          <w:snapToGrid w:val="0"/>
          <w:kern w:val="22"/>
          <w:szCs w:val="22"/>
        </w:rPr>
      </w:pPr>
      <w:r w:rsidRPr="00853C76">
        <w:rPr>
          <w:snapToGrid w:val="0"/>
          <w:kern w:val="22"/>
          <w:szCs w:val="22"/>
        </w:rPr>
        <w:t>61.</w:t>
      </w:r>
      <w:r w:rsidRPr="00853C76">
        <w:rPr>
          <w:snapToGrid w:val="0"/>
          <w:kern w:val="22"/>
          <w:szCs w:val="22"/>
        </w:rPr>
        <w:tab/>
        <w:t>Development and implementation of country-specific resource mobilization strategies.</w:t>
      </w:r>
      <w:r w:rsidRPr="00610646">
        <w:rPr>
          <w:rStyle w:val="FootnoteReference"/>
        </w:rPr>
        <w:footnoteReference w:id="231"/>
      </w:r>
    </w:p>
    <w:p w14:paraId="65438D34"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21. Financial mechanism</w:t>
      </w:r>
    </w:p>
    <w:p w14:paraId="6B8CE1A0" w14:textId="77777777" w:rsidR="00DA0273" w:rsidRPr="00853C76" w:rsidRDefault="00DA0273" w:rsidP="00FB5720">
      <w:pPr>
        <w:keepNext/>
        <w:spacing w:before="120" w:after="120"/>
        <w:rPr>
          <w:b/>
          <w:bCs/>
          <w:iCs/>
          <w:snapToGrid w:val="0"/>
          <w:szCs w:val="22"/>
        </w:rPr>
      </w:pPr>
      <w:r w:rsidRPr="00853C76">
        <w:rPr>
          <w:b/>
          <w:bCs/>
          <w:iCs/>
          <w:snapToGrid w:val="0"/>
          <w:szCs w:val="22"/>
        </w:rPr>
        <w:t>Access modalities</w:t>
      </w:r>
    </w:p>
    <w:p w14:paraId="16B899E2" w14:textId="77777777" w:rsidR="00DA0273" w:rsidRPr="00853C76" w:rsidRDefault="00DA0273" w:rsidP="00FB5720">
      <w:pPr>
        <w:spacing w:before="120" w:after="120"/>
        <w:rPr>
          <w:snapToGrid w:val="0"/>
          <w:kern w:val="22"/>
          <w:szCs w:val="22"/>
        </w:rPr>
      </w:pPr>
      <w:r w:rsidRPr="00853C76">
        <w:rPr>
          <w:snapToGrid w:val="0"/>
          <w:kern w:val="22"/>
          <w:szCs w:val="22"/>
        </w:rPr>
        <w:t>62.</w:t>
      </w:r>
      <w:r w:rsidRPr="00853C76">
        <w:rPr>
          <w:snapToGrid w:val="0"/>
          <w:kern w:val="22"/>
          <w:szCs w:val="22"/>
        </w:rPr>
        <w:tab/>
        <w:t>To consider improving its access modalities, including enabling the participation of a number of additional national agencies from developing countries, based on its own experiences, including the conclusions of this assessment, and taking into account the experience of other international financial instruments with relevant access modalities</w:t>
      </w:r>
      <w:r>
        <w:rPr>
          <w:snapToGrid w:val="0"/>
          <w:kern w:val="22"/>
          <w:szCs w:val="22"/>
        </w:rPr>
        <w:t>.</w:t>
      </w:r>
      <w:r w:rsidRPr="00610646">
        <w:rPr>
          <w:rStyle w:val="FootnoteReference"/>
          <w:rFonts w:eastAsiaTheme="majorEastAsia"/>
        </w:rPr>
        <w:footnoteReference w:id="232"/>
      </w:r>
    </w:p>
    <w:p w14:paraId="42F4362A" w14:textId="77777777" w:rsidR="00DA0273" w:rsidRPr="00853C76" w:rsidRDefault="00DA0273" w:rsidP="00FB5720">
      <w:pPr>
        <w:keepNext/>
        <w:spacing w:before="120" w:after="120"/>
        <w:rPr>
          <w:b/>
          <w:bCs/>
          <w:iCs/>
          <w:snapToGrid w:val="0"/>
          <w:szCs w:val="22"/>
        </w:rPr>
      </w:pPr>
      <w:r w:rsidRPr="00853C76">
        <w:rPr>
          <w:b/>
          <w:bCs/>
          <w:iCs/>
          <w:snapToGrid w:val="0"/>
          <w:szCs w:val="22"/>
        </w:rPr>
        <w:t>Gender</w:t>
      </w:r>
    </w:p>
    <w:p w14:paraId="2DCEB28A" w14:textId="77777777" w:rsidR="00DA0273" w:rsidRPr="00853C76" w:rsidRDefault="00DA0273" w:rsidP="00FB5720">
      <w:pPr>
        <w:spacing w:before="120" w:after="120"/>
        <w:rPr>
          <w:snapToGrid w:val="0"/>
          <w:szCs w:val="22"/>
        </w:rPr>
      </w:pPr>
      <w:r w:rsidRPr="00853C76">
        <w:rPr>
          <w:snapToGrid w:val="0"/>
          <w:kern w:val="22"/>
          <w:szCs w:val="22"/>
        </w:rPr>
        <w:t>63.</w:t>
      </w:r>
      <w:r w:rsidRPr="00853C76">
        <w:rPr>
          <w:snapToGrid w:val="0"/>
          <w:kern w:val="22"/>
          <w:szCs w:val="22"/>
        </w:rPr>
        <w:tab/>
        <w:t>To include gender in the financing of biodiversity and ecosystem services</w:t>
      </w:r>
      <w:r>
        <w:rPr>
          <w:snapToGrid w:val="0"/>
          <w:szCs w:val="22"/>
        </w:rPr>
        <w:t>.</w:t>
      </w:r>
      <w:r w:rsidRPr="00610646">
        <w:rPr>
          <w:rStyle w:val="FootnoteReference"/>
        </w:rPr>
        <w:footnoteReference w:id="233"/>
      </w:r>
    </w:p>
    <w:p w14:paraId="6DA42455" w14:textId="77777777" w:rsidR="00DA0273" w:rsidRPr="00853C76" w:rsidRDefault="00DA0273" w:rsidP="00FB5720">
      <w:pPr>
        <w:keepNext/>
        <w:spacing w:before="120" w:after="120"/>
        <w:rPr>
          <w:b/>
          <w:bCs/>
          <w:iCs/>
          <w:snapToGrid w:val="0"/>
          <w:szCs w:val="22"/>
        </w:rPr>
      </w:pPr>
      <w:bookmarkStart w:id="215" w:name="_Toc259455708"/>
      <w:bookmarkStart w:id="216" w:name="_Toc260384358"/>
      <w:bookmarkStart w:id="217" w:name="_Toc263089348"/>
      <w:r w:rsidRPr="00853C76">
        <w:rPr>
          <w:b/>
          <w:bCs/>
          <w:iCs/>
          <w:snapToGrid w:val="0"/>
          <w:szCs w:val="22"/>
        </w:rPr>
        <w:t>Project procedures</w:t>
      </w:r>
      <w:bookmarkEnd w:id="215"/>
      <w:bookmarkEnd w:id="216"/>
      <w:bookmarkEnd w:id="217"/>
    </w:p>
    <w:p w14:paraId="4D12C6AA" w14:textId="77777777" w:rsidR="00DA0273" w:rsidRPr="00853C76" w:rsidRDefault="00DA0273" w:rsidP="00FB5720">
      <w:pPr>
        <w:spacing w:before="120" w:after="120"/>
        <w:rPr>
          <w:snapToGrid w:val="0"/>
          <w:kern w:val="22"/>
          <w:szCs w:val="22"/>
        </w:rPr>
      </w:pPr>
      <w:r w:rsidRPr="00853C76">
        <w:rPr>
          <w:snapToGrid w:val="0"/>
          <w:kern w:val="22"/>
          <w:szCs w:val="22"/>
        </w:rPr>
        <w:t>64.</w:t>
      </w:r>
      <w:r w:rsidRPr="00853C76">
        <w:rPr>
          <w:snapToGrid w:val="0"/>
          <w:kern w:val="22"/>
          <w:szCs w:val="22"/>
        </w:rPr>
        <w:tab/>
        <w:t>To further streamline its project cycle with a view to making project preparation simpler, more transparent and more country-driven</w:t>
      </w:r>
      <w:r>
        <w:rPr>
          <w:snapToGrid w:val="0"/>
          <w:kern w:val="22"/>
          <w:szCs w:val="22"/>
        </w:rPr>
        <w:t>.</w:t>
      </w:r>
      <w:r w:rsidRPr="00610646">
        <w:rPr>
          <w:rStyle w:val="FootnoteReference"/>
        </w:rPr>
        <w:footnoteReference w:id="234"/>
      </w:r>
    </w:p>
    <w:p w14:paraId="645C5646" w14:textId="77777777" w:rsidR="00DA0273" w:rsidRPr="00853C76" w:rsidRDefault="00DA0273" w:rsidP="00FB5720">
      <w:pPr>
        <w:spacing w:before="120" w:after="120"/>
        <w:rPr>
          <w:snapToGrid w:val="0"/>
          <w:kern w:val="22"/>
          <w:szCs w:val="22"/>
        </w:rPr>
      </w:pPr>
      <w:r w:rsidRPr="00853C76">
        <w:rPr>
          <w:snapToGrid w:val="0"/>
          <w:kern w:val="22"/>
          <w:szCs w:val="22"/>
        </w:rPr>
        <w:t>65.</w:t>
      </w:r>
      <w:r w:rsidRPr="00853C76">
        <w:rPr>
          <w:snapToGrid w:val="0"/>
          <w:kern w:val="22"/>
          <w:szCs w:val="22"/>
        </w:rPr>
        <w:tab/>
        <w:t>To further simplify and expedite procedures for approval and implementation, including disbursement, for GEF-funded projects, based on a flexible and national demand driven approach, and avoid additional and lengthy processes</w:t>
      </w:r>
      <w:r>
        <w:rPr>
          <w:snapToGrid w:val="0"/>
          <w:kern w:val="22"/>
          <w:szCs w:val="22"/>
        </w:rPr>
        <w:t>.</w:t>
      </w:r>
      <w:r w:rsidRPr="00610646">
        <w:rPr>
          <w:rStyle w:val="FootnoteReference"/>
        </w:rPr>
        <w:footnoteReference w:id="235"/>
      </w:r>
    </w:p>
    <w:p w14:paraId="4566B88F" w14:textId="77777777" w:rsidR="00DA0273" w:rsidRPr="00853C76" w:rsidRDefault="00DA0273" w:rsidP="00FB5720">
      <w:pPr>
        <w:spacing w:before="120" w:after="120"/>
        <w:rPr>
          <w:snapToGrid w:val="0"/>
          <w:kern w:val="22"/>
          <w:szCs w:val="22"/>
        </w:rPr>
      </w:pPr>
      <w:r w:rsidRPr="00853C76">
        <w:rPr>
          <w:snapToGrid w:val="0"/>
          <w:kern w:val="22"/>
          <w:szCs w:val="22"/>
        </w:rPr>
        <w:t>66.</w:t>
      </w:r>
      <w:r w:rsidRPr="00853C76">
        <w:rPr>
          <w:snapToGrid w:val="0"/>
          <w:kern w:val="22"/>
          <w:szCs w:val="22"/>
        </w:rPr>
        <w:tab/>
        <w:t>To develop policies and procedures that fully comply with the guidance from the Conference of the Parties in a straightforward and timely manner</w:t>
      </w:r>
      <w:r>
        <w:rPr>
          <w:snapToGrid w:val="0"/>
          <w:kern w:val="22"/>
          <w:szCs w:val="22"/>
        </w:rPr>
        <w:t>.</w:t>
      </w:r>
      <w:r w:rsidRPr="00610646">
        <w:rPr>
          <w:rStyle w:val="FootnoteReference"/>
        </w:rPr>
        <w:footnoteReference w:id="236"/>
      </w:r>
    </w:p>
    <w:p w14:paraId="10C32CD4" w14:textId="77777777" w:rsidR="00DA0273" w:rsidRPr="00853C76" w:rsidRDefault="00DA0273" w:rsidP="00FB5720">
      <w:pPr>
        <w:spacing w:before="120" w:after="120"/>
        <w:rPr>
          <w:snapToGrid w:val="0"/>
          <w:kern w:val="22"/>
          <w:szCs w:val="22"/>
        </w:rPr>
      </w:pPr>
      <w:r w:rsidRPr="00853C76">
        <w:rPr>
          <w:snapToGrid w:val="0"/>
          <w:kern w:val="22"/>
          <w:szCs w:val="22"/>
        </w:rPr>
        <w:t>67.</w:t>
      </w:r>
      <w:r w:rsidRPr="00853C76">
        <w:rPr>
          <w:snapToGrid w:val="0"/>
          <w:kern w:val="22"/>
          <w:szCs w:val="22"/>
        </w:rPr>
        <w:tab/>
        <w:t>To increase its flexibility to respond to the thematic longer-term programme of work of the Convention</w:t>
      </w:r>
      <w:r>
        <w:rPr>
          <w:snapToGrid w:val="0"/>
          <w:kern w:val="22"/>
          <w:szCs w:val="22"/>
        </w:rPr>
        <w:t xml:space="preserve"> </w:t>
      </w:r>
      <w:r w:rsidRPr="00853C76">
        <w:rPr>
          <w:snapToGrid w:val="0"/>
          <w:kern w:val="22"/>
          <w:szCs w:val="22"/>
        </w:rPr>
        <w:t>on Biological Diversity, in accordance with the guidance of the Conference of the Parties</w:t>
      </w:r>
      <w:r>
        <w:rPr>
          <w:snapToGrid w:val="0"/>
          <w:kern w:val="22"/>
          <w:szCs w:val="22"/>
        </w:rPr>
        <w:t>.</w:t>
      </w:r>
      <w:r w:rsidRPr="00610646">
        <w:rPr>
          <w:rStyle w:val="FootnoteReference"/>
        </w:rPr>
        <w:footnoteReference w:id="237"/>
      </w:r>
    </w:p>
    <w:p w14:paraId="2A9B838E" w14:textId="77777777" w:rsidR="00DA0273" w:rsidRPr="00853C76" w:rsidRDefault="00DA0273" w:rsidP="00FB5720">
      <w:pPr>
        <w:spacing w:before="120" w:after="120"/>
        <w:rPr>
          <w:snapToGrid w:val="0"/>
          <w:kern w:val="22"/>
          <w:szCs w:val="22"/>
        </w:rPr>
      </w:pPr>
      <w:r w:rsidRPr="00853C76">
        <w:rPr>
          <w:snapToGrid w:val="0"/>
          <w:kern w:val="22"/>
          <w:szCs w:val="22"/>
        </w:rPr>
        <w:t>68.</w:t>
      </w:r>
      <w:r w:rsidRPr="00853C76">
        <w:rPr>
          <w:snapToGrid w:val="0"/>
          <w:kern w:val="22"/>
          <w:szCs w:val="22"/>
        </w:rPr>
        <w:tab/>
        <w:t>To improve project information system, including through data sets and web-based data tools, to increase the accessibility of project information and allow for better tracking against the guidance from the Conference of the Parties</w:t>
      </w:r>
      <w:r>
        <w:rPr>
          <w:snapToGrid w:val="0"/>
          <w:kern w:val="22"/>
          <w:szCs w:val="22"/>
        </w:rPr>
        <w:t>.</w:t>
      </w:r>
      <w:r w:rsidRPr="00610646">
        <w:rPr>
          <w:rStyle w:val="FootnoteReference"/>
        </w:rPr>
        <w:footnoteReference w:id="238"/>
      </w:r>
    </w:p>
    <w:p w14:paraId="2B129D74" w14:textId="77777777" w:rsidR="00DA0273" w:rsidRPr="00853C76" w:rsidRDefault="00DA0273" w:rsidP="00FB5720">
      <w:pPr>
        <w:spacing w:before="120" w:after="120"/>
        <w:rPr>
          <w:snapToGrid w:val="0"/>
          <w:kern w:val="22"/>
          <w:szCs w:val="22"/>
        </w:rPr>
      </w:pPr>
      <w:r w:rsidRPr="00853C76">
        <w:rPr>
          <w:snapToGrid w:val="0"/>
          <w:kern w:val="22"/>
          <w:szCs w:val="22"/>
        </w:rPr>
        <w:t>69.</w:t>
      </w:r>
      <w:r w:rsidRPr="00853C76">
        <w:rPr>
          <w:snapToGrid w:val="0"/>
          <w:kern w:val="22"/>
          <w:szCs w:val="22"/>
        </w:rPr>
        <w:tab/>
        <w:t>To consider the benefits to Parties, particularly small island developing States, of an appropriate balance between national and regional projects in the implementation of decisions of the Conference of the Parties</w:t>
      </w:r>
      <w:r>
        <w:rPr>
          <w:snapToGrid w:val="0"/>
          <w:kern w:val="22"/>
          <w:szCs w:val="22"/>
        </w:rPr>
        <w:t>.</w:t>
      </w:r>
      <w:r w:rsidRPr="00610646">
        <w:rPr>
          <w:rStyle w:val="FootnoteReference"/>
        </w:rPr>
        <w:footnoteReference w:id="239"/>
      </w:r>
    </w:p>
    <w:p w14:paraId="042F2DD5" w14:textId="77777777" w:rsidR="00DA0273" w:rsidRPr="00853C76" w:rsidRDefault="00DA0273" w:rsidP="00FB5720">
      <w:pPr>
        <w:keepNext/>
        <w:spacing w:before="120" w:after="120"/>
        <w:rPr>
          <w:b/>
          <w:bCs/>
          <w:iCs/>
          <w:snapToGrid w:val="0"/>
          <w:szCs w:val="22"/>
        </w:rPr>
      </w:pPr>
      <w:bookmarkStart w:id="218" w:name="_Toc257060647"/>
      <w:bookmarkStart w:id="219" w:name="_Toc259455710"/>
      <w:bookmarkStart w:id="220" w:name="_Toc260384360"/>
      <w:bookmarkStart w:id="221" w:name="_Toc263089350"/>
      <w:r w:rsidRPr="00853C76">
        <w:rPr>
          <w:b/>
          <w:bCs/>
          <w:iCs/>
          <w:snapToGrid w:val="0"/>
          <w:szCs w:val="22"/>
        </w:rPr>
        <w:t>Catalytic role and co-financing</w:t>
      </w:r>
      <w:bookmarkEnd w:id="218"/>
      <w:bookmarkEnd w:id="219"/>
      <w:bookmarkEnd w:id="220"/>
      <w:bookmarkEnd w:id="221"/>
    </w:p>
    <w:p w14:paraId="20FDEAD2" w14:textId="77777777" w:rsidR="00DA0273" w:rsidRPr="00853C76" w:rsidRDefault="00DA0273" w:rsidP="00FB5720">
      <w:pPr>
        <w:spacing w:before="120" w:after="120"/>
        <w:rPr>
          <w:snapToGrid w:val="0"/>
          <w:kern w:val="22"/>
          <w:szCs w:val="22"/>
        </w:rPr>
      </w:pPr>
      <w:r w:rsidRPr="00853C76">
        <w:rPr>
          <w:snapToGrid w:val="0"/>
          <w:kern w:val="22"/>
          <w:szCs w:val="22"/>
        </w:rPr>
        <w:t>70.</w:t>
      </w:r>
      <w:r w:rsidRPr="00853C76">
        <w:rPr>
          <w:snapToGrid w:val="0"/>
          <w:kern w:val="22"/>
          <w:szCs w:val="22"/>
        </w:rPr>
        <w:tab/>
        <w:t>To mobilize co-financing and other modes of financing for its projects related to implementation of the Convention, and apply co-financing arrangements in ways that do not create unnecessary barriers and costs for recipient Parties to access GEF funds</w:t>
      </w:r>
      <w:r w:rsidRPr="000E778E">
        <w:rPr>
          <w:snapToGrid w:val="0"/>
          <w:szCs w:val="22"/>
        </w:rPr>
        <w:t>.</w:t>
      </w:r>
      <w:r w:rsidRPr="00610646">
        <w:rPr>
          <w:rStyle w:val="FootnoteReference"/>
        </w:rPr>
        <w:footnoteReference w:id="240"/>
      </w:r>
    </w:p>
    <w:p w14:paraId="482634BC" w14:textId="77777777" w:rsidR="00DA0273" w:rsidRPr="00853C76" w:rsidRDefault="00DA0273" w:rsidP="00FB5720">
      <w:pPr>
        <w:spacing w:before="120" w:after="120"/>
        <w:rPr>
          <w:snapToGrid w:val="0"/>
          <w:szCs w:val="22"/>
          <w:vertAlign w:val="superscript"/>
        </w:rPr>
      </w:pPr>
      <w:r w:rsidRPr="00853C76">
        <w:rPr>
          <w:snapToGrid w:val="0"/>
          <w:kern w:val="22"/>
          <w:szCs w:val="22"/>
        </w:rPr>
        <w:t>71.</w:t>
      </w:r>
      <w:r w:rsidRPr="00853C76">
        <w:rPr>
          <w:snapToGrid w:val="0"/>
          <w:kern w:val="22"/>
          <w:szCs w:val="22"/>
        </w:rPr>
        <w:tab/>
        <w:t>To support diffusion, and facilitate replication and scaling-up, of new and innovative financing mechanism initiatives that have proved to be successful</w:t>
      </w:r>
      <w:r>
        <w:rPr>
          <w:snapToGrid w:val="0"/>
          <w:kern w:val="22"/>
          <w:szCs w:val="22"/>
        </w:rPr>
        <w:t>.</w:t>
      </w:r>
      <w:r w:rsidRPr="00610646">
        <w:rPr>
          <w:rStyle w:val="FootnoteReference"/>
        </w:rPr>
        <w:footnoteReference w:id="241"/>
      </w:r>
    </w:p>
    <w:p w14:paraId="7CC1DDD8" w14:textId="77777777" w:rsidR="00DA0273" w:rsidRPr="00853C76" w:rsidRDefault="00DA0273" w:rsidP="00FB5720">
      <w:pPr>
        <w:spacing w:before="120" w:after="120"/>
        <w:rPr>
          <w:snapToGrid w:val="0"/>
          <w:color w:val="222222"/>
          <w:kern w:val="22"/>
          <w:szCs w:val="22"/>
        </w:rPr>
      </w:pPr>
      <w:r w:rsidRPr="00853C76">
        <w:rPr>
          <w:snapToGrid w:val="0"/>
          <w:color w:val="222222"/>
          <w:kern w:val="22"/>
          <w:szCs w:val="22"/>
        </w:rPr>
        <w:t>72.</w:t>
      </w:r>
      <w:r w:rsidRPr="00853C76">
        <w:rPr>
          <w:snapToGrid w:val="0"/>
          <w:color w:val="222222"/>
          <w:kern w:val="22"/>
          <w:szCs w:val="22"/>
        </w:rPr>
        <w:tab/>
        <w:t>T</w:t>
      </w:r>
      <w:r w:rsidRPr="00853C76">
        <w:rPr>
          <w:snapToGrid w:val="0"/>
          <w:kern w:val="22"/>
          <w:szCs w:val="22"/>
        </w:rPr>
        <w:t>o</w:t>
      </w:r>
      <w:r w:rsidRPr="00853C76">
        <w:rPr>
          <w:snapToGrid w:val="0"/>
          <w:color w:val="222222"/>
          <w:kern w:val="22"/>
          <w:szCs w:val="22"/>
        </w:rPr>
        <w:t xml:space="preserve"> consider joint financing, in partnership with other international financial instruments, of projects designed to achieve the objectives of more than one Rio convention</w:t>
      </w:r>
      <w:r>
        <w:rPr>
          <w:snapToGrid w:val="0"/>
          <w:color w:val="222222"/>
          <w:kern w:val="22"/>
          <w:szCs w:val="22"/>
        </w:rPr>
        <w:t>.</w:t>
      </w:r>
      <w:r w:rsidRPr="00610646">
        <w:rPr>
          <w:rStyle w:val="FootnoteReference"/>
          <w:rFonts w:eastAsiaTheme="majorEastAsia"/>
        </w:rPr>
        <w:footnoteReference w:id="242"/>
      </w:r>
    </w:p>
    <w:p w14:paraId="3468A799" w14:textId="77777777" w:rsidR="00DA0273" w:rsidRPr="00853C76" w:rsidRDefault="00DA0273" w:rsidP="00FB5720">
      <w:pPr>
        <w:spacing w:before="120" w:after="120"/>
        <w:rPr>
          <w:snapToGrid w:val="0"/>
          <w:kern w:val="22"/>
          <w:szCs w:val="22"/>
          <w:u w:color="000000"/>
        </w:rPr>
      </w:pPr>
      <w:r w:rsidRPr="00853C76">
        <w:rPr>
          <w:snapToGrid w:val="0"/>
          <w:kern w:val="22"/>
          <w:szCs w:val="22"/>
          <w:u w:color="000000"/>
        </w:rPr>
        <w:t>73.</w:t>
      </w:r>
      <w:r w:rsidRPr="00853C76">
        <w:rPr>
          <w:snapToGrid w:val="0"/>
          <w:kern w:val="22"/>
          <w:szCs w:val="22"/>
          <w:u w:color="000000"/>
        </w:rPr>
        <w:tab/>
        <w:t>To enhance its catalytic role in mobilizing new and additional financial resources while not compromising project goals</w:t>
      </w:r>
      <w:r>
        <w:rPr>
          <w:snapToGrid w:val="0"/>
          <w:kern w:val="22"/>
          <w:szCs w:val="22"/>
          <w:u w:color="000000"/>
        </w:rPr>
        <w:t>.</w:t>
      </w:r>
      <w:r w:rsidRPr="00610646">
        <w:rPr>
          <w:rStyle w:val="FootnoteReference"/>
        </w:rPr>
        <w:footnoteReference w:id="243"/>
      </w:r>
    </w:p>
    <w:p w14:paraId="2DF26370" w14:textId="77777777" w:rsidR="00DA0273" w:rsidRPr="00853C76" w:rsidRDefault="00DA0273" w:rsidP="00FB5720">
      <w:pPr>
        <w:keepNext/>
        <w:spacing w:before="120" w:after="120"/>
        <w:rPr>
          <w:b/>
          <w:bCs/>
          <w:iCs/>
          <w:snapToGrid w:val="0"/>
          <w:szCs w:val="22"/>
        </w:rPr>
      </w:pPr>
      <w:r w:rsidRPr="00853C76">
        <w:rPr>
          <w:b/>
          <w:bCs/>
          <w:iCs/>
          <w:snapToGrid w:val="0"/>
          <w:szCs w:val="22"/>
        </w:rPr>
        <w:t>Incremental costs</w:t>
      </w:r>
    </w:p>
    <w:p w14:paraId="46DD84C5" w14:textId="77777777" w:rsidR="00DA0273" w:rsidRPr="00853C76" w:rsidRDefault="00DA0273" w:rsidP="00FB5720">
      <w:pPr>
        <w:spacing w:before="120" w:after="120"/>
        <w:jc w:val="left"/>
        <w:rPr>
          <w:snapToGrid w:val="0"/>
          <w:kern w:val="22"/>
          <w:szCs w:val="22"/>
        </w:rPr>
      </w:pPr>
      <w:r w:rsidRPr="00853C76">
        <w:rPr>
          <w:snapToGrid w:val="0"/>
          <w:kern w:val="22"/>
          <w:szCs w:val="22"/>
        </w:rPr>
        <w:t>74.</w:t>
      </w:r>
      <w:r w:rsidRPr="00853C76">
        <w:rPr>
          <w:snapToGrid w:val="0"/>
          <w:kern w:val="22"/>
          <w:szCs w:val="22"/>
        </w:rPr>
        <w:tab/>
        <w:t>To apply in a more flexible, pragmatic and transparent manner the incremental cost principle</w:t>
      </w:r>
      <w:r>
        <w:rPr>
          <w:snapToGrid w:val="0"/>
          <w:kern w:val="22"/>
          <w:szCs w:val="22"/>
        </w:rPr>
        <w:t>.</w:t>
      </w:r>
      <w:r w:rsidRPr="00610646">
        <w:rPr>
          <w:rStyle w:val="FootnoteReference"/>
        </w:rPr>
        <w:footnoteReference w:id="244"/>
      </w:r>
    </w:p>
    <w:p w14:paraId="3B3B658A" w14:textId="77777777" w:rsidR="00DA0273" w:rsidRPr="00853C76" w:rsidRDefault="00DA0273" w:rsidP="00FB5720">
      <w:pPr>
        <w:keepNext/>
        <w:spacing w:before="120" w:after="120"/>
        <w:rPr>
          <w:b/>
          <w:bCs/>
          <w:iCs/>
          <w:snapToGrid w:val="0"/>
          <w:szCs w:val="22"/>
        </w:rPr>
      </w:pPr>
      <w:r w:rsidRPr="00853C76">
        <w:rPr>
          <w:b/>
          <w:bCs/>
          <w:iCs/>
          <w:snapToGrid w:val="0"/>
          <w:szCs w:val="22"/>
        </w:rPr>
        <w:t>Sustainability</w:t>
      </w:r>
    </w:p>
    <w:p w14:paraId="70B32F27" w14:textId="77777777" w:rsidR="00DA0273" w:rsidRPr="00853C76" w:rsidRDefault="00DA0273" w:rsidP="00FB5720">
      <w:pPr>
        <w:spacing w:before="120" w:after="120"/>
        <w:jc w:val="left"/>
        <w:rPr>
          <w:snapToGrid w:val="0"/>
          <w:kern w:val="22"/>
          <w:szCs w:val="22"/>
        </w:rPr>
      </w:pPr>
      <w:r w:rsidRPr="00853C76">
        <w:rPr>
          <w:snapToGrid w:val="0"/>
          <w:kern w:val="22"/>
          <w:szCs w:val="22"/>
        </w:rPr>
        <w:t>75.</w:t>
      </w:r>
      <w:r w:rsidRPr="00853C76">
        <w:rPr>
          <w:snapToGrid w:val="0"/>
          <w:kern w:val="22"/>
          <w:szCs w:val="22"/>
        </w:rPr>
        <w:tab/>
        <w:t>To promote exchange of experience and lessons learned in addressing sustainability of funded projects on biological diversity</w:t>
      </w:r>
      <w:r>
        <w:rPr>
          <w:snapToGrid w:val="0"/>
          <w:kern w:val="22"/>
          <w:szCs w:val="22"/>
        </w:rPr>
        <w:t>.</w:t>
      </w:r>
      <w:r w:rsidRPr="00610646">
        <w:rPr>
          <w:rStyle w:val="FootnoteReference"/>
        </w:rPr>
        <w:footnoteReference w:id="245"/>
      </w:r>
    </w:p>
    <w:p w14:paraId="2524EB13" w14:textId="77777777" w:rsidR="00DA0273" w:rsidRPr="00853C76" w:rsidRDefault="00DA0273" w:rsidP="000E778E">
      <w:pPr>
        <w:spacing w:before="120" w:after="120"/>
        <w:rPr>
          <w:kern w:val="22"/>
          <w:szCs w:val="22"/>
        </w:rPr>
      </w:pPr>
      <w:r w:rsidRPr="00853C76">
        <w:rPr>
          <w:kern w:val="22"/>
          <w:szCs w:val="22"/>
        </w:rPr>
        <w:t xml:space="preserve">76. </w:t>
      </w:r>
      <w:r w:rsidRPr="00853C76">
        <w:rPr>
          <w:kern w:val="22"/>
          <w:szCs w:val="22"/>
        </w:rPr>
        <w:tab/>
        <w:t xml:space="preserve">To </w:t>
      </w:r>
      <w:r w:rsidRPr="00853C76">
        <w:rPr>
          <w:snapToGrid w:val="0"/>
          <w:kern w:val="22"/>
          <w:szCs w:val="22"/>
        </w:rPr>
        <w:t>further</w:t>
      </w:r>
      <w:r w:rsidRPr="00853C76">
        <w:rPr>
          <w:kern w:val="22"/>
          <w:szCs w:val="22"/>
        </w:rPr>
        <w:t xml:space="preserve"> improve the sustainability of funded projects and programmes, including sustainable financing of protected areas</w:t>
      </w:r>
      <w:r>
        <w:rPr>
          <w:kern w:val="22"/>
          <w:szCs w:val="22"/>
        </w:rPr>
        <w:t>.</w:t>
      </w:r>
      <w:r w:rsidRPr="00610646">
        <w:rPr>
          <w:rStyle w:val="FootnoteReference"/>
          <w:rFonts w:eastAsiaTheme="majorEastAsia"/>
        </w:rPr>
        <w:footnoteReference w:id="246"/>
      </w:r>
    </w:p>
    <w:p w14:paraId="145AEDC7" w14:textId="77777777" w:rsidR="00DA0273" w:rsidRPr="00853C76" w:rsidRDefault="00DA0273" w:rsidP="00FB5720">
      <w:pPr>
        <w:keepNext/>
        <w:spacing w:before="120" w:after="120"/>
        <w:rPr>
          <w:b/>
          <w:bCs/>
          <w:iCs/>
          <w:snapToGrid w:val="0"/>
          <w:szCs w:val="22"/>
        </w:rPr>
      </w:pPr>
      <w:r w:rsidRPr="00853C76">
        <w:rPr>
          <w:b/>
          <w:bCs/>
          <w:iCs/>
          <w:snapToGrid w:val="0"/>
          <w:szCs w:val="22"/>
        </w:rPr>
        <w:t>Country ownership</w:t>
      </w:r>
    </w:p>
    <w:p w14:paraId="7F60B5C5" w14:textId="77777777" w:rsidR="00DA0273" w:rsidRPr="00853C76" w:rsidRDefault="00DA0273" w:rsidP="000E778E">
      <w:pPr>
        <w:spacing w:before="120" w:after="120"/>
        <w:rPr>
          <w:snapToGrid w:val="0"/>
          <w:kern w:val="22"/>
          <w:szCs w:val="22"/>
        </w:rPr>
      </w:pPr>
      <w:r w:rsidRPr="00853C76">
        <w:rPr>
          <w:snapToGrid w:val="0"/>
          <w:kern w:val="22"/>
          <w:szCs w:val="22"/>
        </w:rPr>
        <w:t>77.</w:t>
      </w:r>
      <w:r w:rsidRPr="00853C76">
        <w:rPr>
          <w:snapToGrid w:val="0"/>
          <w:kern w:val="22"/>
          <w:szCs w:val="22"/>
        </w:rPr>
        <w:tab/>
        <w:t>To promote genuine country ownership through greater involvement of participant countries in GEF</w:t>
      </w:r>
      <w:r>
        <w:rPr>
          <w:snapToGrid w:val="0"/>
          <w:kern w:val="22"/>
          <w:szCs w:val="22"/>
        </w:rPr>
        <w:noBreakHyphen/>
      </w:r>
      <w:r w:rsidRPr="00853C76">
        <w:rPr>
          <w:snapToGrid w:val="0"/>
          <w:kern w:val="22"/>
          <w:szCs w:val="22"/>
        </w:rPr>
        <w:t>funded activities</w:t>
      </w:r>
      <w:r>
        <w:rPr>
          <w:snapToGrid w:val="0"/>
          <w:kern w:val="22"/>
          <w:szCs w:val="22"/>
        </w:rPr>
        <w:t>.</w:t>
      </w:r>
      <w:r w:rsidRPr="00610646">
        <w:rPr>
          <w:rStyle w:val="FootnoteReference"/>
        </w:rPr>
        <w:footnoteReference w:id="247"/>
      </w:r>
    </w:p>
    <w:p w14:paraId="3C2A3589" w14:textId="77777777" w:rsidR="00DA0273" w:rsidRPr="00853C76" w:rsidRDefault="00DA0273" w:rsidP="000E778E">
      <w:pPr>
        <w:spacing w:before="120" w:after="120"/>
        <w:rPr>
          <w:snapToGrid w:val="0"/>
          <w:kern w:val="22"/>
          <w:szCs w:val="22"/>
        </w:rPr>
      </w:pPr>
      <w:r w:rsidRPr="00853C76">
        <w:rPr>
          <w:snapToGrid w:val="0"/>
          <w:kern w:val="22"/>
          <w:szCs w:val="22"/>
        </w:rPr>
        <w:t>78.</w:t>
      </w:r>
      <w:r w:rsidRPr="00853C76">
        <w:rPr>
          <w:snapToGrid w:val="0"/>
          <w:kern w:val="22"/>
          <w:szCs w:val="22"/>
        </w:rPr>
        <w:tab/>
        <w:t>To promote utilization of regional and local expertise and be flexible to accommodate national priorities and regional needs within the objectives of the Convention</w:t>
      </w:r>
      <w:r>
        <w:rPr>
          <w:snapToGrid w:val="0"/>
          <w:szCs w:val="22"/>
          <w:vertAlign w:val="superscript"/>
        </w:rPr>
        <w:t>.</w:t>
      </w:r>
      <w:r w:rsidRPr="00610646">
        <w:rPr>
          <w:rStyle w:val="FootnoteReference"/>
        </w:rPr>
        <w:footnoteReference w:id="248"/>
      </w:r>
    </w:p>
    <w:p w14:paraId="3A54A30F" w14:textId="77777777" w:rsidR="00DA0273" w:rsidRPr="00853C76" w:rsidRDefault="00DA0273" w:rsidP="000E778E">
      <w:pPr>
        <w:spacing w:before="120" w:after="120"/>
        <w:rPr>
          <w:snapToGrid w:val="0"/>
          <w:kern w:val="22"/>
          <w:szCs w:val="22"/>
        </w:rPr>
      </w:pPr>
      <w:r w:rsidRPr="00853C76">
        <w:rPr>
          <w:snapToGrid w:val="0"/>
          <w:kern w:val="22"/>
          <w:szCs w:val="22"/>
        </w:rPr>
        <w:t>79.</w:t>
      </w:r>
      <w:r w:rsidRPr="00853C76">
        <w:rPr>
          <w:snapToGrid w:val="0"/>
          <w:kern w:val="22"/>
          <w:szCs w:val="22"/>
        </w:rPr>
        <w:tab/>
        <w:t xml:space="preserve">To encourage collaboration at national level between </w:t>
      </w:r>
      <w:r>
        <w:rPr>
          <w:snapToGrid w:val="0"/>
          <w:kern w:val="22"/>
          <w:szCs w:val="22"/>
        </w:rPr>
        <w:t xml:space="preserve">CBD </w:t>
      </w:r>
      <w:r w:rsidRPr="00853C76">
        <w:rPr>
          <w:snapToGrid w:val="0"/>
          <w:kern w:val="22"/>
          <w:szCs w:val="22"/>
        </w:rPr>
        <w:t>national focal points for related environmental agreements and for the Global Environment Facility, including through the projects supported by the Facility, and including through regional and national workshops for the focal points</w:t>
      </w:r>
      <w:r>
        <w:rPr>
          <w:snapToGrid w:val="0"/>
          <w:kern w:val="22"/>
          <w:szCs w:val="22"/>
        </w:rPr>
        <w:t>.</w:t>
      </w:r>
      <w:r w:rsidRPr="00610646">
        <w:rPr>
          <w:rStyle w:val="FootnoteReference"/>
        </w:rPr>
        <w:footnoteReference w:id="249"/>
      </w:r>
    </w:p>
    <w:p w14:paraId="5C004B91" w14:textId="77777777" w:rsidR="00DA0273" w:rsidRPr="00853C76" w:rsidRDefault="00DA0273" w:rsidP="00FB5720">
      <w:pPr>
        <w:keepNext/>
        <w:spacing w:before="120" w:after="120"/>
        <w:rPr>
          <w:b/>
          <w:bCs/>
          <w:iCs/>
          <w:snapToGrid w:val="0"/>
          <w:szCs w:val="22"/>
        </w:rPr>
      </w:pPr>
      <w:r w:rsidRPr="00853C76">
        <w:rPr>
          <w:b/>
          <w:bCs/>
          <w:iCs/>
          <w:snapToGrid w:val="0"/>
          <w:szCs w:val="22"/>
        </w:rPr>
        <w:t>Compliance and collaboration of agencies</w:t>
      </w:r>
    </w:p>
    <w:p w14:paraId="125FE0B5" w14:textId="77777777" w:rsidR="00DA0273" w:rsidRPr="00853C76" w:rsidRDefault="00DA0273" w:rsidP="00FB5720">
      <w:pPr>
        <w:spacing w:before="120" w:after="120"/>
        <w:rPr>
          <w:snapToGrid w:val="0"/>
          <w:kern w:val="22"/>
          <w:szCs w:val="22"/>
        </w:rPr>
      </w:pPr>
      <w:r w:rsidRPr="00853C76">
        <w:rPr>
          <w:snapToGrid w:val="0"/>
          <w:kern w:val="22"/>
          <w:szCs w:val="22"/>
        </w:rPr>
        <w:t>80.</w:t>
      </w:r>
      <w:r w:rsidRPr="00853C76">
        <w:rPr>
          <w:snapToGrid w:val="0"/>
          <w:kern w:val="22"/>
          <w:szCs w:val="22"/>
        </w:rPr>
        <w:tab/>
        <w:t>To promote efforts to ensure that the implementing agencies fully comply with the policy, strategy, programme priorities and eligibility criteria of the Conference of the Parties in their support for country-driven activities funded by the Global Environment Facility</w:t>
      </w:r>
      <w:r>
        <w:rPr>
          <w:snapToGrid w:val="0"/>
          <w:kern w:val="22"/>
          <w:szCs w:val="22"/>
        </w:rPr>
        <w:t>.</w:t>
      </w:r>
      <w:r w:rsidRPr="00610646">
        <w:rPr>
          <w:rStyle w:val="FootnoteReference"/>
        </w:rPr>
        <w:footnoteReference w:id="250"/>
      </w:r>
    </w:p>
    <w:p w14:paraId="033C29DE" w14:textId="77777777" w:rsidR="00DA0273" w:rsidRPr="00853C76" w:rsidRDefault="00DA0273" w:rsidP="00FB5720">
      <w:pPr>
        <w:spacing w:before="120" w:after="120"/>
        <w:rPr>
          <w:snapToGrid w:val="0"/>
          <w:kern w:val="22"/>
          <w:szCs w:val="22"/>
        </w:rPr>
      </w:pPr>
      <w:r w:rsidRPr="00853C76">
        <w:rPr>
          <w:snapToGrid w:val="0"/>
          <w:kern w:val="22"/>
          <w:szCs w:val="22"/>
        </w:rPr>
        <w:t>81.</w:t>
      </w:r>
      <w:r w:rsidRPr="00853C76">
        <w:rPr>
          <w:snapToGrid w:val="0"/>
          <w:kern w:val="22"/>
          <w:szCs w:val="22"/>
        </w:rPr>
        <w:tab/>
        <w:t>To undertake efforts to improve the efficiency, effectiveness and transparency of the process of cooperation and coordination between the implementing agencies with a view to improving the processing and delivery systems of the Global Environment Facility, and to avoid duplication and parallel processes</w:t>
      </w:r>
      <w:r>
        <w:rPr>
          <w:snapToGrid w:val="0"/>
          <w:kern w:val="22"/>
          <w:szCs w:val="22"/>
        </w:rPr>
        <w:t>.</w:t>
      </w:r>
      <w:r w:rsidRPr="00610646">
        <w:rPr>
          <w:rStyle w:val="FootnoteReference"/>
        </w:rPr>
        <w:footnoteReference w:id="251"/>
      </w:r>
    </w:p>
    <w:p w14:paraId="361EE046" w14:textId="77777777" w:rsidR="00DA0273" w:rsidRPr="00853C76" w:rsidRDefault="00DA0273" w:rsidP="00FB5720">
      <w:pPr>
        <w:keepNext/>
        <w:spacing w:before="120" w:after="120"/>
        <w:rPr>
          <w:b/>
          <w:bCs/>
          <w:iCs/>
          <w:snapToGrid w:val="0"/>
          <w:szCs w:val="22"/>
        </w:rPr>
      </w:pPr>
      <w:r w:rsidRPr="00853C76">
        <w:rPr>
          <w:b/>
          <w:bCs/>
          <w:iCs/>
          <w:snapToGrid w:val="0"/>
          <w:szCs w:val="22"/>
        </w:rPr>
        <w:t>Partnership</w:t>
      </w:r>
    </w:p>
    <w:p w14:paraId="598EA0DE" w14:textId="77777777" w:rsidR="00DA0273" w:rsidRPr="00853C76" w:rsidRDefault="00DA0273" w:rsidP="00FB5720">
      <w:pPr>
        <w:spacing w:before="120" w:after="120"/>
        <w:rPr>
          <w:kern w:val="22"/>
          <w:szCs w:val="22"/>
        </w:rPr>
      </w:pPr>
      <w:r w:rsidRPr="00853C76">
        <w:rPr>
          <w:kern w:val="22"/>
          <w:szCs w:val="22"/>
        </w:rPr>
        <w:t>82.</w:t>
      </w:r>
      <w:r w:rsidRPr="00853C76">
        <w:rPr>
          <w:kern w:val="22"/>
          <w:szCs w:val="22"/>
        </w:rPr>
        <w:tab/>
        <w:t>To c</w:t>
      </w:r>
      <w:r w:rsidRPr="00853C76">
        <w:rPr>
          <w:snapToGrid w:val="0"/>
          <w:kern w:val="22"/>
          <w:szCs w:val="22"/>
        </w:rPr>
        <w:t>ontinue</w:t>
      </w:r>
      <w:r w:rsidRPr="00853C76">
        <w:rPr>
          <w:kern w:val="22"/>
          <w:szCs w:val="22"/>
        </w:rPr>
        <w:t xml:space="preserve"> to improve the efficiency and accountability of the Global Environment Facility partnership</w:t>
      </w:r>
      <w:r>
        <w:rPr>
          <w:kern w:val="22"/>
          <w:szCs w:val="22"/>
        </w:rPr>
        <w:t>.</w:t>
      </w:r>
      <w:r w:rsidRPr="00610646">
        <w:rPr>
          <w:rStyle w:val="FootnoteReference"/>
          <w:rFonts w:eastAsiaTheme="majorEastAsia"/>
        </w:rPr>
        <w:footnoteReference w:id="252"/>
      </w:r>
    </w:p>
    <w:p w14:paraId="4FBE4169" w14:textId="77777777" w:rsidR="00DA0273" w:rsidRPr="00853C76" w:rsidRDefault="00DA0273" w:rsidP="00FB5720">
      <w:pPr>
        <w:keepNext/>
        <w:spacing w:before="120" w:after="120"/>
        <w:rPr>
          <w:b/>
          <w:bCs/>
          <w:iCs/>
          <w:snapToGrid w:val="0"/>
          <w:szCs w:val="22"/>
        </w:rPr>
      </w:pPr>
      <w:r w:rsidRPr="00853C76">
        <w:rPr>
          <w:b/>
          <w:bCs/>
          <w:iCs/>
          <w:snapToGrid w:val="0"/>
          <w:szCs w:val="22"/>
        </w:rPr>
        <w:t>Monitoring and evaluation</w:t>
      </w:r>
    </w:p>
    <w:p w14:paraId="50E02E0A" w14:textId="77777777" w:rsidR="00DA0273" w:rsidRPr="00853C76" w:rsidRDefault="00DA0273" w:rsidP="00FB5720">
      <w:pPr>
        <w:spacing w:before="120" w:after="120"/>
        <w:rPr>
          <w:snapToGrid w:val="0"/>
          <w:kern w:val="22"/>
          <w:szCs w:val="22"/>
        </w:rPr>
      </w:pPr>
      <w:r w:rsidRPr="00853C76">
        <w:rPr>
          <w:snapToGrid w:val="0"/>
          <w:kern w:val="22"/>
          <w:szCs w:val="22"/>
        </w:rPr>
        <w:t>83.</w:t>
      </w:r>
      <w:r w:rsidRPr="00853C76">
        <w:rPr>
          <w:snapToGrid w:val="0"/>
          <w:kern w:val="22"/>
          <w:szCs w:val="22"/>
        </w:rPr>
        <w:tab/>
        <w:t>To Consult with the Executive Secretary in relevant review processes undertaken by the Global Environment Facility that affect the financial mechanism of the Convention</w:t>
      </w:r>
      <w:r>
        <w:rPr>
          <w:snapToGrid w:val="0"/>
          <w:kern w:val="22"/>
          <w:szCs w:val="22"/>
        </w:rPr>
        <w:t>.</w:t>
      </w:r>
      <w:r w:rsidRPr="00610646">
        <w:rPr>
          <w:rStyle w:val="FootnoteReference"/>
        </w:rPr>
        <w:footnoteReference w:id="253"/>
      </w:r>
    </w:p>
    <w:p w14:paraId="435307C1" w14:textId="77777777" w:rsidR="00DA0273" w:rsidRPr="00853C76" w:rsidRDefault="00DA0273" w:rsidP="00FB5720">
      <w:pPr>
        <w:spacing w:before="120" w:after="120"/>
        <w:rPr>
          <w:snapToGrid w:val="0"/>
          <w:kern w:val="22"/>
          <w:szCs w:val="22"/>
        </w:rPr>
      </w:pPr>
      <w:r w:rsidRPr="00853C76">
        <w:rPr>
          <w:snapToGrid w:val="0"/>
          <w:kern w:val="22"/>
          <w:szCs w:val="22"/>
        </w:rPr>
        <w:t>84.</w:t>
      </w:r>
      <w:r w:rsidRPr="00853C76">
        <w:rPr>
          <w:snapToGrid w:val="0"/>
          <w:kern w:val="22"/>
          <w:szCs w:val="22"/>
        </w:rPr>
        <w:tab/>
        <w:t>To include in its monitoring and evaluation activities the assessment of the compliance with the policy, strategy, programme priorities and eligibility criteria established by the Conference of the Parties</w:t>
      </w:r>
      <w:r>
        <w:rPr>
          <w:snapToGrid w:val="0"/>
          <w:kern w:val="22"/>
          <w:szCs w:val="22"/>
        </w:rPr>
        <w:t>.</w:t>
      </w:r>
      <w:r w:rsidRPr="00610646">
        <w:rPr>
          <w:rStyle w:val="FootnoteReference"/>
        </w:rPr>
        <w:footnoteReference w:id="254"/>
      </w:r>
    </w:p>
    <w:p w14:paraId="635D53F3" w14:textId="77777777" w:rsidR="00DA0273" w:rsidRPr="00853C76" w:rsidRDefault="00DA0273" w:rsidP="00FB5720">
      <w:pPr>
        <w:spacing w:before="120" w:after="120"/>
        <w:rPr>
          <w:snapToGrid w:val="0"/>
          <w:kern w:val="22"/>
          <w:szCs w:val="22"/>
        </w:rPr>
      </w:pPr>
      <w:r w:rsidRPr="00853C76">
        <w:rPr>
          <w:snapToGrid w:val="0"/>
          <w:kern w:val="22"/>
          <w:szCs w:val="22"/>
        </w:rPr>
        <w:t>85.</w:t>
      </w:r>
      <w:r w:rsidRPr="00853C76">
        <w:rPr>
          <w:snapToGrid w:val="0"/>
          <w:kern w:val="22"/>
          <w:szCs w:val="22"/>
        </w:rPr>
        <w:tab/>
        <w:t>To elaborate and transmit to the Conference of the Parties, well-summarized evaluation products and full evaluation reports relevant to biological diversity and to the guidance provided by the Conference of the Parties</w:t>
      </w:r>
      <w:r>
        <w:rPr>
          <w:snapToGrid w:val="0"/>
          <w:kern w:val="22"/>
          <w:szCs w:val="22"/>
        </w:rPr>
        <w:t>.</w:t>
      </w:r>
      <w:r w:rsidRPr="00610646">
        <w:rPr>
          <w:rStyle w:val="FootnoteReference"/>
        </w:rPr>
        <w:footnoteReference w:id="255"/>
      </w:r>
    </w:p>
    <w:p w14:paraId="0E6A6D25" w14:textId="77777777" w:rsidR="00DA0273" w:rsidRPr="00853C76" w:rsidRDefault="00DA0273" w:rsidP="00FB5720">
      <w:pPr>
        <w:spacing w:before="120" w:after="120"/>
        <w:rPr>
          <w:snapToGrid w:val="0"/>
          <w:kern w:val="22"/>
          <w:szCs w:val="22"/>
        </w:rPr>
      </w:pPr>
      <w:r w:rsidRPr="00853C76">
        <w:rPr>
          <w:snapToGrid w:val="0"/>
          <w:kern w:val="22"/>
          <w:szCs w:val="22"/>
        </w:rPr>
        <w:t>86.</w:t>
      </w:r>
      <w:r w:rsidRPr="00853C76">
        <w:rPr>
          <w:snapToGrid w:val="0"/>
          <w:kern w:val="22"/>
          <w:szCs w:val="22"/>
        </w:rPr>
        <w:tab/>
        <w:t>To include in its regular report findings, conclusions and recommendations of all relevant evaluations of the GEF Evaluation Office</w:t>
      </w:r>
      <w:r>
        <w:rPr>
          <w:snapToGrid w:val="0"/>
          <w:kern w:val="22"/>
          <w:szCs w:val="22"/>
        </w:rPr>
        <w:t>.</w:t>
      </w:r>
      <w:r w:rsidRPr="00610646">
        <w:rPr>
          <w:rStyle w:val="FootnoteReference"/>
        </w:rPr>
        <w:footnoteReference w:id="256"/>
      </w:r>
    </w:p>
    <w:p w14:paraId="23E9CC15" w14:textId="77777777" w:rsidR="00DA0273" w:rsidRPr="00853C76" w:rsidRDefault="00DA0273" w:rsidP="00FB5720">
      <w:pPr>
        <w:keepNext/>
        <w:spacing w:before="120" w:after="120"/>
        <w:rPr>
          <w:b/>
          <w:bCs/>
          <w:iCs/>
          <w:snapToGrid w:val="0"/>
          <w:szCs w:val="22"/>
        </w:rPr>
      </w:pPr>
      <w:r w:rsidRPr="00853C76">
        <w:rPr>
          <w:b/>
          <w:bCs/>
          <w:iCs/>
          <w:snapToGrid w:val="0"/>
          <w:szCs w:val="22"/>
        </w:rPr>
        <w:t>Efficiency</w:t>
      </w:r>
    </w:p>
    <w:p w14:paraId="5B46F87A" w14:textId="77777777" w:rsidR="00DA0273" w:rsidRPr="00853C76" w:rsidRDefault="00DA0273" w:rsidP="001C49D3">
      <w:pPr>
        <w:suppressLineNumbers/>
        <w:suppressAutoHyphens/>
        <w:kinsoku w:val="0"/>
        <w:overflowPunct w:val="0"/>
        <w:autoSpaceDE w:val="0"/>
        <w:autoSpaceDN w:val="0"/>
        <w:adjustRightInd w:val="0"/>
        <w:snapToGrid w:val="0"/>
        <w:spacing w:before="120" w:after="120"/>
        <w:rPr>
          <w:snapToGrid w:val="0"/>
          <w:kern w:val="22"/>
          <w:szCs w:val="22"/>
        </w:rPr>
      </w:pPr>
      <w:r w:rsidRPr="00853C76">
        <w:rPr>
          <w:snapToGrid w:val="0"/>
          <w:kern w:val="22"/>
          <w:szCs w:val="22"/>
        </w:rPr>
        <w:t>87.</w:t>
      </w:r>
      <w:r w:rsidRPr="00853C76">
        <w:rPr>
          <w:snapToGrid w:val="0"/>
          <w:kern w:val="22"/>
          <w:szCs w:val="22"/>
        </w:rPr>
        <w:tab/>
        <w:t xml:space="preserve">To </w:t>
      </w:r>
      <w:r w:rsidRPr="0073448B">
        <w:rPr>
          <w:snapToGrid w:val="0"/>
          <w:kern w:val="22"/>
          <w:szCs w:val="22"/>
        </w:rPr>
        <w:t xml:space="preserve">support national implementation activities under the </w:t>
      </w:r>
      <w:r w:rsidRPr="0073448B">
        <w:rPr>
          <w:kern w:val="22"/>
        </w:rPr>
        <w:t xml:space="preserve">Kunming-Montreal </w:t>
      </w:r>
      <w:r w:rsidRPr="0073448B">
        <w:rPr>
          <w:bCs/>
          <w:snapToGrid w:val="0"/>
          <w:kern w:val="22"/>
          <w:szCs w:val="22"/>
        </w:rPr>
        <w:t>Global</w:t>
      </w:r>
      <w:r w:rsidRPr="00D71BEC">
        <w:rPr>
          <w:bCs/>
          <w:snapToGrid w:val="0"/>
          <w:kern w:val="22"/>
          <w:szCs w:val="22"/>
        </w:rPr>
        <w:t xml:space="preserve"> Biodiversity Framework</w:t>
      </w:r>
      <w:r>
        <w:rPr>
          <w:bCs/>
          <w:snapToGrid w:val="0"/>
          <w:kern w:val="22"/>
          <w:szCs w:val="22"/>
        </w:rPr>
        <w:t xml:space="preserve"> </w:t>
      </w:r>
      <w:r w:rsidRPr="00853C76">
        <w:rPr>
          <w:snapToGrid w:val="0"/>
          <w:kern w:val="22"/>
          <w:szCs w:val="22"/>
        </w:rPr>
        <w:t xml:space="preserve">in an efficient manner, with a view to enabling Parties to enhance progress towards the goals and targets of the </w:t>
      </w:r>
      <w:r>
        <w:rPr>
          <w:snapToGrid w:val="0"/>
          <w:kern w:val="22"/>
          <w:szCs w:val="22"/>
        </w:rPr>
        <w:t>Framework.</w:t>
      </w:r>
      <w:r w:rsidRPr="00610646">
        <w:rPr>
          <w:rStyle w:val="FootnoteReference"/>
          <w:rFonts w:eastAsiaTheme="majorEastAsia"/>
        </w:rPr>
        <w:footnoteReference w:id="257"/>
      </w:r>
    </w:p>
    <w:p w14:paraId="4CB738A9" w14:textId="77777777" w:rsidR="00DA0273" w:rsidRPr="00853C76" w:rsidRDefault="00DA0273" w:rsidP="00FB5720">
      <w:pPr>
        <w:keepNext/>
        <w:spacing w:before="120" w:after="120"/>
        <w:rPr>
          <w:b/>
          <w:bCs/>
          <w:iCs/>
          <w:snapToGrid w:val="0"/>
          <w:szCs w:val="22"/>
        </w:rPr>
      </w:pPr>
      <w:r w:rsidRPr="00853C76">
        <w:rPr>
          <w:b/>
          <w:bCs/>
          <w:iCs/>
          <w:snapToGrid w:val="0"/>
          <w:szCs w:val="22"/>
        </w:rPr>
        <w:t>Small grants programme</w:t>
      </w:r>
    </w:p>
    <w:p w14:paraId="2C058B28" w14:textId="77777777" w:rsidR="00DA0273" w:rsidRPr="00853C76" w:rsidRDefault="00DA0273" w:rsidP="00FB5720">
      <w:pPr>
        <w:spacing w:before="120" w:after="120"/>
        <w:rPr>
          <w:snapToGrid w:val="0"/>
          <w:kern w:val="22"/>
          <w:szCs w:val="22"/>
        </w:rPr>
      </w:pPr>
      <w:r w:rsidRPr="00853C76">
        <w:rPr>
          <w:snapToGrid w:val="0"/>
          <w:kern w:val="22"/>
          <w:szCs w:val="22"/>
        </w:rPr>
        <w:t>88.</w:t>
      </w:r>
      <w:r w:rsidRPr="00853C76">
        <w:rPr>
          <w:snapToGrid w:val="0"/>
          <w:kern w:val="22"/>
          <w:szCs w:val="22"/>
        </w:rPr>
        <w:tab/>
        <w:t>To continue expansion of the Small Grants Programme of the Global Environment Facility to other developing countries, in particular the least developed countries and small island developing States</w:t>
      </w:r>
      <w:r>
        <w:rPr>
          <w:snapToGrid w:val="0"/>
          <w:kern w:val="22"/>
          <w:szCs w:val="22"/>
        </w:rPr>
        <w:t>.</w:t>
      </w:r>
      <w:r w:rsidRPr="00610646">
        <w:rPr>
          <w:rStyle w:val="FootnoteReference"/>
        </w:rPr>
        <w:footnoteReference w:id="258"/>
      </w:r>
    </w:p>
    <w:p w14:paraId="6BB83640" w14:textId="77777777" w:rsidR="00DA0273" w:rsidRPr="00853C76" w:rsidRDefault="00DA0273" w:rsidP="00FB5720">
      <w:pPr>
        <w:keepNext/>
        <w:spacing w:before="120" w:after="120"/>
        <w:rPr>
          <w:b/>
          <w:bCs/>
          <w:iCs/>
          <w:snapToGrid w:val="0"/>
          <w:szCs w:val="22"/>
        </w:rPr>
      </w:pPr>
      <w:r w:rsidRPr="00853C76">
        <w:rPr>
          <w:b/>
          <w:bCs/>
          <w:iCs/>
          <w:snapToGrid w:val="0"/>
          <w:szCs w:val="22"/>
        </w:rPr>
        <w:t>Currency risks</w:t>
      </w:r>
    </w:p>
    <w:p w14:paraId="15062259" w14:textId="77777777" w:rsidR="00DA0273" w:rsidRPr="00853C76" w:rsidRDefault="00DA0273" w:rsidP="00FB5720">
      <w:pPr>
        <w:spacing w:before="120" w:after="120"/>
        <w:rPr>
          <w:snapToGrid w:val="0"/>
          <w:color w:val="000000"/>
          <w:kern w:val="22"/>
          <w:szCs w:val="22"/>
        </w:rPr>
      </w:pPr>
      <w:r w:rsidRPr="00853C76">
        <w:rPr>
          <w:snapToGrid w:val="0"/>
          <w:color w:val="000000"/>
          <w:kern w:val="22"/>
          <w:szCs w:val="22"/>
        </w:rPr>
        <w:t>89.</w:t>
      </w:r>
      <w:r w:rsidRPr="00853C76">
        <w:rPr>
          <w:snapToGrid w:val="0"/>
          <w:color w:val="000000"/>
          <w:kern w:val="22"/>
          <w:szCs w:val="22"/>
        </w:rPr>
        <w:tab/>
      </w:r>
      <w:r w:rsidRPr="00853C76">
        <w:rPr>
          <w:iCs/>
          <w:snapToGrid w:val="0"/>
          <w:color w:val="000000"/>
          <w:kern w:val="22"/>
          <w:szCs w:val="22"/>
        </w:rPr>
        <w:t>T</w:t>
      </w:r>
      <w:r w:rsidRPr="00853C76">
        <w:rPr>
          <w:snapToGrid w:val="0"/>
          <w:color w:val="000000"/>
          <w:kern w:val="22"/>
          <w:szCs w:val="22"/>
        </w:rPr>
        <w:t>o consider exploring measures to mitigate possible risks, including currency risks, in order to avoid potential negative impacts on future replenishment periods for the provision of financial resources for all Global Environment Facility recipient countries, taking fully into account the provisions of paragraphs 5 and 6 of Article 20 of the Convention</w:t>
      </w:r>
      <w:r>
        <w:rPr>
          <w:snapToGrid w:val="0"/>
          <w:color w:val="000000"/>
          <w:kern w:val="22"/>
          <w:szCs w:val="22"/>
        </w:rPr>
        <w:t>.</w:t>
      </w:r>
      <w:r w:rsidRPr="00610646">
        <w:rPr>
          <w:rStyle w:val="FootnoteReference"/>
          <w:rFonts w:eastAsiaTheme="majorEastAsia"/>
        </w:rPr>
        <w:footnoteReference w:id="259"/>
      </w:r>
    </w:p>
    <w:p w14:paraId="276075CB" w14:textId="77777777" w:rsidR="00DA0273" w:rsidRPr="00853C76" w:rsidRDefault="00DA0273" w:rsidP="00FB5720">
      <w:pPr>
        <w:keepNext/>
        <w:spacing w:before="120" w:after="120"/>
        <w:rPr>
          <w:b/>
          <w:bCs/>
          <w:iCs/>
          <w:snapToGrid w:val="0"/>
          <w:szCs w:val="22"/>
        </w:rPr>
      </w:pPr>
      <w:r w:rsidRPr="00853C76">
        <w:rPr>
          <w:b/>
          <w:bCs/>
          <w:iCs/>
          <w:snapToGrid w:val="0"/>
          <w:szCs w:val="22"/>
        </w:rPr>
        <w:t>Integrated approach</w:t>
      </w:r>
    </w:p>
    <w:p w14:paraId="3A93AED5" w14:textId="77777777" w:rsidR="00DA0273" w:rsidRPr="00853C76" w:rsidRDefault="00DA0273" w:rsidP="00FB5720">
      <w:pPr>
        <w:spacing w:after="120"/>
        <w:rPr>
          <w:snapToGrid w:val="0"/>
          <w:kern w:val="22"/>
          <w:szCs w:val="22"/>
        </w:rPr>
      </w:pPr>
      <w:r w:rsidRPr="00853C76">
        <w:rPr>
          <w:snapToGrid w:val="0"/>
          <w:kern w:val="22"/>
          <w:szCs w:val="22"/>
        </w:rPr>
        <w:t>90.</w:t>
      </w:r>
      <w:r w:rsidRPr="00853C76">
        <w:rPr>
          <w:snapToGrid w:val="0"/>
          <w:kern w:val="22"/>
          <w:szCs w:val="22"/>
        </w:rPr>
        <w:tab/>
        <w:t>To continue and further strengthen integrated programming as a means to harness opportunities for synergy in implementing related multilateral environmental agreements as well as the 2030 Agenda for Sustainable Development and its Sustainable Development Goals, in particular Sustainable Development Goals 14 and 15</w:t>
      </w:r>
      <w:r>
        <w:rPr>
          <w:snapToGrid w:val="0"/>
          <w:kern w:val="22"/>
          <w:szCs w:val="22"/>
        </w:rPr>
        <w:t>.</w:t>
      </w:r>
      <w:r w:rsidRPr="00610646">
        <w:rPr>
          <w:rStyle w:val="FootnoteReference"/>
          <w:rFonts w:eastAsiaTheme="majorEastAsia"/>
        </w:rPr>
        <w:footnoteReference w:id="260"/>
      </w:r>
    </w:p>
    <w:p w14:paraId="4EA70329" w14:textId="77777777" w:rsidR="00DA0273" w:rsidRPr="00853C76" w:rsidRDefault="00DA0273" w:rsidP="00FB5720">
      <w:pPr>
        <w:keepNext/>
        <w:spacing w:before="120" w:after="120"/>
        <w:rPr>
          <w:b/>
          <w:bCs/>
          <w:iCs/>
          <w:snapToGrid w:val="0"/>
          <w:szCs w:val="22"/>
        </w:rPr>
      </w:pPr>
      <w:r w:rsidRPr="00853C76">
        <w:rPr>
          <w:b/>
          <w:bCs/>
          <w:iCs/>
          <w:snapToGrid w:val="0"/>
          <w:szCs w:val="22"/>
        </w:rPr>
        <w:t>Conflict resolution</w:t>
      </w:r>
    </w:p>
    <w:p w14:paraId="7831174E" w14:textId="77777777" w:rsidR="00DA0273" w:rsidRPr="00853C76" w:rsidRDefault="00DA0273" w:rsidP="00FB5720">
      <w:pPr>
        <w:spacing w:before="120" w:after="120"/>
        <w:rPr>
          <w:kern w:val="22"/>
          <w:szCs w:val="22"/>
        </w:rPr>
      </w:pPr>
      <w:r w:rsidRPr="00853C76">
        <w:rPr>
          <w:kern w:val="22"/>
          <w:szCs w:val="22"/>
        </w:rPr>
        <w:t>91.</w:t>
      </w:r>
      <w:r w:rsidRPr="00853C76">
        <w:rPr>
          <w:kern w:val="22"/>
          <w:szCs w:val="22"/>
        </w:rPr>
        <w:tab/>
        <w:t xml:space="preserve">To promote </w:t>
      </w:r>
      <w:r w:rsidRPr="00853C76">
        <w:rPr>
          <w:snapToGrid w:val="0"/>
          <w:color w:val="000000"/>
          <w:kern w:val="22"/>
          <w:szCs w:val="22"/>
        </w:rPr>
        <w:t>awareness</w:t>
      </w:r>
      <w:r w:rsidRPr="00853C76">
        <w:rPr>
          <w:kern w:val="22"/>
          <w:szCs w:val="22"/>
        </w:rPr>
        <w:t xml:space="preserve"> to the existing processes under the Conflict Resolution Commissioner to address complaints related to the operations of the financial mechanism</w:t>
      </w:r>
      <w:r>
        <w:rPr>
          <w:kern w:val="22"/>
          <w:szCs w:val="22"/>
        </w:rPr>
        <w:t>.</w:t>
      </w:r>
      <w:r w:rsidRPr="00610646">
        <w:rPr>
          <w:rStyle w:val="FootnoteReference"/>
          <w:rFonts w:eastAsiaTheme="majorEastAsia"/>
        </w:rPr>
        <w:footnoteReference w:id="261"/>
      </w:r>
    </w:p>
    <w:p w14:paraId="0E57FC42"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22. Relationship with other international conventions</w:t>
      </w:r>
    </w:p>
    <w:p w14:paraId="60751943" w14:textId="77777777" w:rsidR="00DA0273" w:rsidRPr="00853C76" w:rsidRDefault="00DA0273" w:rsidP="00FB5720">
      <w:pPr>
        <w:spacing w:after="120"/>
        <w:rPr>
          <w:snapToGrid w:val="0"/>
          <w:kern w:val="22"/>
          <w:szCs w:val="22"/>
        </w:rPr>
      </w:pPr>
      <w:r w:rsidRPr="00853C76">
        <w:rPr>
          <w:snapToGrid w:val="0"/>
          <w:kern w:val="22"/>
          <w:szCs w:val="22"/>
        </w:rPr>
        <w:t>92.</w:t>
      </w:r>
      <w:r w:rsidRPr="00853C76">
        <w:rPr>
          <w:snapToGrid w:val="0"/>
          <w:kern w:val="22"/>
          <w:szCs w:val="22"/>
        </w:rPr>
        <w:tab/>
        <w:t>Projects and activities to improve synergies among relevant multilateral environment agreements</w:t>
      </w:r>
      <w:r>
        <w:rPr>
          <w:snapToGrid w:val="0"/>
          <w:kern w:val="22"/>
          <w:szCs w:val="22"/>
        </w:rPr>
        <w:t>.</w:t>
      </w:r>
      <w:r w:rsidRPr="00610646">
        <w:rPr>
          <w:rStyle w:val="FootnoteReference"/>
        </w:rPr>
        <w:footnoteReference w:id="262"/>
      </w:r>
    </w:p>
    <w:p w14:paraId="0756FC68" w14:textId="77777777" w:rsidR="00DA0273" w:rsidRPr="00853C76" w:rsidRDefault="00DA0273" w:rsidP="00FB5720">
      <w:pPr>
        <w:keepNext/>
        <w:tabs>
          <w:tab w:val="left" w:pos="567"/>
        </w:tabs>
        <w:spacing w:before="120" w:after="120"/>
        <w:jc w:val="center"/>
        <w:rPr>
          <w:i/>
          <w:iCs/>
          <w:snapToGrid w:val="0"/>
          <w:szCs w:val="22"/>
        </w:rPr>
      </w:pPr>
      <w:r w:rsidRPr="00853C76">
        <w:rPr>
          <w:i/>
          <w:iCs/>
          <w:snapToGrid w:val="0"/>
          <w:szCs w:val="22"/>
        </w:rPr>
        <w:t>Article 26. Reports</w:t>
      </w:r>
    </w:p>
    <w:p w14:paraId="2F1DC5D3" w14:textId="77777777" w:rsidR="00DA0273" w:rsidRPr="00853C76" w:rsidRDefault="00DA0273" w:rsidP="00FB5720">
      <w:pPr>
        <w:spacing w:after="120"/>
        <w:rPr>
          <w:snapToGrid w:val="0"/>
          <w:kern w:val="22"/>
          <w:szCs w:val="22"/>
        </w:rPr>
      </w:pPr>
      <w:r w:rsidRPr="00853C76">
        <w:rPr>
          <w:snapToGrid w:val="0"/>
          <w:kern w:val="22"/>
          <w:szCs w:val="22"/>
        </w:rPr>
        <w:t>93.</w:t>
      </w:r>
      <w:r w:rsidRPr="00853C76">
        <w:rPr>
          <w:snapToGrid w:val="0"/>
          <w:kern w:val="22"/>
          <w:szCs w:val="22"/>
        </w:rPr>
        <w:tab/>
        <w:t>Preparation of future national reports,</w:t>
      </w:r>
      <w:r w:rsidRPr="00610646">
        <w:rPr>
          <w:rStyle w:val="FootnoteReference"/>
        </w:rPr>
        <w:footnoteReference w:id="263"/>
      </w:r>
      <w:r w:rsidRPr="00853C76">
        <w:rPr>
          <w:snapToGrid w:val="0"/>
          <w:kern w:val="22"/>
          <w:szCs w:val="22"/>
        </w:rPr>
        <w:t xml:space="preserve"> in a timely and expeditious manner</w:t>
      </w:r>
      <w:r>
        <w:rPr>
          <w:snapToGrid w:val="0"/>
          <w:kern w:val="22"/>
          <w:szCs w:val="22"/>
        </w:rPr>
        <w:t>.</w:t>
      </w:r>
      <w:r w:rsidRPr="00610646">
        <w:rPr>
          <w:rStyle w:val="FootnoteReference"/>
          <w:rFonts w:eastAsiaTheme="majorEastAsia"/>
        </w:rPr>
        <w:footnoteReference w:id="264"/>
      </w:r>
    </w:p>
    <w:p w14:paraId="243AF14B" w14:textId="77777777" w:rsidR="00DA0273" w:rsidRPr="0081037E" w:rsidRDefault="00DA0273" w:rsidP="0081037E">
      <w:pPr>
        <w:keepNext/>
        <w:pBdr>
          <w:top w:val="nil"/>
          <w:left w:val="nil"/>
          <w:bottom w:val="nil"/>
          <w:right w:val="nil"/>
          <w:between w:val="nil"/>
        </w:pBdr>
        <w:tabs>
          <w:tab w:val="left" w:pos="360"/>
        </w:tabs>
        <w:spacing w:before="120" w:after="120"/>
        <w:jc w:val="center"/>
        <w:rPr>
          <w:b/>
          <w:bCs/>
          <w:snapToGrid w:val="0"/>
          <w:color w:val="000000"/>
          <w:kern w:val="22"/>
          <w:szCs w:val="22"/>
        </w:rPr>
      </w:pPr>
      <w:bookmarkStart w:id="222" w:name="_Toc259455679"/>
      <w:bookmarkStart w:id="223" w:name="_Toc260384329"/>
      <w:bookmarkStart w:id="224" w:name="_Toc263089319"/>
      <w:bookmarkStart w:id="225" w:name="_Toc257060636"/>
      <w:bookmarkStart w:id="226" w:name="_Toc259455705"/>
      <w:bookmarkStart w:id="227" w:name="_Toc260384356"/>
      <w:bookmarkStart w:id="228" w:name="_Toc263089346"/>
      <w:r w:rsidRPr="0081037E">
        <w:rPr>
          <w:b/>
          <w:bCs/>
          <w:snapToGrid w:val="0"/>
          <w:color w:val="000000"/>
          <w:kern w:val="22"/>
          <w:szCs w:val="22"/>
        </w:rPr>
        <w:t>C.</w:t>
      </w:r>
      <w:r w:rsidRPr="0081037E">
        <w:rPr>
          <w:b/>
          <w:bCs/>
          <w:snapToGrid w:val="0"/>
          <w:color w:val="000000"/>
          <w:kern w:val="22"/>
          <w:szCs w:val="22"/>
        </w:rPr>
        <w:tab/>
        <w:t>Eligibility criteria</w:t>
      </w:r>
      <w:bookmarkEnd w:id="222"/>
      <w:bookmarkEnd w:id="223"/>
      <w:bookmarkEnd w:id="224"/>
    </w:p>
    <w:p w14:paraId="04478239" w14:textId="77777777" w:rsidR="00DA0273" w:rsidRPr="00853C76" w:rsidRDefault="00DA0273" w:rsidP="00FB5720">
      <w:pPr>
        <w:keepNext/>
        <w:spacing w:before="120" w:after="120"/>
        <w:rPr>
          <w:b/>
          <w:bCs/>
          <w:iCs/>
          <w:snapToGrid w:val="0"/>
          <w:szCs w:val="22"/>
        </w:rPr>
      </w:pPr>
      <w:r w:rsidRPr="00853C76">
        <w:rPr>
          <w:b/>
          <w:bCs/>
          <w:iCs/>
          <w:snapToGrid w:val="0"/>
          <w:szCs w:val="22"/>
        </w:rPr>
        <w:t>Convention on Biological Diversity</w:t>
      </w:r>
      <w:r w:rsidRPr="00610646">
        <w:rPr>
          <w:rStyle w:val="FootnoteReference"/>
        </w:rPr>
        <w:footnoteReference w:id="265"/>
      </w:r>
    </w:p>
    <w:p w14:paraId="465B6C1F" w14:textId="77777777" w:rsidR="00DA0273" w:rsidRPr="00853C76" w:rsidRDefault="00DA0273" w:rsidP="00FB5720">
      <w:pPr>
        <w:spacing w:after="120"/>
        <w:rPr>
          <w:snapToGrid w:val="0"/>
          <w:kern w:val="22"/>
          <w:szCs w:val="22"/>
        </w:rPr>
      </w:pPr>
      <w:r w:rsidRPr="00853C76">
        <w:rPr>
          <w:snapToGrid w:val="0"/>
          <w:kern w:val="22"/>
          <w:szCs w:val="22"/>
        </w:rPr>
        <w:t>94.</w:t>
      </w:r>
      <w:r w:rsidRPr="00853C76">
        <w:rPr>
          <w:snapToGrid w:val="0"/>
          <w:kern w:val="22"/>
          <w:szCs w:val="22"/>
        </w:rPr>
        <w:tab/>
        <w:t>Only developing countries that are Parties to the Convention are eligible to receive funding upon the entry into force of the Convention for them. In accordance with the provisions of the Convention, projects that seek to meet the objectives of conservation of biological diversity and sustainable use of its components are eligible for financial support from the institutional structure</w:t>
      </w:r>
      <w:r>
        <w:rPr>
          <w:snapToGrid w:val="0"/>
          <w:kern w:val="22"/>
          <w:szCs w:val="22"/>
        </w:rPr>
        <w:t>;</w:t>
      </w:r>
    </w:p>
    <w:p w14:paraId="3C4FA991" w14:textId="77777777" w:rsidR="00DA0273" w:rsidRPr="00853C76" w:rsidRDefault="00DA0273" w:rsidP="00FB5720">
      <w:pPr>
        <w:spacing w:after="120"/>
        <w:rPr>
          <w:snapToGrid w:val="0"/>
          <w:kern w:val="22"/>
          <w:szCs w:val="22"/>
        </w:rPr>
      </w:pPr>
      <w:r w:rsidRPr="00853C76">
        <w:rPr>
          <w:snapToGrid w:val="0"/>
          <w:kern w:val="22"/>
          <w:szCs w:val="22"/>
        </w:rPr>
        <w:t>95.</w:t>
      </w:r>
      <w:r w:rsidRPr="00853C76">
        <w:rPr>
          <w:snapToGrid w:val="0"/>
          <w:kern w:val="22"/>
          <w:szCs w:val="22"/>
        </w:rPr>
        <w:tab/>
        <w:t>The Global Environment Facility continues to provide financial resources to Parties with economies in transition for biodiversity-related projects.</w:t>
      </w:r>
    </w:p>
    <w:p w14:paraId="57290461" w14:textId="77777777" w:rsidR="00DA0273" w:rsidRPr="00853C76" w:rsidRDefault="00DA0273" w:rsidP="00FB5720">
      <w:pPr>
        <w:keepNext/>
        <w:spacing w:before="120" w:after="120"/>
        <w:rPr>
          <w:b/>
          <w:bCs/>
          <w:iCs/>
          <w:snapToGrid w:val="0"/>
          <w:szCs w:val="22"/>
        </w:rPr>
      </w:pPr>
      <w:r w:rsidRPr="00853C76">
        <w:rPr>
          <w:b/>
          <w:bCs/>
          <w:iCs/>
          <w:snapToGrid w:val="0"/>
          <w:szCs w:val="22"/>
        </w:rPr>
        <w:t>Cartagena Protocol on Biosafety</w:t>
      </w:r>
      <w:r w:rsidRPr="00610646">
        <w:rPr>
          <w:rStyle w:val="FootnoteReference"/>
        </w:rPr>
        <w:footnoteReference w:id="266"/>
      </w:r>
    </w:p>
    <w:p w14:paraId="5B99DBDF" w14:textId="77777777" w:rsidR="00DA0273" w:rsidRPr="00853C76" w:rsidRDefault="00DA0273" w:rsidP="00FB5720">
      <w:pPr>
        <w:spacing w:after="120"/>
        <w:rPr>
          <w:snapToGrid w:val="0"/>
          <w:kern w:val="22"/>
          <w:szCs w:val="22"/>
        </w:rPr>
      </w:pPr>
      <w:r w:rsidRPr="00853C76">
        <w:rPr>
          <w:snapToGrid w:val="0"/>
          <w:kern w:val="22"/>
          <w:szCs w:val="22"/>
        </w:rPr>
        <w:t>96.</w:t>
      </w:r>
      <w:r w:rsidRPr="00853C76">
        <w:rPr>
          <w:snapToGrid w:val="0"/>
          <w:kern w:val="22"/>
          <w:szCs w:val="22"/>
        </w:rPr>
        <w:tab/>
        <w:t xml:space="preserve">All developing countries, in particular the least developed </w:t>
      </w:r>
      <w:r>
        <w:rPr>
          <w:snapToGrid w:val="0"/>
          <w:kern w:val="22"/>
          <w:szCs w:val="22"/>
        </w:rPr>
        <w:t xml:space="preserve">countries </w:t>
      </w:r>
      <w:r w:rsidRPr="00853C76">
        <w:rPr>
          <w:snapToGrid w:val="0"/>
          <w:kern w:val="22"/>
          <w:szCs w:val="22"/>
        </w:rPr>
        <w:t>and small island developing States, as well as countries with economies in transition, including countries among these that are centres of origin and centres of genetic diversity, which are Parties to the Cartagena Protocol on Biosafety, are eligible for funding by the Global Environment Facility.</w:t>
      </w:r>
    </w:p>
    <w:p w14:paraId="3894E3A9" w14:textId="77777777" w:rsidR="00DA0273" w:rsidRPr="00853C76" w:rsidRDefault="00DA0273" w:rsidP="00FB5720">
      <w:pPr>
        <w:spacing w:after="120"/>
        <w:rPr>
          <w:snapToGrid w:val="0"/>
          <w:kern w:val="22"/>
          <w:szCs w:val="22"/>
        </w:rPr>
      </w:pPr>
      <w:r w:rsidRPr="00853C76">
        <w:rPr>
          <w:snapToGrid w:val="0"/>
          <w:kern w:val="22"/>
          <w:szCs w:val="22"/>
        </w:rPr>
        <w:t>97.</w:t>
      </w:r>
      <w:r w:rsidRPr="00853C76">
        <w:rPr>
          <w:snapToGrid w:val="0"/>
          <w:kern w:val="22"/>
          <w:szCs w:val="22"/>
        </w:rPr>
        <w:tab/>
        <w:t xml:space="preserve">All developing countries, in particular the least developed </w:t>
      </w:r>
      <w:r>
        <w:rPr>
          <w:snapToGrid w:val="0"/>
          <w:kern w:val="22"/>
          <w:szCs w:val="22"/>
        </w:rPr>
        <w:t xml:space="preserve">countries </w:t>
      </w:r>
      <w:r w:rsidRPr="00853C76">
        <w:rPr>
          <w:snapToGrid w:val="0"/>
          <w:kern w:val="22"/>
          <w:szCs w:val="22"/>
        </w:rPr>
        <w:t>and small island developing States, as well as countries with economies in transition, including countries among these that are centres of origin and centres of genetic diversity, which are Parties to the Convention and provide a clear political commitment towards becoming Parties to the Protocol, shall also be eligible for funding by the Global Environment Facility for the development of national biosafety frameworks and the development of national biosafety clearing-houses and other necessary institutional capabilities to enable a non-Party to become a Party. Evidence of such political commitment shall take the form of a written assurance to the Executive Secretary that the country intends to become a Party to the Protocol on completion of the activities to be funded.</w:t>
      </w:r>
    </w:p>
    <w:p w14:paraId="42EEA894" w14:textId="77777777" w:rsidR="00DA0273" w:rsidRPr="00853C76" w:rsidRDefault="00DA0273" w:rsidP="00FB5720">
      <w:pPr>
        <w:keepNext/>
        <w:spacing w:before="120" w:after="120"/>
        <w:rPr>
          <w:b/>
          <w:bCs/>
          <w:iCs/>
          <w:snapToGrid w:val="0"/>
          <w:szCs w:val="22"/>
        </w:rPr>
      </w:pPr>
      <w:r w:rsidRPr="00853C76">
        <w:rPr>
          <w:b/>
          <w:bCs/>
          <w:iCs/>
          <w:snapToGrid w:val="0"/>
          <w:szCs w:val="22"/>
        </w:rPr>
        <w:t>Nagoya Protocol on Access and Benefit-sharing</w:t>
      </w:r>
      <w:r w:rsidRPr="00610646">
        <w:rPr>
          <w:rStyle w:val="FootnoteReference"/>
        </w:rPr>
        <w:footnoteReference w:id="267"/>
      </w:r>
    </w:p>
    <w:p w14:paraId="58C61BF7" w14:textId="77777777" w:rsidR="00DA0273" w:rsidRPr="00853C76" w:rsidRDefault="00DA0273" w:rsidP="00FB5720">
      <w:pPr>
        <w:spacing w:after="120"/>
        <w:rPr>
          <w:snapToGrid w:val="0"/>
          <w:kern w:val="22"/>
          <w:szCs w:val="22"/>
        </w:rPr>
      </w:pPr>
      <w:r w:rsidRPr="00853C76">
        <w:rPr>
          <w:snapToGrid w:val="0"/>
          <w:kern w:val="22"/>
          <w:szCs w:val="22"/>
        </w:rPr>
        <w:t>98.</w:t>
      </w:r>
      <w:r w:rsidRPr="00853C76">
        <w:rPr>
          <w:snapToGrid w:val="0"/>
          <w:kern w:val="22"/>
          <w:szCs w:val="22"/>
        </w:rPr>
        <w:tab/>
        <w:t xml:space="preserve">All developing countries, in particular the least developed </w:t>
      </w:r>
      <w:r>
        <w:rPr>
          <w:snapToGrid w:val="0"/>
          <w:kern w:val="22"/>
          <w:szCs w:val="22"/>
        </w:rPr>
        <w:t xml:space="preserve">countries </w:t>
      </w:r>
      <w:r w:rsidRPr="00853C76">
        <w:rPr>
          <w:snapToGrid w:val="0"/>
          <w:kern w:val="22"/>
          <w:szCs w:val="22"/>
        </w:rPr>
        <w:t>and small island developing States, as well as countries with economies in transition, which are Parties to the Nagoya Protocol, are eligible for funding by the Global Environment Facility in accordance with its mandate.</w:t>
      </w:r>
    </w:p>
    <w:p w14:paraId="432BC9A4" w14:textId="77777777" w:rsidR="00DA0273" w:rsidRPr="00853C76" w:rsidRDefault="00DA0273" w:rsidP="00FB5720">
      <w:pPr>
        <w:spacing w:after="120"/>
        <w:rPr>
          <w:snapToGrid w:val="0"/>
          <w:kern w:val="22"/>
          <w:szCs w:val="22"/>
        </w:rPr>
      </w:pPr>
      <w:r w:rsidRPr="00853C76">
        <w:rPr>
          <w:snapToGrid w:val="0"/>
          <w:kern w:val="22"/>
          <w:szCs w:val="22"/>
        </w:rPr>
        <w:t>99.</w:t>
      </w:r>
      <w:r w:rsidRPr="00853C76">
        <w:rPr>
          <w:snapToGrid w:val="0"/>
          <w:kern w:val="22"/>
          <w:szCs w:val="22"/>
        </w:rPr>
        <w:tab/>
        <w:t>Developing countries, in particular the least developed countries and small island developing States among them, and countries with economies in transition that are Parties to the Convention and provide a clear political commitment towards becoming Parties to the Protocol, shall also be eligible for funding by the Global Environment Facility for the development of national measures and institutional capabilities in order to enable them to become a Party. Evidence of such political commitment, accompanied by indicative activities and expected milestones, shall take the form of a written assurance to the Executive Secretary that the country intends to become a Party to the Nagoya Protocol on completion of the activities to be funded.</w:t>
      </w:r>
    </w:p>
    <w:p w14:paraId="01E37C89" w14:textId="77777777" w:rsidR="00DA0273" w:rsidRPr="0081037E" w:rsidRDefault="00DA0273" w:rsidP="0081037E">
      <w:pPr>
        <w:keepNext/>
        <w:pBdr>
          <w:top w:val="nil"/>
          <w:left w:val="nil"/>
          <w:bottom w:val="nil"/>
          <w:right w:val="nil"/>
          <w:between w:val="nil"/>
        </w:pBdr>
        <w:tabs>
          <w:tab w:val="left" w:pos="360"/>
        </w:tabs>
        <w:spacing w:before="120" w:after="120"/>
        <w:ind w:left="1560" w:right="571" w:hanging="567"/>
        <w:jc w:val="left"/>
        <w:rPr>
          <w:b/>
          <w:bCs/>
          <w:snapToGrid w:val="0"/>
          <w:color w:val="000000"/>
          <w:kern w:val="22"/>
          <w:szCs w:val="22"/>
        </w:rPr>
      </w:pPr>
      <w:r w:rsidRPr="0081037E">
        <w:rPr>
          <w:b/>
          <w:bCs/>
          <w:snapToGrid w:val="0"/>
          <w:color w:val="000000"/>
          <w:kern w:val="22"/>
          <w:szCs w:val="22"/>
        </w:rPr>
        <w:t>D.</w:t>
      </w:r>
      <w:r w:rsidRPr="0081037E">
        <w:rPr>
          <w:b/>
          <w:bCs/>
          <w:snapToGrid w:val="0"/>
          <w:color w:val="000000"/>
          <w:kern w:val="22"/>
          <w:szCs w:val="22"/>
        </w:rPr>
        <w:tab/>
        <w:t>Reporting from the Council of the Global Environment Facility to the Conference of the Parties</w:t>
      </w:r>
      <w:bookmarkEnd w:id="225"/>
      <w:bookmarkEnd w:id="226"/>
      <w:bookmarkEnd w:id="227"/>
      <w:bookmarkEnd w:id="228"/>
    </w:p>
    <w:p w14:paraId="0F2D5316" w14:textId="77777777" w:rsidR="00DA0273" w:rsidRPr="00853C76" w:rsidRDefault="00DA0273" w:rsidP="00FB5720">
      <w:pPr>
        <w:keepNext/>
        <w:spacing w:before="120" w:after="120"/>
        <w:rPr>
          <w:b/>
          <w:bCs/>
          <w:iCs/>
          <w:snapToGrid w:val="0"/>
          <w:szCs w:val="22"/>
        </w:rPr>
      </w:pPr>
      <w:r w:rsidRPr="00853C76">
        <w:rPr>
          <w:b/>
          <w:bCs/>
          <w:iCs/>
          <w:snapToGrid w:val="0"/>
          <w:szCs w:val="22"/>
        </w:rPr>
        <w:t>Timing</w:t>
      </w:r>
    </w:p>
    <w:p w14:paraId="58D93920" w14:textId="77777777" w:rsidR="00DA0273" w:rsidRPr="00853C76" w:rsidRDefault="00DA0273" w:rsidP="00FB5720">
      <w:pPr>
        <w:spacing w:after="120"/>
        <w:rPr>
          <w:snapToGrid w:val="0"/>
          <w:kern w:val="22"/>
          <w:szCs w:val="22"/>
        </w:rPr>
      </w:pPr>
      <w:r w:rsidRPr="00853C76">
        <w:rPr>
          <w:snapToGrid w:val="0"/>
          <w:kern w:val="22"/>
          <w:szCs w:val="22"/>
        </w:rPr>
        <w:t>100.</w:t>
      </w:r>
      <w:r w:rsidRPr="00853C76">
        <w:rPr>
          <w:snapToGrid w:val="0"/>
          <w:kern w:val="22"/>
          <w:szCs w:val="22"/>
        </w:rPr>
        <w:tab/>
        <w:t>The report from the Council of the Global Environment Facility to the Conference of the Parties should be made available three months prior to an ordinary meeting of the Conference of the Parties as well as with updates as appropriate, and in accordance with rules 28 and 54 of the Rules of Procedure for meetings of the Conference of the Parties, the Executive Secretary should make it available in all six official languages of the United Nations.</w:t>
      </w:r>
      <w:r w:rsidRPr="00610646">
        <w:rPr>
          <w:rStyle w:val="FootnoteReference"/>
        </w:rPr>
        <w:footnoteReference w:id="268"/>
      </w:r>
    </w:p>
    <w:p w14:paraId="20717212" w14:textId="77777777" w:rsidR="00DA0273" w:rsidRPr="00853C76" w:rsidRDefault="00DA0273" w:rsidP="00FB5720">
      <w:pPr>
        <w:keepNext/>
        <w:spacing w:before="120" w:after="120"/>
        <w:rPr>
          <w:b/>
          <w:bCs/>
          <w:iCs/>
          <w:snapToGrid w:val="0"/>
          <w:szCs w:val="22"/>
        </w:rPr>
      </w:pPr>
      <w:r w:rsidRPr="00853C76">
        <w:rPr>
          <w:b/>
          <w:bCs/>
          <w:iCs/>
          <w:snapToGrid w:val="0"/>
          <w:szCs w:val="22"/>
        </w:rPr>
        <w:t>Preliminary draft</w:t>
      </w:r>
    </w:p>
    <w:p w14:paraId="3B31D02A" w14:textId="77777777" w:rsidR="00DA0273" w:rsidRPr="00853C76" w:rsidRDefault="00DA0273" w:rsidP="00FB5720">
      <w:pPr>
        <w:spacing w:after="120"/>
        <w:rPr>
          <w:snapToGrid w:val="0"/>
          <w:kern w:val="22"/>
          <w:szCs w:val="22"/>
        </w:rPr>
      </w:pPr>
      <w:r w:rsidRPr="00853C76">
        <w:rPr>
          <w:snapToGrid w:val="0"/>
          <w:kern w:val="22"/>
          <w:szCs w:val="22"/>
        </w:rPr>
        <w:t>101.</w:t>
      </w:r>
      <w:r w:rsidRPr="00853C76">
        <w:rPr>
          <w:snapToGrid w:val="0"/>
          <w:kern w:val="22"/>
          <w:szCs w:val="22"/>
        </w:rPr>
        <w:tab/>
        <w:t>The Global Environment Facility should make available a preliminary draft of its report to the Conference of the Parties, particularly focusing on the response of the Global Environment Facility to previous guidance from the Conference of the Parties, to the Subsidiary Body on Implementation prior to the meeting of the Conference of the Parties at which the report will be formally considered, with a view to promoting effective and timely consideration of the information provided in the report.</w:t>
      </w:r>
      <w:r w:rsidRPr="00610646">
        <w:rPr>
          <w:rStyle w:val="FootnoteReference"/>
        </w:rPr>
        <w:footnoteReference w:id="269"/>
      </w:r>
    </w:p>
    <w:p w14:paraId="010BBADF" w14:textId="77777777" w:rsidR="00DA0273" w:rsidRPr="00853C76" w:rsidRDefault="00DA0273" w:rsidP="00FB5720">
      <w:pPr>
        <w:keepNext/>
        <w:spacing w:before="120" w:after="120"/>
        <w:rPr>
          <w:b/>
          <w:bCs/>
          <w:iCs/>
          <w:snapToGrid w:val="0"/>
          <w:szCs w:val="22"/>
        </w:rPr>
      </w:pPr>
      <w:r w:rsidRPr="00853C76">
        <w:rPr>
          <w:b/>
          <w:bCs/>
          <w:iCs/>
          <w:snapToGrid w:val="0"/>
          <w:szCs w:val="22"/>
        </w:rPr>
        <w:t>Comprehensiveness and conciseness</w:t>
      </w:r>
    </w:p>
    <w:p w14:paraId="3A0CA7CC" w14:textId="77777777" w:rsidR="00DA0273" w:rsidRPr="00853C76" w:rsidRDefault="00DA0273" w:rsidP="00B22F02">
      <w:pPr>
        <w:spacing w:after="120"/>
        <w:rPr>
          <w:snapToGrid w:val="0"/>
          <w:kern w:val="22"/>
          <w:szCs w:val="22"/>
        </w:rPr>
      </w:pPr>
      <w:r w:rsidRPr="00853C76">
        <w:rPr>
          <w:snapToGrid w:val="0"/>
          <w:kern w:val="22"/>
          <w:szCs w:val="22"/>
        </w:rPr>
        <w:t>102.</w:t>
      </w:r>
      <w:r w:rsidRPr="00853C76">
        <w:rPr>
          <w:snapToGrid w:val="0"/>
          <w:kern w:val="22"/>
          <w:szCs w:val="22"/>
        </w:rPr>
        <w:tab/>
        <w:t xml:space="preserve">The Global Environment Facility should explore ways to balance the comprehensiveness and conciseness of the report of the Global Environment Facility, acknowledging the need to demonstrate progress in programming resources towards achievement of the goals and targets of the </w:t>
      </w:r>
      <w:r>
        <w:rPr>
          <w:kern w:val="22"/>
        </w:rPr>
        <w:t xml:space="preserve">Kunming-Montreal </w:t>
      </w:r>
      <w:r w:rsidRPr="00D71BEC">
        <w:rPr>
          <w:bCs/>
          <w:snapToGrid w:val="0"/>
          <w:kern w:val="22"/>
          <w:szCs w:val="22"/>
        </w:rPr>
        <w:t>Global Biodiversity Framework</w:t>
      </w:r>
      <w:r w:rsidRPr="00853C76">
        <w:rPr>
          <w:snapToGrid w:val="0"/>
          <w:kern w:val="22"/>
          <w:szCs w:val="22"/>
        </w:rPr>
        <w:t>.</w:t>
      </w:r>
      <w:r w:rsidRPr="00610646">
        <w:rPr>
          <w:rStyle w:val="FootnoteReference"/>
        </w:rPr>
        <w:footnoteReference w:id="270"/>
      </w:r>
    </w:p>
    <w:p w14:paraId="128E0C17" w14:textId="77777777" w:rsidR="00DA0273" w:rsidRPr="00853C76" w:rsidRDefault="00DA0273" w:rsidP="00FB5720">
      <w:pPr>
        <w:keepNext/>
        <w:spacing w:before="120" w:after="120"/>
        <w:rPr>
          <w:b/>
          <w:bCs/>
          <w:iCs/>
          <w:snapToGrid w:val="0"/>
          <w:szCs w:val="22"/>
        </w:rPr>
      </w:pPr>
      <w:r w:rsidRPr="00853C76">
        <w:rPr>
          <w:b/>
          <w:bCs/>
          <w:iCs/>
          <w:snapToGrid w:val="0"/>
          <w:szCs w:val="22"/>
        </w:rPr>
        <w:t>Results-based reporting</w:t>
      </w:r>
    </w:p>
    <w:p w14:paraId="6E72782A" w14:textId="77777777" w:rsidR="00DA0273" w:rsidRPr="00853C76" w:rsidRDefault="00DA0273" w:rsidP="00FB5720">
      <w:pPr>
        <w:spacing w:after="120"/>
        <w:rPr>
          <w:snapToGrid w:val="0"/>
          <w:kern w:val="22"/>
          <w:szCs w:val="22"/>
        </w:rPr>
      </w:pPr>
      <w:r w:rsidRPr="00853C76">
        <w:rPr>
          <w:snapToGrid w:val="0"/>
          <w:kern w:val="22"/>
          <w:szCs w:val="22"/>
        </w:rPr>
        <w:t>103.</w:t>
      </w:r>
      <w:r w:rsidRPr="00853C76">
        <w:rPr>
          <w:snapToGrid w:val="0"/>
          <w:kern w:val="22"/>
          <w:szCs w:val="22"/>
        </w:rPr>
        <w:tab/>
        <w:t>The Global Environment Facility should improve results-based reporting on the total contribution of the Global Environment Facility to achieving the objectives of the Convention, including the Facility’s contribution to incremental-cost financing and leveraging co-financing.</w:t>
      </w:r>
      <w:r w:rsidRPr="00610646">
        <w:rPr>
          <w:rStyle w:val="FootnoteReference"/>
        </w:rPr>
        <w:footnoteReference w:id="271"/>
      </w:r>
    </w:p>
    <w:p w14:paraId="3878CABC" w14:textId="77777777" w:rsidR="00DA0273" w:rsidRPr="00853C76" w:rsidRDefault="00DA0273" w:rsidP="00FB5720">
      <w:pPr>
        <w:keepNext/>
        <w:spacing w:before="120" w:after="120"/>
        <w:rPr>
          <w:b/>
          <w:bCs/>
          <w:iCs/>
          <w:snapToGrid w:val="0"/>
          <w:szCs w:val="22"/>
        </w:rPr>
      </w:pPr>
      <w:r w:rsidRPr="00853C76">
        <w:rPr>
          <w:b/>
          <w:bCs/>
          <w:iCs/>
          <w:snapToGrid w:val="0"/>
          <w:szCs w:val="22"/>
        </w:rPr>
        <w:t>Report on four-year outcome-oriented framework of programme priorities</w:t>
      </w:r>
    </w:p>
    <w:p w14:paraId="0D06624C" w14:textId="77777777" w:rsidR="00DA0273" w:rsidRPr="00853C76" w:rsidRDefault="00DA0273" w:rsidP="00FB5720">
      <w:pPr>
        <w:spacing w:after="120"/>
        <w:rPr>
          <w:snapToGrid w:val="0"/>
          <w:kern w:val="22"/>
          <w:szCs w:val="22"/>
        </w:rPr>
      </w:pPr>
      <w:r w:rsidRPr="00853C76">
        <w:rPr>
          <w:snapToGrid w:val="0"/>
          <w:kern w:val="22"/>
          <w:szCs w:val="22"/>
        </w:rPr>
        <w:t>104.</w:t>
      </w:r>
      <w:r w:rsidRPr="00853C76">
        <w:rPr>
          <w:snapToGrid w:val="0"/>
          <w:kern w:val="22"/>
          <w:szCs w:val="22"/>
        </w:rPr>
        <w:tab/>
        <w:t>The Global Environment Facility should report on its implementation of the four-year outcome</w:t>
      </w:r>
      <w:r w:rsidRPr="00853C76">
        <w:rPr>
          <w:snapToGrid w:val="0"/>
          <w:kern w:val="22"/>
          <w:szCs w:val="22"/>
        </w:rPr>
        <w:noBreakHyphen/>
        <w:t>oriented framework of programme priorities and how it responds to the individual elements.</w:t>
      </w:r>
      <w:r w:rsidRPr="00610646">
        <w:rPr>
          <w:rStyle w:val="FootnoteReference"/>
        </w:rPr>
        <w:footnoteReference w:id="272"/>
      </w:r>
    </w:p>
    <w:p w14:paraId="48F5A279" w14:textId="77777777" w:rsidR="00DA0273" w:rsidRPr="00853C76" w:rsidRDefault="00DA0273" w:rsidP="00FB5720">
      <w:pPr>
        <w:spacing w:before="120" w:after="120"/>
        <w:rPr>
          <w:snapToGrid w:val="0"/>
          <w:kern w:val="22"/>
          <w:szCs w:val="22"/>
        </w:rPr>
      </w:pPr>
      <w:r w:rsidRPr="00853C76">
        <w:rPr>
          <w:iCs/>
          <w:snapToGrid w:val="0"/>
          <w:kern w:val="22"/>
          <w:szCs w:val="22"/>
        </w:rPr>
        <w:t>105.</w:t>
      </w:r>
      <w:r w:rsidRPr="00853C76">
        <w:rPr>
          <w:iCs/>
          <w:snapToGrid w:val="0"/>
          <w:kern w:val="22"/>
          <w:szCs w:val="22"/>
        </w:rPr>
        <w:tab/>
        <w:t xml:space="preserve">The </w:t>
      </w:r>
      <w:r w:rsidRPr="00853C76">
        <w:rPr>
          <w:snapToGrid w:val="0"/>
          <w:kern w:val="22"/>
          <w:szCs w:val="22"/>
        </w:rPr>
        <w:t>Global Environment Facility should include information regarding the individual elements of the consolidated guidance, in particular the four-year outcome-oriented framework of programme priorities, in its future reports to the Conference of the Parties</w:t>
      </w:r>
      <w:r>
        <w:rPr>
          <w:snapToGrid w:val="0"/>
          <w:kern w:val="22"/>
          <w:szCs w:val="22"/>
        </w:rPr>
        <w:t>.</w:t>
      </w:r>
      <w:r w:rsidRPr="00610646">
        <w:rPr>
          <w:rStyle w:val="FootnoteReference"/>
          <w:rFonts w:eastAsiaTheme="majorEastAsia"/>
        </w:rPr>
        <w:footnoteReference w:id="273"/>
      </w:r>
    </w:p>
    <w:p w14:paraId="1266E3E3" w14:textId="77777777" w:rsidR="00DA0273" w:rsidRPr="00853C76" w:rsidRDefault="00DA0273" w:rsidP="00FB5720">
      <w:pPr>
        <w:keepNext/>
        <w:spacing w:before="120" w:after="120"/>
        <w:rPr>
          <w:b/>
          <w:bCs/>
          <w:iCs/>
          <w:snapToGrid w:val="0"/>
          <w:szCs w:val="22"/>
        </w:rPr>
      </w:pPr>
      <w:r w:rsidRPr="00853C76">
        <w:rPr>
          <w:b/>
          <w:bCs/>
          <w:iCs/>
          <w:snapToGrid w:val="0"/>
          <w:szCs w:val="22"/>
        </w:rPr>
        <w:t>Reporting on needs assessment results</w:t>
      </w:r>
    </w:p>
    <w:p w14:paraId="10412C79" w14:textId="77777777" w:rsidR="00DA0273" w:rsidRPr="00853C76" w:rsidRDefault="00DA0273" w:rsidP="00FB5720">
      <w:pPr>
        <w:spacing w:after="120"/>
        <w:rPr>
          <w:snapToGrid w:val="0"/>
          <w:kern w:val="22"/>
          <w:szCs w:val="22"/>
        </w:rPr>
      </w:pPr>
      <w:r w:rsidRPr="00853C76">
        <w:rPr>
          <w:snapToGrid w:val="0"/>
          <w:kern w:val="22"/>
          <w:szCs w:val="22"/>
          <w:lang w:eastAsia="ko-KR"/>
        </w:rPr>
        <w:t>106</w:t>
      </w:r>
      <w:r w:rsidRPr="00853C76">
        <w:rPr>
          <w:snapToGrid w:val="0"/>
          <w:kern w:val="22"/>
          <w:szCs w:val="22"/>
        </w:rPr>
        <w:t>.</w:t>
      </w:r>
      <w:r w:rsidRPr="00853C76">
        <w:rPr>
          <w:snapToGrid w:val="0"/>
          <w:kern w:val="22"/>
          <w:szCs w:val="22"/>
        </w:rPr>
        <w:tab/>
        <w:t>The Global Environment Facility should indicate in its report to the Conference of the Parties, how it plans to respond to the report on the determination of funding requirements, pursuant to paragraph 5.2 of the Memorandum of Understanding.</w:t>
      </w:r>
      <w:r w:rsidRPr="00610646">
        <w:rPr>
          <w:rStyle w:val="FootnoteReference"/>
        </w:rPr>
        <w:footnoteReference w:id="274"/>
      </w:r>
    </w:p>
    <w:p w14:paraId="2F53C97E" w14:textId="77777777" w:rsidR="00DA0273" w:rsidRPr="00853C76" w:rsidRDefault="00DA0273" w:rsidP="00FB5720">
      <w:pPr>
        <w:spacing w:after="120"/>
        <w:rPr>
          <w:snapToGrid w:val="0"/>
          <w:kern w:val="22"/>
          <w:szCs w:val="22"/>
        </w:rPr>
      </w:pPr>
      <w:r w:rsidRPr="00853C76">
        <w:rPr>
          <w:snapToGrid w:val="0"/>
          <w:kern w:val="22"/>
          <w:szCs w:val="22"/>
        </w:rPr>
        <w:t>107.</w:t>
      </w:r>
      <w:r w:rsidRPr="00853C76">
        <w:rPr>
          <w:snapToGrid w:val="0"/>
          <w:kern w:val="22"/>
          <w:szCs w:val="22"/>
        </w:rPr>
        <w:tab/>
        <w:t>The Global Environment Facility will in its regular report to the Conference of Parties indicate how it has responded during the replenishment cycle to the previous assessment by the Conference of the Parties.</w:t>
      </w:r>
      <w:r w:rsidRPr="00610646">
        <w:rPr>
          <w:rStyle w:val="FootnoteReference"/>
          <w:rFonts w:eastAsiaTheme="majorEastAsia"/>
        </w:rPr>
        <w:footnoteReference w:id="275"/>
      </w:r>
    </w:p>
    <w:p w14:paraId="3C65AEB5" w14:textId="77777777" w:rsidR="00DA0273" w:rsidRPr="00853C76" w:rsidRDefault="00DA0273" w:rsidP="00FB5720">
      <w:pPr>
        <w:keepNext/>
        <w:spacing w:before="120" w:after="120"/>
        <w:rPr>
          <w:b/>
          <w:bCs/>
          <w:iCs/>
          <w:snapToGrid w:val="0"/>
          <w:szCs w:val="22"/>
        </w:rPr>
      </w:pPr>
      <w:r w:rsidRPr="00853C76">
        <w:rPr>
          <w:b/>
          <w:bCs/>
          <w:iCs/>
          <w:snapToGrid w:val="0"/>
          <w:szCs w:val="22"/>
        </w:rPr>
        <w:t>Transparency</w:t>
      </w:r>
    </w:p>
    <w:p w14:paraId="23EC179E" w14:textId="77777777" w:rsidR="00DA0273" w:rsidRPr="00853C76" w:rsidRDefault="00DA0273" w:rsidP="00FB5720">
      <w:pPr>
        <w:autoSpaceDE w:val="0"/>
        <w:autoSpaceDN w:val="0"/>
        <w:spacing w:before="120" w:after="120"/>
        <w:rPr>
          <w:snapToGrid w:val="0"/>
          <w:color w:val="000000"/>
          <w:kern w:val="22"/>
          <w:szCs w:val="22"/>
        </w:rPr>
      </w:pPr>
      <w:r w:rsidRPr="00853C76">
        <w:rPr>
          <w:snapToGrid w:val="0"/>
          <w:color w:val="000000"/>
          <w:kern w:val="22"/>
          <w:szCs w:val="22"/>
        </w:rPr>
        <w:t>108.</w:t>
      </w:r>
      <w:r w:rsidRPr="00853C76">
        <w:rPr>
          <w:snapToGrid w:val="0"/>
          <w:color w:val="000000"/>
          <w:kern w:val="22"/>
          <w:szCs w:val="22"/>
        </w:rPr>
        <w:tab/>
        <w:t>The Global Environment Facility, in response to the concerns of the Parties on transparency of the process of approving Global Environment Facility</w:t>
      </w:r>
      <w:r w:rsidRPr="00853C76" w:rsidDel="00391748">
        <w:rPr>
          <w:snapToGrid w:val="0"/>
          <w:color w:val="000000"/>
          <w:kern w:val="22"/>
          <w:szCs w:val="22"/>
        </w:rPr>
        <w:t xml:space="preserve"> </w:t>
      </w:r>
      <w:r w:rsidRPr="00853C76">
        <w:rPr>
          <w:snapToGrid w:val="0"/>
          <w:color w:val="000000"/>
          <w:kern w:val="22"/>
          <w:szCs w:val="22"/>
        </w:rPr>
        <w:t>projects, should include in its report to the Conference of the Parties, information regarding paragraph 3.3(d) of the Memorandum of Understanding</w:t>
      </w:r>
      <w:r>
        <w:rPr>
          <w:snapToGrid w:val="0"/>
          <w:color w:val="000000"/>
          <w:kern w:val="22"/>
          <w:szCs w:val="22"/>
        </w:rPr>
        <w:t>.</w:t>
      </w:r>
      <w:r w:rsidRPr="00610646">
        <w:rPr>
          <w:rStyle w:val="FootnoteReference"/>
          <w:rFonts w:eastAsiaTheme="majorEastAsia"/>
        </w:rPr>
        <w:footnoteReference w:id="276"/>
      </w:r>
    </w:p>
    <w:p w14:paraId="3352D547" w14:textId="77777777" w:rsidR="00DA0273" w:rsidRPr="00853C76" w:rsidRDefault="00DA0273" w:rsidP="00FB5720">
      <w:pPr>
        <w:keepNext/>
        <w:spacing w:before="120" w:after="120"/>
        <w:rPr>
          <w:b/>
          <w:bCs/>
          <w:iCs/>
          <w:snapToGrid w:val="0"/>
          <w:szCs w:val="22"/>
        </w:rPr>
      </w:pPr>
      <w:r w:rsidRPr="00853C76">
        <w:rPr>
          <w:b/>
          <w:bCs/>
          <w:iCs/>
          <w:snapToGrid w:val="0"/>
          <w:szCs w:val="22"/>
        </w:rPr>
        <w:t>Safeguards</w:t>
      </w:r>
    </w:p>
    <w:p w14:paraId="0BCCC635" w14:textId="77777777" w:rsidR="00DA0273" w:rsidRPr="00853C76" w:rsidRDefault="00DA0273" w:rsidP="00FB5720">
      <w:pPr>
        <w:suppressLineNumbers/>
        <w:suppressAutoHyphens/>
        <w:kinsoku w:val="0"/>
        <w:overflowPunct w:val="0"/>
        <w:autoSpaceDE w:val="0"/>
        <w:autoSpaceDN w:val="0"/>
        <w:adjustRightInd w:val="0"/>
        <w:snapToGrid w:val="0"/>
        <w:spacing w:before="120" w:after="120"/>
        <w:rPr>
          <w:snapToGrid w:val="0"/>
          <w:kern w:val="22"/>
          <w:szCs w:val="22"/>
        </w:rPr>
      </w:pPr>
      <w:r w:rsidRPr="00853C76">
        <w:rPr>
          <w:snapToGrid w:val="0"/>
          <w:kern w:val="22"/>
          <w:szCs w:val="22"/>
        </w:rPr>
        <w:t>109.</w:t>
      </w:r>
      <w:r w:rsidRPr="00853C76">
        <w:rPr>
          <w:snapToGrid w:val="0"/>
          <w:kern w:val="22"/>
          <w:szCs w:val="22"/>
        </w:rPr>
        <w:tab/>
      </w:r>
      <w:r w:rsidRPr="00853C76">
        <w:rPr>
          <w:iCs/>
          <w:snapToGrid w:val="0"/>
          <w:kern w:val="22"/>
          <w:szCs w:val="22"/>
        </w:rPr>
        <w:t>T</w:t>
      </w:r>
      <w:r w:rsidRPr="00853C76">
        <w:rPr>
          <w:snapToGrid w:val="0"/>
          <w:kern w:val="22"/>
          <w:szCs w:val="22"/>
        </w:rPr>
        <w:t>he Global Environment Facility should inform the Conference of the Parties about how it is taking into account the Convention’s voluntary guidelines on safeguards in biodiversity financing mechanisms</w:t>
      </w:r>
      <w:r>
        <w:rPr>
          <w:snapToGrid w:val="0"/>
          <w:kern w:val="22"/>
          <w:szCs w:val="22"/>
        </w:rPr>
        <w:t>.</w:t>
      </w:r>
      <w:r w:rsidRPr="00610646">
        <w:rPr>
          <w:rStyle w:val="FootnoteReference"/>
          <w:rFonts w:eastAsiaTheme="majorEastAsia"/>
        </w:rPr>
        <w:footnoteReference w:id="277"/>
      </w:r>
    </w:p>
    <w:p w14:paraId="49DCA8AF" w14:textId="77777777" w:rsidR="00DA0273" w:rsidRPr="00853C76" w:rsidRDefault="00DA0273" w:rsidP="00FB5720">
      <w:pPr>
        <w:keepNext/>
        <w:spacing w:before="120" w:after="120"/>
        <w:rPr>
          <w:b/>
          <w:bCs/>
          <w:iCs/>
          <w:snapToGrid w:val="0"/>
          <w:szCs w:val="22"/>
        </w:rPr>
      </w:pPr>
      <w:r w:rsidRPr="00853C76">
        <w:rPr>
          <w:b/>
          <w:bCs/>
          <w:iCs/>
          <w:snapToGrid w:val="0"/>
          <w:szCs w:val="22"/>
        </w:rPr>
        <w:t>Co-financing</w:t>
      </w:r>
    </w:p>
    <w:p w14:paraId="31401BB7" w14:textId="77777777" w:rsidR="00DA0273" w:rsidRPr="00853C76" w:rsidRDefault="00DA0273" w:rsidP="00FB5720">
      <w:pPr>
        <w:suppressLineNumbers/>
        <w:suppressAutoHyphens/>
        <w:kinsoku w:val="0"/>
        <w:overflowPunct w:val="0"/>
        <w:autoSpaceDE w:val="0"/>
        <w:autoSpaceDN w:val="0"/>
        <w:adjustRightInd w:val="0"/>
        <w:snapToGrid w:val="0"/>
        <w:spacing w:before="120" w:after="120"/>
        <w:rPr>
          <w:snapToGrid w:val="0"/>
          <w:kern w:val="22"/>
          <w:szCs w:val="22"/>
        </w:rPr>
      </w:pPr>
      <w:r w:rsidRPr="00853C76">
        <w:rPr>
          <w:snapToGrid w:val="0"/>
          <w:kern w:val="22"/>
          <w:szCs w:val="22"/>
        </w:rPr>
        <w:t>110.</w:t>
      </w:r>
      <w:r w:rsidRPr="00853C76">
        <w:rPr>
          <w:snapToGrid w:val="0"/>
          <w:kern w:val="22"/>
          <w:szCs w:val="22"/>
        </w:rPr>
        <w:tab/>
      </w:r>
      <w:r w:rsidRPr="00853C76">
        <w:rPr>
          <w:iCs/>
          <w:snapToGrid w:val="0"/>
          <w:kern w:val="22"/>
          <w:szCs w:val="22"/>
        </w:rPr>
        <w:t>T</w:t>
      </w:r>
      <w:r w:rsidRPr="00853C76">
        <w:rPr>
          <w:snapToGrid w:val="0"/>
          <w:kern w:val="22"/>
          <w:szCs w:val="22"/>
        </w:rPr>
        <w:t>he Global Environment Facility should include the information regarding progress in implementing the new co-financing policy in its report to the Conference of the Parties</w:t>
      </w:r>
      <w:r>
        <w:rPr>
          <w:snapToGrid w:val="0"/>
          <w:kern w:val="22"/>
          <w:szCs w:val="22"/>
        </w:rPr>
        <w:t>.</w:t>
      </w:r>
      <w:r w:rsidRPr="00610646">
        <w:rPr>
          <w:rStyle w:val="FootnoteReference"/>
          <w:rFonts w:eastAsiaTheme="majorEastAsia"/>
        </w:rPr>
        <w:footnoteReference w:id="278"/>
      </w:r>
    </w:p>
    <w:p w14:paraId="037402AB" w14:textId="77777777" w:rsidR="00DA0273" w:rsidRPr="00853C76" w:rsidRDefault="00DA0273" w:rsidP="00FB5720">
      <w:pPr>
        <w:keepNext/>
        <w:spacing w:before="120" w:after="120"/>
        <w:rPr>
          <w:b/>
          <w:bCs/>
          <w:iCs/>
          <w:snapToGrid w:val="0"/>
          <w:szCs w:val="22"/>
        </w:rPr>
      </w:pPr>
      <w:r w:rsidRPr="00853C76">
        <w:rPr>
          <w:b/>
          <w:bCs/>
          <w:iCs/>
          <w:snapToGrid w:val="0"/>
          <w:szCs w:val="22"/>
        </w:rPr>
        <w:t>Agencies</w:t>
      </w:r>
    </w:p>
    <w:p w14:paraId="1496FCAB" w14:textId="77777777" w:rsidR="00DA0273" w:rsidRPr="00853C76" w:rsidRDefault="00DA0273" w:rsidP="00FB5720">
      <w:pPr>
        <w:suppressLineNumbers/>
        <w:suppressAutoHyphens/>
        <w:kinsoku w:val="0"/>
        <w:overflowPunct w:val="0"/>
        <w:autoSpaceDE w:val="0"/>
        <w:autoSpaceDN w:val="0"/>
        <w:adjustRightInd w:val="0"/>
        <w:snapToGrid w:val="0"/>
        <w:spacing w:before="120" w:after="120"/>
        <w:rPr>
          <w:snapToGrid w:val="0"/>
          <w:kern w:val="22"/>
          <w:szCs w:val="22"/>
        </w:rPr>
      </w:pPr>
      <w:r w:rsidRPr="00853C76">
        <w:rPr>
          <w:snapToGrid w:val="0"/>
          <w:kern w:val="22"/>
          <w:szCs w:val="22"/>
        </w:rPr>
        <w:t>111.</w:t>
      </w:r>
      <w:r w:rsidRPr="00853C76">
        <w:rPr>
          <w:snapToGrid w:val="0"/>
          <w:kern w:val="22"/>
          <w:szCs w:val="22"/>
        </w:rPr>
        <w:tab/>
      </w:r>
      <w:r w:rsidRPr="00853C76">
        <w:rPr>
          <w:iCs/>
          <w:snapToGrid w:val="0"/>
          <w:kern w:val="22"/>
          <w:szCs w:val="22"/>
        </w:rPr>
        <w:t>T</w:t>
      </w:r>
      <w:r w:rsidRPr="00853C76">
        <w:rPr>
          <w:snapToGrid w:val="0"/>
          <w:kern w:val="22"/>
          <w:szCs w:val="22"/>
        </w:rPr>
        <w:t>he Global Environment Facility should include the information regarding performance of the Global Environment Facility’s network of agencies in its report to the Conference of the Parties</w:t>
      </w:r>
      <w:r>
        <w:rPr>
          <w:snapToGrid w:val="0"/>
          <w:kern w:val="22"/>
          <w:szCs w:val="22"/>
        </w:rPr>
        <w:t>.</w:t>
      </w:r>
      <w:r w:rsidRPr="00610646">
        <w:rPr>
          <w:rStyle w:val="FootnoteReference"/>
          <w:rFonts w:eastAsiaTheme="majorEastAsia"/>
        </w:rPr>
        <w:footnoteReference w:id="279"/>
      </w:r>
    </w:p>
    <w:p w14:paraId="7F67D57A" w14:textId="77777777" w:rsidR="00DA0273" w:rsidRPr="0081037E" w:rsidRDefault="00DA0273" w:rsidP="0081037E">
      <w:pPr>
        <w:keepNext/>
        <w:pBdr>
          <w:top w:val="nil"/>
          <w:left w:val="nil"/>
          <w:bottom w:val="nil"/>
          <w:right w:val="nil"/>
          <w:between w:val="nil"/>
        </w:pBdr>
        <w:tabs>
          <w:tab w:val="left" w:pos="360"/>
        </w:tabs>
        <w:spacing w:before="120" w:after="120"/>
        <w:jc w:val="center"/>
        <w:rPr>
          <w:b/>
          <w:bCs/>
          <w:snapToGrid w:val="0"/>
          <w:color w:val="000000"/>
          <w:kern w:val="22"/>
          <w:szCs w:val="22"/>
        </w:rPr>
      </w:pPr>
      <w:bookmarkStart w:id="229" w:name="_Toc257060643"/>
      <w:bookmarkStart w:id="230" w:name="_Toc259455706"/>
      <w:bookmarkStart w:id="231" w:name="_Toc260384357"/>
      <w:bookmarkStart w:id="232" w:name="_Toc263089347"/>
      <w:r w:rsidRPr="0081037E">
        <w:rPr>
          <w:b/>
          <w:bCs/>
          <w:snapToGrid w:val="0"/>
          <w:color w:val="000000"/>
          <w:kern w:val="22"/>
          <w:szCs w:val="22"/>
        </w:rPr>
        <w:t>E.</w:t>
      </w:r>
      <w:r w:rsidRPr="0081037E">
        <w:rPr>
          <w:b/>
          <w:bCs/>
          <w:snapToGrid w:val="0"/>
          <w:color w:val="000000"/>
          <w:kern w:val="22"/>
          <w:szCs w:val="22"/>
        </w:rPr>
        <w:tab/>
        <w:t>Review of the effectiveness of the financial mechanism</w:t>
      </w:r>
      <w:bookmarkEnd w:id="229"/>
      <w:bookmarkEnd w:id="230"/>
      <w:bookmarkEnd w:id="231"/>
      <w:bookmarkEnd w:id="232"/>
    </w:p>
    <w:p w14:paraId="4D75B3B6" w14:textId="77777777" w:rsidR="00DA0273" w:rsidRPr="00853C76" w:rsidRDefault="00DA0273" w:rsidP="00FB5720">
      <w:pPr>
        <w:spacing w:after="120"/>
        <w:rPr>
          <w:snapToGrid w:val="0"/>
          <w:kern w:val="22"/>
          <w:szCs w:val="22"/>
        </w:rPr>
      </w:pPr>
      <w:r w:rsidRPr="00853C76">
        <w:rPr>
          <w:snapToGrid w:val="0"/>
          <w:kern w:val="22"/>
          <w:szCs w:val="22"/>
        </w:rPr>
        <w:t>112.</w:t>
      </w:r>
      <w:r w:rsidRPr="00853C76">
        <w:rPr>
          <w:snapToGrid w:val="0"/>
          <w:kern w:val="22"/>
          <w:szCs w:val="22"/>
        </w:rPr>
        <w:tab/>
        <w:t>The review of the effectiveness of the financial mechanism will be conducted every four years and this review should coincide with the meeting of the Conference of the Parties.</w:t>
      </w:r>
      <w:r w:rsidRPr="00610646">
        <w:rPr>
          <w:rStyle w:val="FootnoteReference"/>
        </w:rPr>
        <w:footnoteReference w:id="280"/>
      </w:r>
    </w:p>
    <w:p w14:paraId="377C39D7" w14:textId="77777777" w:rsidR="00DA0273" w:rsidRPr="0081037E" w:rsidRDefault="00DA0273" w:rsidP="0081037E">
      <w:pPr>
        <w:keepNext/>
        <w:pBdr>
          <w:top w:val="nil"/>
          <w:left w:val="nil"/>
          <w:bottom w:val="nil"/>
          <w:right w:val="nil"/>
          <w:between w:val="nil"/>
        </w:pBdr>
        <w:tabs>
          <w:tab w:val="left" w:pos="360"/>
        </w:tabs>
        <w:spacing w:before="120" w:after="120"/>
        <w:jc w:val="center"/>
        <w:rPr>
          <w:b/>
          <w:bCs/>
          <w:snapToGrid w:val="0"/>
          <w:color w:val="000000"/>
          <w:kern w:val="22"/>
          <w:szCs w:val="22"/>
        </w:rPr>
      </w:pPr>
      <w:bookmarkStart w:id="233" w:name="_Toc257060652"/>
      <w:bookmarkStart w:id="234" w:name="_Toc259455717"/>
      <w:bookmarkStart w:id="235" w:name="_Toc260384367"/>
      <w:bookmarkStart w:id="236" w:name="_Toc263089357"/>
      <w:r w:rsidRPr="0081037E">
        <w:rPr>
          <w:b/>
          <w:bCs/>
          <w:snapToGrid w:val="0"/>
          <w:color w:val="000000"/>
          <w:kern w:val="22"/>
          <w:szCs w:val="22"/>
        </w:rPr>
        <w:t>F.</w:t>
      </w:r>
      <w:r w:rsidRPr="0081037E">
        <w:rPr>
          <w:b/>
          <w:bCs/>
          <w:snapToGrid w:val="0"/>
          <w:color w:val="000000"/>
          <w:kern w:val="22"/>
          <w:szCs w:val="22"/>
        </w:rPr>
        <w:tab/>
        <w:t>Replenishment of the Global Environment Facility Trust Fund</w:t>
      </w:r>
      <w:bookmarkEnd w:id="233"/>
      <w:bookmarkEnd w:id="234"/>
      <w:bookmarkEnd w:id="235"/>
      <w:bookmarkEnd w:id="236"/>
    </w:p>
    <w:p w14:paraId="33C3B616" w14:textId="77777777" w:rsidR="00DA0273" w:rsidRPr="00853C76" w:rsidRDefault="00DA0273" w:rsidP="00FB5720">
      <w:pPr>
        <w:spacing w:after="120"/>
        <w:rPr>
          <w:snapToGrid w:val="0"/>
          <w:kern w:val="22"/>
          <w:szCs w:val="22"/>
        </w:rPr>
      </w:pPr>
      <w:r w:rsidRPr="00853C76">
        <w:rPr>
          <w:snapToGrid w:val="0"/>
          <w:kern w:val="22"/>
          <w:szCs w:val="22"/>
        </w:rPr>
        <w:t>113.</w:t>
      </w:r>
      <w:r w:rsidRPr="00853C76">
        <w:rPr>
          <w:snapToGrid w:val="0"/>
          <w:kern w:val="22"/>
          <w:szCs w:val="22"/>
        </w:rPr>
        <w:tab/>
        <w:t>The updated list of developed country Parties and other Parties that voluntarily assume the obligations of developed country Parties in accordance with Article 20, paragraph 2 of the Convention, is contained in the annex to decision VIII/18.</w:t>
      </w:r>
      <w:r w:rsidRPr="00610646">
        <w:rPr>
          <w:rStyle w:val="FootnoteReference"/>
          <w:rFonts w:eastAsiaTheme="majorEastAsia"/>
        </w:rPr>
        <w:footnoteReference w:id="281"/>
      </w:r>
    </w:p>
    <w:p w14:paraId="762D40AE" w14:textId="77777777" w:rsidR="00DA0273" w:rsidRPr="00853C76" w:rsidRDefault="00DA0273" w:rsidP="00FB5720">
      <w:pPr>
        <w:spacing w:after="120"/>
        <w:rPr>
          <w:snapToGrid w:val="0"/>
          <w:kern w:val="22"/>
          <w:szCs w:val="22"/>
        </w:rPr>
      </w:pPr>
      <w:r w:rsidRPr="00853C76">
        <w:rPr>
          <w:snapToGrid w:val="0"/>
          <w:kern w:val="22"/>
          <w:szCs w:val="22"/>
        </w:rPr>
        <w:t>114.</w:t>
      </w:r>
      <w:r w:rsidRPr="00853C76">
        <w:rPr>
          <w:snapToGrid w:val="0"/>
          <w:kern w:val="22"/>
          <w:szCs w:val="22"/>
        </w:rPr>
        <w:tab/>
        <w:t>The developed country Parties and others are invited to increase their financial contributions through the financial mechanism during the replenishment of the Global Environment Facility Trust Fund.</w:t>
      </w:r>
      <w:r w:rsidRPr="00610646">
        <w:rPr>
          <w:rStyle w:val="FootnoteReference"/>
          <w:rFonts w:eastAsiaTheme="majorEastAsia"/>
        </w:rPr>
        <w:footnoteReference w:id="282"/>
      </w:r>
    </w:p>
    <w:p w14:paraId="4117597C" w14:textId="77777777" w:rsidR="00DA0273" w:rsidRPr="00853C76" w:rsidRDefault="00DA0273" w:rsidP="00FB5720">
      <w:pPr>
        <w:spacing w:after="120"/>
        <w:rPr>
          <w:snapToGrid w:val="0"/>
          <w:kern w:val="22"/>
          <w:szCs w:val="22"/>
        </w:rPr>
      </w:pPr>
      <w:r w:rsidRPr="00853C76">
        <w:rPr>
          <w:snapToGrid w:val="0"/>
          <w:kern w:val="22"/>
          <w:szCs w:val="22"/>
        </w:rPr>
        <w:t>115.</w:t>
      </w:r>
      <w:r w:rsidRPr="00853C76">
        <w:rPr>
          <w:snapToGrid w:val="0"/>
          <w:kern w:val="22"/>
          <w:szCs w:val="22"/>
        </w:rPr>
        <w:tab/>
        <w:t>The Global Environment Facility is urged, in the process of replenishment, to give due consideration to all aspects of the needs assessment report on the levels of funding for biodiversity.</w:t>
      </w:r>
      <w:r w:rsidRPr="00610646">
        <w:rPr>
          <w:rStyle w:val="FootnoteReference"/>
          <w:rFonts w:eastAsiaTheme="majorEastAsia"/>
        </w:rPr>
        <w:footnoteReference w:id="283"/>
      </w:r>
      <w:bookmarkStart w:id="237" w:name="_Toc257060653"/>
      <w:bookmarkStart w:id="238" w:name="_Toc259455718"/>
      <w:bookmarkStart w:id="239" w:name="_Toc260384368"/>
      <w:bookmarkStart w:id="240" w:name="_Toc263089358"/>
    </w:p>
    <w:p w14:paraId="37D0B0B5" w14:textId="77777777" w:rsidR="00DA0273" w:rsidRPr="0081037E" w:rsidRDefault="00DA0273" w:rsidP="0081037E">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81037E">
        <w:rPr>
          <w:b/>
          <w:bCs/>
          <w:snapToGrid w:val="0"/>
          <w:color w:val="000000"/>
          <w:kern w:val="22"/>
          <w:szCs w:val="22"/>
        </w:rPr>
        <w:t>G.</w:t>
      </w:r>
      <w:r w:rsidRPr="0081037E">
        <w:rPr>
          <w:b/>
          <w:bCs/>
          <w:snapToGrid w:val="0"/>
          <w:color w:val="000000"/>
          <w:kern w:val="22"/>
          <w:szCs w:val="22"/>
        </w:rPr>
        <w:tab/>
        <w:t>Inter-secretariat cooperation</w:t>
      </w:r>
      <w:bookmarkEnd w:id="237"/>
      <w:bookmarkEnd w:id="238"/>
      <w:bookmarkEnd w:id="239"/>
      <w:bookmarkEnd w:id="240"/>
    </w:p>
    <w:p w14:paraId="5C17CE3E" w14:textId="77777777" w:rsidR="00DA0273" w:rsidRPr="00853C76" w:rsidRDefault="00DA0273" w:rsidP="00FB5720">
      <w:pPr>
        <w:spacing w:after="120"/>
        <w:rPr>
          <w:snapToGrid w:val="0"/>
          <w:kern w:val="22"/>
          <w:szCs w:val="22"/>
        </w:rPr>
      </w:pPr>
      <w:r w:rsidRPr="00853C76">
        <w:rPr>
          <w:snapToGrid w:val="0"/>
          <w:kern w:val="22"/>
          <w:szCs w:val="22"/>
        </w:rPr>
        <w:t>116.</w:t>
      </w:r>
      <w:r w:rsidRPr="00853C76">
        <w:rPr>
          <w:snapToGrid w:val="0"/>
          <w:kern w:val="22"/>
          <w:szCs w:val="22"/>
        </w:rPr>
        <w:tab/>
        <w:t>Participation of a representative of the Subsidiary Body on Scientific, Technical and Technological Advice of the Convention and of the Scientific and Technical Advisory Panel of the Global Environment Facility is requested in respective meetings of the Subsidiary Body on Scientific, Technical and Technological Advice and the Scientific and Technical Advisory Panel on a reciprocal basis.</w:t>
      </w:r>
      <w:r w:rsidRPr="00610646">
        <w:rPr>
          <w:rStyle w:val="FootnoteReference"/>
        </w:rPr>
        <w:footnoteReference w:id="284"/>
      </w:r>
    </w:p>
    <w:p w14:paraId="18500D19" w14:textId="77777777" w:rsidR="00DA0273" w:rsidRPr="00853C76" w:rsidRDefault="00DA0273" w:rsidP="00FB5720">
      <w:pPr>
        <w:spacing w:after="120"/>
        <w:rPr>
          <w:snapToGrid w:val="0"/>
          <w:kern w:val="22"/>
          <w:szCs w:val="22"/>
        </w:rPr>
      </w:pPr>
      <w:r w:rsidRPr="00853C76">
        <w:rPr>
          <w:snapToGrid w:val="0"/>
          <w:kern w:val="22"/>
          <w:szCs w:val="22"/>
        </w:rPr>
        <w:t>117.</w:t>
      </w:r>
      <w:r w:rsidRPr="00853C76">
        <w:rPr>
          <w:snapToGrid w:val="0"/>
          <w:kern w:val="22"/>
          <w:szCs w:val="22"/>
        </w:rPr>
        <w:tab/>
        <w:t>The Executive Secretary should promote, in collaboration with the Global Environment Facility, exchange of experience and good practice in financing for biological diversity.</w:t>
      </w:r>
      <w:r w:rsidRPr="00610646">
        <w:rPr>
          <w:rStyle w:val="FootnoteReference"/>
        </w:rPr>
        <w:footnoteReference w:id="285"/>
      </w:r>
    </w:p>
    <w:p w14:paraId="52133320" w14:textId="77777777" w:rsidR="00DA0273" w:rsidRPr="00853C76" w:rsidRDefault="00DA0273" w:rsidP="00FB5720">
      <w:pPr>
        <w:spacing w:after="120"/>
        <w:rPr>
          <w:snapToGrid w:val="0"/>
          <w:kern w:val="22"/>
          <w:szCs w:val="22"/>
        </w:rPr>
      </w:pPr>
      <w:r w:rsidRPr="00853C76">
        <w:rPr>
          <w:snapToGrid w:val="0"/>
          <w:kern w:val="22"/>
          <w:szCs w:val="22"/>
        </w:rPr>
        <w:t>118.</w:t>
      </w:r>
      <w:r w:rsidRPr="00853C76">
        <w:rPr>
          <w:snapToGrid w:val="0"/>
          <w:kern w:val="22"/>
          <w:szCs w:val="22"/>
        </w:rPr>
        <w:tab/>
        <w:t>The Executive Secretary and the Chief Executive Officer of the Global Environment Facility should continue to strengthen inter-secretariat cooperation and collaborate with the Independent Evaluation Office of the Global Environment Facility and the Global Environment Facility agencies.</w:t>
      </w:r>
      <w:r w:rsidRPr="00610646">
        <w:rPr>
          <w:rStyle w:val="FootnoteReference"/>
        </w:rPr>
        <w:footnoteReference w:id="286"/>
      </w:r>
    </w:p>
    <w:p w14:paraId="459D318F" w14:textId="77777777" w:rsidR="00DA0273" w:rsidRPr="00207688" w:rsidRDefault="00DA0273" w:rsidP="000E778E">
      <w:pPr>
        <w:rPr>
          <w:iCs/>
          <w:kern w:val="22"/>
          <w:szCs w:val="22"/>
        </w:rPr>
      </w:pPr>
      <w:r w:rsidRPr="00207688">
        <w:rPr>
          <w:rFonts w:eastAsia="SimSun"/>
          <w:snapToGrid w:val="0"/>
          <w:kern w:val="22"/>
          <w:szCs w:val="22"/>
          <w:lang w:eastAsia="zh-CN"/>
        </w:rPr>
        <w:t>119.</w:t>
      </w:r>
      <w:r w:rsidRPr="00207688">
        <w:rPr>
          <w:iCs/>
          <w:kern w:val="22"/>
          <w:szCs w:val="22"/>
        </w:rPr>
        <w:tab/>
      </w:r>
      <w:r w:rsidRPr="00207688">
        <w:rPr>
          <w:kern w:val="22"/>
          <w:szCs w:val="22"/>
        </w:rPr>
        <w:t>T</w:t>
      </w:r>
      <w:r w:rsidRPr="00207688">
        <w:rPr>
          <w:iCs/>
          <w:kern w:val="22"/>
          <w:szCs w:val="22"/>
        </w:rPr>
        <w:t xml:space="preserve">he Executive Secretary is encouraged to work closely with the Global Environment Facility in the transition to the </w:t>
      </w:r>
      <w:r w:rsidRPr="00207688">
        <w:rPr>
          <w:kern w:val="22"/>
        </w:rPr>
        <w:t xml:space="preserve">Kunming-Montreal </w:t>
      </w:r>
      <w:r w:rsidRPr="00207688">
        <w:rPr>
          <w:bCs/>
          <w:snapToGrid w:val="0"/>
          <w:kern w:val="22"/>
          <w:szCs w:val="22"/>
        </w:rPr>
        <w:t>Global Biodiversity Framework</w:t>
      </w:r>
      <w:r w:rsidRPr="000E778E">
        <w:rPr>
          <w:rFonts w:eastAsiaTheme="majorEastAsia"/>
          <w:iCs/>
          <w:spacing w:val="-4"/>
          <w:kern w:val="22"/>
          <w:szCs w:val="22"/>
        </w:rPr>
        <w:t>.</w:t>
      </w:r>
      <w:r w:rsidRPr="00610646">
        <w:rPr>
          <w:rStyle w:val="FootnoteReference"/>
          <w:rFonts w:eastAsiaTheme="majorEastAsia"/>
        </w:rPr>
        <w:footnoteReference w:id="287"/>
      </w:r>
    </w:p>
    <w:p w14:paraId="3A831A1C" w14:textId="77777777" w:rsidR="00DA0273" w:rsidRPr="00853C76" w:rsidRDefault="00DA0273" w:rsidP="00FB5720">
      <w:pPr>
        <w:suppressLineNumbers/>
        <w:suppressAutoHyphens/>
        <w:kinsoku w:val="0"/>
        <w:overflowPunct w:val="0"/>
        <w:autoSpaceDE w:val="0"/>
        <w:autoSpaceDN w:val="0"/>
        <w:adjustRightInd w:val="0"/>
        <w:snapToGrid w:val="0"/>
        <w:spacing w:before="120" w:after="120"/>
        <w:rPr>
          <w:i/>
          <w:snapToGrid w:val="0"/>
          <w:kern w:val="22"/>
          <w:szCs w:val="22"/>
        </w:rPr>
      </w:pPr>
      <w:r w:rsidRPr="00207688">
        <w:rPr>
          <w:rFonts w:eastAsia="SimSun"/>
          <w:snapToGrid w:val="0"/>
          <w:kern w:val="22"/>
          <w:szCs w:val="22"/>
          <w:lang w:eastAsia="zh-CN"/>
        </w:rPr>
        <w:t>120.</w:t>
      </w:r>
      <w:r w:rsidRPr="00207688">
        <w:rPr>
          <w:iCs/>
          <w:snapToGrid w:val="0"/>
          <w:kern w:val="22"/>
          <w:szCs w:val="22"/>
        </w:rPr>
        <w:tab/>
      </w:r>
      <w:r w:rsidRPr="00207688">
        <w:rPr>
          <w:snapToGrid w:val="0"/>
          <w:kern w:val="22"/>
          <w:szCs w:val="22"/>
        </w:rPr>
        <w:t>T</w:t>
      </w:r>
      <w:r w:rsidRPr="00207688">
        <w:rPr>
          <w:iCs/>
          <w:snapToGrid w:val="0"/>
          <w:kern w:val="22"/>
          <w:szCs w:val="22"/>
        </w:rPr>
        <w:t xml:space="preserve">he Executive Secretary is encouraged </w:t>
      </w:r>
      <w:r w:rsidRPr="00207688">
        <w:rPr>
          <w:snapToGrid w:val="0"/>
          <w:kern w:val="22"/>
          <w:szCs w:val="22"/>
        </w:rPr>
        <w:t xml:space="preserve">to work closely with agencies associated with the Global Environment Facility in the transition to the </w:t>
      </w:r>
      <w:r w:rsidRPr="00207688">
        <w:rPr>
          <w:kern w:val="22"/>
        </w:rPr>
        <w:t xml:space="preserve">Kunming-Montreal </w:t>
      </w:r>
      <w:r w:rsidRPr="00207688">
        <w:rPr>
          <w:bCs/>
          <w:snapToGrid w:val="0"/>
          <w:kern w:val="22"/>
          <w:szCs w:val="22"/>
        </w:rPr>
        <w:t>Global</w:t>
      </w:r>
      <w:r w:rsidRPr="00D71BEC">
        <w:rPr>
          <w:bCs/>
          <w:snapToGrid w:val="0"/>
          <w:kern w:val="22"/>
          <w:szCs w:val="22"/>
        </w:rPr>
        <w:t xml:space="preserve"> Biodiversity Framework</w:t>
      </w:r>
      <w:r w:rsidRPr="00853C76">
        <w:rPr>
          <w:snapToGrid w:val="0"/>
          <w:kern w:val="22"/>
          <w:szCs w:val="22"/>
        </w:rPr>
        <w:t>, taking into account the need to promote greater synergies between the Global Environment Facility and other financing mechanisms.</w:t>
      </w:r>
      <w:r w:rsidRPr="00853C76">
        <w:rPr>
          <w:rFonts w:eastAsiaTheme="majorEastAsia"/>
          <w:iCs/>
          <w:snapToGrid w:val="0"/>
          <w:spacing w:val="-4"/>
          <w:kern w:val="22"/>
          <w:szCs w:val="22"/>
          <w:vertAlign w:val="superscript"/>
        </w:rPr>
        <w:t xml:space="preserve"> </w:t>
      </w:r>
      <w:r w:rsidRPr="00610646">
        <w:rPr>
          <w:rStyle w:val="FootnoteReference"/>
          <w:rFonts w:eastAsiaTheme="majorEastAsia"/>
        </w:rPr>
        <w:footnoteReference w:id="288"/>
      </w:r>
    </w:p>
    <w:p w14:paraId="17565FB7" w14:textId="77777777" w:rsidR="00DA0273" w:rsidRPr="00853C76" w:rsidRDefault="00DA0273" w:rsidP="00C81B9C">
      <w:pPr>
        <w:suppressLineNumbers/>
        <w:suppressAutoHyphens/>
        <w:adjustRightInd w:val="0"/>
        <w:snapToGrid w:val="0"/>
        <w:spacing w:before="120" w:after="120"/>
        <w:jc w:val="center"/>
        <w:rPr>
          <w:i/>
          <w:snapToGrid w:val="0"/>
          <w:kern w:val="22"/>
          <w:szCs w:val="22"/>
        </w:rPr>
      </w:pPr>
      <w:bookmarkStart w:id="241" w:name="_Toc118354998"/>
      <w:r w:rsidRPr="00853C76">
        <w:rPr>
          <w:i/>
          <w:snapToGrid w:val="0"/>
          <w:kern w:val="22"/>
          <w:szCs w:val="22"/>
        </w:rPr>
        <w:t>Annex II B</w:t>
      </w:r>
      <w:bookmarkEnd w:id="241"/>
    </w:p>
    <w:p w14:paraId="67A2B1F1" w14:textId="77777777" w:rsidR="00DA0273" w:rsidRPr="00CA2F94" w:rsidRDefault="00DA0273" w:rsidP="00CA2F94">
      <w:pPr>
        <w:pStyle w:val="BodyText"/>
        <w:ind w:firstLine="0"/>
        <w:jc w:val="center"/>
        <w:rPr>
          <w:b/>
          <w:bCs/>
        </w:rPr>
      </w:pPr>
      <w:bookmarkStart w:id="242" w:name="_Toc118354999"/>
      <w:r w:rsidRPr="00CA2F94">
        <w:rPr>
          <w:b/>
          <w:bCs/>
        </w:rPr>
        <w:t xml:space="preserve">ADDITIONAL GUIDANCE TO THE </w:t>
      </w:r>
      <w:bookmarkEnd w:id="242"/>
      <w:r w:rsidRPr="00CA2F94">
        <w:rPr>
          <w:b/>
          <w:bCs/>
        </w:rPr>
        <w:t>GLOBAL ENVIRONMENT FACILITY</w:t>
      </w:r>
    </w:p>
    <w:p w14:paraId="679148CF" w14:textId="77777777" w:rsidR="00DA0273" w:rsidRPr="00853C76" w:rsidRDefault="00DA0273" w:rsidP="000E778E">
      <w:pPr>
        <w:suppressLineNumbers/>
        <w:suppressAutoHyphens/>
        <w:adjustRightInd w:val="0"/>
        <w:snapToGrid w:val="0"/>
        <w:spacing w:before="240" w:after="120"/>
        <w:jc w:val="left"/>
        <w:rPr>
          <w:iCs/>
          <w:snapToGrid w:val="0"/>
          <w:kern w:val="22"/>
          <w:szCs w:val="22"/>
        </w:rPr>
      </w:pPr>
      <w:r w:rsidRPr="00853C76">
        <w:rPr>
          <w:i/>
          <w:iCs/>
          <w:snapToGrid w:val="0"/>
          <w:kern w:val="22"/>
          <w:szCs w:val="22"/>
        </w:rPr>
        <w:t>The Conference of the Parties</w:t>
      </w:r>
      <w:r w:rsidRPr="00853C76">
        <w:rPr>
          <w:iCs/>
          <w:snapToGrid w:val="0"/>
          <w:kern w:val="22"/>
          <w:szCs w:val="22"/>
        </w:rPr>
        <w:t>,</w:t>
      </w:r>
    </w:p>
    <w:p w14:paraId="4BA31A5F" w14:textId="77777777" w:rsidR="00DA0273" w:rsidRPr="00853C76" w:rsidRDefault="00DA0273" w:rsidP="00B07C20">
      <w:pPr>
        <w:suppressLineNumbers/>
        <w:suppressAutoHyphens/>
        <w:adjustRightInd w:val="0"/>
        <w:snapToGrid w:val="0"/>
        <w:spacing w:before="120" w:after="120"/>
        <w:jc w:val="left"/>
        <w:rPr>
          <w:b/>
          <w:bCs/>
          <w:iCs/>
          <w:snapToGrid w:val="0"/>
          <w:kern w:val="22"/>
          <w:szCs w:val="22"/>
        </w:rPr>
      </w:pPr>
      <w:r w:rsidRPr="00853C76">
        <w:rPr>
          <w:b/>
          <w:bCs/>
          <w:iCs/>
          <w:snapToGrid w:val="0"/>
          <w:kern w:val="22"/>
          <w:szCs w:val="22"/>
        </w:rPr>
        <w:t xml:space="preserve">Planning, monitoring, reporting and review </w:t>
      </w:r>
    </w:p>
    <w:p w14:paraId="4B377AF0" w14:textId="77777777" w:rsidR="00DA0273" w:rsidRPr="00853C76" w:rsidRDefault="00DA0273" w:rsidP="00F27DAC">
      <w:pPr>
        <w:suppressLineNumbers/>
        <w:suppressAutoHyphens/>
        <w:adjustRightInd w:val="0"/>
        <w:snapToGrid w:val="0"/>
        <w:spacing w:before="120" w:after="120"/>
        <w:rPr>
          <w:iCs/>
          <w:snapToGrid w:val="0"/>
          <w:kern w:val="22"/>
          <w:szCs w:val="22"/>
        </w:rPr>
      </w:pPr>
      <w:r w:rsidRPr="00853C76">
        <w:rPr>
          <w:snapToGrid w:val="0"/>
          <w:kern w:val="22"/>
          <w:szCs w:val="22"/>
        </w:rPr>
        <w:t>1.</w:t>
      </w:r>
      <w:r w:rsidRPr="00853C76">
        <w:rPr>
          <w:snapToGrid w:val="0"/>
          <w:kern w:val="22"/>
          <w:szCs w:val="22"/>
        </w:rPr>
        <w:tab/>
      </w:r>
      <w:r w:rsidRPr="00853C76">
        <w:rPr>
          <w:i/>
          <w:iCs/>
          <w:snapToGrid w:val="0"/>
          <w:kern w:val="22"/>
          <w:szCs w:val="22"/>
        </w:rPr>
        <w:t xml:space="preserve">Invites </w:t>
      </w:r>
      <w:r w:rsidRPr="00853C76">
        <w:rPr>
          <w:iCs/>
          <w:snapToGrid w:val="0"/>
          <w:kern w:val="22"/>
          <w:szCs w:val="22"/>
        </w:rPr>
        <w:t xml:space="preserve">the Global Environment Facility and its agencies to make funds available in a timely and expeditious manner to all eligible countries, in particular </w:t>
      </w:r>
      <w:r>
        <w:rPr>
          <w:iCs/>
          <w:snapToGrid w:val="0"/>
          <w:kern w:val="22"/>
          <w:szCs w:val="22"/>
        </w:rPr>
        <w:t xml:space="preserve">the </w:t>
      </w:r>
      <w:r w:rsidRPr="00853C76">
        <w:rPr>
          <w:iCs/>
          <w:snapToGrid w:val="0"/>
          <w:kern w:val="22"/>
          <w:szCs w:val="22"/>
        </w:rPr>
        <w:t>least developed countries and small island developing States</w:t>
      </w:r>
      <w:r>
        <w:rPr>
          <w:iCs/>
          <w:snapToGrid w:val="0"/>
          <w:kern w:val="22"/>
          <w:szCs w:val="22"/>
        </w:rPr>
        <w:t>,</w:t>
      </w:r>
      <w:r w:rsidRPr="00853C76">
        <w:rPr>
          <w:iCs/>
          <w:snapToGrid w:val="0"/>
          <w:kern w:val="22"/>
          <w:szCs w:val="22"/>
        </w:rPr>
        <w:t xml:space="preserve"> to support the updating or revision of national biodiversity strategies and action plans and to support the preparation of national reports, so that Parties may begin implementation as soon as possible after the adoption of the </w:t>
      </w:r>
      <w:r>
        <w:rPr>
          <w:kern w:val="22"/>
        </w:rPr>
        <w:t xml:space="preserve">Kunming-Montreal </w:t>
      </w:r>
      <w:r w:rsidRPr="00D71BEC">
        <w:rPr>
          <w:bCs/>
          <w:snapToGrid w:val="0"/>
          <w:kern w:val="22"/>
          <w:szCs w:val="22"/>
        </w:rPr>
        <w:t>Global Biodiversity Framework</w:t>
      </w:r>
      <w:r w:rsidRPr="00853C76">
        <w:rPr>
          <w:iCs/>
          <w:snapToGrid w:val="0"/>
          <w:kern w:val="22"/>
          <w:szCs w:val="22"/>
        </w:rPr>
        <w:t>;</w:t>
      </w:r>
    </w:p>
    <w:p w14:paraId="2A742D85" w14:textId="77777777" w:rsidR="00DA0273" w:rsidRPr="00853C76" w:rsidRDefault="00DA0273" w:rsidP="00137D31">
      <w:pPr>
        <w:suppressLineNumbers/>
        <w:suppressAutoHyphens/>
        <w:adjustRightInd w:val="0"/>
        <w:snapToGrid w:val="0"/>
        <w:spacing w:before="120" w:after="120"/>
        <w:rPr>
          <w:b/>
          <w:bCs/>
          <w:iCs/>
          <w:snapToGrid w:val="0"/>
          <w:kern w:val="22"/>
          <w:szCs w:val="22"/>
        </w:rPr>
      </w:pPr>
      <w:r w:rsidRPr="00853C76">
        <w:rPr>
          <w:b/>
          <w:bCs/>
          <w:iCs/>
          <w:snapToGrid w:val="0"/>
          <w:kern w:val="22"/>
          <w:szCs w:val="22"/>
        </w:rPr>
        <w:t>Biodiversity and agriculture</w:t>
      </w:r>
    </w:p>
    <w:p w14:paraId="4603031C" w14:textId="77777777" w:rsidR="00DA0273" w:rsidRPr="00853C76" w:rsidRDefault="00DA0273" w:rsidP="00137D31">
      <w:pPr>
        <w:suppressLineNumbers/>
        <w:suppressAutoHyphens/>
        <w:adjustRightInd w:val="0"/>
        <w:snapToGrid w:val="0"/>
        <w:spacing w:before="120" w:after="120"/>
        <w:rPr>
          <w:iCs/>
          <w:snapToGrid w:val="0"/>
          <w:kern w:val="22"/>
          <w:szCs w:val="22"/>
          <w:lang w:val="en-US"/>
        </w:rPr>
      </w:pPr>
      <w:r w:rsidRPr="005A7A79">
        <w:rPr>
          <w:iCs/>
          <w:snapToGrid w:val="0"/>
          <w:kern w:val="22"/>
          <w:szCs w:val="22"/>
        </w:rPr>
        <w:t xml:space="preserve">2. </w:t>
      </w:r>
      <w:r w:rsidRPr="005A7A79">
        <w:rPr>
          <w:iCs/>
          <w:snapToGrid w:val="0"/>
          <w:kern w:val="22"/>
          <w:szCs w:val="22"/>
        </w:rPr>
        <w:tab/>
      </w:r>
      <w:r w:rsidRPr="005A7A79">
        <w:rPr>
          <w:i/>
          <w:iCs/>
          <w:snapToGrid w:val="0"/>
          <w:kern w:val="22"/>
          <w:szCs w:val="22"/>
        </w:rPr>
        <w:t xml:space="preserve">Invites </w:t>
      </w:r>
      <w:r w:rsidRPr="005A7A79">
        <w:rPr>
          <w:iCs/>
          <w:snapToGrid w:val="0"/>
          <w:kern w:val="22"/>
          <w:szCs w:val="22"/>
        </w:rPr>
        <w:t xml:space="preserve">the Global Environment Facility, other donors, funding agencies and the private sector to provide financial assistance to developing countries, in particular the least developed countries and small island developing States, as well as countries with economies in transition, including capacity-building and development activities, for national, subnational and regional projects that address the implementation of the </w:t>
      </w:r>
      <w:r>
        <w:rPr>
          <w:iCs/>
          <w:snapToGrid w:val="0"/>
          <w:kern w:val="22"/>
          <w:szCs w:val="22"/>
        </w:rPr>
        <w:t>P</w:t>
      </w:r>
      <w:r w:rsidRPr="005A7A79">
        <w:rPr>
          <w:iCs/>
          <w:snapToGrid w:val="0"/>
          <w:kern w:val="22"/>
          <w:szCs w:val="22"/>
        </w:rPr>
        <w:t xml:space="preserve">lan of </w:t>
      </w:r>
      <w:r>
        <w:rPr>
          <w:iCs/>
          <w:snapToGrid w:val="0"/>
          <w:kern w:val="22"/>
          <w:szCs w:val="22"/>
        </w:rPr>
        <w:t>A</w:t>
      </w:r>
      <w:r w:rsidRPr="005A7A79">
        <w:rPr>
          <w:iCs/>
          <w:snapToGrid w:val="0"/>
          <w:kern w:val="22"/>
          <w:szCs w:val="22"/>
        </w:rPr>
        <w:t xml:space="preserve">ction </w:t>
      </w:r>
      <w:r>
        <w:rPr>
          <w:iCs/>
          <w:snapToGrid w:val="0"/>
          <w:kern w:val="22"/>
          <w:szCs w:val="22"/>
        </w:rPr>
        <w:t>(2020</w:t>
      </w:r>
      <w:r>
        <w:rPr>
          <w:kern w:val="22"/>
          <w:szCs w:val="22"/>
        </w:rPr>
        <w:t>–</w:t>
      </w:r>
      <w:r>
        <w:rPr>
          <w:iCs/>
          <w:snapToGrid w:val="0"/>
          <w:kern w:val="22"/>
          <w:szCs w:val="22"/>
        </w:rPr>
        <w:t xml:space="preserve">2030) </w:t>
      </w:r>
      <w:r w:rsidRPr="005A7A79">
        <w:rPr>
          <w:iCs/>
          <w:snapToGrid w:val="0"/>
          <w:kern w:val="22"/>
          <w:szCs w:val="22"/>
        </w:rPr>
        <w:t xml:space="preserve">for the </w:t>
      </w:r>
      <w:r>
        <w:rPr>
          <w:iCs/>
          <w:snapToGrid w:val="0"/>
          <w:kern w:val="22"/>
          <w:szCs w:val="22"/>
        </w:rPr>
        <w:t>International Initiative for the C</w:t>
      </w:r>
      <w:r w:rsidRPr="005A7A79">
        <w:rPr>
          <w:iCs/>
          <w:snapToGrid w:val="0"/>
          <w:kern w:val="22"/>
          <w:szCs w:val="22"/>
        </w:rPr>
        <w:t xml:space="preserve">onservation and </w:t>
      </w:r>
      <w:r>
        <w:rPr>
          <w:iCs/>
          <w:snapToGrid w:val="0"/>
          <w:kern w:val="22"/>
          <w:szCs w:val="22"/>
        </w:rPr>
        <w:t>S</w:t>
      </w:r>
      <w:r w:rsidRPr="005A7A79">
        <w:rPr>
          <w:iCs/>
          <w:snapToGrid w:val="0"/>
          <w:kern w:val="22"/>
          <w:szCs w:val="22"/>
        </w:rPr>
        <w:t xml:space="preserve">ustainable </w:t>
      </w:r>
      <w:r>
        <w:rPr>
          <w:iCs/>
          <w:snapToGrid w:val="0"/>
          <w:kern w:val="22"/>
          <w:szCs w:val="22"/>
        </w:rPr>
        <w:t>U</w:t>
      </w:r>
      <w:r w:rsidRPr="005A7A79">
        <w:rPr>
          <w:iCs/>
          <w:snapToGrid w:val="0"/>
          <w:kern w:val="22"/>
          <w:szCs w:val="22"/>
        </w:rPr>
        <w:t xml:space="preserve">se of </w:t>
      </w:r>
      <w:r>
        <w:rPr>
          <w:iCs/>
          <w:snapToGrid w:val="0"/>
          <w:kern w:val="22"/>
          <w:szCs w:val="22"/>
        </w:rPr>
        <w:t>S</w:t>
      </w:r>
      <w:r w:rsidRPr="005A7A79">
        <w:rPr>
          <w:iCs/>
          <w:snapToGrid w:val="0"/>
          <w:kern w:val="22"/>
          <w:szCs w:val="22"/>
        </w:rPr>
        <w:t xml:space="preserve">oil </w:t>
      </w:r>
      <w:r>
        <w:rPr>
          <w:iCs/>
          <w:snapToGrid w:val="0"/>
          <w:kern w:val="22"/>
          <w:szCs w:val="22"/>
        </w:rPr>
        <w:t>B</w:t>
      </w:r>
      <w:r w:rsidRPr="005A7A79">
        <w:rPr>
          <w:iCs/>
          <w:snapToGrid w:val="0"/>
          <w:kern w:val="22"/>
          <w:szCs w:val="22"/>
        </w:rPr>
        <w:t>iodiversity;</w:t>
      </w:r>
    </w:p>
    <w:p w14:paraId="7C9B210F" w14:textId="77777777" w:rsidR="00DA0273" w:rsidRPr="00853C76" w:rsidRDefault="00DA0273" w:rsidP="00137D31">
      <w:pPr>
        <w:suppressLineNumbers/>
        <w:suppressAutoHyphens/>
        <w:adjustRightInd w:val="0"/>
        <w:snapToGrid w:val="0"/>
        <w:spacing w:before="120" w:after="120"/>
        <w:rPr>
          <w:b/>
          <w:bCs/>
          <w:iCs/>
          <w:snapToGrid w:val="0"/>
          <w:kern w:val="22"/>
          <w:szCs w:val="22"/>
        </w:rPr>
      </w:pPr>
      <w:r w:rsidRPr="00853C76">
        <w:rPr>
          <w:b/>
          <w:bCs/>
          <w:iCs/>
          <w:snapToGrid w:val="0"/>
          <w:kern w:val="22"/>
          <w:szCs w:val="22"/>
        </w:rPr>
        <w:t>Biodiversity and health</w:t>
      </w:r>
    </w:p>
    <w:p w14:paraId="66503F1F" w14:textId="77777777" w:rsidR="00DA0273" w:rsidRPr="00853C76" w:rsidRDefault="00DA0273" w:rsidP="00137D31">
      <w:pPr>
        <w:suppressLineNumbers/>
        <w:suppressAutoHyphens/>
        <w:adjustRightInd w:val="0"/>
        <w:snapToGrid w:val="0"/>
        <w:spacing w:before="120" w:after="120"/>
        <w:rPr>
          <w:iCs/>
          <w:snapToGrid w:val="0"/>
          <w:kern w:val="22"/>
          <w:szCs w:val="22"/>
          <w:lang w:val="en-US"/>
        </w:rPr>
      </w:pPr>
      <w:r w:rsidRPr="00853C76">
        <w:rPr>
          <w:iCs/>
          <w:snapToGrid w:val="0"/>
          <w:kern w:val="22"/>
          <w:szCs w:val="22"/>
        </w:rPr>
        <w:t xml:space="preserve">3. </w:t>
      </w:r>
      <w:r w:rsidRPr="00853C76">
        <w:rPr>
          <w:iCs/>
          <w:snapToGrid w:val="0"/>
          <w:kern w:val="22"/>
          <w:szCs w:val="22"/>
        </w:rPr>
        <w:tab/>
      </w:r>
      <w:r w:rsidRPr="00853C76">
        <w:rPr>
          <w:i/>
          <w:iCs/>
          <w:snapToGrid w:val="0"/>
          <w:kern w:val="22"/>
          <w:szCs w:val="22"/>
        </w:rPr>
        <w:t xml:space="preserve">Invites </w:t>
      </w:r>
      <w:r w:rsidRPr="00853C76">
        <w:rPr>
          <w:iCs/>
          <w:snapToGrid w:val="0"/>
          <w:kern w:val="22"/>
          <w:szCs w:val="22"/>
        </w:rPr>
        <w:t>the Global Environment Facility, in accordance with its mandate, as appropriate, to consider providing technical and financial support for mainstreaming biodiversity and health linkages;</w:t>
      </w:r>
    </w:p>
    <w:p w14:paraId="2F928013" w14:textId="77777777" w:rsidR="00DA0273" w:rsidRPr="00853C76" w:rsidRDefault="00DA0273" w:rsidP="00137D31">
      <w:pPr>
        <w:suppressLineNumbers/>
        <w:suppressAutoHyphens/>
        <w:adjustRightInd w:val="0"/>
        <w:snapToGrid w:val="0"/>
        <w:spacing w:before="120" w:after="120"/>
        <w:rPr>
          <w:b/>
          <w:bCs/>
          <w:iCs/>
          <w:snapToGrid w:val="0"/>
          <w:kern w:val="22"/>
          <w:szCs w:val="22"/>
        </w:rPr>
      </w:pPr>
      <w:r w:rsidRPr="00853C76">
        <w:rPr>
          <w:b/>
          <w:bCs/>
          <w:iCs/>
          <w:snapToGrid w:val="0"/>
          <w:kern w:val="22"/>
          <w:szCs w:val="22"/>
        </w:rPr>
        <w:t>Gender Plan of Action</w:t>
      </w:r>
    </w:p>
    <w:p w14:paraId="22481D64" w14:textId="77777777" w:rsidR="00DA0273" w:rsidRPr="00853C76" w:rsidRDefault="00DA0273" w:rsidP="00137D31">
      <w:pPr>
        <w:suppressLineNumbers/>
        <w:suppressAutoHyphens/>
        <w:adjustRightInd w:val="0"/>
        <w:snapToGrid w:val="0"/>
        <w:spacing w:before="120" w:after="120"/>
        <w:rPr>
          <w:iCs/>
          <w:snapToGrid w:val="0"/>
          <w:kern w:val="22"/>
          <w:szCs w:val="22"/>
        </w:rPr>
      </w:pPr>
      <w:r w:rsidRPr="00853C76">
        <w:rPr>
          <w:iCs/>
          <w:snapToGrid w:val="0"/>
          <w:kern w:val="22"/>
          <w:szCs w:val="22"/>
        </w:rPr>
        <w:t xml:space="preserve">4. </w:t>
      </w:r>
      <w:r w:rsidRPr="00853C76">
        <w:rPr>
          <w:iCs/>
          <w:snapToGrid w:val="0"/>
          <w:kern w:val="22"/>
          <w:szCs w:val="22"/>
        </w:rPr>
        <w:tab/>
      </w:r>
      <w:r w:rsidRPr="00853C76">
        <w:rPr>
          <w:i/>
          <w:iCs/>
          <w:snapToGrid w:val="0"/>
          <w:kern w:val="22"/>
          <w:szCs w:val="22"/>
        </w:rPr>
        <w:t xml:space="preserve">Invites </w:t>
      </w:r>
      <w:r w:rsidRPr="00853C76">
        <w:rPr>
          <w:iCs/>
          <w:snapToGrid w:val="0"/>
          <w:kern w:val="22"/>
          <w:szCs w:val="22"/>
        </w:rPr>
        <w:t>the Global Environment Facility and relevant bilateral and multilateral funding organizations to provide technical and financial support</w:t>
      </w:r>
      <w:r>
        <w:rPr>
          <w:iCs/>
          <w:snapToGrid w:val="0"/>
          <w:kern w:val="22"/>
          <w:szCs w:val="22"/>
        </w:rPr>
        <w:t>,</w:t>
      </w:r>
      <w:r w:rsidRPr="00853C76">
        <w:rPr>
          <w:iCs/>
          <w:snapToGrid w:val="0"/>
          <w:kern w:val="22"/>
          <w:szCs w:val="22"/>
        </w:rPr>
        <w:t xml:space="preserve"> as well as capacity-building and development, for implementation of the </w:t>
      </w:r>
      <w:r>
        <w:rPr>
          <w:iCs/>
          <w:snapToGrid w:val="0"/>
          <w:kern w:val="22"/>
          <w:szCs w:val="22"/>
        </w:rPr>
        <w:t>G</w:t>
      </w:r>
      <w:r w:rsidRPr="00853C76">
        <w:rPr>
          <w:iCs/>
          <w:snapToGrid w:val="0"/>
          <w:kern w:val="22"/>
          <w:szCs w:val="22"/>
        </w:rPr>
        <w:t xml:space="preserve">ender </w:t>
      </w:r>
      <w:r>
        <w:rPr>
          <w:iCs/>
          <w:snapToGrid w:val="0"/>
          <w:kern w:val="22"/>
          <w:szCs w:val="22"/>
        </w:rPr>
        <w:t>P</w:t>
      </w:r>
      <w:r w:rsidRPr="00853C76">
        <w:rPr>
          <w:iCs/>
          <w:snapToGrid w:val="0"/>
          <w:kern w:val="22"/>
          <w:szCs w:val="22"/>
        </w:rPr>
        <w:t xml:space="preserve">lan of </w:t>
      </w:r>
      <w:r>
        <w:rPr>
          <w:iCs/>
          <w:snapToGrid w:val="0"/>
          <w:kern w:val="22"/>
          <w:szCs w:val="22"/>
        </w:rPr>
        <w:t>A</w:t>
      </w:r>
      <w:r w:rsidRPr="00853C76">
        <w:rPr>
          <w:iCs/>
          <w:snapToGrid w:val="0"/>
          <w:kern w:val="22"/>
          <w:szCs w:val="22"/>
        </w:rPr>
        <w:t>ction;</w:t>
      </w:r>
    </w:p>
    <w:p w14:paraId="439C398E" w14:textId="77777777" w:rsidR="00DA0273" w:rsidRPr="00853C76" w:rsidRDefault="00DA0273" w:rsidP="000E778E">
      <w:pPr>
        <w:suppressLineNumbers/>
        <w:suppressAutoHyphens/>
        <w:adjustRightInd w:val="0"/>
        <w:snapToGrid w:val="0"/>
        <w:spacing w:before="120" w:after="120"/>
        <w:jc w:val="left"/>
        <w:rPr>
          <w:b/>
          <w:bCs/>
          <w:iCs/>
          <w:snapToGrid w:val="0"/>
          <w:kern w:val="22"/>
          <w:szCs w:val="22"/>
        </w:rPr>
      </w:pPr>
      <w:r w:rsidRPr="00853C76">
        <w:rPr>
          <w:b/>
          <w:bCs/>
          <w:iCs/>
          <w:snapToGrid w:val="0"/>
          <w:kern w:val="22"/>
          <w:szCs w:val="22"/>
        </w:rPr>
        <w:t xml:space="preserve">Engagement with subnational governments, cities and other local authorities to enhance implementation of the </w:t>
      </w:r>
      <w:r>
        <w:rPr>
          <w:b/>
          <w:bCs/>
          <w:iCs/>
          <w:snapToGrid w:val="0"/>
          <w:kern w:val="22"/>
          <w:szCs w:val="22"/>
        </w:rPr>
        <w:t>Kunming-Montreal</w:t>
      </w:r>
      <w:r w:rsidRPr="00853C76">
        <w:rPr>
          <w:b/>
          <w:bCs/>
          <w:iCs/>
          <w:snapToGrid w:val="0"/>
          <w:kern w:val="22"/>
          <w:szCs w:val="22"/>
        </w:rPr>
        <w:t xml:space="preserve"> </w:t>
      </w:r>
      <w:r>
        <w:rPr>
          <w:b/>
          <w:bCs/>
          <w:iCs/>
          <w:snapToGrid w:val="0"/>
          <w:kern w:val="22"/>
          <w:szCs w:val="22"/>
        </w:rPr>
        <w:t>G</w:t>
      </w:r>
      <w:r w:rsidRPr="00853C76">
        <w:rPr>
          <w:b/>
          <w:bCs/>
          <w:iCs/>
          <w:snapToGrid w:val="0"/>
          <w:kern w:val="22"/>
          <w:szCs w:val="22"/>
        </w:rPr>
        <w:t xml:space="preserve">lobal </w:t>
      </w:r>
      <w:r>
        <w:rPr>
          <w:b/>
          <w:bCs/>
          <w:iCs/>
          <w:snapToGrid w:val="0"/>
          <w:kern w:val="22"/>
          <w:szCs w:val="22"/>
        </w:rPr>
        <w:t>B</w:t>
      </w:r>
      <w:r w:rsidRPr="00853C76">
        <w:rPr>
          <w:b/>
          <w:bCs/>
          <w:iCs/>
          <w:snapToGrid w:val="0"/>
          <w:kern w:val="22"/>
          <w:szCs w:val="22"/>
        </w:rPr>
        <w:t xml:space="preserve">iodiversity </w:t>
      </w:r>
      <w:r>
        <w:rPr>
          <w:b/>
          <w:bCs/>
          <w:iCs/>
          <w:snapToGrid w:val="0"/>
          <w:kern w:val="22"/>
          <w:szCs w:val="22"/>
        </w:rPr>
        <w:t>F</w:t>
      </w:r>
      <w:r w:rsidRPr="00853C76">
        <w:rPr>
          <w:b/>
          <w:bCs/>
          <w:iCs/>
          <w:snapToGrid w:val="0"/>
          <w:kern w:val="22"/>
          <w:szCs w:val="22"/>
        </w:rPr>
        <w:t>ramework</w:t>
      </w:r>
    </w:p>
    <w:p w14:paraId="5B58C737" w14:textId="77777777" w:rsidR="00DA0273" w:rsidRPr="00853C76" w:rsidRDefault="00DA0273" w:rsidP="00F27DAC">
      <w:pPr>
        <w:suppressLineNumbers/>
        <w:suppressAutoHyphens/>
        <w:adjustRightInd w:val="0"/>
        <w:snapToGrid w:val="0"/>
        <w:spacing w:before="120" w:after="120"/>
        <w:rPr>
          <w:iCs/>
          <w:snapToGrid w:val="0"/>
          <w:kern w:val="22"/>
          <w:szCs w:val="22"/>
        </w:rPr>
      </w:pPr>
      <w:r w:rsidRPr="00853C76">
        <w:rPr>
          <w:iCs/>
          <w:snapToGrid w:val="0"/>
          <w:kern w:val="22"/>
          <w:szCs w:val="22"/>
        </w:rPr>
        <w:t xml:space="preserve">5. </w:t>
      </w:r>
      <w:r w:rsidRPr="00853C76">
        <w:rPr>
          <w:iCs/>
          <w:snapToGrid w:val="0"/>
          <w:kern w:val="22"/>
          <w:szCs w:val="22"/>
        </w:rPr>
        <w:tab/>
      </w:r>
      <w:r w:rsidRPr="00853C76">
        <w:rPr>
          <w:i/>
          <w:iCs/>
          <w:snapToGrid w:val="0"/>
          <w:kern w:val="22"/>
          <w:szCs w:val="22"/>
        </w:rPr>
        <w:t xml:space="preserve">Invites </w:t>
      </w:r>
      <w:r w:rsidRPr="00853C76">
        <w:rPr>
          <w:iCs/>
          <w:snapToGrid w:val="0"/>
          <w:kern w:val="22"/>
          <w:szCs w:val="22"/>
        </w:rPr>
        <w:t>the Global Environment Facility to consider further expanding and strengthening its sustainable cities initiatives in its future replenishments, and piloting land- and seascape level initiatives targeted at subnational and local governance, infrastructure, biodiversity-inclusive spatial and land-use planning, and urban-rural linkages, in accordance with the priorities identified in national biodiversity strategies and action plans;</w:t>
      </w:r>
    </w:p>
    <w:p w14:paraId="77DF5F85" w14:textId="77777777" w:rsidR="00DA0273" w:rsidRPr="00853C76" w:rsidRDefault="00DA0273" w:rsidP="00137D31">
      <w:pPr>
        <w:suppressLineNumbers/>
        <w:suppressAutoHyphens/>
        <w:adjustRightInd w:val="0"/>
        <w:snapToGrid w:val="0"/>
        <w:spacing w:before="120" w:after="120"/>
        <w:rPr>
          <w:iCs/>
          <w:snapToGrid w:val="0"/>
          <w:kern w:val="22"/>
          <w:szCs w:val="22"/>
          <w:lang w:val="en-US"/>
        </w:rPr>
      </w:pPr>
      <w:r w:rsidRPr="00853C76">
        <w:rPr>
          <w:b/>
          <w:bCs/>
          <w:iCs/>
          <w:snapToGrid w:val="0"/>
          <w:kern w:val="22"/>
          <w:szCs w:val="22"/>
          <w:lang w:val="en-US"/>
        </w:rPr>
        <w:t xml:space="preserve">Monitoring framework for the Kunming-Montreal </w:t>
      </w:r>
      <w:r>
        <w:rPr>
          <w:b/>
          <w:bCs/>
          <w:iCs/>
          <w:snapToGrid w:val="0"/>
          <w:kern w:val="22"/>
          <w:szCs w:val="22"/>
          <w:lang w:val="en-US"/>
        </w:rPr>
        <w:t>G</w:t>
      </w:r>
      <w:r w:rsidRPr="00853C76">
        <w:rPr>
          <w:b/>
          <w:bCs/>
          <w:iCs/>
          <w:snapToGrid w:val="0"/>
          <w:kern w:val="22"/>
          <w:szCs w:val="22"/>
          <w:lang w:val="en-US"/>
        </w:rPr>
        <w:t xml:space="preserve">lobal </w:t>
      </w:r>
      <w:r>
        <w:rPr>
          <w:b/>
          <w:bCs/>
          <w:iCs/>
          <w:snapToGrid w:val="0"/>
          <w:kern w:val="22"/>
          <w:szCs w:val="22"/>
          <w:lang w:val="en-US"/>
        </w:rPr>
        <w:t>B</w:t>
      </w:r>
      <w:r w:rsidRPr="00853C76">
        <w:rPr>
          <w:b/>
          <w:bCs/>
          <w:iCs/>
          <w:snapToGrid w:val="0"/>
          <w:kern w:val="22"/>
          <w:szCs w:val="22"/>
          <w:lang w:val="en-US"/>
        </w:rPr>
        <w:t xml:space="preserve">iodiversity </w:t>
      </w:r>
      <w:r>
        <w:rPr>
          <w:b/>
          <w:bCs/>
          <w:iCs/>
          <w:snapToGrid w:val="0"/>
          <w:kern w:val="22"/>
          <w:szCs w:val="22"/>
          <w:lang w:val="en-US"/>
        </w:rPr>
        <w:t>F</w:t>
      </w:r>
      <w:r w:rsidRPr="00853C76">
        <w:rPr>
          <w:b/>
          <w:bCs/>
          <w:iCs/>
          <w:snapToGrid w:val="0"/>
          <w:kern w:val="22"/>
          <w:szCs w:val="22"/>
          <w:lang w:val="en-US"/>
        </w:rPr>
        <w:t>ramework</w:t>
      </w:r>
    </w:p>
    <w:p w14:paraId="4F6069A7" w14:textId="77777777" w:rsidR="00DA0273" w:rsidRPr="00853C76" w:rsidRDefault="00DA0273" w:rsidP="00137D31">
      <w:pPr>
        <w:suppressLineNumbers/>
        <w:suppressAutoHyphens/>
        <w:adjustRightInd w:val="0"/>
        <w:snapToGrid w:val="0"/>
        <w:spacing w:before="120" w:after="120"/>
        <w:rPr>
          <w:iCs/>
          <w:snapToGrid w:val="0"/>
          <w:kern w:val="22"/>
          <w:szCs w:val="22"/>
        </w:rPr>
      </w:pPr>
      <w:r w:rsidRPr="00853C76">
        <w:rPr>
          <w:iCs/>
          <w:snapToGrid w:val="0"/>
          <w:kern w:val="22"/>
          <w:szCs w:val="22"/>
        </w:rPr>
        <w:t>6</w:t>
      </w:r>
      <w:r w:rsidRPr="00853C76">
        <w:rPr>
          <w:i/>
          <w:iCs/>
          <w:snapToGrid w:val="0"/>
          <w:kern w:val="22"/>
          <w:szCs w:val="22"/>
        </w:rPr>
        <w:t xml:space="preserve">. </w:t>
      </w:r>
      <w:r w:rsidRPr="00853C76">
        <w:rPr>
          <w:i/>
          <w:iCs/>
          <w:snapToGrid w:val="0"/>
          <w:kern w:val="22"/>
          <w:szCs w:val="22"/>
        </w:rPr>
        <w:tab/>
        <w:t xml:space="preserve">Invites </w:t>
      </w:r>
      <w:r w:rsidRPr="00853C76">
        <w:rPr>
          <w:iCs/>
          <w:snapToGrid w:val="0"/>
          <w:kern w:val="22"/>
          <w:szCs w:val="22"/>
        </w:rPr>
        <w:t>the Global Environment Facility to support national, regional and global biodiversity monitoring systems, recognizing the need for enhanced international cooperation and capacity-building especially for developing countries;</w:t>
      </w:r>
    </w:p>
    <w:p w14:paraId="40C1FAB8" w14:textId="77777777" w:rsidR="00DA0273" w:rsidRPr="00853C76" w:rsidRDefault="00DA0273" w:rsidP="00137D31">
      <w:pPr>
        <w:suppressLineNumbers/>
        <w:suppressAutoHyphens/>
        <w:adjustRightInd w:val="0"/>
        <w:snapToGrid w:val="0"/>
        <w:spacing w:before="120" w:after="120"/>
        <w:rPr>
          <w:iCs/>
          <w:snapToGrid w:val="0"/>
          <w:kern w:val="22"/>
          <w:szCs w:val="22"/>
          <w:lang w:val="en-US"/>
        </w:rPr>
      </w:pPr>
      <w:r w:rsidRPr="00853C76">
        <w:rPr>
          <w:b/>
          <w:bCs/>
          <w:iCs/>
          <w:snapToGrid w:val="0"/>
          <w:kern w:val="22"/>
          <w:szCs w:val="22"/>
          <w:lang w:val="en-US"/>
        </w:rPr>
        <w:t xml:space="preserve">Capacity-building and development </w:t>
      </w:r>
      <w:r w:rsidRPr="00113EDF">
        <w:rPr>
          <w:b/>
          <w:bCs/>
          <w:iCs/>
          <w:snapToGrid w:val="0"/>
          <w:kern w:val="22"/>
          <w:szCs w:val="22"/>
          <w:lang w:val="en-US"/>
        </w:rPr>
        <w:t>and technical and scientific cooperation</w:t>
      </w:r>
    </w:p>
    <w:p w14:paraId="6CBC3085" w14:textId="77777777" w:rsidR="00DA0273" w:rsidRPr="00853C76" w:rsidRDefault="00DA0273" w:rsidP="00137D31">
      <w:pPr>
        <w:suppressLineNumbers/>
        <w:suppressAutoHyphens/>
        <w:adjustRightInd w:val="0"/>
        <w:snapToGrid w:val="0"/>
        <w:spacing w:before="120" w:after="120"/>
        <w:rPr>
          <w:iCs/>
          <w:snapToGrid w:val="0"/>
          <w:kern w:val="22"/>
          <w:szCs w:val="22"/>
        </w:rPr>
      </w:pPr>
      <w:r w:rsidRPr="00853C76">
        <w:rPr>
          <w:iCs/>
          <w:snapToGrid w:val="0"/>
          <w:kern w:val="22"/>
          <w:szCs w:val="22"/>
        </w:rPr>
        <w:t xml:space="preserve">7. </w:t>
      </w:r>
      <w:r w:rsidRPr="00853C76">
        <w:rPr>
          <w:iCs/>
          <w:snapToGrid w:val="0"/>
          <w:kern w:val="22"/>
          <w:szCs w:val="22"/>
        </w:rPr>
        <w:tab/>
      </w:r>
      <w:r w:rsidRPr="00853C76">
        <w:rPr>
          <w:i/>
          <w:iCs/>
          <w:snapToGrid w:val="0"/>
          <w:kern w:val="22"/>
          <w:szCs w:val="22"/>
        </w:rPr>
        <w:t xml:space="preserve">Invites </w:t>
      </w:r>
      <w:r w:rsidRPr="00853C76">
        <w:rPr>
          <w:iCs/>
          <w:snapToGrid w:val="0"/>
          <w:kern w:val="22"/>
          <w:szCs w:val="22"/>
        </w:rPr>
        <w:t>the Global Environment Facility to support eligible activities of the regional and/or subregional technical and scientific cooperation support centres and the global coordination entity contributing to technical and scientific cooperation, technology transfer, and capacity-building and development at global, regional, subregional and national levels, as appropriate;</w:t>
      </w:r>
    </w:p>
    <w:p w14:paraId="0A9E49B1" w14:textId="77777777" w:rsidR="00DA0273" w:rsidRPr="00853C76" w:rsidRDefault="00DA0273" w:rsidP="00137D31">
      <w:pPr>
        <w:suppressLineNumbers/>
        <w:suppressAutoHyphens/>
        <w:adjustRightInd w:val="0"/>
        <w:snapToGrid w:val="0"/>
        <w:spacing w:before="120" w:after="120"/>
        <w:rPr>
          <w:b/>
          <w:bCs/>
          <w:iCs/>
          <w:snapToGrid w:val="0"/>
          <w:kern w:val="22"/>
          <w:szCs w:val="22"/>
          <w:lang w:val="en-US"/>
        </w:rPr>
      </w:pPr>
      <w:r w:rsidRPr="00853C76">
        <w:rPr>
          <w:b/>
          <w:bCs/>
          <w:iCs/>
          <w:snapToGrid w:val="0"/>
          <w:kern w:val="22"/>
          <w:szCs w:val="22"/>
          <w:lang w:val="en-US"/>
        </w:rPr>
        <w:t>Resource mobilization</w:t>
      </w:r>
    </w:p>
    <w:p w14:paraId="757DCA03" w14:textId="77777777" w:rsidR="00DA0273" w:rsidRPr="00853C76" w:rsidRDefault="00DA0273" w:rsidP="00137D31">
      <w:pPr>
        <w:suppressLineNumbers/>
        <w:suppressAutoHyphens/>
        <w:adjustRightInd w:val="0"/>
        <w:snapToGrid w:val="0"/>
        <w:spacing w:before="120" w:after="120"/>
        <w:rPr>
          <w:iCs/>
          <w:snapToGrid w:val="0"/>
          <w:kern w:val="22"/>
          <w:szCs w:val="22"/>
        </w:rPr>
      </w:pPr>
      <w:r w:rsidRPr="00853C76">
        <w:rPr>
          <w:iCs/>
          <w:snapToGrid w:val="0"/>
          <w:kern w:val="22"/>
          <w:szCs w:val="22"/>
        </w:rPr>
        <w:t xml:space="preserve">8. </w:t>
      </w:r>
      <w:r w:rsidRPr="00853C76">
        <w:rPr>
          <w:iCs/>
          <w:snapToGrid w:val="0"/>
          <w:kern w:val="22"/>
          <w:szCs w:val="22"/>
        </w:rPr>
        <w:tab/>
      </w:r>
      <w:r w:rsidRPr="00853C76">
        <w:rPr>
          <w:i/>
          <w:iCs/>
          <w:snapToGrid w:val="0"/>
          <w:kern w:val="22"/>
          <w:szCs w:val="22"/>
        </w:rPr>
        <w:t xml:space="preserve">Invites </w:t>
      </w:r>
      <w:r w:rsidRPr="00853C76">
        <w:rPr>
          <w:iCs/>
          <w:snapToGrid w:val="0"/>
          <w:kern w:val="22"/>
          <w:szCs w:val="22"/>
        </w:rPr>
        <w:t>the Global Environment Facility to support the development and implementation of national biodiversity finance plans or similar planning instruments to support efforts by recipient countries to mobilize domestic and international resources to reach their national goals</w:t>
      </w:r>
      <w:r>
        <w:rPr>
          <w:iCs/>
          <w:snapToGrid w:val="0"/>
          <w:kern w:val="22"/>
          <w:szCs w:val="22"/>
        </w:rPr>
        <w:t>,</w:t>
      </w:r>
      <w:r w:rsidRPr="00853C76">
        <w:rPr>
          <w:iCs/>
          <w:snapToGrid w:val="0"/>
          <w:kern w:val="22"/>
          <w:szCs w:val="22"/>
        </w:rPr>
        <w:t xml:space="preserve"> as defined in their national biodiversity strategies and action plans</w:t>
      </w:r>
      <w:r>
        <w:rPr>
          <w:iCs/>
          <w:snapToGrid w:val="0"/>
          <w:kern w:val="22"/>
          <w:szCs w:val="22"/>
        </w:rPr>
        <w:t>,</w:t>
      </w:r>
      <w:r w:rsidRPr="00853C76">
        <w:rPr>
          <w:iCs/>
          <w:snapToGrid w:val="0"/>
          <w:kern w:val="22"/>
          <w:szCs w:val="22"/>
        </w:rPr>
        <w:t xml:space="preserve"> and to contribute to the </w:t>
      </w:r>
      <w:r>
        <w:rPr>
          <w:kern w:val="22"/>
        </w:rPr>
        <w:t xml:space="preserve">Kunming-Montreal </w:t>
      </w:r>
      <w:r w:rsidRPr="00D71BEC">
        <w:rPr>
          <w:bCs/>
          <w:snapToGrid w:val="0"/>
          <w:kern w:val="22"/>
          <w:szCs w:val="22"/>
        </w:rPr>
        <w:t>Global Biodiversity Framework</w:t>
      </w:r>
      <w:r w:rsidRPr="00853C76">
        <w:rPr>
          <w:iCs/>
          <w:snapToGrid w:val="0"/>
          <w:kern w:val="22"/>
          <w:szCs w:val="22"/>
        </w:rPr>
        <w:t>;</w:t>
      </w:r>
    </w:p>
    <w:p w14:paraId="75BBD690" w14:textId="77777777" w:rsidR="00DA0273" w:rsidRPr="00853C76" w:rsidRDefault="00DA0273">
      <w:pPr>
        <w:suppressLineNumbers/>
        <w:suppressAutoHyphens/>
        <w:adjustRightInd w:val="0"/>
        <w:snapToGrid w:val="0"/>
        <w:spacing w:before="120" w:after="120"/>
        <w:rPr>
          <w:b/>
          <w:bCs/>
          <w:iCs/>
          <w:snapToGrid w:val="0"/>
          <w:kern w:val="22"/>
          <w:szCs w:val="22"/>
        </w:rPr>
      </w:pPr>
      <w:r w:rsidRPr="00853C76">
        <w:rPr>
          <w:b/>
          <w:bCs/>
          <w:iCs/>
          <w:snapToGrid w:val="0"/>
          <w:kern w:val="22"/>
          <w:szCs w:val="22"/>
        </w:rPr>
        <w:t>Cartagena Protocol on Biosafety</w:t>
      </w:r>
    </w:p>
    <w:p w14:paraId="42234DB8" w14:textId="77777777" w:rsidR="00DA0273" w:rsidRPr="00853C76" w:rsidRDefault="00DA0273" w:rsidP="00137D31">
      <w:pPr>
        <w:suppressLineNumbers/>
        <w:suppressAutoHyphens/>
        <w:adjustRightInd w:val="0"/>
        <w:snapToGrid w:val="0"/>
        <w:spacing w:before="120" w:after="120"/>
        <w:rPr>
          <w:iCs/>
          <w:snapToGrid w:val="0"/>
          <w:kern w:val="22"/>
          <w:szCs w:val="22"/>
          <w:lang w:val="en-US"/>
        </w:rPr>
      </w:pPr>
      <w:r w:rsidRPr="00853C76">
        <w:rPr>
          <w:iCs/>
          <w:snapToGrid w:val="0"/>
          <w:kern w:val="22"/>
          <w:szCs w:val="22"/>
        </w:rPr>
        <w:t>9.</w:t>
      </w:r>
      <w:r w:rsidRPr="00853C76">
        <w:rPr>
          <w:i/>
          <w:iCs/>
          <w:snapToGrid w:val="0"/>
          <w:kern w:val="22"/>
          <w:szCs w:val="22"/>
        </w:rPr>
        <w:tab/>
        <w:t>Invites</w:t>
      </w:r>
      <w:r w:rsidRPr="00853C76">
        <w:rPr>
          <w:iCs/>
          <w:snapToGrid w:val="0"/>
          <w:kern w:val="22"/>
          <w:szCs w:val="22"/>
        </w:rPr>
        <w:t xml:space="preserve"> the Global Environment Facility:</w:t>
      </w:r>
    </w:p>
    <w:p w14:paraId="5F696BFA" w14:textId="77777777" w:rsidR="00DA0273" w:rsidRPr="00853C76" w:rsidRDefault="00DA0273" w:rsidP="000E778E">
      <w:pPr>
        <w:suppressLineNumbers/>
        <w:suppressAutoHyphens/>
        <w:adjustRightInd w:val="0"/>
        <w:snapToGrid w:val="0"/>
        <w:spacing w:before="120" w:after="120"/>
        <w:ind w:firstLine="709"/>
        <w:rPr>
          <w:iCs/>
          <w:snapToGrid w:val="0"/>
          <w:kern w:val="22"/>
          <w:szCs w:val="22"/>
        </w:rPr>
      </w:pPr>
      <w:r w:rsidRPr="00853C76">
        <w:rPr>
          <w:iCs/>
          <w:snapToGrid w:val="0"/>
          <w:kern w:val="22"/>
          <w:szCs w:val="22"/>
        </w:rPr>
        <w:t>(a)</w:t>
      </w:r>
      <w:r w:rsidRPr="00853C76">
        <w:rPr>
          <w:iCs/>
          <w:snapToGrid w:val="0"/>
          <w:kern w:val="22"/>
          <w:szCs w:val="22"/>
        </w:rPr>
        <w:tab/>
        <w:t>To strengthen its funding programme dedicated to the Cartagena Protocol on Biosafety to support eligible Parties in implementing the Protocol</w:t>
      </w:r>
      <w:r>
        <w:rPr>
          <w:iCs/>
          <w:snapToGrid w:val="0"/>
          <w:kern w:val="22"/>
          <w:szCs w:val="22"/>
        </w:rPr>
        <w:t>, the</w:t>
      </w:r>
      <w:r w:rsidRPr="00853C76">
        <w:rPr>
          <w:iCs/>
          <w:snapToGrid w:val="0"/>
          <w:kern w:val="22"/>
          <w:szCs w:val="22"/>
        </w:rPr>
        <w:t xml:space="preserve"> </w:t>
      </w:r>
      <w:r>
        <w:rPr>
          <w:iCs/>
          <w:snapToGrid w:val="0"/>
          <w:kern w:val="22"/>
          <w:szCs w:val="22"/>
        </w:rPr>
        <w:t>I</w:t>
      </w:r>
      <w:r w:rsidRPr="00853C76">
        <w:rPr>
          <w:iCs/>
          <w:snapToGrid w:val="0"/>
          <w:kern w:val="22"/>
          <w:szCs w:val="22"/>
        </w:rPr>
        <w:t xml:space="preserve">mplementation </w:t>
      </w:r>
      <w:r>
        <w:rPr>
          <w:iCs/>
          <w:snapToGrid w:val="0"/>
          <w:kern w:val="22"/>
          <w:szCs w:val="22"/>
        </w:rPr>
        <w:t>P</w:t>
      </w:r>
      <w:r w:rsidRPr="00853C76">
        <w:rPr>
          <w:iCs/>
          <w:snapToGrid w:val="0"/>
          <w:kern w:val="22"/>
          <w:szCs w:val="22"/>
        </w:rPr>
        <w:t xml:space="preserve">lan </w:t>
      </w:r>
      <w:r>
        <w:rPr>
          <w:iCs/>
          <w:snapToGrid w:val="0"/>
          <w:kern w:val="22"/>
          <w:szCs w:val="22"/>
        </w:rPr>
        <w:t xml:space="preserve">for the Cartagena Protocol on Biosafety </w:t>
      </w:r>
      <w:r w:rsidRPr="00853C76">
        <w:rPr>
          <w:iCs/>
          <w:snapToGrid w:val="0"/>
          <w:kern w:val="22"/>
          <w:szCs w:val="22"/>
        </w:rPr>
        <w:t xml:space="preserve">and </w:t>
      </w:r>
      <w:r>
        <w:rPr>
          <w:iCs/>
          <w:snapToGrid w:val="0"/>
          <w:kern w:val="22"/>
          <w:szCs w:val="22"/>
        </w:rPr>
        <w:t>the C</w:t>
      </w:r>
      <w:r w:rsidRPr="00853C76">
        <w:rPr>
          <w:iCs/>
          <w:snapToGrid w:val="0"/>
          <w:kern w:val="22"/>
          <w:szCs w:val="22"/>
        </w:rPr>
        <w:t>apacity</w:t>
      </w:r>
      <w:r>
        <w:rPr>
          <w:iCs/>
          <w:snapToGrid w:val="0"/>
          <w:kern w:val="22"/>
          <w:szCs w:val="22"/>
        </w:rPr>
        <w:noBreakHyphen/>
      </w:r>
      <w:r w:rsidRPr="00853C76">
        <w:rPr>
          <w:iCs/>
          <w:snapToGrid w:val="0"/>
          <w:kern w:val="22"/>
          <w:szCs w:val="22"/>
        </w:rPr>
        <w:t xml:space="preserve">building </w:t>
      </w:r>
      <w:r>
        <w:rPr>
          <w:iCs/>
          <w:snapToGrid w:val="0"/>
          <w:kern w:val="22"/>
          <w:szCs w:val="22"/>
        </w:rPr>
        <w:t>A</w:t>
      </w:r>
      <w:r w:rsidRPr="00853C76">
        <w:rPr>
          <w:iCs/>
          <w:snapToGrid w:val="0"/>
          <w:kern w:val="22"/>
          <w:szCs w:val="22"/>
        </w:rPr>
        <w:t xml:space="preserve">ction </w:t>
      </w:r>
      <w:r>
        <w:rPr>
          <w:iCs/>
          <w:snapToGrid w:val="0"/>
          <w:kern w:val="22"/>
          <w:szCs w:val="22"/>
        </w:rPr>
        <w:t>P</w:t>
      </w:r>
      <w:r w:rsidRPr="00853C76">
        <w:rPr>
          <w:iCs/>
          <w:snapToGrid w:val="0"/>
          <w:kern w:val="22"/>
          <w:szCs w:val="22"/>
        </w:rPr>
        <w:t>lan</w:t>
      </w:r>
      <w:r>
        <w:rPr>
          <w:iCs/>
          <w:snapToGrid w:val="0"/>
          <w:kern w:val="22"/>
          <w:szCs w:val="22"/>
        </w:rPr>
        <w:t xml:space="preserve"> for the Cartagena Protocol on Biosafety</w:t>
      </w:r>
      <w:r w:rsidRPr="00853C76">
        <w:rPr>
          <w:iCs/>
          <w:snapToGrid w:val="0"/>
          <w:kern w:val="22"/>
          <w:szCs w:val="22"/>
        </w:rPr>
        <w:t xml:space="preserve">; </w:t>
      </w:r>
    </w:p>
    <w:p w14:paraId="6A603161" w14:textId="77777777" w:rsidR="00DA0273" w:rsidRPr="00853C76" w:rsidRDefault="00DA0273" w:rsidP="000E778E">
      <w:pPr>
        <w:suppressLineNumbers/>
        <w:suppressAutoHyphens/>
        <w:adjustRightInd w:val="0"/>
        <w:snapToGrid w:val="0"/>
        <w:spacing w:before="120" w:after="120"/>
        <w:ind w:firstLine="709"/>
        <w:rPr>
          <w:iCs/>
          <w:snapToGrid w:val="0"/>
          <w:kern w:val="22"/>
          <w:szCs w:val="22"/>
        </w:rPr>
      </w:pPr>
      <w:r w:rsidRPr="00853C76">
        <w:rPr>
          <w:iCs/>
          <w:snapToGrid w:val="0"/>
          <w:kern w:val="22"/>
          <w:szCs w:val="22"/>
        </w:rPr>
        <w:t>(b)</w:t>
      </w:r>
      <w:r w:rsidRPr="00853C76">
        <w:rPr>
          <w:iCs/>
          <w:snapToGrid w:val="0"/>
          <w:kern w:val="22"/>
          <w:szCs w:val="22"/>
        </w:rPr>
        <w:tab/>
        <w:t xml:space="preserve">To improve and simplify the modalities for access to its funding for the Cartagena Protocol, to support eligible Parties in the implementation of the Protocol, its </w:t>
      </w:r>
      <w:r>
        <w:rPr>
          <w:iCs/>
          <w:snapToGrid w:val="0"/>
          <w:kern w:val="22"/>
          <w:szCs w:val="22"/>
        </w:rPr>
        <w:t>I</w:t>
      </w:r>
      <w:r w:rsidRPr="00853C76">
        <w:rPr>
          <w:iCs/>
          <w:snapToGrid w:val="0"/>
          <w:kern w:val="22"/>
          <w:szCs w:val="22"/>
        </w:rPr>
        <w:t xml:space="preserve">mplementation </w:t>
      </w:r>
      <w:r>
        <w:rPr>
          <w:iCs/>
          <w:snapToGrid w:val="0"/>
          <w:kern w:val="22"/>
          <w:szCs w:val="22"/>
        </w:rPr>
        <w:t>P</w:t>
      </w:r>
      <w:r w:rsidRPr="00853C76">
        <w:rPr>
          <w:iCs/>
          <w:snapToGrid w:val="0"/>
          <w:kern w:val="22"/>
          <w:szCs w:val="22"/>
        </w:rPr>
        <w:t xml:space="preserve">lan and </w:t>
      </w:r>
      <w:r>
        <w:rPr>
          <w:iCs/>
          <w:snapToGrid w:val="0"/>
          <w:kern w:val="22"/>
          <w:szCs w:val="22"/>
        </w:rPr>
        <w:t>C</w:t>
      </w:r>
      <w:r w:rsidRPr="00853C76">
        <w:rPr>
          <w:iCs/>
          <w:snapToGrid w:val="0"/>
          <w:kern w:val="22"/>
          <w:szCs w:val="22"/>
        </w:rPr>
        <w:t>apacity</w:t>
      </w:r>
      <w:r>
        <w:rPr>
          <w:iCs/>
          <w:snapToGrid w:val="0"/>
          <w:kern w:val="22"/>
          <w:szCs w:val="22"/>
        </w:rPr>
        <w:noBreakHyphen/>
      </w:r>
      <w:r w:rsidRPr="00853C76">
        <w:rPr>
          <w:iCs/>
          <w:snapToGrid w:val="0"/>
          <w:kern w:val="22"/>
          <w:szCs w:val="22"/>
        </w:rPr>
        <w:t xml:space="preserve">building </w:t>
      </w:r>
      <w:r>
        <w:rPr>
          <w:iCs/>
          <w:snapToGrid w:val="0"/>
          <w:kern w:val="22"/>
          <w:szCs w:val="22"/>
        </w:rPr>
        <w:t>A</w:t>
      </w:r>
      <w:r w:rsidRPr="00853C76">
        <w:rPr>
          <w:iCs/>
          <w:snapToGrid w:val="0"/>
          <w:kern w:val="22"/>
          <w:szCs w:val="22"/>
        </w:rPr>
        <w:t xml:space="preserve">ction </w:t>
      </w:r>
      <w:r>
        <w:rPr>
          <w:iCs/>
          <w:snapToGrid w:val="0"/>
          <w:kern w:val="22"/>
          <w:szCs w:val="22"/>
        </w:rPr>
        <w:t>P</w:t>
      </w:r>
      <w:r w:rsidRPr="00853C76">
        <w:rPr>
          <w:iCs/>
          <w:snapToGrid w:val="0"/>
          <w:kern w:val="22"/>
          <w:szCs w:val="22"/>
        </w:rPr>
        <w:t>lan;</w:t>
      </w:r>
    </w:p>
    <w:p w14:paraId="07535518" w14:textId="77777777" w:rsidR="00DA0273" w:rsidRPr="00853C76" w:rsidRDefault="00DA0273" w:rsidP="000E778E">
      <w:pPr>
        <w:suppressLineNumbers/>
        <w:suppressAutoHyphens/>
        <w:adjustRightInd w:val="0"/>
        <w:snapToGrid w:val="0"/>
        <w:spacing w:before="120" w:after="120"/>
        <w:ind w:firstLine="709"/>
        <w:rPr>
          <w:iCs/>
          <w:snapToGrid w:val="0"/>
          <w:kern w:val="22"/>
          <w:szCs w:val="22"/>
        </w:rPr>
      </w:pPr>
      <w:r w:rsidRPr="00853C76">
        <w:rPr>
          <w:iCs/>
          <w:snapToGrid w:val="0"/>
          <w:kern w:val="22"/>
          <w:szCs w:val="22"/>
        </w:rPr>
        <w:t>(c)</w:t>
      </w:r>
      <w:r w:rsidRPr="00853C76">
        <w:rPr>
          <w:iCs/>
          <w:snapToGrid w:val="0"/>
          <w:kern w:val="22"/>
          <w:szCs w:val="22"/>
        </w:rPr>
        <w:tab/>
        <w:t>To continue to make funds available in a timely manner to support eligible Parties in preparing and submitting their fifth national reports</w:t>
      </w:r>
      <w:r>
        <w:rPr>
          <w:iCs/>
          <w:snapToGrid w:val="0"/>
          <w:kern w:val="22"/>
          <w:szCs w:val="22"/>
        </w:rPr>
        <w:t xml:space="preserve"> under the Cartagena Protocol</w:t>
      </w:r>
      <w:r w:rsidRPr="00853C76">
        <w:rPr>
          <w:iCs/>
          <w:snapToGrid w:val="0"/>
          <w:kern w:val="22"/>
          <w:szCs w:val="22"/>
        </w:rPr>
        <w:t>;</w:t>
      </w:r>
    </w:p>
    <w:p w14:paraId="22F4410D" w14:textId="77777777" w:rsidR="00DA0273" w:rsidRPr="00853C76" w:rsidRDefault="00DA0273" w:rsidP="000E778E">
      <w:pPr>
        <w:suppressLineNumbers/>
        <w:suppressAutoHyphens/>
        <w:adjustRightInd w:val="0"/>
        <w:snapToGrid w:val="0"/>
        <w:spacing w:before="120" w:after="120"/>
        <w:ind w:firstLine="709"/>
        <w:rPr>
          <w:iCs/>
          <w:snapToGrid w:val="0"/>
          <w:kern w:val="22"/>
          <w:szCs w:val="22"/>
        </w:rPr>
      </w:pPr>
      <w:r w:rsidRPr="00853C76">
        <w:rPr>
          <w:iCs/>
          <w:snapToGrid w:val="0"/>
          <w:kern w:val="22"/>
          <w:szCs w:val="22"/>
        </w:rPr>
        <w:t>(d)</w:t>
      </w:r>
      <w:r w:rsidRPr="00853C76">
        <w:rPr>
          <w:iCs/>
          <w:snapToGrid w:val="0"/>
          <w:kern w:val="22"/>
          <w:szCs w:val="22"/>
        </w:rPr>
        <w:tab/>
        <w:t>To continue to assist eligible Parties in undertaking activities in the following areas: development and implementation of legal, administrative and other measures to implement the Protocol; risk assessment and risk management; detection and identification of living modified organisms; public awareness, education and participation; socioeconomic considerations; liability and redress; national reporting; information</w:t>
      </w:r>
      <w:r>
        <w:rPr>
          <w:iCs/>
          <w:snapToGrid w:val="0"/>
          <w:kern w:val="22"/>
          <w:szCs w:val="22"/>
        </w:rPr>
        <w:t>-</w:t>
      </w:r>
      <w:r w:rsidRPr="00853C76">
        <w:rPr>
          <w:iCs/>
          <w:snapToGrid w:val="0"/>
          <w:kern w:val="22"/>
          <w:szCs w:val="22"/>
        </w:rPr>
        <w:t>sharing and the Biosafety Clearing-House; knowledge and technology transfer; and the implementation of compliance action plans regarding the achievement of compliance with the Protocol;</w:t>
      </w:r>
    </w:p>
    <w:p w14:paraId="0F706691" w14:textId="77777777" w:rsidR="00DA0273" w:rsidRPr="00853C76" w:rsidRDefault="00DA0273" w:rsidP="00137D31">
      <w:pPr>
        <w:suppressLineNumbers/>
        <w:suppressAutoHyphens/>
        <w:adjustRightInd w:val="0"/>
        <w:snapToGrid w:val="0"/>
        <w:spacing w:before="120" w:after="120"/>
        <w:rPr>
          <w:iCs/>
          <w:snapToGrid w:val="0"/>
          <w:kern w:val="22"/>
          <w:szCs w:val="22"/>
        </w:rPr>
      </w:pPr>
      <w:r w:rsidRPr="00853C76">
        <w:rPr>
          <w:iCs/>
          <w:snapToGrid w:val="0"/>
          <w:kern w:val="22"/>
          <w:szCs w:val="22"/>
        </w:rPr>
        <w:t xml:space="preserve">10. </w:t>
      </w:r>
      <w:r w:rsidRPr="00853C76">
        <w:rPr>
          <w:iCs/>
          <w:snapToGrid w:val="0"/>
          <w:kern w:val="22"/>
          <w:szCs w:val="22"/>
        </w:rPr>
        <w:tab/>
      </w:r>
      <w:r w:rsidRPr="00853C76">
        <w:rPr>
          <w:i/>
          <w:iCs/>
          <w:snapToGrid w:val="0"/>
          <w:kern w:val="22"/>
          <w:szCs w:val="22"/>
        </w:rPr>
        <w:t>Invites</w:t>
      </w:r>
      <w:r w:rsidRPr="00853C76">
        <w:rPr>
          <w:iCs/>
          <w:snapToGrid w:val="0"/>
          <w:kern w:val="22"/>
          <w:szCs w:val="22"/>
        </w:rPr>
        <w:t xml:space="preserve"> the Council </w:t>
      </w:r>
      <w:r>
        <w:rPr>
          <w:iCs/>
          <w:snapToGrid w:val="0"/>
          <w:kern w:val="22"/>
          <w:szCs w:val="22"/>
        </w:rPr>
        <w:t xml:space="preserve">of the </w:t>
      </w:r>
      <w:r w:rsidRPr="00853C76">
        <w:rPr>
          <w:iCs/>
          <w:snapToGrid w:val="0"/>
          <w:kern w:val="22"/>
          <w:szCs w:val="22"/>
        </w:rPr>
        <w:t>Global Environment Facility to examine the possibility to create a finance window specifically for the Cartagena Protocol on Biosafety;</w:t>
      </w:r>
    </w:p>
    <w:p w14:paraId="661B9028" w14:textId="77777777" w:rsidR="00DA0273" w:rsidRPr="00853C76" w:rsidRDefault="00DA0273" w:rsidP="00137D31">
      <w:pPr>
        <w:suppressLineNumbers/>
        <w:suppressAutoHyphens/>
        <w:adjustRightInd w:val="0"/>
        <w:snapToGrid w:val="0"/>
        <w:spacing w:before="120" w:after="120"/>
        <w:rPr>
          <w:b/>
          <w:bCs/>
          <w:iCs/>
          <w:snapToGrid w:val="0"/>
          <w:kern w:val="22"/>
          <w:szCs w:val="22"/>
        </w:rPr>
      </w:pPr>
      <w:r w:rsidRPr="00853C76">
        <w:rPr>
          <w:b/>
          <w:bCs/>
          <w:iCs/>
          <w:snapToGrid w:val="0"/>
          <w:kern w:val="22"/>
          <w:szCs w:val="22"/>
        </w:rPr>
        <w:t>Nagoya Protocol</w:t>
      </w:r>
      <w:r>
        <w:rPr>
          <w:b/>
          <w:bCs/>
          <w:iCs/>
          <w:snapToGrid w:val="0"/>
          <w:kern w:val="22"/>
          <w:szCs w:val="22"/>
        </w:rPr>
        <w:t xml:space="preserve"> on Access and Benefit-sharing</w:t>
      </w:r>
    </w:p>
    <w:p w14:paraId="4A76334F" w14:textId="77777777" w:rsidR="00DA0273" w:rsidRPr="00853C76" w:rsidRDefault="00DA0273" w:rsidP="00137D31">
      <w:pPr>
        <w:suppressLineNumbers/>
        <w:suppressAutoHyphens/>
        <w:adjustRightInd w:val="0"/>
        <w:snapToGrid w:val="0"/>
        <w:spacing w:before="120" w:after="120"/>
        <w:rPr>
          <w:iCs/>
          <w:snapToGrid w:val="0"/>
          <w:kern w:val="22"/>
          <w:szCs w:val="22"/>
        </w:rPr>
      </w:pPr>
      <w:r w:rsidRPr="00853C76">
        <w:rPr>
          <w:iCs/>
          <w:snapToGrid w:val="0"/>
          <w:kern w:val="22"/>
          <w:szCs w:val="22"/>
        </w:rPr>
        <w:t>11.</w:t>
      </w:r>
      <w:r w:rsidRPr="00853C76">
        <w:rPr>
          <w:iCs/>
          <w:snapToGrid w:val="0"/>
          <w:kern w:val="22"/>
          <w:szCs w:val="22"/>
        </w:rPr>
        <w:tab/>
      </w:r>
      <w:r w:rsidRPr="00853C76">
        <w:rPr>
          <w:i/>
          <w:iCs/>
          <w:snapToGrid w:val="0"/>
          <w:kern w:val="22"/>
          <w:szCs w:val="22"/>
        </w:rPr>
        <w:t>Invites</w:t>
      </w:r>
      <w:r w:rsidRPr="00853C76">
        <w:rPr>
          <w:iCs/>
          <w:snapToGrid w:val="0"/>
          <w:kern w:val="22"/>
          <w:szCs w:val="22"/>
        </w:rPr>
        <w:t xml:space="preserve"> the Global Environment Facility to continue providing and enhancing support for joint projects, at global, regional or national levels, in order to maximize synergies and opportunities for cost</w:t>
      </w:r>
      <w:r>
        <w:rPr>
          <w:iCs/>
          <w:snapToGrid w:val="0"/>
          <w:kern w:val="22"/>
          <w:szCs w:val="22"/>
        </w:rPr>
        <w:noBreakHyphen/>
      </w:r>
      <w:r w:rsidRPr="00853C76">
        <w:rPr>
          <w:iCs/>
          <w:snapToGrid w:val="0"/>
          <w:kern w:val="22"/>
          <w:szCs w:val="22"/>
        </w:rPr>
        <w:t>effective sharing of resources, information, experiences and expertise;</w:t>
      </w:r>
    </w:p>
    <w:p w14:paraId="6671C680" w14:textId="2A28E380" w:rsidR="00DA0273" w:rsidRPr="00853C76" w:rsidRDefault="00DA0273" w:rsidP="00F16F07">
      <w:pPr>
        <w:suppressLineNumbers/>
        <w:suppressAutoHyphens/>
        <w:adjustRightInd w:val="0"/>
        <w:snapToGrid w:val="0"/>
        <w:spacing w:before="120" w:after="120"/>
        <w:rPr>
          <w:iCs/>
          <w:snapToGrid w:val="0"/>
          <w:kern w:val="22"/>
          <w:szCs w:val="22"/>
        </w:rPr>
      </w:pPr>
      <w:r w:rsidRPr="00853C76">
        <w:rPr>
          <w:iCs/>
          <w:snapToGrid w:val="0"/>
          <w:kern w:val="22"/>
          <w:szCs w:val="22"/>
        </w:rPr>
        <w:t>12.</w:t>
      </w:r>
      <w:r w:rsidRPr="00853C76">
        <w:rPr>
          <w:iCs/>
          <w:snapToGrid w:val="0"/>
          <w:kern w:val="22"/>
          <w:szCs w:val="22"/>
        </w:rPr>
        <w:tab/>
      </w:r>
      <w:r w:rsidRPr="00853C76">
        <w:rPr>
          <w:i/>
          <w:iCs/>
          <w:snapToGrid w:val="0"/>
          <w:kern w:val="22"/>
          <w:szCs w:val="22"/>
        </w:rPr>
        <w:t>Invites</w:t>
      </w:r>
      <w:r w:rsidRPr="00853C76">
        <w:rPr>
          <w:iCs/>
          <w:snapToGrid w:val="0"/>
          <w:kern w:val="22"/>
          <w:szCs w:val="22"/>
        </w:rPr>
        <w:t xml:space="preserve"> the Global Environment Facility to make financial resources available in a timely manner to eligible Parties to assist them in meeting their reporting obligation</w:t>
      </w:r>
      <w:r>
        <w:rPr>
          <w:iCs/>
          <w:snapToGrid w:val="0"/>
          <w:kern w:val="22"/>
          <w:szCs w:val="22"/>
        </w:rPr>
        <w:t>s</w:t>
      </w:r>
      <w:r w:rsidRPr="00853C76">
        <w:rPr>
          <w:iCs/>
          <w:snapToGrid w:val="0"/>
          <w:kern w:val="22"/>
          <w:szCs w:val="22"/>
        </w:rPr>
        <w:t xml:space="preserve"> under the </w:t>
      </w:r>
      <w:r>
        <w:rPr>
          <w:iCs/>
          <w:snapToGrid w:val="0"/>
          <w:kern w:val="22"/>
          <w:szCs w:val="22"/>
        </w:rPr>
        <w:t xml:space="preserve">Nagoya </w:t>
      </w:r>
      <w:r w:rsidRPr="00853C76">
        <w:rPr>
          <w:iCs/>
          <w:snapToGrid w:val="0"/>
          <w:kern w:val="22"/>
          <w:szCs w:val="22"/>
        </w:rPr>
        <w:t>Protocol;</w:t>
      </w:r>
    </w:p>
    <w:p w14:paraId="60245121" w14:textId="77777777" w:rsidR="00DA0273" w:rsidRPr="00853C76" w:rsidRDefault="00DA0273" w:rsidP="00F16F07">
      <w:pPr>
        <w:spacing w:before="120" w:after="120"/>
        <w:jc w:val="center"/>
        <w:rPr>
          <w:i/>
          <w:iCs/>
          <w:szCs w:val="22"/>
        </w:rPr>
      </w:pPr>
      <w:bookmarkStart w:id="243" w:name="_Toc118355000"/>
      <w:r w:rsidRPr="00E678C7">
        <w:rPr>
          <w:i/>
          <w:iCs/>
          <w:szCs w:val="22"/>
        </w:rPr>
        <w:t>Annex III</w:t>
      </w:r>
    </w:p>
    <w:p w14:paraId="6C49414B" w14:textId="16C22A25" w:rsidR="00DA0273" w:rsidRPr="008D761B" w:rsidRDefault="008D761B" w:rsidP="008D761B">
      <w:pPr>
        <w:pStyle w:val="BodyText"/>
        <w:jc w:val="center"/>
        <w:rPr>
          <w:b/>
          <w:bCs/>
        </w:rPr>
      </w:pPr>
      <w:r w:rsidRPr="008D761B">
        <w:rPr>
          <w:b/>
          <w:bCs/>
        </w:rPr>
        <w:t>TERMS OF REFERENCE FOR A FULL ASSESSMENT OF THE AMOUNT OF FUNDS NEEDED FOR THE IMPLEMENTATION OF THE CONVENTION AND ITS PROTOCOLS FOR THE NINTH REPLENISHMENT PERIOD OF THE GLOBAL ENVIRONMENT FACILITY TRUST FUND</w:t>
      </w:r>
    </w:p>
    <w:p w14:paraId="515AC013" w14:textId="77777777" w:rsidR="00DA0273" w:rsidRPr="008D761B" w:rsidRDefault="00DA0273" w:rsidP="008D761B">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8D761B">
        <w:rPr>
          <w:b/>
          <w:bCs/>
          <w:snapToGrid w:val="0"/>
          <w:color w:val="000000"/>
          <w:kern w:val="22"/>
          <w:szCs w:val="22"/>
        </w:rPr>
        <w:t>A.</w:t>
      </w:r>
      <w:r w:rsidRPr="008D761B">
        <w:rPr>
          <w:b/>
          <w:bCs/>
          <w:snapToGrid w:val="0"/>
          <w:color w:val="000000"/>
          <w:kern w:val="22"/>
          <w:szCs w:val="22"/>
        </w:rPr>
        <w:tab/>
        <w:t>Objective</w:t>
      </w:r>
    </w:p>
    <w:p w14:paraId="21876D0D" w14:textId="6429EBE5" w:rsidR="00DA0273" w:rsidRPr="00853C76" w:rsidRDefault="00DA0273" w:rsidP="00950BE4">
      <w:pPr>
        <w:pStyle w:val="ListParagraph"/>
        <w:numPr>
          <w:ilvl w:val="0"/>
          <w:numId w:val="61"/>
        </w:numPr>
        <w:spacing w:before="120" w:after="120"/>
        <w:ind w:left="0" w:firstLine="0"/>
        <w:rPr>
          <w:rFonts w:eastAsia="Malgun Gothic"/>
          <w:kern w:val="22"/>
          <w:szCs w:val="22"/>
        </w:rPr>
      </w:pPr>
      <w:r w:rsidRPr="00853C76">
        <w:rPr>
          <w:rFonts w:eastAsia="Malgun Gothic"/>
          <w:kern w:val="22"/>
          <w:szCs w:val="22"/>
        </w:rPr>
        <w:t xml:space="preserve">The objective of the work to be carried out under the present terms of reference is to enable the Conference of the Parties to make an assessment of the amount of funds that are necessary to assist developing countries and countries with economies in transition, in accordance with the guidance provided by the Conference of the Parties, in fulfilling their commitments under the Convention and its Protocols, in particular to implement the </w:t>
      </w:r>
      <w:r>
        <w:rPr>
          <w:rFonts w:eastAsia="Malgun Gothic"/>
          <w:kern w:val="22"/>
          <w:szCs w:val="22"/>
        </w:rPr>
        <w:t>Kunming-Montreal</w:t>
      </w:r>
      <w:r w:rsidRPr="00853C76">
        <w:rPr>
          <w:rFonts w:eastAsia="Malgun Gothic"/>
          <w:kern w:val="22"/>
          <w:szCs w:val="22"/>
        </w:rPr>
        <w:t xml:space="preserve"> </w:t>
      </w:r>
      <w:r>
        <w:rPr>
          <w:rFonts w:eastAsia="Malgun Gothic"/>
          <w:kern w:val="22"/>
          <w:szCs w:val="22"/>
        </w:rPr>
        <w:t>G</w:t>
      </w:r>
      <w:r w:rsidRPr="00853C76">
        <w:rPr>
          <w:rFonts w:eastAsia="Malgun Gothic"/>
          <w:kern w:val="22"/>
          <w:szCs w:val="22"/>
        </w:rPr>
        <w:t xml:space="preserve">lobal </w:t>
      </w:r>
      <w:r>
        <w:rPr>
          <w:rFonts w:eastAsia="Malgun Gothic"/>
          <w:kern w:val="22"/>
          <w:szCs w:val="22"/>
        </w:rPr>
        <w:t>B</w:t>
      </w:r>
      <w:r w:rsidRPr="00853C76">
        <w:rPr>
          <w:rFonts w:eastAsia="Malgun Gothic"/>
          <w:kern w:val="22"/>
          <w:szCs w:val="22"/>
        </w:rPr>
        <w:t xml:space="preserve">iodiversity </w:t>
      </w:r>
      <w:r>
        <w:rPr>
          <w:rFonts w:eastAsia="Malgun Gothic"/>
          <w:kern w:val="22"/>
          <w:szCs w:val="22"/>
        </w:rPr>
        <w:t>F</w:t>
      </w:r>
      <w:r w:rsidRPr="00853C76">
        <w:rPr>
          <w:rFonts w:eastAsia="Malgun Gothic"/>
          <w:kern w:val="22"/>
          <w:szCs w:val="22"/>
        </w:rPr>
        <w:t xml:space="preserve">ramework, over the ninth replenishment period of the Global Environment Facility (GEF), and determine the amount of resources needed, in accordance with Article 21, paragraph 1 and </w:t>
      </w:r>
      <w:hyperlink r:id="rId35" w:history="1">
        <w:r w:rsidRPr="00853C76">
          <w:rPr>
            <w:rFonts w:eastAsia="Malgun Gothic"/>
            <w:kern w:val="22"/>
            <w:szCs w:val="22"/>
          </w:rPr>
          <w:t>decision III/8</w:t>
        </w:r>
      </w:hyperlink>
      <w:r w:rsidRPr="00853C76">
        <w:rPr>
          <w:rFonts w:eastAsia="Malgun Gothic"/>
          <w:kern w:val="22"/>
          <w:szCs w:val="22"/>
        </w:rPr>
        <w:t>.</w:t>
      </w:r>
    </w:p>
    <w:p w14:paraId="636F3E86" w14:textId="77777777" w:rsidR="00DA0273" w:rsidRPr="008D761B" w:rsidRDefault="00DA0273" w:rsidP="008D761B">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8D761B">
        <w:rPr>
          <w:b/>
          <w:bCs/>
          <w:snapToGrid w:val="0"/>
          <w:color w:val="000000"/>
          <w:kern w:val="22"/>
          <w:szCs w:val="22"/>
        </w:rPr>
        <w:t>B.</w:t>
      </w:r>
      <w:r w:rsidRPr="008D761B">
        <w:rPr>
          <w:b/>
          <w:bCs/>
          <w:snapToGrid w:val="0"/>
          <w:color w:val="000000"/>
          <w:kern w:val="22"/>
          <w:szCs w:val="22"/>
        </w:rPr>
        <w:tab/>
        <w:t>Scope</w:t>
      </w:r>
    </w:p>
    <w:p w14:paraId="3DBE7A5D" w14:textId="77777777" w:rsidR="00DA0273" w:rsidRPr="00853C76" w:rsidRDefault="00DA0273" w:rsidP="00950BE4">
      <w:pPr>
        <w:pStyle w:val="ListParagraph"/>
        <w:numPr>
          <w:ilvl w:val="0"/>
          <w:numId w:val="61"/>
        </w:numPr>
        <w:spacing w:before="120" w:after="120"/>
        <w:ind w:left="0" w:firstLine="0"/>
        <w:rPr>
          <w:rFonts w:eastAsia="Malgun Gothic"/>
          <w:kern w:val="22"/>
          <w:szCs w:val="22"/>
        </w:rPr>
      </w:pPr>
      <w:r w:rsidRPr="00853C76">
        <w:rPr>
          <w:rFonts w:eastAsia="Malgun Gothic"/>
          <w:kern w:val="22"/>
          <w:szCs w:val="22"/>
        </w:rPr>
        <w:t xml:space="preserve">The assessment of funding needs for the implementation of the Convention </w:t>
      </w:r>
      <w:r w:rsidRPr="00853C76">
        <w:rPr>
          <w:rFonts w:eastAsia="Malgun Gothic"/>
          <w:kern w:val="22"/>
          <w:szCs w:val="22"/>
          <w:lang w:eastAsia="ko-KR"/>
        </w:rPr>
        <w:t xml:space="preserve">and its Protocols </w:t>
      </w:r>
      <w:r w:rsidRPr="00853C76">
        <w:rPr>
          <w:rFonts w:eastAsia="Malgun Gothic"/>
          <w:kern w:val="22"/>
          <w:szCs w:val="22"/>
        </w:rPr>
        <w:t xml:space="preserve">should be comprehensive and primarily directed towards assessing total funding needs required to meet the agreed full incremental costs of measures that developing country Parties and Parties with economies in transition  that are eligible for GEF support may implement, in accordance with the guidance provided by the Conference of the Parties, in order to fulfil their obligations under the Convention and its Protocols, in particular to implement the </w:t>
      </w:r>
      <w:r>
        <w:rPr>
          <w:rFonts w:eastAsia="Malgun Gothic"/>
          <w:kern w:val="22"/>
          <w:szCs w:val="22"/>
        </w:rPr>
        <w:t>Kunming-Montreal</w:t>
      </w:r>
      <w:r w:rsidRPr="00853C76">
        <w:rPr>
          <w:rFonts w:eastAsia="Malgun Gothic"/>
          <w:kern w:val="22"/>
          <w:szCs w:val="22"/>
        </w:rPr>
        <w:t xml:space="preserve"> </w:t>
      </w:r>
      <w:r>
        <w:rPr>
          <w:rFonts w:eastAsia="Malgun Gothic"/>
          <w:kern w:val="22"/>
          <w:szCs w:val="22"/>
        </w:rPr>
        <w:t>G</w:t>
      </w:r>
      <w:r w:rsidRPr="00853C76">
        <w:rPr>
          <w:rFonts w:eastAsia="Malgun Gothic"/>
          <w:kern w:val="22"/>
          <w:szCs w:val="22"/>
        </w:rPr>
        <w:t xml:space="preserve">lobal </w:t>
      </w:r>
      <w:r>
        <w:rPr>
          <w:rFonts w:eastAsia="Malgun Gothic"/>
          <w:kern w:val="22"/>
          <w:szCs w:val="22"/>
        </w:rPr>
        <w:t>B</w:t>
      </w:r>
      <w:r w:rsidRPr="00853C76">
        <w:rPr>
          <w:rFonts w:eastAsia="Malgun Gothic"/>
          <w:kern w:val="22"/>
          <w:szCs w:val="22"/>
        </w:rPr>
        <w:t xml:space="preserve">iodiversity </w:t>
      </w:r>
      <w:r>
        <w:rPr>
          <w:rFonts w:eastAsia="Malgun Gothic"/>
          <w:kern w:val="22"/>
          <w:szCs w:val="22"/>
        </w:rPr>
        <w:t>F</w:t>
      </w:r>
      <w:r w:rsidRPr="00853C76">
        <w:rPr>
          <w:rFonts w:eastAsia="Malgun Gothic"/>
          <w:kern w:val="22"/>
          <w:szCs w:val="22"/>
        </w:rPr>
        <w:t>ramework, for the period July 2026 to June 2030.</w:t>
      </w:r>
    </w:p>
    <w:p w14:paraId="4F6919E6" w14:textId="77777777" w:rsidR="00DA0273" w:rsidRPr="008D761B" w:rsidRDefault="00DA0273" w:rsidP="008D761B">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8D761B">
        <w:rPr>
          <w:b/>
          <w:bCs/>
          <w:snapToGrid w:val="0"/>
          <w:color w:val="000000"/>
          <w:kern w:val="22"/>
          <w:szCs w:val="22"/>
        </w:rPr>
        <w:t>C.</w:t>
      </w:r>
      <w:r w:rsidRPr="008D761B">
        <w:rPr>
          <w:b/>
          <w:bCs/>
          <w:snapToGrid w:val="0"/>
          <w:color w:val="000000"/>
          <w:kern w:val="22"/>
          <w:szCs w:val="22"/>
        </w:rPr>
        <w:tab/>
        <w:t>Methodology</w:t>
      </w:r>
    </w:p>
    <w:p w14:paraId="0E137DC6" w14:textId="77777777" w:rsidR="00DA0273" w:rsidRPr="00853C76" w:rsidRDefault="00DA0273" w:rsidP="00950BE4">
      <w:pPr>
        <w:pStyle w:val="ListParagraph"/>
        <w:numPr>
          <w:ilvl w:val="0"/>
          <w:numId w:val="61"/>
        </w:numPr>
        <w:spacing w:before="120" w:after="120"/>
        <w:ind w:left="0" w:firstLine="0"/>
        <w:rPr>
          <w:rFonts w:eastAsia="Malgun Gothic"/>
          <w:kern w:val="22"/>
          <w:szCs w:val="22"/>
        </w:rPr>
      </w:pPr>
      <w:r w:rsidRPr="00853C76">
        <w:rPr>
          <w:rFonts w:eastAsia="Malgun Gothic"/>
          <w:kern w:val="22"/>
          <w:szCs w:val="22"/>
        </w:rPr>
        <w:t>The funding needs assessment should take into account:</w:t>
      </w:r>
    </w:p>
    <w:p w14:paraId="1CCCDA04"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rPr>
        <w:t xml:space="preserve">Article 20, paragraph 2, and Article 21, paragraph 1, of the Convention, as well as the </w:t>
      </w:r>
      <w:r>
        <w:rPr>
          <w:rFonts w:eastAsia="Malgun Gothic"/>
          <w:kern w:val="22"/>
          <w:szCs w:val="22"/>
        </w:rPr>
        <w:t>Kunming-Montreal</w:t>
      </w:r>
      <w:r w:rsidRPr="00853C76">
        <w:rPr>
          <w:rFonts w:eastAsia="Malgun Gothic"/>
          <w:kern w:val="22"/>
          <w:szCs w:val="22"/>
        </w:rPr>
        <w:t xml:space="preserve"> </w:t>
      </w:r>
      <w:r>
        <w:rPr>
          <w:rFonts w:eastAsia="Malgun Gothic"/>
          <w:kern w:val="22"/>
          <w:szCs w:val="22"/>
        </w:rPr>
        <w:t>G</w:t>
      </w:r>
      <w:r w:rsidRPr="00853C76">
        <w:rPr>
          <w:rFonts w:eastAsia="Malgun Gothic"/>
          <w:kern w:val="22"/>
          <w:szCs w:val="22"/>
        </w:rPr>
        <w:t xml:space="preserve">lobal </w:t>
      </w:r>
      <w:r>
        <w:rPr>
          <w:rFonts w:eastAsia="Malgun Gothic"/>
          <w:kern w:val="22"/>
          <w:szCs w:val="22"/>
        </w:rPr>
        <w:t>B</w:t>
      </w:r>
      <w:r w:rsidRPr="00853C76">
        <w:rPr>
          <w:rFonts w:eastAsia="Malgun Gothic"/>
          <w:kern w:val="22"/>
          <w:szCs w:val="22"/>
        </w:rPr>
        <w:t xml:space="preserve">iodiversity </w:t>
      </w:r>
      <w:r>
        <w:rPr>
          <w:rFonts w:eastAsia="Malgun Gothic"/>
          <w:kern w:val="22"/>
          <w:szCs w:val="22"/>
        </w:rPr>
        <w:t>F</w:t>
      </w:r>
      <w:r w:rsidRPr="00853C76">
        <w:rPr>
          <w:rFonts w:eastAsia="Malgun Gothic"/>
          <w:kern w:val="22"/>
          <w:szCs w:val="22"/>
        </w:rPr>
        <w:t>ramework;</w:t>
      </w:r>
    </w:p>
    <w:p w14:paraId="79D4910F"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rPr>
        <w:t>Guidance to the financial mechanism from the Conference of the Parties which calls for future financial resources;</w:t>
      </w:r>
    </w:p>
    <w:p w14:paraId="6ACDE2D5"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rPr>
        <w:t>All obligations under the Convention and its Protocols and relevant decisions adopted by the Conference of the Parties;</w:t>
      </w:r>
    </w:p>
    <w:p w14:paraId="77840547"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rPr>
        <w:t>The information communicated to the Conference of the Parties in the national reports</w:t>
      </w:r>
      <w:r w:rsidRPr="00853C76">
        <w:rPr>
          <w:rFonts w:eastAsia="Malgun Gothic"/>
          <w:kern w:val="22"/>
          <w:szCs w:val="22"/>
          <w:lang w:eastAsia="ko-KR"/>
        </w:rPr>
        <w:t xml:space="preserve">, information provided by the Parties through the financial reporting framework and information from the </w:t>
      </w:r>
      <w:r w:rsidRPr="000E778E">
        <w:rPr>
          <w:rFonts w:eastAsia="Malgun Gothic"/>
          <w:kern w:val="22"/>
          <w:szCs w:val="22"/>
          <w:lang w:eastAsia="ko-KR"/>
        </w:rPr>
        <w:t>A</w:t>
      </w:r>
      <w:r w:rsidRPr="009B3FE7">
        <w:rPr>
          <w:rFonts w:eastAsia="Malgun Gothic"/>
          <w:kern w:val="22"/>
          <w:szCs w:val="22"/>
          <w:lang w:eastAsia="ko-KR"/>
        </w:rPr>
        <w:t xml:space="preserve">dvisory </w:t>
      </w:r>
      <w:r w:rsidRPr="000E778E">
        <w:rPr>
          <w:rFonts w:eastAsia="Malgun Gothic"/>
          <w:kern w:val="22"/>
          <w:szCs w:val="22"/>
          <w:lang w:eastAsia="ko-KR"/>
        </w:rPr>
        <w:t>C</w:t>
      </w:r>
      <w:r w:rsidRPr="009B3FE7">
        <w:rPr>
          <w:rFonts w:eastAsia="Malgun Gothic"/>
          <w:kern w:val="22"/>
          <w:szCs w:val="22"/>
          <w:lang w:eastAsia="ko-KR"/>
        </w:rPr>
        <w:t xml:space="preserve">ommittee on </w:t>
      </w:r>
      <w:r w:rsidRPr="000E778E">
        <w:rPr>
          <w:rFonts w:eastAsia="Malgun Gothic"/>
          <w:kern w:val="22"/>
          <w:szCs w:val="22"/>
          <w:lang w:eastAsia="ko-KR"/>
        </w:rPr>
        <w:t>R</w:t>
      </w:r>
      <w:r w:rsidRPr="009B3FE7">
        <w:rPr>
          <w:rFonts w:eastAsia="Malgun Gothic"/>
          <w:kern w:val="22"/>
          <w:szCs w:val="22"/>
          <w:lang w:eastAsia="ko-KR"/>
        </w:rPr>
        <w:t xml:space="preserve">esource </w:t>
      </w:r>
      <w:r w:rsidRPr="000E778E">
        <w:rPr>
          <w:rFonts w:eastAsia="Malgun Gothic"/>
          <w:kern w:val="22"/>
          <w:szCs w:val="22"/>
          <w:lang w:eastAsia="ko-KR"/>
        </w:rPr>
        <w:t>M</w:t>
      </w:r>
      <w:r w:rsidRPr="009B3FE7">
        <w:rPr>
          <w:rFonts w:eastAsia="Malgun Gothic"/>
          <w:kern w:val="22"/>
          <w:szCs w:val="22"/>
          <w:lang w:eastAsia="ko-KR"/>
        </w:rPr>
        <w:t>obilization</w:t>
      </w:r>
      <w:r w:rsidRPr="00853C76">
        <w:rPr>
          <w:rFonts w:eastAsia="Malgun Gothic"/>
          <w:kern w:val="22"/>
          <w:szCs w:val="22"/>
          <w:lang w:eastAsia="ko-KR"/>
        </w:rPr>
        <w:t>;</w:t>
      </w:r>
      <w:r w:rsidRPr="00610646">
        <w:rPr>
          <w:rStyle w:val="FootnoteReference"/>
          <w:rFonts w:eastAsia="Malgun Gothic"/>
        </w:rPr>
        <w:footnoteReference w:id="289"/>
      </w:r>
    </w:p>
    <w:p w14:paraId="1ECB7765"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rPr>
        <w:t>Rules and guidelines agreed by the Council of the Global Environment Facility for determining eligibility for funding of projects;</w:t>
      </w:r>
    </w:p>
    <w:p w14:paraId="7EB0283E"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rPr>
        <w:t>National strategies, plans or programmes developed in accordance with Article 6 of the Convention;</w:t>
      </w:r>
    </w:p>
    <w:p w14:paraId="4704C876"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rPr>
        <w:t>Experience to date, including limitations and successes of projects funded by the Global Environment Facility, as well as the performance of the Facility and its implementing and executing agencies;</w:t>
      </w:r>
    </w:p>
    <w:p w14:paraId="1D8B2D1D"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rPr>
        <w:t>Synergies with other biodiversity-related conventions and other GEF-funded Conventions, including those with respect to operations and impacts;</w:t>
      </w:r>
    </w:p>
    <w:p w14:paraId="7F4E67A1"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lang w:eastAsia="ko-KR"/>
        </w:rPr>
        <w:t>The strategy for resource mobilization;</w:t>
      </w:r>
    </w:p>
    <w:p w14:paraId="7DEA913B" w14:textId="77777777" w:rsidR="00DA0273" w:rsidRPr="007412ED" w:rsidRDefault="00DA0273" w:rsidP="00950BE4">
      <w:pPr>
        <w:numPr>
          <w:ilvl w:val="0"/>
          <w:numId w:val="59"/>
        </w:numPr>
        <w:spacing w:before="120" w:after="120"/>
        <w:ind w:left="0" w:firstLine="677"/>
        <w:rPr>
          <w:rFonts w:eastAsia="Malgun Gothic"/>
          <w:kern w:val="22"/>
          <w:szCs w:val="22"/>
        </w:rPr>
      </w:pPr>
      <w:r w:rsidRPr="007412ED">
        <w:rPr>
          <w:rFonts w:eastAsia="Malgun Gothic"/>
          <w:kern w:val="22"/>
          <w:szCs w:val="22"/>
          <w:lang w:eastAsia="ko-KR"/>
        </w:rPr>
        <w:t>The report of the Panel of Experts on Resource Mobilization</w:t>
      </w:r>
      <w:r w:rsidRPr="00610646">
        <w:rPr>
          <w:rStyle w:val="FootnoteReference"/>
          <w:rFonts w:eastAsia="Malgun Gothic"/>
        </w:rPr>
        <w:footnoteReference w:id="290"/>
      </w:r>
      <w:r w:rsidRPr="007412ED">
        <w:rPr>
          <w:rFonts w:eastAsia="Malgun Gothic"/>
          <w:kern w:val="22"/>
          <w:szCs w:val="22"/>
          <w:lang w:eastAsia="ko-KR"/>
        </w:rPr>
        <w:t xml:space="preserve"> concerning estimation of resources needed for implementing the post-2020 global biodiversity framework, and other relevant estimations;</w:t>
      </w:r>
    </w:p>
    <w:p w14:paraId="2AD28D7B"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lang w:eastAsia="ko-KR"/>
        </w:rPr>
        <w:t>National biodiversity strategies and action plans and national biodiversity finance plans or similar instruments, where available;</w:t>
      </w:r>
    </w:p>
    <w:p w14:paraId="6A8A63B3" w14:textId="77777777" w:rsidR="00DA0273" w:rsidRPr="00853C76" w:rsidRDefault="00DA0273" w:rsidP="00950BE4">
      <w:pPr>
        <w:numPr>
          <w:ilvl w:val="0"/>
          <w:numId w:val="59"/>
        </w:numPr>
        <w:spacing w:before="120" w:after="120"/>
        <w:ind w:left="0" w:firstLine="677"/>
        <w:rPr>
          <w:rFonts w:eastAsia="Malgun Gothic"/>
          <w:kern w:val="22"/>
          <w:szCs w:val="22"/>
        </w:rPr>
      </w:pPr>
      <w:r w:rsidRPr="00853C76">
        <w:rPr>
          <w:rFonts w:eastAsia="Malgun Gothic"/>
          <w:kern w:val="22"/>
          <w:szCs w:val="22"/>
          <w:lang w:eastAsia="ko-KR"/>
        </w:rPr>
        <w:t>Sustainable Development Goals, in particular Goal 17 (strengthen the means of implementation).</w:t>
      </w:r>
    </w:p>
    <w:p w14:paraId="5A1FB6D2" w14:textId="77777777" w:rsidR="00DA0273" w:rsidRPr="008D761B" w:rsidRDefault="00DA0273" w:rsidP="008D761B">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8D761B">
        <w:rPr>
          <w:b/>
          <w:bCs/>
          <w:snapToGrid w:val="0"/>
          <w:color w:val="000000"/>
          <w:kern w:val="22"/>
          <w:szCs w:val="22"/>
        </w:rPr>
        <w:t>D.</w:t>
      </w:r>
      <w:r w:rsidRPr="008D761B">
        <w:rPr>
          <w:b/>
          <w:bCs/>
          <w:snapToGrid w:val="0"/>
          <w:color w:val="000000"/>
          <w:kern w:val="22"/>
          <w:szCs w:val="22"/>
        </w:rPr>
        <w:tab/>
        <w:t>Procedures for implementation</w:t>
      </w:r>
    </w:p>
    <w:p w14:paraId="0DB58C9B"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Under the authority and with the support of the Conference of the Parties, the Executive Secretary shall contract a team of three or five</w:t>
      </w:r>
      <w:r w:rsidRPr="00853C76">
        <w:rPr>
          <w:rFonts w:eastAsia="Malgun Gothic"/>
          <w:strike/>
          <w:kern w:val="22"/>
          <w:szCs w:val="22"/>
        </w:rPr>
        <w:t xml:space="preserve"> </w:t>
      </w:r>
      <w:r w:rsidRPr="00853C76">
        <w:rPr>
          <w:rFonts w:eastAsia="Malgun Gothic"/>
          <w:kern w:val="22"/>
          <w:szCs w:val="22"/>
        </w:rPr>
        <w:t xml:space="preserve">experts, subject to the availability of resources, with equal representation from developing country Parties and developed country Parties, and one </w:t>
      </w:r>
      <w:r>
        <w:rPr>
          <w:rFonts w:eastAsia="Malgun Gothic"/>
          <w:kern w:val="22"/>
          <w:szCs w:val="22"/>
        </w:rPr>
        <w:t xml:space="preserve">expert </w:t>
      </w:r>
      <w:r w:rsidRPr="00853C76">
        <w:rPr>
          <w:rFonts w:eastAsia="Malgun Gothic"/>
          <w:kern w:val="22"/>
          <w:szCs w:val="22"/>
        </w:rPr>
        <w:t>from international non-governmental organizations, to prepare a report on the full assessment of funding necessary and available for the implementation of the Convention for the period July 2026 to June 2030, in accordance with the above objective and methodology.</w:t>
      </w:r>
    </w:p>
    <w:p w14:paraId="08DFC285"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In preparing the assessment report, the expert team should undertake such interviews, surveys, quantitative and qualitative analyses, and consultation, as may be required, including:</w:t>
      </w:r>
    </w:p>
    <w:p w14:paraId="0B36223D" w14:textId="77777777" w:rsidR="00DA0273" w:rsidRPr="00853C76" w:rsidRDefault="00DA0273" w:rsidP="00950BE4">
      <w:pPr>
        <w:numPr>
          <w:ilvl w:val="0"/>
          <w:numId w:val="60"/>
        </w:numPr>
        <w:spacing w:before="120" w:after="120"/>
        <w:ind w:left="0" w:firstLine="677"/>
        <w:rPr>
          <w:rFonts w:eastAsia="Malgun Gothic"/>
          <w:kern w:val="22"/>
          <w:szCs w:val="22"/>
        </w:rPr>
      </w:pPr>
      <w:r w:rsidRPr="00853C76">
        <w:rPr>
          <w:rFonts w:eastAsia="Malgun Gothic"/>
          <w:kern w:val="22"/>
          <w:szCs w:val="22"/>
        </w:rPr>
        <w:t>Compilation and analysis of the needs identified in national biodiversity strategies and action plans and national biodiversity finance plans, including country-specific resource mobilization strategies, prepared by GEF-eligible and other relevant Parties pursuant to Article 6 of the Convention;</w:t>
      </w:r>
    </w:p>
    <w:p w14:paraId="36CC414C" w14:textId="77777777" w:rsidR="00DA0273" w:rsidRPr="00853C76" w:rsidRDefault="00DA0273" w:rsidP="00950BE4">
      <w:pPr>
        <w:numPr>
          <w:ilvl w:val="0"/>
          <w:numId w:val="60"/>
        </w:numPr>
        <w:spacing w:before="120" w:after="120"/>
        <w:ind w:left="0" w:firstLine="677"/>
        <w:rPr>
          <w:rFonts w:eastAsia="Malgun Gothic"/>
          <w:kern w:val="22"/>
          <w:szCs w:val="22"/>
        </w:rPr>
      </w:pPr>
      <w:r w:rsidRPr="00853C76">
        <w:rPr>
          <w:rFonts w:eastAsia="Malgun Gothic"/>
          <w:kern w:val="22"/>
          <w:szCs w:val="22"/>
        </w:rPr>
        <w:t>Review of reports submitted by Parties pursuant to Articles 6 and 26 of the Convention to identify funding needs in fulfilment of their obligations under the Convention and, as appropriate, its Protocols;</w:t>
      </w:r>
    </w:p>
    <w:p w14:paraId="54F1D0DB" w14:textId="77777777" w:rsidR="00DA0273" w:rsidRPr="00853C76" w:rsidRDefault="00DA0273" w:rsidP="00950BE4">
      <w:pPr>
        <w:numPr>
          <w:ilvl w:val="0"/>
          <w:numId w:val="60"/>
        </w:numPr>
        <w:spacing w:before="120" w:after="120"/>
        <w:ind w:left="0" w:firstLine="677"/>
        <w:rPr>
          <w:rFonts w:eastAsia="Malgun Gothic"/>
          <w:kern w:val="22"/>
          <w:szCs w:val="22"/>
        </w:rPr>
      </w:pPr>
      <w:r w:rsidRPr="00853C76">
        <w:rPr>
          <w:rFonts w:eastAsia="Malgun Gothic"/>
          <w:kern w:val="22"/>
          <w:szCs w:val="22"/>
        </w:rPr>
        <w:t xml:space="preserve">Estimated financial implications of guidance to the financial mechanism from the Conference of the Parties including support to the establishment of the </w:t>
      </w:r>
      <w:r>
        <w:rPr>
          <w:rFonts w:eastAsia="Malgun Gothic"/>
          <w:kern w:val="22"/>
          <w:szCs w:val="22"/>
        </w:rPr>
        <w:t>G</w:t>
      </w:r>
      <w:r w:rsidRPr="00853C76">
        <w:rPr>
          <w:rFonts w:eastAsia="Malgun Gothic"/>
          <w:kern w:val="22"/>
          <w:szCs w:val="22"/>
        </w:rPr>
        <w:t xml:space="preserve">lobal </w:t>
      </w:r>
      <w:r>
        <w:rPr>
          <w:rFonts w:eastAsia="Malgun Gothic"/>
          <w:kern w:val="22"/>
          <w:szCs w:val="22"/>
        </w:rPr>
        <w:t>B</w:t>
      </w:r>
      <w:r w:rsidRPr="00853C76">
        <w:rPr>
          <w:rFonts w:eastAsia="Malgun Gothic"/>
          <w:kern w:val="22"/>
          <w:szCs w:val="22"/>
        </w:rPr>
        <w:t xml:space="preserve">iodiversity </w:t>
      </w:r>
      <w:r w:rsidRPr="0007003D">
        <w:rPr>
          <w:rFonts w:eastAsia="Malgun Gothic"/>
          <w:kern w:val="22"/>
          <w:szCs w:val="22"/>
        </w:rPr>
        <w:t xml:space="preserve">Framework </w:t>
      </w:r>
      <w:r w:rsidRPr="000E778E">
        <w:rPr>
          <w:rFonts w:eastAsia="Malgun Gothic"/>
          <w:kern w:val="22"/>
          <w:szCs w:val="22"/>
        </w:rPr>
        <w:t>F</w:t>
      </w:r>
      <w:r w:rsidRPr="0007003D">
        <w:rPr>
          <w:rFonts w:eastAsia="Malgun Gothic"/>
          <w:kern w:val="22"/>
          <w:szCs w:val="22"/>
        </w:rPr>
        <w:t>und;</w:t>
      </w:r>
    </w:p>
    <w:p w14:paraId="5BE65000" w14:textId="77777777" w:rsidR="00DA0273" w:rsidRPr="00853C76" w:rsidRDefault="00DA0273" w:rsidP="00950BE4">
      <w:pPr>
        <w:numPr>
          <w:ilvl w:val="0"/>
          <w:numId w:val="60"/>
        </w:numPr>
        <w:spacing w:before="120" w:after="120"/>
        <w:ind w:left="0" w:firstLine="677"/>
        <w:rPr>
          <w:rFonts w:eastAsia="Malgun Gothic"/>
          <w:kern w:val="22"/>
          <w:szCs w:val="22"/>
        </w:rPr>
      </w:pPr>
      <w:r w:rsidRPr="00853C76">
        <w:rPr>
          <w:rFonts w:eastAsia="Malgun Gothic"/>
          <w:kern w:val="22"/>
          <w:szCs w:val="22"/>
        </w:rPr>
        <w:t>Experience to date in the provision of funds by the financial mechanism for each replenishment period;</w:t>
      </w:r>
    </w:p>
    <w:p w14:paraId="2D98062A" w14:textId="77777777" w:rsidR="00DA0273" w:rsidRPr="00853C76" w:rsidRDefault="00DA0273" w:rsidP="00950BE4">
      <w:pPr>
        <w:numPr>
          <w:ilvl w:val="0"/>
          <w:numId w:val="60"/>
        </w:numPr>
        <w:spacing w:before="120" w:after="120"/>
        <w:ind w:left="0" w:firstLine="677"/>
        <w:rPr>
          <w:rFonts w:eastAsia="Malgun Gothic"/>
          <w:kern w:val="22"/>
          <w:szCs w:val="22"/>
        </w:rPr>
      </w:pPr>
      <w:r w:rsidRPr="00853C76">
        <w:rPr>
          <w:rFonts w:eastAsia="Malgun Gothic"/>
          <w:kern w:val="22"/>
          <w:szCs w:val="22"/>
        </w:rPr>
        <w:t>Compilation and analysis of any supplementary information provided by GEF-eligible and other relevant Parties on their funding needs for the implementation of their obligations under the Convention and its Protocols.</w:t>
      </w:r>
    </w:p>
    <w:p w14:paraId="3C313DE5"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The Global Environment Facility and the Executive Secretary shall conduct a review of the draft assessment reports of the expert team to ensure accuracy and consistency of data and approach as specified in these terms of reference.</w:t>
      </w:r>
    </w:p>
    <w:p w14:paraId="48203C5A"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 xml:space="preserve">The Executive Secretary shall ensure that the assessment report of the expert team will be distributed to all Parties at least one month before </w:t>
      </w:r>
      <w:r>
        <w:rPr>
          <w:rFonts w:eastAsia="Malgun Gothic"/>
          <w:kern w:val="22"/>
          <w:szCs w:val="22"/>
        </w:rPr>
        <w:t>a</w:t>
      </w:r>
      <w:r w:rsidRPr="00853C76">
        <w:rPr>
          <w:rFonts w:eastAsia="Malgun Gothic"/>
          <w:kern w:val="22"/>
          <w:szCs w:val="22"/>
        </w:rPr>
        <w:t xml:space="preserve"> meeting of the Subsidiary Body on Implementation</w:t>
      </w:r>
      <w:r>
        <w:rPr>
          <w:rFonts w:eastAsia="Malgun Gothic"/>
          <w:kern w:val="22"/>
          <w:szCs w:val="22"/>
        </w:rPr>
        <w:t xml:space="preserve"> prior to the sixteenth meeting of the Conference of the Parties</w:t>
      </w:r>
      <w:r w:rsidRPr="00853C76">
        <w:rPr>
          <w:rFonts w:eastAsia="Malgun Gothic"/>
          <w:kern w:val="22"/>
          <w:szCs w:val="22"/>
        </w:rPr>
        <w:t>.</w:t>
      </w:r>
    </w:p>
    <w:p w14:paraId="17B83173"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 xml:space="preserve">The Subsidiary Body on Implementation should consider the expert team’s assessment report as well as information from the </w:t>
      </w:r>
      <w:r>
        <w:rPr>
          <w:rFonts w:eastAsia="Malgun Gothic"/>
          <w:kern w:val="22"/>
          <w:szCs w:val="22"/>
        </w:rPr>
        <w:t>A</w:t>
      </w:r>
      <w:r w:rsidRPr="00853C76">
        <w:rPr>
          <w:rFonts w:eastAsia="Malgun Gothic"/>
          <w:kern w:val="22"/>
          <w:szCs w:val="22"/>
        </w:rPr>
        <w:t xml:space="preserve">dvisory </w:t>
      </w:r>
      <w:r>
        <w:rPr>
          <w:rFonts w:eastAsia="Malgun Gothic"/>
          <w:kern w:val="22"/>
          <w:szCs w:val="22"/>
        </w:rPr>
        <w:t>C</w:t>
      </w:r>
      <w:r w:rsidRPr="00853C76">
        <w:rPr>
          <w:rFonts w:eastAsia="Malgun Gothic"/>
          <w:kern w:val="22"/>
          <w:szCs w:val="22"/>
        </w:rPr>
        <w:t xml:space="preserve">ommittee on </w:t>
      </w:r>
      <w:r>
        <w:rPr>
          <w:rFonts w:eastAsia="Malgun Gothic"/>
          <w:kern w:val="22"/>
          <w:szCs w:val="22"/>
        </w:rPr>
        <w:t>R</w:t>
      </w:r>
      <w:r w:rsidRPr="00853C76">
        <w:rPr>
          <w:rFonts w:eastAsia="Malgun Gothic"/>
          <w:kern w:val="22"/>
          <w:szCs w:val="22"/>
        </w:rPr>
        <w:t xml:space="preserve">esource </w:t>
      </w:r>
      <w:r>
        <w:rPr>
          <w:rFonts w:eastAsia="Malgun Gothic"/>
          <w:kern w:val="22"/>
          <w:szCs w:val="22"/>
        </w:rPr>
        <w:t>M</w:t>
      </w:r>
      <w:r w:rsidRPr="00853C76">
        <w:rPr>
          <w:rFonts w:eastAsia="Malgun Gothic"/>
          <w:kern w:val="22"/>
          <w:szCs w:val="22"/>
        </w:rPr>
        <w:t>obilization and make recommendations for consideration by the Conference of the Parties at its sixteenth meeting.</w:t>
      </w:r>
    </w:p>
    <w:p w14:paraId="104DB9B5"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 xml:space="preserve">The Conference of the Parties, at its sixteenth meeting, will </w:t>
      </w:r>
      <w:r w:rsidRPr="00373DD9">
        <w:rPr>
          <w:rFonts w:eastAsia="Malgun Gothic"/>
          <w:kern w:val="22"/>
          <w:szCs w:val="22"/>
        </w:rPr>
        <w:t>take a decision</w:t>
      </w:r>
      <w:r w:rsidRPr="00853C76">
        <w:rPr>
          <w:rFonts w:eastAsia="Malgun Gothic"/>
          <w:kern w:val="22"/>
          <w:szCs w:val="22"/>
        </w:rPr>
        <w:t xml:space="preserve"> on this assessment of the amount of funds that are necessary for the implementation of the Convention and its Protocols for the ninth replenishment period of the </w:t>
      </w:r>
      <w:r>
        <w:rPr>
          <w:rFonts w:eastAsiaTheme="minorEastAsia"/>
          <w:snapToGrid w:val="0"/>
          <w:color w:val="000000"/>
          <w:kern w:val="22"/>
          <w:szCs w:val="22"/>
        </w:rPr>
        <w:t>Global Environment Facility</w:t>
      </w:r>
      <w:r w:rsidRPr="00853C76">
        <w:rPr>
          <w:rFonts w:eastAsiaTheme="minorEastAsia"/>
          <w:snapToGrid w:val="0"/>
          <w:color w:val="000000"/>
          <w:kern w:val="22"/>
          <w:szCs w:val="22"/>
        </w:rPr>
        <w:t xml:space="preserve"> </w:t>
      </w:r>
      <w:r w:rsidRPr="00853C76">
        <w:rPr>
          <w:rFonts w:eastAsia="Malgun Gothic"/>
          <w:kern w:val="22"/>
          <w:szCs w:val="22"/>
        </w:rPr>
        <w:t>Trust Fund, and communicate the results to GEF accordingly.</w:t>
      </w:r>
    </w:p>
    <w:p w14:paraId="10DA1FAF" w14:textId="77777777" w:rsidR="00DA0273" w:rsidRPr="008D761B" w:rsidRDefault="00DA0273" w:rsidP="008D761B">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8D761B">
        <w:rPr>
          <w:b/>
          <w:bCs/>
          <w:snapToGrid w:val="0"/>
          <w:color w:val="000000"/>
          <w:kern w:val="22"/>
          <w:szCs w:val="22"/>
        </w:rPr>
        <w:t>E.</w:t>
      </w:r>
      <w:r w:rsidRPr="008D761B">
        <w:rPr>
          <w:b/>
          <w:bCs/>
          <w:snapToGrid w:val="0"/>
          <w:color w:val="000000"/>
          <w:kern w:val="22"/>
          <w:szCs w:val="22"/>
        </w:rPr>
        <w:tab/>
        <w:t>Consultation process</w:t>
      </w:r>
    </w:p>
    <w:p w14:paraId="1AFE48A1"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 xml:space="preserve">In preparing the assessment report, the expert team should consult widely with all relevant sources of information deemed useful, </w:t>
      </w:r>
      <w:r w:rsidRPr="00EA545B">
        <w:rPr>
          <w:rFonts w:eastAsia="Malgun Gothic"/>
          <w:kern w:val="22"/>
          <w:szCs w:val="22"/>
        </w:rPr>
        <w:t>particularly with developing</w:t>
      </w:r>
      <w:r w:rsidRPr="00853C76">
        <w:rPr>
          <w:rFonts w:eastAsia="Malgun Gothic"/>
          <w:kern w:val="22"/>
          <w:szCs w:val="22"/>
        </w:rPr>
        <w:t xml:space="preserve"> country Parties through the CBD </w:t>
      </w:r>
      <w:r>
        <w:rPr>
          <w:rFonts w:eastAsia="Malgun Gothic"/>
          <w:kern w:val="22"/>
          <w:szCs w:val="22"/>
        </w:rPr>
        <w:t>n</w:t>
      </w:r>
      <w:r w:rsidRPr="00853C76">
        <w:rPr>
          <w:rFonts w:eastAsia="Malgun Gothic"/>
          <w:kern w:val="22"/>
          <w:szCs w:val="22"/>
        </w:rPr>
        <w:t xml:space="preserve">ational </w:t>
      </w:r>
      <w:r>
        <w:rPr>
          <w:rFonts w:eastAsia="Malgun Gothic"/>
          <w:kern w:val="22"/>
          <w:szCs w:val="22"/>
        </w:rPr>
        <w:t>f</w:t>
      </w:r>
      <w:r w:rsidRPr="00853C76">
        <w:rPr>
          <w:rFonts w:eastAsia="Malgun Gothic"/>
          <w:kern w:val="22"/>
          <w:szCs w:val="22"/>
        </w:rPr>
        <w:t xml:space="preserve">ocal </w:t>
      </w:r>
      <w:r>
        <w:rPr>
          <w:rFonts w:eastAsia="Malgun Gothic"/>
          <w:kern w:val="22"/>
          <w:szCs w:val="22"/>
        </w:rPr>
        <w:t>p</w:t>
      </w:r>
      <w:r w:rsidRPr="00853C76">
        <w:rPr>
          <w:rFonts w:eastAsia="Malgun Gothic"/>
          <w:kern w:val="22"/>
          <w:szCs w:val="22"/>
        </w:rPr>
        <w:t>oints.</w:t>
      </w:r>
    </w:p>
    <w:p w14:paraId="283509FA"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 xml:space="preserve">The expert team should design a questionnaire on funding needs for the period July 2026 to June 2030, in consultation with the Secretariat and GEF, and circulate it to all developing country Parties and Parties with economies in transition, in particular through the CBD </w:t>
      </w:r>
      <w:r>
        <w:rPr>
          <w:rFonts w:eastAsia="Malgun Gothic"/>
          <w:kern w:val="22"/>
          <w:szCs w:val="22"/>
        </w:rPr>
        <w:t>n</w:t>
      </w:r>
      <w:r w:rsidRPr="00853C76">
        <w:rPr>
          <w:rFonts w:eastAsia="Malgun Gothic"/>
          <w:kern w:val="22"/>
          <w:szCs w:val="22"/>
        </w:rPr>
        <w:t xml:space="preserve">ational </w:t>
      </w:r>
      <w:r>
        <w:rPr>
          <w:rFonts w:eastAsia="Malgun Gothic"/>
          <w:kern w:val="22"/>
          <w:szCs w:val="22"/>
        </w:rPr>
        <w:t>f</w:t>
      </w:r>
      <w:r w:rsidRPr="00853C76">
        <w:rPr>
          <w:rFonts w:eastAsia="Malgun Gothic"/>
          <w:kern w:val="22"/>
          <w:szCs w:val="22"/>
        </w:rPr>
        <w:t xml:space="preserve">ocal </w:t>
      </w:r>
      <w:r>
        <w:rPr>
          <w:rFonts w:eastAsia="Malgun Gothic"/>
          <w:kern w:val="22"/>
          <w:szCs w:val="22"/>
        </w:rPr>
        <w:t>p</w:t>
      </w:r>
      <w:r w:rsidRPr="00853C76">
        <w:rPr>
          <w:rFonts w:eastAsia="Malgun Gothic"/>
          <w:kern w:val="22"/>
          <w:szCs w:val="22"/>
        </w:rPr>
        <w:t>oints and the GEF Operational Focal Points, and include the results in the assessment report.</w:t>
      </w:r>
    </w:p>
    <w:p w14:paraId="15CC8C39"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 xml:space="preserve">Interviews and consultation meetings should be organized with participation of relevant key stakeholders, including major groups of Parties, the Convention Secretariat, as well as the secretariat, the </w:t>
      </w:r>
      <w:r w:rsidRPr="00853C76">
        <w:rPr>
          <w:rFonts w:eastAsia="Malgun Gothic"/>
          <w:kern w:val="22"/>
          <w:szCs w:val="22"/>
          <w:lang w:eastAsia="ko-KR"/>
        </w:rPr>
        <w:t xml:space="preserve">Independent </w:t>
      </w:r>
      <w:r w:rsidRPr="00853C76">
        <w:rPr>
          <w:rFonts w:eastAsia="Malgun Gothic"/>
          <w:kern w:val="22"/>
          <w:szCs w:val="22"/>
        </w:rPr>
        <w:t>Evaluation Office and the agencies of GEF.</w:t>
      </w:r>
    </w:p>
    <w:p w14:paraId="632C165C"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As far as possible, the expert team should endeavour to undertake regional and subregional consultations, in a balanced manner, taking advantage of regional and subregional workshops organized by the secretariats of the Convention and the Global Environment Facility during the study period.</w:t>
      </w:r>
    </w:p>
    <w:p w14:paraId="2D62B558"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 xml:space="preserve">The approaches to assessing the funding necessary and available for the implementation of the Convention </w:t>
      </w:r>
      <w:r w:rsidRPr="00853C76">
        <w:rPr>
          <w:rFonts w:eastAsia="Malgun Gothic"/>
          <w:kern w:val="22"/>
          <w:szCs w:val="22"/>
          <w:lang w:eastAsia="ko-KR"/>
        </w:rPr>
        <w:t xml:space="preserve">and its Protocols </w:t>
      </w:r>
      <w:r w:rsidRPr="00853C76">
        <w:rPr>
          <w:rFonts w:eastAsia="Malgun Gothic"/>
          <w:kern w:val="22"/>
          <w:szCs w:val="22"/>
        </w:rPr>
        <w:t>should be transparent, reliable and replicable, and demonstrate clear incremental cost reasoning in accordance with Article 20, paragraph 2, taking into consideration information gathered from other international funds serving conventions and information submitted by Parties in the application of the concept of incremental costs as well as current rules and guidelines of the Global Environment Facility as approved by the Council of the Global Environment Facility.</w:t>
      </w:r>
    </w:p>
    <w:p w14:paraId="3ED3B65A" w14:textId="77777777" w:rsidR="00DA0273" w:rsidRPr="00853C76" w:rsidRDefault="00DA0273" w:rsidP="00950BE4">
      <w:pPr>
        <w:pStyle w:val="ListParagraph"/>
        <w:numPr>
          <w:ilvl w:val="0"/>
          <w:numId w:val="61"/>
        </w:numPr>
        <w:spacing w:before="120" w:after="120"/>
        <w:ind w:left="0" w:firstLine="0"/>
        <w:contextualSpacing w:val="0"/>
        <w:rPr>
          <w:rFonts w:eastAsia="Malgun Gothic"/>
          <w:kern w:val="22"/>
          <w:szCs w:val="22"/>
        </w:rPr>
      </w:pPr>
      <w:r w:rsidRPr="00853C76">
        <w:rPr>
          <w:rFonts w:eastAsia="Malgun Gothic"/>
          <w:kern w:val="22"/>
          <w:szCs w:val="22"/>
        </w:rPr>
        <w:t>On the basis of experience with the preparation of the current needs assessment report, the expert team will make recommendations to the Executive Secretary for the elements and modalities of an online system to facilitate submissions by relevant Parties for future needs assessments.</w:t>
      </w:r>
    </w:p>
    <w:p w14:paraId="5B077C2D" w14:textId="77777777" w:rsidR="00DA0273" w:rsidRPr="00853C76" w:rsidRDefault="00DA0273" w:rsidP="00950BE4">
      <w:pPr>
        <w:pStyle w:val="ListParagraph"/>
        <w:numPr>
          <w:ilvl w:val="0"/>
          <w:numId w:val="61"/>
        </w:numPr>
        <w:spacing w:before="120" w:after="120"/>
        <w:ind w:left="0" w:firstLine="0"/>
        <w:contextualSpacing w:val="0"/>
        <w:rPr>
          <w:rFonts w:eastAsia="Malgun Gothic"/>
          <w:szCs w:val="22"/>
        </w:rPr>
      </w:pPr>
      <w:r w:rsidRPr="00853C76">
        <w:rPr>
          <w:rFonts w:eastAsia="Malgun Gothic"/>
          <w:kern w:val="22"/>
          <w:szCs w:val="22"/>
        </w:rPr>
        <w:t>The expert team should address additional issues that may be raised by the Subsidiary Body on Implementation during its consideration of the assessment report.</w:t>
      </w:r>
      <w:r w:rsidRPr="00853C76">
        <w:rPr>
          <w:rFonts w:eastAsia="Malgun Gothic"/>
          <w:szCs w:val="22"/>
        </w:rPr>
        <w:t xml:space="preserve"> </w:t>
      </w:r>
    </w:p>
    <w:p w14:paraId="5EFD6249" w14:textId="77777777" w:rsidR="00DA0273" w:rsidRPr="00853C76" w:rsidRDefault="00DA0273" w:rsidP="008D761B">
      <w:pPr>
        <w:suppressLineNumbers/>
        <w:suppressAutoHyphens/>
        <w:adjustRightInd w:val="0"/>
        <w:snapToGrid w:val="0"/>
        <w:spacing w:before="120" w:after="120"/>
        <w:jc w:val="center"/>
        <w:rPr>
          <w:i/>
          <w:snapToGrid w:val="0"/>
          <w:kern w:val="22"/>
          <w:szCs w:val="22"/>
        </w:rPr>
      </w:pPr>
      <w:r w:rsidRPr="000A385E">
        <w:rPr>
          <w:i/>
          <w:snapToGrid w:val="0"/>
          <w:kern w:val="22"/>
          <w:szCs w:val="22"/>
        </w:rPr>
        <w:t>Annex IV</w:t>
      </w:r>
      <w:bookmarkEnd w:id="243"/>
    </w:p>
    <w:p w14:paraId="39B07EF5" w14:textId="5CAD7080" w:rsidR="00DA0273" w:rsidRPr="00FE762E" w:rsidRDefault="00FE762E" w:rsidP="00FE762E">
      <w:pPr>
        <w:pStyle w:val="BodyText"/>
        <w:jc w:val="center"/>
        <w:rPr>
          <w:b/>
          <w:bCs/>
          <w:lang w:eastAsia="zh-CN"/>
        </w:rPr>
      </w:pPr>
      <w:bookmarkStart w:id="244" w:name="_Toc118355001"/>
      <w:r w:rsidRPr="00FE762E">
        <w:rPr>
          <w:b/>
          <w:bCs/>
          <w:lang w:eastAsia="zh-CN"/>
        </w:rPr>
        <w:t>TERMS OF REFERENCE FOR THE SIXTH REVIEW OF THE EFFECTIVENESS OF THE FINANCIAL MECHANISM</w:t>
      </w:r>
      <w:bookmarkEnd w:id="244"/>
    </w:p>
    <w:p w14:paraId="4303612F" w14:textId="77777777" w:rsidR="00DA0273" w:rsidRPr="00FE762E" w:rsidRDefault="00DA0273" w:rsidP="00FE762E">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FE762E">
        <w:rPr>
          <w:b/>
          <w:bCs/>
          <w:snapToGrid w:val="0"/>
          <w:color w:val="000000"/>
          <w:kern w:val="22"/>
          <w:szCs w:val="22"/>
        </w:rPr>
        <w:t>A.</w:t>
      </w:r>
      <w:r w:rsidRPr="00FE762E">
        <w:rPr>
          <w:b/>
          <w:bCs/>
          <w:snapToGrid w:val="0"/>
          <w:color w:val="000000"/>
          <w:kern w:val="22"/>
          <w:szCs w:val="22"/>
        </w:rPr>
        <w:tab/>
        <w:t>Objectives</w:t>
      </w:r>
    </w:p>
    <w:p w14:paraId="73B41C4A" w14:textId="77777777" w:rsidR="00DA0273" w:rsidRPr="00853C76" w:rsidRDefault="00DA0273" w:rsidP="00FB5720">
      <w:pPr>
        <w:suppressLineNumbers/>
        <w:suppressAutoHyphens/>
        <w:adjustRightInd w:val="0"/>
        <w:snapToGrid w:val="0"/>
        <w:spacing w:before="120" w:after="120"/>
        <w:rPr>
          <w:snapToGrid w:val="0"/>
          <w:kern w:val="22"/>
          <w:szCs w:val="22"/>
        </w:rPr>
      </w:pPr>
      <w:r w:rsidRPr="00853C76">
        <w:rPr>
          <w:snapToGrid w:val="0"/>
          <w:kern w:val="22"/>
          <w:szCs w:val="22"/>
        </w:rPr>
        <w:t>1.</w:t>
      </w:r>
      <w:r w:rsidRPr="00853C76">
        <w:rPr>
          <w:snapToGrid w:val="0"/>
          <w:kern w:val="22"/>
          <w:szCs w:val="22"/>
        </w:rPr>
        <w:tab/>
        <w:t xml:space="preserve">In accordance with Article 21, paragraph 3, and building upon the experience of the past five reviews, the Conference of the Parties will undertake its sixth review of the effectiveness of the financial mechanism at its sixteenth meeting and </w:t>
      </w:r>
      <w:r>
        <w:rPr>
          <w:snapToGrid w:val="0"/>
          <w:kern w:val="22"/>
          <w:szCs w:val="22"/>
        </w:rPr>
        <w:t xml:space="preserve">will </w:t>
      </w:r>
      <w:r w:rsidRPr="00853C76">
        <w:rPr>
          <w:snapToGrid w:val="0"/>
          <w:kern w:val="22"/>
          <w:szCs w:val="22"/>
        </w:rPr>
        <w:t>take appropriate action to improve the effectiveness of the mechanism as necessary. For this purpose, effectiveness will include:</w:t>
      </w:r>
    </w:p>
    <w:p w14:paraId="5FAE4961" w14:textId="77777777" w:rsidR="00DA0273" w:rsidRPr="00853C76" w:rsidRDefault="00DA0273" w:rsidP="00FB5720">
      <w:pPr>
        <w:suppressLineNumbers/>
        <w:suppressAutoHyphens/>
        <w:adjustRightInd w:val="0"/>
        <w:snapToGrid w:val="0"/>
        <w:spacing w:before="120" w:after="120"/>
        <w:ind w:firstLine="720"/>
        <w:rPr>
          <w:snapToGrid w:val="0"/>
          <w:kern w:val="22"/>
          <w:szCs w:val="22"/>
        </w:rPr>
      </w:pPr>
      <w:r w:rsidRPr="00853C76">
        <w:rPr>
          <w:snapToGrid w:val="0"/>
          <w:kern w:val="22"/>
          <w:szCs w:val="22"/>
        </w:rPr>
        <w:t>(a)</w:t>
      </w:r>
      <w:r w:rsidRPr="00853C76">
        <w:rPr>
          <w:snapToGrid w:val="0"/>
          <w:kern w:val="22"/>
          <w:szCs w:val="22"/>
        </w:rPr>
        <w:tab/>
        <w:t>The conformity of the activities of the Global Environment Facility (GEF), as the institutional structure operating the financial mechanism, with the guidance of the Conference of the Parties;</w:t>
      </w:r>
    </w:p>
    <w:p w14:paraId="3C41E9E0" w14:textId="77777777" w:rsidR="00DA0273" w:rsidRPr="00853C76" w:rsidRDefault="00DA0273" w:rsidP="00DD1571">
      <w:pPr>
        <w:suppressLineNumbers/>
        <w:suppressAutoHyphens/>
        <w:adjustRightInd w:val="0"/>
        <w:snapToGrid w:val="0"/>
        <w:spacing w:before="120" w:after="120"/>
        <w:ind w:firstLine="720"/>
        <w:rPr>
          <w:snapToGrid w:val="0"/>
          <w:kern w:val="22"/>
          <w:szCs w:val="22"/>
        </w:rPr>
      </w:pPr>
      <w:r w:rsidRPr="00853C76">
        <w:rPr>
          <w:snapToGrid w:val="0"/>
          <w:kern w:val="22"/>
          <w:szCs w:val="22"/>
        </w:rPr>
        <w:t>(b)</w:t>
      </w:r>
      <w:r w:rsidRPr="00853C76">
        <w:rPr>
          <w:snapToGrid w:val="0"/>
          <w:kern w:val="22"/>
          <w:szCs w:val="22"/>
        </w:rPr>
        <w:tab/>
        <w:t xml:space="preserve">The effectiveness of the financial mechanism in providing and mobilizing financial resources to enable all recipient country Parties to meet the agreed full incremental </w:t>
      </w:r>
      <w:r w:rsidRPr="00310540">
        <w:rPr>
          <w:snapToGrid w:val="0"/>
          <w:kern w:val="22"/>
          <w:szCs w:val="22"/>
        </w:rPr>
        <w:t>costs to them</w:t>
      </w:r>
      <w:r w:rsidRPr="00310540">
        <w:rPr>
          <w:b/>
          <w:snapToGrid w:val="0"/>
          <w:kern w:val="22"/>
          <w:szCs w:val="22"/>
        </w:rPr>
        <w:t xml:space="preserve"> </w:t>
      </w:r>
      <w:r w:rsidRPr="00310540">
        <w:rPr>
          <w:snapToGrid w:val="0"/>
          <w:kern w:val="22"/>
          <w:szCs w:val="22"/>
        </w:rPr>
        <w:t>of</w:t>
      </w:r>
      <w:r w:rsidRPr="00853C76">
        <w:rPr>
          <w:snapToGrid w:val="0"/>
          <w:kern w:val="22"/>
          <w:szCs w:val="22"/>
        </w:rPr>
        <w:t xml:space="preserve"> implementing measures which fulfil the obligations of the Convention and its </w:t>
      </w:r>
      <w:r>
        <w:rPr>
          <w:snapToGrid w:val="0"/>
          <w:kern w:val="22"/>
          <w:szCs w:val="22"/>
        </w:rPr>
        <w:t>P</w:t>
      </w:r>
      <w:r w:rsidRPr="00853C76">
        <w:rPr>
          <w:snapToGrid w:val="0"/>
          <w:kern w:val="22"/>
          <w:szCs w:val="22"/>
        </w:rPr>
        <w:t>rotocols and to benefit from its provisions, taking into account the need for predictability, adequacy and timely flow of funds;</w:t>
      </w:r>
    </w:p>
    <w:p w14:paraId="47B615D5" w14:textId="77777777" w:rsidR="00DA0273" w:rsidRPr="00853C76" w:rsidRDefault="00DA0273" w:rsidP="00FB5720">
      <w:pPr>
        <w:suppressLineNumbers/>
        <w:suppressAutoHyphens/>
        <w:adjustRightInd w:val="0"/>
        <w:snapToGrid w:val="0"/>
        <w:spacing w:before="120" w:after="120"/>
        <w:ind w:firstLine="720"/>
        <w:rPr>
          <w:snapToGrid w:val="0"/>
          <w:kern w:val="22"/>
          <w:szCs w:val="22"/>
        </w:rPr>
      </w:pPr>
      <w:r w:rsidRPr="00853C76">
        <w:rPr>
          <w:snapToGrid w:val="0"/>
          <w:kern w:val="22"/>
          <w:szCs w:val="22"/>
        </w:rPr>
        <w:t>(c)</w:t>
      </w:r>
      <w:r w:rsidRPr="00853C76">
        <w:rPr>
          <w:snapToGrid w:val="0"/>
          <w:kern w:val="22"/>
          <w:szCs w:val="22"/>
        </w:rPr>
        <w:tab/>
        <w:t xml:space="preserve">The effectiveness of mobilizing financial resources from all sources to support national implementation, including national biodiversity strategies and action plans and national biodiversity finance plans, of the Convention and its </w:t>
      </w:r>
      <w:r>
        <w:rPr>
          <w:snapToGrid w:val="0"/>
          <w:kern w:val="22"/>
          <w:szCs w:val="22"/>
        </w:rPr>
        <w:t>P</w:t>
      </w:r>
      <w:r w:rsidRPr="00853C76">
        <w:rPr>
          <w:snapToGrid w:val="0"/>
          <w:kern w:val="22"/>
          <w:szCs w:val="22"/>
        </w:rPr>
        <w:t>rotocols. The efficiency of the financial mechanism in providing and mobilizing financial resources, as well as, in accordance with the guidance of the Conference of the Parties, overseeing, monitoring and evaluating the activities financed by its resources, as appropriate;</w:t>
      </w:r>
    </w:p>
    <w:p w14:paraId="2F7075F4" w14:textId="77777777" w:rsidR="00DA0273" w:rsidRPr="00853C76" w:rsidRDefault="00DA0273" w:rsidP="00FB5720">
      <w:pPr>
        <w:suppressLineNumbers/>
        <w:suppressAutoHyphens/>
        <w:adjustRightInd w:val="0"/>
        <w:snapToGrid w:val="0"/>
        <w:spacing w:before="120" w:after="120"/>
        <w:ind w:firstLine="720"/>
        <w:rPr>
          <w:snapToGrid w:val="0"/>
          <w:kern w:val="22"/>
          <w:szCs w:val="22"/>
        </w:rPr>
      </w:pPr>
      <w:r w:rsidRPr="00853C76">
        <w:rPr>
          <w:snapToGrid w:val="0"/>
          <w:kern w:val="22"/>
          <w:szCs w:val="22"/>
        </w:rPr>
        <w:t>(d)</w:t>
      </w:r>
      <w:r w:rsidRPr="00853C76">
        <w:rPr>
          <w:snapToGrid w:val="0"/>
          <w:kern w:val="22"/>
          <w:szCs w:val="22"/>
        </w:rPr>
        <w:tab/>
        <w:t>The effectiveness of catalysing and enhancing national implementation measures for achieving global biodiversity goals and targets, including those that relate to the Protocols;</w:t>
      </w:r>
    </w:p>
    <w:p w14:paraId="0869E8DC" w14:textId="77777777" w:rsidR="00DA0273" w:rsidRPr="00853C76" w:rsidRDefault="00DA0273" w:rsidP="00FB5720">
      <w:pPr>
        <w:suppressLineNumbers/>
        <w:suppressAutoHyphens/>
        <w:adjustRightInd w:val="0"/>
        <w:snapToGrid w:val="0"/>
        <w:spacing w:before="120" w:after="120"/>
        <w:ind w:firstLine="720"/>
        <w:rPr>
          <w:snapToGrid w:val="0"/>
          <w:kern w:val="22"/>
          <w:szCs w:val="22"/>
        </w:rPr>
      </w:pPr>
      <w:r w:rsidRPr="00853C76">
        <w:rPr>
          <w:snapToGrid w:val="0"/>
          <w:kern w:val="22"/>
          <w:szCs w:val="22"/>
        </w:rPr>
        <w:t>(</w:t>
      </w:r>
      <w:r>
        <w:rPr>
          <w:snapToGrid w:val="0"/>
          <w:kern w:val="22"/>
          <w:szCs w:val="22"/>
        </w:rPr>
        <w:t>e</w:t>
      </w:r>
      <w:r w:rsidRPr="00853C76">
        <w:rPr>
          <w:snapToGrid w:val="0"/>
          <w:kern w:val="22"/>
          <w:szCs w:val="22"/>
        </w:rPr>
        <w:t>)</w:t>
      </w:r>
      <w:r w:rsidRPr="00853C76">
        <w:rPr>
          <w:snapToGrid w:val="0"/>
          <w:kern w:val="22"/>
          <w:szCs w:val="22"/>
        </w:rPr>
        <w:tab/>
        <w:t xml:space="preserve">The efficiency and effectiveness of the activities funded by the Global Environment Facility on the implementation of the Convention and the achievement of its three objectives, as well as, as applicable, of </w:t>
      </w:r>
      <w:r>
        <w:rPr>
          <w:snapToGrid w:val="0"/>
          <w:kern w:val="22"/>
          <w:szCs w:val="22"/>
        </w:rPr>
        <w:t>its</w:t>
      </w:r>
      <w:r w:rsidRPr="00853C76">
        <w:rPr>
          <w:snapToGrid w:val="0"/>
          <w:kern w:val="22"/>
          <w:szCs w:val="22"/>
        </w:rPr>
        <w:t xml:space="preserve"> Protocols, taking into account the guidance provided by the Conference of the Parties;</w:t>
      </w:r>
    </w:p>
    <w:p w14:paraId="621703E1" w14:textId="77777777" w:rsidR="00DA0273" w:rsidRPr="00853C76" w:rsidRDefault="00DA0273" w:rsidP="00FB5720">
      <w:pPr>
        <w:suppressLineNumbers/>
        <w:suppressAutoHyphens/>
        <w:adjustRightInd w:val="0"/>
        <w:snapToGrid w:val="0"/>
        <w:spacing w:before="120" w:after="120"/>
        <w:ind w:firstLine="720"/>
        <w:rPr>
          <w:snapToGrid w:val="0"/>
          <w:kern w:val="22"/>
          <w:szCs w:val="22"/>
        </w:rPr>
      </w:pPr>
      <w:r w:rsidRPr="00853C76">
        <w:rPr>
          <w:snapToGrid w:val="0"/>
          <w:kern w:val="22"/>
          <w:szCs w:val="22"/>
        </w:rPr>
        <w:t>(</w:t>
      </w:r>
      <w:r>
        <w:rPr>
          <w:snapToGrid w:val="0"/>
          <w:kern w:val="22"/>
          <w:szCs w:val="22"/>
        </w:rPr>
        <w:t>f</w:t>
      </w:r>
      <w:r w:rsidRPr="00853C76">
        <w:rPr>
          <w:snapToGrid w:val="0"/>
          <w:kern w:val="22"/>
          <w:szCs w:val="22"/>
        </w:rPr>
        <w:t>)</w:t>
      </w:r>
      <w:r w:rsidRPr="00853C76">
        <w:rPr>
          <w:snapToGrid w:val="0"/>
          <w:kern w:val="22"/>
          <w:szCs w:val="22"/>
        </w:rPr>
        <w:tab/>
        <w:t>The efficiency and effectiveness of supporting implementation of Sustainable Development Goals that contribute to achieving the objectives of the Convention and its Protocols;</w:t>
      </w:r>
    </w:p>
    <w:p w14:paraId="27FCC547" w14:textId="77777777" w:rsidR="00DA0273" w:rsidRPr="00853C76" w:rsidRDefault="00DA0273" w:rsidP="00FB5720">
      <w:pPr>
        <w:suppressLineNumbers/>
        <w:suppressAutoHyphens/>
        <w:adjustRightInd w:val="0"/>
        <w:snapToGrid w:val="0"/>
        <w:spacing w:before="120" w:after="120"/>
        <w:ind w:firstLine="720"/>
        <w:rPr>
          <w:snapToGrid w:val="0"/>
          <w:kern w:val="22"/>
          <w:szCs w:val="22"/>
        </w:rPr>
      </w:pPr>
      <w:r w:rsidRPr="00853C76">
        <w:rPr>
          <w:snapToGrid w:val="0"/>
          <w:kern w:val="22"/>
          <w:szCs w:val="22"/>
        </w:rPr>
        <w:t>(</w:t>
      </w:r>
      <w:r>
        <w:rPr>
          <w:snapToGrid w:val="0"/>
          <w:kern w:val="22"/>
          <w:szCs w:val="22"/>
        </w:rPr>
        <w:t>g</w:t>
      </w:r>
      <w:r w:rsidRPr="00853C76">
        <w:rPr>
          <w:snapToGrid w:val="0"/>
          <w:kern w:val="22"/>
          <w:szCs w:val="22"/>
        </w:rPr>
        <w:t>)</w:t>
      </w:r>
      <w:r w:rsidRPr="00853C76">
        <w:rPr>
          <w:snapToGrid w:val="0"/>
          <w:kern w:val="22"/>
          <w:szCs w:val="22"/>
        </w:rPr>
        <w:tab/>
        <w:t>The efficiency and</w:t>
      </w:r>
      <w:r w:rsidRPr="00853C76">
        <w:rPr>
          <w:b/>
          <w:snapToGrid w:val="0"/>
          <w:kern w:val="22"/>
          <w:szCs w:val="22"/>
        </w:rPr>
        <w:t xml:space="preserve"> </w:t>
      </w:r>
      <w:r w:rsidRPr="00853C76">
        <w:rPr>
          <w:snapToGrid w:val="0"/>
          <w:kern w:val="22"/>
          <w:szCs w:val="22"/>
        </w:rPr>
        <w:t>effectiveness of processes and procedures</w:t>
      </w:r>
      <w:r w:rsidRPr="00853C76">
        <w:rPr>
          <w:b/>
          <w:snapToGrid w:val="0"/>
          <w:kern w:val="22"/>
          <w:szCs w:val="22"/>
        </w:rPr>
        <w:t xml:space="preserve"> </w:t>
      </w:r>
      <w:r w:rsidRPr="00853C76">
        <w:rPr>
          <w:snapToGrid w:val="0"/>
          <w:kern w:val="22"/>
          <w:szCs w:val="22"/>
        </w:rPr>
        <w:t>for the deployment of resources for programmes;</w:t>
      </w:r>
    </w:p>
    <w:p w14:paraId="2728F5E8" w14:textId="77777777" w:rsidR="00DA0273" w:rsidRPr="00853C76" w:rsidRDefault="00DA0273" w:rsidP="00FB5720">
      <w:pPr>
        <w:suppressLineNumbers/>
        <w:suppressAutoHyphens/>
        <w:adjustRightInd w:val="0"/>
        <w:snapToGrid w:val="0"/>
        <w:spacing w:before="120" w:after="120"/>
        <w:ind w:firstLine="720"/>
        <w:rPr>
          <w:b/>
          <w:snapToGrid w:val="0"/>
          <w:kern w:val="22"/>
          <w:szCs w:val="22"/>
        </w:rPr>
      </w:pPr>
      <w:r w:rsidRPr="00853C76">
        <w:rPr>
          <w:snapToGrid w:val="0"/>
          <w:kern w:val="22"/>
          <w:szCs w:val="22"/>
        </w:rPr>
        <w:t>(</w:t>
      </w:r>
      <w:r>
        <w:rPr>
          <w:snapToGrid w:val="0"/>
          <w:kern w:val="22"/>
          <w:szCs w:val="22"/>
        </w:rPr>
        <w:t>h</w:t>
      </w:r>
      <w:r w:rsidRPr="00853C76">
        <w:rPr>
          <w:snapToGrid w:val="0"/>
          <w:kern w:val="22"/>
          <w:szCs w:val="22"/>
        </w:rPr>
        <w:t>)</w:t>
      </w:r>
      <w:r w:rsidRPr="00853C76">
        <w:rPr>
          <w:snapToGrid w:val="0"/>
          <w:kern w:val="22"/>
          <w:szCs w:val="22"/>
        </w:rPr>
        <w:tab/>
        <w:t xml:space="preserve">The effectiveness and efficiency in supporting the objectives of the Convention and its </w:t>
      </w:r>
      <w:r>
        <w:rPr>
          <w:snapToGrid w:val="0"/>
          <w:kern w:val="22"/>
          <w:szCs w:val="22"/>
        </w:rPr>
        <w:t>P</w:t>
      </w:r>
      <w:r w:rsidRPr="00853C76">
        <w:rPr>
          <w:snapToGrid w:val="0"/>
          <w:kern w:val="22"/>
          <w:szCs w:val="22"/>
        </w:rPr>
        <w:t>rotocols in synergy with implementation of other pertinent multilateral environmental agreements, in a manner that is consistent with the mandates of respective multilateral environmental agreements.</w:t>
      </w:r>
    </w:p>
    <w:p w14:paraId="696E9933" w14:textId="77777777" w:rsidR="00DA0273" w:rsidRPr="00FE762E" w:rsidRDefault="00DA0273" w:rsidP="00FE762E">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FE762E">
        <w:rPr>
          <w:b/>
          <w:bCs/>
          <w:snapToGrid w:val="0"/>
          <w:color w:val="000000"/>
          <w:kern w:val="22"/>
          <w:szCs w:val="22"/>
        </w:rPr>
        <w:t>B.</w:t>
      </w:r>
      <w:r w:rsidRPr="00FE762E">
        <w:rPr>
          <w:b/>
          <w:bCs/>
          <w:snapToGrid w:val="0"/>
          <w:color w:val="000000"/>
          <w:kern w:val="22"/>
          <w:szCs w:val="22"/>
        </w:rPr>
        <w:tab/>
        <w:t>Methodology</w:t>
      </w:r>
    </w:p>
    <w:p w14:paraId="52F82426" w14:textId="77777777" w:rsidR="00DA0273" w:rsidRPr="00853C76" w:rsidRDefault="00DA0273" w:rsidP="00FB5720">
      <w:pPr>
        <w:suppressLineNumbers/>
        <w:suppressAutoHyphens/>
        <w:adjustRightInd w:val="0"/>
        <w:snapToGrid w:val="0"/>
        <w:spacing w:before="120" w:after="120"/>
        <w:rPr>
          <w:snapToGrid w:val="0"/>
          <w:kern w:val="22"/>
          <w:szCs w:val="22"/>
        </w:rPr>
      </w:pPr>
      <w:r w:rsidRPr="00853C76">
        <w:rPr>
          <w:snapToGrid w:val="0"/>
          <w:kern w:val="22"/>
          <w:szCs w:val="22"/>
        </w:rPr>
        <w:t>2.</w:t>
      </w:r>
      <w:r w:rsidRPr="00853C76">
        <w:rPr>
          <w:snapToGrid w:val="0"/>
          <w:kern w:val="22"/>
          <w:szCs w:val="22"/>
        </w:rPr>
        <w:tab/>
        <w:t>The review will cover all the activities of the institutional structure operating the financial mechanism, in particular for the period from 1 July 2017 to 30 June 2022.</w:t>
      </w:r>
    </w:p>
    <w:p w14:paraId="148FB1DB" w14:textId="77777777" w:rsidR="00DA0273" w:rsidRPr="00853C76" w:rsidRDefault="00DA0273" w:rsidP="00FB5720">
      <w:pPr>
        <w:suppressLineNumbers/>
        <w:suppressAutoHyphens/>
        <w:adjustRightInd w:val="0"/>
        <w:snapToGrid w:val="0"/>
        <w:spacing w:before="120" w:after="120"/>
        <w:rPr>
          <w:snapToGrid w:val="0"/>
          <w:kern w:val="22"/>
          <w:szCs w:val="22"/>
        </w:rPr>
      </w:pPr>
      <w:r w:rsidRPr="00853C76">
        <w:rPr>
          <w:snapToGrid w:val="0"/>
          <w:kern w:val="22"/>
          <w:szCs w:val="22"/>
        </w:rPr>
        <w:t>3.</w:t>
      </w:r>
      <w:r w:rsidRPr="00853C76">
        <w:rPr>
          <w:snapToGrid w:val="0"/>
          <w:kern w:val="22"/>
          <w:szCs w:val="22"/>
        </w:rPr>
        <w:tab/>
        <w:t xml:space="preserve">The review shall draw upon, inter alia, the following sources of information: </w:t>
      </w:r>
    </w:p>
    <w:p w14:paraId="67A6CF2F" w14:textId="77777777" w:rsidR="00DA0273" w:rsidRPr="00853C76" w:rsidRDefault="00DA0273" w:rsidP="00FB5720">
      <w:pPr>
        <w:suppressLineNumbers/>
        <w:suppressAutoHyphens/>
        <w:adjustRightInd w:val="0"/>
        <w:snapToGrid w:val="0"/>
        <w:spacing w:before="120" w:after="120"/>
        <w:ind w:firstLine="720"/>
        <w:rPr>
          <w:snapToGrid w:val="0"/>
          <w:kern w:val="22"/>
          <w:szCs w:val="22"/>
        </w:rPr>
      </w:pPr>
      <w:r w:rsidRPr="00853C76">
        <w:rPr>
          <w:snapToGrid w:val="0"/>
          <w:kern w:val="22"/>
          <w:szCs w:val="22"/>
        </w:rPr>
        <w:t>(a)</w:t>
      </w:r>
      <w:r w:rsidRPr="00853C76">
        <w:rPr>
          <w:snapToGrid w:val="0"/>
          <w:kern w:val="22"/>
          <w:szCs w:val="22"/>
        </w:rPr>
        <w:tab/>
        <w:t>Reports prepared by GEF, including its reports to the Conference of the Parties;</w:t>
      </w:r>
    </w:p>
    <w:p w14:paraId="056739DC" w14:textId="77777777" w:rsidR="00DA0273" w:rsidRPr="00853C76" w:rsidRDefault="00DA0273" w:rsidP="00FB5720">
      <w:pPr>
        <w:suppressLineNumbers/>
        <w:suppressAutoHyphens/>
        <w:adjustRightInd w:val="0"/>
        <w:snapToGrid w:val="0"/>
        <w:spacing w:before="120" w:after="120"/>
        <w:ind w:firstLine="720"/>
        <w:rPr>
          <w:snapToGrid w:val="0"/>
          <w:kern w:val="22"/>
          <w:szCs w:val="22"/>
        </w:rPr>
      </w:pPr>
      <w:r w:rsidRPr="00853C76">
        <w:rPr>
          <w:snapToGrid w:val="0"/>
          <w:kern w:val="22"/>
          <w:szCs w:val="22"/>
        </w:rPr>
        <w:t>(b)</w:t>
      </w:r>
      <w:r w:rsidRPr="00853C76">
        <w:rPr>
          <w:snapToGrid w:val="0"/>
          <w:kern w:val="22"/>
          <w:szCs w:val="22"/>
        </w:rPr>
        <w:tab/>
        <w:t>Reports of the GEF Independent Evaluation Office that relate to GEF biodiversity activities, including its seventh comprehensive study (OPS7), as well as relevant assessments by the GEF agencies and other partners</w:t>
      </w:r>
      <w:r>
        <w:rPr>
          <w:snapToGrid w:val="0"/>
          <w:kern w:val="22"/>
          <w:szCs w:val="22"/>
        </w:rPr>
        <w:t>,</w:t>
      </w:r>
      <w:r w:rsidRPr="00853C76">
        <w:rPr>
          <w:snapToGrid w:val="0"/>
          <w:kern w:val="22"/>
          <w:szCs w:val="22"/>
        </w:rPr>
        <w:t xml:space="preserve"> including the most recent audit reports and management responses related to GEF projects;</w:t>
      </w:r>
    </w:p>
    <w:p w14:paraId="64236318" w14:textId="77777777" w:rsidR="00DA0273" w:rsidRPr="00853C76" w:rsidRDefault="00DA0273" w:rsidP="00FB5720">
      <w:pPr>
        <w:suppressLineNumbers/>
        <w:suppressAutoHyphens/>
        <w:adjustRightInd w:val="0"/>
        <w:snapToGrid w:val="0"/>
        <w:spacing w:before="120" w:after="120"/>
        <w:ind w:firstLine="720"/>
        <w:rPr>
          <w:b/>
          <w:snapToGrid w:val="0"/>
          <w:kern w:val="22"/>
          <w:szCs w:val="22"/>
        </w:rPr>
      </w:pPr>
      <w:r w:rsidRPr="00853C76">
        <w:rPr>
          <w:snapToGrid w:val="0"/>
          <w:kern w:val="22"/>
          <w:szCs w:val="22"/>
        </w:rPr>
        <w:t>(c)</w:t>
      </w:r>
      <w:r w:rsidRPr="00853C76">
        <w:rPr>
          <w:snapToGrid w:val="0"/>
          <w:kern w:val="22"/>
          <w:szCs w:val="22"/>
        </w:rPr>
        <w:tab/>
        <w:t>Information provided by Parties regarding the financial mechanism, through national reports and other submissions, responses to surveys and interviews;</w:t>
      </w:r>
    </w:p>
    <w:p w14:paraId="3C9D7612" w14:textId="77777777" w:rsidR="00DA0273" w:rsidRPr="00853C76" w:rsidRDefault="00DA0273" w:rsidP="00FB5720">
      <w:pPr>
        <w:suppressLineNumbers/>
        <w:suppressAutoHyphens/>
        <w:adjustRightInd w:val="0"/>
        <w:snapToGrid w:val="0"/>
        <w:spacing w:before="120" w:after="120"/>
        <w:ind w:firstLine="720"/>
        <w:rPr>
          <w:snapToGrid w:val="0"/>
          <w:kern w:val="22"/>
          <w:szCs w:val="22"/>
        </w:rPr>
      </w:pPr>
      <w:r w:rsidRPr="00853C76">
        <w:rPr>
          <w:snapToGrid w:val="0"/>
          <w:kern w:val="22"/>
          <w:szCs w:val="22"/>
        </w:rPr>
        <w:t>(d)</w:t>
      </w:r>
      <w:r w:rsidRPr="00853C76">
        <w:rPr>
          <w:snapToGrid w:val="0"/>
          <w:kern w:val="22"/>
          <w:szCs w:val="22"/>
        </w:rPr>
        <w:tab/>
        <w:t>Information provided by indigenous peoples and local communities, women and youth</w:t>
      </w:r>
      <w:r w:rsidRPr="00853C76">
        <w:rPr>
          <w:b/>
          <w:snapToGrid w:val="0"/>
          <w:kern w:val="22"/>
          <w:szCs w:val="22"/>
        </w:rPr>
        <w:t xml:space="preserve"> </w:t>
      </w:r>
      <w:r w:rsidRPr="00853C76">
        <w:rPr>
          <w:snapToGrid w:val="0"/>
          <w:kern w:val="22"/>
          <w:szCs w:val="22"/>
        </w:rPr>
        <w:t>and</w:t>
      </w:r>
      <w:r w:rsidRPr="00853C76">
        <w:rPr>
          <w:b/>
          <w:snapToGrid w:val="0"/>
          <w:kern w:val="22"/>
          <w:szCs w:val="22"/>
        </w:rPr>
        <w:t xml:space="preserve"> </w:t>
      </w:r>
      <w:r w:rsidRPr="00853C76">
        <w:rPr>
          <w:snapToGrid w:val="0"/>
          <w:kern w:val="22"/>
          <w:szCs w:val="22"/>
        </w:rPr>
        <w:t>relevant stakeholders related to GEF-funded projects.</w:t>
      </w:r>
    </w:p>
    <w:p w14:paraId="7FC76F05" w14:textId="77777777" w:rsidR="00DA0273" w:rsidRPr="00FE762E" w:rsidRDefault="00DA0273" w:rsidP="00FE762E">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FE762E">
        <w:rPr>
          <w:b/>
          <w:bCs/>
          <w:snapToGrid w:val="0"/>
          <w:color w:val="000000"/>
          <w:kern w:val="22"/>
          <w:szCs w:val="22"/>
        </w:rPr>
        <w:t>C.</w:t>
      </w:r>
      <w:r w:rsidRPr="00FE762E">
        <w:rPr>
          <w:b/>
          <w:bCs/>
          <w:snapToGrid w:val="0"/>
          <w:color w:val="000000"/>
          <w:kern w:val="22"/>
          <w:szCs w:val="22"/>
        </w:rPr>
        <w:tab/>
        <w:t>Criteria</w:t>
      </w:r>
    </w:p>
    <w:p w14:paraId="20FB14E5" w14:textId="77777777" w:rsidR="00DA0273" w:rsidRPr="00853C76" w:rsidRDefault="00DA0273" w:rsidP="00FB5720">
      <w:pPr>
        <w:suppressLineNumbers/>
        <w:suppressAutoHyphens/>
        <w:adjustRightInd w:val="0"/>
        <w:snapToGrid w:val="0"/>
        <w:spacing w:before="120" w:after="120"/>
        <w:rPr>
          <w:snapToGrid w:val="0"/>
          <w:kern w:val="22"/>
          <w:szCs w:val="22"/>
        </w:rPr>
      </w:pPr>
      <w:r w:rsidRPr="00853C76">
        <w:rPr>
          <w:snapToGrid w:val="0"/>
          <w:kern w:val="22"/>
          <w:szCs w:val="22"/>
        </w:rPr>
        <w:t>4.</w:t>
      </w:r>
      <w:r w:rsidRPr="00853C76">
        <w:rPr>
          <w:snapToGrid w:val="0"/>
          <w:kern w:val="22"/>
          <w:szCs w:val="22"/>
        </w:rPr>
        <w:tab/>
        <w:t>The effectiveness and efficiency of the financial mechanism shall be assessed taking into account, inter alia:</w:t>
      </w:r>
    </w:p>
    <w:p w14:paraId="5B5D5541"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(a)</w:t>
      </w:r>
      <w:r w:rsidRPr="00853C76">
        <w:rPr>
          <w:snapToGrid w:val="0"/>
          <w:kern w:val="22"/>
          <w:szCs w:val="22"/>
        </w:rPr>
        <w:tab/>
        <w:t>The actions taken by GEF in response to the guidance of the Conference of the Parties;</w:t>
      </w:r>
    </w:p>
    <w:p w14:paraId="269C8411"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(b)</w:t>
      </w:r>
      <w:r w:rsidRPr="00853C76">
        <w:rPr>
          <w:snapToGrid w:val="0"/>
          <w:kern w:val="22"/>
          <w:szCs w:val="22"/>
        </w:rPr>
        <w:tab/>
        <w:t xml:space="preserve">The extent to which eligible countries receive timely, adequate and predictable funds to enable countries to meet the agreed full </w:t>
      </w:r>
      <w:r w:rsidRPr="00782973">
        <w:rPr>
          <w:snapToGrid w:val="0"/>
          <w:kern w:val="22"/>
          <w:szCs w:val="22"/>
        </w:rPr>
        <w:t>incremental cost to them of implementing</w:t>
      </w:r>
      <w:r w:rsidRPr="00853C76">
        <w:rPr>
          <w:snapToGrid w:val="0"/>
          <w:kern w:val="22"/>
          <w:szCs w:val="22"/>
        </w:rPr>
        <w:t xml:space="preserve"> measures that fulfil the obligations under the Convention and its </w:t>
      </w:r>
      <w:r>
        <w:rPr>
          <w:snapToGrid w:val="0"/>
          <w:kern w:val="22"/>
          <w:szCs w:val="22"/>
        </w:rPr>
        <w:t>P</w:t>
      </w:r>
      <w:r w:rsidRPr="00853C76">
        <w:rPr>
          <w:snapToGrid w:val="0"/>
          <w:kern w:val="22"/>
          <w:szCs w:val="22"/>
        </w:rPr>
        <w:t>rotocols, that generate global environmental benefits;</w:t>
      </w:r>
      <w:r w:rsidRPr="00610646">
        <w:rPr>
          <w:rStyle w:val="FootnoteReference"/>
        </w:rPr>
        <w:footnoteReference w:id="291"/>
      </w:r>
    </w:p>
    <w:p w14:paraId="5D8357C4"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(c)</w:t>
      </w:r>
      <w:r w:rsidRPr="00853C76">
        <w:rPr>
          <w:snapToGrid w:val="0"/>
          <w:kern w:val="22"/>
          <w:szCs w:val="22"/>
        </w:rPr>
        <w:tab/>
        <w:t>Information provided by Parties related to performance in delivering GEF projects, including effectiveness and efficiency of access modalities and competence and capacity required to use these modalities;</w:t>
      </w:r>
    </w:p>
    <w:p w14:paraId="12CAE102"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(d)</w:t>
      </w:r>
      <w:r w:rsidRPr="00853C76">
        <w:rPr>
          <w:snapToGrid w:val="0"/>
          <w:kern w:val="22"/>
          <w:szCs w:val="22"/>
        </w:rPr>
        <w:tab/>
        <w:t>Percentage of recipient countries that have received financial support from the financial mechanism to implement global biodiversity goals and targets, including those related to the Protocols;</w:t>
      </w:r>
    </w:p>
    <w:p w14:paraId="0C26C54C" w14:textId="77777777" w:rsidR="00DA0273" w:rsidRPr="00853C76" w:rsidRDefault="00DA0273">
      <w:pPr>
        <w:suppressLineNumbers/>
        <w:suppressAutoHyphens/>
        <w:adjustRightInd w:val="0"/>
        <w:snapToGrid w:val="0"/>
        <w:spacing w:after="120"/>
        <w:ind w:firstLine="720"/>
        <w:rPr>
          <w:snapToGrid w:val="0"/>
          <w:kern w:val="22"/>
          <w:szCs w:val="22"/>
        </w:rPr>
      </w:pPr>
      <w:r w:rsidRPr="00853C76">
        <w:rPr>
          <w:snapToGrid w:val="0"/>
          <w:kern w:val="22"/>
          <w:szCs w:val="22"/>
        </w:rPr>
        <w:t>(e)</w:t>
      </w:r>
      <w:r w:rsidRPr="00853C76">
        <w:rPr>
          <w:snapToGrid w:val="0"/>
          <w:kern w:val="22"/>
          <w:szCs w:val="22"/>
        </w:rPr>
        <w:tab/>
        <w:t xml:space="preserve">Percentage of biodiversity funding through the financial mechanism to support the achievement of the </w:t>
      </w:r>
      <w:r>
        <w:rPr>
          <w:snapToGrid w:val="0"/>
          <w:kern w:val="22"/>
          <w:szCs w:val="22"/>
        </w:rPr>
        <w:t xml:space="preserve">global </w:t>
      </w:r>
      <w:r w:rsidRPr="00853C76">
        <w:rPr>
          <w:snapToGrid w:val="0"/>
          <w:kern w:val="22"/>
          <w:szCs w:val="22"/>
        </w:rPr>
        <w:t>goals and targets;</w:t>
      </w:r>
    </w:p>
    <w:p w14:paraId="466BB798"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 xml:space="preserve">(f) </w:t>
      </w:r>
      <w:r>
        <w:rPr>
          <w:snapToGrid w:val="0"/>
          <w:kern w:val="22"/>
          <w:szCs w:val="22"/>
        </w:rPr>
        <w:tab/>
      </w:r>
      <w:r w:rsidRPr="00853C76">
        <w:rPr>
          <w:snapToGrid w:val="0"/>
          <w:kern w:val="22"/>
          <w:szCs w:val="22"/>
        </w:rPr>
        <w:t>Trend in co-financing and non-grant financing in the biodiversity area enabled by the financial mechanism;</w:t>
      </w:r>
    </w:p>
    <w:p w14:paraId="2D6F2AE5"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(g)</w:t>
      </w:r>
      <w:r w:rsidRPr="00853C76">
        <w:rPr>
          <w:snapToGrid w:val="0"/>
          <w:kern w:val="22"/>
          <w:szCs w:val="22"/>
        </w:rPr>
        <w:tab/>
        <w:t>Trend in financing global, regional and subregional biodiversity projects under the financial mechanism;</w:t>
      </w:r>
    </w:p>
    <w:p w14:paraId="1CCD6384"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(h)</w:t>
      </w:r>
      <w:r w:rsidRPr="00853C76">
        <w:rPr>
          <w:snapToGrid w:val="0"/>
          <w:kern w:val="22"/>
          <w:szCs w:val="22"/>
        </w:rPr>
        <w:tab/>
        <w:t>Trend in project and programme financing taking into consideration synergies among conventions that have designated GEF to operate their financial mechanism;</w:t>
      </w:r>
    </w:p>
    <w:p w14:paraId="0E6F8E01"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(i)</w:t>
      </w:r>
      <w:r w:rsidRPr="00853C76">
        <w:rPr>
          <w:snapToGrid w:val="0"/>
          <w:kern w:val="22"/>
          <w:szCs w:val="22"/>
        </w:rPr>
        <w:tab/>
        <w:t>Trend in project financing targeted at biodiversity-related conventions and agreements taking into consideration synergies between them;</w:t>
      </w:r>
    </w:p>
    <w:p w14:paraId="68A7880A"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(j)</w:t>
      </w:r>
      <w:r w:rsidRPr="00853C76">
        <w:rPr>
          <w:snapToGrid w:val="0"/>
          <w:kern w:val="22"/>
          <w:szCs w:val="22"/>
        </w:rPr>
        <w:tab/>
        <w:t>Trend in timeframes for project development and resource disbursement, including time between the approval of the concept notes (PIF) and the first disbursement;</w:t>
      </w:r>
    </w:p>
    <w:p w14:paraId="7E1AD300"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(k)</w:t>
      </w:r>
      <w:r w:rsidRPr="00853C76">
        <w:rPr>
          <w:snapToGrid w:val="0"/>
          <w:kern w:val="22"/>
          <w:szCs w:val="22"/>
        </w:rPr>
        <w:tab/>
        <w:t>Trend in project financing targeted at, and/or led by indigenous peoples and local communities, women and youth;</w:t>
      </w:r>
    </w:p>
    <w:p w14:paraId="661DB25D"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(l)</w:t>
      </w:r>
      <w:r w:rsidRPr="00853C76">
        <w:rPr>
          <w:snapToGrid w:val="0"/>
          <w:kern w:val="22"/>
          <w:szCs w:val="22"/>
        </w:rPr>
        <w:tab/>
        <w:t>Trend in the number of capacity-building activities that enable Parties and stakeholders to access to GEF financing, including information events on the financial mechanism organized for the Parties and stakeholders of the Convention and its Protocols;</w:t>
      </w:r>
    </w:p>
    <w:p w14:paraId="1C50944C" w14:textId="77777777" w:rsidR="00DA0273" w:rsidRPr="00853C76" w:rsidRDefault="00DA0273" w:rsidP="00FB5720">
      <w:pPr>
        <w:suppressLineNumbers/>
        <w:suppressAutoHyphens/>
        <w:adjustRightInd w:val="0"/>
        <w:snapToGrid w:val="0"/>
        <w:spacing w:after="120"/>
        <w:ind w:firstLine="720"/>
        <w:rPr>
          <w:snapToGrid w:val="0"/>
          <w:kern w:val="22"/>
          <w:szCs w:val="22"/>
        </w:rPr>
      </w:pPr>
      <w:r w:rsidRPr="00853C76">
        <w:rPr>
          <w:snapToGrid w:val="0"/>
          <w:kern w:val="22"/>
          <w:szCs w:val="22"/>
        </w:rPr>
        <w:t>(m)</w:t>
      </w:r>
      <w:r w:rsidRPr="00853C76">
        <w:rPr>
          <w:snapToGrid w:val="0"/>
          <w:kern w:val="22"/>
          <w:szCs w:val="22"/>
        </w:rPr>
        <w:tab/>
        <w:t>Trend in project financing leading to high sustainability or durability ratings and results achieved from GEF</w:t>
      </w:r>
      <w:r>
        <w:rPr>
          <w:snapToGrid w:val="0"/>
          <w:kern w:val="22"/>
          <w:szCs w:val="22"/>
        </w:rPr>
        <w:t>-</w:t>
      </w:r>
      <w:r w:rsidRPr="00853C76">
        <w:rPr>
          <w:snapToGrid w:val="0"/>
          <w:kern w:val="22"/>
          <w:szCs w:val="22"/>
        </w:rPr>
        <w:t>supported biodiversity programming in relation to expected results planned by GEF through this programming;</w:t>
      </w:r>
    </w:p>
    <w:p w14:paraId="5A55DA69" w14:textId="77777777" w:rsidR="00DA0273" w:rsidRPr="00FE762E" w:rsidRDefault="00DA0273" w:rsidP="00FE762E">
      <w:pPr>
        <w:keepNext/>
        <w:pBdr>
          <w:top w:val="nil"/>
          <w:left w:val="nil"/>
          <w:bottom w:val="nil"/>
          <w:right w:val="nil"/>
          <w:between w:val="nil"/>
        </w:pBdr>
        <w:tabs>
          <w:tab w:val="left" w:pos="360"/>
        </w:tabs>
        <w:spacing w:before="120" w:after="120"/>
        <w:jc w:val="center"/>
        <w:rPr>
          <w:b/>
          <w:bCs/>
          <w:snapToGrid w:val="0"/>
          <w:color w:val="000000"/>
          <w:kern w:val="22"/>
          <w:szCs w:val="22"/>
        </w:rPr>
      </w:pPr>
      <w:r w:rsidRPr="00FE762E">
        <w:rPr>
          <w:b/>
          <w:bCs/>
          <w:snapToGrid w:val="0"/>
          <w:color w:val="000000"/>
          <w:kern w:val="22"/>
          <w:szCs w:val="22"/>
        </w:rPr>
        <w:t>D.</w:t>
      </w:r>
      <w:r w:rsidRPr="00FE762E">
        <w:rPr>
          <w:b/>
          <w:bCs/>
          <w:snapToGrid w:val="0"/>
          <w:color w:val="000000"/>
          <w:kern w:val="22"/>
          <w:szCs w:val="22"/>
        </w:rPr>
        <w:tab/>
        <w:t>Procedures for implementation</w:t>
      </w:r>
    </w:p>
    <w:p w14:paraId="2AA8CDD4" w14:textId="77777777" w:rsidR="00DA0273" w:rsidRPr="00853C76" w:rsidRDefault="00DA0273" w:rsidP="00FB5720">
      <w:pPr>
        <w:suppressLineNumbers/>
        <w:suppressAutoHyphens/>
        <w:adjustRightInd w:val="0"/>
        <w:snapToGrid w:val="0"/>
        <w:spacing w:before="120" w:after="120"/>
        <w:rPr>
          <w:snapToGrid w:val="0"/>
          <w:kern w:val="22"/>
          <w:szCs w:val="22"/>
        </w:rPr>
      </w:pPr>
      <w:r w:rsidRPr="00853C76">
        <w:rPr>
          <w:snapToGrid w:val="0"/>
          <w:kern w:val="22"/>
          <w:szCs w:val="22"/>
        </w:rPr>
        <w:t>5.</w:t>
      </w:r>
      <w:r w:rsidRPr="00853C76">
        <w:rPr>
          <w:snapToGrid w:val="0"/>
          <w:kern w:val="22"/>
          <w:szCs w:val="22"/>
        </w:rPr>
        <w:tab/>
      </w:r>
      <w:r w:rsidRPr="00853C76">
        <w:rPr>
          <w:rFonts w:eastAsiaTheme="minorEastAsia"/>
          <w:snapToGrid w:val="0"/>
          <w:color w:val="000000"/>
          <w:kern w:val="22"/>
          <w:szCs w:val="22"/>
        </w:rPr>
        <w:t>Under the authority of the Conference of the Parties and i</w:t>
      </w:r>
      <w:r w:rsidRPr="00853C76">
        <w:rPr>
          <w:snapToGrid w:val="0"/>
          <w:kern w:val="22"/>
          <w:szCs w:val="22"/>
        </w:rPr>
        <w:t xml:space="preserve">n consultation with the Bureau of the Conference of the Parties, the Executive Secretary will, </w:t>
      </w:r>
      <w:r w:rsidRPr="00853C76">
        <w:rPr>
          <w:rFonts w:eastAsiaTheme="minorEastAsia"/>
          <w:snapToGrid w:val="0"/>
          <w:color w:val="000000"/>
          <w:kern w:val="22"/>
          <w:szCs w:val="22"/>
        </w:rPr>
        <w:t>subject to the availability of resources,</w:t>
      </w:r>
      <w:r w:rsidRPr="00853C76">
        <w:rPr>
          <w:snapToGrid w:val="0"/>
          <w:kern w:val="22"/>
          <w:szCs w:val="22"/>
        </w:rPr>
        <w:t xml:space="preserve"> contract an experienced independent evaluator to undertake the review, in accordance with the above objectives, methodology and criteria.</w:t>
      </w:r>
    </w:p>
    <w:p w14:paraId="28ED1622" w14:textId="77777777" w:rsidR="00DA0273" w:rsidRPr="00853C76" w:rsidRDefault="00DA0273" w:rsidP="00FB5720">
      <w:pPr>
        <w:spacing w:before="120" w:after="120"/>
        <w:rPr>
          <w:snapToGrid w:val="0"/>
          <w:kern w:val="22"/>
          <w:szCs w:val="22"/>
        </w:rPr>
      </w:pPr>
      <w:r w:rsidRPr="00853C76">
        <w:rPr>
          <w:snapToGrid w:val="0"/>
          <w:kern w:val="22"/>
          <w:szCs w:val="22"/>
        </w:rPr>
        <w:t>6.</w:t>
      </w:r>
      <w:r w:rsidRPr="00853C76">
        <w:rPr>
          <w:snapToGrid w:val="0"/>
          <w:kern w:val="22"/>
          <w:szCs w:val="22"/>
        </w:rPr>
        <w:tab/>
        <w:t xml:space="preserve">The evaluator will undertake such desk studies, questionnaire survey, interviews, and field visits, as may be required, </w:t>
      </w:r>
      <w:r w:rsidRPr="00853C76">
        <w:rPr>
          <w:rFonts w:eastAsiaTheme="minorEastAsia"/>
          <w:snapToGrid w:val="0"/>
          <w:color w:val="000000"/>
          <w:kern w:val="22"/>
          <w:szCs w:val="22"/>
        </w:rPr>
        <w:t xml:space="preserve">and collaborate with GEF and its Independent Evaluation Office, if necessary, </w:t>
      </w:r>
      <w:r w:rsidRPr="00853C76">
        <w:rPr>
          <w:snapToGrid w:val="0"/>
          <w:kern w:val="22"/>
          <w:szCs w:val="22"/>
        </w:rPr>
        <w:t>for the implementation of the review, and prepare a compilation and synthesis of the information received.</w:t>
      </w:r>
    </w:p>
    <w:p w14:paraId="2A76E135" w14:textId="77777777" w:rsidR="00DA0273" w:rsidRPr="00853C76" w:rsidRDefault="00DA0273" w:rsidP="00FB5720">
      <w:pPr>
        <w:suppressLineNumbers/>
        <w:suppressAutoHyphens/>
        <w:adjustRightInd w:val="0"/>
        <w:snapToGrid w:val="0"/>
        <w:spacing w:before="120" w:after="120"/>
        <w:rPr>
          <w:snapToGrid w:val="0"/>
          <w:kern w:val="22"/>
          <w:szCs w:val="22"/>
        </w:rPr>
      </w:pPr>
      <w:r w:rsidRPr="00853C76">
        <w:rPr>
          <w:snapToGrid w:val="0"/>
          <w:kern w:val="22"/>
          <w:szCs w:val="22"/>
        </w:rPr>
        <w:t>7.</w:t>
      </w:r>
      <w:r w:rsidRPr="00853C76">
        <w:rPr>
          <w:snapToGrid w:val="0"/>
          <w:kern w:val="22"/>
          <w:szCs w:val="22"/>
        </w:rPr>
        <w:tab/>
        <w:t>The draft synthesis report and recommendations of the evaluator will be made available to GEF for its review and comments. Such comments will be included in the documentation and identified by source.</w:t>
      </w:r>
    </w:p>
    <w:p w14:paraId="2DAA7357" w14:textId="77777777" w:rsidR="00DA0273" w:rsidRPr="005E2972" w:rsidRDefault="00DA0273" w:rsidP="00FB5720">
      <w:pPr>
        <w:suppressLineNumbers/>
        <w:suppressAutoHyphens/>
        <w:adjustRightInd w:val="0"/>
        <w:snapToGrid w:val="0"/>
        <w:spacing w:before="120" w:after="120"/>
        <w:rPr>
          <w:snapToGrid w:val="0"/>
          <w:kern w:val="22"/>
          <w:szCs w:val="22"/>
        </w:rPr>
      </w:pPr>
      <w:r w:rsidRPr="005E2972">
        <w:rPr>
          <w:snapToGrid w:val="0"/>
          <w:kern w:val="22"/>
          <w:szCs w:val="22"/>
        </w:rPr>
        <w:t>8.</w:t>
      </w:r>
      <w:r w:rsidRPr="005E2972">
        <w:rPr>
          <w:snapToGrid w:val="0"/>
          <w:kern w:val="22"/>
          <w:szCs w:val="22"/>
        </w:rPr>
        <w:tab/>
        <w:t>Based on the synthesis report and recommendations of the independent evaluator, the Executive Secretary will prepare, in consultation with GEF, a draft decision on the sixth review of the financial mechanism, including specific suggestions for action to improve the effectiveness of the mechanism, if necessary, for consideration by the Subsidiary Body on Implementation to provide its recommendations to the Conference of the Parties at its sixteenth meeting.</w:t>
      </w:r>
    </w:p>
    <w:p w14:paraId="7F179636" w14:textId="77777777" w:rsidR="00DA0273" w:rsidRPr="00853C76" w:rsidRDefault="00DA0273" w:rsidP="00FB5720">
      <w:pPr>
        <w:suppressLineNumbers/>
        <w:suppressAutoHyphens/>
        <w:adjustRightInd w:val="0"/>
        <w:snapToGrid w:val="0"/>
        <w:spacing w:before="120" w:after="120"/>
        <w:rPr>
          <w:snapToGrid w:val="0"/>
          <w:kern w:val="22"/>
          <w:szCs w:val="22"/>
        </w:rPr>
      </w:pPr>
      <w:r w:rsidRPr="005E2972">
        <w:rPr>
          <w:snapToGrid w:val="0"/>
          <w:kern w:val="22"/>
          <w:szCs w:val="22"/>
        </w:rPr>
        <w:t>9.</w:t>
      </w:r>
      <w:r w:rsidRPr="005E2972">
        <w:rPr>
          <w:snapToGrid w:val="0"/>
          <w:kern w:val="22"/>
          <w:szCs w:val="22"/>
        </w:rPr>
        <w:tab/>
        <w:t>The Executive Secretary will submit the relevant documents for consideration by the Subsidiary Body on Implementation, and subsequently by the Conference of the Parties at its sixteenth meeting.</w:t>
      </w:r>
    </w:p>
    <w:p w14:paraId="554C8202" w14:textId="77777777" w:rsidR="0050667D" w:rsidRDefault="0050667D" w:rsidP="0037418A">
      <w:pPr>
        <w:pStyle w:val="Para1"/>
        <w:numPr>
          <w:ilvl w:val="0"/>
          <w:numId w:val="0"/>
        </w:numPr>
        <w:shd w:val="clear" w:color="auto" w:fill="FFFFFF" w:themeFill="background1"/>
        <w:jc w:val="center"/>
        <w:sectPr w:rsidR="0050667D" w:rsidSect="00441700">
          <w:footnotePr>
            <w:numRestart w:val="eachSect"/>
          </w:footnotePr>
          <w:pgSz w:w="12240" w:h="15840"/>
          <w:pgMar w:top="567" w:right="1440" w:bottom="1134" w:left="1440" w:header="709" w:footer="709" w:gutter="0"/>
          <w:cols w:space="708"/>
          <w:docGrid w:linePitch="360"/>
        </w:sectPr>
      </w:pPr>
    </w:p>
    <w:p w14:paraId="6789CA93" w14:textId="77777777" w:rsidR="0050667D" w:rsidRPr="00F84AD3" w:rsidRDefault="0050667D" w:rsidP="00105F1E">
      <w:pPr>
        <w:pStyle w:val="decision"/>
      </w:pPr>
      <w:bookmarkStart w:id="245" w:name="_Toc150438814"/>
      <w:bookmarkStart w:id="246" w:name="_Toc150670514"/>
      <w:bookmarkStart w:id="247" w:name="_Toc150670624"/>
      <w:bookmarkStart w:id="248" w:name="_Toc150761126"/>
      <w:bookmarkStart w:id="249" w:name="_Toc118354921"/>
      <w:bookmarkStart w:id="250" w:name="_Toc118355012"/>
      <w:r>
        <w:rPr>
          <w:snapToGrid w:val="0"/>
        </w:rPr>
        <w:t>15/16.</w:t>
      </w:r>
      <w:r>
        <w:rPr>
          <w:snapToGrid w:val="0"/>
        </w:rPr>
        <w:tab/>
      </w:r>
      <w:r w:rsidRPr="00567EDE">
        <w:rPr>
          <w:snapToGrid w:val="0"/>
        </w:rPr>
        <w:t>Knowledge management and the clearing-house mechanism</w:t>
      </w:r>
      <w:bookmarkEnd w:id="245"/>
      <w:bookmarkEnd w:id="246"/>
      <w:bookmarkEnd w:id="247"/>
      <w:bookmarkEnd w:id="248"/>
    </w:p>
    <w:bookmarkEnd w:id="249"/>
    <w:bookmarkEnd w:id="250"/>
    <w:p w14:paraId="2C2D47AA" w14:textId="77777777" w:rsidR="0050667D" w:rsidRPr="00FA3FC5" w:rsidRDefault="0050667D" w:rsidP="001F32EB">
      <w:pPr>
        <w:keepNext/>
        <w:suppressLineNumbers/>
        <w:suppressAutoHyphens/>
        <w:kinsoku w:val="0"/>
        <w:overflowPunct w:val="0"/>
        <w:autoSpaceDE w:val="0"/>
        <w:autoSpaceDN w:val="0"/>
        <w:adjustRightInd w:val="0"/>
        <w:snapToGrid w:val="0"/>
        <w:spacing w:before="120" w:after="120"/>
        <w:ind w:firstLine="720"/>
        <w:rPr>
          <w:i/>
          <w:iCs/>
          <w:snapToGrid w:val="0"/>
          <w:kern w:val="22"/>
        </w:rPr>
      </w:pPr>
      <w:r w:rsidRPr="00FA3FC5">
        <w:rPr>
          <w:i/>
          <w:iCs/>
          <w:snapToGrid w:val="0"/>
          <w:kern w:val="22"/>
        </w:rPr>
        <w:t>The Conference of the Parties,</w:t>
      </w:r>
    </w:p>
    <w:p w14:paraId="60230B90" w14:textId="1DA044E0" w:rsidR="0050667D" w:rsidRPr="00FA3FC5" w:rsidRDefault="0050667D" w:rsidP="001F32EB">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FA3FC5">
        <w:rPr>
          <w:i/>
          <w:snapToGrid w:val="0"/>
          <w:kern w:val="22"/>
          <w:szCs w:val="22"/>
        </w:rPr>
        <w:t>Recalling</w:t>
      </w:r>
      <w:r w:rsidRPr="00FA3FC5">
        <w:rPr>
          <w:snapToGrid w:val="0"/>
          <w:kern w:val="22"/>
          <w:szCs w:val="22"/>
        </w:rPr>
        <w:t xml:space="preserve"> decisions </w:t>
      </w:r>
      <w:hyperlink r:id="rId36" w:history="1">
        <w:r w:rsidRPr="001F4782">
          <w:rPr>
            <w:rStyle w:val="Hyperlink"/>
            <w:snapToGrid w:val="0"/>
            <w:kern w:val="22"/>
            <w:szCs w:val="22"/>
          </w:rPr>
          <w:t>14/25</w:t>
        </w:r>
      </w:hyperlink>
      <w:r w:rsidRPr="001F4782">
        <w:rPr>
          <w:snapToGrid w:val="0"/>
          <w:kern w:val="22"/>
          <w:szCs w:val="22"/>
        </w:rPr>
        <w:t xml:space="preserve">, </w:t>
      </w:r>
      <w:hyperlink r:id="rId37" w:history="1">
        <w:r w:rsidRPr="001F4782">
          <w:rPr>
            <w:rStyle w:val="Hyperlink"/>
            <w:snapToGrid w:val="0"/>
            <w:kern w:val="22"/>
            <w:szCs w:val="22"/>
          </w:rPr>
          <w:t>XIII/23</w:t>
        </w:r>
      </w:hyperlink>
      <w:r w:rsidRPr="001F4782">
        <w:rPr>
          <w:snapToGrid w:val="0"/>
          <w:kern w:val="22"/>
          <w:szCs w:val="22"/>
        </w:rPr>
        <w:t xml:space="preserve">, XIII/18, </w:t>
      </w:r>
      <w:hyperlink r:id="rId38" w:history="1">
        <w:r w:rsidRPr="001F4782">
          <w:rPr>
            <w:rStyle w:val="Hyperlink"/>
            <w:snapToGrid w:val="0"/>
            <w:kern w:val="22"/>
            <w:szCs w:val="22"/>
          </w:rPr>
          <w:t>XII/2</w:t>
        </w:r>
      </w:hyperlink>
      <w:r w:rsidRPr="001F4782">
        <w:rPr>
          <w:snapToGrid w:val="0"/>
          <w:kern w:val="22"/>
          <w:szCs w:val="22"/>
        </w:rPr>
        <w:t xml:space="preserve"> B and </w:t>
      </w:r>
      <w:hyperlink r:id="rId39" w:history="1">
        <w:r w:rsidRPr="001F4782">
          <w:rPr>
            <w:rStyle w:val="Hyperlink"/>
            <w:snapToGrid w:val="0"/>
            <w:kern w:val="22"/>
            <w:szCs w:val="22"/>
          </w:rPr>
          <w:t>XI/2</w:t>
        </w:r>
      </w:hyperlink>
      <w:r w:rsidRPr="001F4782">
        <w:rPr>
          <w:snapToGrid w:val="0"/>
          <w:kern w:val="22"/>
          <w:szCs w:val="22"/>
        </w:rPr>
        <w:t>,</w:t>
      </w:r>
      <w:r>
        <w:rPr>
          <w:snapToGrid w:val="0"/>
          <w:kern w:val="22"/>
          <w:szCs w:val="22"/>
        </w:rPr>
        <w:t xml:space="preserve"> </w:t>
      </w:r>
    </w:p>
    <w:p w14:paraId="3B7F861A" w14:textId="77777777" w:rsidR="0050667D" w:rsidRPr="00FA3FC5" w:rsidRDefault="0050667D" w:rsidP="001F32EB">
      <w:pPr>
        <w:suppressLineNumbers/>
        <w:suppressAutoHyphens/>
        <w:kinsoku w:val="0"/>
        <w:overflowPunct w:val="0"/>
        <w:autoSpaceDE w:val="0"/>
        <w:autoSpaceDN w:val="0"/>
        <w:adjustRightInd w:val="0"/>
        <w:snapToGrid w:val="0"/>
        <w:spacing w:before="120" w:after="120"/>
        <w:ind w:firstLine="720"/>
        <w:rPr>
          <w:snapToGrid w:val="0"/>
          <w:kern w:val="22"/>
          <w:szCs w:val="22"/>
        </w:rPr>
      </w:pPr>
      <w:r>
        <w:rPr>
          <w:i/>
          <w:snapToGrid w:val="0"/>
          <w:kern w:val="22"/>
          <w:szCs w:val="22"/>
        </w:rPr>
        <w:t>R</w:t>
      </w:r>
      <w:r w:rsidRPr="00FA3FC5">
        <w:rPr>
          <w:i/>
          <w:snapToGrid w:val="0"/>
          <w:kern w:val="22"/>
          <w:szCs w:val="22"/>
        </w:rPr>
        <w:t>ecalling</w:t>
      </w:r>
      <w:r>
        <w:rPr>
          <w:i/>
          <w:snapToGrid w:val="0"/>
          <w:kern w:val="22"/>
          <w:szCs w:val="22"/>
        </w:rPr>
        <w:t xml:space="preserve"> also</w:t>
      </w:r>
      <w:r w:rsidRPr="00FA3FC5">
        <w:rPr>
          <w:snapToGrid w:val="0"/>
          <w:kern w:val="22"/>
          <w:szCs w:val="22"/>
        </w:rPr>
        <w:t xml:space="preserve"> the work programme for the clearing-house mechanism in support of the Strategic Plan for Biodiversity 2011</w:t>
      </w:r>
      <w:r>
        <w:rPr>
          <w:kern w:val="22"/>
        </w:rPr>
        <w:t>–</w:t>
      </w:r>
      <w:r w:rsidRPr="00FA3FC5">
        <w:rPr>
          <w:snapToGrid w:val="0"/>
          <w:kern w:val="22"/>
          <w:szCs w:val="22"/>
        </w:rPr>
        <w:t>2020,</w:t>
      </w:r>
      <w:bookmarkStart w:id="251" w:name="_Ref73016091"/>
      <w:r w:rsidRPr="00610646">
        <w:rPr>
          <w:rStyle w:val="FootnoteReference"/>
        </w:rPr>
        <w:footnoteReference w:id="292"/>
      </w:r>
      <w:bookmarkEnd w:id="251"/>
      <w:r>
        <w:rPr>
          <w:snapToGrid w:val="0"/>
          <w:kern w:val="22"/>
          <w:szCs w:val="22"/>
        </w:rPr>
        <w:t xml:space="preserve"> </w:t>
      </w:r>
    </w:p>
    <w:p w14:paraId="264877C7" w14:textId="77777777" w:rsidR="0050667D" w:rsidRDefault="0050667D" w:rsidP="001F32EB">
      <w:pPr>
        <w:suppressLineNumbers/>
        <w:suppressAutoHyphens/>
        <w:kinsoku w:val="0"/>
        <w:overflowPunct w:val="0"/>
        <w:autoSpaceDE w:val="0"/>
        <w:autoSpaceDN w:val="0"/>
        <w:adjustRightInd w:val="0"/>
        <w:snapToGrid w:val="0"/>
        <w:spacing w:before="120" w:after="120"/>
        <w:ind w:firstLine="720"/>
        <w:rPr>
          <w:snapToGrid w:val="0"/>
          <w:kern w:val="22"/>
        </w:rPr>
      </w:pPr>
      <w:r w:rsidRPr="00FA3FC5">
        <w:rPr>
          <w:i/>
          <w:snapToGrid w:val="0"/>
          <w:kern w:val="22"/>
        </w:rPr>
        <w:t>Emphasizing</w:t>
      </w:r>
      <w:r w:rsidRPr="00FA3FC5">
        <w:rPr>
          <w:snapToGrid w:val="0"/>
          <w:kern w:val="22"/>
        </w:rPr>
        <w:t xml:space="preserve"> the critical importance of</w:t>
      </w:r>
      <w:r>
        <w:rPr>
          <w:snapToGrid w:val="0"/>
          <w:kern w:val="22"/>
        </w:rPr>
        <w:t xml:space="preserve"> </w:t>
      </w:r>
      <w:r w:rsidRPr="00FA3FC5">
        <w:rPr>
          <w:snapToGrid w:val="0"/>
          <w:kern w:val="22"/>
        </w:rPr>
        <w:t xml:space="preserve">easy and timely access to quality data, information and knowledge in supporting the effective implementation of the </w:t>
      </w:r>
      <w:r>
        <w:rPr>
          <w:snapToGrid w:val="0"/>
          <w:kern w:val="22"/>
        </w:rPr>
        <w:t>Kunming-Montreal</w:t>
      </w:r>
      <w:r w:rsidRPr="00FA3FC5">
        <w:rPr>
          <w:snapToGrid w:val="0"/>
          <w:kern w:val="22"/>
        </w:rPr>
        <w:t xml:space="preserve"> </w:t>
      </w:r>
      <w:r>
        <w:rPr>
          <w:snapToGrid w:val="0"/>
          <w:kern w:val="22"/>
        </w:rPr>
        <w:t>G</w:t>
      </w:r>
      <w:r w:rsidRPr="00FA3FC5">
        <w:rPr>
          <w:snapToGrid w:val="0"/>
          <w:kern w:val="22"/>
        </w:rPr>
        <w:t xml:space="preserve">lobal </w:t>
      </w:r>
      <w:r>
        <w:rPr>
          <w:snapToGrid w:val="0"/>
          <w:kern w:val="22"/>
        </w:rPr>
        <w:t>B</w:t>
      </w:r>
      <w:r w:rsidRPr="00FA3FC5">
        <w:rPr>
          <w:snapToGrid w:val="0"/>
          <w:kern w:val="22"/>
        </w:rPr>
        <w:t xml:space="preserve">iodiversity </w:t>
      </w:r>
      <w:r>
        <w:rPr>
          <w:snapToGrid w:val="0"/>
          <w:kern w:val="22"/>
        </w:rPr>
        <w:t>F</w:t>
      </w:r>
      <w:r w:rsidRPr="00FA3FC5">
        <w:rPr>
          <w:snapToGrid w:val="0"/>
          <w:kern w:val="22"/>
        </w:rPr>
        <w:t>ramework,</w:t>
      </w:r>
      <w:r>
        <w:rPr>
          <w:snapToGrid w:val="0"/>
          <w:kern w:val="22"/>
        </w:rPr>
        <w:t xml:space="preserve"> </w:t>
      </w:r>
    </w:p>
    <w:p w14:paraId="4527C916" w14:textId="77777777" w:rsidR="0050667D" w:rsidRPr="00D222A2" w:rsidRDefault="0050667D" w:rsidP="00917607">
      <w:pPr>
        <w:pStyle w:val="Para1"/>
        <w:numPr>
          <w:ilvl w:val="0"/>
          <w:numId w:val="0"/>
        </w:numPr>
        <w:suppressLineNumbers/>
        <w:tabs>
          <w:tab w:val="left" w:pos="360"/>
        </w:tabs>
        <w:suppressAutoHyphens/>
        <w:kinsoku w:val="0"/>
        <w:adjustRightInd w:val="0"/>
        <w:ind w:firstLine="720"/>
      </w:pPr>
      <w:r>
        <w:t>1</w:t>
      </w:r>
      <w:r w:rsidRPr="00FE0CDA">
        <w:t>.</w:t>
      </w:r>
      <w:r w:rsidRPr="00FE0CDA">
        <w:tab/>
      </w:r>
      <w:r w:rsidRPr="00D222A2">
        <w:rPr>
          <w:i/>
          <w:iCs/>
        </w:rPr>
        <w:t>Invites</w:t>
      </w:r>
      <w:r w:rsidRPr="00D222A2">
        <w:t xml:space="preserve"> biodiversity-related conventions, organizations, networks, processes and initiatives supporting the generation, discovery, capture, management and use of biodiversity-related data, information and knowledge</w:t>
      </w:r>
      <w:r>
        <w:t>,</w:t>
      </w:r>
      <w:r w:rsidRPr="00D222A2">
        <w:t xml:space="preserve"> to contribute </w:t>
      </w:r>
      <w:r>
        <w:t xml:space="preserve">to </w:t>
      </w:r>
      <w:r w:rsidRPr="00D222A2">
        <w:t>the clearing-house mechanism of the Convention, based on existing knowledge management networks, organizations, initiatives and processes</w:t>
      </w:r>
      <w:r>
        <w:t>,</w:t>
      </w:r>
      <w:r w:rsidRPr="00D222A2">
        <w:t xml:space="preserve"> to, among other things, promote and facilitate collaboration, interconnection and networking among them</w:t>
      </w:r>
      <w:r>
        <w:t>,</w:t>
      </w:r>
      <w:r w:rsidRPr="00D222A2">
        <w:t xml:space="preserve"> with a view to making biodiversity data</w:t>
      </w:r>
      <w:r>
        <w:t xml:space="preserve">, </w:t>
      </w:r>
      <w:r w:rsidRPr="00D222A2">
        <w:t>information and knowledge more readily available and accessible for biodiversity planning, policy and decision</w:t>
      </w:r>
      <w:r w:rsidRPr="00D222A2">
        <w:noBreakHyphen/>
        <w:t xml:space="preserve">making, implementation, monitoring, </w:t>
      </w:r>
      <w:r>
        <w:t xml:space="preserve">and </w:t>
      </w:r>
      <w:r w:rsidRPr="00D222A2">
        <w:t>reporting and review;</w:t>
      </w:r>
      <w:r>
        <w:t xml:space="preserve"> </w:t>
      </w:r>
    </w:p>
    <w:p w14:paraId="225A28E3" w14:textId="77777777" w:rsidR="0050667D" w:rsidRPr="00D222A2" w:rsidRDefault="0050667D" w:rsidP="005B1521">
      <w:pPr>
        <w:pStyle w:val="Para1"/>
        <w:numPr>
          <w:ilvl w:val="0"/>
          <w:numId w:val="0"/>
        </w:numPr>
        <w:suppressLineNumbers/>
        <w:tabs>
          <w:tab w:val="left" w:pos="360"/>
        </w:tabs>
        <w:suppressAutoHyphens/>
        <w:kinsoku w:val="0"/>
        <w:adjustRightInd w:val="0"/>
        <w:ind w:firstLine="720"/>
      </w:pPr>
      <w:r>
        <w:t>2</w:t>
      </w:r>
      <w:r w:rsidRPr="00285D2D">
        <w:t>.</w:t>
      </w:r>
      <w:r w:rsidRPr="00285D2D">
        <w:tab/>
      </w:r>
      <w:r w:rsidRPr="00D222A2">
        <w:rPr>
          <w:i/>
          <w:iCs/>
        </w:rPr>
        <w:t>Takes note</w:t>
      </w:r>
      <w:r w:rsidRPr="00D222A2">
        <w:t xml:space="preserve"> of the outcomes and key messages from the virtual sessions of the Fifth Science-Policy Forum for Biodiversity and the Eighth International Conference on Sustainability Science, in particular the Round Table on Biodiversity Monitoring and Data;</w:t>
      </w:r>
      <w:r w:rsidRPr="00610646">
        <w:rPr>
          <w:rStyle w:val="FootnoteReference"/>
        </w:rPr>
        <w:footnoteReference w:id="293"/>
      </w:r>
      <w:r>
        <w:t xml:space="preserve"> </w:t>
      </w:r>
    </w:p>
    <w:p w14:paraId="77DF4269" w14:textId="77777777" w:rsidR="0050667D" w:rsidRDefault="0050667D" w:rsidP="001F32EB">
      <w:pPr>
        <w:pStyle w:val="Para1"/>
        <w:numPr>
          <w:ilvl w:val="0"/>
          <w:numId w:val="0"/>
        </w:numPr>
        <w:suppressLineNumbers/>
        <w:tabs>
          <w:tab w:val="left" w:pos="360"/>
        </w:tabs>
        <w:suppressAutoHyphens/>
        <w:kinsoku w:val="0"/>
        <w:adjustRightInd w:val="0"/>
        <w:ind w:firstLine="720"/>
      </w:pPr>
      <w:r>
        <w:t>3</w:t>
      </w:r>
      <w:r w:rsidRPr="00FE0CDA">
        <w:t>.</w:t>
      </w:r>
      <w:r w:rsidRPr="00FE0CDA">
        <w:tab/>
      </w:r>
      <w:r>
        <w:rPr>
          <w:i/>
          <w:iCs/>
        </w:rPr>
        <w:t>Also t</w:t>
      </w:r>
      <w:r w:rsidRPr="00D222A2">
        <w:rPr>
          <w:i/>
          <w:iCs/>
        </w:rPr>
        <w:t>akes note</w:t>
      </w:r>
      <w:r>
        <w:rPr>
          <w:i/>
          <w:iCs/>
        </w:rPr>
        <w:t xml:space="preserve"> </w:t>
      </w:r>
      <w:r>
        <w:t xml:space="preserve">of the following initiatives:  </w:t>
      </w:r>
    </w:p>
    <w:p w14:paraId="4B03ADF4" w14:textId="77777777" w:rsidR="0050667D" w:rsidRPr="00D222A2" w:rsidRDefault="0050667D" w:rsidP="001F32EB">
      <w:pPr>
        <w:pStyle w:val="Para1"/>
        <w:numPr>
          <w:ilvl w:val="0"/>
          <w:numId w:val="0"/>
        </w:numPr>
        <w:suppressLineNumbers/>
        <w:tabs>
          <w:tab w:val="left" w:pos="360"/>
        </w:tabs>
        <w:suppressAutoHyphens/>
        <w:kinsoku w:val="0"/>
        <w:adjustRightInd w:val="0"/>
        <w:ind w:firstLine="720"/>
      </w:pPr>
      <w:r>
        <w:t>(a)</w:t>
      </w:r>
      <w:r>
        <w:tab/>
        <w:t>T</w:t>
      </w:r>
      <w:r w:rsidRPr="00D222A2">
        <w:t xml:space="preserve">he </w:t>
      </w:r>
      <w:r>
        <w:t>i</w:t>
      </w:r>
      <w:r w:rsidRPr="00D222A2">
        <w:t xml:space="preserve">nitiative of the United Nations Environment Programme World Conservation Monitoring Centre and the European Commission to develop a </w:t>
      </w:r>
      <w:r>
        <w:t>g</w:t>
      </w:r>
      <w:r w:rsidRPr="00D222A2">
        <w:t xml:space="preserve">lobal </w:t>
      </w:r>
      <w:r>
        <w:t>k</w:t>
      </w:r>
      <w:r w:rsidRPr="00D222A2">
        <w:t xml:space="preserve">nowledge </w:t>
      </w:r>
      <w:r>
        <w:t xml:space="preserve">support service </w:t>
      </w:r>
      <w:r w:rsidRPr="00D222A2">
        <w:t xml:space="preserve">for </w:t>
      </w:r>
      <w:r>
        <w:t>b</w:t>
      </w:r>
      <w:r w:rsidRPr="00D222A2">
        <w:t>iodiversity</w:t>
      </w:r>
      <w:r>
        <w:t>,</w:t>
      </w:r>
      <w:r w:rsidRPr="00610646">
        <w:rPr>
          <w:rStyle w:val="FootnoteReference"/>
        </w:rPr>
        <w:footnoteReference w:id="294"/>
      </w:r>
      <w:r w:rsidRPr="00D222A2">
        <w:t xml:space="preserve"> notably for tracking progress on targets and goals</w:t>
      </w:r>
      <w:r>
        <w:t>;</w:t>
      </w:r>
    </w:p>
    <w:p w14:paraId="67355490" w14:textId="77777777" w:rsidR="0050667D" w:rsidRDefault="0050667D" w:rsidP="001F32EB">
      <w:pPr>
        <w:pStyle w:val="Para1"/>
        <w:numPr>
          <w:ilvl w:val="0"/>
          <w:numId w:val="0"/>
        </w:numPr>
        <w:suppressLineNumbers/>
        <w:tabs>
          <w:tab w:val="left" w:pos="360"/>
        </w:tabs>
        <w:suppressAutoHyphens/>
        <w:kinsoku w:val="0"/>
        <w:adjustRightInd w:val="0"/>
        <w:ind w:firstLine="720"/>
      </w:pPr>
      <w:r>
        <w:t>(b)</w:t>
      </w:r>
      <w:r>
        <w:tab/>
        <w:t>T</w:t>
      </w:r>
      <w:r w:rsidRPr="00D222A2">
        <w:t>he Data4Nature initiative</w:t>
      </w:r>
      <w:r>
        <w:t>;</w:t>
      </w:r>
      <w:r w:rsidRPr="00610646">
        <w:rPr>
          <w:rStyle w:val="FootnoteReference"/>
        </w:rPr>
        <w:footnoteReference w:id="295"/>
      </w:r>
      <w:r w:rsidRPr="00D222A2">
        <w:t xml:space="preserve"> </w:t>
      </w:r>
      <w:r>
        <w:t xml:space="preserve"> </w:t>
      </w:r>
    </w:p>
    <w:p w14:paraId="03F9F9E0" w14:textId="77777777" w:rsidR="0050667D" w:rsidRDefault="0050667D" w:rsidP="001F32EB">
      <w:pPr>
        <w:pStyle w:val="Para1"/>
        <w:numPr>
          <w:ilvl w:val="0"/>
          <w:numId w:val="0"/>
        </w:numPr>
        <w:suppressLineNumbers/>
        <w:tabs>
          <w:tab w:val="left" w:pos="360"/>
        </w:tabs>
        <w:suppressAutoHyphens/>
        <w:kinsoku w:val="0"/>
        <w:adjustRightInd w:val="0"/>
        <w:ind w:firstLine="720"/>
      </w:pPr>
      <w:r>
        <w:t>(c)</w:t>
      </w:r>
      <w:r>
        <w:tab/>
        <w:t>T</w:t>
      </w:r>
      <w:r w:rsidRPr="00D222A2">
        <w:t>he global partnership PANORAMA: Solutions for a Healthy Planet,</w:t>
      </w:r>
      <w:r w:rsidRPr="00610646">
        <w:rPr>
          <w:rStyle w:val="FootnoteReference"/>
        </w:rPr>
        <w:footnoteReference w:id="296"/>
      </w:r>
      <w:r w:rsidRPr="00D222A2">
        <w:t xml:space="preserve"> which supports implementation through knowledge generation, management and sharing for effective biodiversity planning, policy development, decision-making, implementation, transparency and responsibility;</w:t>
      </w:r>
      <w:r>
        <w:t xml:space="preserve"> </w:t>
      </w:r>
    </w:p>
    <w:p w14:paraId="27F3A685" w14:textId="77777777" w:rsidR="0050667D" w:rsidRPr="00D222A2" w:rsidRDefault="0050667D" w:rsidP="001F32EB">
      <w:pPr>
        <w:pStyle w:val="Para1"/>
        <w:numPr>
          <w:ilvl w:val="0"/>
          <w:numId w:val="0"/>
        </w:numPr>
        <w:suppressLineNumbers/>
        <w:tabs>
          <w:tab w:val="left" w:pos="360"/>
        </w:tabs>
        <w:suppressAutoHyphens/>
        <w:kinsoku w:val="0"/>
        <w:adjustRightInd w:val="0"/>
        <w:ind w:firstLine="720"/>
      </w:pPr>
      <w:r>
        <w:t>(d)</w:t>
      </w:r>
      <w:r>
        <w:tab/>
        <w:t>The Bern process sup</w:t>
      </w:r>
      <w:r w:rsidRPr="006C4FAC">
        <w:t>ported by the United Nations Environment Programme;</w:t>
      </w:r>
      <w:r w:rsidRPr="00610646">
        <w:rPr>
          <w:rStyle w:val="FootnoteReference"/>
        </w:rPr>
        <w:footnoteReference w:id="297"/>
      </w:r>
    </w:p>
    <w:p w14:paraId="4948133C" w14:textId="77777777" w:rsidR="0050667D" w:rsidRPr="00D222A2" w:rsidRDefault="0050667D" w:rsidP="005B1521">
      <w:pPr>
        <w:pStyle w:val="Para1"/>
        <w:numPr>
          <w:ilvl w:val="0"/>
          <w:numId w:val="0"/>
        </w:numPr>
        <w:suppressLineNumbers/>
        <w:tabs>
          <w:tab w:val="left" w:pos="360"/>
        </w:tabs>
        <w:suppressAutoHyphens/>
        <w:kinsoku w:val="0"/>
        <w:adjustRightInd w:val="0"/>
        <w:ind w:firstLine="720"/>
      </w:pPr>
      <w:r>
        <w:t>4</w:t>
      </w:r>
      <w:r w:rsidRPr="00285D2D">
        <w:t>.</w:t>
      </w:r>
      <w:r w:rsidRPr="00285D2D">
        <w:tab/>
      </w:r>
      <w:r>
        <w:rPr>
          <w:i/>
          <w:iCs/>
        </w:rPr>
        <w:t xml:space="preserve">Further takes note </w:t>
      </w:r>
      <w:r w:rsidRPr="00D222A2">
        <w:t>of the Amazon Regional Observatory</w:t>
      </w:r>
      <w:r w:rsidRPr="00610646">
        <w:rPr>
          <w:rStyle w:val="FootnoteReference"/>
        </w:rPr>
        <w:footnoteReference w:id="298"/>
      </w:r>
      <w:r>
        <w:t xml:space="preserve"> </w:t>
      </w:r>
      <w:r w:rsidRPr="00D222A2">
        <w:t>of the Amazon Cooperation Treaty Organization</w:t>
      </w:r>
      <w:r>
        <w:t xml:space="preserve">, </w:t>
      </w:r>
      <w:r w:rsidRPr="00D222A2">
        <w:t xml:space="preserve">which includes information and data for conservation and sustainable use of biodiversity, and </w:t>
      </w:r>
      <w:r w:rsidRPr="00285D2D">
        <w:t>invites</w:t>
      </w:r>
      <w:r w:rsidRPr="00D222A2">
        <w:rPr>
          <w:i/>
          <w:iCs/>
        </w:rPr>
        <w:t xml:space="preserve"> </w:t>
      </w:r>
      <w:r w:rsidRPr="00D222A2">
        <w:t>donors and multilateral organizations to provide international cooperation for strengthening these initiatives</w:t>
      </w:r>
      <w:r>
        <w:t>,</w:t>
      </w:r>
      <w:r w:rsidRPr="00D222A2">
        <w:t xml:space="preserve"> as well as other relevant knowledge platforms;</w:t>
      </w:r>
      <w:r>
        <w:t xml:space="preserve"> </w:t>
      </w:r>
    </w:p>
    <w:p w14:paraId="6D16B33F" w14:textId="388562CF" w:rsidR="0050667D" w:rsidRPr="00FA3FC5" w:rsidRDefault="0050667D" w:rsidP="001F32EB">
      <w:pPr>
        <w:pStyle w:val="Para1"/>
        <w:numPr>
          <w:ilvl w:val="0"/>
          <w:numId w:val="0"/>
        </w:numPr>
        <w:suppressLineNumbers/>
        <w:tabs>
          <w:tab w:val="left" w:pos="360"/>
        </w:tabs>
        <w:suppressAutoHyphens/>
        <w:kinsoku w:val="0"/>
        <w:adjustRightInd w:val="0"/>
        <w:ind w:firstLine="720"/>
      </w:pPr>
      <w:r>
        <w:t>5</w:t>
      </w:r>
      <w:r w:rsidRPr="00FE0CDA">
        <w:t>.</w:t>
      </w:r>
      <w:r w:rsidRPr="00FE0CDA">
        <w:tab/>
      </w:r>
      <w:r w:rsidRPr="00D222A2">
        <w:rPr>
          <w:i/>
          <w:iCs/>
        </w:rPr>
        <w:t xml:space="preserve">Takes note </w:t>
      </w:r>
      <w:r w:rsidRPr="00D222A2">
        <w:t>of the progress made in the implementation of the work programme for the clearing-house mechanism in support of the Strategic Plan for Biodiversity 2011</w:t>
      </w:r>
      <w:r>
        <w:t>–</w:t>
      </w:r>
      <w:r w:rsidRPr="00D222A2">
        <w:t>2020,</w:t>
      </w:r>
      <w:r w:rsidRPr="00131933">
        <w:rPr>
          <w:vertAlign w:val="superscript"/>
        </w:rPr>
        <w:fldChar w:fldCharType="begin"/>
      </w:r>
      <w:r w:rsidRPr="00D222A2">
        <w:rPr>
          <w:vertAlign w:val="superscript"/>
        </w:rPr>
        <w:instrText xml:space="preserve"> NOTEREF _Ref73016091 \h  \* MERGEFORMAT </w:instrText>
      </w:r>
      <w:r w:rsidRPr="00131933">
        <w:rPr>
          <w:vertAlign w:val="superscript"/>
        </w:rPr>
      </w:r>
      <w:r w:rsidRPr="00131933">
        <w:rPr>
          <w:vertAlign w:val="superscript"/>
        </w:rPr>
        <w:fldChar w:fldCharType="separate"/>
      </w:r>
      <w:r w:rsidR="00B54ED0">
        <w:rPr>
          <w:vertAlign w:val="superscript"/>
        </w:rPr>
        <w:t>1</w:t>
      </w:r>
      <w:r w:rsidRPr="00131933">
        <w:rPr>
          <w:vertAlign w:val="superscript"/>
        </w:rPr>
        <w:fldChar w:fldCharType="end"/>
      </w:r>
      <w:r w:rsidRPr="00D222A2">
        <w:t xml:space="preserve"> and the draft elements of a post-2020 work programme for the clearing-house mechanism, outlined in the note by the Executive Secretary;</w:t>
      </w:r>
      <w:r w:rsidRPr="00610646">
        <w:rPr>
          <w:rStyle w:val="FootnoteReference"/>
        </w:rPr>
        <w:footnoteReference w:id="299"/>
      </w:r>
      <w:r>
        <w:t xml:space="preserve"> </w:t>
      </w:r>
    </w:p>
    <w:p w14:paraId="1AE7588C" w14:textId="77777777" w:rsidR="0050667D" w:rsidRPr="00393BD8" w:rsidRDefault="0050667D" w:rsidP="001F32EB">
      <w:pPr>
        <w:pStyle w:val="Para1"/>
        <w:numPr>
          <w:ilvl w:val="0"/>
          <w:numId w:val="0"/>
        </w:numPr>
        <w:suppressLineNumbers/>
        <w:tabs>
          <w:tab w:val="left" w:pos="360"/>
        </w:tabs>
        <w:suppressAutoHyphens/>
        <w:kinsoku w:val="0"/>
        <w:adjustRightInd w:val="0"/>
        <w:ind w:firstLine="720"/>
      </w:pPr>
      <w:r>
        <w:t>6</w:t>
      </w:r>
      <w:r w:rsidRPr="00FE0CDA">
        <w:t>.</w:t>
      </w:r>
      <w:r w:rsidRPr="00285D2D">
        <w:tab/>
      </w:r>
      <w:r w:rsidRPr="00393BD8">
        <w:rPr>
          <w:i/>
          <w:iCs/>
        </w:rPr>
        <w:t>Decides</w:t>
      </w:r>
      <w:r w:rsidRPr="00393BD8">
        <w:t> to extend the work programme of the clearing-house mechanism for the period 2021</w:t>
      </w:r>
      <w:r>
        <w:t>–</w:t>
      </w:r>
      <w:r w:rsidRPr="00393BD8">
        <w:t>2030</w:t>
      </w:r>
      <w:r>
        <w:t>,</w:t>
      </w:r>
      <w:r w:rsidRPr="00393BD8">
        <w:t xml:space="preserve"> and to update it in line with the </w:t>
      </w:r>
      <w:r>
        <w:t>Montreal-Kunming</w:t>
      </w:r>
      <w:r w:rsidRPr="00393BD8">
        <w:t xml:space="preserve"> </w:t>
      </w:r>
      <w:r>
        <w:t>G</w:t>
      </w:r>
      <w:r w:rsidRPr="00393BD8">
        <w:t xml:space="preserve">lobal </w:t>
      </w:r>
      <w:r>
        <w:t>B</w:t>
      </w:r>
      <w:r w:rsidRPr="00393BD8">
        <w:t xml:space="preserve">iodiversity </w:t>
      </w:r>
      <w:r>
        <w:t>F</w:t>
      </w:r>
      <w:r w:rsidRPr="00393BD8">
        <w:t>ramework and relevant decisions</w:t>
      </w:r>
      <w:r>
        <w:t>, mechanisms and strategies</w:t>
      </w:r>
      <w:r w:rsidRPr="00393BD8">
        <w:t xml:space="preserve"> </w:t>
      </w:r>
      <w:r>
        <w:t xml:space="preserve">for consideration by the Conference of the Parties at its sixteenth meeting with a view to its adoption; </w:t>
      </w:r>
    </w:p>
    <w:p w14:paraId="383CB2A0" w14:textId="77777777" w:rsidR="0050667D" w:rsidRPr="00765C94" w:rsidRDefault="0050667D" w:rsidP="001F32EB">
      <w:pPr>
        <w:pStyle w:val="Para1"/>
        <w:numPr>
          <w:ilvl w:val="0"/>
          <w:numId w:val="0"/>
        </w:numPr>
        <w:suppressLineNumbers/>
        <w:tabs>
          <w:tab w:val="left" w:pos="360"/>
        </w:tabs>
        <w:suppressAutoHyphens/>
        <w:kinsoku w:val="0"/>
        <w:adjustRightInd w:val="0"/>
        <w:ind w:firstLine="720"/>
      </w:pPr>
      <w:r w:rsidRPr="00765C94">
        <w:t>7.</w:t>
      </w:r>
      <w:r w:rsidRPr="00765C94">
        <w:tab/>
      </w:r>
      <w:r w:rsidRPr="00765C94">
        <w:rPr>
          <w:i/>
          <w:iCs/>
        </w:rPr>
        <w:t xml:space="preserve">Requests </w:t>
      </w:r>
      <w:r w:rsidRPr="00765C94">
        <w:t xml:space="preserve">the </w:t>
      </w:r>
      <w:r>
        <w:t>I</w:t>
      </w:r>
      <w:r w:rsidRPr="00765C94">
        <w:t xml:space="preserve">nformal </w:t>
      </w:r>
      <w:r>
        <w:t>A</w:t>
      </w:r>
      <w:r w:rsidRPr="00765C94">
        <w:t xml:space="preserve">dvisory </w:t>
      </w:r>
      <w:r>
        <w:t>G</w:t>
      </w:r>
      <w:r w:rsidRPr="00765C94">
        <w:t xml:space="preserve">roup on </w:t>
      </w:r>
      <w:r>
        <w:t>T</w:t>
      </w:r>
      <w:r w:rsidRPr="00765C94">
        <w:t xml:space="preserve">echnical and </w:t>
      </w:r>
      <w:r>
        <w:t>S</w:t>
      </w:r>
      <w:r w:rsidRPr="00765C94">
        <w:t xml:space="preserve">cientific </w:t>
      </w:r>
      <w:r>
        <w:t>C</w:t>
      </w:r>
      <w:r w:rsidRPr="00765C94">
        <w:t>ooperation,</w:t>
      </w:r>
      <w:r w:rsidRPr="00610646">
        <w:rPr>
          <w:rStyle w:val="FootnoteReference"/>
        </w:rPr>
        <w:footnoteReference w:id="300"/>
      </w:r>
      <w:r w:rsidRPr="00765C94">
        <w:t xml:space="preserve"> as per its mandate, to provide the Executive Secretary with advice on the development and implementation of the work programme for the clearing-house mechanism in support of the Kunming-Montreal Global Biodiversity Framework; </w:t>
      </w:r>
    </w:p>
    <w:p w14:paraId="0B9D6DB5" w14:textId="77777777" w:rsidR="0050667D" w:rsidRPr="00393BD8" w:rsidRDefault="0050667D" w:rsidP="001F32EB">
      <w:pPr>
        <w:pStyle w:val="Para1"/>
        <w:numPr>
          <w:ilvl w:val="0"/>
          <w:numId w:val="0"/>
        </w:numPr>
        <w:suppressLineNumbers/>
        <w:tabs>
          <w:tab w:val="left" w:pos="360"/>
        </w:tabs>
        <w:suppressAutoHyphens/>
        <w:kinsoku w:val="0"/>
        <w:adjustRightInd w:val="0"/>
        <w:ind w:firstLine="720"/>
        <w:rPr>
          <w:szCs w:val="24"/>
        </w:rPr>
      </w:pPr>
      <w:r w:rsidRPr="00765C94">
        <w:rPr>
          <w:szCs w:val="24"/>
        </w:rPr>
        <w:t>8.</w:t>
      </w:r>
      <w:r w:rsidRPr="00765C94">
        <w:rPr>
          <w:szCs w:val="24"/>
        </w:rPr>
        <w:tab/>
      </w:r>
      <w:r w:rsidRPr="00765C94">
        <w:rPr>
          <w:i/>
          <w:iCs/>
        </w:rPr>
        <w:t xml:space="preserve">Urges </w:t>
      </w:r>
      <w:r w:rsidRPr="00765C94">
        <w:t xml:space="preserve">Parties, and </w:t>
      </w:r>
      <w:r w:rsidRPr="005163FD">
        <w:t>invites</w:t>
      </w:r>
      <w:r w:rsidRPr="00765C94">
        <w:t xml:space="preserve"> other Gover</w:t>
      </w:r>
      <w:r w:rsidRPr="00393BD8">
        <w:t>nments and relevant organizations, as appropriate, to continue providing financial, technical and human resources support to enable developing country Parties</w:t>
      </w:r>
      <w:r>
        <w:t>, in particular the least developed countries and small island developing States,</w:t>
      </w:r>
      <w:r w:rsidRPr="00393BD8">
        <w:t xml:space="preserve"> and </w:t>
      </w:r>
      <w:r>
        <w:t xml:space="preserve">countries </w:t>
      </w:r>
      <w:r w:rsidRPr="00393BD8">
        <w:t>with economies in transition</w:t>
      </w:r>
      <w:r>
        <w:t>,</w:t>
      </w:r>
      <w:r w:rsidRPr="00393BD8">
        <w:t xml:space="preserve"> to strengthen their national clearing-house mechanisms, and to develop or upgrade their national clearing-house mechanism websites using the </w:t>
      </w:r>
      <w:r w:rsidRPr="00393BD8">
        <w:rPr>
          <w:szCs w:val="24"/>
        </w:rPr>
        <w:t>Bioland tool, as appropriate and in accordance with national priorities and circumstances;</w:t>
      </w:r>
      <w:r>
        <w:rPr>
          <w:szCs w:val="24"/>
        </w:rPr>
        <w:t xml:space="preserve"> </w:t>
      </w:r>
    </w:p>
    <w:p w14:paraId="31867A78" w14:textId="77777777" w:rsidR="0050667D" w:rsidRPr="00FA3FC5" w:rsidRDefault="0050667D" w:rsidP="001F32EB">
      <w:pPr>
        <w:pStyle w:val="Para1"/>
        <w:keepNext/>
        <w:numPr>
          <w:ilvl w:val="0"/>
          <w:numId w:val="0"/>
        </w:numPr>
        <w:suppressLineNumbers/>
        <w:tabs>
          <w:tab w:val="left" w:pos="360"/>
        </w:tabs>
        <w:suppressAutoHyphens/>
        <w:kinsoku w:val="0"/>
        <w:adjustRightInd w:val="0"/>
        <w:ind w:firstLine="720"/>
      </w:pPr>
      <w:r>
        <w:t>9</w:t>
      </w:r>
      <w:r w:rsidRPr="00FE0CDA">
        <w:t>.</w:t>
      </w:r>
      <w:r w:rsidRPr="00FE0CDA">
        <w:tab/>
      </w:r>
      <w:r w:rsidRPr="00393BD8">
        <w:rPr>
          <w:i/>
          <w:iCs/>
        </w:rPr>
        <w:t xml:space="preserve">Requests </w:t>
      </w:r>
      <w:r w:rsidRPr="00393BD8">
        <w:t>the Executive</w:t>
      </w:r>
      <w:r w:rsidRPr="00FA3FC5">
        <w:t xml:space="preserve"> Secretary, subject to the availability of resources:</w:t>
      </w:r>
      <w:r>
        <w:t xml:space="preserve"> </w:t>
      </w:r>
    </w:p>
    <w:p w14:paraId="0F150C89" w14:textId="77777777" w:rsidR="0050667D" w:rsidRPr="00FA3FC5" w:rsidRDefault="0050667D" w:rsidP="001F32EB">
      <w:pPr>
        <w:suppressLineNumbers/>
        <w:tabs>
          <w:tab w:val="left" w:pos="1440"/>
        </w:tabs>
        <w:suppressAutoHyphens/>
        <w:kinsoku w:val="0"/>
        <w:overflowPunct w:val="0"/>
        <w:autoSpaceDE w:val="0"/>
        <w:autoSpaceDN w:val="0"/>
        <w:adjustRightInd w:val="0"/>
        <w:snapToGrid w:val="0"/>
        <w:spacing w:before="120" w:after="120"/>
        <w:ind w:firstLine="720"/>
      </w:pPr>
      <w:r>
        <w:rPr>
          <w:snapToGrid w:val="0"/>
          <w:kern w:val="22"/>
        </w:rPr>
        <w:t>(a)</w:t>
      </w:r>
      <w:r>
        <w:rPr>
          <w:snapToGrid w:val="0"/>
          <w:kern w:val="22"/>
        </w:rPr>
        <w:tab/>
        <w:t>To further develop, in collaboration with Parties and relevant organizations and with the support of the Informal Advisory Group on Technical and Scientific Cooperation, the draft knowledge management component of the Kunming-Montreal Global Biodiversity Framework</w:t>
      </w:r>
      <w:r w:rsidRPr="00610646">
        <w:rPr>
          <w:rStyle w:val="FootnoteReference"/>
        </w:rPr>
        <w:footnoteReference w:id="301"/>
      </w:r>
      <w:r>
        <w:rPr>
          <w:snapToGrid w:val="0"/>
          <w:kern w:val="22"/>
        </w:rPr>
        <w:t xml:space="preserve"> for peer review by Parties and for review by the Open-ended Working Group on Article 8(j) and Related Provisions at its twelfth meeting, and for consideration by the Subsidiary Body on Implementation at its fourth meeting and by the Conference of the Parties at its sixteenth meeting, with a view to its adoption; </w:t>
      </w:r>
    </w:p>
    <w:p w14:paraId="358EAD6D" w14:textId="77777777" w:rsidR="0050667D" w:rsidRPr="00285D2D" w:rsidRDefault="0050667D" w:rsidP="001F32EB">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t>(b)</w:t>
      </w:r>
      <w:r w:rsidRPr="00FA3FC5">
        <w:rPr>
          <w:snapToGrid w:val="0"/>
          <w:kern w:val="22"/>
        </w:rPr>
        <w:tab/>
      </w:r>
      <w:r w:rsidRPr="00285D2D">
        <w:rPr>
          <w:snapToGrid w:val="0"/>
          <w:kern w:val="22"/>
        </w:rPr>
        <w:t xml:space="preserve">To continue to facilitate the efforts of </w:t>
      </w:r>
      <w:r w:rsidRPr="001F4782">
        <w:rPr>
          <w:snapToGrid w:val="0"/>
          <w:kern w:val="22"/>
        </w:rPr>
        <w:t>Parties to establish, sustain and further develop their</w:t>
      </w:r>
      <w:r w:rsidRPr="00285D2D">
        <w:rPr>
          <w:snapToGrid w:val="0"/>
          <w:kern w:val="22"/>
        </w:rPr>
        <w:t xml:space="preserve"> national clearing-house mechanisms, including through</w:t>
      </w:r>
      <w:r>
        <w:rPr>
          <w:snapToGrid w:val="0"/>
          <w:kern w:val="22"/>
        </w:rPr>
        <w:t xml:space="preserve">: </w:t>
      </w:r>
    </w:p>
    <w:p w14:paraId="3D9FF747" w14:textId="77777777" w:rsidR="0050667D" w:rsidRPr="00285D2D" w:rsidRDefault="0050667D" w:rsidP="001F4782">
      <w:pPr>
        <w:suppressLineNumbers/>
        <w:suppressAutoHyphens/>
        <w:kinsoku w:val="0"/>
        <w:overflowPunct w:val="0"/>
        <w:autoSpaceDE w:val="0"/>
        <w:autoSpaceDN w:val="0"/>
        <w:adjustRightInd w:val="0"/>
        <w:snapToGrid w:val="0"/>
        <w:spacing w:before="120" w:after="120"/>
        <w:ind w:left="1843" w:hanging="471"/>
        <w:rPr>
          <w:snapToGrid w:val="0"/>
          <w:kern w:val="22"/>
        </w:rPr>
      </w:pPr>
      <w:r w:rsidRPr="00FA3FC5">
        <w:rPr>
          <w:snapToGrid w:val="0"/>
          <w:kern w:val="22"/>
        </w:rPr>
        <w:t>(i)</w:t>
      </w:r>
      <w:r w:rsidRPr="00FA3FC5">
        <w:rPr>
          <w:snapToGrid w:val="0"/>
          <w:kern w:val="22"/>
        </w:rPr>
        <w:tab/>
      </w:r>
      <w:r w:rsidRPr="00285D2D">
        <w:rPr>
          <w:snapToGrid w:val="0"/>
          <w:kern w:val="22"/>
        </w:rPr>
        <w:t>Further development of the Bioland tool in response to the needs of Parties and users</w:t>
      </w:r>
      <w:r>
        <w:rPr>
          <w:snapToGrid w:val="0"/>
          <w:kern w:val="22"/>
        </w:rPr>
        <w:t>,</w:t>
      </w:r>
      <w:r w:rsidRPr="00285D2D">
        <w:rPr>
          <w:snapToGrid w:val="0"/>
          <w:kern w:val="22"/>
        </w:rPr>
        <w:t xml:space="preserve"> and relevant technological developments;</w:t>
      </w:r>
    </w:p>
    <w:p w14:paraId="3CDE3FFA" w14:textId="77777777" w:rsidR="0050667D" w:rsidRPr="00285D2D" w:rsidRDefault="0050667D" w:rsidP="001F4782">
      <w:pPr>
        <w:suppressLineNumbers/>
        <w:suppressAutoHyphens/>
        <w:kinsoku w:val="0"/>
        <w:overflowPunct w:val="0"/>
        <w:autoSpaceDE w:val="0"/>
        <w:autoSpaceDN w:val="0"/>
        <w:adjustRightInd w:val="0"/>
        <w:snapToGrid w:val="0"/>
        <w:spacing w:before="120" w:after="120"/>
        <w:ind w:left="1843" w:hanging="471"/>
        <w:rPr>
          <w:snapToGrid w:val="0"/>
          <w:kern w:val="22"/>
        </w:rPr>
      </w:pPr>
      <w:r w:rsidRPr="00FA3FC5">
        <w:rPr>
          <w:snapToGrid w:val="0"/>
          <w:kern w:val="22"/>
        </w:rPr>
        <w:t>(ii)</w:t>
      </w:r>
      <w:r w:rsidRPr="00FA3FC5">
        <w:rPr>
          <w:snapToGrid w:val="0"/>
          <w:kern w:val="22"/>
        </w:rPr>
        <w:tab/>
      </w:r>
      <w:r w:rsidRPr="00285D2D">
        <w:rPr>
          <w:snapToGrid w:val="0"/>
          <w:kern w:val="22"/>
        </w:rPr>
        <w:t>Development of training and guidance material on the use of the Bioland tool</w:t>
      </w:r>
      <w:r>
        <w:rPr>
          <w:snapToGrid w:val="0"/>
          <w:kern w:val="22"/>
        </w:rPr>
        <w:t>,</w:t>
      </w:r>
      <w:r w:rsidRPr="00285D2D">
        <w:rPr>
          <w:snapToGrid w:val="0"/>
          <w:kern w:val="22"/>
        </w:rPr>
        <w:t xml:space="preserve"> in collaboration with Parties and users;</w:t>
      </w:r>
    </w:p>
    <w:p w14:paraId="354923DA" w14:textId="77777777" w:rsidR="0050667D" w:rsidRPr="00285D2D" w:rsidRDefault="0050667D" w:rsidP="001F4782">
      <w:pPr>
        <w:suppressLineNumbers/>
        <w:suppressAutoHyphens/>
        <w:kinsoku w:val="0"/>
        <w:overflowPunct w:val="0"/>
        <w:autoSpaceDE w:val="0"/>
        <w:autoSpaceDN w:val="0"/>
        <w:adjustRightInd w:val="0"/>
        <w:snapToGrid w:val="0"/>
        <w:spacing w:before="120" w:after="120"/>
        <w:ind w:left="1843" w:hanging="471"/>
        <w:rPr>
          <w:snapToGrid w:val="0"/>
          <w:kern w:val="22"/>
        </w:rPr>
      </w:pPr>
      <w:r w:rsidRPr="00FA3FC5">
        <w:rPr>
          <w:snapToGrid w:val="0"/>
          <w:kern w:val="22"/>
        </w:rPr>
        <w:t>(iii)</w:t>
      </w:r>
      <w:r w:rsidRPr="00FA3FC5">
        <w:rPr>
          <w:snapToGrid w:val="0"/>
          <w:kern w:val="22"/>
        </w:rPr>
        <w:tab/>
      </w:r>
      <w:r w:rsidRPr="00285D2D">
        <w:rPr>
          <w:snapToGrid w:val="0"/>
          <w:kern w:val="22"/>
        </w:rPr>
        <w:t>Development of guidance for the national focal points to the clearing-house mechanism on the coordination of activities related to the clearing-house mechanism at the national level</w:t>
      </w:r>
      <w:r>
        <w:rPr>
          <w:snapToGrid w:val="0"/>
          <w:kern w:val="22"/>
        </w:rPr>
        <w:t>,</w:t>
      </w:r>
      <w:r w:rsidRPr="00285D2D">
        <w:rPr>
          <w:snapToGrid w:val="0"/>
          <w:kern w:val="22"/>
        </w:rPr>
        <w:t xml:space="preserve"> to support effective implementation of national biodiversity strategies and action plans;</w:t>
      </w:r>
    </w:p>
    <w:p w14:paraId="51F1275A" w14:textId="77777777" w:rsidR="0050667D" w:rsidRPr="00285D2D" w:rsidRDefault="0050667D" w:rsidP="001F4782">
      <w:pPr>
        <w:suppressLineNumbers/>
        <w:suppressAutoHyphens/>
        <w:kinsoku w:val="0"/>
        <w:overflowPunct w:val="0"/>
        <w:autoSpaceDE w:val="0"/>
        <w:autoSpaceDN w:val="0"/>
        <w:adjustRightInd w:val="0"/>
        <w:snapToGrid w:val="0"/>
        <w:spacing w:before="120" w:after="120"/>
        <w:ind w:left="1843" w:hanging="471"/>
        <w:rPr>
          <w:snapToGrid w:val="0"/>
          <w:kern w:val="22"/>
        </w:rPr>
      </w:pPr>
      <w:r w:rsidRPr="00FA3FC5">
        <w:rPr>
          <w:snapToGrid w:val="0"/>
          <w:kern w:val="22"/>
        </w:rPr>
        <w:t>(iv)</w:t>
      </w:r>
      <w:r w:rsidRPr="00FA3FC5">
        <w:rPr>
          <w:snapToGrid w:val="0"/>
          <w:kern w:val="22"/>
        </w:rPr>
        <w:tab/>
      </w:r>
      <w:r w:rsidRPr="00285D2D">
        <w:rPr>
          <w:snapToGrid w:val="0"/>
          <w:kern w:val="22"/>
        </w:rPr>
        <w:t>Development of Bioland instances for Parties that have not yet established a national clearing-house mechanism website, using the information provided on the respective country profile pages on the Convention website, for their review and further development;</w:t>
      </w:r>
    </w:p>
    <w:p w14:paraId="2B7F9AA3" w14:textId="77777777" w:rsidR="0050667D" w:rsidRPr="00285D2D" w:rsidRDefault="0050667D" w:rsidP="001F4782">
      <w:pPr>
        <w:suppressLineNumbers/>
        <w:suppressAutoHyphens/>
        <w:kinsoku w:val="0"/>
        <w:overflowPunct w:val="0"/>
        <w:autoSpaceDE w:val="0"/>
        <w:autoSpaceDN w:val="0"/>
        <w:adjustRightInd w:val="0"/>
        <w:snapToGrid w:val="0"/>
        <w:spacing w:before="120" w:after="120"/>
        <w:ind w:left="1843" w:hanging="471"/>
        <w:rPr>
          <w:snapToGrid w:val="0"/>
          <w:kern w:val="22"/>
        </w:rPr>
      </w:pPr>
      <w:r w:rsidRPr="00FA3FC5">
        <w:rPr>
          <w:snapToGrid w:val="0"/>
          <w:kern w:val="22"/>
        </w:rPr>
        <w:t>(v)</w:t>
      </w:r>
      <w:r w:rsidRPr="00FA3FC5">
        <w:rPr>
          <w:snapToGrid w:val="0"/>
          <w:kern w:val="22"/>
        </w:rPr>
        <w:tab/>
      </w:r>
      <w:r w:rsidRPr="00285D2D">
        <w:rPr>
          <w:snapToGrid w:val="0"/>
          <w:kern w:val="22"/>
        </w:rPr>
        <w:t>Continuation of the award for national clearing-house mechanisms until 2030</w:t>
      </w:r>
      <w:r>
        <w:rPr>
          <w:snapToGrid w:val="0"/>
          <w:kern w:val="22"/>
        </w:rPr>
        <w:t>;</w:t>
      </w:r>
    </w:p>
    <w:p w14:paraId="595C2B1E" w14:textId="77777777" w:rsidR="0050667D" w:rsidRPr="00285D2D" w:rsidRDefault="0050667D" w:rsidP="001F32EB">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t>(c)</w:t>
      </w:r>
      <w:r w:rsidRPr="00FA3FC5">
        <w:rPr>
          <w:snapToGrid w:val="0"/>
          <w:kern w:val="22"/>
        </w:rPr>
        <w:tab/>
      </w:r>
      <w:r w:rsidRPr="00285D2D">
        <w:rPr>
          <w:snapToGrid w:val="0"/>
          <w:kern w:val="22"/>
        </w:rPr>
        <w:t>To further develop the central clearing-house mechanism</w:t>
      </w:r>
      <w:r>
        <w:rPr>
          <w:snapToGrid w:val="0"/>
          <w:kern w:val="22"/>
        </w:rPr>
        <w:t xml:space="preserve"> portal</w:t>
      </w:r>
      <w:r w:rsidRPr="00285D2D">
        <w:rPr>
          <w:snapToGrid w:val="0"/>
          <w:kern w:val="22"/>
        </w:rPr>
        <w:t xml:space="preserve"> to promote and facilitate technical and scientific cooperation, knowledge management, communication and enhanced planning, implementation, monitoring, reporting and review processes;</w:t>
      </w:r>
      <w:r>
        <w:rPr>
          <w:snapToGrid w:val="0"/>
          <w:kern w:val="22"/>
        </w:rPr>
        <w:t xml:space="preserve"> </w:t>
      </w:r>
    </w:p>
    <w:p w14:paraId="3FEEF7D0" w14:textId="77777777" w:rsidR="0050667D" w:rsidRPr="00FE0CDA" w:rsidRDefault="0050667D" w:rsidP="001F32EB">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t>(d)</w:t>
      </w:r>
      <w:r w:rsidRPr="00FA3FC5">
        <w:rPr>
          <w:snapToGrid w:val="0"/>
          <w:kern w:val="22"/>
        </w:rPr>
        <w:tab/>
      </w:r>
      <w:r w:rsidRPr="00285D2D">
        <w:rPr>
          <w:snapToGrid w:val="0"/>
          <w:kern w:val="22"/>
        </w:rPr>
        <w:t>To continue collaboration with relevant initiatives, organizations and networks supporting the generation, capture, management and effective use of biodiversity-related data, information and knowledge</w:t>
      </w:r>
      <w:r>
        <w:rPr>
          <w:snapToGrid w:val="0"/>
          <w:kern w:val="22"/>
        </w:rPr>
        <w:t xml:space="preserve">, including, as appropriate, the </w:t>
      </w:r>
      <w:r w:rsidRPr="00285D2D">
        <w:rPr>
          <w:snapToGrid w:val="0"/>
          <w:kern w:val="22"/>
        </w:rPr>
        <w:t xml:space="preserve">United Nations Environment Programme World Conservation and Monitoring Centre, </w:t>
      </w:r>
      <w:r>
        <w:rPr>
          <w:snapToGrid w:val="0"/>
          <w:kern w:val="22"/>
        </w:rPr>
        <w:t xml:space="preserve">the </w:t>
      </w:r>
      <w:r w:rsidRPr="00285D2D">
        <w:rPr>
          <w:snapToGrid w:val="0"/>
          <w:kern w:val="22"/>
        </w:rPr>
        <w:t xml:space="preserve">Global Biodiversity Information Facility, the Group on Earth Observations Biodiversity Observation </w:t>
      </w:r>
      <w:r w:rsidRPr="00FE0CDA">
        <w:rPr>
          <w:snapToGrid w:val="0"/>
          <w:kern w:val="22"/>
        </w:rPr>
        <w:t xml:space="preserve">Network, </w:t>
      </w:r>
      <w:r>
        <w:rPr>
          <w:snapToGrid w:val="0"/>
          <w:kern w:val="22"/>
        </w:rPr>
        <w:t xml:space="preserve">the </w:t>
      </w:r>
      <w:r w:rsidRPr="00FE0CDA">
        <w:rPr>
          <w:snapToGrid w:val="0"/>
          <w:kern w:val="22"/>
        </w:rPr>
        <w:t xml:space="preserve">International Union for Conservation of Nature, </w:t>
      </w:r>
      <w:r>
        <w:rPr>
          <w:snapToGrid w:val="0"/>
          <w:kern w:val="22"/>
        </w:rPr>
        <w:t xml:space="preserve">the </w:t>
      </w:r>
      <w:r w:rsidRPr="00FE0CDA">
        <w:rPr>
          <w:snapToGrid w:val="0"/>
          <w:kern w:val="22"/>
        </w:rPr>
        <w:t xml:space="preserve">Intergovernmental Science-Policy Platform on Biodiversity and Ecosystem Services, the </w:t>
      </w:r>
      <w:r>
        <w:rPr>
          <w:snapToGrid w:val="0"/>
          <w:kern w:val="22"/>
        </w:rPr>
        <w:t xml:space="preserve">United Nations </w:t>
      </w:r>
      <w:r w:rsidRPr="00FE0CDA">
        <w:rPr>
          <w:snapToGrid w:val="0"/>
          <w:kern w:val="22"/>
        </w:rPr>
        <w:t xml:space="preserve">Information Portal on Multilateral Environmental Agreements (InforMEA) and the Data Reporting Tool </w:t>
      </w:r>
      <w:r>
        <w:rPr>
          <w:snapToGrid w:val="0"/>
          <w:kern w:val="22"/>
        </w:rPr>
        <w:t xml:space="preserve">for MEAs </w:t>
      </w:r>
      <w:r w:rsidRPr="00FE0CDA">
        <w:rPr>
          <w:snapToGrid w:val="0"/>
          <w:kern w:val="22"/>
        </w:rPr>
        <w:t>(DaRT)</w:t>
      </w:r>
      <w:r>
        <w:rPr>
          <w:snapToGrid w:val="0"/>
          <w:kern w:val="22"/>
        </w:rPr>
        <w:t xml:space="preserve">, </w:t>
      </w:r>
      <w:r w:rsidRPr="00285D2D">
        <w:rPr>
          <w:snapToGrid w:val="0"/>
          <w:kern w:val="22"/>
        </w:rPr>
        <w:t>among others</w:t>
      </w:r>
      <w:r w:rsidRPr="00FE0CDA">
        <w:rPr>
          <w:snapToGrid w:val="0"/>
          <w:kern w:val="22"/>
        </w:rPr>
        <w:t>;</w:t>
      </w:r>
      <w:r>
        <w:rPr>
          <w:snapToGrid w:val="0"/>
          <w:kern w:val="22"/>
        </w:rPr>
        <w:t xml:space="preserve"> </w:t>
      </w:r>
    </w:p>
    <w:p w14:paraId="4DA5BF34" w14:textId="77777777" w:rsidR="0050667D" w:rsidRPr="00FE0CDA" w:rsidRDefault="0050667D" w:rsidP="001F32EB">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t>(e)</w:t>
      </w:r>
      <w:r w:rsidRPr="00FA3FC5">
        <w:rPr>
          <w:snapToGrid w:val="0"/>
          <w:kern w:val="22"/>
        </w:rPr>
        <w:tab/>
      </w:r>
      <w:r w:rsidRPr="00FE0CDA">
        <w:rPr>
          <w:snapToGrid w:val="0"/>
          <w:kern w:val="22"/>
        </w:rPr>
        <w:t>To promote the use of relevant digital technologies to, among other things, assist Parties in the improvement of national capacities for the discovery, collection, analysis, aggregation, storage, accessibility, searchability, visualization and exchange of biodiversity-related data, information and knowledge, as appropriate;</w:t>
      </w:r>
      <w:r>
        <w:rPr>
          <w:snapToGrid w:val="0"/>
          <w:kern w:val="22"/>
        </w:rPr>
        <w:t xml:space="preserve"> </w:t>
      </w:r>
    </w:p>
    <w:p w14:paraId="6AA50328" w14:textId="77777777" w:rsidR="0050667D" w:rsidRPr="00FE0CDA" w:rsidRDefault="0050667D" w:rsidP="001F32EB">
      <w:pPr>
        <w:suppressLineNumbers/>
        <w:tabs>
          <w:tab w:val="left" w:pos="1440"/>
        </w:tabs>
        <w:suppressAutoHyphens/>
        <w:kinsoku w:val="0"/>
        <w:overflowPunct w:val="0"/>
        <w:autoSpaceDE w:val="0"/>
        <w:autoSpaceDN w:val="0"/>
        <w:adjustRightInd w:val="0"/>
        <w:snapToGrid w:val="0"/>
        <w:spacing w:before="120" w:after="120"/>
        <w:ind w:firstLine="720"/>
        <w:rPr>
          <w:snapToGrid w:val="0"/>
          <w:kern w:val="22"/>
        </w:rPr>
      </w:pPr>
      <w:r w:rsidRPr="00FA3FC5">
        <w:rPr>
          <w:snapToGrid w:val="0"/>
          <w:kern w:val="22"/>
        </w:rPr>
        <w:t>(f)</w:t>
      </w:r>
      <w:r w:rsidRPr="00FA3FC5">
        <w:rPr>
          <w:snapToGrid w:val="0"/>
          <w:kern w:val="22"/>
        </w:rPr>
        <w:tab/>
      </w:r>
      <w:r w:rsidRPr="00FE0CDA">
        <w:rPr>
          <w:snapToGrid w:val="0"/>
          <w:kern w:val="22"/>
        </w:rPr>
        <w:t xml:space="preserve">To prepare, in collaboration with the </w:t>
      </w:r>
      <w:r>
        <w:rPr>
          <w:snapToGrid w:val="0"/>
          <w:kern w:val="22"/>
        </w:rPr>
        <w:t>I</w:t>
      </w:r>
      <w:r w:rsidRPr="00FE0CDA">
        <w:rPr>
          <w:snapToGrid w:val="0"/>
          <w:kern w:val="22"/>
        </w:rPr>
        <w:t xml:space="preserve">nformal </w:t>
      </w:r>
      <w:r>
        <w:rPr>
          <w:snapToGrid w:val="0"/>
          <w:kern w:val="22"/>
        </w:rPr>
        <w:t>A</w:t>
      </w:r>
      <w:r w:rsidRPr="00FE0CDA">
        <w:rPr>
          <w:snapToGrid w:val="0"/>
          <w:kern w:val="22"/>
        </w:rPr>
        <w:t xml:space="preserve">dvisory </w:t>
      </w:r>
      <w:r>
        <w:rPr>
          <w:snapToGrid w:val="0"/>
          <w:kern w:val="22"/>
        </w:rPr>
        <w:t>G</w:t>
      </w:r>
      <w:r w:rsidRPr="00FE0CDA">
        <w:rPr>
          <w:snapToGrid w:val="0"/>
          <w:kern w:val="22"/>
        </w:rPr>
        <w:t xml:space="preserve">roup on </w:t>
      </w:r>
      <w:r>
        <w:rPr>
          <w:snapToGrid w:val="0"/>
          <w:kern w:val="22"/>
        </w:rPr>
        <w:t>T</w:t>
      </w:r>
      <w:r w:rsidRPr="00FE0CDA">
        <w:rPr>
          <w:snapToGrid w:val="0"/>
          <w:kern w:val="22"/>
        </w:rPr>
        <w:t xml:space="preserve">echnical and </w:t>
      </w:r>
      <w:r>
        <w:rPr>
          <w:snapToGrid w:val="0"/>
          <w:kern w:val="22"/>
        </w:rPr>
        <w:t>S</w:t>
      </w:r>
      <w:r w:rsidRPr="00FE0CDA">
        <w:rPr>
          <w:snapToGrid w:val="0"/>
          <w:kern w:val="22"/>
        </w:rPr>
        <w:t xml:space="preserve">cientific </w:t>
      </w:r>
      <w:r>
        <w:rPr>
          <w:snapToGrid w:val="0"/>
          <w:kern w:val="22"/>
        </w:rPr>
        <w:t>C</w:t>
      </w:r>
      <w:r w:rsidRPr="00FE0CDA">
        <w:rPr>
          <w:snapToGrid w:val="0"/>
          <w:kern w:val="22"/>
        </w:rPr>
        <w:t xml:space="preserve">ooperation, a proposal for an updated work programme for the clearing-house mechanism, aligned with the </w:t>
      </w:r>
      <w:r>
        <w:rPr>
          <w:snapToGrid w:val="0"/>
          <w:kern w:val="22"/>
        </w:rPr>
        <w:t>Kunming-Montreal</w:t>
      </w:r>
      <w:r w:rsidRPr="00FE0CDA">
        <w:rPr>
          <w:snapToGrid w:val="0"/>
          <w:kern w:val="22"/>
        </w:rPr>
        <w:t xml:space="preserve"> </w:t>
      </w:r>
      <w:r>
        <w:rPr>
          <w:snapToGrid w:val="0"/>
          <w:kern w:val="22"/>
        </w:rPr>
        <w:t>G</w:t>
      </w:r>
      <w:r w:rsidRPr="00FE0CDA">
        <w:rPr>
          <w:snapToGrid w:val="0"/>
          <w:kern w:val="22"/>
        </w:rPr>
        <w:t xml:space="preserve">lobal </w:t>
      </w:r>
      <w:r>
        <w:rPr>
          <w:snapToGrid w:val="0"/>
          <w:kern w:val="22"/>
        </w:rPr>
        <w:t>B</w:t>
      </w:r>
      <w:r w:rsidRPr="00FE0CDA">
        <w:rPr>
          <w:snapToGrid w:val="0"/>
          <w:kern w:val="22"/>
        </w:rPr>
        <w:t xml:space="preserve">iodiversity </w:t>
      </w:r>
      <w:r>
        <w:rPr>
          <w:snapToGrid w:val="0"/>
          <w:kern w:val="22"/>
        </w:rPr>
        <w:t>F</w:t>
      </w:r>
      <w:r w:rsidRPr="00FE0CDA">
        <w:rPr>
          <w:snapToGrid w:val="0"/>
          <w:kern w:val="22"/>
        </w:rPr>
        <w:t xml:space="preserve">ramework and relevant decisions, and </w:t>
      </w:r>
      <w:r>
        <w:rPr>
          <w:snapToGrid w:val="0"/>
          <w:kern w:val="22"/>
        </w:rPr>
        <w:t xml:space="preserve">to </w:t>
      </w:r>
      <w:r w:rsidRPr="00FE0CDA">
        <w:rPr>
          <w:snapToGrid w:val="0"/>
          <w:kern w:val="22"/>
        </w:rPr>
        <w:t xml:space="preserve">submit the proposal for consideration by the Subsidiary Body on Implementation at its fourth meeting </w:t>
      </w:r>
      <w:r w:rsidRPr="00FA25A8">
        <w:rPr>
          <w:snapToGrid w:val="0"/>
          <w:kern w:val="22"/>
        </w:rPr>
        <w:t>and consideration</w:t>
      </w:r>
      <w:r w:rsidRPr="00FE0CDA">
        <w:rPr>
          <w:snapToGrid w:val="0"/>
          <w:kern w:val="22"/>
        </w:rPr>
        <w:t xml:space="preserve"> by the Conference of the Parties at its sixteenth meeting</w:t>
      </w:r>
      <w:r>
        <w:rPr>
          <w:snapToGrid w:val="0"/>
          <w:kern w:val="22"/>
        </w:rPr>
        <w:t xml:space="preserve">, </w:t>
      </w:r>
      <w:r>
        <w:rPr>
          <w:kern w:val="22"/>
        </w:rPr>
        <w:t>with a view to its adoption</w:t>
      </w:r>
      <w:r w:rsidRPr="00FE0CDA">
        <w:rPr>
          <w:snapToGrid w:val="0"/>
          <w:kern w:val="22"/>
        </w:rPr>
        <w:t>;</w:t>
      </w:r>
      <w:r>
        <w:rPr>
          <w:snapToGrid w:val="0"/>
          <w:kern w:val="22"/>
        </w:rPr>
        <w:t xml:space="preserve"> </w:t>
      </w:r>
    </w:p>
    <w:p w14:paraId="57770A7E" w14:textId="77777777" w:rsidR="0050667D" w:rsidRPr="00FA3FC5" w:rsidRDefault="0050667D" w:rsidP="00B93035">
      <w:pPr>
        <w:suppressLineNumbers/>
        <w:tabs>
          <w:tab w:val="left" w:pos="1440"/>
        </w:tabs>
        <w:suppressAutoHyphens/>
        <w:kinsoku w:val="0"/>
        <w:overflowPunct w:val="0"/>
        <w:autoSpaceDE w:val="0"/>
        <w:autoSpaceDN w:val="0"/>
        <w:adjustRightInd w:val="0"/>
        <w:snapToGrid w:val="0"/>
        <w:spacing w:before="120" w:after="120"/>
        <w:ind w:firstLine="567"/>
      </w:pPr>
      <w:r w:rsidRPr="00FA3FC5">
        <w:rPr>
          <w:snapToGrid w:val="0"/>
          <w:kern w:val="22"/>
        </w:rPr>
        <w:t>(g)</w:t>
      </w:r>
      <w:r w:rsidRPr="00FA3FC5">
        <w:rPr>
          <w:snapToGrid w:val="0"/>
          <w:kern w:val="22"/>
        </w:rPr>
        <w:tab/>
      </w:r>
      <w:r w:rsidRPr="00FE0CDA">
        <w:rPr>
          <w:snapToGrid w:val="0"/>
          <w:kern w:val="22"/>
        </w:rPr>
        <w:t>To submit a progress report on the above activities for consideration by the Subsidiary Body on Implementation at its fourth meeting.</w:t>
      </w:r>
      <w:r>
        <w:rPr>
          <w:snapToGrid w:val="0"/>
          <w:kern w:val="22"/>
        </w:rPr>
        <w:t xml:space="preserve"> </w:t>
      </w:r>
    </w:p>
    <w:p w14:paraId="49F6B40A" w14:textId="77777777" w:rsidR="0065659F" w:rsidRPr="00C9161D" w:rsidRDefault="0065659F" w:rsidP="00C9161D"/>
    <w:p w14:paraId="2CE66DBD" w14:textId="77777777" w:rsidR="0050667D" w:rsidRDefault="0050667D" w:rsidP="00F854FF">
      <w:pPr>
        <w:pStyle w:val="Para1"/>
        <w:numPr>
          <w:ilvl w:val="0"/>
          <w:numId w:val="0"/>
        </w:numPr>
        <w:jc w:val="center"/>
        <w:sectPr w:rsidR="0050667D" w:rsidSect="00441700">
          <w:footnotePr>
            <w:numRestart w:val="eachSect"/>
          </w:footnotePr>
          <w:pgSz w:w="12240" w:h="15840"/>
          <w:pgMar w:top="567" w:right="1440" w:bottom="1134" w:left="1440" w:header="709" w:footer="709" w:gutter="0"/>
          <w:cols w:space="708"/>
          <w:docGrid w:linePitch="360"/>
        </w:sectPr>
      </w:pPr>
    </w:p>
    <w:p w14:paraId="2F9C2A69" w14:textId="77777777" w:rsidR="0050667D" w:rsidRDefault="0050667D" w:rsidP="00D44D33">
      <w:pPr>
        <w:pStyle w:val="decision"/>
      </w:pPr>
      <w:bookmarkStart w:id="252" w:name="_Toc150438815"/>
      <w:bookmarkStart w:id="253" w:name="_Toc150670515"/>
      <w:bookmarkStart w:id="254" w:name="_Toc150670625"/>
      <w:bookmarkStart w:id="255" w:name="_Toc150761127"/>
      <w:r>
        <w:t>15/17.</w:t>
      </w:r>
      <w:r>
        <w:tab/>
        <w:t>L</w:t>
      </w:r>
      <w:r w:rsidRPr="00D64D7F">
        <w:t>ong-term strategic approach to mainstreaming biodiversity within and across sectors</w:t>
      </w:r>
      <w:bookmarkEnd w:id="252"/>
      <w:bookmarkEnd w:id="253"/>
      <w:bookmarkEnd w:id="254"/>
      <w:bookmarkEnd w:id="255"/>
    </w:p>
    <w:p w14:paraId="1513C46E" w14:textId="77777777" w:rsidR="0050667D" w:rsidRPr="00620770" w:rsidRDefault="0050667D" w:rsidP="003A5D0E">
      <w:pPr>
        <w:pStyle w:val="StylePara1Kernat11pt"/>
        <w:suppressLineNumbers/>
        <w:suppressAutoHyphens/>
        <w:kinsoku w:val="0"/>
        <w:overflowPunct w:val="0"/>
        <w:autoSpaceDE w:val="0"/>
        <w:autoSpaceDN w:val="0"/>
        <w:ind w:firstLine="720"/>
        <w:jc w:val="both"/>
        <w:rPr>
          <w:rFonts w:asciiTheme="majorBidi" w:hAnsiTheme="majorBidi" w:cstheme="majorBidi"/>
          <w:sz w:val="22"/>
          <w:szCs w:val="22"/>
          <w:lang w:val="en-GB"/>
        </w:rPr>
      </w:pPr>
      <w:r w:rsidRPr="00620770">
        <w:rPr>
          <w:rFonts w:asciiTheme="majorBidi" w:hAnsiTheme="majorBidi" w:cstheme="majorBidi"/>
          <w:i/>
          <w:iCs/>
          <w:sz w:val="22"/>
          <w:szCs w:val="22"/>
          <w:lang w:val="en-GB"/>
        </w:rPr>
        <w:t>The Conference of the Parties</w:t>
      </w:r>
      <w:r w:rsidRPr="00620770">
        <w:rPr>
          <w:rFonts w:asciiTheme="majorBidi" w:hAnsiTheme="majorBidi" w:cstheme="majorBidi"/>
          <w:sz w:val="22"/>
          <w:szCs w:val="22"/>
          <w:lang w:val="en-GB"/>
        </w:rPr>
        <w:t>,</w:t>
      </w:r>
    </w:p>
    <w:p w14:paraId="326371F9" w14:textId="77777777" w:rsidR="0050667D" w:rsidRPr="00620770" w:rsidRDefault="0050667D" w:rsidP="003A5D0E">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en-GB"/>
        </w:rPr>
      </w:pPr>
      <w:r w:rsidRPr="00620770">
        <w:rPr>
          <w:rFonts w:asciiTheme="majorBidi" w:hAnsiTheme="majorBidi" w:cstheme="majorBidi"/>
          <w:i/>
          <w:sz w:val="22"/>
          <w:szCs w:val="22"/>
          <w:lang w:val="en-GB"/>
        </w:rPr>
        <w:t xml:space="preserve">Recalling </w:t>
      </w:r>
      <w:r w:rsidRPr="00620770">
        <w:rPr>
          <w:rFonts w:asciiTheme="majorBidi" w:hAnsiTheme="majorBidi" w:cstheme="majorBidi"/>
          <w:iCs/>
          <w:sz w:val="22"/>
          <w:szCs w:val="22"/>
          <w:lang w:val="en-GB"/>
        </w:rPr>
        <w:t xml:space="preserve">Article 6 (b) of the Convention, which </w:t>
      </w:r>
      <w:r w:rsidRPr="007D508B">
        <w:rPr>
          <w:rFonts w:asciiTheme="majorBidi" w:hAnsiTheme="majorBidi" w:cstheme="majorBidi"/>
          <w:iCs/>
          <w:sz w:val="22"/>
          <w:szCs w:val="22"/>
          <w:lang w:val="en-GB"/>
        </w:rPr>
        <w:t>requires Parties</w:t>
      </w:r>
      <w:r w:rsidRPr="00620770">
        <w:rPr>
          <w:rFonts w:asciiTheme="majorBidi" w:hAnsiTheme="majorBidi" w:cstheme="majorBidi"/>
          <w:iCs/>
          <w:sz w:val="22"/>
          <w:szCs w:val="22"/>
          <w:lang w:val="en-GB"/>
        </w:rPr>
        <w:t xml:space="preserve"> to integrate, as far as possible and as appropriate, the conservation and sustainable use of biological diversity into relevant sectoral or cross-sectoral plans, programmes and policies,</w:t>
      </w:r>
    </w:p>
    <w:p w14:paraId="2C183846" w14:textId="77777777" w:rsidR="0050667D" w:rsidRPr="00620770" w:rsidRDefault="0050667D" w:rsidP="003A5D0E">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en-GB"/>
        </w:rPr>
      </w:pPr>
      <w:r w:rsidRPr="00620770">
        <w:rPr>
          <w:rFonts w:asciiTheme="majorBidi" w:hAnsiTheme="majorBidi" w:cstheme="majorBidi"/>
          <w:i/>
          <w:sz w:val="22"/>
          <w:szCs w:val="22"/>
          <w:lang w:val="en-GB"/>
        </w:rPr>
        <w:t xml:space="preserve">Reiterating </w:t>
      </w:r>
      <w:r w:rsidRPr="00620770">
        <w:rPr>
          <w:rFonts w:asciiTheme="majorBidi" w:hAnsiTheme="majorBidi" w:cstheme="majorBidi"/>
          <w:iCs/>
          <w:sz w:val="22"/>
          <w:szCs w:val="22"/>
          <w:lang w:val="en-GB"/>
        </w:rPr>
        <w:t xml:space="preserve">the critical importance of mainstreaming biodiversity across government and society in order to achieve the objectives of the Convention, and the urgent need to mainstream biodiversity in line with the </w:t>
      </w:r>
      <w:r>
        <w:rPr>
          <w:rFonts w:asciiTheme="majorBidi" w:hAnsiTheme="majorBidi" w:cstheme="majorBidi"/>
          <w:iCs/>
          <w:sz w:val="22"/>
          <w:szCs w:val="22"/>
          <w:lang w:val="en-GB"/>
        </w:rPr>
        <w:t>Kunming-Montreal G</w:t>
      </w:r>
      <w:r w:rsidRPr="00620770">
        <w:rPr>
          <w:rFonts w:asciiTheme="majorBidi" w:hAnsiTheme="majorBidi" w:cstheme="majorBidi"/>
          <w:iCs/>
          <w:sz w:val="22"/>
          <w:szCs w:val="22"/>
          <w:lang w:val="en-GB"/>
        </w:rPr>
        <w:t xml:space="preserve">lobal </w:t>
      </w:r>
      <w:r>
        <w:rPr>
          <w:rFonts w:asciiTheme="majorBidi" w:hAnsiTheme="majorBidi" w:cstheme="majorBidi"/>
          <w:iCs/>
          <w:sz w:val="22"/>
          <w:szCs w:val="22"/>
          <w:lang w:val="en-GB"/>
        </w:rPr>
        <w:t>B</w:t>
      </w:r>
      <w:r w:rsidRPr="00620770">
        <w:rPr>
          <w:rFonts w:asciiTheme="majorBidi" w:hAnsiTheme="majorBidi" w:cstheme="majorBidi"/>
          <w:iCs/>
          <w:sz w:val="22"/>
          <w:szCs w:val="22"/>
          <w:lang w:val="en-GB"/>
        </w:rPr>
        <w:t xml:space="preserve">iodiversity </w:t>
      </w:r>
      <w:r>
        <w:rPr>
          <w:rFonts w:asciiTheme="majorBidi" w:hAnsiTheme="majorBidi" w:cstheme="majorBidi"/>
          <w:iCs/>
          <w:sz w:val="22"/>
          <w:szCs w:val="22"/>
          <w:lang w:val="en-GB"/>
        </w:rPr>
        <w:t>F</w:t>
      </w:r>
      <w:r w:rsidRPr="00620770">
        <w:rPr>
          <w:rFonts w:asciiTheme="majorBidi" w:hAnsiTheme="majorBidi" w:cstheme="majorBidi"/>
          <w:iCs/>
          <w:sz w:val="22"/>
          <w:szCs w:val="22"/>
          <w:lang w:val="en-GB"/>
        </w:rPr>
        <w:t>ramework,</w:t>
      </w:r>
    </w:p>
    <w:p w14:paraId="38338E9A" w14:textId="77777777" w:rsidR="0050667D" w:rsidRPr="00620770" w:rsidRDefault="0050667D" w:rsidP="003A5D0E">
      <w:pPr>
        <w:pStyle w:val="StylePara1Kernat11pt"/>
        <w:suppressLineNumbers/>
        <w:suppressAutoHyphens/>
        <w:kinsoku w:val="0"/>
        <w:overflowPunct w:val="0"/>
        <w:autoSpaceDE w:val="0"/>
        <w:autoSpaceDN w:val="0"/>
        <w:ind w:firstLine="720"/>
        <w:jc w:val="both"/>
        <w:rPr>
          <w:rFonts w:asciiTheme="majorBidi" w:hAnsiTheme="majorBidi" w:cstheme="majorBidi"/>
          <w:iCs/>
          <w:sz w:val="22"/>
          <w:szCs w:val="22"/>
          <w:lang w:val="en-GB"/>
        </w:rPr>
      </w:pPr>
      <w:r w:rsidRPr="00620770">
        <w:rPr>
          <w:rFonts w:asciiTheme="majorBidi" w:hAnsiTheme="majorBidi" w:cstheme="majorBidi"/>
          <w:i/>
          <w:sz w:val="22"/>
          <w:szCs w:val="22"/>
          <w:lang w:val="en-GB"/>
        </w:rPr>
        <w:t>Emphasizing</w:t>
      </w:r>
      <w:r w:rsidRPr="00620770">
        <w:rPr>
          <w:rFonts w:asciiTheme="majorBidi" w:hAnsiTheme="majorBidi" w:cstheme="majorBidi"/>
          <w:iCs/>
          <w:sz w:val="22"/>
          <w:szCs w:val="22"/>
          <w:lang w:val="en-GB"/>
        </w:rPr>
        <w:t xml:space="preserve"> the importance of intensified mainstreaming action to achieve the transformational change needed in order to attain the 2050 </w:t>
      </w:r>
      <w:r w:rsidRPr="00620770">
        <w:rPr>
          <w:rFonts w:asciiTheme="majorBidi" w:hAnsiTheme="majorBidi" w:cstheme="majorBidi"/>
          <w:iCs/>
          <w:color w:val="000000" w:themeColor="text1"/>
          <w:sz w:val="22"/>
          <w:szCs w:val="22"/>
          <w:lang w:val="en-GB"/>
        </w:rPr>
        <w:t>vision, while acknowledging</w:t>
      </w:r>
      <w:r w:rsidRPr="00620770">
        <w:rPr>
          <w:rFonts w:asciiTheme="majorBidi" w:hAnsiTheme="majorBidi" w:cstheme="majorBidi"/>
          <w:i/>
          <w:color w:val="000000" w:themeColor="text1"/>
          <w:sz w:val="22"/>
          <w:szCs w:val="22"/>
          <w:lang w:val="en-GB"/>
        </w:rPr>
        <w:t xml:space="preserve"> </w:t>
      </w:r>
      <w:r w:rsidRPr="00620770">
        <w:rPr>
          <w:rFonts w:asciiTheme="majorBidi" w:hAnsiTheme="majorBidi" w:cstheme="majorBidi"/>
          <w:iCs/>
          <w:color w:val="000000" w:themeColor="text1"/>
          <w:sz w:val="22"/>
          <w:szCs w:val="22"/>
          <w:lang w:val="en-GB"/>
        </w:rPr>
        <w:t>the specific challenges faced by developing countries in supporting mainstreaming policies and the need for adequate means of implementation and enhanced international cooperation,</w:t>
      </w:r>
    </w:p>
    <w:p w14:paraId="2CF27420" w14:textId="77777777" w:rsidR="0050667D" w:rsidRPr="004C4D99" w:rsidRDefault="0050667D" w:rsidP="004C4D99">
      <w:pPr>
        <w:pStyle w:val="StylePara1Kernat11pt"/>
        <w:suppressLineNumbers/>
        <w:suppressAutoHyphens/>
        <w:kinsoku w:val="0"/>
        <w:overflowPunct w:val="0"/>
        <w:autoSpaceDE w:val="0"/>
        <w:autoSpaceDN w:val="0"/>
        <w:ind w:firstLine="709"/>
        <w:jc w:val="both"/>
        <w:rPr>
          <w:rFonts w:asciiTheme="majorBidi" w:hAnsiTheme="majorBidi" w:cstheme="majorBidi"/>
          <w:iCs/>
          <w:sz w:val="22"/>
          <w:szCs w:val="22"/>
          <w:lang w:val="en-GB"/>
        </w:rPr>
      </w:pPr>
      <w:r w:rsidRPr="004C4D99">
        <w:rPr>
          <w:rFonts w:asciiTheme="majorBidi" w:hAnsiTheme="majorBidi" w:cstheme="majorBidi"/>
          <w:iCs/>
          <w:sz w:val="22"/>
          <w:szCs w:val="22"/>
          <w:lang w:val="en-GB"/>
        </w:rPr>
        <w:t>1.</w:t>
      </w:r>
      <w:r>
        <w:rPr>
          <w:rFonts w:asciiTheme="majorBidi" w:hAnsiTheme="majorBidi" w:cstheme="majorBidi"/>
          <w:i/>
          <w:sz w:val="22"/>
          <w:szCs w:val="22"/>
          <w:lang w:val="en-GB"/>
        </w:rPr>
        <w:tab/>
      </w:r>
      <w:r w:rsidRPr="00620770">
        <w:rPr>
          <w:rFonts w:asciiTheme="majorBidi" w:hAnsiTheme="majorBidi" w:cstheme="majorBidi"/>
          <w:i/>
          <w:sz w:val="22"/>
          <w:szCs w:val="22"/>
          <w:lang w:val="en-GB"/>
        </w:rPr>
        <w:t>Welcomes</w:t>
      </w:r>
      <w:r w:rsidRPr="00620770">
        <w:rPr>
          <w:rFonts w:asciiTheme="majorBidi" w:hAnsiTheme="majorBidi" w:cstheme="majorBidi"/>
          <w:iCs/>
          <w:sz w:val="22"/>
          <w:szCs w:val="22"/>
          <w:lang w:val="en-GB"/>
        </w:rPr>
        <w:t xml:space="preserve"> the work of the Informal Advisory Group on Mainstreaming </w:t>
      </w:r>
      <w:r>
        <w:rPr>
          <w:rFonts w:asciiTheme="majorBidi" w:hAnsiTheme="majorBidi" w:cstheme="majorBidi"/>
          <w:iCs/>
          <w:sz w:val="22"/>
          <w:szCs w:val="22"/>
          <w:lang w:val="en-GB"/>
        </w:rPr>
        <w:t xml:space="preserve">of </w:t>
      </w:r>
      <w:r w:rsidRPr="00620770">
        <w:rPr>
          <w:rFonts w:asciiTheme="majorBidi" w:hAnsiTheme="majorBidi" w:cstheme="majorBidi"/>
          <w:iCs/>
          <w:sz w:val="22"/>
          <w:szCs w:val="22"/>
          <w:lang w:val="en-GB"/>
        </w:rPr>
        <w:t>Biodiversity, as reflected in the progress report of the Executive Secretary to the Subsidiary Body on Implementation at its third meeting</w:t>
      </w:r>
      <w:r w:rsidRPr="00610646">
        <w:rPr>
          <w:rStyle w:val="FootnoteReference"/>
        </w:rPr>
        <w:footnoteReference w:id="302"/>
      </w:r>
      <w:r>
        <w:rPr>
          <w:rFonts w:asciiTheme="majorBidi" w:hAnsiTheme="majorBidi" w:cstheme="majorBidi"/>
          <w:iCs/>
          <w:sz w:val="22"/>
          <w:szCs w:val="22"/>
          <w:lang w:val="en-GB"/>
        </w:rPr>
        <w:t xml:space="preserve"> </w:t>
      </w:r>
      <w:r w:rsidRPr="004C4D99">
        <w:rPr>
          <w:rFonts w:asciiTheme="majorBidi" w:hAnsiTheme="majorBidi" w:cstheme="majorBidi"/>
          <w:iCs/>
          <w:sz w:val="22"/>
          <w:szCs w:val="22"/>
          <w:lang w:val="en-GB"/>
        </w:rPr>
        <w:t>as well as the new submissions as compiled in documents CBD/COP/15/INF</w:t>
      </w:r>
      <w:r>
        <w:rPr>
          <w:rFonts w:asciiTheme="majorBidi" w:hAnsiTheme="majorBidi" w:cstheme="majorBidi"/>
          <w:iCs/>
          <w:sz w:val="22"/>
          <w:szCs w:val="22"/>
          <w:lang w:val="en-GB"/>
        </w:rPr>
        <w:t>/</w:t>
      </w:r>
      <w:r w:rsidRPr="004C4D99">
        <w:rPr>
          <w:rFonts w:asciiTheme="majorBidi" w:hAnsiTheme="majorBidi" w:cstheme="majorBidi"/>
          <w:iCs/>
          <w:sz w:val="22"/>
          <w:szCs w:val="22"/>
          <w:lang w:val="en-GB"/>
        </w:rPr>
        <w:t>10, 11 and 12;</w:t>
      </w:r>
    </w:p>
    <w:p w14:paraId="6C5DC2B8" w14:textId="4BD1045B" w:rsidR="0050667D" w:rsidRPr="004C4D99" w:rsidRDefault="0050667D" w:rsidP="004C4D99">
      <w:pPr>
        <w:pStyle w:val="StylePara1Kernat11pt"/>
        <w:suppressLineNumbers/>
        <w:suppressAutoHyphens/>
        <w:kinsoku w:val="0"/>
        <w:overflowPunct w:val="0"/>
        <w:autoSpaceDE w:val="0"/>
        <w:autoSpaceDN w:val="0"/>
        <w:ind w:firstLine="709"/>
        <w:jc w:val="both"/>
        <w:rPr>
          <w:rFonts w:asciiTheme="majorBidi" w:hAnsiTheme="majorBidi" w:cstheme="majorBidi"/>
          <w:iCs/>
          <w:sz w:val="22"/>
          <w:szCs w:val="22"/>
          <w:lang w:val="en-GB"/>
        </w:rPr>
      </w:pPr>
      <w:r w:rsidRPr="001B2681">
        <w:rPr>
          <w:rFonts w:asciiTheme="majorBidi" w:hAnsiTheme="majorBidi" w:cstheme="majorBidi"/>
          <w:iCs/>
          <w:sz w:val="22"/>
          <w:szCs w:val="22"/>
          <w:lang w:val="en-GB"/>
        </w:rPr>
        <w:t>2</w:t>
      </w:r>
      <w:r w:rsidRPr="004C4D99">
        <w:rPr>
          <w:rFonts w:asciiTheme="majorBidi" w:hAnsiTheme="majorBidi" w:cstheme="majorBidi"/>
          <w:iCs/>
          <w:sz w:val="22"/>
          <w:szCs w:val="22"/>
          <w:lang w:val="en-GB"/>
        </w:rPr>
        <w:t>.</w:t>
      </w:r>
      <w:r w:rsidRPr="004C4D99">
        <w:rPr>
          <w:rFonts w:asciiTheme="majorBidi" w:hAnsiTheme="majorBidi" w:cstheme="majorBidi"/>
          <w:iCs/>
          <w:sz w:val="22"/>
          <w:szCs w:val="22"/>
          <w:lang w:val="en-GB"/>
        </w:rPr>
        <w:tab/>
      </w:r>
      <w:r w:rsidRPr="004C4D99">
        <w:rPr>
          <w:rFonts w:asciiTheme="majorBidi" w:hAnsiTheme="majorBidi" w:cstheme="majorBidi"/>
          <w:i/>
          <w:sz w:val="22"/>
          <w:szCs w:val="22"/>
          <w:lang w:val="en-GB"/>
        </w:rPr>
        <w:t>Requests</w:t>
      </w:r>
      <w:r w:rsidRPr="004C4D99">
        <w:rPr>
          <w:rFonts w:asciiTheme="majorBidi" w:hAnsiTheme="majorBidi" w:cstheme="majorBidi"/>
          <w:iCs/>
          <w:sz w:val="22"/>
          <w:szCs w:val="22"/>
          <w:lang w:val="en-GB"/>
        </w:rPr>
        <w:t xml:space="preserve"> Parties, and </w:t>
      </w:r>
      <w:r w:rsidRPr="001C7B0E">
        <w:rPr>
          <w:rFonts w:asciiTheme="majorBidi" w:hAnsiTheme="majorBidi" w:cstheme="majorBidi"/>
          <w:iCs/>
          <w:sz w:val="22"/>
          <w:szCs w:val="22"/>
          <w:lang w:val="en-GB"/>
        </w:rPr>
        <w:t>invites</w:t>
      </w:r>
      <w:r w:rsidRPr="004C4D99">
        <w:rPr>
          <w:rFonts w:asciiTheme="majorBidi" w:hAnsiTheme="majorBidi" w:cstheme="majorBidi"/>
          <w:iCs/>
          <w:sz w:val="22"/>
          <w:szCs w:val="22"/>
          <w:lang w:val="en-GB"/>
        </w:rPr>
        <w:t xml:space="preserve"> other </w:t>
      </w:r>
      <w:r>
        <w:rPr>
          <w:rFonts w:asciiTheme="majorBidi" w:hAnsiTheme="majorBidi" w:cstheme="majorBidi"/>
          <w:iCs/>
          <w:sz w:val="22"/>
          <w:szCs w:val="22"/>
          <w:lang w:val="en-GB"/>
        </w:rPr>
        <w:t>G</w:t>
      </w:r>
      <w:r w:rsidRPr="004C4D99">
        <w:rPr>
          <w:rFonts w:asciiTheme="majorBidi" w:hAnsiTheme="majorBidi" w:cstheme="majorBidi"/>
          <w:iCs/>
          <w:sz w:val="22"/>
          <w:szCs w:val="22"/>
          <w:lang w:val="en-GB"/>
        </w:rPr>
        <w:t xml:space="preserve">overnments, international organizations and relevant stakeholders to submit their views on the draft </w:t>
      </w:r>
      <w:r>
        <w:rPr>
          <w:rFonts w:asciiTheme="majorBidi" w:hAnsiTheme="majorBidi" w:cstheme="majorBidi"/>
          <w:iCs/>
          <w:sz w:val="22"/>
          <w:szCs w:val="22"/>
          <w:lang w:val="en-GB"/>
        </w:rPr>
        <w:t>l</w:t>
      </w:r>
      <w:r w:rsidRPr="004C4D99">
        <w:rPr>
          <w:rFonts w:asciiTheme="majorBidi" w:hAnsiTheme="majorBidi" w:cstheme="majorBidi"/>
          <w:iCs/>
          <w:sz w:val="22"/>
          <w:szCs w:val="22"/>
          <w:lang w:val="en-GB"/>
        </w:rPr>
        <w:t>ong-</w:t>
      </w:r>
      <w:r>
        <w:rPr>
          <w:rFonts w:asciiTheme="majorBidi" w:hAnsiTheme="majorBidi" w:cstheme="majorBidi"/>
          <w:iCs/>
          <w:sz w:val="22"/>
          <w:szCs w:val="22"/>
          <w:lang w:val="en-GB"/>
        </w:rPr>
        <w:t>t</w:t>
      </w:r>
      <w:r w:rsidRPr="004C4D99">
        <w:rPr>
          <w:rFonts w:asciiTheme="majorBidi" w:hAnsiTheme="majorBidi" w:cstheme="majorBidi"/>
          <w:iCs/>
          <w:sz w:val="22"/>
          <w:szCs w:val="22"/>
          <w:lang w:val="en-GB"/>
        </w:rPr>
        <w:t xml:space="preserve">erm </w:t>
      </w:r>
      <w:r>
        <w:rPr>
          <w:rFonts w:asciiTheme="majorBidi" w:hAnsiTheme="majorBidi" w:cstheme="majorBidi"/>
          <w:iCs/>
          <w:sz w:val="22"/>
          <w:szCs w:val="22"/>
          <w:lang w:val="en-GB"/>
        </w:rPr>
        <w:t>a</w:t>
      </w:r>
      <w:r w:rsidRPr="004C4D99">
        <w:rPr>
          <w:rFonts w:asciiTheme="majorBidi" w:hAnsiTheme="majorBidi" w:cstheme="majorBidi"/>
          <w:iCs/>
          <w:sz w:val="22"/>
          <w:szCs w:val="22"/>
          <w:lang w:val="en-GB"/>
        </w:rPr>
        <w:t xml:space="preserve">pproach and associated </w:t>
      </w:r>
      <w:r>
        <w:rPr>
          <w:rFonts w:asciiTheme="majorBidi" w:hAnsiTheme="majorBidi" w:cstheme="majorBidi"/>
          <w:iCs/>
          <w:sz w:val="22"/>
          <w:szCs w:val="22"/>
          <w:lang w:val="en-GB"/>
        </w:rPr>
        <w:t>a</w:t>
      </w:r>
      <w:r w:rsidRPr="004C4D99">
        <w:rPr>
          <w:rFonts w:asciiTheme="majorBidi" w:hAnsiTheme="majorBidi" w:cstheme="majorBidi"/>
          <w:iCs/>
          <w:sz w:val="22"/>
          <w:szCs w:val="22"/>
          <w:lang w:val="en-GB"/>
        </w:rPr>
        <w:t xml:space="preserve">ction </w:t>
      </w:r>
      <w:r>
        <w:rPr>
          <w:rFonts w:asciiTheme="majorBidi" w:hAnsiTheme="majorBidi" w:cstheme="majorBidi"/>
          <w:iCs/>
          <w:sz w:val="22"/>
          <w:szCs w:val="22"/>
          <w:lang w:val="en-GB"/>
        </w:rPr>
        <w:t>p</w:t>
      </w:r>
      <w:r w:rsidRPr="004C4D99">
        <w:rPr>
          <w:rFonts w:asciiTheme="majorBidi" w:hAnsiTheme="majorBidi" w:cstheme="majorBidi"/>
          <w:iCs/>
          <w:sz w:val="22"/>
          <w:szCs w:val="22"/>
          <w:lang w:val="en-GB"/>
        </w:rPr>
        <w:t>lan, and to identify ways forward to support implementation of the Kunming-Montreal Global Biodiversity Framework;</w:t>
      </w:r>
    </w:p>
    <w:p w14:paraId="6403F78A" w14:textId="2CA0F505" w:rsidR="0050667D" w:rsidRDefault="0050667D" w:rsidP="004C4D99">
      <w:pPr>
        <w:pStyle w:val="StylePara1Kernat11pt"/>
        <w:suppressLineNumbers/>
        <w:suppressAutoHyphens/>
        <w:kinsoku w:val="0"/>
        <w:overflowPunct w:val="0"/>
        <w:autoSpaceDE w:val="0"/>
        <w:autoSpaceDN w:val="0"/>
        <w:ind w:firstLine="709"/>
        <w:jc w:val="both"/>
        <w:rPr>
          <w:rFonts w:asciiTheme="majorBidi" w:hAnsiTheme="majorBidi" w:cstheme="majorBidi"/>
          <w:iCs/>
          <w:sz w:val="22"/>
          <w:szCs w:val="22"/>
          <w:lang w:val="en-GB"/>
        </w:rPr>
      </w:pPr>
      <w:r w:rsidRPr="004C4D99">
        <w:rPr>
          <w:rFonts w:asciiTheme="majorBidi" w:hAnsiTheme="majorBidi" w:cstheme="majorBidi"/>
          <w:iCs/>
          <w:sz w:val="22"/>
          <w:szCs w:val="22"/>
          <w:lang w:val="en-GB"/>
        </w:rPr>
        <w:t>3.</w:t>
      </w:r>
      <w:r w:rsidRPr="004C4D99">
        <w:rPr>
          <w:rFonts w:asciiTheme="majorBidi" w:hAnsiTheme="majorBidi" w:cstheme="majorBidi"/>
          <w:iCs/>
          <w:sz w:val="22"/>
          <w:szCs w:val="22"/>
          <w:lang w:val="en-GB"/>
        </w:rPr>
        <w:tab/>
      </w:r>
      <w:r w:rsidRPr="004C4D99">
        <w:rPr>
          <w:rFonts w:asciiTheme="majorBidi" w:hAnsiTheme="majorBidi" w:cstheme="majorBidi"/>
          <w:i/>
          <w:sz w:val="22"/>
          <w:szCs w:val="22"/>
          <w:lang w:val="en-GB"/>
        </w:rPr>
        <w:t>Requests</w:t>
      </w:r>
      <w:r w:rsidRPr="004C4D99">
        <w:rPr>
          <w:rFonts w:asciiTheme="majorBidi" w:hAnsiTheme="majorBidi" w:cstheme="majorBidi"/>
          <w:iCs/>
          <w:sz w:val="22"/>
          <w:szCs w:val="22"/>
          <w:lang w:val="en-GB"/>
        </w:rPr>
        <w:t xml:space="preserve"> the Executive Secretary to organi</w:t>
      </w:r>
      <w:r>
        <w:rPr>
          <w:rFonts w:asciiTheme="majorBidi" w:hAnsiTheme="majorBidi" w:cstheme="majorBidi"/>
          <w:iCs/>
          <w:sz w:val="22"/>
          <w:szCs w:val="22"/>
          <w:lang w:val="en-GB"/>
        </w:rPr>
        <w:t>z</w:t>
      </w:r>
      <w:r w:rsidRPr="004C4D99">
        <w:rPr>
          <w:rFonts w:asciiTheme="majorBidi" w:hAnsiTheme="majorBidi" w:cstheme="majorBidi"/>
          <w:iCs/>
          <w:sz w:val="22"/>
          <w:szCs w:val="22"/>
          <w:lang w:val="en-GB"/>
        </w:rPr>
        <w:t xml:space="preserve">e an open-ended online forum through the </w:t>
      </w:r>
      <w:r>
        <w:rPr>
          <w:rFonts w:asciiTheme="majorBidi" w:hAnsiTheme="majorBidi" w:cstheme="majorBidi"/>
          <w:iCs/>
          <w:sz w:val="22"/>
          <w:szCs w:val="22"/>
          <w:lang w:val="en-GB"/>
        </w:rPr>
        <w:t>c</w:t>
      </w:r>
      <w:r w:rsidRPr="004C4D99">
        <w:rPr>
          <w:rFonts w:asciiTheme="majorBidi" w:hAnsiTheme="majorBidi" w:cstheme="majorBidi"/>
          <w:iCs/>
          <w:sz w:val="22"/>
          <w:szCs w:val="22"/>
          <w:lang w:val="en-GB"/>
        </w:rPr>
        <w:t>learing-</w:t>
      </w:r>
      <w:r>
        <w:rPr>
          <w:rFonts w:asciiTheme="majorBidi" w:hAnsiTheme="majorBidi" w:cstheme="majorBidi"/>
          <w:iCs/>
          <w:sz w:val="22"/>
          <w:szCs w:val="22"/>
          <w:lang w:val="en-GB"/>
        </w:rPr>
        <w:t>h</w:t>
      </w:r>
      <w:r w:rsidRPr="004C4D99">
        <w:rPr>
          <w:rFonts w:asciiTheme="majorBidi" w:hAnsiTheme="majorBidi" w:cstheme="majorBidi"/>
          <w:iCs/>
          <w:sz w:val="22"/>
          <w:szCs w:val="22"/>
          <w:lang w:val="en-GB"/>
        </w:rPr>
        <w:t xml:space="preserve">ouse </w:t>
      </w:r>
      <w:r>
        <w:rPr>
          <w:rFonts w:asciiTheme="majorBidi" w:hAnsiTheme="majorBidi" w:cstheme="majorBidi"/>
          <w:iCs/>
          <w:sz w:val="22"/>
          <w:szCs w:val="22"/>
          <w:lang w:val="en-GB"/>
        </w:rPr>
        <w:t>m</w:t>
      </w:r>
      <w:r w:rsidRPr="004C4D99">
        <w:rPr>
          <w:rFonts w:asciiTheme="majorBidi" w:hAnsiTheme="majorBidi" w:cstheme="majorBidi"/>
          <w:iCs/>
          <w:sz w:val="22"/>
          <w:szCs w:val="22"/>
          <w:lang w:val="en-GB"/>
        </w:rPr>
        <w:t>echanism</w:t>
      </w:r>
      <w:r>
        <w:rPr>
          <w:rFonts w:asciiTheme="majorBidi" w:hAnsiTheme="majorBidi" w:cstheme="majorBidi"/>
          <w:iCs/>
          <w:sz w:val="22"/>
          <w:szCs w:val="22"/>
          <w:lang w:val="en-GB"/>
        </w:rPr>
        <w:t>,</w:t>
      </w:r>
      <w:r w:rsidRPr="004C4D99">
        <w:rPr>
          <w:rFonts w:asciiTheme="majorBidi" w:hAnsiTheme="majorBidi" w:cstheme="majorBidi"/>
          <w:iCs/>
          <w:sz w:val="22"/>
          <w:szCs w:val="22"/>
          <w:lang w:val="en-GB"/>
        </w:rPr>
        <w:t xml:space="preserve"> to </w:t>
      </w:r>
      <w:r>
        <w:rPr>
          <w:rFonts w:asciiTheme="majorBidi" w:hAnsiTheme="majorBidi" w:cstheme="majorBidi"/>
          <w:iCs/>
          <w:sz w:val="22"/>
          <w:szCs w:val="22"/>
          <w:lang w:val="en-GB"/>
        </w:rPr>
        <w:t xml:space="preserve">facilitate </w:t>
      </w:r>
      <w:r w:rsidRPr="004C4D99">
        <w:rPr>
          <w:rFonts w:asciiTheme="majorBidi" w:hAnsiTheme="majorBidi" w:cstheme="majorBidi"/>
          <w:iCs/>
          <w:sz w:val="22"/>
          <w:szCs w:val="22"/>
          <w:lang w:val="en-GB"/>
        </w:rPr>
        <w:t>further views on the reports and outcomes as mentioned in paragraphs 1 and 2</w:t>
      </w:r>
      <w:r w:rsidRPr="00617A71">
        <w:rPr>
          <w:rFonts w:asciiTheme="majorBidi" w:hAnsiTheme="majorBidi" w:cstheme="majorBidi"/>
          <w:iCs/>
          <w:sz w:val="22"/>
          <w:szCs w:val="22"/>
          <w:lang w:val="en-GB"/>
        </w:rPr>
        <w:t xml:space="preserve"> </w:t>
      </w:r>
      <w:r w:rsidRPr="004C4D99">
        <w:rPr>
          <w:rFonts w:asciiTheme="majorBidi" w:hAnsiTheme="majorBidi" w:cstheme="majorBidi"/>
          <w:iCs/>
          <w:sz w:val="22"/>
          <w:szCs w:val="22"/>
          <w:lang w:val="en-GB"/>
        </w:rPr>
        <w:t xml:space="preserve">above, and to compile these views in a report, including on an interim process, for consideration </w:t>
      </w:r>
      <w:r>
        <w:rPr>
          <w:rFonts w:asciiTheme="majorBidi" w:hAnsiTheme="majorBidi" w:cstheme="majorBidi"/>
          <w:iCs/>
          <w:sz w:val="22"/>
          <w:szCs w:val="22"/>
          <w:lang w:val="en-GB"/>
        </w:rPr>
        <w:t>by</w:t>
      </w:r>
      <w:r w:rsidRPr="004C4D99">
        <w:rPr>
          <w:rFonts w:asciiTheme="majorBidi" w:hAnsiTheme="majorBidi" w:cstheme="majorBidi"/>
          <w:iCs/>
          <w:sz w:val="22"/>
          <w:szCs w:val="22"/>
          <w:lang w:val="en-GB"/>
        </w:rPr>
        <w:t xml:space="preserve"> the Subsidiary Body on Implementation at its </w:t>
      </w:r>
      <w:r>
        <w:rPr>
          <w:rFonts w:asciiTheme="majorBidi" w:hAnsiTheme="majorBidi" w:cstheme="majorBidi"/>
          <w:iCs/>
          <w:sz w:val="22"/>
          <w:szCs w:val="22"/>
          <w:lang w:val="en-GB"/>
        </w:rPr>
        <w:t>fourth</w:t>
      </w:r>
      <w:r w:rsidRPr="004C4D99">
        <w:rPr>
          <w:rFonts w:asciiTheme="majorBidi" w:hAnsiTheme="majorBidi" w:cstheme="majorBidi"/>
          <w:iCs/>
          <w:sz w:val="22"/>
          <w:szCs w:val="22"/>
          <w:lang w:val="en-GB"/>
        </w:rPr>
        <w:t xml:space="preserve"> meeting.</w:t>
      </w:r>
    </w:p>
    <w:p w14:paraId="7038DC76" w14:textId="77777777" w:rsidR="0050667D" w:rsidRDefault="0050667D" w:rsidP="0050667D">
      <w:pPr>
        <w:pStyle w:val="StylePara1Kernat11pt"/>
        <w:suppressLineNumbers/>
        <w:suppressAutoHyphens/>
        <w:kinsoku w:val="0"/>
        <w:overflowPunct w:val="0"/>
        <w:autoSpaceDE w:val="0"/>
        <w:autoSpaceDN w:val="0"/>
        <w:jc w:val="center"/>
        <w:rPr>
          <w:b/>
          <w:bCs/>
          <w:sz w:val="22"/>
          <w:szCs w:val="22"/>
          <w:lang w:val="en-GB"/>
        </w:rPr>
        <w:sectPr w:rsidR="0050667D" w:rsidSect="00441700">
          <w:footnotePr>
            <w:numRestart w:val="eachSect"/>
          </w:footnotePr>
          <w:pgSz w:w="12240" w:h="15840"/>
          <w:pgMar w:top="567" w:right="1440" w:bottom="1134" w:left="1440" w:header="709" w:footer="709" w:gutter="0"/>
          <w:cols w:space="708"/>
          <w:docGrid w:linePitch="360"/>
        </w:sectPr>
      </w:pPr>
    </w:p>
    <w:p w14:paraId="5FF6E716" w14:textId="77777777" w:rsidR="0050667D" w:rsidRDefault="0050667D" w:rsidP="003969A7">
      <w:pPr>
        <w:pStyle w:val="decision"/>
        <w:rPr>
          <w:caps/>
        </w:rPr>
      </w:pPr>
      <w:bookmarkStart w:id="256" w:name="_Toc150438816"/>
      <w:bookmarkStart w:id="257" w:name="_Toc150670516"/>
      <w:bookmarkStart w:id="258" w:name="_Toc150670626"/>
      <w:bookmarkStart w:id="259" w:name="_Toc150761128"/>
      <w:r>
        <w:t>15/18.</w:t>
      </w:r>
      <w:r>
        <w:tab/>
      </w:r>
      <w:r w:rsidRPr="00455EE4">
        <w:t>Review of the effectiveness of processes under the Convention and its Protocols</w:t>
      </w:r>
      <w:bookmarkEnd w:id="256"/>
      <w:bookmarkEnd w:id="257"/>
      <w:bookmarkEnd w:id="258"/>
      <w:bookmarkEnd w:id="259"/>
      <w:r w:rsidRPr="00105372">
        <w:rPr>
          <w:caps/>
        </w:rPr>
        <w:t xml:space="preserve"> </w:t>
      </w:r>
      <w:r>
        <w:rPr>
          <w:caps/>
        </w:rPr>
        <w:t xml:space="preserve"> </w:t>
      </w:r>
    </w:p>
    <w:p w14:paraId="1E0C2EBB" w14:textId="77777777" w:rsidR="0050667D" w:rsidRPr="008022A0" w:rsidRDefault="0050667D" w:rsidP="008022A0">
      <w:pPr>
        <w:suppressLineNumbers/>
        <w:suppressAutoHyphens/>
        <w:autoSpaceDE w:val="0"/>
        <w:autoSpaceDN w:val="0"/>
        <w:adjustRightInd w:val="0"/>
        <w:spacing w:before="120" w:after="120"/>
        <w:ind w:firstLine="720"/>
        <w:rPr>
          <w:kern w:val="22"/>
          <w:szCs w:val="22"/>
          <w14:cntxtAlts/>
        </w:rPr>
      </w:pPr>
      <w:r w:rsidRPr="008022A0">
        <w:rPr>
          <w:i/>
          <w:iCs/>
          <w:kern w:val="22"/>
          <w:szCs w:val="22"/>
          <w14:cntxtAlts/>
        </w:rPr>
        <w:t>The Conference of the Parties</w:t>
      </w:r>
      <w:r w:rsidRPr="008022A0">
        <w:rPr>
          <w:kern w:val="22"/>
          <w:szCs w:val="22"/>
          <w14:cntxtAlts/>
        </w:rPr>
        <w:t>,</w:t>
      </w:r>
    </w:p>
    <w:p w14:paraId="54697973" w14:textId="77777777" w:rsidR="0050667D" w:rsidRPr="008022A0" w:rsidRDefault="0050667D" w:rsidP="00950BE4">
      <w:pPr>
        <w:keepNext/>
        <w:numPr>
          <w:ilvl w:val="0"/>
          <w:numId w:val="62"/>
        </w:numPr>
        <w:suppressLineNumbers/>
        <w:tabs>
          <w:tab w:val="left" w:pos="1134"/>
        </w:tabs>
        <w:suppressAutoHyphens/>
        <w:autoSpaceDE w:val="0"/>
        <w:autoSpaceDN w:val="0"/>
        <w:adjustRightInd w:val="0"/>
        <w:spacing w:before="120" w:after="120"/>
        <w:ind w:left="357" w:hanging="357"/>
        <w:jc w:val="center"/>
        <w:rPr>
          <w:b/>
          <w:bCs/>
          <w:i/>
          <w:iCs/>
          <w:kern w:val="22"/>
          <w:szCs w:val="22"/>
          <w14:cntxtAlts/>
        </w:rPr>
      </w:pPr>
      <w:r w:rsidRPr="008022A0">
        <w:rPr>
          <w:b/>
          <w:bCs/>
          <w:kern w:val="22"/>
          <w:szCs w:val="22"/>
          <w14:cntxtAlts/>
        </w:rPr>
        <w:t>Experience with concurrent meetings</w:t>
      </w:r>
    </w:p>
    <w:p w14:paraId="6D650F7C" w14:textId="77777777" w:rsidR="0050667D" w:rsidRPr="008022A0" w:rsidRDefault="0050667D" w:rsidP="00562785">
      <w:pPr>
        <w:suppressLineNumbers/>
        <w:suppressAutoHyphens/>
        <w:autoSpaceDE w:val="0"/>
        <w:autoSpaceDN w:val="0"/>
        <w:adjustRightInd w:val="0"/>
        <w:spacing w:before="120" w:after="120"/>
        <w:ind w:firstLine="720"/>
        <w:rPr>
          <w:kern w:val="22"/>
          <w:szCs w:val="22"/>
          <w14:cntxtAlts/>
        </w:rPr>
      </w:pPr>
      <w:r w:rsidRPr="008022A0">
        <w:rPr>
          <w:i/>
          <w:iCs/>
          <w:kern w:val="22"/>
          <w:szCs w:val="22"/>
          <w14:cntxtAlts/>
        </w:rPr>
        <w:t xml:space="preserve">Recalling </w:t>
      </w:r>
      <w:r w:rsidRPr="008022A0">
        <w:rPr>
          <w:kern w:val="22"/>
          <w:szCs w:val="22"/>
          <w14:cntxtAlts/>
        </w:rPr>
        <w:t>decisions XII/27</w:t>
      </w:r>
      <w:r>
        <w:rPr>
          <w:kern w:val="22"/>
          <w:szCs w:val="22"/>
          <w14:cntxtAlts/>
        </w:rPr>
        <w:t>,</w:t>
      </w:r>
      <w:r w:rsidRPr="008022A0">
        <w:rPr>
          <w:kern w:val="22"/>
          <w:szCs w:val="22"/>
          <w14:cntxtAlts/>
        </w:rPr>
        <w:t xml:space="preserve"> XIII/26 and 14/32,</w:t>
      </w:r>
    </w:p>
    <w:p w14:paraId="590FF8AA" w14:textId="77777777" w:rsidR="0050667D" w:rsidRPr="008022A0" w:rsidRDefault="0050667D" w:rsidP="00A0130D">
      <w:pPr>
        <w:suppressLineNumbers/>
        <w:suppressAutoHyphens/>
        <w:autoSpaceDE w:val="0"/>
        <w:autoSpaceDN w:val="0"/>
        <w:adjustRightInd w:val="0"/>
        <w:spacing w:before="120" w:after="120"/>
        <w:ind w:firstLine="720"/>
        <w:rPr>
          <w:kern w:val="22"/>
          <w:szCs w:val="22"/>
          <w14:cntxtAlts/>
        </w:rPr>
      </w:pPr>
      <w:r w:rsidRPr="008022A0">
        <w:rPr>
          <w:i/>
          <w:iCs/>
          <w:kern w:val="22"/>
          <w:szCs w:val="22"/>
          <w14:cntxtAlts/>
        </w:rPr>
        <w:t xml:space="preserve">Having reviewed </w:t>
      </w:r>
      <w:r w:rsidRPr="008022A0">
        <w:rPr>
          <w:kern w:val="22"/>
          <w:szCs w:val="22"/>
          <w14:cntxtAlts/>
        </w:rPr>
        <w:t xml:space="preserve">the experience in holding concurrently meetings of the Conference of the Parties, the Conference of the Parties serving as the meeting of the Parties to the Cartagena Protocol and the </w:t>
      </w:r>
      <w:r w:rsidRPr="00DD1CBB">
        <w:rPr>
          <w:kern w:val="22"/>
          <w:szCs w:val="22"/>
          <w14:cntxtAlts/>
        </w:rPr>
        <w:t>Conference of the Parties serving as the meeting of the Parties to the Nagoya Protocol, using the criteria agreed in</w:t>
      </w:r>
      <w:r>
        <w:rPr>
          <w:kern w:val="22"/>
          <w:szCs w:val="22"/>
          <w14:cntxtAlts/>
        </w:rPr>
        <w:t xml:space="preserve"> decisions XII/27 and XIII/26</w:t>
      </w:r>
      <w:r w:rsidRPr="008022A0">
        <w:rPr>
          <w:kern w:val="22"/>
          <w:szCs w:val="22"/>
          <w14:cntxtAlts/>
        </w:rPr>
        <w:t>,</w:t>
      </w:r>
    </w:p>
    <w:p w14:paraId="54C36BE5" w14:textId="77777777" w:rsidR="0050667D" w:rsidRPr="008022A0" w:rsidRDefault="0050667D" w:rsidP="008022A0">
      <w:pPr>
        <w:suppressLineNumbers/>
        <w:suppressAutoHyphens/>
        <w:autoSpaceDE w:val="0"/>
        <w:autoSpaceDN w:val="0"/>
        <w:adjustRightInd w:val="0"/>
        <w:spacing w:before="120" w:after="120"/>
        <w:ind w:firstLine="720"/>
        <w:rPr>
          <w:kern w:val="22"/>
          <w:szCs w:val="22"/>
          <w14:cntxtAlts/>
        </w:rPr>
      </w:pPr>
      <w:r w:rsidRPr="008022A0">
        <w:rPr>
          <w:i/>
          <w:iCs/>
          <w:kern w:val="22"/>
          <w:szCs w:val="22"/>
          <w14:cntxtAlts/>
        </w:rPr>
        <w:t xml:space="preserve">Taking into account </w:t>
      </w:r>
      <w:r w:rsidRPr="008022A0">
        <w:rPr>
          <w:kern w:val="22"/>
          <w:szCs w:val="22"/>
          <w14:cntxtAlts/>
        </w:rPr>
        <w:t>the views of Parties and observers that participated in the concurrent meetings held in 2016 and 2018 as synthesized and presented in the notes by the Executive Secretary on the review of experience in holding concurrent meetings of the Conference of the Parties to the Convention and meetings of the Parties to the Protocols,</w:t>
      </w:r>
      <w:r w:rsidRPr="00610646">
        <w:rPr>
          <w:rStyle w:val="FootnoteReference"/>
        </w:rPr>
        <w:footnoteReference w:id="303"/>
      </w:r>
    </w:p>
    <w:p w14:paraId="680F1DBC" w14:textId="77777777" w:rsidR="0050667D" w:rsidRPr="008022A0" w:rsidRDefault="0050667D" w:rsidP="008022A0">
      <w:pPr>
        <w:suppressLineNumbers/>
        <w:suppressAutoHyphens/>
        <w:autoSpaceDE w:val="0"/>
        <w:autoSpaceDN w:val="0"/>
        <w:adjustRightInd w:val="0"/>
        <w:spacing w:before="120" w:after="120"/>
        <w:ind w:firstLine="720"/>
        <w:rPr>
          <w:kern w:val="22"/>
          <w:szCs w:val="22"/>
          <w14:cntxtAlts/>
        </w:rPr>
      </w:pPr>
      <w:r w:rsidRPr="008022A0">
        <w:rPr>
          <w:kern w:val="22"/>
          <w:szCs w:val="22"/>
          <w14:cntxtAlts/>
        </w:rPr>
        <w:t>1.</w:t>
      </w:r>
      <w:r w:rsidRPr="008022A0">
        <w:rPr>
          <w:kern w:val="22"/>
          <w:szCs w:val="22"/>
          <w14:cntxtAlts/>
        </w:rPr>
        <w:tab/>
      </w:r>
      <w:r w:rsidRPr="008022A0">
        <w:rPr>
          <w:i/>
          <w:iCs/>
          <w:kern w:val="22"/>
          <w:szCs w:val="22"/>
          <w14:cntxtAlts/>
        </w:rPr>
        <w:t xml:space="preserve">Notes with satisfaction </w:t>
      </w:r>
      <w:r w:rsidRPr="008022A0">
        <w:rPr>
          <w:kern w:val="22"/>
          <w:szCs w:val="22"/>
          <w14:cntxtAlts/>
        </w:rPr>
        <w:t>that the concurrent meetings were overall considered to have allowed for increased integration among the Convention and its Protocols, and improved consultations, coordination and synergies among the respective national focal points;</w:t>
      </w:r>
    </w:p>
    <w:p w14:paraId="26F4A491" w14:textId="77777777" w:rsidR="0050667D" w:rsidRPr="008022A0" w:rsidRDefault="0050667D" w:rsidP="008022A0">
      <w:pPr>
        <w:suppressLineNumbers/>
        <w:suppressAutoHyphens/>
        <w:autoSpaceDE w:val="0"/>
        <w:autoSpaceDN w:val="0"/>
        <w:adjustRightInd w:val="0"/>
        <w:spacing w:before="120" w:after="120"/>
        <w:ind w:firstLine="720"/>
        <w:rPr>
          <w:kern w:val="22"/>
          <w:szCs w:val="22"/>
          <w14:cntxtAlts/>
        </w:rPr>
      </w:pPr>
      <w:r w:rsidRPr="008022A0">
        <w:rPr>
          <w:kern w:val="22"/>
          <w:szCs w:val="22"/>
          <w14:cntxtAlts/>
        </w:rPr>
        <w:t>2.</w:t>
      </w:r>
      <w:r w:rsidRPr="008022A0">
        <w:rPr>
          <w:kern w:val="22"/>
          <w:szCs w:val="22"/>
          <w14:cntxtAlts/>
        </w:rPr>
        <w:tab/>
      </w:r>
      <w:r w:rsidRPr="008022A0">
        <w:rPr>
          <w:i/>
          <w:iCs/>
          <w:kern w:val="22"/>
          <w:szCs w:val="22"/>
          <w14:cntxtAlts/>
        </w:rPr>
        <w:t xml:space="preserve">Notes </w:t>
      </w:r>
      <w:r w:rsidRPr="008022A0">
        <w:rPr>
          <w:kern w:val="22"/>
          <w:szCs w:val="22"/>
          <w14:cntxtAlts/>
        </w:rPr>
        <w:t>that most of the criteria were considered as being met or partially met, and that further improvements in the functioning of the concurrent meetings are desirable, in particular to improve the outcomes and effectiveness of the meetings of the Parties to the Protocols;</w:t>
      </w:r>
    </w:p>
    <w:p w14:paraId="125A1E67" w14:textId="77777777" w:rsidR="0050667D" w:rsidRPr="008022A0" w:rsidRDefault="0050667D" w:rsidP="008022A0">
      <w:pPr>
        <w:suppressLineNumbers/>
        <w:suppressAutoHyphens/>
        <w:autoSpaceDE w:val="0"/>
        <w:autoSpaceDN w:val="0"/>
        <w:adjustRightInd w:val="0"/>
        <w:spacing w:before="120" w:after="120"/>
        <w:ind w:firstLine="720"/>
        <w:rPr>
          <w:kern w:val="22"/>
          <w:szCs w:val="22"/>
          <w14:cntxtAlts/>
        </w:rPr>
      </w:pPr>
      <w:r w:rsidRPr="008022A0">
        <w:rPr>
          <w:kern w:val="22"/>
          <w:szCs w:val="22"/>
          <w14:cntxtAlts/>
        </w:rPr>
        <w:t>3.</w:t>
      </w:r>
      <w:r w:rsidRPr="008022A0">
        <w:rPr>
          <w:kern w:val="22"/>
          <w:szCs w:val="22"/>
          <w14:cntxtAlts/>
        </w:rPr>
        <w:tab/>
      </w:r>
      <w:r w:rsidRPr="008022A0">
        <w:rPr>
          <w:i/>
          <w:iCs/>
          <w:kern w:val="22"/>
          <w:szCs w:val="22"/>
          <w14:cntxtAlts/>
        </w:rPr>
        <w:t xml:space="preserve">Reiterates </w:t>
      </w:r>
      <w:r w:rsidRPr="008022A0">
        <w:rPr>
          <w:kern w:val="22"/>
          <w:szCs w:val="22"/>
          <w14:cntxtAlts/>
        </w:rPr>
        <w:t xml:space="preserve">the importance of ensuring the full and effective participation of representatives of developing country Parties, in particular the least developed countries and small island developing States among them, and countries with economies in transition, in the concurrent meetings, and the importance, in particular, of ensuring adequate participation of representatives in meetings of the Parties to the </w:t>
      </w:r>
      <w:r>
        <w:rPr>
          <w:kern w:val="22"/>
          <w:szCs w:val="22"/>
          <w14:cntxtAlts/>
        </w:rPr>
        <w:t>P</w:t>
      </w:r>
      <w:r w:rsidRPr="008022A0">
        <w:rPr>
          <w:kern w:val="22"/>
          <w:szCs w:val="22"/>
          <w14:cntxtAlts/>
        </w:rPr>
        <w:t xml:space="preserve">rotocols by making funding available for such participation, and, in this regard, </w:t>
      </w:r>
      <w:r w:rsidRPr="00B23984">
        <w:rPr>
          <w:kern w:val="22"/>
          <w:szCs w:val="22"/>
          <w14:cntxtAlts/>
        </w:rPr>
        <w:t>recalls decision 14/37</w:t>
      </w:r>
      <w:r w:rsidRPr="008022A0">
        <w:rPr>
          <w:kern w:val="22"/>
          <w:szCs w:val="22"/>
          <w14:cntxtAlts/>
        </w:rPr>
        <w:t>, paragraphs 36 to 46;</w:t>
      </w:r>
    </w:p>
    <w:p w14:paraId="264D1316" w14:textId="77777777" w:rsidR="0050667D" w:rsidRPr="008022A0" w:rsidRDefault="0050667D" w:rsidP="008022A0">
      <w:pPr>
        <w:suppressLineNumbers/>
        <w:suppressAutoHyphens/>
        <w:autoSpaceDE w:val="0"/>
        <w:autoSpaceDN w:val="0"/>
        <w:adjustRightInd w:val="0"/>
        <w:spacing w:before="120" w:after="120"/>
        <w:ind w:firstLine="720"/>
        <w:rPr>
          <w:kern w:val="22"/>
          <w:szCs w:val="22"/>
          <w14:cntxtAlts/>
        </w:rPr>
      </w:pPr>
      <w:r w:rsidRPr="008022A0">
        <w:rPr>
          <w:kern w:val="22"/>
          <w:szCs w:val="22"/>
          <w14:cntxtAlts/>
        </w:rPr>
        <w:t>4.</w:t>
      </w:r>
      <w:r w:rsidRPr="008022A0">
        <w:rPr>
          <w:kern w:val="22"/>
          <w:szCs w:val="22"/>
          <w14:cntxtAlts/>
        </w:rPr>
        <w:tab/>
      </w:r>
      <w:r w:rsidRPr="008022A0">
        <w:rPr>
          <w:i/>
          <w:iCs/>
          <w:kern w:val="22"/>
          <w:szCs w:val="22"/>
          <w14:cntxtAlts/>
        </w:rPr>
        <w:t xml:space="preserve">Requests </w:t>
      </w:r>
      <w:r w:rsidRPr="008022A0">
        <w:rPr>
          <w:kern w:val="22"/>
          <w:szCs w:val="22"/>
          <w14:cntxtAlts/>
        </w:rPr>
        <w:t>the Executive Secretary, in consultation with the Bureau, to further improve the planning and organization of future concurrent meetings on the basis of the experience gained to date and the views expressed by Parties and observers;</w:t>
      </w:r>
    </w:p>
    <w:p w14:paraId="75E1F946" w14:textId="77777777" w:rsidR="0050667D" w:rsidRPr="008022A0" w:rsidRDefault="0050667D" w:rsidP="00620DF5">
      <w:pPr>
        <w:keepNext/>
        <w:suppressLineNumbers/>
        <w:tabs>
          <w:tab w:val="left" w:pos="567"/>
        </w:tabs>
        <w:suppressAutoHyphens/>
        <w:autoSpaceDE w:val="0"/>
        <w:autoSpaceDN w:val="0"/>
        <w:adjustRightInd w:val="0"/>
        <w:spacing w:before="120" w:after="120"/>
        <w:jc w:val="center"/>
        <w:rPr>
          <w:b/>
          <w:bCs/>
          <w:kern w:val="22"/>
          <w:szCs w:val="22"/>
          <w14:cntxtAlts/>
        </w:rPr>
      </w:pPr>
      <w:r w:rsidRPr="008022A0">
        <w:rPr>
          <w:b/>
          <w:bCs/>
          <w:kern w:val="22"/>
          <w:szCs w:val="22"/>
          <w14:cntxtAlts/>
        </w:rPr>
        <w:t>B.</w:t>
      </w:r>
      <w:r w:rsidRPr="008022A0">
        <w:rPr>
          <w:b/>
          <w:bCs/>
          <w:kern w:val="22"/>
          <w:szCs w:val="22"/>
          <w14:cntxtAlts/>
        </w:rPr>
        <w:tab/>
        <w:t>Experience with virtual meetings</w:t>
      </w:r>
    </w:p>
    <w:p w14:paraId="7924DACD" w14:textId="77777777" w:rsidR="0050667D" w:rsidRPr="008022A0" w:rsidRDefault="0050667D" w:rsidP="008022A0">
      <w:pPr>
        <w:suppressLineNumbers/>
        <w:suppressAutoHyphens/>
        <w:autoSpaceDE w:val="0"/>
        <w:autoSpaceDN w:val="0"/>
        <w:adjustRightInd w:val="0"/>
        <w:spacing w:after="120"/>
        <w:ind w:firstLine="720"/>
        <w:rPr>
          <w:kern w:val="22"/>
          <w:szCs w:val="22"/>
          <w14:cntxtAlts/>
        </w:rPr>
      </w:pPr>
      <w:r w:rsidRPr="008022A0">
        <w:rPr>
          <w:i/>
          <w:iCs/>
          <w:kern w:val="22"/>
          <w:szCs w:val="22"/>
          <w14:cntxtAlts/>
        </w:rPr>
        <w:t>Recalling</w:t>
      </w:r>
      <w:r w:rsidRPr="008022A0">
        <w:rPr>
          <w:kern w:val="22"/>
          <w:szCs w:val="22"/>
          <w14:cntxtAlts/>
        </w:rPr>
        <w:t xml:space="preserve"> decision XII/29, paragraph 2, in which the Executive Secretary was requested to explore ways to increase the efficiency of meetings, including convening meetings through virtual means, and further developments in that regard,</w:t>
      </w:r>
    </w:p>
    <w:p w14:paraId="15EAEBBA" w14:textId="77777777" w:rsidR="0050667D" w:rsidRPr="008022A0" w:rsidRDefault="0050667D" w:rsidP="008022A0">
      <w:pPr>
        <w:suppressLineNumbers/>
        <w:suppressAutoHyphens/>
        <w:autoSpaceDE w:val="0"/>
        <w:autoSpaceDN w:val="0"/>
        <w:adjustRightInd w:val="0"/>
        <w:spacing w:after="120"/>
        <w:ind w:firstLine="720"/>
        <w:rPr>
          <w:kern w:val="22"/>
          <w:szCs w:val="22"/>
          <w14:cntxtAlts/>
        </w:rPr>
      </w:pPr>
      <w:r w:rsidRPr="008022A0">
        <w:rPr>
          <w:i/>
          <w:iCs/>
          <w:kern w:val="22"/>
          <w:szCs w:val="22"/>
          <w14:cntxtAlts/>
        </w:rPr>
        <w:t>Recognizing</w:t>
      </w:r>
      <w:r w:rsidRPr="008022A0">
        <w:rPr>
          <w:kern w:val="22"/>
          <w:szCs w:val="22"/>
          <w14:cntxtAlts/>
        </w:rPr>
        <w:t xml:space="preserve"> the restrictions imposed as a result of the COVID-19 pandemic since March 2020, which rendered in-person meetings impracticable,</w:t>
      </w:r>
    </w:p>
    <w:p w14:paraId="7061FEC8" w14:textId="77777777" w:rsidR="0050667D" w:rsidRPr="008022A0" w:rsidRDefault="0050667D" w:rsidP="008022A0">
      <w:pPr>
        <w:suppressLineNumbers/>
        <w:suppressAutoHyphens/>
        <w:autoSpaceDE w:val="0"/>
        <w:autoSpaceDN w:val="0"/>
        <w:adjustRightInd w:val="0"/>
        <w:spacing w:after="120"/>
        <w:ind w:firstLine="720"/>
        <w:rPr>
          <w:kern w:val="22"/>
          <w:szCs w:val="22"/>
          <w:lang w:val="en-US"/>
          <w14:cntxtAlts/>
        </w:rPr>
      </w:pPr>
      <w:r w:rsidRPr="008022A0">
        <w:rPr>
          <w:kern w:val="22"/>
          <w:szCs w:val="22"/>
          <w14:cntxtAlts/>
        </w:rPr>
        <w:t>5.</w:t>
      </w:r>
      <w:r w:rsidRPr="008022A0">
        <w:rPr>
          <w:kern w:val="22"/>
          <w:szCs w:val="22"/>
          <w14:cntxtAlts/>
        </w:rPr>
        <w:tab/>
      </w:r>
      <w:r w:rsidRPr="008022A0">
        <w:rPr>
          <w:i/>
          <w:iCs/>
          <w:kern w:val="22"/>
          <w:szCs w:val="22"/>
          <w14:cntxtAlts/>
        </w:rPr>
        <w:t xml:space="preserve">Notes </w:t>
      </w:r>
      <w:r w:rsidRPr="008022A0">
        <w:rPr>
          <w:kern w:val="22"/>
          <w:szCs w:val="22"/>
          <w14:cntxtAlts/>
        </w:rPr>
        <w:t>the expeditious adjustments and arrangements made by the Secretariat, and the understanding and flexibility demonstrated by presiding officers and participants, which allowed the convening of a number of meetings and consultations in a virtual setting in response to the limitations caused by the pandemic situation, notwithstanding the inconveniences arising from such a setting, and the limitations that were agreed with regard to decision-making;</w:t>
      </w:r>
    </w:p>
    <w:p w14:paraId="7A78320B" w14:textId="77777777" w:rsidR="0050667D" w:rsidRPr="008022A0" w:rsidRDefault="0050667D" w:rsidP="008022A0">
      <w:pPr>
        <w:suppressLineNumbers/>
        <w:suppressAutoHyphens/>
        <w:autoSpaceDE w:val="0"/>
        <w:autoSpaceDN w:val="0"/>
        <w:adjustRightInd w:val="0"/>
        <w:spacing w:after="120"/>
        <w:ind w:firstLine="720"/>
        <w:rPr>
          <w:kern w:val="22"/>
          <w:szCs w:val="22"/>
          <w14:cntxtAlts/>
        </w:rPr>
      </w:pPr>
      <w:r w:rsidRPr="008022A0">
        <w:rPr>
          <w:kern w:val="22"/>
          <w:szCs w:val="22"/>
          <w:lang w:val="en-US"/>
          <w14:cntxtAlts/>
        </w:rPr>
        <w:t>6.</w:t>
      </w:r>
      <w:r w:rsidRPr="008022A0">
        <w:rPr>
          <w:i/>
          <w:iCs/>
          <w:kern w:val="22"/>
          <w:szCs w:val="22"/>
          <w:lang w:val="en-US"/>
          <w14:cntxtAlts/>
        </w:rPr>
        <w:tab/>
        <w:t xml:space="preserve">Agrees </w:t>
      </w:r>
      <w:r w:rsidRPr="008022A0">
        <w:rPr>
          <w:kern w:val="22"/>
          <w:szCs w:val="22"/>
          <w:lang w:val="en-US"/>
          <w14:cntxtAlts/>
        </w:rPr>
        <w:t xml:space="preserve">that </w:t>
      </w:r>
      <w:r w:rsidRPr="008E6B96">
        <w:rPr>
          <w:kern w:val="22"/>
          <w:szCs w:val="22"/>
          <w:lang w:val="en-US"/>
          <w14:cntxtAlts/>
        </w:rPr>
        <w:t>the</w:t>
      </w:r>
      <w:r>
        <w:rPr>
          <w:kern w:val="22"/>
          <w:szCs w:val="22"/>
          <w:lang w:val="en-US"/>
          <w14:cntxtAlts/>
        </w:rPr>
        <w:t xml:space="preserve"> </w:t>
      </w:r>
      <w:r w:rsidRPr="008022A0">
        <w:rPr>
          <w:kern w:val="22"/>
          <w:szCs w:val="22"/>
          <w:lang w:val="en-US"/>
          <w14:cntxtAlts/>
        </w:rPr>
        <w:t>convening of formal meetings in a virtual setting, while important in terms of responding to the extraordinary circumstances caused by the COVID-19 pandemic, does not set a precedent for the future organization of similar meetings under the Convention;</w:t>
      </w:r>
      <w:r>
        <w:rPr>
          <w:kern w:val="22"/>
          <w:szCs w:val="22"/>
          <w:lang w:val="en-US"/>
          <w14:cntxtAlts/>
        </w:rPr>
        <w:t xml:space="preserve"> </w:t>
      </w:r>
    </w:p>
    <w:p w14:paraId="7024C5B5" w14:textId="77777777" w:rsidR="0050667D" w:rsidRPr="008022A0" w:rsidRDefault="0050667D" w:rsidP="008022A0">
      <w:pPr>
        <w:suppressLineNumbers/>
        <w:suppressAutoHyphens/>
        <w:autoSpaceDE w:val="0"/>
        <w:autoSpaceDN w:val="0"/>
        <w:adjustRightInd w:val="0"/>
        <w:spacing w:after="120"/>
        <w:ind w:firstLine="720"/>
        <w:rPr>
          <w:kern w:val="22"/>
          <w:szCs w:val="22"/>
          <w14:cntxtAlts/>
        </w:rPr>
      </w:pPr>
      <w:r w:rsidRPr="008022A0">
        <w:rPr>
          <w:kern w:val="22"/>
          <w:szCs w:val="22"/>
          <w14:cntxtAlts/>
        </w:rPr>
        <w:t>7.</w:t>
      </w:r>
      <w:r w:rsidRPr="008022A0">
        <w:rPr>
          <w:kern w:val="22"/>
          <w:szCs w:val="22"/>
          <w14:cntxtAlts/>
        </w:rPr>
        <w:tab/>
      </w:r>
      <w:r w:rsidRPr="008022A0">
        <w:rPr>
          <w:i/>
          <w:iCs/>
          <w:kern w:val="22"/>
          <w:szCs w:val="22"/>
          <w14:cntxtAlts/>
        </w:rPr>
        <w:t>Encourages</w:t>
      </w:r>
      <w:r w:rsidRPr="008022A0">
        <w:rPr>
          <w:kern w:val="22"/>
          <w:szCs w:val="22"/>
          <w14:cntxtAlts/>
        </w:rPr>
        <w:t xml:space="preserve"> Parties and observers to continue to participate in hybrid meetings, </w:t>
      </w:r>
      <w:r>
        <w:rPr>
          <w:kern w:val="22"/>
          <w:szCs w:val="22"/>
          <w14:cntxtAlts/>
        </w:rPr>
        <w:t xml:space="preserve">when applicable, and in extraordinary circumstances, in virtual meetings, </w:t>
      </w:r>
      <w:r w:rsidRPr="008022A0">
        <w:rPr>
          <w:kern w:val="22"/>
          <w:szCs w:val="22"/>
          <w14:cntxtAlts/>
        </w:rPr>
        <w:t xml:space="preserve">while recognizing the need to ensure the full and effective participation of </w:t>
      </w:r>
      <w:r>
        <w:rPr>
          <w:kern w:val="22"/>
          <w:szCs w:val="22"/>
          <w14:cntxtAlts/>
        </w:rPr>
        <w:t xml:space="preserve">Parties, especially </w:t>
      </w:r>
      <w:r w:rsidRPr="008022A0">
        <w:rPr>
          <w:kern w:val="22"/>
          <w:szCs w:val="22"/>
          <w14:cntxtAlts/>
        </w:rPr>
        <w:t>developing country Parties</w:t>
      </w:r>
      <w:r>
        <w:rPr>
          <w:kern w:val="22"/>
          <w:szCs w:val="22"/>
          <w14:cntxtAlts/>
        </w:rPr>
        <w:t xml:space="preserve">, in particular the least developed and small island developing States among them, and Parties with economies in transition, </w:t>
      </w:r>
      <w:r w:rsidRPr="008022A0">
        <w:rPr>
          <w:kern w:val="22"/>
          <w:szCs w:val="22"/>
          <w14:cntxtAlts/>
        </w:rPr>
        <w:t>to promote transparent and inclusive processes under the Convention</w:t>
      </w:r>
      <w:r>
        <w:rPr>
          <w:kern w:val="22"/>
          <w:szCs w:val="22"/>
          <w14:cntxtAlts/>
        </w:rPr>
        <w:t>, as long as no final decisions are taken virtually, with the exception of budgetary and procedural matters</w:t>
      </w:r>
      <w:r w:rsidRPr="008022A0">
        <w:rPr>
          <w:iCs/>
          <w:kern w:val="22"/>
          <w:szCs w:val="22"/>
          <w14:cntxtAlts/>
        </w:rPr>
        <w:t>;</w:t>
      </w:r>
    </w:p>
    <w:p w14:paraId="4DC19861" w14:textId="77777777" w:rsidR="0050667D" w:rsidRPr="008022A0" w:rsidRDefault="0050667D" w:rsidP="008022A0">
      <w:pPr>
        <w:suppressLineNumbers/>
        <w:suppressAutoHyphens/>
        <w:autoSpaceDE w:val="0"/>
        <w:autoSpaceDN w:val="0"/>
        <w:adjustRightInd w:val="0"/>
        <w:spacing w:after="120"/>
        <w:ind w:firstLine="720"/>
        <w:rPr>
          <w:kern w:val="22"/>
          <w:szCs w:val="22"/>
          <w14:cntxtAlts/>
        </w:rPr>
      </w:pPr>
      <w:r w:rsidRPr="008022A0">
        <w:rPr>
          <w:kern w:val="22"/>
          <w:szCs w:val="22"/>
          <w14:cntxtAlts/>
        </w:rPr>
        <w:t>8.</w:t>
      </w:r>
      <w:r w:rsidRPr="008022A0">
        <w:rPr>
          <w:kern w:val="22"/>
          <w:szCs w:val="22"/>
          <w14:cntxtAlts/>
        </w:rPr>
        <w:tab/>
      </w:r>
      <w:r w:rsidRPr="008022A0">
        <w:rPr>
          <w:i/>
          <w:iCs/>
          <w:kern w:val="22"/>
          <w:szCs w:val="22"/>
          <w14:cntxtAlts/>
        </w:rPr>
        <w:t>Requests</w:t>
      </w:r>
      <w:r w:rsidRPr="008022A0">
        <w:rPr>
          <w:kern w:val="22"/>
          <w:szCs w:val="22"/>
          <w14:cntxtAlts/>
        </w:rPr>
        <w:t xml:space="preserve"> the Executive Secretary to compile views from Parties and relevant stakeholders, and the experience and relevant studies available, especially within the United Nations </w:t>
      </w:r>
      <w:r w:rsidRPr="008E6B96">
        <w:rPr>
          <w:kern w:val="22"/>
          <w:szCs w:val="22"/>
          <w14:cntxtAlts/>
        </w:rPr>
        <w:t xml:space="preserve">system, </w:t>
      </w:r>
      <w:r w:rsidRPr="00562785">
        <w:rPr>
          <w:kern w:val="22"/>
          <w:szCs w:val="22"/>
          <w14:cntxtAlts/>
        </w:rPr>
        <w:t>o</w:t>
      </w:r>
      <w:r w:rsidRPr="008E6B96">
        <w:rPr>
          <w:kern w:val="22"/>
          <w:szCs w:val="22"/>
          <w14:cntxtAlts/>
        </w:rPr>
        <w:t>n</w:t>
      </w:r>
      <w:r w:rsidRPr="008022A0">
        <w:rPr>
          <w:kern w:val="22"/>
          <w:szCs w:val="22"/>
          <w14:cntxtAlts/>
        </w:rPr>
        <w:t xml:space="preserve"> conducting virtual and hybrid meetings held in 2021 and 2022, and </w:t>
      </w:r>
      <w:r>
        <w:rPr>
          <w:kern w:val="22"/>
          <w:szCs w:val="22"/>
          <w14:cntxtAlts/>
        </w:rPr>
        <w:t xml:space="preserve">to </w:t>
      </w:r>
      <w:r w:rsidRPr="008022A0">
        <w:rPr>
          <w:kern w:val="22"/>
          <w:szCs w:val="22"/>
          <w14:cntxtAlts/>
        </w:rPr>
        <w:t xml:space="preserve">prepare options for procedures for such </w:t>
      </w:r>
      <w:r>
        <w:rPr>
          <w:kern w:val="22"/>
          <w:szCs w:val="22"/>
          <w14:cntxtAlts/>
        </w:rPr>
        <w:t xml:space="preserve">hybrid </w:t>
      </w:r>
      <w:r w:rsidRPr="008022A0">
        <w:rPr>
          <w:kern w:val="22"/>
          <w:szCs w:val="22"/>
          <w14:cntxtAlts/>
        </w:rPr>
        <w:t>meetings</w:t>
      </w:r>
      <w:r>
        <w:rPr>
          <w:kern w:val="22"/>
          <w:szCs w:val="22"/>
          <w14:cntxtAlts/>
        </w:rPr>
        <w:t>,</w:t>
      </w:r>
      <w:r w:rsidRPr="008022A0">
        <w:rPr>
          <w:kern w:val="22"/>
          <w:szCs w:val="22"/>
          <w14:cntxtAlts/>
        </w:rPr>
        <w:t xml:space="preserve"> </w:t>
      </w:r>
      <w:r>
        <w:rPr>
          <w:kern w:val="22"/>
          <w:szCs w:val="22"/>
          <w14:cntxtAlts/>
        </w:rPr>
        <w:t xml:space="preserve">and </w:t>
      </w:r>
      <w:r w:rsidRPr="008022A0">
        <w:rPr>
          <w:kern w:val="22"/>
          <w:szCs w:val="22"/>
          <w14:cntxtAlts/>
        </w:rPr>
        <w:t>under extraordinary circumstances</w:t>
      </w:r>
      <w:r>
        <w:rPr>
          <w:kern w:val="22"/>
          <w:szCs w:val="22"/>
          <w14:cntxtAlts/>
        </w:rPr>
        <w:t xml:space="preserve"> for virtual meetings</w:t>
      </w:r>
      <w:r w:rsidRPr="008022A0">
        <w:rPr>
          <w:kern w:val="22"/>
          <w:szCs w:val="22"/>
          <w14:cntxtAlts/>
        </w:rPr>
        <w:t xml:space="preserve">, taking into account the specific challenges faced by delegations with network and connectivity difficulties, </w:t>
      </w:r>
      <w:r>
        <w:rPr>
          <w:kern w:val="22"/>
          <w:szCs w:val="22"/>
          <w14:cntxtAlts/>
        </w:rPr>
        <w:t>especially</w:t>
      </w:r>
      <w:r w:rsidRPr="008022A0">
        <w:rPr>
          <w:kern w:val="22"/>
          <w:szCs w:val="22"/>
          <w14:cntxtAlts/>
        </w:rPr>
        <w:t xml:space="preserve"> by developing country Parties</w:t>
      </w:r>
      <w:r>
        <w:rPr>
          <w:kern w:val="22"/>
          <w:szCs w:val="22"/>
          <w14:cntxtAlts/>
        </w:rPr>
        <w:t xml:space="preserve">, in particular the least developed and small island developing States among them, and Parties with economies in transition, </w:t>
      </w:r>
      <w:r w:rsidRPr="008022A0">
        <w:rPr>
          <w:kern w:val="22"/>
          <w:szCs w:val="22"/>
          <w14:cntxtAlts/>
        </w:rPr>
        <w:t>as well as indigenous peoples and local communities and observers, and by those delegations from countries where meetings are scheduled at difficult times, addressing issues about equity, participation and legitimacy for consideration by the Subsidiary Body on Implementation at its fourth meeting;</w:t>
      </w:r>
    </w:p>
    <w:p w14:paraId="16FFA32C" w14:textId="77777777" w:rsidR="0050667D" w:rsidRPr="008022A0" w:rsidRDefault="0050667D" w:rsidP="008022A0">
      <w:pPr>
        <w:suppressLineNumbers/>
        <w:suppressAutoHyphens/>
        <w:autoSpaceDE w:val="0"/>
        <w:autoSpaceDN w:val="0"/>
        <w:adjustRightInd w:val="0"/>
        <w:spacing w:after="120"/>
        <w:ind w:firstLine="720"/>
        <w:rPr>
          <w:kern w:val="22"/>
          <w:szCs w:val="22"/>
          <w14:cntxtAlts/>
        </w:rPr>
      </w:pPr>
      <w:r w:rsidRPr="008022A0">
        <w:rPr>
          <w:kern w:val="22"/>
          <w:szCs w:val="22"/>
          <w14:cntxtAlts/>
        </w:rPr>
        <w:t>9.</w:t>
      </w:r>
      <w:r w:rsidRPr="008022A0">
        <w:rPr>
          <w:kern w:val="22"/>
          <w:szCs w:val="22"/>
          <w14:cntxtAlts/>
        </w:rPr>
        <w:tab/>
      </w:r>
      <w:r w:rsidRPr="008022A0">
        <w:rPr>
          <w:i/>
          <w:iCs/>
          <w:kern w:val="22"/>
          <w:szCs w:val="22"/>
          <w14:cntxtAlts/>
        </w:rPr>
        <w:t>Requests</w:t>
      </w:r>
      <w:r w:rsidRPr="008022A0">
        <w:rPr>
          <w:kern w:val="22"/>
          <w:szCs w:val="22"/>
          <w14:cntxtAlts/>
        </w:rPr>
        <w:t xml:space="preserve"> the Subsidiary Body on Implementation to consider the compilation of views, </w:t>
      </w:r>
      <w:r>
        <w:rPr>
          <w:kern w:val="22"/>
          <w:szCs w:val="22"/>
          <w14:cntxtAlts/>
        </w:rPr>
        <w:t xml:space="preserve">analysis </w:t>
      </w:r>
      <w:r w:rsidRPr="008022A0">
        <w:rPr>
          <w:kern w:val="22"/>
          <w:szCs w:val="22"/>
          <w14:cntxtAlts/>
        </w:rPr>
        <w:t xml:space="preserve">and options referred to in paragraph 8 above and to make recommendations to </w:t>
      </w:r>
      <w:r>
        <w:rPr>
          <w:kern w:val="22"/>
          <w:szCs w:val="22"/>
          <w14:cntxtAlts/>
        </w:rPr>
        <w:t xml:space="preserve">address the issues to </w:t>
      </w:r>
      <w:r w:rsidRPr="008022A0">
        <w:rPr>
          <w:kern w:val="22"/>
          <w:szCs w:val="22"/>
          <w14:cntxtAlts/>
        </w:rPr>
        <w:t>the governing bodies of the Convention and the Protocols for consideration at their next meeting</w:t>
      </w:r>
      <w:r>
        <w:rPr>
          <w:kern w:val="22"/>
          <w:szCs w:val="22"/>
          <w14:cntxtAlts/>
        </w:rPr>
        <w:t>;</w:t>
      </w:r>
    </w:p>
    <w:p w14:paraId="682391F8" w14:textId="298BFA8E" w:rsidR="0050667D" w:rsidRPr="008022A0" w:rsidRDefault="0050667D" w:rsidP="008022A0">
      <w:pPr>
        <w:keepNext/>
        <w:suppressLineNumbers/>
        <w:suppressAutoHyphens/>
        <w:autoSpaceDE w:val="0"/>
        <w:autoSpaceDN w:val="0"/>
        <w:adjustRightInd w:val="0"/>
        <w:spacing w:after="120"/>
        <w:ind w:hanging="11"/>
        <w:jc w:val="center"/>
        <w:rPr>
          <w:kern w:val="22"/>
          <w:szCs w:val="22"/>
          <w14:cntxtAlts/>
        </w:rPr>
      </w:pPr>
      <w:r w:rsidRPr="008022A0">
        <w:rPr>
          <w:b/>
          <w:bCs/>
          <w:kern w:val="22"/>
          <w:szCs w:val="22"/>
          <w14:cntxtAlts/>
        </w:rPr>
        <w:t>C.</w:t>
      </w:r>
      <w:r>
        <w:rPr>
          <w:b/>
          <w:bCs/>
          <w:kern w:val="22"/>
          <w:szCs w:val="22"/>
          <w14:cntxtAlts/>
        </w:rPr>
        <w:tab/>
      </w:r>
      <w:r w:rsidRPr="008022A0">
        <w:rPr>
          <w:b/>
          <w:bCs/>
          <w:kern w:val="22"/>
          <w:szCs w:val="22"/>
          <w14:cntxtAlts/>
        </w:rPr>
        <w:t>Other areas to improve effectiveness</w:t>
      </w:r>
    </w:p>
    <w:p w14:paraId="37A3BFC5" w14:textId="77777777" w:rsidR="0050667D" w:rsidRPr="008579C1" w:rsidRDefault="0050667D" w:rsidP="008579C1">
      <w:pPr>
        <w:suppressLineNumbers/>
        <w:suppressAutoHyphens/>
        <w:autoSpaceDE w:val="0"/>
        <w:autoSpaceDN w:val="0"/>
        <w:adjustRightInd w:val="0"/>
        <w:spacing w:after="120"/>
        <w:ind w:firstLine="720"/>
        <w:rPr>
          <w:kern w:val="22"/>
          <w:szCs w:val="22"/>
          <w14:cntxtAlts/>
        </w:rPr>
      </w:pPr>
      <w:r w:rsidRPr="008022A0">
        <w:rPr>
          <w:kern w:val="22"/>
          <w:szCs w:val="22"/>
          <w14:cntxtAlts/>
        </w:rPr>
        <w:t>10.</w:t>
      </w:r>
      <w:r w:rsidRPr="008022A0">
        <w:rPr>
          <w:kern w:val="22"/>
          <w:szCs w:val="22"/>
          <w14:cntxtAlts/>
        </w:rPr>
        <w:tab/>
      </w:r>
      <w:r w:rsidRPr="008022A0">
        <w:rPr>
          <w:i/>
          <w:iCs/>
          <w:kern w:val="22"/>
          <w:szCs w:val="22"/>
          <w14:cntxtAlts/>
        </w:rPr>
        <w:t>Requests</w:t>
      </w:r>
      <w:r w:rsidRPr="008022A0">
        <w:rPr>
          <w:kern w:val="22"/>
          <w:szCs w:val="22"/>
          <w14:cntxtAlts/>
        </w:rPr>
        <w:t xml:space="preserve"> the Executive Secretary to prepare, in consultation with Parties, </w:t>
      </w:r>
      <w:r>
        <w:rPr>
          <w:kern w:val="22"/>
          <w:szCs w:val="22"/>
          <w14:cntxtAlts/>
        </w:rPr>
        <w:t xml:space="preserve">Bureau members, </w:t>
      </w:r>
      <w:r w:rsidRPr="008022A0">
        <w:rPr>
          <w:kern w:val="22"/>
          <w:szCs w:val="22"/>
          <w14:cntxtAlts/>
        </w:rPr>
        <w:t xml:space="preserve">partners </w:t>
      </w:r>
      <w:r>
        <w:rPr>
          <w:kern w:val="22"/>
          <w:szCs w:val="22"/>
          <w14:cntxtAlts/>
        </w:rPr>
        <w:t xml:space="preserve">and </w:t>
      </w:r>
      <w:r w:rsidRPr="008022A0">
        <w:rPr>
          <w:kern w:val="22"/>
          <w:szCs w:val="22"/>
          <w14:cntxtAlts/>
        </w:rPr>
        <w:t>stakeholders</w:t>
      </w:r>
      <w:r>
        <w:rPr>
          <w:kern w:val="22"/>
          <w:szCs w:val="22"/>
          <w14:cntxtAlts/>
        </w:rPr>
        <w:t>,</w:t>
      </w:r>
      <w:r w:rsidRPr="008022A0">
        <w:rPr>
          <w:kern w:val="22"/>
          <w:szCs w:val="22"/>
          <w14:cntxtAlts/>
        </w:rPr>
        <w:t xml:space="preserve"> an analysis of options to further improve the effectiveness of meetings under the Convention on Biological Diversity, including, inter alia, options to improve negotiating processes, to better follow</w:t>
      </w:r>
      <w:r>
        <w:rPr>
          <w:kern w:val="22"/>
          <w:szCs w:val="22"/>
          <w14:cntxtAlts/>
        </w:rPr>
        <w:t xml:space="preserve"> </w:t>
      </w:r>
      <w:r w:rsidRPr="008022A0">
        <w:rPr>
          <w:kern w:val="22"/>
          <w:szCs w:val="22"/>
          <w14:cntxtAlts/>
        </w:rPr>
        <w:t xml:space="preserve">up on previous decisions, to benefit from innovations in decision-making methods and technologies, and to </w:t>
      </w:r>
      <w:r>
        <w:rPr>
          <w:kern w:val="22"/>
          <w:szCs w:val="22"/>
          <w14:cntxtAlts/>
        </w:rPr>
        <w:t xml:space="preserve">explore modalities for the </w:t>
      </w:r>
      <w:r w:rsidRPr="008022A0">
        <w:rPr>
          <w:kern w:val="22"/>
          <w:szCs w:val="22"/>
          <w14:cntxtAlts/>
        </w:rPr>
        <w:t xml:space="preserve">engagement of observers in processes under the Convention on Biological Diversity, </w:t>
      </w:r>
      <w:r>
        <w:rPr>
          <w:kern w:val="22"/>
          <w:szCs w:val="22"/>
          <w14:cntxtAlts/>
        </w:rPr>
        <w:t xml:space="preserve">while ensuring that the rules of procedure of the Convention are respected, </w:t>
      </w:r>
      <w:r w:rsidRPr="008022A0">
        <w:rPr>
          <w:kern w:val="22"/>
          <w:szCs w:val="22"/>
          <w14:cntxtAlts/>
        </w:rPr>
        <w:t>and to submit such analysis of options to the Subsidiary Body on Implementation for consideration at its fourth meeting.</w:t>
      </w:r>
    </w:p>
    <w:p w14:paraId="78B97CC7" w14:textId="77777777" w:rsidR="00F02C6B" w:rsidRDefault="00F02C6B" w:rsidP="008579C1">
      <w:pPr>
        <w:jc w:val="center"/>
        <w:sectPr w:rsidR="00F02C6B" w:rsidSect="00441700">
          <w:footnotePr>
            <w:numRestart w:val="eachSect"/>
          </w:footnotePr>
          <w:pgSz w:w="12240" w:h="15840"/>
          <w:pgMar w:top="567" w:right="1440" w:bottom="1134" w:left="1440" w:header="709" w:footer="709" w:gutter="0"/>
          <w:cols w:space="708"/>
          <w:docGrid w:linePitch="360"/>
        </w:sectPr>
      </w:pPr>
    </w:p>
    <w:p w14:paraId="0B14986C" w14:textId="77777777" w:rsidR="00F02C6B" w:rsidRPr="003969A7" w:rsidRDefault="00F02C6B" w:rsidP="003969A7">
      <w:pPr>
        <w:pStyle w:val="decision"/>
        <w:ind w:left="1134" w:right="146" w:hanging="850"/>
        <w:jc w:val="left"/>
      </w:pPr>
      <w:bookmarkStart w:id="260" w:name="_Toc118355025"/>
      <w:bookmarkStart w:id="261" w:name="_Toc150438817"/>
      <w:bookmarkStart w:id="262" w:name="_Toc150670517"/>
      <w:bookmarkStart w:id="263" w:name="_Toc150670627"/>
      <w:bookmarkStart w:id="264" w:name="_Toc150761129"/>
      <w:r>
        <w:t>15/19.</w:t>
      </w:r>
      <w:r>
        <w:tab/>
        <w:t xml:space="preserve">Programme of work of the Intergovernmental Science-Policy Platform on Biodiversity and Ecosystem </w:t>
      </w:r>
      <w:r w:rsidRPr="003969A7">
        <w:t>Services</w:t>
      </w:r>
      <w:bookmarkEnd w:id="260"/>
      <w:bookmarkEnd w:id="261"/>
      <w:bookmarkEnd w:id="262"/>
      <w:bookmarkEnd w:id="263"/>
      <w:bookmarkEnd w:id="264"/>
    </w:p>
    <w:p w14:paraId="30282C05" w14:textId="77777777" w:rsidR="00F02C6B" w:rsidRPr="00A7282C" w:rsidRDefault="00F02C6B" w:rsidP="001405F5">
      <w:pPr>
        <w:suppressLineNumbers/>
        <w:suppressAutoHyphens/>
        <w:kinsoku w:val="0"/>
        <w:overflowPunct w:val="0"/>
        <w:autoSpaceDE w:val="0"/>
        <w:autoSpaceDN w:val="0"/>
        <w:adjustRightInd w:val="0"/>
        <w:snapToGrid w:val="0"/>
        <w:spacing w:before="120" w:after="120"/>
        <w:ind w:firstLine="709"/>
        <w:rPr>
          <w:iCs/>
          <w:snapToGrid w:val="0"/>
          <w:kern w:val="22"/>
          <w:szCs w:val="22"/>
        </w:rPr>
      </w:pPr>
      <w:r w:rsidRPr="00A7282C">
        <w:rPr>
          <w:i/>
          <w:snapToGrid w:val="0"/>
          <w:kern w:val="22"/>
          <w:szCs w:val="22"/>
        </w:rPr>
        <w:t>The Conference of the Parties</w:t>
      </w:r>
      <w:r w:rsidRPr="00A7282C">
        <w:rPr>
          <w:iCs/>
          <w:snapToGrid w:val="0"/>
          <w:kern w:val="22"/>
          <w:szCs w:val="22"/>
        </w:rPr>
        <w:t>,</w:t>
      </w:r>
    </w:p>
    <w:p w14:paraId="102D8BEB" w14:textId="77777777" w:rsidR="00F02C6B" w:rsidRPr="00A7282C" w:rsidRDefault="00F02C6B" w:rsidP="001405F5">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A7282C">
        <w:rPr>
          <w:i/>
          <w:snapToGrid w:val="0"/>
          <w:kern w:val="22"/>
          <w:szCs w:val="22"/>
        </w:rPr>
        <w:t xml:space="preserve">Recalling </w:t>
      </w:r>
      <w:r w:rsidRPr="00A7282C">
        <w:rPr>
          <w:snapToGrid w:val="0"/>
          <w:kern w:val="22"/>
          <w:szCs w:val="22"/>
        </w:rPr>
        <w:t>decisions XII/25 and 14/36,</w:t>
      </w:r>
    </w:p>
    <w:p w14:paraId="3E5D7084" w14:textId="77777777" w:rsidR="00F02C6B" w:rsidRPr="00A7282C" w:rsidRDefault="00F02C6B" w:rsidP="001405F5">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A7282C">
        <w:rPr>
          <w:i/>
          <w:snapToGrid w:val="0"/>
          <w:kern w:val="22"/>
          <w:szCs w:val="22"/>
        </w:rPr>
        <w:t>Also recalling</w:t>
      </w:r>
      <w:r w:rsidRPr="00A7282C">
        <w:rPr>
          <w:snapToGrid w:val="0"/>
          <w:kern w:val="22"/>
          <w:szCs w:val="22"/>
        </w:rPr>
        <w:t xml:space="preserve"> that the Subsidiary Body on Scientific, Technical and Technological Advice has systematically considered the assessment reports prepared by the Intergovernmental Science-Policy Platform on Biodiversity and Ecosystem Services, which represent best available knowledge on the matter, and has provided pertinent recommendations for the consideration of the Conference of the Parties, in line with the procedures established in decision XII/25,</w:t>
      </w:r>
    </w:p>
    <w:p w14:paraId="21B24FFF" w14:textId="77777777" w:rsidR="00F02C6B" w:rsidRPr="00A7282C" w:rsidRDefault="00F02C6B" w:rsidP="001405F5">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A7282C">
        <w:rPr>
          <w:snapToGrid w:val="0"/>
          <w:kern w:val="22"/>
          <w:szCs w:val="22"/>
        </w:rPr>
        <w:t>1.</w:t>
      </w:r>
      <w:r w:rsidRPr="00A7282C">
        <w:rPr>
          <w:snapToGrid w:val="0"/>
          <w:kern w:val="22"/>
          <w:szCs w:val="22"/>
        </w:rPr>
        <w:tab/>
      </w:r>
      <w:r w:rsidRPr="00A7282C">
        <w:rPr>
          <w:i/>
          <w:snapToGrid w:val="0"/>
          <w:kern w:val="22"/>
          <w:szCs w:val="22"/>
        </w:rPr>
        <w:t>Welcomes</w:t>
      </w:r>
      <w:r w:rsidRPr="00A7282C">
        <w:rPr>
          <w:snapToGrid w:val="0"/>
          <w:kern w:val="22"/>
          <w:szCs w:val="22"/>
        </w:rPr>
        <w:t xml:space="preserve"> the rolling work programme of the Platform up to 2030, adopted by </w:t>
      </w:r>
      <w:bookmarkStart w:id="265" w:name="_Hlk118269540"/>
      <w:r w:rsidRPr="00A7282C">
        <w:rPr>
          <w:snapToGrid w:val="0"/>
          <w:kern w:val="22"/>
          <w:szCs w:val="22"/>
        </w:rPr>
        <w:t>the Plenary of the Intergovernmental Science-Policy Platform on Biodiversity and Ecosystem Services</w:t>
      </w:r>
      <w:bookmarkEnd w:id="265"/>
      <w:r w:rsidRPr="00A7282C">
        <w:rPr>
          <w:snapToGrid w:val="0"/>
          <w:kern w:val="22"/>
          <w:szCs w:val="22"/>
        </w:rPr>
        <w:t xml:space="preserve"> in its decision IPBES-7/1, noting with appreciation that the request of the Conference of the Parties set out in decision 14/36 has been met, and that work under the six objectives, including the assessments set out in the work programme,</w:t>
      </w:r>
      <w:r w:rsidRPr="00A7282C">
        <w:rPr>
          <w:bCs/>
          <w:snapToGrid w:val="0"/>
          <w:kern w:val="22"/>
          <w:szCs w:val="22"/>
        </w:rPr>
        <w:t xml:space="preserve"> is </w:t>
      </w:r>
      <w:r w:rsidRPr="00A7282C">
        <w:rPr>
          <w:snapToGrid w:val="0"/>
          <w:kern w:val="22"/>
          <w:szCs w:val="22"/>
        </w:rPr>
        <w:t xml:space="preserve">expected to contribute to and be essential for the implementation of the </w:t>
      </w:r>
      <w:r>
        <w:rPr>
          <w:snapToGrid w:val="0"/>
          <w:kern w:val="22"/>
          <w:szCs w:val="22"/>
        </w:rPr>
        <w:t>Kunming-Montreal</w:t>
      </w:r>
      <w:r w:rsidRPr="00A7282C">
        <w:rPr>
          <w:snapToGrid w:val="0"/>
          <w:kern w:val="22"/>
          <w:szCs w:val="22"/>
        </w:rPr>
        <w:t xml:space="preserve"> </w:t>
      </w:r>
      <w:r>
        <w:rPr>
          <w:snapToGrid w:val="0"/>
          <w:kern w:val="22"/>
          <w:szCs w:val="22"/>
        </w:rPr>
        <w:t>G</w:t>
      </w:r>
      <w:r w:rsidRPr="00A7282C">
        <w:rPr>
          <w:snapToGrid w:val="0"/>
          <w:kern w:val="22"/>
          <w:szCs w:val="22"/>
        </w:rPr>
        <w:t xml:space="preserve">lobal </w:t>
      </w:r>
      <w:r>
        <w:rPr>
          <w:snapToGrid w:val="0"/>
          <w:kern w:val="22"/>
          <w:szCs w:val="22"/>
        </w:rPr>
        <w:t>B</w:t>
      </w:r>
      <w:r w:rsidRPr="00A7282C">
        <w:rPr>
          <w:snapToGrid w:val="0"/>
          <w:kern w:val="22"/>
          <w:szCs w:val="22"/>
        </w:rPr>
        <w:t xml:space="preserve">iodiversity </w:t>
      </w:r>
      <w:r>
        <w:rPr>
          <w:snapToGrid w:val="0"/>
          <w:kern w:val="22"/>
          <w:szCs w:val="22"/>
        </w:rPr>
        <w:t>F</w:t>
      </w:r>
      <w:r w:rsidRPr="00A7282C">
        <w:rPr>
          <w:snapToGrid w:val="0"/>
          <w:kern w:val="22"/>
          <w:szCs w:val="22"/>
        </w:rPr>
        <w:t>ramework;</w:t>
      </w:r>
    </w:p>
    <w:p w14:paraId="50B3AD85" w14:textId="77777777" w:rsidR="00F02C6B" w:rsidRPr="001405F5" w:rsidRDefault="00F02C6B" w:rsidP="001405F5">
      <w:pPr>
        <w:suppressLineNumbers/>
        <w:suppressAutoHyphens/>
        <w:kinsoku w:val="0"/>
        <w:overflowPunct w:val="0"/>
        <w:autoSpaceDE w:val="0"/>
        <w:autoSpaceDN w:val="0"/>
        <w:adjustRightInd w:val="0"/>
        <w:snapToGrid w:val="0"/>
        <w:spacing w:before="120" w:after="120"/>
        <w:ind w:firstLine="709"/>
        <w:rPr>
          <w:snapToGrid w:val="0"/>
          <w:kern w:val="22"/>
          <w:szCs w:val="22"/>
          <w:highlight w:val="yellow"/>
        </w:rPr>
      </w:pPr>
      <w:r w:rsidRPr="00A7282C">
        <w:rPr>
          <w:snapToGrid w:val="0"/>
          <w:kern w:val="22"/>
          <w:szCs w:val="22"/>
        </w:rPr>
        <w:t>2.</w:t>
      </w:r>
      <w:r w:rsidRPr="00A7282C">
        <w:rPr>
          <w:snapToGrid w:val="0"/>
          <w:kern w:val="22"/>
          <w:szCs w:val="22"/>
        </w:rPr>
        <w:tab/>
      </w:r>
      <w:r w:rsidRPr="00A7282C">
        <w:rPr>
          <w:i/>
          <w:iCs/>
          <w:snapToGrid w:val="0"/>
          <w:kern w:val="22"/>
          <w:szCs w:val="22"/>
        </w:rPr>
        <w:t>Also welcomes</w:t>
      </w:r>
      <w:r w:rsidRPr="00A7282C">
        <w:rPr>
          <w:snapToGrid w:val="0"/>
          <w:kern w:val="22"/>
          <w:szCs w:val="22"/>
        </w:rPr>
        <w:t xml:space="preserve"> the ground-breaking efforts of the Intergovernmental Science-Policy Platform on Biodiversity and Ecosystem Services to advance the inclusion of indigenous and local knowledge and diverse knowledge systems in all its assessments and other functions through the implementation of its approach to recognizing and working with indigenous and local knowledge in the Intergovernmental Science-Policy Platform on Biodiversity and Ecosystem Services </w:t>
      </w:r>
      <w:r w:rsidRPr="00B51962">
        <w:rPr>
          <w:snapToGrid w:val="0"/>
          <w:kern w:val="22"/>
          <w:szCs w:val="22"/>
        </w:rPr>
        <w:t>set out in</w:t>
      </w:r>
      <w:r w:rsidRPr="00A7282C">
        <w:rPr>
          <w:snapToGrid w:val="0"/>
          <w:kern w:val="22"/>
          <w:szCs w:val="22"/>
        </w:rPr>
        <w:t xml:space="preserve"> annex II to decision IPBES-5/1, as well as its engagement with self-organized networks and organizations of indigenous peoples and local communities and stakeholders through the implementation of its stakeholder engagement strategy set out in annex II to decision IPBES</w:t>
      </w:r>
      <w:r w:rsidRPr="00A7282C">
        <w:rPr>
          <w:snapToGrid w:val="0"/>
          <w:kern w:val="22"/>
          <w:szCs w:val="22"/>
        </w:rPr>
        <w:noBreakHyphen/>
        <w:t>3/</w:t>
      </w:r>
      <w:r w:rsidRPr="00C06CEC">
        <w:rPr>
          <w:snapToGrid w:val="0"/>
          <w:kern w:val="22"/>
          <w:szCs w:val="22"/>
        </w:rPr>
        <w:t>4, and invites</w:t>
      </w:r>
      <w:r w:rsidRPr="00C06CEC">
        <w:rPr>
          <w:i/>
          <w:iCs/>
          <w:snapToGrid w:val="0"/>
          <w:kern w:val="22"/>
          <w:szCs w:val="22"/>
        </w:rPr>
        <w:t xml:space="preserve"> </w:t>
      </w:r>
      <w:r w:rsidRPr="00C06CEC">
        <w:rPr>
          <w:snapToGrid w:val="0"/>
          <w:kern w:val="22"/>
          <w:szCs w:val="22"/>
        </w:rPr>
        <w:t>the Intergovernmental Science-Policy Platform on Biodiversity and Ecosystem Services to continue to strengthen these efforts in the implementation of the relevant objectives of the 2030 work programme;</w:t>
      </w:r>
    </w:p>
    <w:p w14:paraId="1814B6E3" w14:textId="77777777" w:rsidR="00F02C6B" w:rsidRPr="00A7282C" w:rsidRDefault="00F02C6B" w:rsidP="001405F5">
      <w:pPr>
        <w:suppressLineNumbers/>
        <w:suppressAutoHyphens/>
        <w:kinsoku w:val="0"/>
        <w:overflowPunct w:val="0"/>
        <w:autoSpaceDE w:val="0"/>
        <w:autoSpaceDN w:val="0"/>
        <w:adjustRightInd w:val="0"/>
        <w:snapToGrid w:val="0"/>
        <w:spacing w:before="120" w:after="120"/>
        <w:ind w:firstLine="709"/>
        <w:rPr>
          <w:snapToGrid w:val="0"/>
          <w:kern w:val="22"/>
          <w:szCs w:val="22"/>
        </w:rPr>
      </w:pPr>
      <w:r w:rsidRPr="00A7282C">
        <w:rPr>
          <w:snapToGrid w:val="0"/>
          <w:kern w:val="22"/>
          <w:szCs w:val="22"/>
        </w:rPr>
        <w:t>3.</w:t>
      </w:r>
      <w:r w:rsidRPr="00A7282C">
        <w:rPr>
          <w:snapToGrid w:val="0"/>
          <w:kern w:val="22"/>
          <w:szCs w:val="22"/>
        </w:rPr>
        <w:tab/>
      </w:r>
      <w:r w:rsidRPr="00A7282C">
        <w:rPr>
          <w:i/>
          <w:iCs/>
          <w:snapToGrid w:val="0"/>
          <w:kern w:val="22"/>
          <w:szCs w:val="22"/>
        </w:rPr>
        <w:t>Further</w:t>
      </w:r>
      <w:r w:rsidRPr="00A7282C">
        <w:rPr>
          <w:snapToGrid w:val="0"/>
          <w:kern w:val="22"/>
          <w:szCs w:val="22"/>
        </w:rPr>
        <w:t xml:space="preserve"> </w:t>
      </w:r>
      <w:r w:rsidRPr="00A7282C">
        <w:rPr>
          <w:i/>
          <w:iCs/>
          <w:snapToGrid w:val="0"/>
          <w:kern w:val="22"/>
          <w:szCs w:val="22"/>
        </w:rPr>
        <w:t>welcomes</w:t>
      </w:r>
      <w:r w:rsidRPr="00A7282C">
        <w:rPr>
          <w:snapToGrid w:val="0"/>
          <w:kern w:val="22"/>
          <w:szCs w:val="22"/>
        </w:rPr>
        <w:t xml:space="preserve"> the fact that the rolling work programme up to 2030 of the Platform includes objectives related to each of the four functions of the Intergovernmental Science-Policy Platform on Biodiversity and Ecosystem Services, as well as strengthening communication and engagement of Governments and stakeholders and improvement of the effectiveness of the Platform, implemented in a manner whereby the objectives are mutually supportive;</w:t>
      </w:r>
    </w:p>
    <w:p w14:paraId="6DB8E7B2" w14:textId="77777777" w:rsidR="00F02C6B" w:rsidRDefault="00F02C6B">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color w:val="000000" w:themeColor="text1"/>
          <w:kern w:val="22"/>
          <w:szCs w:val="22"/>
        </w:rPr>
      </w:pPr>
      <w:r w:rsidRPr="00035308">
        <w:rPr>
          <w:snapToGrid w:val="0"/>
          <w:color w:val="000000" w:themeColor="text1"/>
          <w:kern w:val="22"/>
          <w:szCs w:val="22"/>
          <w:shd w:val="clear" w:color="auto" w:fill="FFFFFF" w:themeFill="background1"/>
        </w:rPr>
        <w:t>4.</w:t>
      </w:r>
      <w:r w:rsidRPr="00A7282C">
        <w:rPr>
          <w:snapToGrid w:val="0"/>
          <w:color w:val="000000" w:themeColor="text1"/>
          <w:kern w:val="22"/>
          <w:szCs w:val="22"/>
          <w:shd w:val="clear" w:color="auto" w:fill="FFFFFF" w:themeFill="background1"/>
        </w:rPr>
        <w:tab/>
      </w:r>
      <w:r w:rsidRPr="00A7282C">
        <w:rPr>
          <w:i/>
          <w:iCs/>
          <w:snapToGrid w:val="0"/>
          <w:color w:val="000000" w:themeColor="text1"/>
          <w:kern w:val="22"/>
          <w:szCs w:val="22"/>
          <w:shd w:val="clear" w:color="auto" w:fill="FFFFFF" w:themeFill="background1"/>
        </w:rPr>
        <w:t>Welcomes</w:t>
      </w:r>
      <w:r w:rsidRPr="00A7282C">
        <w:rPr>
          <w:snapToGrid w:val="0"/>
          <w:color w:val="000000" w:themeColor="text1"/>
          <w:kern w:val="22"/>
          <w:szCs w:val="22"/>
          <w:shd w:val="clear" w:color="auto" w:fill="FFFFFF" w:themeFill="background1"/>
        </w:rPr>
        <w:t xml:space="preserve"> the approval by the Plenary of the Intergovernmental Science-Policy Platform on Biodiversity and Ecosystem Services, at its eighth session, to undertake thematic assessments on the interlinkages among biodiversity, water, food and health (“the nexus assessment”), and on the underlying causes of biodiversity loss and the determinants of transformative change and options for achieving the 2050 vision (“the transformative change assessment”), and, at its ninth session, to undertake a methodological assessment of the impact and dependence of business on biodiversity and nature’s contributions to people (“the business and biodiversity assessment”), as outlined in the respective scoping reports,</w:t>
      </w:r>
      <w:r w:rsidRPr="00610646">
        <w:rPr>
          <w:rStyle w:val="FootnoteReference"/>
          <w:rFonts w:eastAsiaTheme="majorEastAsia"/>
        </w:rPr>
        <w:footnoteReference w:id="304"/>
      </w:r>
      <w:r w:rsidRPr="00A7282C">
        <w:rPr>
          <w:snapToGrid w:val="0"/>
          <w:color w:val="000000" w:themeColor="text1"/>
          <w:kern w:val="22"/>
          <w:szCs w:val="22"/>
          <w:shd w:val="clear" w:color="auto" w:fill="FFFFFF" w:themeFill="background1"/>
        </w:rPr>
        <w:t xml:space="preserve"> </w:t>
      </w:r>
      <w:r w:rsidRPr="00C6018F">
        <w:rPr>
          <w:snapToGrid w:val="0"/>
          <w:color w:val="000000" w:themeColor="text1"/>
          <w:kern w:val="22"/>
          <w:szCs w:val="22"/>
          <w:shd w:val="clear" w:color="auto" w:fill="FFFFFF" w:themeFill="background1"/>
        </w:rPr>
        <w:t>a</w:t>
      </w:r>
      <w:r w:rsidRPr="001405F5">
        <w:rPr>
          <w:snapToGrid w:val="0"/>
          <w:color w:val="000000" w:themeColor="text1"/>
          <w:kern w:val="22"/>
          <w:szCs w:val="22"/>
          <w:shd w:val="clear" w:color="auto" w:fill="FFFFFF" w:themeFill="background1"/>
        </w:rPr>
        <w:t>s well as</w:t>
      </w:r>
      <w:r w:rsidRPr="00C6018F">
        <w:rPr>
          <w:snapToGrid w:val="0"/>
          <w:color w:val="000000" w:themeColor="text1"/>
          <w:kern w:val="22"/>
          <w:szCs w:val="22"/>
          <w:shd w:val="clear" w:color="auto" w:fill="FFFFFF" w:themeFill="background1"/>
        </w:rPr>
        <w:t xml:space="preserve"> the important</w:t>
      </w:r>
      <w:r w:rsidRPr="00A7282C">
        <w:rPr>
          <w:snapToGrid w:val="0"/>
          <w:color w:val="000000" w:themeColor="text1"/>
          <w:kern w:val="22"/>
          <w:szCs w:val="22"/>
          <w:shd w:val="clear" w:color="auto" w:fill="FFFFFF" w:themeFill="background1"/>
        </w:rPr>
        <w:t xml:space="preserve"> scientific contribution of these assessments for the implementation of the </w:t>
      </w:r>
      <w:r>
        <w:rPr>
          <w:snapToGrid w:val="0"/>
          <w:color w:val="000000" w:themeColor="text1"/>
          <w:kern w:val="22"/>
          <w:szCs w:val="22"/>
          <w:shd w:val="clear" w:color="auto" w:fill="FFFFFF" w:themeFill="background1"/>
        </w:rPr>
        <w:t>Kunming-Montreal</w:t>
      </w:r>
      <w:r w:rsidRPr="00A7282C">
        <w:rPr>
          <w:snapToGrid w:val="0"/>
          <w:color w:val="000000" w:themeColor="text1"/>
          <w:kern w:val="22"/>
          <w:szCs w:val="22"/>
          <w:shd w:val="clear" w:color="auto" w:fill="FFFFFF" w:themeFill="background1"/>
        </w:rPr>
        <w:t xml:space="preserve"> </w:t>
      </w:r>
      <w:r>
        <w:rPr>
          <w:snapToGrid w:val="0"/>
          <w:color w:val="000000" w:themeColor="text1"/>
          <w:kern w:val="22"/>
          <w:szCs w:val="22"/>
          <w:shd w:val="clear" w:color="auto" w:fill="FFFFFF" w:themeFill="background1"/>
        </w:rPr>
        <w:t>Global Biodiversity</w:t>
      </w:r>
      <w:r w:rsidRPr="00A7282C">
        <w:rPr>
          <w:snapToGrid w:val="0"/>
          <w:color w:val="000000" w:themeColor="text1"/>
          <w:kern w:val="22"/>
          <w:szCs w:val="22"/>
        </w:rPr>
        <w:t xml:space="preserve"> </w:t>
      </w:r>
      <w:r>
        <w:rPr>
          <w:snapToGrid w:val="0"/>
          <w:color w:val="000000" w:themeColor="text1"/>
          <w:kern w:val="22"/>
          <w:szCs w:val="22"/>
        </w:rPr>
        <w:t>F</w:t>
      </w:r>
      <w:r w:rsidRPr="00A7282C">
        <w:rPr>
          <w:snapToGrid w:val="0"/>
          <w:color w:val="000000" w:themeColor="text1"/>
          <w:kern w:val="22"/>
          <w:szCs w:val="22"/>
        </w:rPr>
        <w:t>ramework</w:t>
      </w:r>
      <w:r>
        <w:rPr>
          <w:snapToGrid w:val="0"/>
          <w:color w:val="000000" w:themeColor="text1"/>
          <w:kern w:val="22"/>
          <w:szCs w:val="22"/>
        </w:rPr>
        <w:t>;</w:t>
      </w:r>
      <w:r w:rsidRPr="00A7282C">
        <w:rPr>
          <w:snapToGrid w:val="0"/>
          <w:color w:val="000000" w:themeColor="text1"/>
          <w:kern w:val="22"/>
          <w:szCs w:val="22"/>
        </w:rPr>
        <w:t xml:space="preserve"> </w:t>
      </w:r>
    </w:p>
    <w:p w14:paraId="699D9192" w14:textId="77777777" w:rsidR="00F02C6B" w:rsidRPr="00C6018F" w:rsidRDefault="00F02C6B" w:rsidP="001405F5">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color w:val="000000" w:themeColor="text1"/>
          <w:kern w:val="22"/>
          <w:szCs w:val="22"/>
        </w:rPr>
      </w:pPr>
      <w:r w:rsidRPr="001405F5">
        <w:rPr>
          <w:snapToGrid w:val="0"/>
          <w:color w:val="000000" w:themeColor="text1"/>
          <w:kern w:val="22"/>
          <w:szCs w:val="22"/>
        </w:rPr>
        <w:t>5.</w:t>
      </w:r>
      <w:r w:rsidRPr="001405F5">
        <w:rPr>
          <w:i/>
          <w:iCs/>
          <w:snapToGrid w:val="0"/>
          <w:color w:val="000000" w:themeColor="text1"/>
          <w:kern w:val="22"/>
          <w:szCs w:val="22"/>
        </w:rPr>
        <w:tab/>
        <w:t>Invites</w:t>
      </w:r>
      <w:r w:rsidRPr="00C6018F">
        <w:rPr>
          <w:snapToGrid w:val="0"/>
          <w:color w:val="000000" w:themeColor="text1"/>
          <w:kern w:val="22"/>
          <w:szCs w:val="22"/>
        </w:rPr>
        <w:t xml:space="preserve"> Parties and relevant organizations to participate in the assessments</w:t>
      </w:r>
      <w:r w:rsidRPr="001405F5">
        <w:rPr>
          <w:snapToGrid w:val="0"/>
          <w:color w:val="000000" w:themeColor="text1"/>
          <w:kern w:val="22"/>
          <w:szCs w:val="22"/>
        </w:rPr>
        <w:t xml:space="preserve"> referred to in paragraph 4 above,</w:t>
      </w:r>
      <w:r w:rsidRPr="00C6018F">
        <w:rPr>
          <w:snapToGrid w:val="0"/>
          <w:color w:val="000000" w:themeColor="text1"/>
          <w:kern w:val="22"/>
          <w:szCs w:val="22"/>
        </w:rPr>
        <w:t xml:space="preserve"> through the formal review processes; </w:t>
      </w:r>
    </w:p>
    <w:p w14:paraId="5CE67C42" w14:textId="77777777" w:rsidR="00F02C6B" w:rsidRPr="001405F5" w:rsidRDefault="00F02C6B">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color w:val="000000" w:themeColor="text1"/>
          <w:kern w:val="22"/>
          <w:szCs w:val="22"/>
        </w:rPr>
      </w:pPr>
      <w:r w:rsidRPr="00C6018F">
        <w:rPr>
          <w:snapToGrid w:val="0"/>
          <w:color w:val="000000" w:themeColor="text1"/>
          <w:kern w:val="22"/>
          <w:szCs w:val="22"/>
          <w:shd w:val="clear" w:color="auto" w:fill="FFFFFF" w:themeFill="background1"/>
        </w:rPr>
        <w:t>6.</w:t>
      </w:r>
      <w:r w:rsidRPr="00C6018F">
        <w:rPr>
          <w:snapToGrid w:val="0"/>
          <w:color w:val="000000" w:themeColor="text1"/>
          <w:kern w:val="22"/>
          <w:szCs w:val="22"/>
          <w:shd w:val="clear" w:color="auto" w:fill="FFFFFF" w:themeFill="background1"/>
        </w:rPr>
        <w:tab/>
      </w:r>
      <w:r w:rsidRPr="00C6018F">
        <w:rPr>
          <w:i/>
          <w:iCs/>
          <w:snapToGrid w:val="0"/>
          <w:color w:val="000000" w:themeColor="text1"/>
          <w:kern w:val="22"/>
          <w:szCs w:val="22"/>
          <w:shd w:val="clear" w:color="auto" w:fill="FFFFFF" w:themeFill="background1"/>
        </w:rPr>
        <w:t>Welcomes</w:t>
      </w:r>
      <w:r w:rsidRPr="00C6018F">
        <w:rPr>
          <w:snapToGrid w:val="0"/>
          <w:color w:val="000000" w:themeColor="text1"/>
          <w:kern w:val="22"/>
          <w:szCs w:val="22"/>
          <w:shd w:val="clear" w:color="auto" w:fill="FFFFFF" w:themeFill="background1"/>
        </w:rPr>
        <w:t xml:space="preserve"> the approval by the Plenary of the Intergovernmental Science-Policy Platform on Biodiversity and Ecosystem Services, at its ninth session, of the summaries for policymakers of the </w:t>
      </w:r>
      <w:r w:rsidRPr="001405F5">
        <w:rPr>
          <w:i/>
          <w:iCs/>
          <w:snapToGrid w:val="0"/>
          <w:color w:val="000000" w:themeColor="text1"/>
          <w:kern w:val="22"/>
          <w:szCs w:val="22"/>
          <w:shd w:val="clear" w:color="auto" w:fill="FFFFFF" w:themeFill="background1"/>
        </w:rPr>
        <w:t>Methodological Assessment Report on the Diverse Values and Valuation of Nature</w:t>
      </w:r>
      <w:r w:rsidRPr="00C6018F">
        <w:rPr>
          <w:snapToGrid w:val="0"/>
          <w:color w:val="000000" w:themeColor="text1"/>
          <w:kern w:val="22"/>
          <w:szCs w:val="22"/>
          <w:shd w:val="clear" w:color="auto" w:fill="FFFFFF" w:themeFill="background1"/>
        </w:rPr>
        <w:t>,</w:t>
      </w:r>
      <w:r w:rsidRPr="00610646">
        <w:rPr>
          <w:rStyle w:val="FootnoteReference"/>
        </w:rPr>
        <w:footnoteReference w:id="305"/>
      </w:r>
      <w:r w:rsidRPr="00C6018F">
        <w:rPr>
          <w:snapToGrid w:val="0"/>
          <w:color w:val="000000" w:themeColor="text1"/>
          <w:kern w:val="22"/>
          <w:szCs w:val="22"/>
          <w:shd w:val="clear" w:color="auto" w:fill="FFFFFF" w:themeFill="background1"/>
        </w:rPr>
        <w:t xml:space="preserve"> and of the </w:t>
      </w:r>
      <w:r w:rsidRPr="001405F5">
        <w:rPr>
          <w:i/>
          <w:iCs/>
          <w:snapToGrid w:val="0"/>
          <w:color w:val="000000" w:themeColor="text1"/>
          <w:kern w:val="22"/>
          <w:szCs w:val="22"/>
          <w:shd w:val="clear" w:color="auto" w:fill="FFFFFF" w:themeFill="background1"/>
        </w:rPr>
        <w:t>Thematic Assessment of the Sustainable Use of Wild Species</w:t>
      </w:r>
      <w:r w:rsidRPr="00C6018F">
        <w:rPr>
          <w:snapToGrid w:val="0"/>
          <w:color w:val="000000" w:themeColor="text1"/>
          <w:kern w:val="22"/>
          <w:szCs w:val="22"/>
          <w:shd w:val="clear" w:color="auto" w:fill="FFFFFF" w:themeFill="background1"/>
        </w:rPr>
        <w:t>,</w:t>
      </w:r>
      <w:r w:rsidRPr="00610646">
        <w:rPr>
          <w:rStyle w:val="FootnoteReference"/>
        </w:rPr>
        <w:footnoteReference w:id="306"/>
      </w:r>
      <w:r w:rsidRPr="00C6018F">
        <w:rPr>
          <w:snapToGrid w:val="0"/>
          <w:color w:val="000000" w:themeColor="text1"/>
          <w:kern w:val="22"/>
          <w:szCs w:val="22"/>
          <w:shd w:val="clear" w:color="auto" w:fill="FFFFFF" w:themeFill="background1"/>
        </w:rPr>
        <w:t xml:space="preserve"> and the acceptance of the chapters of the respective assessments including their executive summaries, and takes note of the progress made in the preparation of the thematic assessment of invasive alien species and their control;</w:t>
      </w:r>
      <w:r w:rsidRPr="00C6018F">
        <w:rPr>
          <w:snapToGrid w:val="0"/>
          <w:color w:val="000000" w:themeColor="text1"/>
          <w:kern w:val="22"/>
          <w:szCs w:val="22"/>
        </w:rPr>
        <w:t xml:space="preserve"> </w:t>
      </w:r>
    </w:p>
    <w:p w14:paraId="1139D13D" w14:textId="77777777" w:rsidR="00F02C6B" w:rsidRPr="00A7282C" w:rsidRDefault="00F02C6B" w:rsidP="001405F5">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color w:val="000000" w:themeColor="text1"/>
          <w:kern w:val="22"/>
          <w:szCs w:val="22"/>
        </w:rPr>
      </w:pPr>
      <w:r w:rsidRPr="001405F5">
        <w:rPr>
          <w:snapToGrid w:val="0"/>
          <w:color w:val="000000" w:themeColor="text1"/>
          <w:kern w:val="22"/>
          <w:szCs w:val="22"/>
        </w:rPr>
        <w:t>7.</w:t>
      </w:r>
      <w:r w:rsidRPr="001405F5">
        <w:rPr>
          <w:snapToGrid w:val="0"/>
          <w:color w:val="000000" w:themeColor="text1"/>
          <w:kern w:val="22"/>
          <w:szCs w:val="22"/>
        </w:rPr>
        <w:tab/>
      </w:r>
      <w:r w:rsidRPr="001405F5">
        <w:rPr>
          <w:i/>
          <w:iCs/>
          <w:snapToGrid w:val="0"/>
          <w:color w:val="000000" w:themeColor="text1"/>
          <w:kern w:val="22"/>
          <w:szCs w:val="22"/>
        </w:rPr>
        <w:t>Requests</w:t>
      </w:r>
      <w:r w:rsidRPr="00C6018F">
        <w:rPr>
          <w:snapToGrid w:val="0"/>
          <w:color w:val="000000" w:themeColor="text1"/>
          <w:kern w:val="22"/>
          <w:szCs w:val="22"/>
        </w:rPr>
        <w:t xml:space="preserve"> the Subsidiary Body on Scientific, Technical and Technological Advice to consider the findings of th</w:t>
      </w:r>
      <w:r w:rsidRPr="001405F5">
        <w:rPr>
          <w:snapToGrid w:val="0"/>
          <w:color w:val="000000" w:themeColor="text1"/>
          <w:kern w:val="22"/>
          <w:szCs w:val="22"/>
        </w:rPr>
        <w:t>e</w:t>
      </w:r>
      <w:r w:rsidRPr="00C6018F">
        <w:rPr>
          <w:snapToGrid w:val="0"/>
          <w:color w:val="000000" w:themeColor="text1"/>
          <w:kern w:val="22"/>
          <w:szCs w:val="22"/>
        </w:rPr>
        <w:t xml:space="preserve"> assessments </w:t>
      </w:r>
      <w:r w:rsidRPr="001405F5">
        <w:rPr>
          <w:snapToGrid w:val="0"/>
          <w:color w:val="000000" w:themeColor="text1"/>
          <w:kern w:val="22"/>
          <w:szCs w:val="22"/>
        </w:rPr>
        <w:t xml:space="preserve">referred to in paragraph 6 above, </w:t>
      </w:r>
      <w:r w:rsidRPr="00C6018F">
        <w:rPr>
          <w:snapToGrid w:val="0"/>
          <w:color w:val="000000" w:themeColor="text1"/>
          <w:kern w:val="22"/>
          <w:szCs w:val="22"/>
        </w:rPr>
        <w:t>and to provide recommendations relating to the implementation of the Convention and, in particular, of the Kunming-Montreal Global Biodiversity Framework, for consideration by the Conference of the Parties at its sixteenth meeting;</w:t>
      </w:r>
    </w:p>
    <w:p w14:paraId="721CBBCB" w14:textId="77777777" w:rsidR="00F02C6B" w:rsidRPr="00A7282C" w:rsidRDefault="00F02C6B" w:rsidP="001405F5">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rPr>
      </w:pPr>
      <w:r>
        <w:rPr>
          <w:snapToGrid w:val="0"/>
          <w:kern w:val="22"/>
          <w:szCs w:val="22"/>
        </w:rPr>
        <w:t>8</w:t>
      </w:r>
      <w:r w:rsidRPr="00A7282C">
        <w:rPr>
          <w:snapToGrid w:val="0"/>
          <w:kern w:val="22"/>
          <w:szCs w:val="22"/>
        </w:rPr>
        <w:t>.</w:t>
      </w:r>
      <w:r w:rsidRPr="00A7282C">
        <w:rPr>
          <w:snapToGrid w:val="0"/>
          <w:kern w:val="22"/>
          <w:szCs w:val="22"/>
        </w:rPr>
        <w:tab/>
      </w:r>
      <w:r w:rsidRPr="00A7282C">
        <w:rPr>
          <w:i/>
          <w:iCs/>
          <w:snapToGrid w:val="0"/>
          <w:kern w:val="22"/>
          <w:szCs w:val="22"/>
        </w:rPr>
        <w:t>Takes note</w:t>
      </w:r>
      <w:r w:rsidRPr="00A7282C">
        <w:rPr>
          <w:snapToGrid w:val="0"/>
          <w:kern w:val="22"/>
          <w:szCs w:val="22"/>
        </w:rPr>
        <w:t xml:space="preserve"> of the report of the expert workshop convened by the Intergovernmental Science-Policy Platform on Biodiversity and Ecosystem Services on biodiversity and pandemics,</w:t>
      </w:r>
      <w:r w:rsidRPr="00610646">
        <w:rPr>
          <w:rStyle w:val="FootnoteReference"/>
        </w:rPr>
        <w:footnoteReference w:id="307"/>
      </w:r>
      <w:r w:rsidRPr="00A7282C">
        <w:rPr>
          <w:snapToGrid w:val="0"/>
          <w:kern w:val="22"/>
          <w:szCs w:val="22"/>
        </w:rPr>
        <w:t xml:space="preserve"> and notes its relevance for the work of the Convention, including</w:t>
      </w:r>
      <w:r>
        <w:rPr>
          <w:snapToGrid w:val="0"/>
          <w:kern w:val="22"/>
          <w:szCs w:val="22"/>
        </w:rPr>
        <w:t xml:space="preserve"> </w:t>
      </w:r>
      <w:r w:rsidRPr="00A7282C">
        <w:rPr>
          <w:snapToGrid w:val="0"/>
          <w:kern w:val="22"/>
          <w:szCs w:val="22"/>
        </w:rPr>
        <w:t xml:space="preserve">the </w:t>
      </w:r>
      <w:r>
        <w:rPr>
          <w:snapToGrid w:val="0"/>
          <w:kern w:val="22"/>
          <w:szCs w:val="22"/>
        </w:rPr>
        <w:t>Kunming-Montreal</w:t>
      </w:r>
      <w:r w:rsidRPr="00A7282C">
        <w:rPr>
          <w:snapToGrid w:val="0"/>
          <w:kern w:val="22"/>
          <w:szCs w:val="22"/>
        </w:rPr>
        <w:t xml:space="preserve"> </w:t>
      </w:r>
      <w:r>
        <w:rPr>
          <w:snapToGrid w:val="0"/>
          <w:kern w:val="22"/>
          <w:szCs w:val="22"/>
        </w:rPr>
        <w:t>G</w:t>
      </w:r>
      <w:r w:rsidRPr="00A7282C">
        <w:rPr>
          <w:snapToGrid w:val="0"/>
          <w:kern w:val="22"/>
          <w:szCs w:val="22"/>
        </w:rPr>
        <w:t xml:space="preserve">lobal </w:t>
      </w:r>
      <w:r>
        <w:rPr>
          <w:snapToGrid w:val="0"/>
          <w:kern w:val="22"/>
          <w:szCs w:val="22"/>
        </w:rPr>
        <w:t>B</w:t>
      </w:r>
      <w:r w:rsidRPr="00A7282C">
        <w:rPr>
          <w:snapToGrid w:val="0"/>
          <w:kern w:val="22"/>
          <w:szCs w:val="22"/>
        </w:rPr>
        <w:t xml:space="preserve">iodiversity </w:t>
      </w:r>
      <w:r>
        <w:rPr>
          <w:snapToGrid w:val="0"/>
          <w:kern w:val="22"/>
          <w:szCs w:val="22"/>
        </w:rPr>
        <w:t>F</w:t>
      </w:r>
      <w:r w:rsidRPr="00A7282C">
        <w:rPr>
          <w:snapToGrid w:val="0"/>
          <w:kern w:val="22"/>
          <w:szCs w:val="22"/>
        </w:rPr>
        <w:t xml:space="preserve">ramework, as well </w:t>
      </w:r>
      <w:r w:rsidRPr="00FE44C8">
        <w:rPr>
          <w:snapToGrid w:val="0"/>
          <w:kern w:val="22"/>
          <w:szCs w:val="22"/>
        </w:rPr>
        <w:t>as to the work carried out under the Convention on the interlinkages between biodiversity and health;</w:t>
      </w:r>
    </w:p>
    <w:p w14:paraId="535D4225" w14:textId="77777777" w:rsidR="00F02C6B" w:rsidRDefault="00F02C6B">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rPr>
      </w:pPr>
      <w:r w:rsidRPr="001405F5">
        <w:rPr>
          <w:snapToGrid w:val="0"/>
          <w:kern w:val="22"/>
          <w:szCs w:val="22"/>
        </w:rPr>
        <w:t>9</w:t>
      </w:r>
      <w:r w:rsidRPr="005E27BF">
        <w:rPr>
          <w:snapToGrid w:val="0"/>
          <w:kern w:val="22"/>
          <w:szCs w:val="22"/>
        </w:rPr>
        <w:t>.</w:t>
      </w:r>
      <w:r w:rsidRPr="00A7282C">
        <w:rPr>
          <w:snapToGrid w:val="0"/>
          <w:kern w:val="22"/>
          <w:szCs w:val="22"/>
        </w:rPr>
        <w:tab/>
      </w:r>
      <w:r w:rsidRPr="00A7282C">
        <w:rPr>
          <w:i/>
          <w:snapToGrid w:val="0"/>
          <w:kern w:val="22"/>
          <w:szCs w:val="22"/>
        </w:rPr>
        <w:t>Welcomes</w:t>
      </w:r>
      <w:r w:rsidRPr="00A7282C">
        <w:rPr>
          <w:snapToGrid w:val="0"/>
          <w:kern w:val="22"/>
          <w:szCs w:val="22"/>
        </w:rPr>
        <w:t xml:space="preserve"> the cooperation between the Intergovernmental Science-Policy Platform on Biodiversity and Ecosystem Services and the Intergovernmental Panel on Climate Change</w:t>
      </w:r>
      <w:r>
        <w:rPr>
          <w:snapToGrid w:val="0"/>
          <w:kern w:val="22"/>
          <w:szCs w:val="22"/>
        </w:rPr>
        <w:t>;</w:t>
      </w:r>
      <w:r w:rsidRPr="00A7282C">
        <w:rPr>
          <w:snapToGrid w:val="0"/>
          <w:kern w:val="22"/>
          <w:szCs w:val="22"/>
        </w:rPr>
        <w:t xml:space="preserve"> </w:t>
      </w:r>
      <w:r w:rsidRPr="001405F5">
        <w:rPr>
          <w:snapToGrid w:val="0"/>
          <w:kern w:val="22"/>
          <w:szCs w:val="22"/>
        </w:rPr>
        <w:t>takes note</w:t>
      </w:r>
      <w:r w:rsidRPr="00A7282C">
        <w:rPr>
          <w:snapToGrid w:val="0"/>
          <w:kern w:val="22"/>
          <w:szCs w:val="22"/>
        </w:rPr>
        <w:t xml:space="preserve"> of </w:t>
      </w:r>
      <w:r>
        <w:rPr>
          <w:snapToGrid w:val="0"/>
          <w:kern w:val="22"/>
          <w:szCs w:val="22"/>
        </w:rPr>
        <w:t xml:space="preserve">the report </w:t>
      </w:r>
      <w:r w:rsidRPr="00FE44C8">
        <w:rPr>
          <w:snapToGrid w:val="0"/>
          <w:kern w:val="22"/>
          <w:szCs w:val="22"/>
        </w:rPr>
        <w:t>of the co-sponsored workshop on biodiversity and climate change,</w:t>
      </w:r>
      <w:r w:rsidRPr="00610646">
        <w:rPr>
          <w:rStyle w:val="FootnoteReference"/>
          <w:rFonts w:eastAsiaTheme="majorEastAsia"/>
        </w:rPr>
        <w:footnoteReference w:id="308"/>
      </w:r>
      <w:r w:rsidRPr="00FE44C8">
        <w:rPr>
          <w:snapToGrid w:val="0"/>
          <w:kern w:val="22"/>
          <w:szCs w:val="22"/>
        </w:rPr>
        <w:t xml:space="preserve"> noting the conclusions therein; </w:t>
      </w:r>
      <w:r>
        <w:rPr>
          <w:snapToGrid w:val="0"/>
          <w:kern w:val="22"/>
          <w:szCs w:val="22"/>
        </w:rPr>
        <w:t xml:space="preserve">and </w:t>
      </w:r>
      <w:r w:rsidRPr="001405F5">
        <w:rPr>
          <w:iCs/>
          <w:snapToGrid w:val="0"/>
          <w:kern w:val="22"/>
          <w:szCs w:val="22"/>
        </w:rPr>
        <w:t>encourages</w:t>
      </w:r>
      <w:r w:rsidRPr="00A7282C">
        <w:rPr>
          <w:snapToGrid w:val="0"/>
          <w:kern w:val="22"/>
          <w:szCs w:val="22"/>
        </w:rPr>
        <w:t xml:space="preserve"> the two bodies to continue and further strengthen their collaboration in a transparent and participatory manner, with a view to increasing coherence while avoiding duplication of work</w:t>
      </w:r>
      <w:r w:rsidRPr="00645A09">
        <w:rPr>
          <w:snapToGrid w:val="0"/>
          <w:kern w:val="22"/>
          <w:szCs w:val="22"/>
        </w:rPr>
        <w:t>;</w:t>
      </w:r>
      <w:r w:rsidRPr="00530EA7">
        <w:rPr>
          <w:snapToGrid w:val="0"/>
          <w:kern w:val="22"/>
          <w:szCs w:val="22"/>
        </w:rPr>
        <w:t xml:space="preserve"> </w:t>
      </w:r>
    </w:p>
    <w:p w14:paraId="3BBF78C2" w14:textId="77777777" w:rsidR="00F02C6B" w:rsidRPr="00DA56D4" w:rsidRDefault="00F02C6B" w:rsidP="001405F5">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rPr>
      </w:pPr>
      <w:r w:rsidRPr="001405F5">
        <w:rPr>
          <w:snapToGrid w:val="0"/>
          <w:kern w:val="22"/>
          <w:szCs w:val="22"/>
        </w:rPr>
        <w:t>10.</w:t>
      </w:r>
      <w:r w:rsidRPr="001405F5">
        <w:rPr>
          <w:snapToGrid w:val="0"/>
          <w:kern w:val="22"/>
          <w:szCs w:val="22"/>
        </w:rPr>
        <w:tab/>
      </w:r>
      <w:r w:rsidRPr="001405F5">
        <w:rPr>
          <w:i/>
          <w:iCs/>
          <w:snapToGrid w:val="0"/>
          <w:kern w:val="22"/>
          <w:szCs w:val="22"/>
        </w:rPr>
        <w:t>I</w:t>
      </w:r>
      <w:r w:rsidRPr="00DA56D4">
        <w:rPr>
          <w:i/>
          <w:iCs/>
          <w:snapToGrid w:val="0"/>
          <w:kern w:val="22"/>
          <w:szCs w:val="22"/>
        </w:rPr>
        <w:t>nvites</w:t>
      </w:r>
      <w:r w:rsidRPr="00DA56D4">
        <w:rPr>
          <w:snapToGrid w:val="0"/>
          <w:kern w:val="22"/>
          <w:szCs w:val="22"/>
        </w:rPr>
        <w:t xml:space="preserve"> Parties to coordinate their work with the national focal points for the Intergovernmental Science-Policy Platform on Biodiversity and Ecosystem Services and the Intergovernmental Panel on Climate Change in relation to assessments on biodiversity and climate change;</w:t>
      </w:r>
    </w:p>
    <w:p w14:paraId="3B8872DC" w14:textId="77777777" w:rsidR="00F02C6B" w:rsidRPr="00DA56D4" w:rsidRDefault="00F02C6B">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rPr>
      </w:pPr>
      <w:r w:rsidRPr="001405F5">
        <w:rPr>
          <w:snapToGrid w:val="0"/>
          <w:kern w:val="22"/>
          <w:szCs w:val="22"/>
        </w:rPr>
        <w:t>11</w:t>
      </w:r>
      <w:r w:rsidRPr="00DA56D4">
        <w:rPr>
          <w:snapToGrid w:val="0"/>
          <w:kern w:val="22"/>
          <w:szCs w:val="22"/>
        </w:rPr>
        <w:t>.</w:t>
      </w:r>
      <w:r w:rsidRPr="00DA56D4">
        <w:rPr>
          <w:snapToGrid w:val="0"/>
          <w:kern w:val="22"/>
          <w:szCs w:val="22"/>
        </w:rPr>
        <w:tab/>
      </w:r>
      <w:r w:rsidRPr="00DA56D4">
        <w:rPr>
          <w:i/>
          <w:snapToGrid w:val="0"/>
          <w:kern w:val="22"/>
          <w:szCs w:val="22"/>
        </w:rPr>
        <w:t>Notes</w:t>
      </w:r>
      <w:r w:rsidRPr="00DA56D4">
        <w:rPr>
          <w:snapToGrid w:val="0"/>
          <w:kern w:val="22"/>
          <w:szCs w:val="22"/>
        </w:rPr>
        <w:t xml:space="preserve"> that the Intergovernmental Science-Policy Platform on Biodiversity and Ecosystem Services, at its tenth session, will consider requests, inputs and suggestions received in time for consideration at that session, including for a second global assessment of biodiversity and ecosystem services and for an assessment on ecological connectivity, as well as potential additional fast track assessments, </w:t>
      </w:r>
    </w:p>
    <w:p w14:paraId="7CAB273A" w14:textId="77777777" w:rsidR="00F02C6B" w:rsidRPr="00A7282C" w:rsidRDefault="00F02C6B" w:rsidP="001405F5">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rPr>
      </w:pPr>
      <w:r w:rsidRPr="001405F5">
        <w:rPr>
          <w:iCs/>
          <w:snapToGrid w:val="0"/>
          <w:kern w:val="22"/>
          <w:szCs w:val="22"/>
        </w:rPr>
        <w:t>12.</w:t>
      </w:r>
      <w:r w:rsidRPr="001405F5">
        <w:rPr>
          <w:iCs/>
          <w:snapToGrid w:val="0"/>
          <w:kern w:val="22"/>
          <w:szCs w:val="22"/>
        </w:rPr>
        <w:tab/>
      </w:r>
      <w:r w:rsidRPr="001405F5">
        <w:rPr>
          <w:i/>
          <w:snapToGrid w:val="0"/>
          <w:kern w:val="22"/>
          <w:szCs w:val="22"/>
        </w:rPr>
        <w:t>I</w:t>
      </w:r>
      <w:r w:rsidRPr="00DA56D4">
        <w:rPr>
          <w:i/>
          <w:snapToGrid w:val="0"/>
          <w:kern w:val="22"/>
          <w:szCs w:val="22"/>
        </w:rPr>
        <w:t xml:space="preserve">nvites </w:t>
      </w:r>
      <w:r w:rsidRPr="00DA56D4">
        <w:rPr>
          <w:snapToGrid w:val="0"/>
          <w:kern w:val="22"/>
          <w:szCs w:val="22"/>
        </w:rPr>
        <w:t>the Platform to consider the requests contained in the annex to the present decision;</w:t>
      </w:r>
      <w:r w:rsidRPr="00A7282C">
        <w:rPr>
          <w:snapToGrid w:val="0"/>
          <w:kern w:val="22"/>
          <w:szCs w:val="22"/>
        </w:rPr>
        <w:t xml:space="preserve"> </w:t>
      </w:r>
    </w:p>
    <w:p w14:paraId="4D0CDCF2" w14:textId="77777777" w:rsidR="00F02C6B" w:rsidRPr="00A7282C" w:rsidRDefault="00F02C6B" w:rsidP="001405F5">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rPr>
      </w:pPr>
      <w:r>
        <w:rPr>
          <w:snapToGrid w:val="0"/>
          <w:kern w:val="22"/>
          <w:szCs w:val="22"/>
        </w:rPr>
        <w:t>13</w:t>
      </w:r>
      <w:r w:rsidRPr="00A7282C">
        <w:rPr>
          <w:snapToGrid w:val="0"/>
          <w:kern w:val="22"/>
          <w:szCs w:val="22"/>
        </w:rPr>
        <w:t>.</w:t>
      </w:r>
      <w:r w:rsidRPr="00A7282C">
        <w:rPr>
          <w:snapToGrid w:val="0"/>
          <w:kern w:val="22"/>
          <w:szCs w:val="22"/>
        </w:rPr>
        <w:tab/>
      </w:r>
      <w:r w:rsidRPr="00A7282C">
        <w:rPr>
          <w:i/>
          <w:iCs/>
          <w:snapToGrid w:val="0"/>
          <w:kern w:val="22"/>
          <w:szCs w:val="22"/>
        </w:rPr>
        <w:t>Requests</w:t>
      </w:r>
      <w:r w:rsidRPr="00A7282C">
        <w:rPr>
          <w:snapToGrid w:val="0"/>
          <w:kern w:val="22"/>
          <w:szCs w:val="22"/>
        </w:rPr>
        <w:t xml:space="preserve"> the Executive Secretary to regularly and systematically assess and report to the Subsidiary Body on Scientific, Technical and Technological Advice on how to consider deliverables from all functions and processes of the Intergovernmental Science-Policy Platform on Biodiversity and Ecosystem Services for the implementation of the Convention, including a forward schedule and regular agenda item in meetings of the Subsidiary Body;</w:t>
      </w:r>
    </w:p>
    <w:p w14:paraId="018519F1" w14:textId="77777777" w:rsidR="00F02C6B" w:rsidRPr="00A7282C" w:rsidRDefault="00F02C6B" w:rsidP="001405F5">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lang w:val="en-CA"/>
        </w:rPr>
      </w:pPr>
      <w:r w:rsidRPr="00A7282C">
        <w:rPr>
          <w:snapToGrid w:val="0"/>
          <w:kern w:val="22"/>
          <w:szCs w:val="22"/>
        </w:rPr>
        <w:t>1</w:t>
      </w:r>
      <w:r>
        <w:rPr>
          <w:snapToGrid w:val="0"/>
          <w:kern w:val="22"/>
          <w:szCs w:val="22"/>
        </w:rPr>
        <w:t>4</w:t>
      </w:r>
      <w:r w:rsidRPr="00A7282C">
        <w:rPr>
          <w:snapToGrid w:val="0"/>
          <w:kern w:val="22"/>
          <w:szCs w:val="22"/>
        </w:rPr>
        <w:t>.</w:t>
      </w:r>
      <w:r w:rsidRPr="00A7282C">
        <w:rPr>
          <w:snapToGrid w:val="0"/>
          <w:kern w:val="22"/>
          <w:szCs w:val="22"/>
        </w:rPr>
        <w:tab/>
      </w:r>
      <w:r w:rsidRPr="00A7282C">
        <w:rPr>
          <w:i/>
          <w:iCs/>
          <w:snapToGrid w:val="0"/>
          <w:kern w:val="22"/>
          <w:szCs w:val="22"/>
        </w:rPr>
        <w:t>Also requests</w:t>
      </w:r>
      <w:r w:rsidRPr="00A7282C">
        <w:rPr>
          <w:snapToGrid w:val="0"/>
          <w:kern w:val="22"/>
          <w:szCs w:val="22"/>
        </w:rPr>
        <w:t xml:space="preserve"> the Executive Secretary to identify views from Parties on how the Intergovernmental Science-Policy Platform on Biodiversity and Ecosystem Services could, within its defined functions </w:t>
      </w:r>
      <w:r w:rsidRPr="00737338">
        <w:rPr>
          <w:snapToGrid w:val="0"/>
          <w:kern w:val="22"/>
          <w:szCs w:val="22"/>
        </w:rPr>
        <w:t>o</w:t>
      </w:r>
      <w:r w:rsidRPr="001405F5">
        <w:rPr>
          <w:snapToGrid w:val="0"/>
          <w:kern w:val="22"/>
          <w:szCs w:val="22"/>
        </w:rPr>
        <w:t>f</w:t>
      </w:r>
      <w:r w:rsidRPr="00737338">
        <w:rPr>
          <w:snapToGrid w:val="0"/>
          <w:kern w:val="22"/>
          <w:szCs w:val="22"/>
        </w:rPr>
        <w:t xml:space="preserve"> producing</w:t>
      </w:r>
      <w:r w:rsidRPr="00A7282C">
        <w:rPr>
          <w:snapToGrid w:val="0"/>
          <w:kern w:val="22"/>
          <w:szCs w:val="22"/>
        </w:rPr>
        <w:t xml:space="preserve"> further assessments, building capacity, strengthening knowledge and supporting policy, contribute to the review and monitoring process of the </w:t>
      </w:r>
      <w:r>
        <w:rPr>
          <w:snapToGrid w:val="0"/>
          <w:kern w:val="22"/>
          <w:szCs w:val="22"/>
        </w:rPr>
        <w:t>Kunming-Montreal</w:t>
      </w:r>
      <w:r w:rsidRPr="00A7282C">
        <w:rPr>
          <w:snapToGrid w:val="0"/>
          <w:kern w:val="22"/>
          <w:szCs w:val="22"/>
        </w:rPr>
        <w:t xml:space="preserve"> </w:t>
      </w:r>
      <w:r>
        <w:rPr>
          <w:snapToGrid w:val="0"/>
          <w:kern w:val="22"/>
          <w:szCs w:val="22"/>
        </w:rPr>
        <w:t>G</w:t>
      </w:r>
      <w:r w:rsidRPr="00A7282C">
        <w:rPr>
          <w:snapToGrid w:val="0"/>
          <w:kern w:val="22"/>
          <w:szCs w:val="22"/>
        </w:rPr>
        <w:t xml:space="preserve">lobal </w:t>
      </w:r>
      <w:r>
        <w:rPr>
          <w:snapToGrid w:val="0"/>
          <w:kern w:val="22"/>
          <w:szCs w:val="22"/>
        </w:rPr>
        <w:t>B</w:t>
      </w:r>
      <w:r w:rsidRPr="00A7282C">
        <w:rPr>
          <w:snapToGrid w:val="0"/>
          <w:kern w:val="22"/>
          <w:szCs w:val="22"/>
        </w:rPr>
        <w:t xml:space="preserve">iodiversity </w:t>
      </w:r>
      <w:r>
        <w:rPr>
          <w:snapToGrid w:val="0"/>
          <w:kern w:val="22"/>
          <w:szCs w:val="22"/>
        </w:rPr>
        <w:t>F</w:t>
      </w:r>
      <w:r w:rsidRPr="00A7282C">
        <w:rPr>
          <w:snapToGrid w:val="0"/>
          <w:kern w:val="22"/>
          <w:szCs w:val="22"/>
        </w:rPr>
        <w:t>ramework;</w:t>
      </w:r>
    </w:p>
    <w:p w14:paraId="6A40E6D9" w14:textId="77777777" w:rsidR="00F02C6B" w:rsidRPr="00A7282C" w:rsidRDefault="00F02C6B" w:rsidP="001405F5">
      <w:pPr>
        <w:suppressLineNumbers/>
        <w:shd w:val="clear" w:color="auto" w:fill="FFFFFF" w:themeFill="background1"/>
        <w:suppressAutoHyphens/>
        <w:kinsoku w:val="0"/>
        <w:overflowPunct w:val="0"/>
        <w:autoSpaceDE w:val="0"/>
        <w:autoSpaceDN w:val="0"/>
        <w:adjustRightInd w:val="0"/>
        <w:snapToGrid w:val="0"/>
        <w:spacing w:before="120" w:after="120"/>
        <w:ind w:firstLine="709"/>
        <w:rPr>
          <w:snapToGrid w:val="0"/>
          <w:kern w:val="22"/>
          <w:szCs w:val="22"/>
        </w:rPr>
      </w:pPr>
      <w:r w:rsidRPr="00A7282C">
        <w:rPr>
          <w:snapToGrid w:val="0"/>
          <w:kern w:val="22"/>
          <w:szCs w:val="22"/>
        </w:rPr>
        <w:t>1</w:t>
      </w:r>
      <w:r>
        <w:rPr>
          <w:snapToGrid w:val="0"/>
          <w:kern w:val="22"/>
          <w:szCs w:val="22"/>
        </w:rPr>
        <w:t>5</w:t>
      </w:r>
      <w:r w:rsidRPr="00A7282C">
        <w:rPr>
          <w:snapToGrid w:val="0"/>
          <w:kern w:val="22"/>
          <w:szCs w:val="22"/>
        </w:rPr>
        <w:t>.</w:t>
      </w:r>
      <w:r w:rsidRPr="00A7282C">
        <w:rPr>
          <w:snapToGrid w:val="0"/>
          <w:kern w:val="22"/>
          <w:szCs w:val="22"/>
        </w:rPr>
        <w:tab/>
      </w:r>
      <w:r w:rsidRPr="00A7282C">
        <w:rPr>
          <w:i/>
          <w:iCs/>
          <w:snapToGrid w:val="0"/>
          <w:kern w:val="22"/>
          <w:szCs w:val="22"/>
        </w:rPr>
        <w:t>Invites</w:t>
      </w:r>
      <w:r w:rsidRPr="00A7282C">
        <w:rPr>
          <w:snapToGrid w:val="0"/>
          <w:kern w:val="22"/>
          <w:szCs w:val="22"/>
        </w:rPr>
        <w:t xml:space="preserve"> the Intergovernmental Science-Policy Platform on Biodiversity and Ecosystem Services to contribute to the work of the </w:t>
      </w:r>
      <w:r>
        <w:rPr>
          <w:snapToGrid w:val="0"/>
          <w:kern w:val="22"/>
          <w:szCs w:val="22"/>
        </w:rPr>
        <w:t>A</w:t>
      </w:r>
      <w:r w:rsidRPr="00A7282C">
        <w:rPr>
          <w:snapToGrid w:val="0"/>
          <w:kern w:val="22"/>
          <w:szCs w:val="22"/>
        </w:rPr>
        <w:t xml:space="preserve">d </w:t>
      </w:r>
      <w:r>
        <w:rPr>
          <w:snapToGrid w:val="0"/>
          <w:kern w:val="22"/>
          <w:szCs w:val="22"/>
        </w:rPr>
        <w:t>H</w:t>
      </w:r>
      <w:r w:rsidRPr="00A7282C">
        <w:rPr>
          <w:snapToGrid w:val="0"/>
          <w:kern w:val="22"/>
          <w:szCs w:val="22"/>
        </w:rPr>
        <w:t xml:space="preserve">oc </w:t>
      </w:r>
      <w:r>
        <w:rPr>
          <w:snapToGrid w:val="0"/>
          <w:kern w:val="22"/>
          <w:szCs w:val="22"/>
        </w:rPr>
        <w:t>T</w:t>
      </w:r>
      <w:r w:rsidRPr="00A7282C">
        <w:rPr>
          <w:snapToGrid w:val="0"/>
          <w:kern w:val="22"/>
          <w:szCs w:val="22"/>
        </w:rPr>
        <w:t xml:space="preserve">echnical </w:t>
      </w:r>
      <w:r>
        <w:rPr>
          <w:snapToGrid w:val="0"/>
          <w:kern w:val="22"/>
          <w:szCs w:val="22"/>
        </w:rPr>
        <w:t>E</w:t>
      </w:r>
      <w:r w:rsidRPr="00A7282C">
        <w:rPr>
          <w:snapToGrid w:val="0"/>
          <w:kern w:val="22"/>
          <w:szCs w:val="22"/>
        </w:rPr>
        <w:t xml:space="preserve">xpert </w:t>
      </w:r>
      <w:r>
        <w:rPr>
          <w:snapToGrid w:val="0"/>
          <w:kern w:val="22"/>
          <w:szCs w:val="22"/>
        </w:rPr>
        <w:t>G</w:t>
      </w:r>
      <w:r w:rsidRPr="00A7282C">
        <w:rPr>
          <w:snapToGrid w:val="0"/>
          <w:kern w:val="22"/>
          <w:szCs w:val="22"/>
        </w:rPr>
        <w:t xml:space="preserve">roup on </w:t>
      </w:r>
      <w:r>
        <w:rPr>
          <w:snapToGrid w:val="0"/>
          <w:kern w:val="22"/>
          <w:szCs w:val="22"/>
        </w:rPr>
        <w:t>I</w:t>
      </w:r>
      <w:r w:rsidRPr="00A7282C">
        <w:rPr>
          <w:snapToGrid w:val="0"/>
          <w:kern w:val="22"/>
          <w:szCs w:val="22"/>
        </w:rPr>
        <w:t xml:space="preserve">ndicators for the </w:t>
      </w:r>
      <w:r>
        <w:rPr>
          <w:snapToGrid w:val="0"/>
          <w:kern w:val="22"/>
          <w:szCs w:val="22"/>
        </w:rPr>
        <w:t>Kunming-Montreal</w:t>
      </w:r>
      <w:r w:rsidRPr="00A7282C">
        <w:rPr>
          <w:snapToGrid w:val="0"/>
          <w:kern w:val="22"/>
          <w:szCs w:val="22"/>
        </w:rPr>
        <w:t xml:space="preserve"> </w:t>
      </w:r>
      <w:r>
        <w:rPr>
          <w:snapToGrid w:val="0"/>
          <w:kern w:val="22"/>
          <w:szCs w:val="22"/>
        </w:rPr>
        <w:t>G</w:t>
      </w:r>
      <w:r w:rsidRPr="00A7282C">
        <w:rPr>
          <w:snapToGrid w:val="0"/>
          <w:kern w:val="22"/>
          <w:szCs w:val="22"/>
        </w:rPr>
        <w:t xml:space="preserve">lobal </w:t>
      </w:r>
      <w:r>
        <w:rPr>
          <w:snapToGrid w:val="0"/>
          <w:kern w:val="22"/>
          <w:szCs w:val="22"/>
        </w:rPr>
        <w:t>B</w:t>
      </w:r>
      <w:r w:rsidRPr="00A7282C">
        <w:rPr>
          <w:snapToGrid w:val="0"/>
          <w:kern w:val="22"/>
          <w:szCs w:val="22"/>
        </w:rPr>
        <w:t xml:space="preserve">iodiversity </w:t>
      </w:r>
      <w:r>
        <w:rPr>
          <w:snapToGrid w:val="0"/>
          <w:kern w:val="22"/>
          <w:szCs w:val="22"/>
        </w:rPr>
        <w:t>F</w:t>
      </w:r>
      <w:r w:rsidRPr="00A7282C">
        <w:rPr>
          <w:snapToGrid w:val="0"/>
          <w:kern w:val="22"/>
          <w:szCs w:val="22"/>
        </w:rPr>
        <w:t>ramework;</w:t>
      </w:r>
      <w:r w:rsidRPr="00610646">
        <w:rPr>
          <w:rStyle w:val="FootnoteReference"/>
        </w:rPr>
        <w:footnoteReference w:id="309"/>
      </w:r>
    </w:p>
    <w:p w14:paraId="56E50ACB" w14:textId="77777777" w:rsidR="00F02C6B" w:rsidRDefault="00F02C6B">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firstLine="709"/>
        <w:contextualSpacing w:val="0"/>
        <w:rPr>
          <w:snapToGrid w:val="0"/>
          <w:kern w:val="22"/>
          <w:szCs w:val="22"/>
        </w:rPr>
      </w:pPr>
      <w:r w:rsidRPr="00A7282C">
        <w:rPr>
          <w:snapToGrid w:val="0"/>
          <w:kern w:val="22"/>
          <w:szCs w:val="22"/>
        </w:rPr>
        <w:t>1</w:t>
      </w:r>
      <w:r>
        <w:rPr>
          <w:snapToGrid w:val="0"/>
          <w:kern w:val="22"/>
          <w:szCs w:val="22"/>
        </w:rPr>
        <w:t>6</w:t>
      </w:r>
      <w:r w:rsidRPr="00A7282C">
        <w:rPr>
          <w:snapToGrid w:val="0"/>
          <w:kern w:val="22"/>
          <w:szCs w:val="22"/>
        </w:rPr>
        <w:t>.</w:t>
      </w:r>
      <w:r w:rsidRPr="00A7282C">
        <w:rPr>
          <w:snapToGrid w:val="0"/>
          <w:kern w:val="22"/>
          <w:szCs w:val="22"/>
        </w:rPr>
        <w:tab/>
      </w:r>
      <w:r w:rsidRPr="00A7282C">
        <w:rPr>
          <w:i/>
          <w:iCs/>
          <w:snapToGrid w:val="0"/>
          <w:kern w:val="22"/>
          <w:szCs w:val="22"/>
        </w:rPr>
        <w:t xml:space="preserve">Notes </w:t>
      </w:r>
      <w:r w:rsidRPr="00A7282C">
        <w:rPr>
          <w:snapToGrid w:val="0"/>
          <w:kern w:val="22"/>
          <w:szCs w:val="22"/>
        </w:rPr>
        <w:t>the information contained in the annex to the note by the Executive Secretary,</w:t>
      </w:r>
      <w:r w:rsidRPr="00610646">
        <w:rPr>
          <w:rStyle w:val="FootnoteReference"/>
        </w:rPr>
        <w:footnoteReference w:id="310"/>
      </w:r>
      <w:r w:rsidRPr="00A7282C">
        <w:rPr>
          <w:snapToGrid w:val="0"/>
          <w:kern w:val="22"/>
          <w:szCs w:val="22"/>
        </w:rPr>
        <w:t xml:space="preserve"> </w:t>
      </w:r>
      <w:r w:rsidRPr="0024024F">
        <w:rPr>
          <w:snapToGrid w:val="0"/>
          <w:kern w:val="22"/>
          <w:szCs w:val="22"/>
        </w:rPr>
        <w:t xml:space="preserve">as well as </w:t>
      </w:r>
      <w:r w:rsidRPr="0024024F" w:rsidDel="006F7776">
        <w:rPr>
          <w:snapToGrid w:val="0"/>
          <w:kern w:val="22"/>
          <w:szCs w:val="22"/>
        </w:rPr>
        <w:t>the progress in a number of countries in elaborating national assessments of biodiversity and ecosystem services</w:t>
      </w:r>
      <w:r w:rsidRPr="0024024F">
        <w:rPr>
          <w:snapToGrid w:val="0"/>
          <w:kern w:val="22"/>
          <w:szCs w:val="22"/>
        </w:rPr>
        <w:t>;</w:t>
      </w:r>
    </w:p>
    <w:p w14:paraId="2BDBEBA2" w14:textId="77777777" w:rsidR="00F02C6B" w:rsidRPr="00A7282C" w:rsidRDefault="00F02C6B" w:rsidP="001405F5">
      <w:pPr>
        <w:pStyle w:val="ListParagraph"/>
        <w:suppressLineNumbers/>
        <w:shd w:val="clear" w:color="auto" w:fill="FFFFFF" w:themeFill="background1"/>
        <w:suppressAutoHyphens/>
        <w:kinsoku w:val="0"/>
        <w:overflowPunct w:val="0"/>
        <w:autoSpaceDE w:val="0"/>
        <w:autoSpaceDN w:val="0"/>
        <w:adjustRightInd w:val="0"/>
        <w:snapToGrid w:val="0"/>
        <w:spacing w:before="120" w:after="120"/>
        <w:ind w:left="0" w:firstLine="709"/>
        <w:contextualSpacing w:val="0"/>
        <w:rPr>
          <w:szCs w:val="22"/>
        </w:rPr>
      </w:pPr>
      <w:r w:rsidRPr="001405F5">
        <w:rPr>
          <w:iCs/>
          <w:snapToGrid w:val="0"/>
          <w:kern w:val="22"/>
          <w:szCs w:val="22"/>
        </w:rPr>
        <w:t>17.</w:t>
      </w:r>
      <w:r w:rsidRPr="001405F5">
        <w:rPr>
          <w:iCs/>
          <w:snapToGrid w:val="0"/>
          <w:kern w:val="22"/>
          <w:szCs w:val="22"/>
        </w:rPr>
        <w:tab/>
      </w:r>
      <w:r w:rsidRPr="001405F5">
        <w:rPr>
          <w:i/>
          <w:snapToGrid w:val="0"/>
          <w:kern w:val="22"/>
          <w:szCs w:val="22"/>
        </w:rPr>
        <w:t>E</w:t>
      </w:r>
      <w:r w:rsidRPr="001405F5" w:rsidDel="006F7776">
        <w:rPr>
          <w:i/>
          <w:snapToGrid w:val="0"/>
          <w:kern w:val="22"/>
          <w:szCs w:val="22"/>
        </w:rPr>
        <w:t>ncourages</w:t>
      </w:r>
      <w:r w:rsidRPr="00DA56D4" w:rsidDel="006F7776">
        <w:rPr>
          <w:snapToGrid w:val="0"/>
          <w:kern w:val="22"/>
          <w:szCs w:val="22"/>
        </w:rPr>
        <w:t xml:space="preserve"> all Parties and other Governments</w:t>
      </w:r>
      <w:r w:rsidRPr="00DA56D4">
        <w:rPr>
          <w:snapToGrid w:val="0"/>
          <w:kern w:val="22"/>
          <w:szCs w:val="22"/>
        </w:rPr>
        <w:t>,</w:t>
      </w:r>
      <w:r w:rsidRPr="00DA56D4" w:rsidDel="006F7776">
        <w:rPr>
          <w:snapToGrid w:val="0"/>
          <w:kern w:val="22"/>
          <w:szCs w:val="22"/>
        </w:rPr>
        <w:t xml:space="preserve"> </w:t>
      </w:r>
      <w:r w:rsidRPr="00DA56D4">
        <w:rPr>
          <w:snapToGrid w:val="0"/>
          <w:kern w:val="22"/>
          <w:szCs w:val="22"/>
        </w:rPr>
        <w:t xml:space="preserve">as well as subnational governments, to </w:t>
      </w:r>
      <w:r w:rsidRPr="00DA56D4" w:rsidDel="006F7776">
        <w:rPr>
          <w:snapToGrid w:val="0"/>
          <w:kern w:val="22"/>
          <w:szCs w:val="22"/>
        </w:rPr>
        <w:t xml:space="preserve">carry out national </w:t>
      </w:r>
      <w:r w:rsidRPr="00DA56D4">
        <w:rPr>
          <w:snapToGrid w:val="0"/>
          <w:kern w:val="22"/>
          <w:szCs w:val="22"/>
        </w:rPr>
        <w:t xml:space="preserve">or subnational </w:t>
      </w:r>
      <w:r w:rsidRPr="00DA56D4" w:rsidDel="006F7776">
        <w:rPr>
          <w:snapToGrid w:val="0"/>
          <w:kern w:val="22"/>
          <w:szCs w:val="22"/>
        </w:rPr>
        <w:t>assessments, with the full engagement of indigenous peoples and local communities</w:t>
      </w:r>
      <w:r w:rsidRPr="00DA56D4">
        <w:rPr>
          <w:snapToGrid w:val="0"/>
          <w:kern w:val="22"/>
          <w:szCs w:val="22"/>
        </w:rPr>
        <w:t>, women, youth,</w:t>
      </w:r>
      <w:r w:rsidRPr="00DA56D4" w:rsidDel="006F7776">
        <w:rPr>
          <w:snapToGrid w:val="0"/>
          <w:kern w:val="22"/>
          <w:szCs w:val="22"/>
        </w:rPr>
        <w:t xml:space="preserve"> </w:t>
      </w:r>
      <w:r w:rsidRPr="00DA56D4">
        <w:rPr>
          <w:snapToGrid w:val="0"/>
          <w:kern w:val="22"/>
          <w:szCs w:val="22"/>
        </w:rPr>
        <w:t xml:space="preserve">civil society, academia and </w:t>
      </w:r>
      <w:r w:rsidRPr="00DA56D4" w:rsidDel="006F7776">
        <w:rPr>
          <w:snapToGrid w:val="0"/>
          <w:kern w:val="22"/>
          <w:szCs w:val="22"/>
        </w:rPr>
        <w:t xml:space="preserve">business, </w:t>
      </w:r>
      <w:r w:rsidRPr="00DA56D4">
        <w:rPr>
          <w:snapToGrid w:val="0"/>
          <w:kern w:val="22"/>
          <w:szCs w:val="22"/>
        </w:rPr>
        <w:t>adapting the process of the Intergovernmental Science-Policy Platform on Biodiversity and Ecosystem Services to the local contexts, so</w:t>
      </w:r>
      <w:r w:rsidRPr="00DA56D4" w:rsidDel="006F7776">
        <w:rPr>
          <w:snapToGrid w:val="0"/>
          <w:kern w:val="22"/>
          <w:szCs w:val="22"/>
        </w:rPr>
        <w:t xml:space="preserve"> </w:t>
      </w:r>
      <w:r w:rsidRPr="00DA56D4">
        <w:rPr>
          <w:snapToGrid w:val="0"/>
          <w:kern w:val="22"/>
          <w:szCs w:val="22"/>
        </w:rPr>
        <w:t xml:space="preserve">that these </w:t>
      </w:r>
      <w:r w:rsidRPr="00DA56D4" w:rsidDel="006F7776">
        <w:rPr>
          <w:snapToGrid w:val="0"/>
          <w:kern w:val="22"/>
          <w:szCs w:val="22"/>
        </w:rPr>
        <w:t xml:space="preserve">national </w:t>
      </w:r>
      <w:r w:rsidRPr="00DA56D4">
        <w:rPr>
          <w:snapToGrid w:val="0"/>
          <w:kern w:val="22"/>
          <w:szCs w:val="22"/>
        </w:rPr>
        <w:t xml:space="preserve">or subnational </w:t>
      </w:r>
      <w:r w:rsidRPr="00DA56D4" w:rsidDel="006F7776">
        <w:rPr>
          <w:snapToGrid w:val="0"/>
          <w:kern w:val="22"/>
          <w:szCs w:val="22"/>
        </w:rPr>
        <w:t>assessments</w:t>
      </w:r>
      <w:r w:rsidRPr="00DA56D4">
        <w:rPr>
          <w:snapToGrid w:val="0"/>
          <w:kern w:val="22"/>
          <w:szCs w:val="22"/>
        </w:rPr>
        <w:t xml:space="preserve"> can be used as potential input</w:t>
      </w:r>
      <w:r w:rsidRPr="00DA56D4" w:rsidDel="006F7776">
        <w:rPr>
          <w:snapToGrid w:val="0"/>
          <w:kern w:val="22"/>
          <w:szCs w:val="22"/>
        </w:rPr>
        <w:t xml:space="preserve"> to the </w:t>
      </w:r>
      <w:r w:rsidRPr="00DA56D4">
        <w:rPr>
          <w:snapToGrid w:val="0"/>
          <w:kern w:val="22"/>
          <w:szCs w:val="22"/>
        </w:rPr>
        <w:t xml:space="preserve">rolling work programme of the Intergovernmental Science-Policy Platform on Biodiversity and Ecosystem Services and for the </w:t>
      </w:r>
      <w:r w:rsidRPr="00DA56D4" w:rsidDel="006F7776">
        <w:rPr>
          <w:snapToGrid w:val="0"/>
          <w:kern w:val="22"/>
          <w:szCs w:val="22"/>
        </w:rPr>
        <w:t xml:space="preserve">implementation of the </w:t>
      </w:r>
      <w:r w:rsidRPr="00DA56D4">
        <w:rPr>
          <w:snapToGrid w:val="0"/>
          <w:kern w:val="22"/>
          <w:szCs w:val="22"/>
        </w:rPr>
        <w:t>Kunming-Montreal</w:t>
      </w:r>
      <w:r w:rsidRPr="00DA56D4" w:rsidDel="006F7776">
        <w:rPr>
          <w:snapToGrid w:val="0"/>
          <w:kern w:val="22"/>
          <w:szCs w:val="22"/>
        </w:rPr>
        <w:t xml:space="preserve"> </w:t>
      </w:r>
      <w:r w:rsidRPr="00DA56D4">
        <w:rPr>
          <w:snapToGrid w:val="0"/>
          <w:kern w:val="22"/>
          <w:szCs w:val="22"/>
        </w:rPr>
        <w:t>G</w:t>
      </w:r>
      <w:r w:rsidRPr="00DA56D4" w:rsidDel="006F7776">
        <w:rPr>
          <w:snapToGrid w:val="0"/>
          <w:kern w:val="22"/>
          <w:szCs w:val="22"/>
        </w:rPr>
        <w:t xml:space="preserve">lobal </w:t>
      </w:r>
      <w:r w:rsidRPr="00DA56D4">
        <w:rPr>
          <w:snapToGrid w:val="0"/>
          <w:kern w:val="22"/>
          <w:szCs w:val="22"/>
        </w:rPr>
        <w:t>B</w:t>
      </w:r>
      <w:r w:rsidRPr="00DA56D4" w:rsidDel="006F7776">
        <w:rPr>
          <w:snapToGrid w:val="0"/>
          <w:kern w:val="22"/>
          <w:szCs w:val="22"/>
        </w:rPr>
        <w:t xml:space="preserve">iodiversity </w:t>
      </w:r>
      <w:r w:rsidRPr="00DA56D4">
        <w:rPr>
          <w:snapToGrid w:val="0"/>
          <w:kern w:val="22"/>
          <w:szCs w:val="22"/>
        </w:rPr>
        <w:t>F</w:t>
      </w:r>
      <w:r w:rsidRPr="00DA56D4" w:rsidDel="006F7776">
        <w:rPr>
          <w:snapToGrid w:val="0"/>
          <w:kern w:val="22"/>
          <w:szCs w:val="22"/>
        </w:rPr>
        <w:t xml:space="preserve">ramework, and </w:t>
      </w:r>
      <w:r w:rsidRPr="00DA56D4">
        <w:rPr>
          <w:snapToGrid w:val="0"/>
          <w:kern w:val="22"/>
          <w:szCs w:val="22"/>
        </w:rPr>
        <w:t xml:space="preserve">urges Parties, and invites other Governments and organizations in a position to do so, </w:t>
      </w:r>
      <w:r w:rsidRPr="00DA56D4" w:rsidDel="006F7776">
        <w:rPr>
          <w:snapToGrid w:val="0"/>
          <w:kern w:val="22"/>
          <w:szCs w:val="22"/>
        </w:rPr>
        <w:t>to provide</w:t>
      </w:r>
      <w:r w:rsidRPr="00DA56D4">
        <w:rPr>
          <w:snapToGrid w:val="0"/>
          <w:kern w:val="22"/>
          <w:szCs w:val="22"/>
        </w:rPr>
        <w:t xml:space="preserve"> </w:t>
      </w:r>
      <w:r w:rsidRPr="00DA56D4" w:rsidDel="006F7776">
        <w:rPr>
          <w:snapToGrid w:val="0"/>
          <w:kern w:val="22"/>
          <w:szCs w:val="22"/>
        </w:rPr>
        <w:t xml:space="preserve">technical </w:t>
      </w:r>
      <w:r w:rsidRPr="00DA56D4">
        <w:rPr>
          <w:snapToGrid w:val="0"/>
          <w:kern w:val="22"/>
          <w:szCs w:val="22"/>
        </w:rPr>
        <w:t>assistance, capacity</w:t>
      </w:r>
      <w:r w:rsidRPr="00DA56D4">
        <w:rPr>
          <w:snapToGrid w:val="0"/>
          <w:kern w:val="22"/>
          <w:szCs w:val="22"/>
        </w:rPr>
        <w:noBreakHyphen/>
        <w:t>building</w:t>
      </w:r>
      <w:r w:rsidRPr="00DA56D4" w:rsidDel="006F7776">
        <w:rPr>
          <w:snapToGrid w:val="0"/>
          <w:kern w:val="22"/>
          <w:szCs w:val="22"/>
        </w:rPr>
        <w:t xml:space="preserve"> </w:t>
      </w:r>
      <w:r w:rsidRPr="00DA56D4">
        <w:rPr>
          <w:snapToGrid w:val="0"/>
          <w:kern w:val="22"/>
          <w:szCs w:val="22"/>
        </w:rPr>
        <w:t>and financial support</w:t>
      </w:r>
      <w:r w:rsidRPr="00DA56D4" w:rsidDel="006F7776">
        <w:rPr>
          <w:snapToGrid w:val="0"/>
          <w:kern w:val="22"/>
          <w:szCs w:val="22"/>
        </w:rPr>
        <w:t>, as appropriate.</w:t>
      </w:r>
    </w:p>
    <w:p w14:paraId="2EEB702F" w14:textId="77777777" w:rsidR="00F02C6B" w:rsidRPr="00A7282C" w:rsidRDefault="00F02C6B" w:rsidP="00E34747">
      <w:pPr>
        <w:keepNext/>
        <w:keepLines/>
        <w:shd w:val="clear" w:color="auto" w:fill="FFFFFF" w:themeFill="background1"/>
        <w:tabs>
          <w:tab w:val="left" w:pos="360"/>
        </w:tabs>
        <w:spacing w:after="120"/>
        <w:jc w:val="center"/>
        <w:rPr>
          <w:i/>
          <w:iCs/>
          <w:szCs w:val="22"/>
        </w:rPr>
      </w:pPr>
      <w:r w:rsidRPr="00A7282C">
        <w:rPr>
          <w:i/>
          <w:iCs/>
          <w:szCs w:val="22"/>
        </w:rPr>
        <w:t>Annex</w:t>
      </w:r>
    </w:p>
    <w:p w14:paraId="193B75BF" w14:textId="77777777" w:rsidR="00F02C6B" w:rsidRPr="00A7282C" w:rsidRDefault="00F02C6B" w:rsidP="00E34747">
      <w:pPr>
        <w:keepNext/>
        <w:keepLines/>
        <w:shd w:val="clear" w:color="auto" w:fill="FFFFFF" w:themeFill="background1"/>
        <w:tabs>
          <w:tab w:val="left" w:pos="360"/>
        </w:tabs>
        <w:spacing w:after="120"/>
        <w:jc w:val="center"/>
        <w:rPr>
          <w:b/>
          <w:bCs/>
          <w:szCs w:val="22"/>
        </w:rPr>
      </w:pPr>
      <w:r w:rsidRPr="00A7282C">
        <w:rPr>
          <w:b/>
          <w:bCs/>
          <w:szCs w:val="22"/>
        </w:rPr>
        <w:t>REQUESTS FROM THE CONVENTION ON BIOLOGICAL DIVERSITY FOR CONSIDERATION BY THE PLENARY OF THE INTERGOVERNMENTAL SCIENCE</w:t>
      </w:r>
      <w:r>
        <w:rPr>
          <w:b/>
          <w:bCs/>
          <w:szCs w:val="22"/>
        </w:rPr>
        <w:noBreakHyphen/>
      </w:r>
      <w:r w:rsidRPr="00A7282C">
        <w:rPr>
          <w:b/>
          <w:bCs/>
          <w:szCs w:val="22"/>
        </w:rPr>
        <w:t>POLICY PLATFORM ON BIODIVERSITY AND ECOSYSTEM SERVICES</w:t>
      </w:r>
      <w:r>
        <w:rPr>
          <w:b/>
          <w:bCs/>
          <w:szCs w:val="22"/>
        </w:rPr>
        <w:t> </w:t>
      </w:r>
      <w:r w:rsidRPr="00A7282C">
        <w:rPr>
          <w:b/>
          <w:bCs/>
          <w:szCs w:val="22"/>
        </w:rPr>
        <w:t>AT</w:t>
      </w:r>
      <w:r>
        <w:rPr>
          <w:b/>
          <w:bCs/>
          <w:szCs w:val="22"/>
        </w:rPr>
        <w:t> </w:t>
      </w:r>
      <w:r w:rsidRPr="00A7282C">
        <w:rPr>
          <w:b/>
          <w:bCs/>
          <w:szCs w:val="22"/>
        </w:rPr>
        <w:t>ITS</w:t>
      </w:r>
      <w:r>
        <w:rPr>
          <w:b/>
          <w:bCs/>
          <w:szCs w:val="22"/>
        </w:rPr>
        <w:t> </w:t>
      </w:r>
      <w:r w:rsidRPr="00A7282C">
        <w:rPr>
          <w:b/>
          <w:bCs/>
          <w:szCs w:val="22"/>
        </w:rPr>
        <w:t>TENTH SESSION</w:t>
      </w:r>
    </w:p>
    <w:p w14:paraId="1920DC7B" w14:textId="77777777" w:rsidR="00F02C6B" w:rsidRPr="00A7282C" w:rsidRDefault="00F02C6B" w:rsidP="00880208">
      <w:pPr>
        <w:keepNext/>
        <w:keepLines/>
        <w:shd w:val="clear" w:color="auto" w:fill="FFFFFF" w:themeFill="background1"/>
        <w:tabs>
          <w:tab w:val="left" w:pos="1276"/>
        </w:tabs>
        <w:spacing w:before="240" w:after="120"/>
        <w:ind w:left="1276" w:hanging="567"/>
        <w:jc w:val="left"/>
        <w:rPr>
          <w:b/>
          <w:bCs/>
          <w:szCs w:val="22"/>
        </w:rPr>
      </w:pPr>
      <w:r w:rsidRPr="00A7282C">
        <w:rPr>
          <w:b/>
          <w:bCs/>
          <w:szCs w:val="22"/>
        </w:rPr>
        <w:t>A.</w:t>
      </w:r>
      <w:r w:rsidRPr="00A7282C">
        <w:rPr>
          <w:b/>
          <w:bCs/>
          <w:szCs w:val="22"/>
        </w:rPr>
        <w:tab/>
        <w:t>Request from the Convention on Biological Diversity regarding a second global assessment on biodiversity and ecosystem services</w:t>
      </w:r>
    </w:p>
    <w:p w14:paraId="1CB72816" w14:textId="77777777" w:rsidR="00F02C6B" w:rsidRPr="00A7282C" w:rsidRDefault="00F02C6B" w:rsidP="00E34747">
      <w:pPr>
        <w:shd w:val="clear" w:color="auto" w:fill="FFFFFF" w:themeFill="background1"/>
        <w:tabs>
          <w:tab w:val="left" w:pos="709"/>
        </w:tabs>
        <w:spacing w:before="240" w:after="120"/>
        <w:rPr>
          <w:szCs w:val="22"/>
        </w:rPr>
      </w:pPr>
      <w:r w:rsidRPr="00A7282C">
        <w:rPr>
          <w:szCs w:val="22"/>
        </w:rPr>
        <w:t>1.</w:t>
      </w:r>
      <w:r w:rsidRPr="00A7282C">
        <w:rPr>
          <w:szCs w:val="22"/>
        </w:rPr>
        <w:tab/>
        <w:t xml:space="preserve">A second global assessment on biodiversity and ecosystem services should be prepared by </w:t>
      </w:r>
      <w:r w:rsidRPr="00A7282C">
        <w:rPr>
          <w:snapToGrid w:val="0"/>
          <w:kern w:val="22"/>
          <w:szCs w:val="22"/>
        </w:rPr>
        <w:t xml:space="preserve">the Intergovernmental Science-Policy Platform on Biodiversity and Ecosystem Services (IPBES) </w:t>
      </w:r>
      <w:r w:rsidRPr="00A7282C">
        <w:rPr>
          <w:szCs w:val="22"/>
        </w:rPr>
        <w:t>to:</w:t>
      </w:r>
    </w:p>
    <w:p w14:paraId="39899FD2" w14:textId="77777777" w:rsidR="00F02C6B" w:rsidRPr="00A7282C" w:rsidRDefault="00F02C6B" w:rsidP="00950BE4">
      <w:pPr>
        <w:pStyle w:val="ListParagraph"/>
        <w:numPr>
          <w:ilvl w:val="1"/>
          <w:numId w:val="63"/>
        </w:numPr>
        <w:shd w:val="clear" w:color="auto" w:fill="FFFFFF" w:themeFill="background1"/>
        <w:tabs>
          <w:tab w:val="clear" w:pos="1481"/>
          <w:tab w:val="left" w:pos="360"/>
          <w:tab w:val="left" w:pos="851"/>
        </w:tabs>
        <w:spacing w:before="60" w:after="60"/>
        <w:ind w:left="0" w:firstLine="709"/>
        <w:contextualSpacing w:val="0"/>
        <w:rPr>
          <w:szCs w:val="22"/>
        </w:rPr>
      </w:pPr>
      <w:r w:rsidRPr="00A7282C">
        <w:rPr>
          <w:szCs w:val="22"/>
        </w:rPr>
        <w:t xml:space="preserve">Support Governments and all stakeholders to implement the Convention on Biological Diversity and the </w:t>
      </w:r>
      <w:r>
        <w:rPr>
          <w:szCs w:val="22"/>
        </w:rPr>
        <w:t>Kunming-Montreal</w:t>
      </w:r>
      <w:r w:rsidRPr="00A7282C">
        <w:rPr>
          <w:szCs w:val="22"/>
        </w:rPr>
        <w:t xml:space="preserve"> </w:t>
      </w:r>
      <w:r>
        <w:rPr>
          <w:szCs w:val="22"/>
        </w:rPr>
        <w:t>G</w:t>
      </w:r>
      <w:r w:rsidRPr="00A7282C">
        <w:rPr>
          <w:szCs w:val="22"/>
        </w:rPr>
        <w:t xml:space="preserve">lobal </w:t>
      </w:r>
      <w:r>
        <w:rPr>
          <w:szCs w:val="22"/>
        </w:rPr>
        <w:t>B</w:t>
      </w:r>
      <w:r w:rsidRPr="00A7282C">
        <w:rPr>
          <w:szCs w:val="22"/>
        </w:rPr>
        <w:t xml:space="preserve">iodiversity </w:t>
      </w:r>
      <w:r>
        <w:rPr>
          <w:szCs w:val="22"/>
        </w:rPr>
        <w:t>F</w:t>
      </w:r>
      <w:r w:rsidRPr="00A7282C">
        <w:rPr>
          <w:szCs w:val="22"/>
        </w:rPr>
        <w:t xml:space="preserve">ramework, as well as its Protocols, related agreements and the 2030 Agenda for Sustainable Development, with a view to achieving the 2050 </w:t>
      </w:r>
      <w:r w:rsidRPr="001405F5">
        <w:rPr>
          <w:szCs w:val="22"/>
        </w:rPr>
        <w:t>v</w:t>
      </w:r>
      <w:r w:rsidRPr="006D32DA">
        <w:rPr>
          <w:szCs w:val="22"/>
        </w:rPr>
        <w:t>ision for Biodiversity</w:t>
      </w:r>
      <w:r w:rsidRPr="00A7282C">
        <w:rPr>
          <w:szCs w:val="22"/>
        </w:rPr>
        <w:t xml:space="preserve"> and the Sustainable Development Goals;</w:t>
      </w:r>
    </w:p>
    <w:p w14:paraId="6FC50E3B" w14:textId="77777777" w:rsidR="00F02C6B" w:rsidRPr="00A7282C" w:rsidRDefault="00F02C6B" w:rsidP="00950BE4">
      <w:pPr>
        <w:pStyle w:val="ListParagraph"/>
        <w:numPr>
          <w:ilvl w:val="1"/>
          <w:numId w:val="63"/>
        </w:numPr>
        <w:shd w:val="clear" w:color="auto" w:fill="FFFFFF" w:themeFill="background1"/>
        <w:tabs>
          <w:tab w:val="clear" w:pos="1481"/>
          <w:tab w:val="left" w:pos="360"/>
          <w:tab w:val="left" w:pos="851"/>
        </w:tabs>
        <w:spacing w:before="60" w:after="60"/>
        <w:ind w:left="0" w:firstLine="709"/>
        <w:contextualSpacing w:val="0"/>
        <w:rPr>
          <w:szCs w:val="22"/>
        </w:rPr>
      </w:pPr>
      <w:r w:rsidRPr="00A7282C">
        <w:rPr>
          <w:szCs w:val="22"/>
        </w:rPr>
        <w:t xml:space="preserve">Support the Convention to assess progress in the achievement of the 2030 targets and towards the 2050 goals of the </w:t>
      </w:r>
      <w:r>
        <w:rPr>
          <w:szCs w:val="22"/>
        </w:rPr>
        <w:t>Kunming-Montreal</w:t>
      </w:r>
      <w:r w:rsidRPr="00A7282C">
        <w:rPr>
          <w:szCs w:val="22"/>
        </w:rPr>
        <w:t xml:space="preserve"> </w:t>
      </w:r>
      <w:r>
        <w:rPr>
          <w:szCs w:val="22"/>
        </w:rPr>
        <w:t>G</w:t>
      </w:r>
      <w:r w:rsidRPr="00A7282C">
        <w:rPr>
          <w:szCs w:val="22"/>
        </w:rPr>
        <w:t xml:space="preserve">lobal </w:t>
      </w:r>
      <w:r>
        <w:rPr>
          <w:szCs w:val="22"/>
        </w:rPr>
        <w:t>B</w:t>
      </w:r>
      <w:r w:rsidRPr="00A7282C">
        <w:rPr>
          <w:szCs w:val="22"/>
        </w:rPr>
        <w:t xml:space="preserve">iodiversity </w:t>
      </w:r>
      <w:r>
        <w:rPr>
          <w:szCs w:val="22"/>
        </w:rPr>
        <w:t>F</w:t>
      </w:r>
      <w:r w:rsidRPr="00A7282C">
        <w:rPr>
          <w:szCs w:val="22"/>
        </w:rPr>
        <w:t xml:space="preserve">ramework, as well as relevant Sustainable Development Goals and </w:t>
      </w:r>
      <w:r w:rsidRPr="00517348">
        <w:rPr>
          <w:szCs w:val="22"/>
        </w:rPr>
        <w:t>t</w:t>
      </w:r>
      <w:r w:rsidRPr="00A7282C">
        <w:rPr>
          <w:szCs w:val="22"/>
        </w:rPr>
        <w:t>argets;</w:t>
      </w:r>
    </w:p>
    <w:p w14:paraId="75BFF08E" w14:textId="77777777" w:rsidR="00F02C6B" w:rsidRPr="00A7282C" w:rsidRDefault="00F02C6B" w:rsidP="00950BE4">
      <w:pPr>
        <w:pStyle w:val="ListParagraph"/>
        <w:numPr>
          <w:ilvl w:val="1"/>
          <w:numId w:val="63"/>
        </w:numPr>
        <w:shd w:val="clear" w:color="auto" w:fill="FFFFFF" w:themeFill="background1"/>
        <w:tabs>
          <w:tab w:val="clear" w:pos="1481"/>
          <w:tab w:val="left" w:pos="360"/>
          <w:tab w:val="left" w:pos="851"/>
        </w:tabs>
        <w:spacing w:before="60" w:after="60"/>
        <w:ind w:left="0" w:firstLine="709"/>
        <w:contextualSpacing w:val="0"/>
        <w:rPr>
          <w:szCs w:val="22"/>
        </w:rPr>
      </w:pPr>
      <w:r w:rsidRPr="00A7282C">
        <w:rPr>
          <w:szCs w:val="22"/>
        </w:rPr>
        <w:t xml:space="preserve">Provide the scientific and technical basis for the follow-up to the </w:t>
      </w:r>
      <w:r>
        <w:rPr>
          <w:szCs w:val="22"/>
        </w:rPr>
        <w:t>Framework</w:t>
      </w:r>
      <w:r w:rsidRPr="00A7282C">
        <w:rPr>
          <w:szCs w:val="22"/>
        </w:rPr>
        <w:t xml:space="preserve"> after 2030.</w:t>
      </w:r>
    </w:p>
    <w:p w14:paraId="5F7C72FE" w14:textId="77777777" w:rsidR="00F02C6B" w:rsidRPr="00A7282C" w:rsidRDefault="00F02C6B" w:rsidP="00E34747">
      <w:pPr>
        <w:shd w:val="clear" w:color="auto" w:fill="FFFFFF" w:themeFill="background1"/>
        <w:tabs>
          <w:tab w:val="left" w:pos="709"/>
        </w:tabs>
        <w:spacing w:before="120" w:after="120"/>
        <w:rPr>
          <w:szCs w:val="22"/>
        </w:rPr>
      </w:pPr>
      <w:r w:rsidRPr="00A7282C">
        <w:rPr>
          <w:szCs w:val="22"/>
        </w:rPr>
        <w:t>2.</w:t>
      </w:r>
      <w:r w:rsidRPr="00A7282C">
        <w:rPr>
          <w:szCs w:val="22"/>
        </w:rPr>
        <w:tab/>
        <w:t xml:space="preserve">The second </w:t>
      </w:r>
      <w:r>
        <w:rPr>
          <w:szCs w:val="22"/>
        </w:rPr>
        <w:t>g</w:t>
      </w:r>
      <w:r w:rsidRPr="00A7282C">
        <w:rPr>
          <w:szCs w:val="22"/>
        </w:rPr>
        <w:t xml:space="preserve">lobal </w:t>
      </w:r>
      <w:r>
        <w:rPr>
          <w:szCs w:val="22"/>
        </w:rPr>
        <w:t>a</w:t>
      </w:r>
      <w:r w:rsidRPr="00A7282C">
        <w:rPr>
          <w:szCs w:val="22"/>
        </w:rPr>
        <w:t xml:space="preserve">ssessment should be comprehensive, broadly similar in scope to the </w:t>
      </w:r>
      <w:r>
        <w:rPr>
          <w:szCs w:val="22"/>
        </w:rPr>
        <w:t>f</w:t>
      </w:r>
      <w:r w:rsidRPr="00A7282C">
        <w:rPr>
          <w:szCs w:val="22"/>
        </w:rPr>
        <w:t xml:space="preserve">irst </w:t>
      </w:r>
      <w:r>
        <w:rPr>
          <w:szCs w:val="22"/>
        </w:rPr>
        <w:t>a</w:t>
      </w:r>
      <w:r w:rsidRPr="00A7282C">
        <w:rPr>
          <w:szCs w:val="22"/>
        </w:rPr>
        <w:t>ssessment</w:t>
      </w:r>
      <w:r>
        <w:rPr>
          <w:szCs w:val="22"/>
        </w:rPr>
        <w:t>,</w:t>
      </w:r>
      <w:r w:rsidRPr="00A7282C">
        <w:rPr>
          <w:szCs w:val="22"/>
        </w:rPr>
        <w:t xml:space="preserve"> but building upon it to avoid repetition or unnecessary duplication. It should address the three objectives of the Convention (the conservation of biological diversity, sustainable use of its components, and the fair and equitable sharing of benefits arising out of the utilization of genetic resources) in a balanced and integrated way. It should cover terrestrial, inland water and marine and coastal biodiversity.</w:t>
      </w:r>
    </w:p>
    <w:p w14:paraId="44545A68" w14:textId="77777777" w:rsidR="00F02C6B" w:rsidRPr="00A7282C" w:rsidRDefault="00F02C6B" w:rsidP="00E34747">
      <w:pPr>
        <w:shd w:val="clear" w:color="auto" w:fill="FFFFFF" w:themeFill="background1"/>
        <w:tabs>
          <w:tab w:val="left" w:pos="709"/>
        </w:tabs>
        <w:spacing w:after="120"/>
        <w:rPr>
          <w:szCs w:val="22"/>
        </w:rPr>
      </w:pPr>
      <w:r w:rsidRPr="00A7282C">
        <w:rPr>
          <w:szCs w:val="22"/>
        </w:rPr>
        <w:t>3.</w:t>
      </w:r>
      <w:r w:rsidRPr="00A7282C">
        <w:rPr>
          <w:szCs w:val="22"/>
        </w:rPr>
        <w:tab/>
        <w:t xml:space="preserve">The second </w:t>
      </w:r>
      <w:r>
        <w:rPr>
          <w:szCs w:val="22"/>
        </w:rPr>
        <w:t>g</w:t>
      </w:r>
      <w:r w:rsidRPr="00A7282C">
        <w:rPr>
          <w:szCs w:val="22"/>
        </w:rPr>
        <w:t xml:space="preserve">lobal </w:t>
      </w:r>
      <w:r>
        <w:rPr>
          <w:szCs w:val="22"/>
        </w:rPr>
        <w:t>a</w:t>
      </w:r>
      <w:r w:rsidRPr="00A7282C">
        <w:rPr>
          <w:szCs w:val="22"/>
        </w:rPr>
        <w:t xml:space="preserve">ssessment should cover the status and trends of biodiversity and ecosystem services / nature’s contributions to people over the past, present and future, using quantitative and qualitative models and scenarios, in a consistent and seamless manner, as far as possible. Where possible, information on past status and trends should cover natural reference states, including pre-industrial time periods, when relevant, and future status and trends should project to 2050 and 2100, drawing upon the IPBES assessment on scenarios and models and the latest advances in these fields. The assessment should make use of relevant indicators, including those adopted under the </w:t>
      </w:r>
      <w:r>
        <w:rPr>
          <w:szCs w:val="22"/>
        </w:rPr>
        <w:t>Kunming-Montreal</w:t>
      </w:r>
      <w:r w:rsidRPr="00A7282C">
        <w:rPr>
          <w:szCs w:val="22"/>
        </w:rPr>
        <w:t xml:space="preserve"> </w:t>
      </w:r>
      <w:r>
        <w:rPr>
          <w:szCs w:val="22"/>
        </w:rPr>
        <w:t>G</w:t>
      </w:r>
      <w:r w:rsidRPr="00A7282C">
        <w:rPr>
          <w:szCs w:val="22"/>
        </w:rPr>
        <w:t xml:space="preserve">lobal </w:t>
      </w:r>
      <w:r>
        <w:rPr>
          <w:szCs w:val="22"/>
        </w:rPr>
        <w:t>B</w:t>
      </w:r>
      <w:r w:rsidRPr="00A7282C">
        <w:rPr>
          <w:szCs w:val="22"/>
        </w:rPr>
        <w:t xml:space="preserve">iodiversity </w:t>
      </w:r>
      <w:r>
        <w:rPr>
          <w:szCs w:val="22"/>
        </w:rPr>
        <w:t>F</w:t>
      </w:r>
      <w:r w:rsidRPr="00A7282C">
        <w:rPr>
          <w:szCs w:val="22"/>
        </w:rPr>
        <w:t xml:space="preserve">ramework and the 2030 Agenda. </w:t>
      </w:r>
    </w:p>
    <w:p w14:paraId="731D2357" w14:textId="77777777" w:rsidR="00F02C6B" w:rsidRPr="00A7282C" w:rsidRDefault="00F02C6B" w:rsidP="00E34747">
      <w:pPr>
        <w:shd w:val="clear" w:color="auto" w:fill="FFFFFF" w:themeFill="background1"/>
        <w:tabs>
          <w:tab w:val="left" w:pos="709"/>
        </w:tabs>
        <w:spacing w:after="120"/>
        <w:rPr>
          <w:szCs w:val="22"/>
        </w:rPr>
      </w:pPr>
      <w:r w:rsidRPr="00A7282C">
        <w:rPr>
          <w:szCs w:val="22"/>
        </w:rPr>
        <w:t xml:space="preserve">4. </w:t>
      </w:r>
      <w:r w:rsidRPr="00A7282C">
        <w:rPr>
          <w:szCs w:val="22"/>
        </w:rPr>
        <w:tab/>
        <w:t xml:space="preserve">The second </w:t>
      </w:r>
      <w:r>
        <w:rPr>
          <w:szCs w:val="22"/>
        </w:rPr>
        <w:t>g</w:t>
      </w:r>
      <w:r w:rsidRPr="00A7282C">
        <w:rPr>
          <w:szCs w:val="22"/>
        </w:rPr>
        <w:t xml:space="preserve">lobal </w:t>
      </w:r>
      <w:r>
        <w:rPr>
          <w:szCs w:val="22"/>
        </w:rPr>
        <w:t>a</w:t>
      </w:r>
      <w:r w:rsidRPr="00A7282C">
        <w:rPr>
          <w:szCs w:val="22"/>
        </w:rPr>
        <w:t xml:space="preserve">ssessment should address the direct and indirect drivers of biodiversity change, drawing upon all relevant IPBES assessments, including the nexus and transformative change assessments, as well as relevant assessments by the Intergovernmental Panel on Climate Change. </w:t>
      </w:r>
    </w:p>
    <w:p w14:paraId="3FE1BF76" w14:textId="77777777" w:rsidR="00F02C6B" w:rsidRPr="00A7282C" w:rsidRDefault="00F02C6B" w:rsidP="00E34747">
      <w:pPr>
        <w:shd w:val="clear" w:color="auto" w:fill="FFFFFF" w:themeFill="background1"/>
        <w:tabs>
          <w:tab w:val="left" w:pos="709"/>
        </w:tabs>
        <w:spacing w:after="120"/>
        <w:rPr>
          <w:szCs w:val="22"/>
        </w:rPr>
      </w:pPr>
      <w:r w:rsidRPr="00A7282C">
        <w:rPr>
          <w:szCs w:val="22"/>
        </w:rPr>
        <w:t xml:space="preserve">5. </w:t>
      </w:r>
      <w:r w:rsidRPr="00A7282C">
        <w:rPr>
          <w:szCs w:val="22"/>
        </w:rPr>
        <w:tab/>
        <w:t xml:space="preserve">The second </w:t>
      </w:r>
      <w:r>
        <w:rPr>
          <w:szCs w:val="22"/>
        </w:rPr>
        <w:t>g</w:t>
      </w:r>
      <w:r w:rsidRPr="00A7282C">
        <w:rPr>
          <w:szCs w:val="22"/>
        </w:rPr>
        <w:t xml:space="preserve">lobal </w:t>
      </w:r>
      <w:r>
        <w:rPr>
          <w:szCs w:val="22"/>
        </w:rPr>
        <w:t>a</w:t>
      </w:r>
      <w:r w:rsidRPr="00A7282C">
        <w:rPr>
          <w:szCs w:val="22"/>
        </w:rPr>
        <w:t xml:space="preserve">ssessment should </w:t>
      </w:r>
      <w:r w:rsidRPr="00530EA7">
        <w:rPr>
          <w:szCs w:val="22"/>
        </w:rPr>
        <w:t>include</w:t>
      </w:r>
      <w:r w:rsidRPr="00A7282C">
        <w:rPr>
          <w:szCs w:val="22"/>
        </w:rPr>
        <w:t xml:space="preserve">, where appropriate and feasible, existing regional, subregional and national assessments as well as ecosystem level analysis in a fully integrated manner.  </w:t>
      </w:r>
    </w:p>
    <w:p w14:paraId="527AD946" w14:textId="77777777" w:rsidR="00F02C6B" w:rsidRPr="00A7282C" w:rsidRDefault="00F02C6B" w:rsidP="00E34747">
      <w:pPr>
        <w:shd w:val="clear" w:color="auto" w:fill="FFFFFF" w:themeFill="background1"/>
        <w:tabs>
          <w:tab w:val="left" w:pos="709"/>
        </w:tabs>
        <w:spacing w:after="120"/>
        <w:rPr>
          <w:szCs w:val="22"/>
        </w:rPr>
      </w:pPr>
      <w:r w:rsidRPr="00A7282C">
        <w:rPr>
          <w:szCs w:val="22"/>
        </w:rPr>
        <w:t>6.</w:t>
      </w:r>
      <w:r w:rsidRPr="00A7282C">
        <w:rPr>
          <w:szCs w:val="22"/>
        </w:rPr>
        <w:tab/>
        <w:t xml:space="preserve">The second </w:t>
      </w:r>
      <w:r>
        <w:rPr>
          <w:szCs w:val="22"/>
        </w:rPr>
        <w:t>g</w:t>
      </w:r>
      <w:r w:rsidRPr="00A7282C">
        <w:rPr>
          <w:szCs w:val="22"/>
        </w:rPr>
        <w:t xml:space="preserve">lobal </w:t>
      </w:r>
      <w:r>
        <w:rPr>
          <w:szCs w:val="22"/>
        </w:rPr>
        <w:t>a</w:t>
      </w:r>
      <w:r w:rsidRPr="00A7282C">
        <w:rPr>
          <w:szCs w:val="22"/>
        </w:rPr>
        <w:t xml:space="preserve">ssessment should incorporate the best available knowledge, including indigenous and local knowledge, fully respecting existing IPBES procedures for the ethical use and management of knowledge, which include taking into account the challenges faced by developing countries, and incorporate diverse values and multiple worldviews, taking into account, inter alia, the </w:t>
      </w:r>
      <w:r w:rsidRPr="001136CE">
        <w:rPr>
          <w:szCs w:val="22"/>
        </w:rPr>
        <w:t xml:space="preserve">IPBES Values </w:t>
      </w:r>
      <w:r w:rsidRPr="001405F5">
        <w:rPr>
          <w:szCs w:val="22"/>
        </w:rPr>
        <w:t>A</w:t>
      </w:r>
      <w:r w:rsidRPr="001136CE">
        <w:rPr>
          <w:szCs w:val="22"/>
        </w:rPr>
        <w:t>ssessment.</w:t>
      </w:r>
      <w:r w:rsidRPr="00610646">
        <w:rPr>
          <w:rStyle w:val="FootnoteReference"/>
        </w:rPr>
        <w:footnoteReference w:id="311"/>
      </w:r>
      <w:r w:rsidRPr="00A7282C">
        <w:rPr>
          <w:szCs w:val="22"/>
        </w:rPr>
        <w:t xml:space="preserve"> </w:t>
      </w:r>
    </w:p>
    <w:p w14:paraId="4DEE303D" w14:textId="77777777" w:rsidR="00F02C6B" w:rsidRPr="00A7282C" w:rsidRDefault="00F02C6B" w:rsidP="00E34747">
      <w:pPr>
        <w:shd w:val="clear" w:color="auto" w:fill="FFFFFF" w:themeFill="background1"/>
        <w:tabs>
          <w:tab w:val="left" w:pos="709"/>
        </w:tabs>
        <w:spacing w:after="120"/>
        <w:rPr>
          <w:szCs w:val="22"/>
        </w:rPr>
      </w:pPr>
      <w:r w:rsidRPr="00A7282C">
        <w:rPr>
          <w:szCs w:val="22"/>
        </w:rPr>
        <w:t>7.</w:t>
      </w:r>
      <w:r w:rsidRPr="00A7282C">
        <w:rPr>
          <w:szCs w:val="22"/>
        </w:rPr>
        <w:tab/>
        <w:t xml:space="preserve">The second </w:t>
      </w:r>
      <w:r>
        <w:rPr>
          <w:szCs w:val="22"/>
        </w:rPr>
        <w:t>g</w:t>
      </w:r>
      <w:r w:rsidRPr="00A7282C">
        <w:rPr>
          <w:szCs w:val="22"/>
        </w:rPr>
        <w:t xml:space="preserve">lobal </w:t>
      </w:r>
      <w:r>
        <w:rPr>
          <w:szCs w:val="22"/>
        </w:rPr>
        <w:t>a</w:t>
      </w:r>
      <w:r w:rsidRPr="00A7282C">
        <w:rPr>
          <w:szCs w:val="22"/>
        </w:rPr>
        <w:t xml:space="preserve">ssessment should consider the knowledge gaps identified in the first assessment. </w:t>
      </w:r>
    </w:p>
    <w:p w14:paraId="45BD7DE2" w14:textId="77777777" w:rsidR="00F02C6B" w:rsidRPr="00A7282C" w:rsidRDefault="00F02C6B" w:rsidP="00E34747">
      <w:pPr>
        <w:shd w:val="clear" w:color="auto" w:fill="FFFFFF" w:themeFill="background1"/>
        <w:tabs>
          <w:tab w:val="left" w:pos="709"/>
        </w:tabs>
        <w:spacing w:after="120"/>
        <w:rPr>
          <w:szCs w:val="22"/>
        </w:rPr>
      </w:pPr>
      <w:r w:rsidRPr="00A7282C">
        <w:rPr>
          <w:szCs w:val="22"/>
        </w:rPr>
        <w:t xml:space="preserve">8. </w:t>
      </w:r>
      <w:r w:rsidRPr="00A7282C">
        <w:rPr>
          <w:szCs w:val="22"/>
        </w:rPr>
        <w:tab/>
        <w:t xml:space="preserve">The second </w:t>
      </w:r>
      <w:r>
        <w:rPr>
          <w:szCs w:val="22"/>
        </w:rPr>
        <w:t>g</w:t>
      </w:r>
      <w:r w:rsidRPr="00A7282C">
        <w:rPr>
          <w:szCs w:val="22"/>
        </w:rPr>
        <w:t xml:space="preserve">lobal </w:t>
      </w:r>
      <w:r>
        <w:rPr>
          <w:szCs w:val="22"/>
        </w:rPr>
        <w:t>a</w:t>
      </w:r>
      <w:r w:rsidRPr="00A7282C">
        <w:rPr>
          <w:szCs w:val="22"/>
        </w:rPr>
        <w:t xml:space="preserve">ssessment should be finalized for approval by the IPBES Plenary in the fourth quarter of 2028 (or in the first quarter 2029 at the latest). </w:t>
      </w:r>
    </w:p>
    <w:p w14:paraId="11932C42" w14:textId="77777777" w:rsidR="00F02C6B" w:rsidRPr="00A7282C" w:rsidRDefault="00F02C6B" w:rsidP="00E34747">
      <w:pPr>
        <w:shd w:val="clear" w:color="auto" w:fill="FFFFFF" w:themeFill="background1"/>
        <w:tabs>
          <w:tab w:val="left" w:pos="1418"/>
        </w:tabs>
        <w:spacing w:before="240" w:after="120"/>
        <w:ind w:left="1418" w:hanging="851"/>
        <w:jc w:val="left"/>
        <w:rPr>
          <w:b/>
          <w:bCs/>
          <w:szCs w:val="22"/>
        </w:rPr>
      </w:pPr>
      <w:r w:rsidRPr="00A7282C">
        <w:rPr>
          <w:b/>
          <w:bCs/>
          <w:szCs w:val="22"/>
        </w:rPr>
        <w:t xml:space="preserve">B. </w:t>
      </w:r>
      <w:r w:rsidRPr="00A7282C">
        <w:rPr>
          <w:b/>
          <w:bCs/>
          <w:szCs w:val="22"/>
        </w:rPr>
        <w:tab/>
        <w:t xml:space="preserve">Requests from the Convention on Biological Diversity regarding potential additional assessments for inclusion in the rolling work programme of the </w:t>
      </w:r>
      <w:r w:rsidRPr="00A7282C">
        <w:rPr>
          <w:b/>
          <w:bCs/>
          <w:snapToGrid w:val="0"/>
          <w:kern w:val="22"/>
          <w:szCs w:val="22"/>
        </w:rPr>
        <w:t>Platform</w:t>
      </w:r>
    </w:p>
    <w:p w14:paraId="56159BB2" w14:textId="77777777" w:rsidR="00F02C6B" w:rsidRPr="00A7282C" w:rsidRDefault="00F02C6B" w:rsidP="00E34747">
      <w:pPr>
        <w:shd w:val="clear" w:color="auto" w:fill="FFFFFF" w:themeFill="background1"/>
        <w:tabs>
          <w:tab w:val="left" w:pos="360"/>
          <w:tab w:val="left" w:pos="851"/>
        </w:tabs>
        <w:spacing w:after="120"/>
        <w:rPr>
          <w:szCs w:val="22"/>
        </w:rPr>
      </w:pPr>
      <w:r w:rsidRPr="00A7282C">
        <w:rPr>
          <w:szCs w:val="22"/>
        </w:rPr>
        <w:t>The following fast-track assessments should be considered by the Platform:</w:t>
      </w:r>
    </w:p>
    <w:p w14:paraId="1602CC97" w14:textId="77777777" w:rsidR="00F02C6B" w:rsidRPr="002270F9" w:rsidRDefault="00F02C6B" w:rsidP="00950BE4">
      <w:pPr>
        <w:pStyle w:val="ListParagraph"/>
        <w:numPr>
          <w:ilvl w:val="0"/>
          <w:numId w:val="64"/>
        </w:numPr>
        <w:shd w:val="clear" w:color="auto" w:fill="FFFFFF" w:themeFill="background1"/>
        <w:spacing w:before="120" w:after="120"/>
        <w:ind w:left="0" w:firstLine="697"/>
        <w:contextualSpacing w:val="0"/>
        <w:rPr>
          <w:szCs w:val="22"/>
        </w:rPr>
      </w:pPr>
      <w:r w:rsidRPr="002270F9">
        <w:rPr>
          <w:szCs w:val="22"/>
        </w:rPr>
        <w:t>A fast-track assessment on integrated biodiversity-inclusive spatial planning and ecological connectivity considering such elements as land- and sea-use change and restoration;</w:t>
      </w:r>
    </w:p>
    <w:p w14:paraId="046F76EE" w14:textId="77777777" w:rsidR="00F02C6B" w:rsidRPr="002270F9" w:rsidRDefault="00F02C6B" w:rsidP="00950BE4">
      <w:pPr>
        <w:pStyle w:val="ListParagraph"/>
        <w:numPr>
          <w:ilvl w:val="0"/>
          <w:numId w:val="64"/>
        </w:numPr>
        <w:shd w:val="clear" w:color="auto" w:fill="FFFFFF" w:themeFill="background1"/>
        <w:spacing w:before="120" w:after="120"/>
        <w:ind w:left="0" w:firstLine="697"/>
        <w:contextualSpacing w:val="0"/>
        <w:rPr>
          <w:szCs w:val="22"/>
        </w:rPr>
      </w:pPr>
      <w:r w:rsidRPr="002270F9">
        <w:rPr>
          <w:szCs w:val="22"/>
        </w:rPr>
        <w:t xml:space="preserve">A fast-track assessment on monitoring biodiversity and ecosystem services and tracking progress towards the goals and targets of the </w:t>
      </w:r>
      <w:r>
        <w:rPr>
          <w:szCs w:val="22"/>
        </w:rPr>
        <w:t>Kunming-Montreal</w:t>
      </w:r>
      <w:r w:rsidRPr="002270F9">
        <w:rPr>
          <w:szCs w:val="22"/>
        </w:rPr>
        <w:t xml:space="preserve"> </w:t>
      </w:r>
      <w:r>
        <w:rPr>
          <w:szCs w:val="22"/>
        </w:rPr>
        <w:t>G</w:t>
      </w:r>
      <w:r w:rsidRPr="002270F9">
        <w:rPr>
          <w:szCs w:val="22"/>
        </w:rPr>
        <w:t xml:space="preserve">lobal </w:t>
      </w:r>
      <w:r>
        <w:rPr>
          <w:szCs w:val="22"/>
        </w:rPr>
        <w:t>B</w:t>
      </w:r>
      <w:r w:rsidRPr="002270F9">
        <w:rPr>
          <w:szCs w:val="22"/>
        </w:rPr>
        <w:t xml:space="preserve">iodiversity </w:t>
      </w:r>
      <w:r>
        <w:rPr>
          <w:szCs w:val="22"/>
        </w:rPr>
        <w:t>F</w:t>
      </w:r>
      <w:r w:rsidRPr="002270F9">
        <w:rPr>
          <w:szCs w:val="22"/>
        </w:rPr>
        <w:t>ramework and on baselines for assessing biodiversity loss;</w:t>
      </w:r>
    </w:p>
    <w:p w14:paraId="4332332C" w14:textId="77777777" w:rsidR="00F02C6B" w:rsidRPr="002270F9" w:rsidRDefault="00F02C6B" w:rsidP="00950BE4">
      <w:pPr>
        <w:pStyle w:val="ListParagraph"/>
        <w:numPr>
          <w:ilvl w:val="0"/>
          <w:numId w:val="64"/>
        </w:numPr>
        <w:shd w:val="clear" w:color="auto" w:fill="FFFFFF" w:themeFill="background1"/>
        <w:spacing w:before="120" w:after="120"/>
        <w:ind w:left="0" w:firstLine="697"/>
        <w:contextualSpacing w:val="0"/>
        <w:rPr>
          <w:szCs w:val="22"/>
        </w:rPr>
      </w:pPr>
      <w:r w:rsidRPr="002270F9">
        <w:rPr>
          <w:szCs w:val="22"/>
        </w:rPr>
        <w:t>A fast-track assessment on the impacts of pollution on biodiversity and approaches to avoid, reduce and mitigate such impacts;</w:t>
      </w:r>
    </w:p>
    <w:p w14:paraId="77E1E6FD" w14:textId="77777777" w:rsidR="00F02C6B" w:rsidRPr="002270F9" w:rsidRDefault="00F02C6B" w:rsidP="00950BE4">
      <w:pPr>
        <w:pStyle w:val="ListParagraph"/>
        <w:numPr>
          <w:ilvl w:val="0"/>
          <w:numId w:val="64"/>
        </w:numPr>
        <w:shd w:val="clear" w:color="auto" w:fill="FFFFFF" w:themeFill="background1"/>
        <w:tabs>
          <w:tab w:val="left" w:pos="851"/>
        </w:tabs>
        <w:spacing w:before="120" w:after="120"/>
        <w:ind w:left="0" w:firstLine="697"/>
        <w:contextualSpacing w:val="0"/>
        <w:rPr>
          <w:rFonts w:eastAsia="SimSun"/>
          <w:color w:val="000000"/>
          <w:szCs w:val="22"/>
        </w:rPr>
      </w:pPr>
      <w:r w:rsidRPr="002270F9">
        <w:rPr>
          <w:szCs w:val="22"/>
        </w:rPr>
        <w:t>A fast-track assessment on Living Well in balance and harmony with nature and living in harmony with Mother Earth.</w:t>
      </w:r>
    </w:p>
    <w:p w14:paraId="32F74396" w14:textId="77777777" w:rsidR="00991198" w:rsidRDefault="00991198" w:rsidP="0029205A">
      <w:pPr>
        <w:pStyle w:val="Para1"/>
        <w:numPr>
          <w:ilvl w:val="0"/>
          <w:numId w:val="0"/>
        </w:numPr>
        <w:suppressLineNumbers/>
        <w:suppressAutoHyphens/>
        <w:kinsoku w:val="0"/>
        <w:adjustRightInd w:val="0"/>
        <w:jc w:val="center"/>
        <w:rPr>
          <w:sz w:val="24"/>
          <w:szCs w:val="24"/>
        </w:rPr>
        <w:sectPr w:rsidR="00991198" w:rsidSect="00441700">
          <w:footnotePr>
            <w:numRestart w:val="eachSect"/>
          </w:footnotePr>
          <w:pgSz w:w="12240" w:h="15840"/>
          <w:pgMar w:top="567" w:right="1440" w:bottom="1134" w:left="1440" w:header="709" w:footer="709" w:gutter="0"/>
          <w:cols w:space="708"/>
          <w:docGrid w:linePitch="360"/>
        </w:sectPr>
      </w:pPr>
    </w:p>
    <w:p w14:paraId="4F74777F" w14:textId="77777777" w:rsidR="00991198" w:rsidRDefault="00991198" w:rsidP="004F145E">
      <w:pPr>
        <w:pStyle w:val="decision"/>
        <w:ind w:left="1418" w:right="146" w:hanging="850"/>
        <w:jc w:val="left"/>
        <w:rPr>
          <w:caps/>
        </w:rPr>
      </w:pPr>
      <w:bookmarkStart w:id="266" w:name="_Toc150438818"/>
      <w:bookmarkStart w:id="267" w:name="_Toc150670518"/>
      <w:bookmarkStart w:id="268" w:name="_Toc150670628"/>
      <w:bookmarkStart w:id="269" w:name="_Toc150761130"/>
      <w:r>
        <w:t>15/20.</w:t>
      </w:r>
      <w:r>
        <w:tab/>
      </w:r>
      <w:r w:rsidRPr="00E13BF8">
        <w:t>In-depth dialogue on the thematic areas and other cross-cutting issues conducted by the Ad Hoc Open-ended Inter-sessional Working Group on</w:t>
      </w:r>
      <w:r>
        <w:t> </w:t>
      </w:r>
      <w:r w:rsidRPr="00E13BF8">
        <w:t>Article 8(j) and Related Provisions</w:t>
      </w:r>
      <w:bookmarkEnd w:id="266"/>
      <w:bookmarkEnd w:id="267"/>
      <w:bookmarkEnd w:id="268"/>
      <w:bookmarkEnd w:id="269"/>
      <w:r w:rsidRPr="00105372">
        <w:rPr>
          <w:caps/>
        </w:rPr>
        <w:t xml:space="preserve"> </w:t>
      </w:r>
    </w:p>
    <w:p w14:paraId="42193255" w14:textId="77777777" w:rsidR="00991198" w:rsidRPr="002A6B7B" w:rsidRDefault="00991198" w:rsidP="00A958CB">
      <w:pPr>
        <w:suppressLineNumbers/>
        <w:suppressAutoHyphens/>
        <w:spacing w:before="120" w:after="120"/>
        <w:ind w:firstLine="720"/>
        <w:rPr>
          <w:i/>
          <w:kern w:val="22"/>
        </w:rPr>
      </w:pPr>
      <w:r w:rsidRPr="002A6B7B">
        <w:rPr>
          <w:i/>
          <w:kern w:val="22"/>
        </w:rPr>
        <w:t>The Conference of the Parties</w:t>
      </w:r>
      <w:r w:rsidRPr="000E3482">
        <w:rPr>
          <w:kern w:val="22"/>
        </w:rPr>
        <w:t>,</w:t>
      </w:r>
    </w:p>
    <w:p w14:paraId="5BACAFA2" w14:textId="77777777" w:rsidR="00991198" w:rsidRPr="002A6B7B" w:rsidRDefault="00991198" w:rsidP="00A958CB">
      <w:pPr>
        <w:suppressLineNumbers/>
        <w:suppressAutoHyphens/>
        <w:spacing w:before="120" w:after="120"/>
        <w:ind w:firstLine="720"/>
        <w:rPr>
          <w:kern w:val="22"/>
        </w:rPr>
      </w:pPr>
      <w:r w:rsidRPr="00C12388">
        <w:rPr>
          <w:i/>
          <w:kern w:val="22"/>
        </w:rPr>
        <w:t>Welcoming</w:t>
      </w:r>
      <w:r w:rsidRPr="00BD100D">
        <w:rPr>
          <w:kern w:val="22"/>
        </w:rPr>
        <w:t xml:space="preserve"> the in-depth dialogue on the topic “contribution of traditional knowledge, innovations and practices of </w:t>
      </w:r>
      <w:r w:rsidRPr="002A6B7B">
        <w:rPr>
          <w:kern w:val="22"/>
        </w:rPr>
        <w:t>indigenous peoples and local communities, and cultural diversity to the post-2020 global biodiversity framework” conducted by the Ad Hoc Open-ended Inter-sessional Working Group on Article 8(j) and Related Provisions at its eleventh meeting,</w:t>
      </w:r>
    </w:p>
    <w:p w14:paraId="0ADAC201" w14:textId="77777777" w:rsidR="00991198" w:rsidRPr="002A6B7B" w:rsidRDefault="00991198" w:rsidP="00A958CB">
      <w:pPr>
        <w:suppressLineNumbers/>
        <w:suppressAutoHyphens/>
        <w:spacing w:before="120" w:after="120"/>
        <w:ind w:firstLine="720"/>
        <w:rPr>
          <w:kern w:val="22"/>
          <w:highlight w:val="white"/>
        </w:rPr>
      </w:pPr>
      <w:r w:rsidRPr="002A6B7B">
        <w:rPr>
          <w:i/>
          <w:kern w:val="22"/>
          <w:highlight w:val="white"/>
        </w:rPr>
        <w:t xml:space="preserve">Recognizing </w:t>
      </w:r>
      <w:r w:rsidRPr="002A6B7B">
        <w:rPr>
          <w:kern w:val="22"/>
          <w:highlight w:val="white"/>
        </w:rPr>
        <w:t xml:space="preserve">that the contribution of traditional knowledge, innovations and practices in addressing global biodiversity loss is fundamental to achieve the 2050 </w:t>
      </w:r>
      <w:r>
        <w:rPr>
          <w:kern w:val="22"/>
          <w:highlight w:val="white"/>
        </w:rPr>
        <w:t>V</w:t>
      </w:r>
      <w:r w:rsidRPr="002A6B7B">
        <w:rPr>
          <w:kern w:val="22"/>
          <w:highlight w:val="white"/>
        </w:rPr>
        <w:t xml:space="preserve">ision of </w:t>
      </w:r>
      <w:r>
        <w:rPr>
          <w:kern w:val="22"/>
          <w:highlight w:val="white"/>
        </w:rPr>
        <w:t>l</w:t>
      </w:r>
      <w:r w:rsidRPr="002A6B7B">
        <w:rPr>
          <w:kern w:val="22"/>
          <w:highlight w:val="white"/>
        </w:rPr>
        <w:t>iving in harmony with nature,</w:t>
      </w:r>
    </w:p>
    <w:p w14:paraId="05516646" w14:textId="77777777" w:rsidR="00991198" w:rsidRPr="002A6B7B" w:rsidRDefault="00991198" w:rsidP="00A958CB">
      <w:pPr>
        <w:suppressLineNumbers/>
        <w:suppressAutoHyphens/>
        <w:spacing w:before="120" w:after="120"/>
        <w:ind w:firstLine="720"/>
        <w:rPr>
          <w:kern w:val="22"/>
          <w:highlight w:val="white"/>
        </w:rPr>
      </w:pPr>
      <w:r>
        <w:rPr>
          <w:i/>
          <w:kern w:val="22"/>
          <w:highlight w:val="white"/>
        </w:rPr>
        <w:t>R</w:t>
      </w:r>
      <w:r w:rsidRPr="002A6B7B">
        <w:rPr>
          <w:i/>
          <w:kern w:val="22"/>
          <w:highlight w:val="white"/>
        </w:rPr>
        <w:t>ecognizing</w:t>
      </w:r>
      <w:r w:rsidRPr="002A6B7B">
        <w:rPr>
          <w:kern w:val="22"/>
          <w:highlight w:val="white"/>
        </w:rPr>
        <w:t xml:space="preserve"> </w:t>
      </w:r>
      <w:r w:rsidRPr="00C807A4">
        <w:rPr>
          <w:i/>
          <w:iCs/>
          <w:kern w:val="22"/>
          <w:highlight w:val="white"/>
        </w:rPr>
        <w:t>also</w:t>
      </w:r>
      <w:r>
        <w:rPr>
          <w:kern w:val="22"/>
          <w:highlight w:val="white"/>
        </w:rPr>
        <w:t xml:space="preserve"> </w:t>
      </w:r>
      <w:r w:rsidRPr="002A6B7B">
        <w:rPr>
          <w:kern w:val="22"/>
          <w:highlight w:val="white"/>
        </w:rPr>
        <w:t>that embracing the vision of the Convention requires embracing cultural diversity and acknowledging the intimate relationship between nature and people,</w:t>
      </w:r>
    </w:p>
    <w:p w14:paraId="1ECD50F7" w14:textId="77777777" w:rsidR="00991198" w:rsidRPr="002A6B7B" w:rsidRDefault="00991198" w:rsidP="00A958CB">
      <w:pPr>
        <w:suppressLineNumbers/>
        <w:suppressAutoHyphens/>
        <w:spacing w:before="120" w:after="120"/>
        <w:ind w:firstLine="720"/>
        <w:rPr>
          <w:kern w:val="22"/>
        </w:rPr>
      </w:pPr>
      <w:r>
        <w:rPr>
          <w:i/>
          <w:kern w:val="22"/>
        </w:rPr>
        <w:t>R</w:t>
      </w:r>
      <w:r w:rsidRPr="002A6B7B">
        <w:rPr>
          <w:i/>
          <w:kern w:val="22"/>
        </w:rPr>
        <w:t>ecognizing</w:t>
      </w:r>
      <w:r>
        <w:rPr>
          <w:i/>
          <w:kern w:val="22"/>
        </w:rPr>
        <w:t xml:space="preserve"> further</w:t>
      </w:r>
      <w:r w:rsidRPr="002A6B7B">
        <w:rPr>
          <w:kern w:val="22"/>
        </w:rPr>
        <w:t xml:space="preserve"> that diverse accumulations of knowledge, including intergenerational language transmission, can provide human and ecological systems with greater adaptive capacity to cope with current and future disturbances and strengthen economic, social and ecological resilience,</w:t>
      </w:r>
    </w:p>
    <w:p w14:paraId="45A7DCC9" w14:textId="77777777" w:rsidR="00991198" w:rsidRPr="002A6B7B" w:rsidRDefault="00991198" w:rsidP="00A958CB">
      <w:pPr>
        <w:suppressLineNumbers/>
        <w:suppressAutoHyphens/>
        <w:spacing w:before="120" w:after="120"/>
        <w:ind w:firstLine="720"/>
        <w:rPr>
          <w:kern w:val="22"/>
        </w:rPr>
      </w:pPr>
      <w:r w:rsidRPr="002A6B7B">
        <w:rPr>
          <w:i/>
          <w:iCs/>
          <w:kern w:val="22"/>
        </w:rPr>
        <w:t>Recognizing</w:t>
      </w:r>
      <w:r w:rsidRPr="002A6B7B">
        <w:rPr>
          <w:kern w:val="22"/>
        </w:rPr>
        <w:t xml:space="preserve"> the importance of the three objectives of the Convention</w:t>
      </w:r>
      <w:r>
        <w:rPr>
          <w:kern w:val="22"/>
        </w:rPr>
        <w:t xml:space="preserve"> on Biological Diversity</w:t>
      </w:r>
      <w:r w:rsidRPr="002A6B7B">
        <w:rPr>
          <w:kern w:val="22"/>
        </w:rPr>
        <w:t xml:space="preserve"> for biocultural diversity,</w:t>
      </w:r>
    </w:p>
    <w:p w14:paraId="53CDE8AE" w14:textId="77777777" w:rsidR="00991198" w:rsidRPr="002A6B7B" w:rsidRDefault="00991198" w:rsidP="00A958CB">
      <w:pPr>
        <w:suppressLineNumbers/>
        <w:suppressAutoHyphens/>
        <w:spacing w:before="120" w:after="120"/>
        <w:ind w:firstLine="720"/>
        <w:rPr>
          <w:kern w:val="22"/>
        </w:rPr>
      </w:pPr>
      <w:r w:rsidRPr="002A6B7B">
        <w:rPr>
          <w:kern w:val="22"/>
        </w:rPr>
        <w:t>1.</w:t>
      </w:r>
      <w:r w:rsidRPr="002A6B7B">
        <w:rPr>
          <w:kern w:val="22"/>
        </w:rPr>
        <w:tab/>
      </w:r>
      <w:r w:rsidRPr="002A6B7B">
        <w:rPr>
          <w:i/>
          <w:kern w:val="22"/>
        </w:rPr>
        <w:t>Invites</w:t>
      </w:r>
      <w:r w:rsidRPr="002A6B7B">
        <w:rPr>
          <w:kern w:val="22"/>
        </w:rPr>
        <w:t xml:space="preserve"> Parties to acknowledge, encourage and incorporate the contribution of indigenous peoples and local communities through their traditional knowledge, innovations and practices and their collective actions for the conservation and sustainable use of biodiversity</w:t>
      </w:r>
      <w:r>
        <w:rPr>
          <w:kern w:val="22"/>
        </w:rPr>
        <w:t>,</w:t>
      </w:r>
      <w:r w:rsidRPr="002A6B7B">
        <w:rPr>
          <w:kern w:val="22"/>
        </w:rPr>
        <w:t xml:space="preserve"> as well as, more broadly, the links between biological and cultural diversity, in the implementation of the </w:t>
      </w:r>
      <w:r>
        <w:rPr>
          <w:kern w:val="22"/>
        </w:rPr>
        <w:t>Kunming-Montreal</w:t>
      </w:r>
      <w:r w:rsidRPr="002A6B7B">
        <w:rPr>
          <w:kern w:val="22"/>
        </w:rPr>
        <w:t xml:space="preserve"> </w:t>
      </w:r>
      <w:r>
        <w:rPr>
          <w:kern w:val="22"/>
        </w:rPr>
        <w:t>G</w:t>
      </w:r>
      <w:r w:rsidRPr="002A6B7B">
        <w:rPr>
          <w:kern w:val="22"/>
        </w:rPr>
        <w:t xml:space="preserve">lobal </w:t>
      </w:r>
      <w:r>
        <w:rPr>
          <w:kern w:val="22"/>
        </w:rPr>
        <w:t>B</w:t>
      </w:r>
      <w:r w:rsidRPr="002A6B7B">
        <w:rPr>
          <w:kern w:val="22"/>
        </w:rPr>
        <w:t xml:space="preserve">iodiversity </w:t>
      </w:r>
      <w:r>
        <w:rPr>
          <w:kern w:val="22"/>
        </w:rPr>
        <w:t>F</w:t>
      </w:r>
      <w:r w:rsidRPr="002A6B7B">
        <w:rPr>
          <w:kern w:val="22"/>
        </w:rPr>
        <w:t>ramework;</w:t>
      </w:r>
    </w:p>
    <w:p w14:paraId="1D643700" w14:textId="77777777" w:rsidR="00991198" w:rsidRPr="0085703F" w:rsidRDefault="00991198" w:rsidP="00A958CB">
      <w:pPr>
        <w:suppressLineNumbers/>
        <w:suppressAutoHyphens/>
        <w:spacing w:before="120" w:after="120"/>
        <w:ind w:firstLine="720"/>
        <w:rPr>
          <w:strike/>
          <w:kern w:val="22"/>
        </w:rPr>
      </w:pPr>
      <w:r w:rsidRPr="002A6B7B">
        <w:rPr>
          <w:kern w:val="22"/>
        </w:rPr>
        <w:t>2.</w:t>
      </w:r>
      <w:r w:rsidRPr="002A6B7B">
        <w:rPr>
          <w:kern w:val="22"/>
        </w:rPr>
        <w:tab/>
      </w:r>
      <w:r w:rsidRPr="002A6B7B">
        <w:rPr>
          <w:i/>
          <w:kern w:val="22"/>
        </w:rPr>
        <w:t>Also invites</w:t>
      </w:r>
      <w:r w:rsidRPr="002A6B7B">
        <w:rPr>
          <w:kern w:val="22"/>
        </w:rPr>
        <w:t xml:space="preserve"> Parties to fully integrate considerations, adopted voluntary guidelines and principles regarding the links between cultural and biological diversity in their national implementation of the Convention on Biological Diversity, with the full and effective participation of indigenous peoples and local communities, according to national legislation</w:t>
      </w:r>
      <w:r>
        <w:rPr>
          <w:kern w:val="22"/>
        </w:rPr>
        <w:t xml:space="preserve"> and international obligations</w:t>
      </w:r>
      <w:r w:rsidRPr="002A6B7B">
        <w:rPr>
          <w:kern w:val="22"/>
        </w:rPr>
        <w:t>;</w:t>
      </w:r>
    </w:p>
    <w:p w14:paraId="289EC209" w14:textId="77777777" w:rsidR="00991198" w:rsidRDefault="00991198" w:rsidP="00585371">
      <w:pPr>
        <w:suppressLineNumbers/>
        <w:suppressAutoHyphens/>
        <w:spacing w:before="120" w:after="120"/>
        <w:ind w:firstLine="720"/>
      </w:pPr>
      <w:r w:rsidRPr="002A6B7B">
        <w:rPr>
          <w:kern w:val="22"/>
        </w:rPr>
        <w:t>3.</w:t>
      </w:r>
      <w:r w:rsidRPr="002A6B7B">
        <w:rPr>
          <w:kern w:val="22"/>
        </w:rPr>
        <w:tab/>
      </w:r>
      <w:r w:rsidRPr="002A6B7B">
        <w:rPr>
          <w:i/>
          <w:kern w:val="22"/>
        </w:rPr>
        <w:t>Decides</w:t>
      </w:r>
      <w:r w:rsidRPr="002A6B7B">
        <w:rPr>
          <w:kern w:val="22"/>
        </w:rPr>
        <w:t xml:space="preserve"> that the topic for the in-depth dialogue to be discussed at the twelfth meeting of the Ad</w:t>
      </w:r>
      <w:r w:rsidRPr="00C12388">
        <w:rPr>
          <w:kern w:val="22"/>
        </w:rPr>
        <w:t> Hoc Open-ended Inter-sessional Working Group on Article 8(j</w:t>
      </w:r>
      <w:r w:rsidRPr="00BD100D">
        <w:rPr>
          <w:kern w:val="22"/>
        </w:rPr>
        <w:t>) and Related Provisions will be: “the role of languages in the intergenerational transmission of traditional knowledge</w:t>
      </w:r>
      <w:r w:rsidRPr="002A6B7B">
        <w:rPr>
          <w:kern w:val="22"/>
        </w:rPr>
        <w:t>, innovations and practices”.</w:t>
      </w:r>
    </w:p>
    <w:p w14:paraId="4D955DD1" w14:textId="77777777" w:rsidR="00991198" w:rsidRDefault="00991198" w:rsidP="00991198">
      <w:pPr>
        <w:jc w:val="center"/>
        <w:sectPr w:rsidR="00991198" w:rsidSect="00441700">
          <w:pgSz w:w="12240" w:h="15840"/>
          <w:pgMar w:top="567" w:right="1440" w:bottom="1134" w:left="1440" w:header="709" w:footer="709" w:gutter="0"/>
          <w:cols w:space="708"/>
          <w:docGrid w:linePitch="360"/>
        </w:sectPr>
      </w:pPr>
    </w:p>
    <w:p w14:paraId="13680670" w14:textId="77777777" w:rsidR="00991198" w:rsidRDefault="00991198" w:rsidP="009F4E1D">
      <w:pPr>
        <w:pStyle w:val="decision"/>
        <w:ind w:left="1418" w:hanging="850"/>
        <w:jc w:val="left"/>
        <w:rPr>
          <w:caps/>
        </w:rPr>
      </w:pPr>
      <w:bookmarkStart w:id="270" w:name="_Toc150438819"/>
      <w:bookmarkStart w:id="271" w:name="_Toc150670519"/>
      <w:bookmarkStart w:id="272" w:name="_Toc150670629"/>
      <w:bookmarkStart w:id="273" w:name="_Toc150761131"/>
      <w:r>
        <w:t>15/21.</w:t>
      </w:r>
      <w:r>
        <w:tab/>
      </w:r>
      <w:r w:rsidRPr="00D01B09">
        <w:t>Recommendations from the United Nations Permanent Forum on Indigenous Issues to the Convention on Biological Diversity</w:t>
      </w:r>
      <w:bookmarkEnd w:id="270"/>
      <w:bookmarkEnd w:id="271"/>
      <w:bookmarkEnd w:id="272"/>
      <w:bookmarkEnd w:id="273"/>
      <w:r w:rsidRPr="00105372">
        <w:rPr>
          <w:caps/>
        </w:rPr>
        <w:t xml:space="preserve"> </w:t>
      </w:r>
    </w:p>
    <w:p w14:paraId="18CBAD9D" w14:textId="77777777" w:rsidR="00991198" w:rsidRPr="00B269AE" w:rsidRDefault="00991198" w:rsidP="000E5536">
      <w:pPr>
        <w:pStyle w:val="Para1"/>
        <w:numPr>
          <w:ilvl w:val="0"/>
          <w:numId w:val="0"/>
        </w:numPr>
        <w:suppressLineNumbers/>
        <w:suppressAutoHyphens/>
        <w:adjustRightInd w:val="0"/>
        <w:ind w:firstLine="720"/>
        <w:rPr>
          <w:i/>
        </w:rPr>
      </w:pPr>
      <w:r w:rsidRPr="00B269AE">
        <w:rPr>
          <w:i/>
        </w:rPr>
        <w:t>The Conference of the Parties,</w:t>
      </w:r>
    </w:p>
    <w:p w14:paraId="58D018FB" w14:textId="77777777" w:rsidR="00991198" w:rsidRPr="00B269AE" w:rsidRDefault="00991198" w:rsidP="000E5536">
      <w:pPr>
        <w:pStyle w:val="Para1"/>
        <w:numPr>
          <w:ilvl w:val="0"/>
          <w:numId w:val="0"/>
        </w:numPr>
        <w:suppressLineNumbers/>
        <w:suppressAutoHyphens/>
        <w:adjustRightInd w:val="0"/>
        <w:ind w:firstLine="720"/>
      </w:pPr>
      <w:r w:rsidRPr="00B269AE">
        <w:rPr>
          <w:i/>
        </w:rPr>
        <w:t xml:space="preserve">Having considered </w:t>
      </w:r>
      <w:r w:rsidRPr="00B269AE">
        <w:t>the note by the Executive Secretary,</w:t>
      </w:r>
      <w:r w:rsidRPr="00610646">
        <w:rPr>
          <w:rStyle w:val="FootnoteReference"/>
          <w:rFonts w:eastAsiaTheme="majorEastAsia"/>
        </w:rPr>
        <w:footnoteReference w:id="312"/>
      </w:r>
    </w:p>
    <w:p w14:paraId="425B30D2" w14:textId="77777777" w:rsidR="00991198" w:rsidRPr="00B269AE" w:rsidRDefault="00991198" w:rsidP="000E5536">
      <w:pPr>
        <w:pStyle w:val="Para1"/>
        <w:numPr>
          <w:ilvl w:val="0"/>
          <w:numId w:val="0"/>
        </w:numPr>
        <w:suppressLineNumbers/>
        <w:suppressAutoHyphens/>
        <w:adjustRightInd w:val="0"/>
        <w:ind w:firstLine="720"/>
      </w:pPr>
      <w:r w:rsidRPr="0091773D">
        <w:t>1.</w:t>
      </w:r>
      <w:r w:rsidRPr="0091773D">
        <w:tab/>
      </w:r>
      <w:r w:rsidRPr="00B4267B">
        <w:rPr>
          <w:i/>
        </w:rPr>
        <w:t>Takes note</w:t>
      </w:r>
      <w:r w:rsidRPr="00B4267B">
        <w:t xml:space="preserve"> of the recommendations emanating from the seventeenth and eighteenth sessions of the United Nations Permanent Forum on Indigenous Issues</w:t>
      </w:r>
      <w:r w:rsidRPr="00B269AE">
        <w:t xml:space="preserve">, and </w:t>
      </w:r>
      <w:r w:rsidRPr="00D33CE9">
        <w:t>requests</w:t>
      </w:r>
      <w:r w:rsidRPr="00B269AE">
        <w:t xml:space="preserve"> the Executive Secretary to continue to inform the Permanent Forum of developments of mutual interest;</w:t>
      </w:r>
    </w:p>
    <w:p w14:paraId="3F6CC7C0" w14:textId="77777777" w:rsidR="00991198" w:rsidRPr="00B269AE" w:rsidRDefault="00991198" w:rsidP="000E5536">
      <w:pPr>
        <w:pStyle w:val="Para1"/>
        <w:numPr>
          <w:ilvl w:val="0"/>
          <w:numId w:val="0"/>
        </w:numPr>
        <w:suppressLineNumbers/>
        <w:suppressAutoHyphens/>
        <w:adjustRightInd w:val="0"/>
        <w:ind w:firstLine="720"/>
      </w:pPr>
      <w:r w:rsidRPr="00B269AE">
        <w:t>2.</w:t>
      </w:r>
      <w:r w:rsidRPr="00B269AE">
        <w:tab/>
      </w:r>
      <w:r w:rsidRPr="00B269AE">
        <w:rPr>
          <w:i/>
        </w:rPr>
        <w:t>Welcomes</w:t>
      </w:r>
      <w:r w:rsidRPr="00B269AE">
        <w:t xml:space="preserve"> the invitations of the Forum to the Secretariat of the Convention on Biological Diversity to contribute to:</w:t>
      </w:r>
    </w:p>
    <w:p w14:paraId="4B37D3F6" w14:textId="77777777" w:rsidR="00991198" w:rsidRPr="00B269AE" w:rsidRDefault="00991198" w:rsidP="000E5536">
      <w:pPr>
        <w:pStyle w:val="Para1"/>
        <w:numPr>
          <w:ilvl w:val="0"/>
          <w:numId w:val="0"/>
        </w:numPr>
        <w:suppressLineNumbers/>
        <w:suppressAutoHyphens/>
        <w:adjustRightInd w:val="0"/>
        <w:ind w:firstLine="709"/>
      </w:pPr>
      <w:r>
        <w:t xml:space="preserve">(a) </w:t>
      </w:r>
      <w:r>
        <w:tab/>
      </w:r>
      <w:r w:rsidRPr="00B269AE">
        <w:t>A study on the contributions of indigenous peoples to the management of ecosystems and the protection of biodiversity;</w:t>
      </w:r>
    </w:p>
    <w:p w14:paraId="37CB5B96" w14:textId="77777777" w:rsidR="00991198" w:rsidRPr="00B269AE" w:rsidRDefault="00991198" w:rsidP="000E5536">
      <w:pPr>
        <w:pStyle w:val="Para1"/>
        <w:numPr>
          <w:ilvl w:val="0"/>
          <w:numId w:val="0"/>
        </w:numPr>
        <w:suppressLineNumbers/>
        <w:suppressAutoHyphens/>
        <w:adjustRightInd w:val="0"/>
        <w:ind w:firstLine="709"/>
      </w:pPr>
      <w:r>
        <w:t xml:space="preserve">(b) </w:t>
      </w:r>
      <w:r>
        <w:tab/>
      </w:r>
      <w:r w:rsidRPr="00B269AE">
        <w:t xml:space="preserve">A set of actions and commitments in relation to conservation and human rights in the context of the </w:t>
      </w:r>
      <w:r>
        <w:t>Kunming-Montreal Global Biodiversity Framework</w:t>
      </w:r>
      <w:r w:rsidRPr="00B269AE">
        <w:t>;</w:t>
      </w:r>
    </w:p>
    <w:p w14:paraId="0F854D75" w14:textId="77777777" w:rsidR="00991198" w:rsidRPr="00B269AE" w:rsidRDefault="00991198" w:rsidP="000E5536">
      <w:pPr>
        <w:pStyle w:val="Para1"/>
        <w:numPr>
          <w:ilvl w:val="0"/>
          <w:numId w:val="0"/>
        </w:numPr>
        <w:suppressLineNumbers/>
        <w:suppressAutoHyphens/>
        <w:adjustRightInd w:val="0"/>
        <w:ind w:firstLine="709"/>
      </w:pPr>
      <w:r>
        <w:t xml:space="preserve">(c) </w:t>
      </w:r>
      <w:r>
        <w:tab/>
      </w:r>
      <w:r w:rsidRPr="00ED53F8">
        <w:t>A comparative legal study that analyses the rights of indigenous peoples and the emerging rights of local communities;</w:t>
      </w:r>
    </w:p>
    <w:p w14:paraId="07F92B51" w14:textId="77777777" w:rsidR="00991198" w:rsidRPr="00B4267B" w:rsidRDefault="00991198" w:rsidP="000E5536">
      <w:pPr>
        <w:pStyle w:val="Para1"/>
        <w:numPr>
          <w:ilvl w:val="0"/>
          <w:numId w:val="0"/>
        </w:numPr>
        <w:suppressLineNumbers/>
        <w:suppressAutoHyphens/>
        <w:ind w:firstLine="720"/>
      </w:pPr>
      <w:r w:rsidRPr="00ED53F8">
        <w:t>3.</w:t>
      </w:r>
      <w:r w:rsidRPr="00ED53F8">
        <w:tab/>
      </w:r>
      <w:r w:rsidRPr="00ED53F8">
        <w:rPr>
          <w:i/>
        </w:rPr>
        <w:t>Decides</w:t>
      </w:r>
      <w:r w:rsidRPr="00ED53F8">
        <w:t xml:space="preserve"> to take the results of these activities under consideration in the development of its new programme of work on Article 8(j) and </w:t>
      </w:r>
      <w:r>
        <w:t>other</w:t>
      </w:r>
      <w:r w:rsidRPr="00ED53F8">
        <w:t xml:space="preserve"> provisions</w:t>
      </w:r>
      <w:r>
        <w:t xml:space="preserve"> of the Convention related to indigenous peoples and local communities</w:t>
      </w:r>
      <w:r w:rsidRPr="00ED53F8">
        <w:t xml:space="preserve"> from the perspective of the relevance of the knowledge innovations and practices of indigenous peoples and local communities relevant to the conservation and sustainable use of biodiversity, particularly in the </w:t>
      </w:r>
      <w:r>
        <w:t>Kunming-Montreal Global Biodiversity Framework</w:t>
      </w:r>
      <w:r w:rsidRPr="00ED53F8">
        <w:t>;</w:t>
      </w:r>
    </w:p>
    <w:p w14:paraId="7CFF8389" w14:textId="77777777" w:rsidR="00991198" w:rsidRPr="00ED53F8" w:rsidRDefault="00991198" w:rsidP="000E5536">
      <w:pPr>
        <w:pStyle w:val="Para1"/>
        <w:numPr>
          <w:ilvl w:val="0"/>
          <w:numId w:val="0"/>
        </w:numPr>
        <w:suppressLineNumbers/>
        <w:suppressAutoHyphens/>
        <w:ind w:firstLine="709"/>
      </w:pPr>
      <w:r w:rsidRPr="00B269AE">
        <w:t>4.</w:t>
      </w:r>
      <w:r w:rsidRPr="00B269AE">
        <w:tab/>
      </w:r>
      <w:r w:rsidRPr="00B269AE">
        <w:rPr>
          <w:i/>
        </w:rPr>
        <w:t>Requests</w:t>
      </w:r>
      <w:r w:rsidRPr="00B269AE">
        <w:t xml:space="preserve"> the Executive Secretary, subject to the availability of resources, to contribute to the above-mentioned activities, to provide information to the Forum about these and other relevant activities of the Convention, and to carry out commitments to </w:t>
      </w:r>
      <w:r w:rsidRPr="00444DA5">
        <w:t>indigenous peoples, in</w:t>
      </w:r>
      <w:r w:rsidRPr="00B269AE">
        <w:t xml:space="preserve"> accordance with the Secretary General’s system-wide action plan for ensuring a coherent approach to achieving the ends of the United Nations Declaration on the Rights of Indigenous Peoples.</w:t>
      </w:r>
      <w:r w:rsidRPr="00610646">
        <w:rPr>
          <w:rStyle w:val="FootnoteReference"/>
          <w:rFonts w:eastAsiaTheme="majorEastAsia"/>
        </w:rPr>
        <w:footnoteReference w:id="313"/>
      </w:r>
    </w:p>
    <w:p w14:paraId="08244436" w14:textId="77777777" w:rsidR="00927BF8" w:rsidRDefault="00927BF8" w:rsidP="00991198">
      <w:pPr>
        <w:jc w:val="center"/>
        <w:sectPr w:rsidR="00927BF8" w:rsidSect="00441700">
          <w:footnotePr>
            <w:numRestart w:val="eachSect"/>
          </w:footnotePr>
          <w:pgSz w:w="12240" w:h="15840"/>
          <w:pgMar w:top="567" w:right="1440" w:bottom="1134" w:left="1440" w:header="709" w:footer="709" w:gutter="0"/>
          <w:cols w:space="708"/>
          <w:docGrid w:linePitch="360"/>
        </w:sectPr>
      </w:pPr>
    </w:p>
    <w:p w14:paraId="2C9BB8D3" w14:textId="77777777" w:rsidR="00927BF8" w:rsidRDefault="00927BF8" w:rsidP="00275D49">
      <w:pPr>
        <w:pStyle w:val="decision"/>
        <w:rPr>
          <w:caps/>
        </w:rPr>
      </w:pPr>
      <w:bookmarkStart w:id="274" w:name="_Toc150438820"/>
      <w:bookmarkStart w:id="275" w:name="_Toc150670520"/>
      <w:bookmarkStart w:id="276" w:name="_Toc150670630"/>
      <w:bookmarkStart w:id="277" w:name="_Toc150761132"/>
      <w:r>
        <w:t>15/22.</w:t>
      </w:r>
      <w:r>
        <w:tab/>
        <w:t>Nature and Culture</w:t>
      </w:r>
      <w:bookmarkEnd w:id="274"/>
      <w:bookmarkEnd w:id="275"/>
      <w:bookmarkEnd w:id="276"/>
      <w:bookmarkEnd w:id="277"/>
      <w:r w:rsidRPr="00105372">
        <w:rPr>
          <w:caps/>
        </w:rPr>
        <w:t xml:space="preserve"> </w:t>
      </w:r>
    </w:p>
    <w:p w14:paraId="6D0E3A03" w14:textId="77777777" w:rsidR="00927BF8" w:rsidRPr="00AA583C" w:rsidRDefault="00927BF8" w:rsidP="004349CC">
      <w:pPr>
        <w:keepNext/>
        <w:suppressLineNumbers/>
        <w:suppressAutoHyphens/>
        <w:spacing w:before="120" w:after="120"/>
        <w:ind w:firstLine="720"/>
        <w:rPr>
          <w:rFonts w:eastAsia="MS Mincho"/>
          <w:i/>
          <w:iCs/>
          <w:snapToGrid w:val="0"/>
          <w:kern w:val="22"/>
          <w:szCs w:val="22"/>
        </w:rPr>
      </w:pPr>
      <w:r w:rsidRPr="00AA583C">
        <w:rPr>
          <w:rFonts w:eastAsia="MS Mincho"/>
          <w:i/>
          <w:iCs/>
          <w:snapToGrid w:val="0"/>
          <w:kern w:val="22"/>
          <w:szCs w:val="22"/>
        </w:rPr>
        <w:t>The Conference of the Parties,</w:t>
      </w:r>
    </w:p>
    <w:p w14:paraId="55D46A3E" w14:textId="77777777" w:rsidR="00927BF8" w:rsidRPr="004349CC" w:rsidRDefault="00927BF8" w:rsidP="004349CC">
      <w:pPr>
        <w:suppressLineNumbers/>
        <w:suppressAutoHyphens/>
        <w:spacing w:before="120" w:after="120"/>
        <w:ind w:firstLine="720"/>
        <w:rPr>
          <w:rFonts w:eastAsia="MS Mincho"/>
          <w:iCs/>
          <w:snapToGrid w:val="0"/>
          <w:kern w:val="22"/>
          <w:szCs w:val="22"/>
          <w:lang w:val="en-US"/>
        </w:rPr>
      </w:pPr>
      <w:r w:rsidRPr="00AA583C">
        <w:rPr>
          <w:rFonts w:eastAsia="MS Mincho"/>
          <w:i/>
          <w:snapToGrid w:val="0"/>
          <w:kern w:val="22"/>
          <w:szCs w:val="22"/>
        </w:rPr>
        <w:t>Recalling</w:t>
      </w:r>
      <w:r w:rsidRPr="00AA583C">
        <w:rPr>
          <w:rFonts w:eastAsia="MS Mincho"/>
          <w:iCs/>
          <w:snapToGrid w:val="0"/>
          <w:kern w:val="22"/>
          <w:szCs w:val="22"/>
        </w:rPr>
        <w:t xml:space="preserve"> </w:t>
      </w:r>
      <w:r w:rsidRPr="00AA583C">
        <w:rPr>
          <w:rFonts w:eastAsia="MS Mincho"/>
          <w:kern w:val="22"/>
          <w:szCs w:val="22"/>
        </w:rPr>
        <w:t>decision X/20, paragraph 16, in which it welcomed the Joint Programme of Work between the Secretariat of the Convention on Biological Diversity and the United Nations Educational, Scientific and Cultural Organization, on the links between biological and cultural diversity, and decision 14/30, in which it recognized the Joint Programme of Work as a useful coordination mechanism for advancing the implementation of the Convention and deepening global awareness of the interlinkages between cultural and biological diversity,</w:t>
      </w:r>
    </w:p>
    <w:p w14:paraId="50FCAEC1" w14:textId="77777777" w:rsidR="00927BF8" w:rsidRPr="00AA583C" w:rsidRDefault="00927BF8" w:rsidP="004349CC">
      <w:pPr>
        <w:suppressLineNumbers/>
        <w:suppressAutoHyphens/>
        <w:snapToGrid w:val="0"/>
        <w:spacing w:before="120" w:after="120"/>
        <w:ind w:firstLine="720"/>
        <w:rPr>
          <w:kern w:val="22"/>
          <w:szCs w:val="22"/>
        </w:rPr>
      </w:pPr>
      <w:r w:rsidRPr="00AA583C">
        <w:rPr>
          <w:i/>
          <w:kern w:val="22"/>
          <w:szCs w:val="22"/>
        </w:rPr>
        <w:t>Welcoming</w:t>
      </w:r>
      <w:r w:rsidRPr="00AA583C">
        <w:rPr>
          <w:kern w:val="22"/>
          <w:szCs w:val="22"/>
        </w:rPr>
        <w:t xml:space="preserve"> the lessons learned from the international and regional initiatives conducted under the auspices of the Joint Programme of Work </w:t>
      </w:r>
      <w:r>
        <w:rPr>
          <w:kern w:val="22"/>
          <w:szCs w:val="22"/>
        </w:rPr>
        <w:t>(</w:t>
      </w:r>
      <w:r w:rsidRPr="00CB6ACA">
        <w:rPr>
          <w:kern w:val="22"/>
          <w:szCs w:val="22"/>
        </w:rPr>
        <w:t>2010</w:t>
      </w:r>
      <w:r>
        <w:rPr>
          <w:kern w:val="22"/>
          <w:szCs w:val="22"/>
        </w:rPr>
        <w:t>–</w:t>
      </w:r>
      <w:r w:rsidRPr="00CB6ACA">
        <w:rPr>
          <w:kern w:val="22"/>
          <w:szCs w:val="22"/>
        </w:rPr>
        <w:t>2020),</w:t>
      </w:r>
      <w:r w:rsidRPr="00610646">
        <w:rPr>
          <w:rStyle w:val="FootnoteReference"/>
        </w:rPr>
        <w:footnoteReference w:id="314"/>
      </w:r>
    </w:p>
    <w:p w14:paraId="08C900FA" w14:textId="77777777" w:rsidR="00927BF8" w:rsidRPr="00AA583C" w:rsidRDefault="00927BF8" w:rsidP="004349CC">
      <w:pPr>
        <w:suppressLineNumbers/>
        <w:suppressAutoHyphens/>
        <w:snapToGrid w:val="0"/>
        <w:spacing w:before="120" w:after="120"/>
        <w:ind w:firstLine="720"/>
        <w:rPr>
          <w:kern w:val="22"/>
          <w:szCs w:val="22"/>
        </w:rPr>
      </w:pPr>
      <w:r w:rsidRPr="00AA583C">
        <w:rPr>
          <w:i/>
          <w:kern w:val="22"/>
          <w:szCs w:val="22"/>
        </w:rPr>
        <w:t xml:space="preserve">Noting </w:t>
      </w:r>
      <w:r w:rsidRPr="00AA583C">
        <w:rPr>
          <w:kern w:val="22"/>
          <w:szCs w:val="22"/>
        </w:rPr>
        <w:t xml:space="preserve">that the Joint Programme of Work remains relevant for the </w:t>
      </w:r>
      <w:r>
        <w:rPr>
          <w:kern w:val="22"/>
          <w:szCs w:val="22"/>
        </w:rPr>
        <w:t>Kunming-Montreal</w:t>
      </w:r>
      <w:r w:rsidRPr="00AA583C">
        <w:rPr>
          <w:kern w:val="22"/>
          <w:szCs w:val="22"/>
        </w:rPr>
        <w:t xml:space="preserve"> </w:t>
      </w:r>
      <w:r>
        <w:rPr>
          <w:kern w:val="22"/>
          <w:szCs w:val="22"/>
        </w:rPr>
        <w:t>G</w:t>
      </w:r>
      <w:r w:rsidRPr="00AA583C">
        <w:rPr>
          <w:kern w:val="22"/>
          <w:szCs w:val="22"/>
        </w:rPr>
        <w:t xml:space="preserve">lobal </w:t>
      </w:r>
      <w:r>
        <w:rPr>
          <w:kern w:val="22"/>
          <w:szCs w:val="22"/>
        </w:rPr>
        <w:t>B</w:t>
      </w:r>
      <w:r w:rsidRPr="00AA583C">
        <w:rPr>
          <w:kern w:val="22"/>
          <w:szCs w:val="22"/>
        </w:rPr>
        <w:t xml:space="preserve">iodiversity </w:t>
      </w:r>
      <w:r>
        <w:rPr>
          <w:kern w:val="22"/>
          <w:szCs w:val="22"/>
        </w:rPr>
        <w:t>F</w:t>
      </w:r>
      <w:r w:rsidRPr="00AA583C">
        <w:rPr>
          <w:kern w:val="22"/>
          <w:szCs w:val="22"/>
        </w:rPr>
        <w:t>ramework,</w:t>
      </w:r>
      <w:r w:rsidRPr="00610646">
        <w:rPr>
          <w:rStyle w:val="FootnoteReference"/>
        </w:rPr>
        <w:footnoteReference w:id="315"/>
      </w:r>
    </w:p>
    <w:p w14:paraId="223728A6" w14:textId="77777777" w:rsidR="00927BF8" w:rsidRPr="00AA583C" w:rsidRDefault="00927BF8" w:rsidP="004349CC">
      <w:pPr>
        <w:suppressLineNumbers/>
        <w:suppressAutoHyphens/>
        <w:autoSpaceDE w:val="0"/>
        <w:autoSpaceDN w:val="0"/>
        <w:adjustRightInd w:val="0"/>
        <w:spacing w:before="120" w:after="120"/>
        <w:ind w:firstLine="720"/>
        <w:rPr>
          <w:rFonts w:eastAsia="MS Mincho"/>
          <w:kern w:val="22"/>
          <w:szCs w:val="22"/>
        </w:rPr>
      </w:pPr>
      <w:r w:rsidRPr="00AA583C">
        <w:rPr>
          <w:rFonts w:eastAsia="MS Mincho"/>
          <w:kern w:val="22"/>
          <w:szCs w:val="22"/>
        </w:rPr>
        <w:t>1.</w:t>
      </w:r>
      <w:r w:rsidRPr="00AA583C">
        <w:rPr>
          <w:rFonts w:eastAsia="MS Mincho"/>
          <w:kern w:val="22"/>
          <w:szCs w:val="22"/>
        </w:rPr>
        <w:tab/>
      </w:r>
      <w:r w:rsidRPr="00AA583C">
        <w:rPr>
          <w:rFonts w:eastAsia="MS Mincho"/>
          <w:i/>
          <w:kern w:val="22"/>
          <w:szCs w:val="22"/>
        </w:rPr>
        <w:t xml:space="preserve">Decides </w:t>
      </w:r>
      <w:r w:rsidRPr="00AA583C">
        <w:rPr>
          <w:rFonts w:eastAsia="MS Mincho"/>
          <w:kern w:val="22"/>
          <w:szCs w:val="22"/>
        </w:rPr>
        <w:t xml:space="preserve">to renew its commitment to the Joint Programme of Work on the </w:t>
      </w:r>
      <w:r>
        <w:rPr>
          <w:rFonts w:eastAsia="MS Mincho"/>
          <w:kern w:val="22"/>
          <w:szCs w:val="22"/>
        </w:rPr>
        <w:t>l</w:t>
      </w:r>
      <w:r w:rsidRPr="00AA583C">
        <w:rPr>
          <w:rFonts w:eastAsia="MS Mincho"/>
          <w:kern w:val="22"/>
          <w:szCs w:val="22"/>
        </w:rPr>
        <w:t xml:space="preserve">inks between </w:t>
      </w:r>
      <w:r>
        <w:rPr>
          <w:rFonts w:eastAsia="MS Mincho"/>
          <w:kern w:val="22"/>
          <w:szCs w:val="22"/>
        </w:rPr>
        <w:t>b</w:t>
      </w:r>
      <w:r w:rsidRPr="00AA583C">
        <w:rPr>
          <w:rFonts w:eastAsia="MS Mincho"/>
          <w:kern w:val="22"/>
          <w:szCs w:val="22"/>
        </w:rPr>
        <w:t xml:space="preserve">iological and </w:t>
      </w:r>
      <w:r>
        <w:rPr>
          <w:rFonts w:eastAsia="MS Mincho"/>
          <w:kern w:val="22"/>
          <w:szCs w:val="22"/>
        </w:rPr>
        <w:t>c</w:t>
      </w:r>
      <w:r w:rsidRPr="00AA583C">
        <w:rPr>
          <w:rFonts w:eastAsia="MS Mincho"/>
          <w:kern w:val="22"/>
          <w:szCs w:val="22"/>
        </w:rPr>
        <w:t xml:space="preserve">ultural </w:t>
      </w:r>
      <w:r>
        <w:rPr>
          <w:rFonts w:eastAsia="MS Mincho"/>
          <w:kern w:val="22"/>
          <w:szCs w:val="22"/>
        </w:rPr>
        <w:t>d</w:t>
      </w:r>
      <w:r w:rsidRPr="00AA583C">
        <w:rPr>
          <w:rFonts w:eastAsia="MS Mincho"/>
          <w:kern w:val="22"/>
          <w:szCs w:val="22"/>
        </w:rPr>
        <w:t>iversity, to be promoted by the Secretariat of the Convention on Biological Diversity, the United Nations Educational, Scientific and Cultural Organization</w:t>
      </w:r>
      <w:r>
        <w:rPr>
          <w:rFonts w:eastAsia="MS Mincho"/>
          <w:kern w:val="22"/>
          <w:szCs w:val="22"/>
        </w:rPr>
        <w:t>,</w:t>
      </w:r>
      <w:r w:rsidRPr="00AA583C" w:rsidDel="00E707F4">
        <w:rPr>
          <w:rFonts w:eastAsia="MS Mincho"/>
          <w:kern w:val="22"/>
          <w:szCs w:val="22"/>
        </w:rPr>
        <w:t xml:space="preserve"> </w:t>
      </w:r>
      <w:r w:rsidRPr="00AA583C">
        <w:rPr>
          <w:rFonts w:eastAsia="MS Mincho"/>
          <w:kern w:val="22"/>
          <w:szCs w:val="22"/>
          <w:shd w:val="clear" w:color="auto" w:fill="FFFFFF"/>
        </w:rPr>
        <w:t xml:space="preserve">the </w:t>
      </w:r>
      <w:r w:rsidRPr="00AA583C">
        <w:rPr>
          <w:rFonts w:eastAsia="MS Mincho"/>
          <w:iCs/>
          <w:kern w:val="22"/>
          <w:szCs w:val="22"/>
          <w:shd w:val="clear" w:color="auto" w:fill="FFFFFF"/>
        </w:rPr>
        <w:t>International Union for Conservation of Nature</w:t>
      </w:r>
      <w:r>
        <w:rPr>
          <w:rFonts w:eastAsia="MS Mincho"/>
          <w:iCs/>
          <w:kern w:val="22"/>
          <w:szCs w:val="22"/>
          <w:shd w:val="clear" w:color="auto" w:fill="FFFFFF"/>
        </w:rPr>
        <w:t xml:space="preserve">, the </w:t>
      </w:r>
      <w:r w:rsidRPr="004349CC">
        <w:rPr>
          <w:rFonts w:eastAsia="MS Mincho"/>
          <w:iCs/>
          <w:kern w:val="22"/>
          <w:szCs w:val="22"/>
          <w:shd w:val="clear" w:color="auto" w:fill="FFFFFF"/>
        </w:rPr>
        <w:t>International Council on Monuments and Sites</w:t>
      </w:r>
      <w:r>
        <w:rPr>
          <w:rFonts w:eastAsia="MS Mincho"/>
          <w:iCs/>
          <w:kern w:val="22"/>
          <w:szCs w:val="22"/>
          <w:shd w:val="clear" w:color="auto" w:fill="FFFFFF"/>
        </w:rPr>
        <w:t>,</w:t>
      </w:r>
      <w:r w:rsidRPr="004349CC">
        <w:t xml:space="preserve"> </w:t>
      </w:r>
      <w:r>
        <w:t xml:space="preserve">the </w:t>
      </w:r>
      <w:r w:rsidRPr="004349CC">
        <w:rPr>
          <w:rFonts w:eastAsia="MS Mincho"/>
          <w:iCs/>
          <w:kern w:val="22"/>
          <w:szCs w:val="22"/>
          <w:shd w:val="clear" w:color="auto" w:fill="FFFFFF"/>
        </w:rPr>
        <w:t>International Centre for the Study of the Preservation and Restoration of Cultural Property</w:t>
      </w:r>
      <w:r>
        <w:rPr>
          <w:rFonts w:eastAsia="MS Mincho"/>
          <w:iCs/>
          <w:kern w:val="22"/>
          <w:szCs w:val="22"/>
          <w:shd w:val="clear" w:color="auto" w:fill="FFFFFF"/>
        </w:rPr>
        <w:t xml:space="preserve">, </w:t>
      </w:r>
      <w:r w:rsidRPr="00AA583C">
        <w:rPr>
          <w:rFonts w:eastAsia="MS Mincho"/>
          <w:kern w:val="22"/>
          <w:szCs w:val="22"/>
        </w:rPr>
        <w:t xml:space="preserve">as well as other relevant </w:t>
      </w:r>
      <w:r w:rsidRPr="0016200E">
        <w:rPr>
          <w:rFonts w:eastAsia="MS Mincho"/>
          <w:kern w:val="22"/>
          <w:szCs w:val="22"/>
        </w:rPr>
        <w:t>partners,</w:t>
      </w:r>
      <w:r w:rsidRPr="007C796B">
        <w:rPr>
          <w:kern w:val="22"/>
          <w:szCs w:val="22"/>
          <w:lang w:bidi="en-US"/>
        </w:rPr>
        <w:t xml:space="preserve"> </w:t>
      </w:r>
      <w:r w:rsidRPr="0016200E">
        <w:rPr>
          <w:rFonts w:eastAsia="MS Mincho"/>
          <w:kern w:val="22"/>
          <w:szCs w:val="22"/>
          <w:lang w:bidi="en-US"/>
        </w:rPr>
        <w:t xml:space="preserve">including </w:t>
      </w:r>
      <w:r w:rsidRPr="00AA583C">
        <w:rPr>
          <w:rFonts w:eastAsia="MS Mincho"/>
          <w:kern w:val="22"/>
          <w:szCs w:val="22"/>
          <w:lang w:bidi="en-US"/>
        </w:rPr>
        <w:t xml:space="preserve">the </w:t>
      </w:r>
      <w:r w:rsidRPr="00AA583C">
        <w:rPr>
          <w:rFonts w:eastAsia="MS Mincho"/>
          <w:bCs/>
          <w:kern w:val="22"/>
          <w:szCs w:val="22"/>
          <w:lang w:bidi="en-US"/>
        </w:rPr>
        <w:t>United Nations Permanent Forum on Indigenous Iss</w:t>
      </w:r>
      <w:r w:rsidRPr="0016200E">
        <w:rPr>
          <w:rFonts w:eastAsia="MS Mincho"/>
          <w:bCs/>
          <w:kern w:val="22"/>
          <w:szCs w:val="22"/>
          <w:lang w:bidi="en-US"/>
        </w:rPr>
        <w:t>ues</w:t>
      </w:r>
      <w:r>
        <w:rPr>
          <w:rFonts w:eastAsia="MS Mincho"/>
          <w:bCs/>
          <w:kern w:val="22"/>
          <w:szCs w:val="22"/>
          <w:lang w:bidi="en-US"/>
        </w:rPr>
        <w:t xml:space="preserve"> and</w:t>
      </w:r>
      <w:r w:rsidRPr="007C796B">
        <w:rPr>
          <w:rFonts w:asciiTheme="majorBidi" w:hAnsiTheme="majorBidi" w:cstheme="majorBidi"/>
          <w:bCs/>
          <w:kern w:val="22"/>
          <w:szCs w:val="22"/>
        </w:rPr>
        <w:t xml:space="preserve"> </w:t>
      </w:r>
      <w:r w:rsidRPr="0016200E">
        <w:rPr>
          <w:rFonts w:eastAsia="MS Mincho"/>
          <w:bCs/>
          <w:kern w:val="22"/>
          <w:szCs w:val="22"/>
          <w:lang w:bidi="en-US"/>
        </w:rPr>
        <w:t>the United</w:t>
      </w:r>
      <w:r w:rsidRPr="00AA583C">
        <w:rPr>
          <w:rFonts w:eastAsia="MS Mincho"/>
          <w:bCs/>
          <w:kern w:val="22"/>
          <w:szCs w:val="22"/>
          <w:lang w:bidi="en-US"/>
        </w:rPr>
        <w:t xml:space="preserve"> Nations University Institute for the Advanced Study of Sustainability</w:t>
      </w:r>
      <w:r w:rsidRPr="00AA583C">
        <w:rPr>
          <w:rFonts w:eastAsia="MS Mincho"/>
          <w:kern w:val="22"/>
          <w:szCs w:val="22"/>
        </w:rPr>
        <w:t>, and, in particular, indigenous peoples and local communities, taking a whole-of-society view and an integrated approach with full respect for human rights</w:t>
      </w:r>
      <w:r>
        <w:rPr>
          <w:rFonts w:eastAsia="MS Mincho"/>
          <w:kern w:val="22"/>
          <w:szCs w:val="22"/>
        </w:rPr>
        <w:t xml:space="preserve"> </w:t>
      </w:r>
      <w:r w:rsidRPr="00571793">
        <w:rPr>
          <w:rStyle w:val="normaltextrun"/>
        </w:rPr>
        <w:t>and the</w:t>
      </w:r>
      <w:r>
        <w:rPr>
          <w:rStyle w:val="normaltextrun"/>
        </w:rPr>
        <w:t xml:space="preserve"> rights of </w:t>
      </w:r>
      <w:r w:rsidRPr="00AA583C">
        <w:rPr>
          <w:rFonts w:eastAsia="MS Mincho"/>
          <w:kern w:val="22"/>
          <w:szCs w:val="22"/>
        </w:rPr>
        <w:t xml:space="preserve">indigenous peoples and local communities, with the aim of supporting national and subnational implementation, including mainstreaming, of the </w:t>
      </w:r>
      <w:r>
        <w:rPr>
          <w:rFonts w:eastAsia="MS Mincho"/>
          <w:kern w:val="22"/>
          <w:szCs w:val="22"/>
        </w:rPr>
        <w:t>Kunming-Montreal</w:t>
      </w:r>
      <w:r w:rsidRPr="00AA583C">
        <w:rPr>
          <w:rFonts w:eastAsia="MS Mincho"/>
          <w:kern w:val="22"/>
          <w:szCs w:val="22"/>
        </w:rPr>
        <w:t xml:space="preserve"> </w:t>
      </w:r>
      <w:r>
        <w:rPr>
          <w:rFonts w:eastAsia="MS Mincho"/>
          <w:kern w:val="22"/>
          <w:szCs w:val="22"/>
        </w:rPr>
        <w:t>G</w:t>
      </w:r>
      <w:r w:rsidRPr="00AA583C">
        <w:rPr>
          <w:rFonts w:eastAsia="MS Mincho"/>
          <w:kern w:val="22"/>
          <w:szCs w:val="22"/>
        </w:rPr>
        <w:t xml:space="preserve">lobal </w:t>
      </w:r>
      <w:r>
        <w:rPr>
          <w:rFonts w:eastAsia="MS Mincho"/>
          <w:kern w:val="22"/>
          <w:szCs w:val="22"/>
        </w:rPr>
        <w:t>B</w:t>
      </w:r>
      <w:r w:rsidRPr="00AA583C">
        <w:rPr>
          <w:rFonts w:eastAsia="MS Mincho"/>
          <w:kern w:val="22"/>
          <w:szCs w:val="22"/>
        </w:rPr>
        <w:t xml:space="preserve">iodiversity </w:t>
      </w:r>
      <w:r>
        <w:rPr>
          <w:rFonts w:eastAsia="MS Mincho"/>
          <w:kern w:val="22"/>
          <w:szCs w:val="22"/>
        </w:rPr>
        <w:t>F</w:t>
      </w:r>
      <w:r w:rsidRPr="00AA583C">
        <w:rPr>
          <w:rFonts w:eastAsia="MS Mincho"/>
          <w:kern w:val="22"/>
          <w:szCs w:val="22"/>
        </w:rPr>
        <w:t>ramework, in accordance with national circumstances, fully incorporating the added value of biocultural diversity, building on biological and cultural heritage, and strengthening the links between biological and cultural diversity,</w:t>
      </w:r>
      <w:r>
        <w:rPr>
          <w:rFonts w:eastAsia="MS Mincho"/>
          <w:kern w:val="22"/>
          <w:szCs w:val="22"/>
        </w:rPr>
        <w:t xml:space="preserve"> including through environmental education,</w:t>
      </w:r>
      <w:r w:rsidRPr="00AA583C">
        <w:rPr>
          <w:rFonts w:eastAsia="MS Mincho"/>
          <w:kern w:val="22"/>
          <w:szCs w:val="22"/>
        </w:rPr>
        <w:t xml:space="preserve"> in order to achieve the goals of the Convention at all levels and the 2050 </w:t>
      </w:r>
      <w:r>
        <w:rPr>
          <w:rFonts w:eastAsia="MS Mincho"/>
          <w:kern w:val="22"/>
          <w:szCs w:val="22"/>
        </w:rPr>
        <w:t>V</w:t>
      </w:r>
      <w:r w:rsidRPr="00AA583C">
        <w:rPr>
          <w:rFonts w:eastAsia="MS Mincho"/>
          <w:kern w:val="22"/>
          <w:szCs w:val="22"/>
        </w:rPr>
        <w:t>ision of living in harmony with nature;</w:t>
      </w:r>
      <w:r w:rsidRPr="00610646">
        <w:rPr>
          <w:rStyle w:val="FootnoteReference"/>
          <w:rFonts w:eastAsia="MS Mincho"/>
        </w:rPr>
        <w:footnoteReference w:id="316"/>
      </w:r>
    </w:p>
    <w:p w14:paraId="391F3A21" w14:textId="77777777" w:rsidR="00927BF8" w:rsidRPr="00AA583C" w:rsidRDefault="00927BF8" w:rsidP="004349CC">
      <w:pPr>
        <w:suppressLineNumbers/>
        <w:suppressAutoHyphens/>
        <w:snapToGrid w:val="0"/>
        <w:spacing w:before="120" w:after="120"/>
        <w:ind w:firstLine="720"/>
        <w:rPr>
          <w:kern w:val="22"/>
          <w:szCs w:val="22"/>
        </w:rPr>
      </w:pPr>
      <w:r w:rsidRPr="00AA583C">
        <w:rPr>
          <w:iCs/>
          <w:kern w:val="22"/>
          <w:szCs w:val="22"/>
        </w:rPr>
        <w:t>2.</w:t>
      </w:r>
      <w:r w:rsidRPr="00AA583C">
        <w:rPr>
          <w:iCs/>
          <w:kern w:val="22"/>
          <w:szCs w:val="22"/>
        </w:rPr>
        <w:tab/>
      </w:r>
      <w:r w:rsidRPr="00AA583C">
        <w:rPr>
          <w:i/>
          <w:kern w:val="22"/>
          <w:szCs w:val="22"/>
        </w:rPr>
        <w:t>Requests</w:t>
      </w:r>
      <w:r w:rsidRPr="00AA583C">
        <w:rPr>
          <w:iCs/>
          <w:kern w:val="22"/>
          <w:szCs w:val="22"/>
        </w:rPr>
        <w:t xml:space="preserve"> the Executive Secretary and </w:t>
      </w:r>
      <w:r w:rsidRPr="007C796B">
        <w:rPr>
          <w:iCs/>
          <w:kern w:val="22"/>
          <w:szCs w:val="22"/>
        </w:rPr>
        <w:t>invites</w:t>
      </w:r>
      <w:r w:rsidRPr="00AA583C">
        <w:rPr>
          <w:kern w:val="22"/>
          <w:szCs w:val="22"/>
        </w:rPr>
        <w:t xml:space="preserve"> the United Nations Educational, Scientific and Cultural Organization, </w:t>
      </w:r>
      <w:r w:rsidRPr="00571793">
        <w:rPr>
          <w:iCs/>
          <w:kern w:val="22"/>
          <w:szCs w:val="22"/>
          <w:shd w:val="clear" w:color="auto" w:fill="FFFFFF"/>
        </w:rPr>
        <w:t xml:space="preserve">the Intergovernmental Science-Policy Platform on Biodiversity and Ecosystem Services and </w:t>
      </w:r>
      <w:r w:rsidRPr="00AA583C">
        <w:rPr>
          <w:kern w:val="22"/>
          <w:szCs w:val="22"/>
          <w:shd w:val="clear" w:color="auto" w:fill="FFFFFF"/>
        </w:rPr>
        <w:t xml:space="preserve">the </w:t>
      </w:r>
      <w:r w:rsidRPr="00AA583C">
        <w:rPr>
          <w:iCs/>
          <w:kern w:val="22"/>
          <w:szCs w:val="22"/>
          <w:shd w:val="clear" w:color="auto" w:fill="FFFFFF"/>
        </w:rPr>
        <w:t xml:space="preserve">International Union for Conservation of Nature, </w:t>
      </w:r>
      <w:r>
        <w:rPr>
          <w:iCs/>
          <w:kern w:val="22"/>
          <w:szCs w:val="22"/>
          <w:shd w:val="clear" w:color="auto" w:fill="FFFFFF"/>
        </w:rPr>
        <w:t xml:space="preserve">including </w:t>
      </w:r>
      <w:r>
        <w:rPr>
          <w:rFonts w:eastAsia="MS Mincho"/>
          <w:iCs/>
          <w:kern w:val="22"/>
          <w:szCs w:val="22"/>
          <w:shd w:val="clear" w:color="auto" w:fill="FFFFFF"/>
        </w:rPr>
        <w:t xml:space="preserve">the </w:t>
      </w:r>
      <w:r w:rsidRPr="004349CC">
        <w:rPr>
          <w:rFonts w:eastAsia="MS Mincho"/>
          <w:iCs/>
          <w:kern w:val="22"/>
          <w:szCs w:val="22"/>
          <w:shd w:val="clear" w:color="auto" w:fill="FFFFFF"/>
        </w:rPr>
        <w:t>International Council on Monuments and Sites</w:t>
      </w:r>
      <w:r>
        <w:rPr>
          <w:rFonts w:eastAsia="MS Mincho"/>
          <w:iCs/>
          <w:kern w:val="22"/>
          <w:szCs w:val="22"/>
          <w:shd w:val="clear" w:color="auto" w:fill="FFFFFF"/>
        </w:rPr>
        <w:t>,</w:t>
      </w:r>
      <w:r w:rsidRPr="004349CC">
        <w:t xml:space="preserve"> </w:t>
      </w:r>
      <w:r>
        <w:t xml:space="preserve">the </w:t>
      </w:r>
      <w:r w:rsidRPr="004349CC">
        <w:rPr>
          <w:rFonts w:eastAsia="MS Mincho"/>
          <w:iCs/>
          <w:kern w:val="22"/>
          <w:szCs w:val="22"/>
          <w:shd w:val="clear" w:color="auto" w:fill="FFFFFF"/>
        </w:rPr>
        <w:t>International Centre for the Study of the Preservation and Restoration of Cultural Property</w:t>
      </w:r>
      <w:r w:rsidRPr="00AA583C">
        <w:rPr>
          <w:rFonts w:eastAsia="MS Mincho"/>
          <w:kern w:val="22"/>
          <w:szCs w:val="22"/>
        </w:rPr>
        <w:t>,</w:t>
      </w:r>
      <w:r>
        <w:rPr>
          <w:rFonts w:eastAsia="MS Mincho"/>
          <w:kern w:val="22"/>
          <w:szCs w:val="22"/>
        </w:rPr>
        <w:t xml:space="preserve"> </w:t>
      </w:r>
      <w:r w:rsidRPr="00AA583C">
        <w:rPr>
          <w:iCs/>
          <w:kern w:val="22"/>
          <w:szCs w:val="22"/>
          <w:shd w:val="clear" w:color="auto" w:fill="FFFFFF"/>
        </w:rPr>
        <w:t xml:space="preserve">along with other relevant international agencies </w:t>
      </w:r>
      <w:r w:rsidRPr="00571793">
        <w:rPr>
          <w:iCs/>
          <w:kern w:val="22"/>
          <w:szCs w:val="22"/>
          <w:shd w:val="clear" w:color="auto" w:fill="FFFFFF"/>
        </w:rPr>
        <w:t>and processes</w:t>
      </w:r>
      <w:r w:rsidRPr="00AA583C">
        <w:rPr>
          <w:iCs/>
          <w:kern w:val="22"/>
          <w:szCs w:val="22"/>
          <w:shd w:val="clear" w:color="auto" w:fill="FFFFFF"/>
        </w:rPr>
        <w:t xml:space="preserve">, to explore and consider, subject to the availability of resources, inter-agency mechanisms, such as the Liaison Group of Biodiversity-related Conventions, to ensure complementarity of efforts, respecting individual mandates, avoiding </w:t>
      </w:r>
      <w:r w:rsidRPr="00AA583C">
        <w:rPr>
          <w:iCs/>
          <w:kern w:val="22"/>
          <w:szCs w:val="22"/>
          <w:shd w:val="clear" w:color="auto" w:fill="FFFFFF"/>
          <w:lang w:bidi="en-US"/>
        </w:rPr>
        <w:t>unnecessary</w:t>
      </w:r>
      <w:r w:rsidRPr="00AA583C">
        <w:rPr>
          <w:iCs/>
          <w:kern w:val="22"/>
          <w:szCs w:val="22"/>
          <w:shd w:val="clear" w:color="auto" w:fill="FFFFFF"/>
        </w:rPr>
        <w:t xml:space="preserve"> overlap and duplication</w:t>
      </w:r>
      <w:r>
        <w:rPr>
          <w:iCs/>
          <w:kern w:val="22"/>
          <w:szCs w:val="22"/>
          <w:shd w:val="clear" w:color="auto" w:fill="FFFFFF"/>
        </w:rPr>
        <w:t>,</w:t>
      </w:r>
      <w:r w:rsidRPr="00AA583C">
        <w:rPr>
          <w:iCs/>
          <w:kern w:val="22"/>
          <w:szCs w:val="22"/>
          <w:shd w:val="clear" w:color="auto" w:fill="FFFFFF"/>
        </w:rPr>
        <w:t xml:space="preserve"> and maximizing efficiencies, to identify and overcome challenges, and promote lessons learned at a relevant scale towards the goal of the </w:t>
      </w:r>
      <w:r w:rsidRPr="0055011A">
        <w:rPr>
          <w:iCs/>
          <w:kern w:val="22"/>
          <w:szCs w:val="22"/>
          <w:shd w:val="clear" w:color="auto" w:fill="FFFFFF"/>
        </w:rPr>
        <w:t xml:space="preserve">post-2020 </w:t>
      </w:r>
      <w:r w:rsidRPr="007C796B">
        <w:rPr>
          <w:iCs/>
          <w:kern w:val="22"/>
          <w:szCs w:val="22"/>
          <w:shd w:val="clear" w:color="auto" w:fill="FFFFFF"/>
        </w:rPr>
        <w:t>J</w:t>
      </w:r>
      <w:r w:rsidRPr="0055011A">
        <w:rPr>
          <w:iCs/>
          <w:kern w:val="22"/>
          <w:szCs w:val="22"/>
          <w:shd w:val="clear" w:color="auto" w:fill="FFFFFF"/>
        </w:rPr>
        <w:t xml:space="preserve">oint </w:t>
      </w:r>
      <w:r w:rsidRPr="007C796B">
        <w:rPr>
          <w:iCs/>
          <w:kern w:val="22"/>
          <w:szCs w:val="22"/>
          <w:shd w:val="clear" w:color="auto" w:fill="FFFFFF"/>
        </w:rPr>
        <w:t>P</w:t>
      </w:r>
      <w:r w:rsidRPr="0055011A">
        <w:rPr>
          <w:iCs/>
          <w:kern w:val="22"/>
          <w:szCs w:val="22"/>
          <w:shd w:val="clear" w:color="auto" w:fill="FFFFFF"/>
        </w:rPr>
        <w:t>rogramme of Work contained in the annex to the present decision</w:t>
      </w:r>
      <w:r w:rsidRPr="0055011A">
        <w:rPr>
          <w:kern w:val="22"/>
          <w:szCs w:val="22"/>
        </w:rPr>
        <w:t>;</w:t>
      </w:r>
    </w:p>
    <w:p w14:paraId="7E05C4F3" w14:textId="77777777" w:rsidR="00927BF8" w:rsidRPr="00AA583C" w:rsidRDefault="00927BF8" w:rsidP="004349CC">
      <w:pPr>
        <w:suppressLineNumbers/>
        <w:suppressAutoHyphens/>
        <w:autoSpaceDE w:val="0"/>
        <w:autoSpaceDN w:val="0"/>
        <w:adjustRightInd w:val="0"/>
        <w:spacing w:before="120" w:after="120"/>
        <w:ind w:firstLine="720"/>
        <w:rPr>
          <w:color w:val="000000"/>
          <w:kern w:val="22"/>
          <w:szCs w:val="22"/>
        </w:rPr>
      </w:pPr>
      <w:r w:rsidRPr="00AA583C">
        <w:rPr>
          <w:color w:val="000000"/>
          <w:kern w:val="22"/>
          <w:szCs w:val="22"/>
        </w:rPr>
        <w:t>3.</w:t>
      </w:r>
      <w:r w:rsidRPr="00AA583C">
        <w:rPr>
          <w:color w:val="000000"/>
          <w:kern w:val="22"/>
          <w:szCs w:val="22"/>
        </w:rPr>
        <w:tab/>
      </w:r>
      <w:r w:rsidRPr="00AA583C">
        <w:rPr>
          <w:rFonts w:eastAsia="MS Mincho"/>
          <w:i/>
          <w:color w:val="000000"/>
          <w:kern w:val="22"/>
          <w:szCs w:val="22"/>
        </w:rPr>
        <w:t xml:space="preserve">Encourages </w:t>
      </w:r>
      <w:r w:rsidRPr="00AA583C">
        <w:rPr>
          <w:rFonts w:eastAsia="MS Mincho"/>
          <w:color w:val="000000"/>
          <w:kern w:val="22"/>
          <w:szCs w:val="22"/>
        </w:rPr>
        <w:t xml:space="preserve">Governments and Parties to all the relevant conventions, including the Convention </w:t>
      </w:r>
      <w:r>
        <w:rPr>
          <w:rFonts w:eastAsia="MS Mincho"/>
          <w:color w:val="000000"/>
          <w:kern w:val="22"/>
          <w:szCs w:val="22"/>
        </w:rPr>
        <w:t xml:space="preserve">for the Protection of the World Cultural and Natural Heritage </w:t>
      </w:r>
      <w:r w:rsidRPr="00AA583C">
        <w:rPr>
          <w:rFonts w:eastAsia="MS Mincho"/>
          <w:color w:val="000000"/>
          <w:kern w:val="22"/>
          <w:szCs w:val="22"/>
        </w:rPr>
        <w:t>and the Convention for the Safeguarding of the Intangible Cultural Heritage, as well as relevant intergovernmental and non</w:t>
      </w:r>
      <w:r w:rsidRPr="00AA583C">
        <w:rPr>
          <w:rFonts w:eastAsia="MS Mincho"/>
          <w:color w:val="000000"/>
          <w:kern w:val="22"/>
          <w:szCs w:val="22"/>
        </w:rPr>
        <w:noBreakHyphen/>
        <w:t xml:space="preserve">governmental organizations, </w:t>
      </w:r>
      <w:r w:rsidRPr="00AA583C">
        <w:rPr>
          <w:color w:val="000000"/>
          <w:kern w:val="22"/>
          <w:szCs w:val="22"/>
        </w:rPr>
        <w:t xml:space="preserve">including the </w:t>
      </w:r>
      <w:r w:rsidRPr="00AA583C">
        <w:rPr>
          <w:rFonts w:eastAsia="MS Mincho"/>
          <w:kern w:val="22"/>
          <w:szCs w:val="22"/>
          <w:shd w:val="clear" w:color="auto" w:fill="FFFFFF"/>
        </w:rPr>
        <w:t>International Council on Monuments and Sites</w:t>
      </w:r>
      <w:r>
        <w:rPr>
          <w:rFonts w:eastAsia="MS Mincho"/>
          <w:kern w:val="22"/>
          <w:szCs w:val="22"/>
          <w:shd w:val="clear" w:color="auto" w:fill="FFFFFF"/>
        </w:rPr>
        <w:t>,</w:t>
      </w:r>
      <w:r w:rsidRPr="00AA583C">
        <w:rPr>
          <w:color w:val="000000"/>
          <w:kern w:val="22"/>
          <w:szCs w:val="22"/>
        </w:rPr>
        <w:t xml:space="preserve"> the </w:t>
      </w:r>
      <w:r w:rsidRPr="00AA583C">
        <w:rPr>
          <w:rFonts w:eastAsia="MS Mincho"/>
          <w:kern w:val="22"/>
          <w:szCs w:val="22"/>
        </w:rPr>
        <w:t>International Centre for the Study of the Preservation and Restoration of Cultural Property</w:t>
      </w:r>
      <w:r w:rsidRPr="00AA583C">
        <w:rPr>
          <w:rFonts w:eastAsia="MS Mincho"/>
          <w:color w:val="000000"/>
          <w:kern w:val="22"/>
          <w:szCs w:val="22"/>
        </w:rPr>
        <w:t xml:space="preserve">, the World Intellectual Property Organization, the United Nations Permanent Forum on Indigenous Issues, the Expert Mechanism on the Rights of Indigenous Peoples, as well as the United Nations special rapporteurs, academia, indigenous peoples and local communities, the private sector and civil society, to strengthen collaboration and coordination and to contribute to and support the </w:t>
      </w:r>
      <w:r>
        <w:rPr>
          <w:rFonts w:eastAsia="MS Mincho"/>
          <w:color w:val="000000"/>
          <w:kern w:val="22"/>
          <w:szCs w:val="22"/>
        </w:rPr>
        <w:t>J</w:t>
      </w:r>
      <w:r w:rsidRPr="00AA583C">
        <w:rPr>
          <w:rFonts w:eastAsia="MS Mincho"/>
          <w:color w:val="000000"/>
          <w:kern w:val="22"/>
          <w:szCs w:val="22"/>
        </w:rPr>
        <w:t xml:space="preserve">oint </w:t>
      </w:r>
      <w:r>
        <w:rPr>
          <w:rFonts w:eastAsia="MS Mincho"/>
          <w:color w:val="000000"/>
          <w:kern w:val="22"/>
          <w:szCs w:val="22"/>
        </w:rPr>
        <w:t>P</w:t>
      </w:r>
      <w:r w:rsidRPr="00AA583C">
        <w:rPr>
          <w:rFonts w:eastAsia="MS Mincho"/>
          <w:color w:val="000000"/>
          <w:kern w:val="22"/>
          <w:szCs w:val="22"/>
        </w:rPr>
        <w:t xml:space="preserve">rogramme </w:t>
      </w:r>
      <w:r>
        <w:rPr>
          <w:rFonts w:eastAsia="MS Mincho"/>
          <w:color w:val="000000"/>
          <w:kern w:val="22"/>
          <w:szCs w:val="22"/>
        </w:rPr>
        <w:t xml:space="preserve">of Work </w:t>
      </w:r>
      <w:r w:rsidRPr="00AA583C">
        <w:rPr>
          <w:rFonts w:eastAsia="MS Mincho"/>
          <w:color w:val="000000"/>
          <w:kern w:val="22"/>
          <w:szCs w:val="22"/>
        </w:rPr>
        <w:t>on the links between biological and cultural diversity, drawing on the elements and tasks contained in the annex to the present decision, and to implement lessons learned, according to national circumstances, in considering biological and cultural diversity throughout their respective work;</w:t>
      </w:r>
    </w:p>
    <w:p w14:paraId="3E618AA0" w14:textId="77777777" w:rsidR="00927BF8" w:rsidRPr="00AA583C" w:rsidRDefault="00927BF8" w:rsidP="004349CC">
      <w:pPr>
        <w:suppressLineNumbers/>
        <w:suppressAutoHyphens/>
        <w:snapToGrid w:val="0"/>
        <w:spacing w:before="120" w:after="120"/>
        <w:ind w:firstLine="720"/>
        <w:rPr>
          <w:iCs/>
          <w:kern w:val="22"/>
          <w:szCs w:val="22"/>
        </w:rPr>
      </w:pPr>
      <w:r w:rsidRPr="00AA583C">
        <w:rPr>
          <w:iCs/>
          <w:kern w:val="22"/>
          <w:szCs w:val="22"/>
        </w:rPr>
        <w:t>4.</w:t>
      </w:r>
      <w:r w:rsidRPr="00AA583C">
        <w:rPr>
          <w:iCs/>
          <w:kern w:val="22"/>
          <w:szCs w:val="22"/>
        </w:rPr>
        <w:tab/>
      </w:r>
      <w:r w:rsidRPr="00AA583C">
        <w:rPr>
          <w:i/>
          <w:iCs/>
          <w:kern w:val="22"/>
          <w:szCs w:val="22"/>
        </w:rPr>
        <w:t>Welcomes</w:t>
      </w:r>
      <w:r w:rsidRPr="00AA583C">
        <w:rPr>
          <w:iCs/>
          <w:kern w:val="22"/>
          <w:szCs w:val="22"/>
        </w:rPr>
        <w:t xml:space="preserve"> the elements and tasks described in the annex to the present decision, which build on the existing Joint Programme of Work, for enhancing collaborations across the international system in pursuit of mutually supportive goals;</w:t>
      </w:r>
    </w:p>
    <w:p w14:paraId="3F0FE8C7" w14:textId="77777777" w:rsidR="00927BF8" w:rsidRPr="00AA583C" w:rsidRDefault="00927BF8" w:rsidP="004349CC">
      <w:pPr>
        <w:suppressLineNumbers/>
        <w:suppressAutoHyphens/>
        <w:snapToGrid w:val="0"/>
        <w:spacing w:before="120" w:after="120"/>
        <w:ind w:firstLine="720"/>
        <w:rPr>
          <w:kern w:val="22"/>
          <w:szCs w:val="22"/>
        </w:rPr>
      </w:pPr>
      <w:r w:rsidRPr="00AA583C">
        <w:rPr>
          <w:iCs/>
          <w:kern w:val="22"/>
          <w:szCs w:val="22"/>
        </w:rPr>
        <w:t>5.</w:t>
      </w:r>
      <w:r w:rsidRPr="00AA583C">
        <w:rPr>
          <w:iCs/>
          <w:kern w:val="22"/>
          <w:szCs w:val="22"/>
        </w:rPr>
        <w:tab/>
      </w:r>
      <w:r w:rsidRPr="00AA583C">
        <w:rPr>
          <w:i/>
          <w:kern w:val="22"/>
          <w:szCs w:val="22"/>
        </w:rPr>
        <w:t>Requests</w:t>
      </w:r>
      <w:r w:rsidRPr="00AA583C">
        <w:rPr>
          <w:iCs/>
          <w:kern w:val="22"/>
          <w:szCs w:val="22"/>
        </w:rPr>
        <w:t xml:space="preserve"> the Executive Secretary and </w:t>
      </w:r>
      <w:r w:rsidRPr="007C796B">
        <w:rPr>
          <w:iCs/>
          <w:kern w:val="22"/>
          <w:szCs w:val="22"/>
        </w:rPr>
        <w:t>invites</w:t>
      </w:r>
      <w:r w:rsidRPr="00AA583C">
        <w:rPr>
          <w:kern w:val="22"/>
          <w:szCs w:val="22"/>
        </w:rPr>
        <w:t xml:space="preserve"> </w:t>
      </w:r>
      <w:r w:rsidRPr="00AA583C">
        <w:rPr>
          <w:rFonts w:eastAsia="MS Mincho"/>
          <w:snapToGrid w:val="0"/>
          <w:kern w:val="22"/>
          <w:szCs w:val="22"/>
          <w:lang w:eastAsia="ja-JP"/>
        </w:rPr>
        <w:t xml:space="preserve">the United Nations Educational, Scientific and Cultural Organization and </w:t>
      </w:r>
      <w:r w:rsidRPr="00AA583C">
        <w:rPr>
          <w:kern w:val="22"/>
          <w:szCs w:val="22"/>
          <w:shd w:val="clear" w:color="auto" w:fill="FFFFFF"/>
        </w:rPr>
        <w:t>the</w:t>
      </w:r>
      <w:r>
        <w:rPr>
          <w:kern w:val="22"/>
          <w:szCs w:val="22"/>
          <w:shd w:val="clear" w:color="auto" w:fill="FFFFFF"/>
        </w:rPr>
        <w:t xml:space="preserve"> </w:t>
      </w:r>
      <w:r w:rsidRPr="00AA583C">
        <w:rPr>
          <w:bCs/>
          <w:kern w:val="22"/>
          <w:szCs w:val="22"/>
          <w:shd w:val="clear" w:color="auto" w:fill="FFFFFF"/>
        </w:rPr>
        <w:t>International Union for Conservation of Nature, and other relevant international agencies, Parties and other Governments, along with a broad coalition of partners, with the full and effective participation of indigenous peoples and local communities, to implement, subject to the availability of resources, the elements and tasks described in the annex to the present decision, and to report on progress to the Subsidiary Body on Implementation and other mechanisms, as appropriate.</w:t>
      </w:r>
    </w:p>
    <w:p w14:paraId="27D43A0D" w14:textId="77777777" w:rsidR="00927BF8" w:rsidRPr="00AA583C" w:rsidRDefault="00927BF8" w:rsidP="00275D49">
      <w:pPr>
        <w:keepNext/>
        <w:suppressLineNumbers/>
        <w:suppressAutoHyphens/>
        <w:spacing w:before="240" w:after="120"/>
        <w:jc w:val="center"/>
        <w:rPr>
          <w:rFonts w:asciiTheme="majorBidi" w:hAnsiTheme="majorBidi" w:cstheme="majorBidi"/>
          <w:i/>
          <w:kern w:val="22"/>
          <w:sz w:val="20"/>
          <w:szCs w:val="20"/>
        </w:rPr>
      </w:pPr>
      <w:bookmarkStart w:id="278" w:name="_Toc118355064"/>
      <w:r w:rsidRPr="00AA583C">
        <w:rPr>
          <w:rFonts w:asciiTheme="majorBidi" w:hAnsiTheme="majorBidi" w:cstheme="majorBidi"/>
          <w:i/>
          <w:caps/>
          <w:kern w:val="22"/>
          <w:sz w:val="20"/>
          <w:szCs w:val="20"/>
        </w:rPr>
        <w:t>A</w:t>
      </w:r>
      <w:r w:rsidRPr="00AA583C">
        <w:rPr>
          <w:rFonts w:asciiTheme="majorBidi" w:hAnsiTheme="majorBidi" w:cstheme="majorBidi"/>
          <w:i/>
          <w:kern w:val="22"/>
          <w:sz w:val="20"/>
          <w:szCs w:val="20"/>
        </w:rPr>
        <w:t>nnex</w:t>
      </w:r>
      <w:bookmarkEnd w:id="278"/>
    </w:p>
    <w:p w14:paraId="13C3DDBE" w14:textId="77777777" w:rsidR="00927BF8" w:rsidRPr="007C796B" w:rsidRDefault="00927BF8" w:rsidP="00275D49">
      <w:pPr>
        <w:keepNext/>
        <w:suppressLineNumbers/>
        <w:tabs>
          <w:tab w:val="left" w:pos="284"/>
        </w:tabs>
        <w:suppressAutoHyphens/>
        <w:kinsoku w:val="0"/>
        <w:overflowPunct w:val="0"/>
        <w:autoSpaceDE w:val="0"/>
        <w:autoSpaceDN w:val="0"/>
        <w:adjustRightInd w:val="0"/>
        <w:snapToGrid w:val="0"/>
        <w:spacing w:before="120" w:after="120"/>
        <w:jc w:val="center"/>
        <w:rPr>
          <w:rFonts w:asciiTheme="majorBidi" w:hAnsiTheme="majorBidi" w:cstheme="majorBidi"/>
          <w:b/>
          <w:bCs/>
          <w:caps/>
          <w:snapToGrid w:val="0"/>
          <w:kern w:val="22"/>
          <w:szCs w:val="22"/>
        </w:rPr>
      </w:pPr>
      <w:bookmarkStart w:id="279" w:name="_Toc118354937"/>
      <w:bookmarkStart w:id="280" w:name="_Toc118355065"/>
      <w:r w:rsidRPr="007C796B">
        <w:rPr>
          <w:rFonts w:asciiTheme="majorBidi" w:hAnsiTheme="majorBidi" w:cstheme="majorBidi"/>
          <w:b/>
          <w:bCs/>
          <w:caps/>
          <w:snapToGrid w:val="0"/>
          <w:kern w:val="22"/>
          <w:szCs w:val="22"/>
          <w:shd w:val="clear" w:color="auto" w:fill="FFFFFF"/>
        </w:rPr>
        <w:t>Elements and tasks related to the Joint Programme of Work</w:t>
      </w:r>
      <w:r w:rsidRPr="007C796B">
        <w:rPr>
          <w:rFonts w:asciiTheme="majorBidi" w:eastAsia="MS Mincho" w:hAnsiTheme="majorBidi" w:cstheme="majorBidi"/>
          <w:b/>
          <w:bCs/>
          <w:caps/>
          <w:snapToGrid w:val="0"/>
          <w:kern w:val="22"/>
          <w:szCs w:val="22"/>
        </w:rPr>
        <w:t xml:space="preserve"> </w:t>
      </w:r>
      <w:r w:rsidRPr="007C796B">
        <w:rPr>
          <w:rFonts w:asciiTheme="majorBidi" w:hAnsiTheme="majorBidi" w:cstheme="majorBidi"/>
          <w:b/>
          <w:bCs/>
          <w:caps/>
          <w:snapToGrid w:val="0"/>
          <w:kern w:val="22"/>
          <w:szCs w:val="22"/>
          <w:shd w:val="clear" w:color="auto" w:fill="FFFFFF"/>
        </w:rPr>
        <w:t>on the Links between Biological and Cultural Diversity</w:t>
      </w:r>
      <w:bookmarkEnd w:id="279"/>
      <w:bookmarkEnd w:id="280"/>
    </w:p>
    <w:p w14:paraId="5C1E6D68" w14:textId="77777777" w:rsidR="00927BF8" w:rsidRPr="007C796B" w:rsidRDefault="00927BF8" w:rsidP="004349CC">
      <w:pPr>
        <w:keepNext/>
        <w:suppressLineNumbers/>
        <w:suppressAutoHyphens/>
        <w:spacing w:before="240" w:after="240"/>
        <w:rPr>
          <w:rFonts w:asciiTheme="majorBidi" w:hAnsiTheme="majorBidi" w:cstheme="majorBidi"/>
          <w:caps/>
          <w:kern w:val="22"/>
          <w:szCs w:val="22"/>
        </w:rPr>
      </w:pPr>
      <w:r w:rsidRPr="007C796B">
        <w:rPr>
          <w:rFonts w:asciiTheme="majorBidi" w:hAnsiTheme="majorBidi" w:cstheme="majorBidi"/>
          <w:i/>
          <w:kern w:val="22"/>
          <w:szCs w:val="22"/>
        </w:rPr>
        <w:t>Goal</w:t>
      </w:r>
      <w:r w:rsidRPr="007C796B">
        <w:rPr>
          <w:rFonts w:asciiTheme="majorBidi" w:hAnsiTheme="majorBidi" w:cstheme="majorBidi"/>
          <w:kern w:val="22"/>
          <w:szCs w:val="22"/>
        </w:rPr>
        <w:t>: To recognize and promote natural and cultural heritage and diversity as enablers and drivers of the economic, social and environmental dimensions of sustainable development and a pathway to the vision of the Kunming</w:t>
      </w:r>
      <w:r w:rsidRPr="007C796B">
        <w:rPr>
          <w:rFonts w:asciiTheme="majorBidi" w:hAnsiTheme="majorBidi" w:cstheme="majorBidi"/>
          <w:kern w:val="22"/>
          <w:szCs w:val="22"/>
        </w:rPr>
        <w:noBreakHyphen/>
        <w:t>Montreal Global Biodiversity Framework of living in harmony with nature by 2050, the Sustainable Development Goals, and climate action, with a commitment to strengthening the links between biological and cultural diversity and considering lessons learned across the work of the Convention and other relevant processes, with the full and effective participation of indigenous peoples and local communities.</w:t>
      </w:r>
    </w:p>
    <w:p w14:paraId="16580F24" w14:textId="77777777" w:rsidR="00927BF8" w:rsidRPr="007C796B" w:rsidRDefault="00927BF8" w:rsidP="004349CC">
      <w:pPr>
        <w:keepNext/>
        <w:suppressLineNumbers/>
        <w:suppressAutoHyphens/>
        <w:autoSpaceDE w:val="0"/>
        <w:spacing w:before="120"/>
        <w:rPr>
          <w:rFonts w:asciiTheme="majorBidi" w:eastAsia="MS Mincho" w:hAnsiTheme="majorBidi" w:cstheme="majorBidi"/>
          <w:b/>
          <w:i/>
          <w:kern w:val="22"/>
          <w:szCs w:val="22"/>
        </w:rPr>
      </w:pPr>
      <w:r w:rsidRPr="007C796B">
        <w:rPr>
          <w:rFonts w:asciiTheme="majorBidi" w:eastAsia="MS Mincho" w:hAnsiTheme="majorBidi" w:cstheme="majorBidi"/>
          <w:b/>
          <w:kern w:val="22"/>
          <w:szCs w:val="22"/>
        </w:rPr>
        <w:t>Element 1</w:t>
      </w:r>
    </w:p>
    <w:p w14:paraId="4B49A22F" w14:textId="77777777" w:rsidR="00927BF8" w:rsidRPr="007C796B" w:rsidRDefault="00927BF8" w:rsidP="004349CC">
      <w:pPr>
        <w:suppressLineNumbers/>
        <w:suppressAutoHyphens/>
        <w:autoSpaceDE w:val="0"/>
        <w:spacing w:after="120"/>
        <w:rPr>
          <w:rFonts w:asciiTheme="majorBidi" w:eastAsia="MS Mincho" w:hAnsiTheme="majorBidi" w:cstheme="majorBidi"/>
          <w:b/>
          <w:i/>
          <w:kern w:val="22"/>
          <w:szCs w:val="22"/>
        </w:rPr>
      </w:pPr>
      <w:r w:rsidRPr="007C796B">
        <w:rPr>
          <w:rFonts w:asciiTheme="majorBidi" w:eastAsia="MS Mincho" w:hAnsiTheme="majorBidi" w:cstheme="majorBidi"/>
          <w:b/>
          <w:kern w:val="22"/>
          <w:szCs w:val="22"/>
        </w:rPr>
        <w:t xml:space="preserve">A joint strategy to stop the ongoing and often dramatic decline in global diversity of both nature </w:t>
      </w:r>
      <w:r w:rsidRPr="007C796B">
        <w:rPr>
          <w:rFonts w:asciiTheme="majorBidi" w:eastAsia="MS Mincho" w:hAnsiTheme="majorBidi" w:cstheme="majorBidi"/>
          <w:b/>
          <w:iCs/>
          <w:kern w:val="22"/>
          <w:szCs w:val="22"/>
        </w:rPr>
        <w:t>and</w:t>
      </w:r>
      <w:r w:rsidRPr="007C796B">
        <w:rPr>
          <w:rFonts w:asciiTheme="majorBidi" w:eastAsia="MS Mincho" w:hAnsiTheme="majorBidi" w:cstheme="majorBidi"/>
          <w:b/>
          <w:i/>
          <w:iCs/>
          <w:kern w:val="22"/>
          <w:szCs w:val="22"/>
        </w:rPr>
        <w:t xml:space="preserve"> </w:t>
      </w:r>
      <w:r w:rsidRPr="007C796B">
        <w:rPr>
          <w:rFonts w:asciiTheme="majorBidi" w:eastAsia="MS Mincho" w:hAnsiTheme="majorBidi" w:cstheme="majorBidi"/>
          <w:b/>
          <w:kern w:val="22"/>
          <w:szCs w:val="22"/>
        </w:rPr>
        <w:t>culture</w:t>
      </w:r>
    </w:p>
    <w:p w14:paraId="62DFB133" w14:textId="77777777" w:rsidR="00927BF8" w:rsidRPr="007C796B" w:rsidRDefault="00927BF8" w:rsidP="004349CC">
      <w:pPr>
        <w:suppressLineNumbers/>
        <w:suppressAutoHyphens/>
        <w:autoSpaceDE w:val="0"/>
        <w:spacing w:before="120" w:after="120"/>
        <w:rPr>
          <w:rFonts w:asciiTheme="majorBidi" w:eastAsia="MS Mincho" w:hAnsiTheme="majorBidi" w:cstheme="majorBidi"/>
          <w:b/>
          <w:i/>
          <w:kern w:val="22"/>
          <w:szCs w:val="22"/>
        </w:rPr>
      </w:pPr>
      <w:r w:rsidRPr="007C796B">
        <w:rPr>
          <w:rFonts w:asciiTheme="majorBidi" w:eastAsia="MS Mincho" w:hAnsiTheme="majorBidi" w:cstheme="majorBidi"/>
          <w:b/>
          <w:kern w:val="22"/>
          <w:szCs w:val="22"/>
        </w:rPr>
        <w:t>Task 1.a</w:t>
      </w:r>
    </w:p>
    <w:p w14:paraId="3A9DE059" w14:textId="77777777" w:rsidR="00927BF8" w:rsidRPr="007C796B" w:rsidRDefault="00927BF8" w:rsidP="004349CC">
      <w:pPr>
        <w:suppressLineNumbers/>
        <w:suppressAutoHyphens/>
        <w:autoSpaceDE w:val="0"/>
        <w:spacing w:before="120" w:after="120"/>
        <w:rPr>
          <w:rFonts w:asciiTheme="majorBidi" w:eastAsia="MS Mincho" w:hAnsiTheme="majorBidi" w:cstheme="majorBidi"/>
          <w:kern w:val="22"/>
          <w:szCs w:val="22"/>
        </w:rPr>
      </w:pPr>
      <w:r w:rsidRPr="007C796B">
        <w:rPr>
          <w:rFonts w:asciiTheme="majorBidi" w:eastAsia="MS Mincho" w:hAnsiTheme="majorBidi" w:cstheme="majorBidi"/>
          <w:kern w:val="22"/>
          <w:szCs w:val="22"/>
        </w:rPr>
        <w:t xml:space="preserve">The Secretariat of the Convention will work together with the United Nations Educational, Scientific and Cultural Organization (UNESCO), the International Union for Conservation of Nature (IUCN) and other relevant organizations, and, making use of the recommendations, studies, initiatives and documents developed through relevant bodies, such as the Ad Hoc Open-ended Working Group on Article 8(j) and Related Provisions, will develop a joint strategy consistent with conventions and agreements related to biological diversity and culture, to </w:t>
      </w:r>
      <w:r w:rsidRPr="007C796B">
        <w:rPr>
          <w:rFonts w:asciiTheme="majorBidi" w:eastAsia="MS Mincho" w:hAnsiTheme="majorBidi" w:cstheme="majorBidi"/>
          <w:kern w:val="22"/>
          <w:szCs w:val="22"/>
          <w:lang w:bidi="en-US"/>
        </w:rPr>
        <w:t xml:space="preserve">contribute to actions to </w:t>
      </w:r>
      <w:r w:rsidRPr="007C796B">
        <w:rPr>
          <w:rFonts w:asciiTheme="majorBidi" w:eastAsia="MS Mincho" w:hAnsiTheme="majorBidi" w:cstheme="majorBidi"/>
          <w:kern w:val="22"/>
          <w:szCs w:val="22"/>
        </w:rPr>
        <w:t xml:space="preserve">stop the ongoing and often dramatic decline in global diversity of both nature </w:t>
      </w:r>
      <w:r w:rsidRPr="007C796B">
        <w:rPr>
          <w:rFonts w:asciiTheme="majorBidi" w:eastAsia="MS Mincho" w:hAnsiTheme="majorBidi" w:cstheme="majorBidi"/>
          <w:iCs/>
          <w:kern w:val="22"/>
          <w:szCs w:val="22"/>
        </w:rPr>
        <w:t xml:space="preserve">and </w:t>
      </w:r>
      <w:r w:rsidRPr="007C796B">
        <w:rPr>
          <w:rFonts w:asciiTheme="majorBidi" w:eastAsia="MS Mincho" w:hAnsiTheme="majorBidi" w:cstheme="majorBidi"/>
          <w:kern w:val="22"/>
          <w:szCs w:val="22"/>
        </w:rPr>
        <w:t>culture.</w:t>
      </w:r>
    </w:p>
    <w:p w14:paraId="55B4829C" w14:textId="77777777" w:rsidR="00927BF8" w:rsidRPr="007C796B" w:rsidRDefault="00927BF8" w:rsidP="004349CC">
      <w:pPr>
        <w:suppressLineNumbers/>
        <w:suppressAutoHyphens/>
        <w:autoSpaceDE w:val="0"/>
        <w:spacing w:before="120" w:after="120"/>
        <w:rPr>
          <w:rFonts w:asciiTheme="majorBidi" w:hAnsiTheme="majorBidi" w:cstheme="majorBidi"/>
          <w:b/>
          <w:bCs/>
          <w:spacing w:val="-2"/>
          <w:kern w:val="22"/>
          <w:szCs w:val="22"/>
        </w:rPr>
      </w:pPr>
      <w:r w:rsidRPr="007C796B">
        <w:rPr>
          <w:rFonts w:asciiTheme="majorBidi" w:hAnsiTheme="majorBidi" w:cstheme="majorBidi"/>
          <w:b/>
          <w:bCs/>
          <w:spacing w:val="-2"/>
          <w:kern w:val="22"/>
          <w:szCs w:val="22"/>
        </w:rPr>
        <w:t>Task 1.b</w:t>
      </w:r>
    </w:p>
    <w:p w14:paraId="09037111" w14:textId="77777777" w:rsidR="00927BF8" w:rsidRPr="007C796B" w:rsidRDefault="00927BF8" w:rsidP="004349CC">
      <w:pPr>
        <w:suppressLineNumbers/>
        <w:suppressAutoHyphens/>
        <w:autoSpaceDE w:val="0"/>
        <w:spacing w:before="120" w:after="120"/>
        <w:rPr>
          <w:rFonts w:asciiTheme="majorBidi" w:hAnsiTheme="majorBidi" w:cstheme="majorBidi"/>
          <w:b/>
          <w:kern w:val="22"/>
          <w:szCs w:val="22"/>
        </w:rPr>
      </w:pPr>
      <w:r w:rsidRPr="007C796B">
        <w:rPr>
          <w:rFonts w:asciiTheme="majorBidi" w:hAnsiTheme="majorBidi" w:cstheme="majorBidi"/>
          <w:spacing w:val="-2"/>
          <w:kern w:val="22"/>
          <w:szCs w:val="22"/>
        </w:rPr>
        <w:t>The Secretariat of the Convention, together with UNESCO</w:t>
      </w:r>
      <w:r w:rsidRPr="007C796B">
        <w:rPr>
          <w:rFonts w:asciiTheme="majorBidi" w:eastAsia="MS Mincho" w:hAnsiTheme="majorBidi" w:cstheme="majorBidi"/>
          <w:kern w:val="22"/>
          <w:szCs w:val="22"/>
        </w:rPr>
        <w:t xml:space="preserve">, </w:t>
      </w:r>
      <w:r w:rsidRPr="007C796B">
        <w:rPr>
          <w:rFonts w:asciiTheme="majorBidi" w:eastAsia="MS Mincho" w:hAnsiTheme="majorBidi" w:cstheme="majorBidi"/>
          <w:kern w:val="22"/>
          <w:szCs w:val="22"/>
          <w:shd w:val="clear" w:color="auto" w:fill="FFFFFF"/>
        </w:rPr>
        <w:t>IUCN</w:t>
      </w:r>
      <w:r w:rsidRPr="007C796B">
        <w:rPr>
          <w:rFonts w:asciiTheme="majorBidi" w:hAnsiTheme="majorBidi" w:cstheme="majorBidi"/>
          <w:spacing w:val="-2"/>
          <w:kern w:val="22"/>
          <w:szCs w:val="22"/>
        </w:rPr>
        <w:t>, and other relevant bodies, will develop tools and guidance to ensure that the benefits arising from the utilization of genetic resources held by indigenous peoples and local communities and traditional knowledge associated with genetic resources are shared fairly and equitably with indigenous peoples and local communities, in order to preserve their culture, health and well-being.</w:t>
      </w:r>
    </w:p>
    <w:p w14:paraId="64155D35" w14:textId="77777777" w:rsidR="00927BF8" w:rsidRPr="007C796B" w:rsidRDefault="00927BF8" w:rsidP="004349CC">
      <w:pPr>
        <w:keepNext/>
        <w:suppressLineNumbers/>
        <w:suppressAutoHyphens/>
        <w:snapToGrid w:val="0"/>
        <w:spacing w:before="120"/>
        <w:rPr>
          <w:rFonts w:asciiTheme="majorBidi" w:hAnsiTheme="majorBidi" w:cstheme="majorBidi"/>
          <w:b/>
          <w:kern w:val="22"/>
          <w:szCs w:val="22"/>
        </w:rPr>
      </w:pPr>
      <w:r w:rsidRPr="007C796B">
        <w:rPr>
          <w:rFonts w:asciiTheme="majorBidi" w:hAnsiTheme="majorBidi" w:cstheme="majorBidi"/>
          <w:b/>
          <w:kern w:val="22"/>
          <w:szCs w:val="22"/>
        </w:rPr>
        <w:t>Element 2</w:t>
      </w:r>
    </w:p>
    <w:p w14:paraId="22A5B7C3" w14:textId="77777777" w:rsidR="00927BF8" w:rsidRPr="007C796B" w:rsidRDefault="00927BF8" w:rsidP="004349CC">
      <w:pPr>
        <w:keepNext/>
        <w:suppressLineNumbers/>
        <w:suppressAutoHyphens/>
        <w:snapToGrid w:val="0"/>
        <w:spacing w:after="120"/>
        <w:rPr>
          <w:rFonts w:asciiTheme="majorBidi" w:hAnsiTheme="majorBidi" w:cstheme="majorBidi"/>
          <w:b/>
          <w:kern w:val="22"/>
          <w:szCs w:val="22"/>
        </w:rPr>
      </w:pPr>
      <w:r w:rsidRPr="007C796B">
        <w:rPr>
          <w:rFonts w:asciiTheme="majorBidi" w:hAnsiTheme="majorBidi" w:cstheme="majorBidi"/>
          <w:b/>
          <w:kern w:val="22"/>
          <w:szCs w:val="22"/>
        </w:rPr>
        <w:t>Science dialogue, knowledge dialogue, equivalence of knowledge systems, indicators and monitoring efforts</w:t>
      </w:r>
    </w:p>
    <w:p w14:paraId="4A8770D5" w14:textId="77777777" w:rsidR="00927BF8" w:rsidRPr="007C796B" w:rsidRDefault="00927BF8" w:rsidP="004349CC">
      <w:pPr>
        <w:keepNext/>
        <w:suppressLineNumbers/>
        <w:suppressAutoHyphens/>
        <w:snapToGrid w:val="0"/>
        <w:spacing w:before="120" w:after="120"/>
        <w:rPr>
          <w:rFonts w:asciiTheme="majorBidi" w:hAnsiTheme="majorBidi" w:cstheme="majorBidi"/>
          <w:kern w:val="22"/>
          <w:szCs w:val="22"/>
        </w:rPr>
      </w:pPr>
      <w:r w:rsidRPr="007C796B">
        <w:rPr>
          <w:rFonts w:asciiTheme="majorBidi" w:hAnsiTheme="majorBidi" w:cstheme="majorBidi"/>
          <w:b/>
          <w:kern w:val="22"/>
          <w:szCs w:val="22"/>
        </w:rPr>
        <w:t>Task 2.a</w:t>
      </w:r>
    </w:p>
    <w:p w14:paraId="49006FAC" w14:textId="77777777" w:rsidR="00927BF8" w:rsidRPr="007C796B" w:rsidRDefault="00927BF8" w:rsidP="004349CC">
      <w:pPr>
        <w:suppressLineNumbers/>
        <w:suppressAutoHyphens/>
        <w:snapToGrid w:val="0"/>
        <w:spacing w:before="120" w:after="120"/>
        <w:rPr>
          <w:rFonts w:asciiTheme="majorBidi" w:hAnsiTheme="majorBidi" w:cstheme="majorBidi"/>
          <w:kern w:val="22"/>
          <w:szCs w:val="22"/>
        </w:rPr>
      </w:pPr>
      <w:r w:rsidRPr="007C796B">
        <w:rPr>
          <w:rFonts w:asciiTheme="majorBidi" w:hAnsiTheme="majorBidi" w:cstheme="majorBidi"/>
          <w:kern w:val="22"/>
          <w:szCs w:val="22"/>
        </w:rPr>
        <w:t>The Ad Hoc Open-ended Working Group on Article 8(j) and Related Provisions, together with the Subsidiary Body on Scientific, Technical and Technological Advice, will review and update the four adopted traditional knowledge indicators</w:t>
      </w:r>
      <w:r w:rsidRPr="00610646">
        <w:rPr>
          <w:rStyle w:val="FootnoteReference"/>
        </w:rPr>
        <w:footnoteReference w:id="317"/>
      </w:r>
      <w:r w:rsidRPr="007C796B">
        <w:rPr>
          <w:rFonts w:asciiTheme="majorBidi" w:hAnsiTheme="majorBidi" w:cstheme="majorBidi"/>
          <w:kern w:val="22"/>
          <w:szCs w:val="22"/>
        </w:rPr>
        <w:t xml:space="preserve"> which were adopted in decision XIII/28</w:t>
      </w:r>
      <w:r w:rsidRPr="007C796B">
        <w:rPr>
          <w:rFonts w:asciiTheme="majorBidi" w:eastAsia="Calibri" w:hAnsiTheme="majorBidi" w:cstheme="majorBidi"/>
          <w:bCs/>
          <w:kern w:val="22"/>
          <w:szCs w:val="22"/>
        </w:rPr>
        <w:t xml:space="preserve"> and are </w:t>
      </w:r>
      <w:r w:rsidRPr="007C796B">
        <w:rPr>
          <w:rFonts w:asciiTheme="majorBidi" w:hAnsiTheme="majorBidi" w:cstheme="majorBidi"/>
          <w:bCs/>
          <w:kern w:val="22"/>
          <w:szCs w:val="22"/>
        </w:rPr>
        <w:t xml:space="preserve">relevant for the conservation and sustainable use of biological </w:t>
      </w:r>
      <w:r w:rsidRPr="007C796B">
        <w:rPr>
          <w:rFonts w:asciiTheme="majorBidi" w:hAnsiTheme="majorBidi" w:cstheme="majorBidi"/>
          <w:kern w:val="22"/>
          <w:szCs w:val="22"/>
        </w:rPr>
        <w:t>diversity, in the light of the Kunming-Montreal Global Biodiversity Framework and the ongoing work on biological and cultural diversity and human well-being.</w:t>
      </w:r>
    </w:p>
    <w:p w14:paraId="30C90096" w14:textId="77777777" w:rsidR="00927BF8" w:rsidRPr="007C796B" w:rsidRDefault="00927BF8" w:rsidP="004349CC">
      <w:pPr>
        <w:keepNext/>
        <w:suppressLineNumbers/>
        <w:suppressAutoHyphens/>
        <w:snapToGrid w:val="0"/>
        <w:spacing w:before="120" w:after="120"/>
        <w:rPr>
          <w:rFonts w:asciiTheme="majorBidi" w:hAnsiTheme="majorBidi" w:cstheme="majorBidi"/>
          <w:b/>
          <w:kern w:val="22"/>
          <w:szCs w:val="22"/>
        </w:rPr>
      </w:pPr>
      <w:r w:rsidRPr="007C796B">
        <w:rPr>
          <w:rFonts w:asciiTheme="majorBidi" w:hAnsiTheme="majorBidi" w:cstheme="majorBidi"/>
          <w:b/>
          <w:kern w:val="22"/>
          <w:szCs w:val="22"/>
        </w:rPr>
        <w:t>Task 2.b</w:t>
      </w:r>
    </w:p>
    <w:p w14:paraId="2A2851EF" w14:textId="77777777" w:rsidR="00927BF8" w:rsidRPr="007C796B" w:rsidRDefault="00927BF8" w:rsidP="004349CC">
      <w:pPr>
        <w:suppressLineNumbers/>
        <w:suppressAutoHyphens/>
        <w:snapToGrid w:val="0"/>
        <w:spacing w:before="120" w:after="120"/>
        <w:rPr>
          <w:rFonts w:asciiTheme="majorBidi" w:hAnsiTheme="majorBidi" w:cstheme="majorBidi"/>
          <w:kern w:val="22"/>
          <w:szCs w:val="22"/>
        </w:rPr>
      </w:pPr>
      <w:r w:rsidRPr="007C796B">
        <w:rPr>
          <w:rFonts w:asciiTheme="majorBidi" w:hAnsiTheme="majorBidi" w:cstheme="majorBidi"/>
          <w:kern w:val="22"/>
          <w:szCs w:val="22"/>
        </w:rPr>
        <w:t>The Secretariat of the Convention will continue efforts at the international level to operationalize the existing indicators and relevant indicators developed in the Kunming-Montreal Global Biodiversity Framework, in partnership with the UNESCO, IUCN and other relevant bodies, and with the full and effective participation of indigenous peoples and local communities.</w:t>
      </w:r>
    </w:p>
    <w:p w14:paraId="67DC16B0" w14:textId="77777777" w:rsidR="00927BF8" w:rsidRPr="007C796B" w:rsidRDefault="00927BF8" w:rsidP="004349CC">
      <w:pPr>
        <w:suppressLineNumbers/>
        <w:suppressAutoHyphens/>
        <w:snapToGrid w:val="0"/>
        <w:spacing w:before="120" w:after="120"/>
        <w:rPr>
          <w:rFonts w:asciiTheme="majorBidi" w:hAnsiTheme="majorBidi" w:cstheme="majorBidi"/>
          <w:b/>
          <w:kern w:val="22"/>
          <w:szCs w:val="22"/>
        </w:rPr>
      </w:pPr>
      <w:r w:rsidRPr="007C796B">
        <w:rPr>
          <w:rFonts w:asciiTheme="majorBidi" w:hAnsiTheme="majorBidi" w:cstheme="majorBidi"/>
          <w:b/>
          <w:kern w:val="22"/>
          <w:szCs w:val="22"/>
        </w:rPr>
        <w:t>Task 2.c</w:t>
      </w:r>
    </w:p>
    <w:p w14:paraId="015F481D" w14:textId="77777777" w:rsidR="00927BF8" w:rsidRPr="007C796B" w:rsidRDefault="00927BF8" w:rsidP="004349CC">
      <w:pPr>
        <w:suppressLineNumbers/>
        <w:suppressAutoHyphens/>
        <w:snapToGrid w:val="0"/>
        <w:spacing w:before="120" w:after="120"/>
        <w:rPr>
          <w:rFonts w:asciiTheme="majorBidi" w:hAnsiTheme="majorBidi" w:cstheme="majorBidi"/>
          <w:kern w:val="22"/>
          <w:szCs w:val="22"/>
        </w:rPr>
      </w:pPr>
      <w:r w:rsidRPr="007C796B">
        <w:rPr>
          <w:rFonts w:asciiTheme="majorBidi" w:hAnsiTheme="majorBidi" w:cstheme="majorBidi"/>
          <w:kern w:val="22"/>
          <w:szCs w:val="22"/>
        </w:rPr>
        <w:t>The Secretariat of the Convention will continue efforts at the international level to explore the full potential of community-based monitoring and information systems (CBMIS) as methods and tools for monitoring the achievement of the Kunming-Montreal Global Biodiversity Framework,</w:t>
      </w:r>
      <w:r w:rsidRPr="007C796B">
        <w:rPr>
          <w:rFonts w:asciiTheme="majorBidi" w:hAnsiTheme="majorBidi" w:cstheme="majorBidi"/>
          <w:color w:val="222222"/>
          <w:kern w:val="22"/>
          <w:szCs w:val="22"/>
        </w:rPr>
        <w:t xml:space="preserve"> </w:t>
      </w:r>
      <w:r w:rsidRPr="007C796B">
        <w:rPr>
          <w:rFonts w:asciiTheme="majorBidi" w:hAnsiTheme="majorBidi" w:cstheme="majorBidi"/>
          <w:kern w:val="22"/>
          <w:szCs w:val="22"/>
        </w:rPr>
        <w:t xml:space="preserve">and with the full and effective participation of indigenous peoples and local communities, </w:t>
      </w:r>
      <w:r w:rsidRPr="007C796B">
        <w:rPr>
          <w:rFonts w:asciiTheme="majorBidi" w:hAnsiTheme="majorBidi" w:cstheme="majorBidi"/>
          <w:bCs/>
          <w:kern w:val="22"/>
          <w:szCs w:val="22"/>
        </w:rPr>
        <w:t>taking into consideration</w:t>
      </w:r>
      <w:r w:rsidRPr="007C796B">
        <w:rPr>
          <w:rFonts w:asciiTheme="majorBidi" w:hAnsiTheme="majorBidi" w:cstheme="majorBidi"/>
          <w:b/>
          <w:bCs/>
          <w:kern w:val="22"/>
          <w:szCs w:val="22"/>
        </w:rPr>
        <w:t xml:space="preserve"> </w:t>
      </w:r>
      <w:r w:rsidRPr="007C796B">
        <w:rPr>
          <w:rFonts w:asciiTheme="majorBidi" w:hAnsiTheme="majorBidi" w:cstheme="majorBidi"/>
          <w:kern w:val="22"/>
          <w:szCs w:val="22"/>
        </w:rPr>
        <w:t>the elements of most relevance to indigenous peoples and local communities, and explore synergies in the monitoring of the Sustainable Development Goals and other global processes.</w:t>
      </w:r>
    </w:p>
    <w:p w14:paraId="3F5E42C6" w14:textId="77777777" w:rsidR="00927BF8" w:rsidRPr="007C796B" w:rsidRDefault="00927BF8" w:rsidP="004349CC">
      <w:pPr>
        <w:keepNext/>
        <w:suppressLineNumbers/>
        <w:suppressAutoHyphens/>
        <w:snapToGrid w:val="0"/>
        <w:spacing w:before="120" w:after="120"/>
        <w:rPr>
          <w:rFonts w:asciiTheme="majorBidi" w:hAnsiTheme="majorBidi" w:cstheme="majorBidi"/>
          <w:kern w:val="22"/>
          <w:szCs w:val="22"/>
        </w:rPr>
      </w:pPr>
      <w:r w:rsidRPr="007C796B">
        <w:rPr>
          <w:rFonts w:asciiTheme="majorBidi" w:hAnsiTheme="majorBidi" w:cstheme="majorBidi"/>
          <w:b/>
          <w:kern w:val="22"/>
          <w:szCs w:val="22"/>
        </w:rPr>
        <w:t>Task 2.d</w:t>
      </w:r>
    </w:p>
    <w:p w14:paraId="1E346F4A" w14:textId="77777777" w:rsidR="00927BF8" w:rsidRPr="007C796B" w:rsidRDefault="00927BF8" w:rsidP="004349CC">
      <w:pPr>
        <w:suppressLineNumbers/>
        <w:suppressAutoHyphens/>
        <w:snapToGrid w:val="0"/>
        <w:spacing w:before="120" w:after="120"/>
        <w:rPr>
          <w:rFonts w:asciiTheme="majorBidi" w:hAnsiTheme="majorBidi" w:cstheme="majorBidi"/>
          <w:kern w:val="22"/>
          <w:szCs w:val="22"/>
        </w:rPr>
      </w:pPr>
      <w:bookmarkStart w:id="281" w:name="_Hlk18584140"/>
      <w:r w:rsidRPr="007C796B">
        <w:rPr>
          <w:rFonts w:asciiTheme="majorBidi" w:hAnsiTheme="majorBidi" w:cstheme="majorBidi"/>
          <w:kern w:val="22"/>
          <w:szCs w:val="22"/>
        </w:rPr>
        <w:t xml:space="preserve">The Secretariat of the Convention, </w:t>
      </w:r>
      <w:bookmarkEnd w:id="281"/>
      <w:r w:rsidRPr="007C796B">
        <w:rPr>
          <w:rFonts w:asciiTheme="majorBidi" w:hAnsiTheme="majorBidi" w:cstheme="majorBidi"/>
          <w:kern w:val="22"/>
          <w:szCs w:val="22"/>
        </w:rPr>
        <w:t>UNESCO and IUCN, together with other relevant organizations, and Parties, with the full and effective participation of indigenous peoples and local communities, with their free, prior and informed consent</w:t>
      </w:r>
      <w:r w:rsidRPr="007C796B">
        <w:rPr>
          <w:rFonts w:asciiTheme="majorBidi" w:hAnsiTheme="majorBidi" w:cstheme="majorBidi"/>
          <w:color w:val="222222"/>
          <w:kern w:val="22"/>
          <w:szCs w:val="22"/>
        </w:rPr>
        <w:t xml:space="preserve"> </w:t>
      </w:r>
      <w:r w:rsidRPr="007C796B">
        <w:rPr>
          <w:rFonts w:asciiTheme="majorBidi" w:hAnsiTheme="majorBidi" w:cstheme="majorBidi"/>
          <w:kern w:val="22"/>
          <w:szCs w:val="22"/>
        </w:rPr>
        <w:t xml:space="preserve">and attending to the adequate protection of traditional knowledge, will, with respect to biocultural diversity, create events, spaces and platforms to promote the transmission and exchange, between scientific and traditional knowledge systems, of values, knowledge, experiences, methods and results </w:t>
      </w:r>
      <w:r w:rsidRPr="007C796B">
        <w:rPr>
          <w:rFonts w:asciiTheme="majorBidi" w:hAnsiTheme="majorBidi" w:cstheme="majorBidi"/>
          <w:bCs/>
          <w:kern w:val="22"/>
          <w:szCs w:val="22"/>
        </w:rPr>
        <w:t xml:space="preserve">relevant for the conservation and sustainable use of biological </w:t>
      </w:r>
      <w:r w:rsidRPr="007C796B">
        <w:rPr>
          <w:rFonts w:asciiTheme="majorBidi" w:hAnsiTheme="majorBidi" w:cstheme="majorBidi"/>
          <w:kern w:val="22"/>
          <w:szCs w:val="22"/>
        </w:rPr>
        <w:t>diversity, and facilitate sustained capacity-building and the development and promotion of open frameworks for knowledge dialogues and knowledge co-production at the international, national and regional levels.</w:t>
      </w:r>
    </w:p>
    <w:p w14:paraId="5C9E2227" w14:textId="77777777" w:rsidR="00927BF8" w:rsidRPr="007C796B" w:rsidRDefault="00927BF8" w:rsidP="004349CC">
      <w:pPr>
        <w:keepNext/>
        <w:suppressLineNumbers/>
        <w:suppressAutoHyphens/>
        <w:snapToGrid w:val="0"/>
        <w:spacing w:before="120"/>
        <w:rPr>
          <w:rFonts w:asciiTheme="majorBidi" w:hAnsiTheme="majorBidi" w:cstheme="majorBidi"/>
          <w:b/>
          <w:kern w:val="22"/>
          <w:szCs w:val="22"/>
        </w:rPr>
      </w:pPr>
      <w:r w:rsidRPr="007C796B">
        <w:rPr>
          <w:rFonts w:asciiTheme="majorBidi" w:hAnsiTheme="majorBidi" w:cstheme="majorBidi"/>
          <w:b/>
          <w:kern w:val="22"/>
          <w:szCs w:val="22"/>
        </w:rPr>
        <w:t>Element 3</w:t>
      </w:r>
    </w:p>
    <w:p w14:paraId="39911BD1" w14:textId="77777777" w:rsidR="00927BF8" w:rsidRPr="007C796B" w:rsidRDefault="00927BF8" w:rsidP="004349CC">
      <w:pPr>
        <w:keepNext/>
        <w:suppressLineNumbers/>
        <w:suppressAutoHyphens/>
        <w:snapToGrid w:val="0"/>
        <w:spacing w:after="120"/>
        <w:rPr>
          <w:rFonts w:asciiTheme="majorBidi" w:hAnsiTheme="majorBidi" w:cstheme="majorBidi"/>
          <w:b/>
          <w:kern w:val="22"/>
          <w:szCs w:val="22"/>
        </w:rPr>
      </w:pPr>
      <w:r w:rsidRPr="007C796B">
        <w:rPr>
          <w:rFonts w:asciiTheme="majorBidi" w:hAnsiTheme="majorBidi" w:cstheme="majorBidi"/>
          <w:b/>
          <w:kern w:val="22"/>
          <w:szCs w:val="22"/>
        </w:rPr>
        <w:t>Biocultural diversity and linkages between nature and culture in integrated socio</w:t>
      </w:r>
      <w:r w:rsidRPr="007C796B">
        <w:rPr>
          <w:rFonts w:asciiTheme="majorBidi" w:hAnsiTheme="majorBidi" w:cstheme="majorBidi"/>
          <w:b/>
          <w:kern w:val="22"/>
          <w:szCs w:val="22"/>
        </w:rPr>
        <w:noBreakHyphen/>
        <w:t>ecological systems</w:t>
      </w:r>
    </w:p>
    <w:p w14:paraId="0EE4FF1D" w14:textId="77777777" w:rsidR="00927BF8" w:rsidRPr="007C796B" w:rsidRDefault="00927BF8" w:rsidP="004349CC">
      <w:pPr>
        <w:keepNext/>
        <w:suppressLineNumbers/>
        <w:suppressAutoHyphens/>
        <w:snapToGrid w:val="0"/>
        <w:spacing w:before="120" w:after="120"/>
        <w:rPr>
          <w:rFonts w:asciiTheme="majorBidi" w:hAnsiTheme="majorBidi" w:cstheme="majorBidi"/>
          <w:snapToGrid w:val="0"/>
          <w:kern w:val="22"/>
          <w:szCs w:val="22"/>
        </w:rPr>
      </w:pPr>
      <w:r w:rsidRPr="007C796B">
        <w:rPr>
          <w:rFonts w:asciiTheme="majorBidi" w:hAnsiTheme="majorBidi" w:cstheme="majorBidi"/>
          <w:b/>
          <w:snapToGrid w:val="0"/>
          <w:kern w:val="22"/>
          <w:szCs w:val="22"/>
        </w:rPr>
        <w:t>Task 3.a</w:t>
      </w:r>
    </w:p>
    <w:p w14:paraId="021BBB61" w14:textId="77777777" w:rsidR="00927BF8" w:rsidRPr="007C796B" w:rsidRDefault="00927BF8" w:rsidP="004349CC">
      <w:pPr>
        <w:suppressLineNumbers/>
        <w:suppressAutoHyphens/>
        <w:snapToGrid w:val="0"/>
        <w:spacing w:before="120" w:after="120"/>
        <w:rPr>
          <w:rFonts w:asciiTheme="majorBidi" w:hAnsiTheme="majorBidi" w:cstheme="majorBidi"/>
          <w:snapToGrid w:val="0"/>
          <w:kern w:val="22"/>
          <w:szCs w:val="22"/>
        </w:rPr>
      </w:pPr>
      <w:r w:rsidRPr="007C796B">
        <w:rPr>
          <w:rFonts w:asciiTheme="majorBidi" w:hAnsiTheme="majorBidi" w:cstheme="majorBidi"/>
          <w:snapToGrid w:val="0"/>
          <w:kern w:val="22"/>
          <w:szCs w:val="22"/>
        </w:rPr>
        <w:t>The Secretariat of the Convention, in partnership with UNESCO, IUCN, the United Nations Permanent Forum on Indigenous Issues, Parties, other relevant organizations and indigenous peoples and local communities, will c</w:t>
      </w:r>
      <w:r w:rsidRPr="007C796B">
        <w:rPr>
          <w:rFonts w:asciiTheme="majorBidi" w:hAnsiTheme="majorBidi" w:cstheme="majorBidi"/>
          <w:snapToGrid w:val="0"/>
          <w:kern w:val="22"/>
          <w:szCs w:val="22"/>
          <w:lang w:bidi="en-US"/>
        </w:rPr>
        <w:t xml:space="preserve">ontribute to </w:t>
      </w:r>
      <w:r w:rsidRPr="007C796B">
        <w:rPr>
          <w:rFonts w:asciiTheme="majorBidi" w:hAnsiTheme="majorBidi" w:cstheme="majorBidi"/>
          <w:snapToGrid w:val="0"/>
          <w:kern w:val="22"/>
          <w:szCs w:val="22"/>
        </w:rPr>
        <w:t>initiatives to strengthen the links between biological and cultural diversity, in line with the Joint Programme of Work.</w:t>
      </w:r>
    </w:p>
    <w:p w14:paraId="7CF0226B" w14:textId="77777777" w:rsidR="00927BF8" w:rsidRPr="007C796B" w:rsidRDefault="00927BF8" w:rsidP="004349CC">
      <w:pPr>
        <w:keepNext/>
        <w:suppressLineNumbers/>
        <w:suppressAutoHyphens/>
        <w:snapToGrid w:val="0"/>
        <w:spacing w:before="120" w:after="120"/>
        <w:rPr>
          <w:rFonts w:asciiTheme="majorBidi" w:hAnsiTheme="majorBidi" w:cstheme="majorBidi"/>
          <w:snapToGrid w:val="0"/>
          <w:kern w:val="22"/>
          <w:szCs w:val="22"/>
        </w:rPr>
      </w:pPr>
      <w:r w:rsidRPr="007C796B">
        <w:rPr>
          <w:rFonts w:asciiTheme="majorBidi" w:hAnsiTheme="majorBidi" w:cstheme="majorBidi"/>
          <w:b/>
          <w:snapToGrid w:val="0"/>
          <w:kern w:val="22"/>
          <w:szCs w:val="22"/>
        </w:rPr>
        <w:t>Task 3.b</w:t>
      </w:r>
    </w:p>
    <w:p w14:paraId="23656D31" w14:textId="77777777" w:rsidR="00927BF8" w:rsidRPr="007C796B" w:rsidRDefault="00927BF8" w:rsidP="004349CC">
      <w:pPr>
        <w:suppressLineNumbers/>
        <w:suppressAutoHyphens/>
        <w:snapToGrid w:val="0"/>
        <w:spacing w:before="120" w:after="120"/>
        <w:rPr>
          <w:rFonts w:asciiTheme="majorBidi" w:hAnsiTheme="majorBidi" w:cstheme="majorBidi"/>
          <w:snapToGrid w:val="0"/>
          <w:kern w:val="22"/>
          <w:szCs w:val="22"/>
        </w:rPr>
      </w:pPr>
      <w:r w:rsidRPr="007C796B">
        <w:rPr>
          <w:rFonts w:asciiTheme="majorBidi" w:hAnsiTheme="majorBidi" w:cstheme="majorBidi"/>
          <w:kern w:val="22"/>
          <w:szCs w:val="22"/>
        </w:rPr>
        <w:t>The Secretariat of the Convention</w:t>
      </w:r>
      <w:r w:rsidRPr="007C796B">
        <w:rPr>
          <w:rFonts w:asciiTheme="majorBidi" w:hAnsiTheme="majorBidi" w:cstheme="majorBidi"/>
          <w:snapToGrid w:val="0"/>
          <w:kern w:val="22"/>
          <w:szCs w:val="22"/>
        </w:rPr>
        <w:t xml:space="preserve"> will work with UNESCO, IUCN, Parties and relevant organizations, to facilitate the development, support and implementation of specific efforts to enable indigenous peoples and local communities to record, document, protect and transmit traditional languages and dialects, in particular indigenous languages,</w:t>
      </w:r>
      <w:r w:rsidRPr="007C796B">
        <w:rPr>
          <w:rFonts w:asciiTheme="majorBidi" w:hAnsiTheme="majorBidi" w:cstheme="majorBidi"/>
          <w:kern w:val="22"/>
          <w:szCs w:val="22"/>
        </w:rPr>
        <w:t xml:space="preserve"> </w:t>
      </w:r>
      <w:r w:rsidRPr="007C796B">
        <w:rPr>
          <w:rFonts w:asciiTheme="majorBidi" w:hAnsiTheme="majorBidi" w:cstheme="majorBidi"/>
          <w:snapToGrid w:val="0"/>
          <w:kern w:val="22"/>
          <w:szCs w:val="22"/>
        </w:rPr>
        <w:t>with the free, prior and informed consent of indigenous peoples and local communities and with their full and effective participation, where this would support the objectives of the Convention.</w:t>
      </w:r>
      <w:r w:rsidRPr="00610646">
        <w:rPr>
          <w:rStyle w:val="FootnoteReference"/>
        </w:rPr>
        <w:footnoteReference w:id="318"/>
      </w:r>
    </w:p>
    <w:p w14:paraId="051AC732" w14:textId="77777777" w:rsidR="00927BF8" w:rsidRPr="007C796B" w:rsidRDefault="00927BF8" w:rsidP="004349CC">
      <w:pPr>
        <w:suppressLineNumbers/>
        <w:suppressAutoHyphens/>
        <w:snapToGrid w:val="0"/>
        <w:spacing w:before="120" w:after="120"/>
        <w:rPr>
          <w:rFonts w:asciiTheme="majorBidi" w:hAnsiTheme="majorBidi" w:cstheme="majorBidi"/>
          <w:b/>
          <w:snapToGrid w:val="0"/>
          <w:kern w:val="22"/>
          <w:szCs w:val="22"/>
        </w:rPr>
      </w:pPr>
      <w:r w:rsidRPr="007C796B">
        <w:rPr>
          <w:rFonts w:asciiTheme="majorBidi" w:hAnsiTheme="majorBidi" w:cstheme="majorBidi"/>
          <w:b/>
          <w:snapToGrid w:val="0"/>
          <w:kern w:val="22"/>
          <w:szCs w:val="22"/>
        </w:rPr>
        <w:t>Task 3.c</w:t>
      </w:r>
    </w:p>
    <w:p w14:paraId="6F588D32" w14:textId="77777777" w:rsidR="00927BF8" w:rsidRPr="007C796B" w:rsidRDefault="00927BF8" w:rsidP="004349CC">
      <w:pPr>
        <w:suppressLineNumbers/>
        <w:suppressAutoHyphens/>
        <w:snapToGrid w:val="0"/>
        <w:spacing w:before="120" w:after="120"/>
        <w:rPr>
          <w:rFonts w:asciiTheme="majorBidi" w:hAnsiTheme="majorBidi" w:cstheme="majorBidi"/>
          <w:snapToGrid w:val="0"/>
          <w:kern w:val="22"/>
          <w:szCs w:val="22"/>
        </w:rPr>
      </w:pPr>
      <w:r w:rsidRPr="007C796B">
        <w:rPr>
          <w:rFonts w:asciiTheme="majorBidi" w:hAnsiTheme="majorBidi" w:cstheme="majorBidi"/>
          <w:snapToGrid w:val="0"/>
          <w:kern w:val="22"/>
          <w:szCs w:val="22"/>
        </w:rPr>
        <w:t>The Secretariat of the Convention will work with UNESCO, IUCN, Parties and relevant organizations to enable indigenous peoples and local communities to record, document and transmit traditional knowledge, with their free, prior and informed consent, with a focus on traditional knowledge relevant for the conservation of nature and culture and the sustainable use of natural resources. This information could be made available with the free, prior and informed consent of indigenous peoples and local communities, taking into account national circumstances.</w:t>
      </w:r>
    </w:p>
    <w:p w14:paraId="332DB4AC" w14:textId="77777777" w:rsidR="00927BF8" w:rsidRPr="007C796B" w:rsidRDefault="00927BF8" w:rsidP="004349CC">
      <w:pPr>
        <w:suppressLineNumbers/>
        <w:suppressAutoHyphens/>
        <w:snapToGrid w:val="0"/>
        <w:spacing w:before="120" w:after="120"/>
        <w:rPr>
          <w:rFonts w:asciiTheme="majorBidi" w:hAnsiTheme="majorBidi" w:cstheme="majorBidi"/>
          <w:b/>
          <w:kern w:val="22"/>
          <w:szCs w:val="22"/>
        </w:rPr>
      </w:pPr>
      <w:r w:rsidRPr="007C796B">
        <w:rPr>
          <w:rFonts w:asciiTheme="majorBidi" w:hAnsiTheme="majorBidi" w:cstheme="majorBidi"/>
          <w:b/>
          <w:kern w:val="22"/>
          <w:szCs w:val="22"/>
        </w:rPr>
        <w:t>Task 3.d</w:t>
      </w:r>
    </w:p>
    <w:p w14:paraId="7B78E78C" w14:textId="77777777" w:rsidR="00927BF8" w:rsidRPr="007C796B" w:rsidRDefault="00927BF8" w:rsidP="004349CC">
      <w:pPr>
        <w:suppressLineNumbers/>
        <w:suppressAutoHyphens/>
        <w:snapToGrid w:val="0"/>
        <w:spacing w:before="120" w:after="120"/>
        <w:rPr>
          <w:rFonts w:asciiTheme="majorBidi" w:hAnsiTheme="majorBidi" w:cstheme="majorBidi"/>
          <w:kern w:val="22"/>
          <w:szCs w:val="22"/>
        </w:rPr>
      </w:pPr>
      <w:r w:rsidRPr="007C796B">
        <w:rPr>
          <w:rFonts w:asciiTheme="majorBidi" w:hAnsiTheme="majorBidi" w:cstheme="majorBidi"/>
          <w:kern w:val="22"/>
          <w:szCs w:val="22"/>
        </w:rPr>
        <w:t>The Secretariat of the Convention will work with UNESCO, IUCN, Parties and relevant organizations to promote the conservation and sustainable use of biodiversity and co-management with the full and effective participation of indigenous peoples and local communities.</w:t>
      </w:r>
    </w:p>
    <w:p w14:paraId="6857E77C" w14:textId="77777777" w:rsidR="00927BF8" w:rsidRPr="007C796B" w:rsidRDefault="00927BF8" w:rsidP="004349CC">
      <w:pPr>
        <w:suppressLineNumbers/>
        <w:suppressAutoHyphens/>
        <w:spacing w:before="120"/>
        <w:jc w:val="left"/>
        <w:rPr>
          <w:rFonts w:asciiTheme="majorBidi" w:eastAsia="MS Mincho" w:hAnsiTheme="majorBidi" w:cstheme="majorBidi"/>
          <w:b/>
          <w:kern w:val="22"/>
          <w:szCs w:val="22"/>
        </w:rPr>
      </w:pPr>
      <w:r w:rsidRPr="007C796B">
        <w:rPr>
          <w:rFonts w:asciiTheme="majorBidi" w:eastAsia="MS Mincho" w:hAnsiTheme="majorBidi" w:cstheme="majorBidi"/>
          <w:b/>
          <w:kern w:val="22"/>
          <w:szCs w:val="22"/>
        </w:rPr>
        <w:t>Element 4</w:t>
      </w:r>
    </w:p>
    <w:p w14:paraId="0F58632E" w14:textId="77777777" w:rsidR="00927BF8" w:rsidRPr="007C796B" w:rsidRDefault="00927BF8" w:rsidP="004349CC">
      <w:pPr>
        <w:suppressLineNumbers/>
        <w:suppressAutoHyphens/>
        <w:autoSpaceDE w:val="0"/>
        <w:spacing w:after="120"/>
        <w:rPr>
          <w:rFonts w:asciiTheme="majorBidi" w:eastAsia="MS Mincho" w:hAnsiTheme="majorBidi" w:cstheme="majorBidi"/>
          <w:b/>
          <w:i/>
          <w:kern w:val="22"/>
          <w:szCs w:val="22"/>
        </w:rPr>
      </w:pPr>
      <w:r w:rsidRPr="007C796B">
        <w:rPr>
          <w:rFonts w:asciiTheme="majorBidi" w:eastAsia="MS Mincho" w:hAnsiTheme="majorBidi" w:cstheme="majorBidi"/>
          <w:b/>
          <w:kern w:val="22"/>
          <w:szCs w:val="22"/>
        </w:rPr>
        <w:t>Develop new approaches to communication, education and public awareness (CEPA)</w:t>
      </w:r>
    </w:p>
    <w:p w14:paraId="4CE19B1A" w14:textId="77777777" w:rsidR="00927BF8" w:rsidRPr="007C796B" w:rsidRDefault="00927BF8" w:rsidP="004349CC">
      <w:pPr>
        <w:keepNext/>
        <w:suppressLineNumbers/>
        <w:suppressAutoHyphens/>
        <w:autoSpaceDE w:val="0"/>
        <w:spacing w:before="120" w:after="120"/>
        <w:rPr>
          <w:rFonts w:asciiTheme="majorBidi" w:eastAsia="MS Mincho" w:hAnsiTheme="majorBidi" w:cstheme="majorBidi"/>
          <w:kern w:val="22"/>
          <w:szCs w:val="22"/>
        </w:rPr>
      </w:pPr>
      <w:r w:rsidRPr="007C796B">
        <w:rPr>
          <w:rFonts w:asciiTheme="majorBidi" w:eastAsia="MS Mincho" w:hAnsiTheme="majorBidi" w:cstheme="majorBidi"/>
          <w:b/>
          <w:kern w:val="22"/>
          <w:szCs w:val="22"/>
        </w:rPr>
        <w:t>Task 4.a</w:t>
      </w:r>
    </w:p>
    <w:p w14:paraId="0608018D" w14:textId="77777777" w:rsidR="00927BF8" w:rsidRPr="007C796B" w:rsidRDefault="00927BF8" w:rsidP="004349CC">
      <w:pPr>
        <w:suppressLineNumbers/>
        <w:suppressAutoHyphens/>
        <w:autoSpaceDE w:val="0"/>
        <w:spacing w:before="120" w:after="120"/>
        <w:rPr>
          <w:rFonts w:asciiTheme="majorBidi" w:eastAsia="MS Mincho" w:hAnsiTheme="majorBidi" w:cstheme="majorBidi"/>
          <w:kern w:val="22"/>
          <w:szCs w:val="22"/>
        </w:rPr>
      </w:pPr>
      <w:r w:rsidRPr="007C796B">
        <w:rPr>
          <w:rFonts w:asciiTheme="majorBidi" w:eastAsia="MS Mincho" w:hAnsiTheme="majorBidi" w:cstheme="majorBidi"/>
          <w:kern w:val="22"/>
          <w:szCs w:val="22"/>
        </w:rPr>
        <w:t>The Secretariat of the Convention will work together with UNESCO, IUCN, other relevant bodies, and indigenous peoples and local communities to develop communication and educational materials to raise awareness, across society and all sectors, of the interdependence and interlinkages between biological, cultural and linguistic diversity, for human well-being and environmental sustainability, to strengthen recognition of traditional knowledge and the sustainable use practices of traditional knowledge holders. Such materials should be culturally appropriate to the needs of different audiences, and, as appropriate, be made available in formats and languages understandable to indigenous peoples and local communities.</w:t>
      </w:r>
    </w:p>
    <w:p w14:paraId="7C302E2C" w14:textId="77777777" w:rsidR="00927BF8" w:rsidRPr="007C796B" w:rsidRDefault="00927BF8" w:rsidP="004349CC">
      <w:pPr>
        <w:suppressLineNumbers/>
        <w:suppressAutoHyphens/>
        <w:autoSpaceDE w:val="0"/>
        <w:spacing w:before="120" w:after="120"/>
        <w:rPr>
          <w:rFonts w:asciiTheme="majorBidi" w:eastAsia="MS Mincho" w:hAnsiTheme="majorBidi" w:cstheme="majorBidi"/>
          <w:b/>
          <w:kern w:val="22"/>
          <w:szCs w:val="22"/>
        </w:rPr>
      </w:pPr>
      <w:r w:rsidRPr="007C796B">
        <w:rPr>
          <w:rFonts w:asciiTheme="majorBidi" w:eastAsia="MS Mincho" w:hAnsiTheme="majorBidi" w:cstheme="majorBidi"/>
          <w:b/>
          <w:kern w:val="22"/>
          <w:szCs w:val="22"/>
        </w:rPr>
        <w:t>Task 4.b</w:t>
      </w:r>
    </w:p>
    <w:p w14:paraId="5F6857C7" w14:textId="77777777" w:rsidR="00927BF8" w:rsidRPr="007C796B" w:rsidRDefault="00927BF8" w:rsidP="004349CC">
      <w:pPr>
        <w:suppressLineNumbers/>
        <w:suppressAutoHyphens/>
        <w:autoSpaceDE w:val="0"/>
        <w:spacing w:before="120" w:after="120"/>
        <w:rPr>
          <w:rFonts w:asciiTheme="majorBidi" w:eastAsia="MS Mincho" w:hAnsiTheme="majorBidi" w:cstheme="majorBidi"/>
          <w:kern w:val="22"/>
          <w:szCs w:val="22"/>
        </w:rPr>
      </w:pPr>
      <w:r w:rsidRPr="007C796B">
        <w:rPr>
          <w:rFonts w:asciiTheme="majorBidi" w:eastAsia="MS Mincho" w:hAnsiTheme="majorBidi" w:cstheme="majorBidi"/>
          <w:kern w:val="22"/>
          <w:szCs w:val="22"/>
        </w:rPr>
        <w:t>The Secretariat of the Convention will work together with UNESCO, IUCN, other relevant agencies, and indigenous peoples and local communities to help Parties and other stakeholders to develop communication and education materials, and awareness strategies on indigenous languages.</w:t>
      </w:r>
    </w:p>
    <w:p w14:paraId="40FC48A1" w14:textId="77777777" w:rsidR="00927BF8" w:rsidRPr="00D757E6" w:rsidRDefault="00927BF8" w:rsidP="004349CC">
      <w:pPr>
        <w:pStyle w:val="Para1"/>
        <w:numPr>
          <w:ilvl w:val="0"/>
          <w:numId w:val="0"/>
        </w:numPr>
      </w:pPr>
    </w:p>
    <w:p w14:paraId="73A274A9" w14:textId="77777777" w:rsidR="00284A40" w:rsidRDefault="00284A40" w:rsidP="004349CC">
      <w:pPr>
        <w:jc w:val="center"/>
        <w:rPr>
          <w:szCs w:val="22"/>
        </w:rPr>
        <w:sectPr w:rsidR="00284A40" w:rsidSect="00441700">
          <w:footnotePr>
            <w:numRestart w:val="eachSect"/>
          </w:footnotePr>
          <w:pgSz w:w="12240" w:h="15840"/>
          <w:pgMar w:top="567" w:right="1440" w:bottom="1134" w:left="1440" w:header="709" w:footer="709" w:gutter="0"/>
          <w:cols w:space="708"/>
          <w:docGrid w:linePitch="360"/>
        </w:sectPr>
      </w:pPr>
    </w:p>
    <w:p w14:paraId="3AC22DE3" w14:textId="77777777" w:rsidR="00284A40" w:rsidRDefault="00284A40" w:rsidP="00966D25">
      <w:pPr>
        <w:pStyle w:val="decision"/>
        <w:rPr>
          <w:caps/>
        </w:rPr>
      </w:pPr>
      <w:bookmarkStart w:id="282" w:name="_Toc150438821"/>
      <w:bookmarkStart w:id="283" w:name="_Toc150670521"/>
      <w:bookmarkStart w:id="284" w:name="_Toc150670631"/>
      <w:bookmarkStart w:id="285" w:name="_Toc150761133"/>
      <w:r>
        <w:t>15/23.</w:t>
      </w:r>
      <w:r>
        <w:tab/>
      </w:r>
      <w:r w:rsidRPr="00F11E5A">
        <w:t xml:space="preserve">Sustainable </w:t>
      </w:r>
      <w:r>
        <w:t>w</w:t>
      </w:r>
      <w:r w:rsidRPr="00F11E5A">
        <w:t xml:space="preserve">ildlife </w:t>
      </w:r>
      <w:r>
        <w:t>m</w:t>
      </w:r>
      <w:r w:rsidRPr="00F11E5A">
        <w:t>anagement</w:t>
      </w:r>
      <w:bookmarkEnd w:id="282"/>
      <w:bookmarkEnd w:id="283"/>
      <w:bookmarkEnd w:id="284"/>
      <w:bookmarkEnd w:id="285"/>
      <w:r w:rsidRPr="00105372">
        <w:rPr>
          <w:caps/>
        </w:rPr>
        <w:t xml:space="preserve"> </w:t>
      </w:r>
    </w:p>
    <w:p w14:paraId="46673701" w14:textId="77777777" w:rsidR="00284A40" w:rsidRPr="00C314F5" w:rsidRDefault="00284A40" w:rsidP="000001B9">
      <w:pPr>
        <w:suppressLineNumbers/>
        <w:suppressAutoHyphens/>
        <w:spacing w:before="120" w:after="120"/>
        <w:ind w:firstLine="720"/>
        <w:rPr>
          <w:i/>
          <w:iCs/>
          <w:kern w:val="22"/>
          <w:szCs w:val="22"/>
        </w:rPr>
      </w:pPr>
      <w:r w:rsidRPr="00C314F5">
        <w:rPr>
          <w:i/>
          <w:iCs/>
          <w:kern w:val="22"/>
          <w:szCs w:val="22"/>
        </w:rPr>
        <w:t>The Conference of the Parties,</w:t>
      </w:r>
    </w:p>
    <w:p w14:paraId="00B5FD87" w14:textId="77777777" w:rsidR="00284A40" w:rsidRPr="00C314F5" w:rsidRDefault="00284A40" w:rsidP="000001B9">
      <w:pPr>
        <w:suppressLineNumbers/>
        <w:suppressAutoHyphens/>
        <w:spacing w:before="120" w:after="120"/>
        <w:ind w:firstLine="720"/>
        <w:rPr>
          <w:kern w:val="22"/>
          <w:szCs w:val="22"/>
        </w:rPr>
      </w:pPr>
      <w:r w:rsidRPr="00C314F5">
        <w:rPr>
          <w:i/>
          <w:iCs/>
          <w:kern w:val="22"/>
          <w:szCs w:val="22"/>
        </w:rPr>
        <w:t>Recognizing</w:t>
      </w:r>
      <w:r w:rsidRPr="00C314F5">
        <w:rPr>
          <w:kern w:val="22"/>
          <w:szCs w:val="22"/>
        </w:rPr>
        <w:t xml:space="preserve"> that the </w:t>
      </w:r>
      <w:r>
        <w:rPr>
          <w:kern w:val="22"/>
          <w:szCs w:val="22"/>
        </w:rPr>
        <w:t xml:space="preserve">legal and </w:t>
      </w:r>
      <w:r w:rsidRPr="00C314F5">
        <w:rPr>
          <w:kern w:val="22"/>
          <w:szCs w:val="22"/>
        </w:rPr>
        <w:t xml:space="preserve">sustainable use of biodiversity, including management of wildlife, contributed to progress towards several of the Aichi Biodiversity Targets and the Sustainable Development Goals and continues to be relevant for the </w:t>
      </w:r>
      <w:r>
        <w:rPr>
          <w:kern w:val="22"/>
          <w:szCs w:val="22"/>
        </w:rPr>
        <w:t>Kunming-Montreal</w:t>
      </w:r>
      <w:r w:rsidRPr="00C314F5">
        <w:rPr>
          <w:kern w:val="22"/>
          <w:szCs w:val="22"/>
        </w:rPr>
        <w:t xml:space="preserve"> </w:t>
      </w:r>
      <w:r>
        <w:rPr>
          <w:kern w:val="22"/>
          <w:szCs w:val="22"/>
        </w:rPr>
        <w:t>G</w:t>
      </w:r>
      <w:r w:rsidRPr="00C314F5">
        <w:rPr>
          <w:kern w:val="22"/>
          <w:szCs w:val="22"/>
        </w:rPr>
        <w:t xml:space="preserve">lobal </w:t>
      </w:r>
      <w:r>
        <w:rPr>
          <w:kern w:val="22"/>
          <w:szCs w:val="22"/>
        </w:rPr>
        <w:t>B</w:t>
      </w:r>
      <w:r w:rsidRPr="00C314F5">
        <w:rPr>
          <w:kern w:val="22"/>
          <w:szCs w:val="22"/>
        </w:rPr>
        <w:t xml:space="preserve">iodiversity </w:t>
      </w:r>
      <w:r>
        <w:rPr>
          <w:kern w:val="22"/>
          <w:szCs w:val="22"/>
        </w:rPr>
        <w:t>F</w:t>
      </w:r>
      <w:r w:rsidRPr="00C314F5">
        <w:rPr>
          <w:kern w:val="22"/>
          <w:szCs w:val="22"/>
        </w:rPr>
        <w:t>ramework,</w:t>
      </w:r>
      <w:r>
        <w:rPr>
          <w:kern w:val="22"/>
          <w:szCs w:val="22"/>
        </w:rPr>
        <w:t xml:space="preserve"> </w:t>
      </w:r>
    </w:p>
    <w:p w14:paraId="60CBE78D" w14:textId="77777777" w:rsidR="00284A40" w:rsidRPr="00C314F5" w:rsidRDefault="00284A40" w:rsidP="000001B9">
      <w:pPr>
        <w:suppressLineNumbers/>
        <w:suppressAutoHyphens/>
        <w:spacing w:before="120" w:after="120"/>
        <w:ind w:firstLine="720"/>
        <w:rPr>
          <w:iCs/>
          <w:kern w:val="22"/>
          <w:szCs w:val="22"/>
        </w:rPr>
      </w:pPr>
      <w:r w:rsidRPr="00C314F5">
        <w:rPr>
          <w:i/>
          <w:iCs/>
          <w:kern w:val="22"/>
          <w:szCs w:val="22"/>
        </w:rPr>
        <w:t>Recognizing</w:t>
      </w:r>
      <w:r>
        <w:rPr>
          <w:i/>
          <w:iCs/>
          <w:kern w:val="22"/>
          <w:szCs w:val="22"/>
        </w:rPr>
        <w:t xml:space="preserve"> also</w:t>
      </w:r>
      <w:r w:rsidRPr="00C314F5">
        <w:rPr>
          <w:i/>
          <w:iCs/>
          <w:kern w:val="22"/>
          <w:szCs w:val="22"/>
        </w:rPr>
        <w:t xml:space="preserve"> </w:t>
      </w:r>
      <w:r w:rsidRPr="00C314F5">
        <w:rPr>
          <w:kern w:val="22"/>
          <w:szCs w:val="22"/>
        </w:rPr>
        <w:t>that unsustainable wildlife management hinder</w:t>
      </w:r>
      <w:r>
        <w:rPr>
          <w:kern w:val="22"/>
          <w:szCs w:val="22"/>
        </w:rPr>
        <w:t>ed</w:t>
      </w:r>
      <w:r w:rsidRPr="00C314F5">
        <w:rPr>
          <w:kern w:val="22"/>
          <w:szCs w:val="22"/>
        </w:rPr>
        <w:t xml:space="preserve"> progress towards several of the Aichi Biodiversity Targets and the Sustainable Development Goals</w:t>
      </w:r>
      <w:r w:rsidRPr="00C314F5">
        <w:rPr>
          <w:iCs/>
          <w:kern w:val="22"/>
          <w:szCs w:val="22"/>
        </w:rPr>
        <w:t>,</w:t>
      </w:r>
    </w:p>
    <w:p w14:paraId="097EFF51" w14:textId="77777777" w:rsidR="00284A40" w:rsidRPr="00C314F5" w:rsidRDefault="00284A40" w:rsidP="000001B9">
      <w:pPr>
        <w:suppressLineNumbers/>
        <w:suppressAutoHyphens/>
        <w:spacing w:before="120" w:after="120"/>
        <w:ind w:firstLine="720"/>
        <w:rPr>
          <w:kern w:val="22"/>
          <w:szCs w:val="22"/>
        </w:rPr>
      </w:pPr>
      <w:r w:rsidRPr="00C314F5">
        <w:rPr>
          <w:i/>
          <w:iCs/>
          <w:kern w:val="22"/>
          <w:szCs w:val="22"/>
        </w:rPr>
        <w:t>Recognizing</w:t>
      </w:r>
      <w:r>
        <w:rPr>
          <w:i/>
          <w:iCs/>
          <w:kern w:val="22"/>
          <w:szCs w:val="22"/>
        </w:rPr>
        <w:t xml:space="preserve"> further</w:t>
      </w:r>
      <w:r w:rsidRPr="00C314F5">
        <w:rPr>
          <w:kern w:val="22"/>
          <w:szCs w:val="22"/>
        </w:rPr>
        <w:t xml:space="preserve"> the progress </w:t>
      </w:r>
      <w:r w:rsidRPr="00F87571">
        <w:rPr>
          <w:kern w:val="22"/>
          <w:szCs w:val="22"/>
        </w:rPr>
        <w:t xml:space="preserve">made </w:t>
      </w:r>
      <w:r w:rsidRPr="00496801">
        <w:rPr>
          <w:kern w:val="22"/>
          <w:szCs w:val="22"/>
        </w:rPr>
        <w:t>i</w:t>
      </w:r>
      <w:r w:rsidRPr="00F87571">
        <w:rPr>
          <w:kern w:val="22"/>
          <w:szCs w:val="22"/>
        </w:rPr>
        <w:t>n the consideration of the voluntary guidance for a sustainable wild meat sector in the tropics and the sub-tropics,</w:t>
      </w:r>
    </w:p>
    <w:p w14:paraId="6815855D" w14:textId="77777777" w:rsidR="00284A40" w:rsidRPr="00C314F5" w:rsidRDefault="00284A40" w:rsidP="000001B9">
      <w:pPr>
        <w:suppressLineNumbers/>
        <w:suppressAutoHyphens/>
        <w:spacing w:before="120" w:after="120"/>
        <w:ind w:firstLine="720"/>
        <w:rPr>
          <w:kern w:val="22"/>
          <w:szCs w:val="22"/>
        </w:rPr>
      </w:pPr>
      <w:r w:rsidRPr="00C314F5">
        <w:rPr>
          <w:i/>
          <w:iCs/>
          <w:kern w:val="22"/>
          <w:szCs w:val="22"/>
        </w:rPr>
        <w:t>Welcoming</w:t>
      </w:r>
      <w:r w:rsidRPr="00C314F5">
        <w:rPr>
          <w:kern w:val="22"/>
          <w:szCs w:val="22"/>
        </w:rPr>
        <w:t xml:space="preserve"> the existing collaboration on issues related to sustainable wildlife management between the Convention on Biological Diversity, the Convention on International Trade in Endangered Species of Wild Fauna and Flora, the Convention on the Conservation of Migratory Species of Wild Animals, the Food and Agriculture Organization of the United Nations, the Intergovernmental Science-Policy Platform on Biodiversity and Ecosystem Services and the United Nations Framework Convention on Climate Change, and the work of the Collaborative Partnership on Sustainable Wildlife Management, as well as the International Consortium on Combating Wildlife Crime and others involved in law enforcement,</w:t>
      </w:r>
    </w:p>
    <w:p w14:paraId="1CAA30CE" w14:textId="77777777" w:rsidR="00284A40" w:rsidRPr="00C314F5" w:rsidRDefault="00284A40" w:rsidP="000001B9">
      <w:pPr>
        <w:suppressLineNumbers/>
        <w:suppressAutoHyphens/>
        <w:spacing w:before="120" w:after="120"/>
        <w:ind w:firstLine="720"/>
        <w:rPr>
          <w:kern w:val="22"/>
          <w:szCs w:val="22"/>
        </w:rPr>
      </w:pPr>
      <w:r w:rsidRPr="00C314F5">
        <w:rPr>
          <w:i/>
          <w:iCs/>
          <w:kern w:val="22"/>
          <w:szCs w:val="22"/>
        </w:rPr>
        <w:t xml:space="preserve">Recognizing </w:t>
      </w:r>
      <w:r w:rsidRPr="00C314F5">
        <w:rPr>
          <w:kern w:val="22"/>
          <w:szCs w:val="22"/>
        </w:rPr>
        <w:t xml:space="preserve">that achieving </w:t>
      </w:r>
      <w:r>
        <w:rPr>
          <w:kern w:val="22"/>
          <w:szCs w:val="22"/>
        </w:rPr>
        <w:t xml:space="preserve">legal and </w:t>
      </w:r>
      <w:r w:rsidRPr="00C314F5">
        <w:rPr>
          <w:kern w:val="22"/>
          <w:szCs w:val="22"/>
        </w:rPr>
        <w:t>sustainable use of biodiversity requires innovative strategic approaches and topics, efficient implementation and actions to ensure mainstreaming of biodiversity into all relevant sectors,</w:t>
      </w:r>
    </w:p>
    <w:p w14:paraId="481F1784" w14:textId="77777777" w:rsidR="00284A40" w:rsidRDefault="00284A40" w:rsidP="000001B9">
      <w:pPr>
        <w:suppressLineNumbers/>
        <w:suppressAutoHyphens/>
        <w:spacing w:before="120" w:after="120"/>
        <w:ind w:firstLine="720"/>
        <w:rPr>
          <w:kern w:val="22"/>
          <w:szCs w:val="22"/>
        </w:rPr>
      </w:pPr>
      <w:r w:rsidRPr="00C314F5">
        <w:rPr>
          <w:i/>
          <w:iCs/>
          <w:kern w:val="22"/>
          <w:szCs w:val="22"/>
        </w:rPr>
        <w:t xml:space="preserve">Noting </w:t>
      </w:r>
      <w:r w:rsidRPr="00C314F5">
        <w:rPr>
          <w:kern w:val="22"/>
          <w:szCs w:val="22"/>
        </w:rPr>
        <w:t>that demand reduction strategies and alternative livelihood approaches to wild meat consumption, and to wildlife use in general, are more likely to be necessary when consumption or use are illegal and/or unsustainable, as sustainable wildlife management can significantly contribute to biodiversity conservation, as opposed to alternatives that may result in land</w:t>
      </w:r>
      <w:r>
        <w:rPr>
          <w:kern w:val="22"/>
          <w:szCs w:val="22"/>
        </w:rPr>
        <w:t>-</w:t>
      </w:r>
      <w:r w:rsidRPr="00C314F5">
        <w:rPr>
          <w:kern w:val="22"/>
          <w:szCs w:val="22"/>
        </w:rPr>
        <w:t xml:space="preserve">use </w:t>
      </w:r>
      <w:r w:rsidRPr="00F87571">
        <w:rPr>
          <w:kern w:val="22"/>
          <w:szCs w:val="22"/>
        </w:rPr>
        <w:t>changes that may be harmful</w:t>
      </w:r>
      <w:r w:rsidRPr="00C314F5">
        <w:rPr>
          <w:kern w:val="22"/>
          <w:szCs w:val="22"/>
        </w:rPr>
        <w:t xml:space="preserve"> to the environment and ecosystems,</w:t>
      </w:r>
    </w:p>
    <w:p w14:paraId="6BD60422" w14:textId="77777777" w:rsidR="00284A40" w:rsidRDefault="00284A40" w:rsidP="000001B9">
      <w:pPr>
        <w:suppressLineNumbers/>
        <w:suppressAutoHyphens/>
        <w:spacing w:before="120" w:after="120"/>
        <w:ind w:firstLine="720"/>
        <w:rPr>
          <w:kern w:val="22"/>
          <w:szCs w:val="22"/>
        </w:rPr>
      </w:pPr>
      <w:r w:rsidRPr="00C314F5">
        <w:rPr>
          <w:i/>
          <w:iCs/>
          <w:kern w:val="22"/>
          <w:szCs w:val="22"/>
        </w:rPr>
        <w:t>Taking note</w:t>
      </w:r>
      <w:r w:rsidRPr="00C314F5">
        <w:rPr>
          <w:kern w:val="22"/>
          <w:szCs w:val="22"/>
        </w:rPr>
        <w:t xml:space="preserve"> of recommendation 23/3 of the Subsidiary Body on Scientific, Technical and Technological Advice on sustainable wildlife management,</w:t>
      </w:r>
    </w:p>
    <w:p w14:paraId="0C697CBF" w14:textId="77777777" w:rsidR="00284A40" w:rsidRPr="00C314F5" w:rsidRDefault="00284A40" w:rsidP="000001B9">
      <w:pPr>
        <w:suppressLineNumbers/>
        <w:suppressAutoHyphens/>
        <w:spacing w:before="120" w:after="120"/>
        <w:ind w:firstLine="720"/>
        <w:rPr>
          <w:kern w:val="22"/>
          <w:szCs w:val="22"/>
        </w:rPr>
      </w:pPr>
      <w:r w:rsidRPr="00CB216F">
        <w:rPr>
          <w:i/>
          <w:iCs/>
          <w:kern w:val="22"/>
          <w:szCs w:val="22"/>
        </w:rPr>
        <w:t>Taking note</w:t>
      </w:r>
      <w:r>
        <w:rPr>
          <w:kern w:val="22"/>
          <w:szCs w:val="22"/>
        </w:rPr>
        <w:t xml:space="preserve"> </w:t>
      </w:r>
      <w:r w:rsidRPr="00DD51F0">
        <w:rPr>
          <w:i/>
          <w:iCs/>
          <w:kern w:val="22"/>
          <w:szCs w:val="22"/>
        </w:rPr>
        <w:t>with appreciation</w:t>
      </w:r>
      <w:r>
        <w:rPr>
          <w:kern w:val="22"/>
          <w:szCs w:val="22"/>
        </w:rPr>
        <w:t xml:space="preserve"> of the </w:t>
      </w:r>
      <w:r w:rsidRPr="00496801">
        <w:rPr>
          <w:i/>
          <w:iCs/>
          <w:kern w:val="22"/>
          <w:szCs w:val="22"/>
        </w:rPr>
        <w:t>Thematic Assessment on the Sustainable Use of Wild Species</w:t>
      </w:r>
      <w:r>
        <w:rPr>
          <w:kern w:val="22"/>
          <w:szCs w:val="22"/>
        </w:rPr>
        <w:t xml:space="preserve"> of the Intergovernmental Science-Policy Platform on Biodiversity and Ecosystem Services,</w:t>
      </w:r>
      <w:r w:rsidRPr="00610646">
        <w:rPr>
          <w:rStyle w:val="FootnoteReference"/>
        </w:rPr>
        <w:footnoteReference w:id="319"/>
      </w:r>
    </w:p>
    <w:p w14:paraId="45E3708C" w14:textId="77777777" w:rsidR="00284A40" w:rsidRPr="00C314F5" w:rsidRDefault="00284A40" w:rsidP="00950BE4">
      <w:pPr>
        <w:pStyle w:val="Para11"/>
        <w:numPr>
          <w:ilvl w:val="0"/>
          <w:numId w:val="65"/>
        </w:numPr>
        <w:suppressLineNumbers/>
        <w:suppressAutoHyphens/>
        <w:ind w:left="0" w:firstLine="720"/>
        <w:jc w:val="both"/>
        <w:rPr>
          <w:sz w:val="22"/>
        </w:rPr>
      </w:pPr>
      <w:r w:rsidRPr="00C314F5">
        <w:rPr>
          <w:i/>
          <w:iCs/>
          <w:kern w:val="22"/>
          <w:sz w:val="22"/>
        </w:rPr>
        <w:t>Requests</w:t>
      </w:r>
      <w:r w:rsidRPr="00C314F5">
        <w:rPr>
          <w:sz w:val="22"/>
        </w:rPr>
        <w:t xml:space="preserve"> </w:t>
      </w:r>
      <w:r w:rsidRPr="00F87571">
        <w:rPr>
          <w:sz w:val="22"/>
        </w:rPr>
        <w:t xml:space="preserve">the Executive Secretary, in consultation with Parties, </w:t>
      </w:r>
      <w:r w:rsidRPr="00F87571">
        <w:rPr>
          <w:kern w:val="22"/>
          <w:sz w:val="22"/>
        </w:rPr>
        <w:t>other Governments, indigenous peoples and local communities, and other members of the</w:t>
      </w:r>
      <w:r w:rsidRPr="00F87571">
        <w:rPr>
          <w:sz w:val="22"/>
        </w:rPr>
        <w:t xml:space="preserve"> </w:t>
      </w:r>
      <w:r w:rsidRPr="00F87571">
        <w:rPr>
          <w:kern w:val="22"/>
          <w:sz w:val="22"/>
        </w:rPr>
        <w:t>Collaborative Partnership on Sustainable Wildlife Management, and other relevant stakeholders and right holders, subject to the availability of</w:t>
      </w:r>
      <w:r w:rsidRPr="00F87571">
        <w:rPr>
          <w:sz w:val="22"/>
        </w:rPr>
        <w:t xml:space="preserve"> </w:t>
      </w:r>
      <w:r w:rsidRPr="00F87571">
        <w:rPr>
          <w:kern w:val="22"/>
          <w:sz w:val="22"/>
        </w:rPr>
        <w:t>resources:</w:t>
      </w:r>
    </w:p>
    <w:p w14:paraId="41617770" w14:textId="77777777" w:rsidR="00284A40" w:rsidRPr="00C314F5" w:rsidRDefault="00284A40" w:rsidP="000001B9">
      <w:pPr>
        <w:pStyle w:val="Para11"/>
        <w:suppressLineNumbers/>
        <w:suppressAutoHyphens/>
        <w:ind w:firstLine="720"/>
        <w:jc w:val="both"/>
        <w:rPr>
          <w:kern w:val="22"/>
          <w:sz w:val="22"/>
        </w:rPr>
      </w:pPr>
      <w:r w:rsidRPr="00C314F5">
        <w:rPr>
          <w:snapToGrid w:val="0"/>
          <w:color w:val="000000"/>
          <w:kern w:val="22"/>
          <w:sz w:val="22"/>
        </w:rPr>
        <w:t>(a)</w:t>
      </w:r>
      <w:r w:rsidRPr="00C314F5">
        <w:rPr>
          <w:snapToGrid w:val="0"/>
          <w:color w:val="000000"/>
          <w:kern w:val="22"/>
          <w:sz w:val="22"/>
        </w:rPr>
        <w:tab/>
        <w:t>To complete</w:t>
      </w:r>
      <w:r w:rsidRPr="00C314F5">
        <w:rPr>
          <w:kern w:val="22"/>
          <w:sz w:val="22"/>
        </w:rPr>
        <w:t xml:space="preserve"> the work mandated in decision 14/7, including identifying other areas beyond the wild meat sector that may require complementary guidance, such as other geographical areas, species and uses, making full use of the outcomes and the findings of the report of the Consultative Workshop on Sustainable Wildlife Management Beyond 2020</w:t>
      </w:r>
      <w:r w:rsidRPr="00610646">
        <w:rPr>
          <w:rStyle w:val="FootnoteReference"/>
        </w:rPr>
        <w:footnoteReference w:id="320"/>
      </w:r>
      <w:r w:rsidRPr="00C314F5">
        <w:rPr>
          <w:kern w:val="22"/>
          <w:sz w:val="22"/>
        </w:rPr>
        <w:t xml:space="preserve"> and the results of the survey on sustainable wildlife management;</w:t>
      </w:r>
    </w:p>
    <w:p w14:paraId="532FCF97" w14:textId="77777777" w:rsidR="00284A40" w:rsidRPr="00C314F5" w:rsidRDefault="00284A40" w:rsidP="000001B9">
      <w:pPr>
        <w:pStyle w:val="Para11"/>
        <w:suppressLineNumbers/>
        <w:suppressAutoHyphens/>
        <w:ind w:firstLine="720"/>
        <w:jc w:val="both"/>
        <w:rPr>
          <w:kern w:val="22"/>
          <w:sz w:val="22"/>
        </w:rPr>
      </w:pPr>
      <w:r w:rsidRPr="00C314F5">
        <w:rPr>
          <w:kern w:val="22"/>
          <w:sz w:val="22"/>
        </w:rPr>
        <w:t>(b)</w:t>
      </w:r>
      <w:r w:rsidRPr="00C314F5">
        <w:rPr>
          <w:kern w:val="22"/>
          <w:sz w:val="22"/>
        </w:rPr>
        <w:tab/>
        <w:t>To continue close collaboration with the Secretariat of the Intergovernmental Science</w:t>
      </w:r>
      <w:r>
        <w:rPr>
          <w:kern w:val="22"/>
          <w:sz w:val="22"/>
        </w:rPr>
        <w:noBreakHyphen/>
      </w:r>
      <w:r w:rsidRPr="00C314F5">
        <w:rPr>
          <w:kern w:val="22"/>
          <w:sz w:val="22"/>
        </w:rPr>
        <w:t>Policy Platform on Biodiversity and Ecosystem Services</w:t>
      </w:r>
      <w:r>
        <w:rPr>
          <w:kern w:val="22"/>
          <w:sz w:val="22"/>
        </w:rPr>
        <w:t>,</w:t>
      </w:r>
      <w:r w:rsidRPr="00C314F5">
        <w:rPr>
          <w:kern w:val="22"/>
          <w:sz w:val="22"/>
        </w:rPr>
        <w:t xml:space="preserve"> </w:t>
      </w:r>
      <w:r>
        <w:rPr>
          <w:kern w:val="22"/>
          <w:sz w:val="22"/>
        </w:rPr>
        <w:t xml:space="preserve">including </w:t>
      </w:r>
      <w:r w:rsidRPr="00C314F5">
        <w:rPr>
          <w:kern w:val="22"/>
          <w:sz w:val="22"/>
        </w:rPr>
        <w:t xml:space="preserve">on </w:t>
      </w:r>
      <w:r>
        <w:rPr>
          <w:kern w:val="22"/>
          <w:sz w:val="22"/>
        </w:rPr>
        <w:t>the</w:t>
      </w:r>
      <w:r w:rsidRPr="00C314F5">
        <w:rPr>
          <w:kern w:val="22"/>
          <w:sz w:val="22"/>
        </w:rPr>
        <w:t xml:space="preserve"> implications</w:t>
      </w:r>
      <w:r>
        <w:rPr>
          <w:kern w:val="22"/>
          <w:sz w:val="22"/>
        </w:rPr>
        <w:t xml:space="preserve"> of the thematic assessment on the sustainable use of wild </w:t>
      </w:r>
      <w:r w:rsidRPr="00CB3D12">
        <w:rPr>
          <w:kern w:val="22"/>
          <w:sz w:val="22"/>
        </w:rPr>
        <w:t xml:space="preserve">species </w:t>
      </w:r>
      <w:r w:rsidRPr="00496801">
        <w:rPr>
          <w:kern w:val="22"/>
          <w:sz w:val="22"/>
        </w:rPr>
        <w:t xml:space="preserve">of the Platform </w:t>
      </w:r>
      <w:r w:rsidRPr="00C314F5">
        <w:rPr>
          <w:kern w:val="22"/>
          <w:sz w:val="22"/>
        </w:rPr>
        <w:t xml:space="preserve">for the implementation of the </w:t>
      </w:r>
      <w:r>
        <w:rPr>
          <w:kern w:val="22"/>
          <w:sz w:val="22"/>
        </w:rPr>
        <w:t>Kunming-Montreal</w:t>
      </w:r>
      <w:r w:rsidRPr="00C314F5">
        <w:rPr>
          <w:kern w:val="22"/>
          <w:sz w:val="22"/>
        </w:rPr>
        <w:t xml:space="preserve"> </w:t>
      </w:r>
      <w:r>
        <w:rPr>
          <w:kern w:val="22"/>
          <w:sz w:val="22"/>
        </w:rPr>
        <w:t>G</w:t>
      </w:r>
      <w:r w:rsidRPr="00C314F5">
        <w:rPr>
          <w:kern w:val="22"/>
          <w:sz w:val="22"/>
        </w:rPr>
        <w:t xml:space="preserve">lobal </w:t>
      </w:r>
      <w:r>
        <w:rPr>
          <w:kern w:val="22"/>
          <w:sz w:val="22"/>
        </w:rPr>
        <w:t>B</w:t>
      </w:r>
      <w:r w:rsidRPr="00C314F5">
        <w:rPr>
          <w:kern w:val="22"/>
          <w:sz w:val="22"/>
        </w:rPr>
        <w:t xml:space="preserve">iodiversity </w:t>
      </w:r>
      <w:r>
        <w:rPr>
          <w:kern w:val="22"/>
          <w:sz w:val="22"/>
        </w:rPr>
        <w:t>F</w:t>
      </w:r>
      <w:r w:rsidRPr="00C314F5">
        <w:rPr>
          <w:kern w:val="22"/>
          <w:sz w:val="22"/>
        </w:rPr>
        <w:t>ramework;</w:t>
      </w:r>
    </w:p>
    <w:p w14:paraId="6C3BADC4" w14:textId="77777777" w:rsidR="00284A40" w:rsidRPr="00C314F5" w:rsidRDefault="00284A40" w:rsidP="000001B9">
      <w:pPr>
        <w:pStyle w:val="Para11"/>
        <w:suppressLineNumbers/>
        <w:suppressAutoHyphens/>
        <w:ind w:firstLine="720"/>
        <w:jc w:val="both"/>
        <w:rPr>
          <w:kern w:val="22"/>
          <w:sz w:val="22"/>
        </w:rPr>
      </w:pPr>
      <w:r w:rsidRPr="00C314F5">
        <w:rPr>
          <w:kern w:val="22"/>
          <w:sz w:val="22"/>
        </w:rPr>
        <w:t>(c)</w:t>
      </w:r>
      <w:r w:rsidRPr="00C314F5">
        <w:rPr>
          <w:kern w:val="22"/>
          <w:sz w:val="22"/>
        </w:rPr>
        <w:tab/>
        <w:t>To collaborate with all relevant actors and stakeholders in order to promote the mainstreaming of the sustainable use of biodiversity, in particular that of wild species, into all relevant sectors;</w:t>
      </w:r>
    </w:p>
    <w:p w14:paraId="48863735" w14:textId="77777777" w:rsidR="00284A40" w:rsidRPr="00C314F5" w:rsidRDefault="00284A40" w:rsidP="000001B9">
      <w:pPr>
        <w:pStyle w:val="Para11"/>
        <w:suppressLineNumbers/>
        <w:suppressAutoHyphens/>
        <w:ind w:firstLine="720"/>
        <w:jc w:val="both"/>
        <w:rPr>
          <w:kern w:val="22"/>
          <w:sz w:val="22"/>
        </w:rPr>
      </w:pPr>
      <w:r w:rsidRPr="00C314F5">
        <w:rPr>
          <w:kern w:val="22"/>
          <w:sz w:val="22"/>
        </w:rPr>
        <w:t>(d)</w:t>
      </w:r>
      <w:r w:rsidRPr="00C314F5">
        <w:rPr>
          <w:kern w:val="22"/>
          <w:sz w:val="22"/>
        </w:rPr>
        <w:tab/>
        <w:t>To further collaborate and enhance synergies in the field of sustainable use of wildlife with the Convention on International Trade in Endangered Species of Wild Fauna and Flora, the Food and Agriculture Organization of the United Nations, the Convention on the Conservation of Migratory Species of Wild Animals</w:t>
      </w:r>
      <w:r>
        <w:rPr>
          <w:kern w:val="22"/>
          <w:sz w:val="22"/>
        </w:rPr>
        <w:t>,</w:t>
      </w:r>
      <w:r w:rsidRPr="00C314F5">
        <w:rPr>
          <w:kern w:val="22"/>
          <w:sz w:val="22"/>
        </w:rPr>
        <w:t xml:space="preserve"> and other relevant multilateral environmental agreements;</w:t>
      </w:r>
    </w:p>
    <w:p w14:paraId="6000C198" w14:textId="77777777" w:rsidR="00284A40" w:rsidRPr="00C75B16" w:rsidRDefault="00284A40" w:rsidP="00C75B16">
      <w:pPr>
        <w:pStyle w:val="Para11"/>
        <w:suppressLineNumbers/>
        <w:suppressAutoHyphens/>
        <w:ind w:firstLine="720"/>
        <w:jc w:val="both"/>
        <w:rPr>
          <w:kern w:val="22"/>
          <w:sz w:val="22"/>
        </w:rPr>
      </w:pPr>
      <w:r w:rsidRPr="00C314F5">
        <w:rPr>
          <w:iCs/>
          <w:kern w:val="22"/>
          <w:sz w:val="22"/>
        </w:rPr>
        <w:t>(e)</w:t>
      </w:r>
      <w:r w:rsidRPr="00C314F5">
        <w:rPr>
          <w:iCs/>
          <w:kern w:val="22"/>
          <w:sz w:val="22"/>
        </w:rPr>
        <w:tab/>
      </w:r>
      <w:r w:rsidRPr="00C314F5">
        <w:rPr>
          <w:kern w:val="22"/>
          <w:sz w:val="22"/>
        </w:rPr>
        <w:t>To report on the progress of the activities listed above and formulate recommendations for the future work of the Convention on the issues surrounding sustainable wildlife management for consideration by the Subsidiary Body on Scientific, Technical and Technological Advice at a meeting to be held before the sixteenth meeting of the Conference of the Parties.</w:t>
      </w:r>
    </w:p>
    <w:p w14:paraId="729F6D94" w14:textId="77777777" w:rsidR="000062FB" w:rsidRDefault="000062FB" w:rsidP="00DD51F0">
      <w:pPr>
        <w:jc w:val="center"/>
        <w:sectPr w:rsidR="000062FB" w:rsidSect="00441700">
          <w:footnotePr>
            <w:numRestart w:val="eachSect"/>
          </w:footnotePr>
          <w:pgSz w:w="12240" w:h="15840"/>
          <w:pgMar w:top="567" w:right="1440" w:bottom="1134" w:left="1440" w:header="709" w:footer="709" w:gutter="0"/>
          <w:cols w:space="708"/>
          <w:docGrid w:linePitch="360"/>
        </w:sectPr>
      </w:pPr>
    </w:p>
    <w:p w14:paraId="13059B20" w14:textId="77777777" w:rsidR="000062FB" w:rsidRDefault="000062FB" w:rsidP="00966D25">
      <w:pPr>
        <w:pStyle w:val="decision"/>
        <w:rPr>
          <w:caps/>
        </w:rPr>
      </w:pPr>
      <w:bookmarkStart w:id="286" w:name="_Toc150438822"/>
      <w:bookmarkStart w:id="287" w:name="_Toc150670522"/>
      <w:bookmarkStart w:id="288" w:name="_Toc150670632"/>
      <w:bookmarkStart w:id="289" w:name="_Toc150761134"/>
      <w:r>
        <w:t>15/24.</w:t>
      </w:r>
      <w:r>
        <w:tab/>
        <w:t>Conservation and sustainable use of marine and coastal biodiversity</w:t>
      </w:r>
      <w:bookmarkEnd w:id="286"/>
      <w:bookmarkEnd w:id="287"/>
      <w:bookmarkEnd w:id="288"/>
      <w:bookmarkEnd w:id="289"/>
      <w:r w:rsidRPr="00105372">
        <w:rPr>
          <w:caps/>
        </w:rPr>
        <w:t xml:space="preserve"> </w:t>
      </w:r>
    </w:p>
    <w:p w14:paraId="591CD8BD" w14:textId="77777777" w:rsidR="000062FB" w:rsidRPr="00061112" w:rsidRDefault="000062FB" w:rsidP="00E35506">
      <w:pPr>
        <w:pStyle w:val="Para1"/>
        <w:numPr>
          <w:ilvl w:val="0"/>
          <w:numId w:val="0"/>
        </w:numPr>
        <w:suppressLineNumbers/>
        <w:suppressAutoHyphens/>
        <w:kinsoku w:val="0"/>
        <w:ind w:firstLine="720"/>
      </w:pPr>
      <w:r>
        <w:rPr>
          <w:i/>
          <w:iCs/>
        </w:rPr>
        <w:t>The Conference of the Parties</w:t>
      </w:r>
      <w:r w:rsidRPr="00061112">
        <w:rPr>
          <w:i/>
          <w:snapToGrid/>
        </w:rPr>
        <w:t>,</w:t>
      </w:r>
    </w:p>
    <w:p w14:paraId="42B3BAC1" w14:textId="77777777" w:rsidR="000062FB" w:rsidRPr="00061112" w:rsidRDefault="000062FB" w:rsidP="00E35506">
      <w:pPr>
        <w:suppressLineNumbers/>
        <w:suppressAutoHyphens/>
        <w:kinsoku w:val="0"/>
        <w:overflowPunct w:val="0"/>
        <w:autoSpaceDE w:val="0"/>
        <w:autoSpaceDN w:val="0"/>
        <w:spacing w:before="120" w:after="120"/>
        <w:ind w:firstLine="720"/>
        <w:rPr>
          <w:szCs w:val="22"/>
        </w:rPr>
      </w:pPr>
      <w:r w:rsidRPr="00775306">
        <w:rPr>
          <w:i/>
          <w:szCs w:val="22"/>
        </w:rPr>
        <w:t>Recalling</w:t>
      </w:r>
      <w:r w:rsidRPr="00775306">
        <w:rPr>
          <w:szCs w:val="22"/>
        </w:rPr>
        <w:t xml:space="preserve"> its decisions IX/20, X/29, XI/18, XII/23, XIII/9, </w:t>
      </w:r>
      <w:r>
        <w:rPr>
          <w:szCs w:val="22"/>
        </w:rPr>
        <w:t xml:space="preserve">XIII/10, </w:t>
      </w:r>
      <w:r w:rsidRPr="00775306">
        <w:rPr>
          <w:szCs w:val="22"/>
        </w:rPr>
        <w:t>XIII/11, XIII/12</w:t>
      </w:r>
      <w:r>
        <w:rPr>
          <w:szCs w:val="22"/>
        </w:rPr>
        <w:t>, 14/8, 14/10</w:t>
      </w:r>
      <w:r w:rsidRPr="00775306">
        <w:rPr>
          <w:szCs w:val="22"/>
        </w:rPr>
        <w:t xml:space="preserve"> and 14/30 with respect to cooperation and collaboration with relevant global and regional organizations and initiatives,</w:t>
      </w:r>
      <w:r>
        <w:rPr>
          <w:szCs w:val="22"/>
        </w:rPr>
        <w:t xml:space="preserve"> </w:t>
      </w:r>
    </w:p>
    <w:p w14:paraId="04104DC4" w14:textId="77777777" w:rsidR="000062FB" w:rsidRPr="00134236" w:rsidRDefault="000062FB" w:rsidP="00134236">
      <w:pPr>
        <w:suppressLineNumbers/>
        <w:suppressAutoHyphens/>
        <w:kinsoku w:val="0"/>
        <w:overflowPunct w:val="0"/>
        <w:autoSpaceDE w:val="0"/>
        <w:autoSpaceDN w:val="0"/>
        <w:spacing w:before="120" w:after="120"/>
        <w:ind w:firstLine="720"/>
        <w:rPr>
          <w:szCs w:val="22"/>
        </w:rPr>
      </w:pPr>
      <w:r w:rsidRPr="00061112">
        <w:rPr>
          <w:i/>
          <w:szCs w:val="22"/>
        </w:rPr>
        <w:t>Recognizing</w:t>
      </w:r>
      <w:r w:rsidRPr="00061112">
        <w:rPr>
          <w:szCs w:val="22"/>
        </w:rPr>
        <w:t xml:space="preserve"> the need to strengthen </w:t>
      </w:r>
      <w:r>
        <w:rPr>
          <w:szCs w:val="22"/>
        </w:rPr>
        <w:t xml:space="preserve">cooperation and </w:t>
      </w:r>
      <w:r w:rsidRPr="00061112">
        <w:rPr>
          <w:szCs w:val="22"/>
        </w:rPr>
        <w:t xml:space="preserve">collaboration with </w:t>
      </w:r>
      <w:r w:rsidRPr="00370EFC">
        <w:t xml:space="preserve">competent intergovernmental </w:t>
      </w:r>
      <w:r w:rsidRPr="004D17AD">
        <w:t xml:space="preserve">organizations, </w:t>
      </w:r>
      <w:r w:rsidRPr="00554D43">
        <w:t xml:space="preserve">including organizations with competence </w:t>
      </w:r>
      <w:r w:rsidRPr="00554D43">
        <w:rPr>
          <w:szCs w:val="22"/>
        </w:rPr>
        <w:t>in</w:t>
      </w:r>
      <w:r w:rsidRPr="00554D43">
        <w:t xml:space="preserve"> areas beyond national jurisdiction</w:t>
      </w:r>
      <w:r>
        <w:t>,</w:t>
      </w:r>
      <w:r w:rsidRPr="004D17AD">
        <w:t xml:space="preserve"> in support of the conservation and sustainable use of marine and coastal biodiversity, applying</w:t>
      </w:r>
      <w:r w:rsidRPr="00370EFC">
        <w:t xml:space="preserve"> the ecosystem approach and the </w:t>
      </w:r>
      <w:r w:rsidRPr="0002608C">
        <w:t xml:space="preserve">precautionary </w:t>
      </w:r>
      <w:r w:rsidRPr="00554D43">
        <w:rPr>
          <w:szCs w:val="22"/>
        </w:rPr>
        <w:t>approach</w:t>
      </w:r>
      <w:r>
        <w:rPr>
          <w:szCs w:val="22"/>
        </w:rPr>
        <w:t>,</w:t>
      </w:r>
      <w:r w:rsidRPr="00610646">
        <w:rPr>
          <w:rStyle w:val="FootnoteReference"/>
        </w:rPr>
        <w:footnoteReference w:id="321"/>
      </w:r>
      <w:r w:rsidRPr="0002608C">
        <w:t xml:space="preserve"> and using the best available science and traditional</w:t>
      </w:r>
      <w:r>
        <w:t xml:space="preserve"> knowledge of indigenous peoples and local communities</w:t>
      </w:r>
      <w:r>
        <w:rPr>
          <w:szCs w:val="22"/>
        </w:rPr>
        <w:t>, with their free, prior and informed consent,</w:t>
      </w:r>
      <w:r w:rsidRPr="00610646">
        <w:rPr>
          <w:rStyle w:val="FootnoteReference"/>
        </w:rPr>
        <w:footnoteReference w:id="322"/>
      </w:r>
      <w:r>
        <w:rPr>
          <w:szCs w:val="22"/>
        </w:rPr>
        <w:t xml:space="preserve"> within the jurisdictional scope of the Convention and </w:t>
      </w:r>
      <w:r w:rsidRPr="00AC6592">
        <w:rPr>
          <w:szCs w:val="22"/>
        </w:rPr>
        <w:t>its Protocols,</w:t>
      </w:r>
    </w:p>
    <w:p w14:paraId="00840EE8" w14:textId="77777777" w:rsidR="000062FB" w:rsidRPr="00044963" w:rsidRDefault="000062FB" w:rsidP="00E35506">
      <w:pPr>
        <w:pStyle w:val="paragraph"/>
        <w:spacing w:before="120" w:beforeAutospacing="0" w:after="120" w:afterAutospacing="0"/>
        <w:ind w:firstLine="720"/>
        <w:jc w:val="both"/>
        <w:textAlignment w:val="baseline"/>
        <w:rPr>
          <w:rFonts w:eastAsiaTheme="majorEastAsia"/>
          <w:szCs w:val="22"/>
        </w:rPr>
      </w:pPr>
      <w:r w:rsidRPr="006841D1">
        <w:rPr>
          <w:rFonts w:eastAsiaTheme="majorEastAsia"/>
          <w:i/>
          <w:iCs/>
          <w:sz w:val="22"/>
          <w:szCs w:val="22"/>
        </w:rPr>
        <w:t>A</w:t>
      </w:r>
      <w:r w:rsidRPr="007E671C">
        <w:rPr>
          <w:rFonts w:eastAsiaTheme="majorEastAsia"/>
          <w:i/>
          <w:iCs/>
          <w:sz w:val="22"/>
          <w:szCs w:val="22"/>
        </w:rPr>
        <w:t>cknowledging</w:t>
      </w:r>
      <w:r w:rsidRPr="00E353D1">
        <w:rPr>
          <w:rFonts w:eastAsiaTheme="majorEastAsia"/>
          <w:sz w:val="22"/>
        </w:rPr>
        <w:t xml:space="preserve"> the importance of </w:t>
      </w:r>
      <w:r w:rsidRPr="00044963">
        <w:rPr>
          <w:rFonts w:eastAsiaTheme="majorEastAsia"/>
          <w:sz w:val="22"/>
          <w:szCs w:val="22"/>
        </w:rPr>
        <w:t xml:space="preserve">science for decision-making and </w:t>
      </w:r>
      <w:r w:rsidRPr="006D53FB">
        <w:rPr>
          <w:rFonts w:eastAsiaTheme="majorEastAsia"/>
          <w:iCs/>
          <w:sz w:val="22"/>
        </w:rPr>
        <w:t>welcoming</w:t>
      </w:r>
      <w:r w:rsidRPr="00044963">
        <w:rPr>
          <w:rFonts w:eastAsiaTheme="majorEastAsia"/>
          <w:sz w:val="22"/>
          <w:szCs w:val="22"/>
        </w:rPr>
        <w:t xml:space="preserve"> the work under the U</w:t>
      </w:r>
      <w:r>
        <w:rPr>
          <w:rFonts w:eastAsiaTheme="majorEastAsia"/>
          <w:sz w:val="22"/>
          <w:szCs w:val="22"/>
        </w:rPr>
        <w:t>nited Nations</w:t>
      </w:r>
      <w:r w:rsidRPr="00044963">
        <w:rPr>
          <w:rFonts w:eastAsiaTheme="majorEastAsia"/>
          <w:sz w:val="22"/>
          <w:szCs w:val="22"/>
        </w:rPr>
        <w:t xml:space="preserve"> Decade of Ocean Science for </w:t>
      </w:r>
      <w:r>
        <w:rPr>
          <w:rFonts w:eastAsiaTheme="majorEastAsia"/>
          <w:sz w:val="22"/>
          <w:szCs w:val="22"/>
        </w:rPr>
        <w:t>Sustainable Development and the United Nations Decade on Ecosystem Restoration,</w:t>
      </w:r>
    </w:p>
    <w:p w14:paraId="653C7E52" w14:textId="77777777" w:rsidR="000062FB" w:rsidRPr="001A1258" w:rsidRDefault="000062FB" w:rsidP="00E35506">
      <w:pPr>
        <w:suppressLineNumbers/>
        <w:suppressAutoHyphens/>
        <w:kinsoku w:val="0"/>
        <w:overflowPunct w:val="0"/>
        <w:autoSpaceDE w:val="0"/>
        <w:autoSpaceDN w:val="0"/>
        <w:spacing w:before="120" w:after="120"/>
        <w:ind w:firstLine="720"/>
        <w:rPr>
          <w:szCs w:val="22"/>
        </w:rPr>
      </w:pPr>
      <w:r w:rsidRPr="00775306">
        <w:rPr>
          <w:i/>
          <w:szCs w:val="22"/>
        </w:rPr>
        <w:t>Recognizing</w:t>
      </w:r>
      <w:r w:rsidRPr="00775306">
        <w:rPr>
          <w:szCs w:val="22"/>
        </w:rPr>
        <w:t xml:space="preserve"> the importance of marine and coastal biodiversity as</w:t>
      </w:r>
      <w:r>
        <w:rPr>
          <w:szCs w:val="22"/>
        </w:rPr>
        <w:t xml:space="preserve"> one of the key cross-cutting</w:t>
      </w:r>
      <w:r w:rsidRPr="00775306">
        <w:rPr>
          <w:szCs w:val="22"/>
        </w:rPr>
        <w:t xml:space="preserve"> element</w:t>
      </w:r>
      <w:r>
        <w:rPr>
          <w:szCs w:val="22"/>
        </w:rPr>
        <w:t xml:space="preserve">s </w:t>
      </w:r>
      <w:r w:rsidRPr="00775306">
        <w:rPr>
          <w:szCs w:val="22"/>
        </w:rPr>
        <w:t xml:space="preserve">of the </w:t>
      </w:r>
      <w:r>
        <w:rPr>
          <w:szCs w:val="22"/>
        </w:rPr>
        <w:t>Kunming-Montreal</w:t>
      </w:r>
      <w:r w:rsidRPr="00775306">
        <w:rPr>
          <w:szCs w:val="22"/>
        </w:rPr>
        <w:t xml:space="preserve"> </w:t>
      </w:r>
      <w:r>
        <w:rPr>
          <w:szCs w:val="22"/>
        </w:rPr>
        <w:t>G</w:t>
      </w:r>
      <w:r w:rsidRPr="00775306">
        <w:rPr>
          <w:szCs w:val="22"/>
        </w:rPr>
        <w:t xml:space="preserve">lobal </w:t>
      </w:r>
      <w:r>
        <w:rPr>
          <w:szCs w:val="22"/>
        </w:rPr>
        <w:t>B</w:t>
      </w:r>
      <w:r w:rsidRPr="00775306">
        <w:rPr>
          <w:szCs w:val="22"/>
        </w:rPr>
        <w:t xml:space="preserve">iodiversity </w:t>
      </w:r>
      <w:r w:rsidRPr="0019513A">
        <w:rPr>
          <w:szCs w:val="22"/>
        </w:rPr>
        <w:t xml:space="preserve">Framework and </w:t>
      </w:r>
      <w:r w:rsidRPr="006D53FB">
        <w:rPr>
          <w:szCs w:val="22"/>
        </w:rPr>
        <w:t xml:space="preserve">as </w:t>
      </w:r>
      <w:r w:rsidRPr="0019513A">
        <w:rPr>
          <w:szCs w:val="22"/>
        </w:rPr>
        <w:t>critical to achieving</w:t>
      </w:r>
      <w:r w:rsidRPr="00775306">
        <w:rPr>
          <w:szCs w:val="22"/>
        </w:rPr>
        <w:t xml:space="preserve"> </w:t>
      </w:r>
      <w:r w:rsidRPr="00A63BCA">
        <w:rPr>
          <w:szCs w:val="22"/>
        </w:rPr>
        <w:t xml:space="preserve">the 2050 Vision for </w:t>
      </w:r>
      <w:r>
        <w:rPr>
          <w:szCs w:val="22"/>
        </w:rPr>
        <w:t>b</w:t>
      </w:r>
      <w:r w:rsidRPr="00A63BCA">
        <w:rPr>
          <w:szCs w:val="22"/>
        </w:rPr>
        <w:t>iodiversity,</w:t>
      </w:r>
    </w:p>
    <w:p w14:paraId="5CC6F7CA" w14:textId="77777777" w:rsidR="000062FB" w:rsidRPr="00061112" w:rsidRDefault="000062FB" w:rsidP="00E35506">
      <w:pPr>
        <w:suppressLineNumbers/>
        <w:suppressAutoHyphens/>
        <w:kinsoku w:val="0"/>
        <w:overflowPunct w:val="0"/>
        <w:autoSpaceDE w:val="0"/>
        <w:autoSpaceDN w:val="0"/>
        <w:spacing w:before="120" w:after="120"/>
        <w:ind w:firstLine="720"/>
        <w:rPr>
          <w:snapToGrid w:val="0"/>
          <w:kern w:val="22"/>
          <w:szCs w:val="22"/>
        </w:rPr>
      </w:pPr>
      <w:r w:rsidRPr="002E404D">
        <w:rPr>
          <w:iCs/>
          <w:snapToGrid w:val="0"/>
          <w:kern w:val="22"/>
          <w:szCs w:val="22"/>
        </w:rPr>
        <w:t>1.</w:t>
      </w:r>
      <w:r w:rsidRPr="002E404D">
        <w:rPr>
          <w:iCs/>
          <w:snapToGrid w:val="0"/>
          <w:kern w:val="22"/>
          <w:szCs w:val="22"/>
        </w:rPr>
        <w:tab/>
      </w:r>
      <w:r w:rsidRPr="00061112">
        <w:rPr>
          <w:i/>
          <w:snapToGrid w:val="0"/>
          <w:kern w:val="22"/>
          <w:szCs w:val="22"/>
        </w:rPr>
        <w:t xml:space="preserve">Welcomes </w:t>
      </w:r>
      <w:r w:rsidRPr="00061112">
        <w:rPr>
          <w:snapToGrid w:val="0"/>
          <w:kern w:val="22"/>
          <w:szCs w:val="22"/>
        </w:rPr>
        <w:t>the work of the Executive Secretary on the compilation and synthesis of information on:</w:t>
      </w:r>
    </w:p>
    <w:p w14:paraId="581CEA2E" w14:textId="77777777" w:rsidR="000062FB" w:rsidRPr="00061112" w:rsidRDefault="000062FB" w:rsidP="00E35506">
      <w:pPr>
        <w:suppressLineNumbers/>
        <w:suppressAutoHyphens/>
        <w:kinsoku w:val="0"/>
        <w:overflowPunct w:val="0"/>
        <w:autoSpaceDE w:val="0"/>
        <w:autoSpaceDN w:val="0"/>
        <w:spacing w:before="120" w:after="120"/>
        <w:ind w:firstLine="720"/>
        <w:rPr>
          <w:snapToGrid w:val="0"/>
          <w:kern w:val="22"/>
          <w:szCs w:val="22"/>
        </w:rPr>
      </w:pPr>
      <w:r w:rsidRPr="00061112">
        <w:rPr>
          <w:snapToGrid w:val="0"/>
          <w:kern w:val="22"/>
          <w:szCs w:val="22"/>
        </w:rPr>
        <w:t>(a)</w:t>
      </w:r>
      <w:r w:rsidRPr="00061112">
        <w:rPr>
          <w:snapToGrid w:val="0"/>
          <w:kern w:val="22"/>
          <w:szCs w:val="22"/>
        </w:rPr>
        <w:tab/>
        <w:t>Impacts of anthropogenic underwater noise on marine and coastal biodiversity and means to minimize and mitigate these impacts;</w:t>
      </w:r>
    </w:p>
    <w:p w14:paraId="6850D2D5" w14:textId="77777777" w:rsidR="000062FB" w:rsidRPr="00061112" w:rsidRDefault="000062FB" w:rsidP="00E35506">
      <w:pPr>
        <w:suppressLineNumbers/>
        <w:suppressAutoHyphens/>
        <w:kinsoku w:val="0"/>
        <w:overflowPunct w:val="0"/>
        <w:autoSpaceDE w:val="0"/>
        <w:autoSpaceDN w:val="0"/>
        <w:spacing w:before="120" w:after="120"/>
        <w:ind w:firstLine="720"/>
        <w:rPr>
          <w:snapToGrid w:val="0"/>
          <w:kern w:val="22"/>
          <w:szCs w:val="22"/>
        </w:rPr>
      </w:pPr>
      <w:r w:rsidRPr="00061112">
        <w:rPr>
          <w:snapToGrid w:val="0"/>
          <w:kern w:val="22"/>
          <w:szCs w:val="22"/>
        </w:rPr>
        <w:t>(b)</w:t>
      </w:r>
      <w:r w:rsidRPr="00061112">
        <w:rPr>
          <w:snapToGrid w:val="0"/>
          <w:kern w:val="22"/>
          <w:szCs w:val="22"/>
        </w:rPr>
        <w:tab/>
        <w:t>Impacts of marine debris on marine and coastal biodiversity and habitats</w:t>
      </w:r>
      <w:r>
        <w:rPr>
          <w:snapToGrid w:val="0"/>
          <w:kern w:val="22"/>
          <w:szCs w:val="22"/>
        </w:rPr>
        <w:t>,</w:t>
      </w:r>
      <w:r w:rsidRPr="00061112">
        <w:rPr>
          <w:snapToGrid w:val="0"/>
          <w:kern w:val="22"/>
          <w:szCs w:val="22"/>
        </w:rPr>
        <w:t xml:space="preserve"> and means to minimize and mitigate these impacts;</w:t>
      </w:r>
    </w:p>
    <w:p w14:paraId="7FB51356" w14:textId="77777777" w:rsidR="000062FB" w:rsidRPr="00061112" w:rsidRDefault="000062FB" w:rsidP="00E35506">
      <w:pPr>
        <w:suppressLineNumbers/>
        <w:suppressAutoHyphens/>
        <w:kinsoku w:val="0"/>
        <w:overflowPunct w:val="0"/>
        <w:autoSpaceDE w:val="0"/>
        <w:autoSpaceDN w:val="0"/>
        <w:spacing w:before="120" w:after="120"/>
        <w:ind w:firstLine="720"/>
        <w:rPr>
          <w:snapToGrid w:val="0"/>
          <w:kern w:val="22"/>
          <w:szCs w:val="22"/>
        </w:rPr>
      </w:pPr>
      <w:r w:rsidRPr="00061112">
        <w:rPr>
          <w:snapToGrid w:val="0"/>
          <w:kern w:val="22"/>
          <w:szCs w:val="22"/>
        </w:rPr>
        <w:t>(c)</w:t>
      </w:r>
      <w:r w:rsidRPr="00061112">
        <w:rPr>
          <w:snapToGrid w:val="0"/>
          <w:kern w:val="22"/>
          <w:szCs w:val="22"/>
        </w:rPr>
        <w:tab/>
        <w:t>Experiences with the application of marine spatial planning;</w:t>
      </w:r>
    </w:p>
    <w:p w14:paraId="60B3C1E7" w14:textId="77777777" w:rsidR="000062FB" w:rsidRPr="00061112" w:rsidRDefault="000062FB" w:rsidP="00E35506">
      <w:pPr>
        <w:suppressLineNumbers/>
        <w:suppressAutoHyphens/>
        <w:kinsoku w:val="0"/>
        <w:overflowPunct w:val="0"/>
        <w:autoSpaceDE w:val="0"/>
        <w:autoSpaceDN w:val="0"/>
        <w:spacing w:before="120" w:after="120"/>
        <w:ind w:firstLine="720"/>
        <w:rPr>
          <w:snapToGrid w:val="0"/>
          <w:kern w:val="22"/>
          <w:szCs w:val="22"/>
        </w:rPr>
      </w:pPr>
      <w:r w:rsidRPr="00061112">
        <w:rPr>
          <w:snapToGrid w:val="0"/>
          <w:kern w:val="22"/>
          <w:szCs w:val="22"/>
        </w:rPr>
        <w:t>(d)</w:t>
      </w:r>
      <w:r w:rsidRPr="00061112">
        <w:rPr>
          <w:snapToGrid w:val="0"/>
          <w:kern w:val="22"/>
          <w:szCs w:val="22"/>
        </w:rPr>
        <w:tab/>
        <w:t>Efforts to implement the Priority Actions to Achieve Aichi Biodiversity Target 10 for Coral Reefs and Closely Associated Ecosystems;</w:t>
      </w:r>
      <w:r w:rsidRPr="00610646">
        <w:rPr>
          <w:rStyle w:val="FootnoteReference"/>
        </w:rPr>
        <w:footnoteReference w:id="323"/>
      </w:r>
    </w:p>
    <w:p w14:paraId="6B2297E7" w14:textId="77777777" w:rsidR="000062FB" w:rsidRDefault="000062FB" w:rsidP="00F70FE8">
      <w:pPr>
        <w:suppressLineNumbers/>
        <w:suppressAutoHyphens/>
        <w:kinsoku w:val="0"/>
        <w:overflowPunct w:val="0"/>
        <w:autoSpaceDE w:val="0"/>
        <w:autoSpaceDN w:val="0"/>
        <w:spacing w:before="120" w:after="120"/>
        <w:ind w:firstLine="720"/>
        <w:rPr>
          <w:snapToGrid w:val="0"/>
          <w:kern w:val="22"/>
          <w:szCs w:val="22"/>
        </w:rPr>
      </w:pPr>
      <w:r w:rsidRPr="00061112">
        <w:rPr>
          <w:snapToGrid w:val="0"/>
          <w:kern w:val="22"/>
          <w:szCs w:val="22"/>
        </w:rPr>
        <w:t>(e)</w:t>
      </w:r>
      <w:r w:rsidRPr="00061112">
        <w:rPr>
          <w:snapToGrid w:val="0"/>
          <w:kern w:val="22"/>
          <w:szCs w:val="22"/>
        </w:rPr>
        <w:tab/>
        <w:t>Efforts to implement the Voluntary Specific Workplan on Biodiversity in Cold-water Areas within the Jurisdictional Scope of the Convention</w:t>
      </w:r>
      <w:r>
        <w:rPr>
          <w:snapToGrid w:val="0"/>
          <w:kern w:val="22"/>
          <w:szCs w:val="22"/>
        </w:rPr>
        <w:t>.</w:t>
      </w:r>
      <w:r w:rsidRPr="00610646">
        <w:rPr>
          <w:rStyle w:val="FootnoteReference"/>
        </w:rPr>
        <w:footnoteReference w:id="324"/>
      </w:r>
    </w:p>
    <w:p w14:paraId="292A62B8" w14:textId="77777777" w:rsidR="000062FB" w:rsidRDefault="000062FB" w:rsidP="00290F00">
      <w:pPr>
        <w:suppressLineNumbers/>
        <w:suppressAutoHyphens/>
        <w:kinsoku w:val="0"/>
        <w:overflowPunct w:val="0"/>
        <w:autoSpaceDE w:val="0"/>
        <w:autoSpaceDN w:val="0"/>
        <w:spacing w:before="120" w:after="120"/>
        <w:ind w:firstLine="720"/>
        <w:rPr>
          <w:snapToGrid w:val="0"/>
          <w:kern w:val="22"/>
          <w:szCs w:val="22"/>
        </w:rPr>
      </w:pPr>
      <w:r>
        <w:rPr>
          <w:snapToGrid w:val="0"/>
          <w:kern w:val="22"/>
          <w:szCs w:val="22"/>
        </w:rPr>
        <w:t>2</w:t>
      </w:r>
      <w:r w:rsidRPr="00061112">
        <w:rPr>
          <w:snapToGrid w:val="0"/>
          <w:kern w:val="22"/>
          <w:szCs w:val="22"/>
        </w:rPr>
        <w:t>.</w:t>
      </w:r>
      <w:r w:rsidRPr="00061112">
        <w:rPr>
          <w:snapToGrid w:val="0"/>
          <w:kern w:val="22"/>
          <w:szCs w:val="22"/>
        </w:rPr>
        <w:tab/>
      </w:r>
      <w:r w:rsidRPr="00061112">
        <w:rPr>
          <w:i/>
          <w:iCs/>
          <w:snapToGrid w:val="0"/>
          <w:kern w:val="22"/>
          <w:szCs w:val="22"/>
        </w:rPr>
        <w:t>Encourages</w:t>
      </w:r>
      <w:r w:rsidRPr="00061112">
        <w:rPr>
          <w:snapToGrid w:val="0"/>
          <w:kern w:val="22"/>
          <w:szCs w:val="22"/>
        </w:rPr>
        <w:t xml:space="preserve"> Parties and </w:t>
      </w:r>
      <w:r w:rsidRPr="006D53FB">
        <w:rPr>
          <w:iCs/>
          <w:kern w:val="22"/>
        </w:rPr>
        <w:t>invites</w:t>
      </w:r>
      <w:r w:rsidRPr="00061112">
        <w:rPr>
          <w:snapToGrid w:val="0"/>
          <w:kern w:val="22"/>
          <w:szCs w:val="22"/>
        </w:rPr>
        <w:t xml:space="preserve"> other Governments</w:t>
      </w:r>
      <w:r>
        <w:rPr>
          <w:snapToGrid w:val="0"/>
          <w:kern w:val="22"/>
          <w:szCs w:val="22"/>
        </w:rPr>
        <w:t>, subnational governments</w:t>
      </w:r>
      <w:r w:rsidRPr="00061112">
        <w:rPr>
          <w:snapToGrid w:val="0"/>
          <w:kern w:val="22"/>
          <w:szCs w:val="22"/>
        </w:rPr>
        <w:t xml:space="preserve"> and relevant organizations to use the information referred to in paragraph </w:t>
      </w:r>
      <w:r>
        <w:rPr>
          <w:snapToGrid w:val="0"/>
          <w:kern w:val="22"/>
          <w:szCs w:val="22"/>
        </w:rPr>
        <w:t>1</w:t>
      </w:r>
      <w:r w:rsidRPr="00061112">
        <w:rPr>
          <w:snapToGrid w:val="0"/>
          <w:kern w:val="22"/>
          <w:szCs w:val="22"/>
        </w:rPr>
        <w:t xml:space="preserve"> above in their efforts to conserve and sustainably use marine and c</w:t>
      </w:r>
      <w:r w:rsidRPr="0002608C">
        <w:rPr>
          <w:snapToGrid w:val="0"/>
          <w:kern w:val="22"/>
          <w:szCs w:val="22"/>
        </w:rPr>
        <w:t>oastal biodiversity</w:t>
      </w:r>
      <w:r w:rsidRPr="007512C1">
        <w:rPr>
          <w:snapToGrid w:val="0"/>
          <w:kern w:val="22"/>
          <w:szCs w:val="22"/>
        </w:rPr>
        <w:t xml:space="preserve">, </w:t>
      </w:r>
      <w:r w:rsidRPr="00554D43">
        <w:rPr>
          <w:snapToGrid w:val="0"/>
          <w:kern w:val="22"/>
          <w:szCs w:val="22"/>
        </w:rPr>
        <w:t>taking into account national and subnational priorities and circumstances, where appropriate;</w:t>
      </w:r>
    </w:p>
    <w:p w14:paraId="5A19F29A" w14:textId="77777777" w:rsidR="000062FB" w:rsidRDefault="000062FB" w:rsidP="00E35506">
      <w:pPr>
        <w:suppressLineNumbers/>
        <w:suppressAutoHyphens/>
        <w:kinsoku w:val="0"/>
        <w:overflowPunct w:val="0"/>
        <w:autoSpaceDE w:val="0"/>
        <w:autoSpaceDN w:val="0"/>
        <w:spacing w:before="120" w:after="120"/>
        <w:ind w:firstLine="720"/>
        <w:rPr>
          <w:snapToGrid w:val="0"/>
          <w:kern w:val="22"/>
          <w:szCs w:val="22"/>
        </w:rPr>
      </w:pPr>
      <w:r>
        <w:rPr>
          <w:snapToGrid w:val="0"/>
          <w:kern w:val="22"/>
          <w:szCs w:val="22"/>
        </w:rPr>
        <w:t>3.</w:t>
      </w:r>
      <w:r>
        <w:rPr>
          <w:snapToGrid w:val="0"/>
          <w:kern w:val="22"/>
          <w:szCs w:val="22"/>
        </w:rPr>
        <w:tab/>
      </w:r>
      <w:r w:rsidRPr="006F109E">
        <w:rPr>
          <w:i/>
          <w:iCs/>
          <w:snapToGrid w:val="0"/>
          <w:kern w:val="22"/>
          <w:szCs w:val="22"/>
        </w:rPr>
        <w:t>Requests</w:t>
      </w:r>
      <w:r>
        <w:rPr>
          <w:snapToGrid w:val="0"/>
          <w:kern w:val="22"/>
          <w:szCs w:val="22"/>
        </w:rPr>
        <w:t xml:space="preserve"> the Executive Secretary to facilitate the compilation, synthesis and sharing of information and guidance on efforts to implement the Kunming-Montreal Global Biodiversity Framework with respect to various thematic issues related to marine and coastal biodiversity, in line with the decisions of the Conference of the Parties;</w:t>
      </w:r>
    </w:p>
    <w:p w14:paraId="307CDBE8" w14:textId="77777777" w:rsidR="000062FB" w:rsidRDefault="000062FB" w:rsidP="00E35506">
      <w:pPr>
        <w:suppressLineNumbers/>
        <w:suppressAutoHyphens/>
        <w:kinsoku w:val="0"/>
        <w:overflowPunct w:val="0"/>
        <w:autoSpaceDE w:val="0"/>
        <w:autoSpaceDN w:val="0"/>
        <w:spacing w:before="120" w:after="120"/>
        <w:ind w:firstLine="720"/>
        <w:rPr>
          <w:iCs/>
          <w:snapToGrid w:val="0"/>
          <w:kern w:val="22"/>
          <w:szCs w:val="22"/>
        </w:rPr>
      </w:pPr>
      <w:r>
        <w:rPr>
          <w:snapToGrid w:val="0"/>
          <w:kern w:val="22"/>
          <w:szCs w:val="22"/>
        </w:rPr>
        <w:t>4</w:t>
      </w:r>
      <w:r w:rsidRPr="00AC6592">
        <w:rPr>
          <w:snapToGrid w:val="0"/>
          <w:kern w:val="22"/>
          <w:szCs w:val="22"/>
        </w:rPr>
        <w:t>.</w:t>
      </w:r>
      <w:r w:rsidRPr="00AC6592">
        <w:rPr>
          <w:i/>
          <w:snapToGrid w:val="0"/>
          <w:kern w:val="22"/>
          <w:szCs w:val="22"/>
        </w:rPr>
        <w:tab/>
      </w:r>
      <w:r>
        <w:rPr>
          <w:i/>
          <w:snapToGrid w:val="0"/>
          <w:kern w:val="22"/>
          <w:szCs w:val="22"/>
        </w:rPr>
        <w:t>Welcomes</w:t>
      </w:r>
      <w:r w:rsidRPr="00E353D1">
        <w:rPr>
          <w:i/>
          <w:kern w:val="22"/>
        </w:rPr>
        <w:t xml:space="preserve"> </w:t>
      </w:r>
      <w:r w:rsidRPr="00AC6592">
        <w:rPr>
          <w:iCs/>
          <w:snapToGrid w:val="0"/>
          <w:kern w:val="22"/>
          <w:szCs w:val="22"/>
        </w:rPr>
        <w:t>the report of the Thematic Workshop on Marine and Coastal Biodiversity for the Post-2020 Global Biodiversity Framework,</w:t>
      </w:r>
      <w:r w:rsidRPr="00610646">
        <w:rPr>
          <w:rStyle w:val="FootnoteReference"/>
          <w:rFonts w:eastAsiaTheme="majorEastAsia"/>
        </w:rPr>
        <w:footnoteReference w:id="325"/>
      </w:r>
      <w:r w:rsidRPr="00AC6592">
        <w:rPr>
          <w:kern w:val="22"/>
          <w:szCs w:val="22"/>
          <w:vertAlign w:val="superscript"/>
        </w:rPr>
        <w:t xml:space="preserve"> </w:t>
      </w:r>
      <w:r>
        <w:rPr>
          <w:kern w:val="22"/>
          <w:szCs w:val="22"/>
        </w:rPr>
        <w:t>convened pursuant to decision 14/34 with financial support from the Government of the Republic of Korea and the Government of Sweden,</w:t>
      </w:r>
      <w:r w:rsidRPr="00370EFC" w:rsidDel="005E25BA">
        <w:rPr>
          <w:kern w:val="22"/>
        </w:rPr>
        <w:t xml:space="preserve"> </w:t>
      </w:r>
      <w:r>
        <w:rPr>
          <w:kern w:val="22"/>
          <w:szCs w:val="22"/>
        </w:rPr>
        <w:t>a</w:t>
      </w:r>
      <w:r w:rsidRPr="00AC6592">
        <w:rPr>
          <w:iCs/>
          <w:snapToGrid w:val="0"/>
          <w:kern w:val="22"/>
          <w:szCs w:val="22"/>
        </w:rPr>
        <w:t xml:space="preserve">nd </w:t>
      </w:r>
      <w:r w:rsidRPr="006D53FB">
        <w:rPr>
          <w:iCs/>
          <w:kern w:val="22"/>
        </w:rPr>
        <w:t>requests</w:t>
      </w:r>
      <w:r w:rsidRPr="00AC6592">
        <w:rPr>
          <w:iCs/>
          <w:snapToGrid w:val="0"/>
          <w:kern w:val="22"/>
          <w:szCs w:val="22"/>
        </w:rPr>
        <w:t xml:space="preserve"> the Executive Secretary </w:t>
      </w:r>
      <w:r w:rsidRPr="00370EFC">
        <w:t>to compile submissions from Parties, other Governments</w:t>
      </w:r>
      <w:r>
        <w:t>, subnational governments</w:t>
      </w:r>
      <w:r w:rsidRPr="00370EFC">
        <w:t xml:space="preserve"> and relevant </w:t>
      </w:r>
      <w:r>
        <w:t>organizations, to develop</w:t>
      </w:r>
      <w:r w:rsidRPr="00370EFC">
        <w:t xml:space="preserve"> </w:t>
      </w:r>
      <w:r w:rsidRPr="006173AD">
        <w:rPr>
          <w:iCs/>
          <w:snapToGrid w:val="0"/>
          <w:kern w:val="22"/>
          <w:szCs w:val="22"/>
        </w:rPr>
        <w:t>a strategic review and analysis</w:t>
      </w:r>
      <w:r w:rsidRPr="00AC6592">
        <w:rPr>
          <w:iCs/>
          <w:snapToGrid w:val="0"/>
          <w:kern w:val="22"/>
          <w:szCs w:val="22"/>
        </w:rPr>
        <w:t xml:space="preserve"> of</w:t>
      </w:r>
      <w:r w:rsidRPr="00061112">
        <w:rPr>
          <w:iCs/>
          <w:snapToGrid w:val="0"/>
          <w:kern w:val="22"/>
          <w:szCs w:val="22"/>
        </w:rPr>
        <w:t xml:space="preserve"> the programme of work on marine and coastal </w:t>
      </w:r>
      <w:r w:rsidRPr="00813543">
        <w:rPr>
          <w:iCs/>
          <w:snapToGrid w:val="0"/>
          <w:kern w:val="22"/>
          <w:szCs w:val="22"/>
        </w:rPr>
        <w:t>biodiversity in the context</w:t>
      </w:r>
      <w:r>
        <w:rPr>
          <w:iCs/>
          <w:snapToGrid w:val="0"/>
          <w:kern w:val="22"/>
          <w:szCs w:val="22"/>
        </w:rPr>
        <w:t xml:space="preserve"> of supporting</w:t>
      </w:r>
      <w:r w:rsidRPr="00813543">
        <w:rPr>
          <w:iCs/>
          <w:snapToGrid w:val="0"/>
          <w:kern w:val="22"/>
          <w:szCs w:val="22"/>
        </w:rPr>
        <w:t xml:space="preserve"> the</w:t>
      </w:r>
      <w:r w:rsidRPr="00061112">
        <w:rPr>
          <w:iCs/>
          <w:snapToGrid w:val="0"/>
          <w:kern w:val="22"/>
          <w:szCs w:val="22"/>
        </w:rPr>
        <w:t xml:space="preserve"> implementation of the </w:t>
      </w:r>
      <w:r>
        <w:rPr>
          <w:iCs/>
          <w:snapToGrid w:val="0"/>
          <w:kern w:val="22"/>
          <w:szCs w:val="22"/>
        </w:rPr>
        <w:t>Kunming-Montreal</w:t>
      </w:r>
      <w:r w:rsidRPr="00061112">
        <w:rPr>
          <w:iCs/>
          <w:snapToGrid w:val="0"/>
          <w:kern w:val="22"/>
          <w:szCs w:val="22"/>
        </w:rPr>
        <w:t xml:space="preserve"> </w:t>
      </w:r>
      <w:r>
        <w:rPr>
          <w:iCs/>
          <w:snapToGrid w:val="0"/>
          <w:kern w:val="22"/>
          <w:szCs w:val="22"/>
        </w:rPr>
        <w:t>G</w:t>
      </w:r>
      <w:r w:rsidRPr="00061112">
        <w:rPr>
          <w:iCs/>
          <w:snapToGrid w:val="0"/>
          <w:kern w:val="22"/>
          <w:szCs w:val="22"/>
        </w:rPr>
        <w:t xml:space="preserve">lobal </w:t>
      </w:r>
      <w:r>
        <w:rPr>
          <w:iCs/>
          <w:snapToGrid w:val="0"/>
          <w:kern w:val="22"/>
          <w:szCs w:val="22"/>
        </w:rPr>
        <w:t>B</w:t>
      </w:r>
      <w:r w:rsidRPr="00061112">
        <w:rPr>
          <w:iCs/>
          <w:snapToGrid w:val="0"/>
          <w:kern w:val="22"/>
          <w:szCs w:val="22"/>
        </w:rPr>
        <w:t xml:space="preserve">iodiversity </w:t>
      </w:r>
      <w:r>
        <w:rPr>
          <w:iCs/>
          <w:snapToGrid w:val="0"/>
          <w:kern w:val="22"/>
          <w:szCs w:val="22"/>
        </w:rPr>
        <w:t>F</w:t>
      </w:r>
      <w:r w:rsidRPr="00061112">
        <w:rPr>
          <w:iCs/>
          <w:snapToGrid w:val="0"/>
          <w:kern w:val="22"/>
          <w:szCs w:val="22"/>
        </w:rPr>
        <w:t>ramework</w:t>
      </w:r>
      <w:r>
        <w:rPr>
          <w:iCs/>
          <w:snapToGrid w:val="0"/>
          <w:kern w:val="22"/>
          <w:szCs w:val="22"/>
        </w:rPr>
        <w:t xml:space="preserve"> on the basis of these submissions</w:t>
      </w:r>
      <w:r w:rsidRPr="00061112">
        <w:rPr>
          <w:iCs/>
          <w:snapToGrid w:val="0"/>
          <w:kern w:val="22"/>
          <w:szCs w:val="22"/>
        </w:rPr>
        <w:t xml:space="preserve">, and </w:t>
      </w:r>
      <w:r>
        <w:rPr>
          <w:iCs/>
          <w:snapToGrid w:val="0"/>
          <w:kern w:val="22"/>
          <w:szCs w:val="22"/>
        </w:rPr>
        <w:t>to</w:t>
      </w:r>
      <w:r w:rsidRPr="00061112">
        <w:rPr>
          <w:iCs/>
          <w:snapToGrid w:val="0"/>
          <w:kern w:val="22"/>
          <w:szCs w:val="22"/>
        </w:rPr>
        <w:t xml:space="preserve"> </w:t>
      </w:r>
      <w:r>
        <w:rPr>
          <w:iCs/>
          <w:snapToGrid w:val="0"/>
          <w:kern w:val="22"/>
          <w:szCs w:val="22"/>
        </w:rPr>
        <w:t>prepare</w:t>
      </w:r>
      <w:r w:rsidRPr="00061112">
        <w:rPr>
          <w:iCs/>
          <w:snapToGrid w:val="0"/>
          <w:kern w:val="22"/>
          <w:szCs w:val="22"/>
        </w:rPr>
        <w:t xml:space="preserve"> a draft update </w:t>
      </w:r>
      <w:r w:rsidRPr="009928C0">
        <w:rPr>
          <w:iCs/>
          <w:snapToGrid w:val="0"/>
          <w:kern w:val="22"/>
          <w:szCs w:val="22"/>
        </w:rPr>
        <w:t>to</w:t>
      </w:r>
      <w:r w:rsidRPr="00061112">
        <w:rPr>
          <w:iCs/>
          <w:snapToGrid w:val="0"/>
          <w:kern w:val="22"/>
          <w:szCs w:val="22"/>
        </w:rPr>
        <w:t xml:space="preserve"> the programme of work on the basis of this </w:t>
      </w:r>
      <w:r>
        <w:rPr>
          <w:iCs/>
          <w:snapToGrid w:val="0"/>
          <w:kern w:val="22"/>
          <w:szCs w:val="22"/>
        </w:rPr>
        <w:t xml:space="preserve">strategic review and </w:t>
      </w:r>
      <w:r w:rsidRPr="00061112">
        <w:rPr>
          <w:iCs/>
          <w:snapToGrid w:val="0"/>
          <w:kern w:val="22"/>
          <w:szCs w:val="22"/>
        </w:rPr>
        <w:t xml:space="preserve">analysis, </w:t>
      </w:r>
      <w:r>
        <w:rPr>
          <w:iCs/>
          <w:snapToGrid w:val="0"/>
          <w:kern w:val="22"/>
          <w:szCs w:val="22"/>
        </w:rPr>
        <w:t xml:space="preserve">taking into account, where appropriate, </w:t>
      </w:r>
      <w:r w:rsidRPr="00061112">
        <w:rPr>
          <w:iCs/>
          <w:snapToGrid w:val="0"/>
          <w:kern w:val="22"/>
          <w:szCs w:val="22"/>
        </w:rPr>
        <w:t>the outcomes of the above-referenced workshop,</w:t>
      </w:r>
      <w:r>
        <w:rPr>
          <w:iCs/>
          <w:snapToGrid w:val="0"/>
          <w:kern w:val="22"/>
          <w:szCs w:val="22"/>
        </w:rPr>
        <w:t xml:space="preserve"> to be circulated for comments by Parties, other Governments and relevant organizations, and made available </w:t>
      </w:r>
      <w:r w:rsidRPr="00061112">
        <w:rPr>
          <w:iCs/>
          <w:snapToGrid w:val="0"/>
          <w:kern w:val="22"/>
          <w:szCs w:val="22"/>
        </w:rPr>
        <w:t>for consideration by the Subsidiary Body on Scientific, Technical and Technological Advice</w:t>
      </w:r>
      <w:r>
        <w:rPr>
          <w:iCs/>
          <w:snapToGrid w:val="0"/>
          <w:kern w:val="22"/>
          <w:szCs w:val="22"/>
        </w:rPr>
        <w:t xml:space="preserve"> prior to the sixteenth meeting of</w:t>
      </w:r>
      <w:r w:rsidRPr="00061112">
        <w:rPr>
          <w:iCs/>
          <w:snapToGrid w:val="0"/>
          <w:kern w:val="22"/>
          <w:szCs w:val="22"/>
        </w:rPr>
        <w:t xml:space="preserve"> the Conference of the Parties;</w:t>
      </w:r>
      <w:r>
        <w:rPr>
          <w:iCs/>
          <w:snapToGrid w:val="0"/>
          <w:kern w:val="22"/>
          <w:szCs w:val="22"/>
        </w:rPr>
        <w:t xml:space="preserve"> </w:t>
      </w:r>
    </w:p>
    <w:p w14:paraId="410D2494" w14:textId="77777777" w:rsidR="000062FB" w:rsidRDefault="000062FB" w:rsidP="00E35506">
      <w:pPr>
        <w:suppressLineNumbers/>
        <w:suppressAutoHyphens/>
        <w:kinsoku w:val="0"/>
        <w:overflowPunct w:val="0"/>
        <w:autoSpaceDE w:val="0"/>
        <w:autoSpaceDN w:val="0"/>
        <w:spacing w:before="120" w:after="120"/>
        <w:ind w:firstLine="720"/>
        <w:rPr>
          <w:iCs/>
          <w:snapToGrid w:val="0"/>
          <w:kern w:val="22"/>
          <w:szCs w:val="22"/>
        </w:rPr>
      </w:pPr>
      <w:r>
        <w:rPr>
          <w:iCs/>
          <w:snapToGrid w:val="0"/>
          <w:kern w:val="22"/>
          <w:szCs w:val="22"/>
        </w:rPr>
        <w:t>5.</w:t>
      </w:r>
      <w:r w:rsidRPr="00370EFC">
        <w:rPr>
          <w:i/>
          <w:kern w:val="22"/>
        </w:rPr>
        <w:tab/>
      </w:r>
      <w:r w:rsidRPr="001773FB">
        <w:rPr>
          <w:i/>
          <w:snapToGrid w:val="0"/>
          <w:kern w:val="22"/>
          <w:szCs w:val="22"/>
        </w:rPr>
        <w:t>Requests</w:t>
      </w:r>
      <w:r w:rsidRPr="001773FB">
        <w:rPr>
          <w:iCs/>
          <w:snapToGrid w:val="0"/>
          <w:kern w:val="22"/>
          <w:szCs w:val="22"/>
        </w:rPr>
        <w:t xml:space="preserve"> the Executive Secretary to </w:t>
      </w:r>
      <w:r w:rsidRPr="00044963">
        <w:rPr>
          <w:iCs/>
          <w:snapToGrid w:val="0"/>
          <w:kern w:val="22"/>
          <w:szCs w:val="22"/>
        </w:rPr>
        <w:t>compile submissions fr</w:t>
      </w:r>
      <w:r>
        <w:rPr>
          <w:iCs/>
          <w:snapToGrid w:val="0"/>
          <w:kern w:val="22"/>
          <w:szCs w:val="22"/>
        </w:rPr>
        <w:t>o</w:t>
      </w:r>
      <w:r w:rsidRPr="00044963">
        <w:rPr>
          <w:iCs/>
          <w:snapToGrid w:val="0"/>
          <w:kern w:val="22"/>
          <w:szCs w:val="22"/>
        </w:rPr>
        <w:t>m Parties</w:t>
      </w:r>
      <w:r>
        <w:rPr>
          <w:iCs/>
          <w:snapToGrid w:val="0"/>
          <w:kern w:val="22"/>
          <w:szCs w:val="22"/>
        </w:rPr>
        <w:t>, other Governments</w:t>
      </w:r>
      <w:r w:rsidRPr="00044963">
        <w:rPr>
          <w:iCs/>
          <w:snapToGrid w:val="0"/>
          <w:kern w:val="22"/>
          <w:szCs w:val="22"/>
        </w:rPr>
        <w:t xml:space="preserve"> and relevant </w:t>
      </w:r>
      <w:r>
        <w:rPr>
          <w:iCs/>
          <w:snapToGrid w:val="0"/>
          <w:kern w:val="22"/>
          <w:szCs w:val="22"/>
        </w:rPr>
        <w:t>organizations, to develop</w:t>
      </w:r>
      <w:r w:rsidRPr="00044963">
        <w:rPr>
          <w:iCs/>
          <w:snapToGrid w:val="0"/>
          <w:kern w:val="22"/>
          <w:szCs w:val="22"/>
        </w:rPr>
        <w:t xml:space="preserve"> </w:t>
      </w:r>
      <w:r w:rsidRPr="006173AD">
        <w:rPr>
          <w:iCs/>
          <w:snapToGrid w:val="0"/>
          <w:kern w:val="22"/>
          <w:szCs w:val="22"/>
        </w:rPr>
        <w:t>a strategic review and analysis</w:t>
      </w:r>
      <w:r w:rsidRPr="001773FB">
        <w:rPr>
          <w:iCs/>
          <w:snapToGrid w:val="0"/>
          <w:kern w:val="22"/>
          <w:szCs w:val="22"/>
        </w:rPr>
        <w:t xml:space="preserve"> of the programme of work on island biodiversity in the context of</w:t>
      </w:r>
      <w:r>
        <w:rPr>
          <w:iCs/>
          <w:snapToGrid w:val="0"/>
          <w:kern w:val="22"/>
          <w:szCs w:val="22"/>
        </w:rPr>
        <w:t xml:space="preserve"> supporting</w:t>
      </w:r>
      <w:r w:rsidRPr="001773FB">
        <w:rPr>
          <w:iCs/>
          <w:snapToGrid w:val="0"/>
          <w:kern w:val="22"/>
          <w:szCs w:val="22"/>
        </w:rPr>
        <w:t xml:space="preserve"> the implementation of the </w:t>
      </w:r>
      <w:r>
        <w:rPr>
          <w:iCs/>
          <w:snapToGrid w:val="0"/>
          <w:kern w:val="22"/>
          <w:szCs w:val="22"/>
        </w:rPr>
        <w:t>Kunming-Montreal</w:t>
      </w:r>
      <w:r w:rsidRPr="001773FB">
        <w:rPr>
          <w:iCs/>
          <w:snapToGrid w:val="0"/>
          <w:kern w:val="22"/>
          <w:szCs w:val="22"/>
        </w:rPr>
        <w:t xml:space="preserve"> </w:t>
      </w:r>
      <w:r>
        <w:rPr>
          <w:iCs/>
          <w:snapToGrid w:val="0"/>
          <w:kern w:val="22"/>
          <w:szCs w:val="22"/>
        </w:rPr>
        <w:t>G</w:t>
      </w:r>
      <w:r w:rsidRPr="001773FB">
        <w:rPr>
          <w:iCs/>
          <w:snapToGrid w:val="0"/>
          <w:kern w:val="22"/>
          <w:szCs w:val="22"/>
        </w:rPr>
        <w:t xml:space="preserve">lobal </w:t>
      </w:r>
      <w:r>
        <w:rPr>
          <w:iCs/>
          <w:snapToGrid w:val="0"/>
          <w:kern w:val="22"/>
          <w:szCs w:val="22"/>
        </w:rPr>
        <w:t>B</w:t>
      </w:r>
      <w:r w:rsidRPr="001773FB">
        <w:rPr>
          <w:iCs/>
          <w:snapToGrid w:val="0"/>
          <w:kern w:val="22"/>
          <w:szCs w:val="22"/>
        </w:rPr>
        <w:t xml:space="preserve">iodiversity </w:t>
      </w:r>
      <w:r>
        <w:rPr>
          <w:iCs/>
          <w:snapToGrid w:val="0"/>
          <w:kern w:val="22"/>
          <w:szCs w:val="22"/>
        </w:rPr>
        <w:t>F</w:t>
      </w:r>
      <w:r w:rsidRPr="001773FB">
        <w:rPr>
          <w:iCs/>
          <w:snapToGrid w:val="0"/>
          <w:kern w:val="22"/>
          <w:szCs w:val="22"/>
        </w:rPr>
        <w:t>ramework</w:t>
      </w:r>
      <w:r>
        <w:rPr>
          <w:iCs/>
          <w:snapToGrid w:val="0"/>
          <w:kern w:val="22"/>
          <w:szCs w:val="22"/>
        </w:rPr>
        <w:t xml:space="preserve"> on the basis of these submissions</w:t>
      </w:r>
      <w:r w:rsidRPr="001773FB">
        <w:rPr>
          <w:iCs/>
          <w:snapToGrid w:val="0"/>
          <w:kern w:val="22"/>
          <w:szCs w:val="22"/>
        </w:rPr>
        <w:t xml:space="preserve">, in collaboration with the Global Islands Partnership and building on other relevant efforts to review progress towards global commitments and goals for island biodiversity, and </w:t>
      </w:r>
      <w:r>
        <w:rPr>
          <w:iCs/>
          <w:snapToGrid w:val="0"/>
          <w:kern w:val="22"/>
          <w:szCs w:val="22"/>
        </w:rPr>
        <w:t xml:space="preserve">to </w:t>
      </w:r>
      <w:r w:rsidRPr="001773FB">
        <w:rPr>
          <w:iCs/>
          <w:snapToGrid w:val="0"/>
          <w:kern w:val="22"/>
          <w:szCs w:val="22"/>
        </w:rPr>
        <w:t xml:space="preserve">prepare a </w:t>
      </w:r>
      <w:r>
        <w:rPr>
          <w:iCs/>
          <w:snapToGrid w:val="0"/>
          <w:kern w:val="22"/>
          <w:szCs w:val="22"/>
        </w:rPr>
        <w:t xml:space="preserve">draft update to the programme of work on the </w:t>
      </w:r>
      <w:r w:rsidRPr="00061112">
        <w:rPr>
          <w:iCs/>
          <w:snapToGrid w:val="0"/>
          <w:kern w:val="22"/>
          <w:szCs w:val="22"/>
        </w:rPr>
        <w:t xml:space="preserve">basis of this </w:t>
      </w:r>
      <w:r>
        <w:rPr>
          <w:iCs/>
          <w:snapToGrid w:val="0"/>
          <w:kern w:val="22"/>
          <w:szCs w:val="22"/>
        </w:rPr>
        <w:t xml:space="preserve">strategic review and </w:t>
      </w:r>
      <w:r w:rsidRPr="00061112">
        <w:rPr>
          <w:iCs/>
          <w:snapToGrid w:val="0"/>
          <w:kern w:val="22"/>
          <w:szCs w:val="22"/>
        </w:rPr>
        <w:t>analysis</w:t>
      </w:r>
      <w:r>
        <w:rPr>
          <w:iCs/>
          <w:snapToGrid w:val="0"/>
          <w:kern w:val="22"/>
          <w:szCs w:val="22"/>
        </w:rPr>
        <w:t>,</w:t>
      </w:r>
      <w:r w:rsidRPr="00061112">
        <w:rPr>
          <w:iCs/>
          <w:snapToGrid w:val="0"/>
          <w:kern w:val="22"/>
          <w:szCs w:val="22"/>
        </w:rPr>
        <w:t xml:space="preserve"> for consideration by the Subsidiary Body on Scientific, Technical and Technological Advice</w:t>
      </w:r>
      <w:r>
        <w:rPr>
          <w:iCs/>
          <w:snapToGrid w:val="0"/>
          <w:kern w:val="22"/>
          <w:szCs w:val="22"/>
        </w:rPr>
        <w:t xml:space="preserve"> prior to the sixteenth meeting of</w:t>
      </w:r>
      <w:r w:rsidRPr="00061112">
        <w:rPr>
          <w:iCs/>
          <w:snapToGrid w:val="0"/>
          <w:kern w:val="22"/>
          <w:szCs w:val="22"/>
        </w:rPr>
        <w:t xml:space="preserve"> the Conference of the Parties</w:t>
      </w:r>
      <w:r>
        <w:rPr>
          <w:iCs/>
          <w:snapToGrid w:val="0"/>
          <w:kern w:val="22"/>
          <w:szCs w:val="22"/>
        </w:rPr>
        <w:t xml:space="preserve">; </w:t>
      </w:r>
    </w:p>
    <w:p w14:paraId="30411EAE" w14:textId="77777777" w:rsidR="000062FB" w:rsidRPr="00B421C9" w:rsidRDefault="000062FB" w:rsidP="00E35506">
      <w:pPr>
        <w:pStyle w:val="paragraph"/>
        <w:spacing w:before="120" w:beforeAutospacing="0" w:after="0" w:afterAutospacing="0"/>
        <w:ind w:firstLine="720"/>
        <w:jc w:val="both"/>
        <w:textAlignment w:val="baseline"/>
        <w:rPr>
          <w:color w:val="000000" w:themeColor="text1"/>
          <w:szCs w:val="22"/>
        </w:rPr>
      </w:pPr>
      <w:r>
        <w:rPr>
          <w:color w:val="000000" w:themeColor="text1"/>
          <w:sz w:val="22"/>
          <w:szCs w:val="22"/>
        </w:rPr>
        <w:t>6.</w:t>
      </w:r>
      <w:r w:rsidRPr="00CF105B">
        <w:rPr>
          <w:color w:val="000000" w:themeColor="text1"/>
          <w:sz w:val="22"/>
          <w:szCs w:val="22"/>
        </w:rPr>
        <w:tab/>
      </w:r>
      <w:r w:rsidRPr="00CF105B">
        <w:rPr>
          <w:i/>
          <w:iCs/>
          <w:color w:val="000000" w:themeColor="text1"/>
          <w:sz w:val="22"/>
          <w:szCs w:val="22"/>
        </w:rPr>
        <w:t>Urges</w:t>
      </w:r>
      <w:r w:rsidRPr="00CF105B">
        <w:rPr>
          <w:color w:val="000000" w:themeColor="text1"/>
          <w:sz w:val="22"/>
          <w:szCs w:val="22"/>
        </w:rPr>
        <w:t xml:space="preserve"> Parties and </w:t>
      </w:r>
      <w:r w:rsidRPr="006D53FB">
        <w:rPr>
          <w:color w:val="000000" w:themeColor="text1"/>
          <w:sz w:val="22"/>
          <w:szCs w:val="22"/>
        </w:rPr>
        <w:t>invites</w:t>
      </w:r>
      <w:r w:rsidRPr="00CF105B">
        <w:rPr>
          <w:color w:val="000000" w:themeColor="text1"/>
          <w:sz w:val="22"/>
          <w:szCs w:val="22"/>
        </w:rPr>
        <w:t xml:space="preserve"> other Governments to take into </w:t>
      </w:r>
      <w:r w:rsidRPr="00783D41">
        <w:rPr>
          <w:color w:val="000000" w:themeColor="text1"/>
          <w:sz w:val="22"/>
          <w:szCs w:val="22"/>
        </w:rPr>
        <w:t>account the assessments by the</w:t>
      </w:r>
      <w:r w:rsidRPr="00CF105B">
        <w:rPr>
          <w:color w:val="000000" w:themeColor="text1"/>
          <w:sz w:val="22"/>
          <w:szCs w:val="22"/>
        </w:rPr>
        <w:t xml:space="preserve"> Intergovernmental Science-Policy Platform on Biodiversity and Ecosystem Services</w:t>
      </w:r>
      <w:r>
        <w:rPr>
          <w:color w:val="000000" w:themeColor="text1"/>
          <w:sz w:val="22"/>
          <w:szCs w:val="22"/>
        </w:rPr>
        <w:t xml:space="preserve"> and the R</w:t>
      </w:r>
      <w:r w:rsidRPr="002C0BF7">
        <w:rPr>
          <w:color w:val="000000" w:themeColor="text1"/>
          <w:sz w:val="22"/>
          <w:szCs w:val="22"/>
        </w:rPr>
        <w:t xml:space="preserve">egular Process for </w:t>
      </w:r>
      <w:r>
        <w:rPr>
          <w:color w:val="000000" w:themeColor="text1"/>
          <w:sz w:val="22"/>
          <w:szCs w:val="22"/>
        </w:rPr>
        <w:t>G</w:t>
      </w:r>
      <w:r w:rsidRPr="002C0BF7">
        <w:rPr>
          <w:color w:val="000000" w:themeColor="text1"/>
          <w:sz w:val="22"/>
          <w:szCs w:val="22"/>
        </w:rPr>
        <w:t xml:space="preserve">lobal </w:t>
      </w:r>
      <w:r>
        <w:rPr>
          <w:color w:val="000000" w:themeColor="text1"/>
          <w:sz w:val="22"/>
          <w:szCs w:val="22"/>
        </w:rPr>
        <w:t>R</w:t>
      </w:r>
      <w:r w:rsidRPr="002C0BF7">
        <w:rPr>
          <w:color w:val="000000" w:themeColor="text1"/>
          <w:sz w:val="22"/>
          <w:szCs w:val="22"/>
        </w:rPr>
        <w:t xml:space="preserve">eporting and </w:t>
      </w:r>
      <w:r>
        <w:rPr>
          <w:color w:val="000000" w:themeColor="text1"/>
          <w:sz w:val="22"/>
          <w:szCs w:val="22"/>
        </w:rPr>
        <w:t>A</w:t>
      </w:r>
      <w:r w:rsidRPr="002C0BF7">
        <w:rPr>
          <w:color w:val="000000" w:themeColor="text1"/>
          <w:sz w:val="22"/>
          <w:szCs w:val="22"/>
        </w:rPr>
        <w:t xml:space="preserve">ssessment of the </w:t>
      </w:r>
      <w:r>
        <w:rPr>
          <w:color w:val="000000" w:themeColor="text1"/>
          <w:sz w:val="22"/>
          <w:szCs w:val="22"/>
        </w:rPr>
        <w:t>S</w:t>
      </w:r>
      <w:r w:rsidRPr="002C0BF7">
        <w:rPr>
          <w:color w:val="000000" w:themeColor="text1"/>
          <w:sz w:val="22"/>
          <w:szCs w:val="22"/>
        </w:rPr>
        <w:t xml:space="preserve">tate of the </w:t>
      </w:r>
      <w:r>
        <w:rPr>
          <w:color w:val="000000" w:themeColor="text1"/>
          <w:sz w:val="22"/>
          <w:szCs w:val="22"/>
        </w:rPr>
        <w:t>M</w:t>
      </w:r>
      <w:r w:rsidRPr="002C0BF7">
        <w:rPr>
          <w:color w:val="000000" w:themeColor="text1"/>
          <w:sz w:val="22"/>
          <w:szCs w:val="22"/>
        </w:rPr>
        <w:t xml:space="preserve">arine </w:t>
      </w:r>
      <w:r>
        <w:rPr>
          <w:color w:val="000000" w:themeColor="text1"/>
          <w:sz w:val="22"/>
          <w:szCs w:val="22"/>
        </w:rPr>
        <w:t>E</w:t>
      </w:r>
      <w:r w:rsidRPr="002C0BF7">
        <w:rPr>
          <w:color w:val="000000" w:themeColor="text1"/>
          <w:sz w:val="22"/>
          <w:szCs w:val="22"/>
        </w:rPr>
        <w:t xml:space="preserve">nvironment, including </w:t>
      </w:r>
      <w:r>
        <w:rPr>
          <w:color w:val="000000" w:themeColor="text1"/>
          <w:sz w:val="22"/>
          <w:szCs w:val="22"/>
        </w:rPr>
        <w:t>S</w:t>
      </w:r>
      <w:r w:rsidRPr="002C0BF7">
        <w:rPr>
          <w:color w:val="000000" w:themeColor="text1"/>
          <w:sz w:val="22"/>
          <w:szCs w:val="22"/>
        </w:rPr>
        <w:t xml:space="preserve">ocioeconomic </w:t>
      </w:r>
      <w:r>
        <w:rPr>
          <w:color w:val="000000" w:themeColor="text1"/>
          <w:sz w:val="22"/>
          <w:szCs w:val="22"/>
        </w:rPr>
        <w:t>A</w:t>
      </w:r>
      <w:r w:rsidRPr="002C0BF7">
        <w:rPr>
          <w:color w:val="000000" w:themeColor="text1"/>
          <w:sz w:val="22"/>
          <w:szCs w:val="22"/>
        </w:rPr>
        <w:t>spects</w:t>
      </w:r>
      <w:r>
        <w:rPr>
          <w:color w:val="000000" w:themeColor="text1"/>
          <w:sz w:val="22"/>
          <w:szCs w:val="22"/>
        </w:rPr>
        <w:t>,</w:t>
      </w:r>
      <w:r w:rsidRPr="00CF105B">
        <w:rPr>
          <w:color w:val="000000" w:themeColor="text1"/>
          <w:sz w:val="22"/>
          <w:szCs w:val="22"/>
        </w:rPr>
        <w:t xml:space="preserve"> </w:t>
      </w:r>
      <w:r>
        <w:rPr>
          <w:color w:val="000000" w:themeColor="text1"/>
          <w:sz w:val="22"/>
          <w:szCs w:val="22"/>
        </w:rPr>
        <w:t xml:space="preserve">in </w:t>
      </w:r>
      <w:r w:rsidRPr="00CF105B">
        <w:rPr>
          <w:color w:val="000000" w:themeColor="text1"/>
          <w:sz w:val="22"/>
          <w:szCs w:val="22"/>
        </w:rPr>
        <w:t xml:space="preserve">efforts to implement the </w:t>
      </w:r>
      <w:r>
        <w:rPr>
          <w:color w:val="000000" w:themeColor="text1"/>
          <w:sz w:val="22"/>
          <w:szCs w:val="22"/>
        </w:rPr>
        <w:t>Kunming-Montreal</w:t>
      </w:r>
      <w:r w:rsidRPr="00CF105B">
        <w:rPr>
          <w:color w:val="000000" w:themeColor="text1"/>
          <w:sz w:val="22"/>
          <w:szCs w:val="22"/>
        </w:rPr>
        <w:t xml:space="preserve"> </w:t>
      </w:r>
      <w:r>
        <w:rPr>
          <w:color w:val="000000" w:themeColor="text1"/>
          <w:sz w:val="22"/>
          <w:szCs w:val="22"/>
        </w:rPr>
        <w:t>G</w:t>
      </w:r>
      <w:r w:rsidRPr="00CF105B">
        <w:rPr>
          <w:color w:val="000000" w:themeColor="text1"/>
          <w:sz w:val="22"/>
          <w:szCs w:val="22"/>
        </w:rPr>
        <w:t xml:space="preserve">lobal </w:t>
      </w:r>
      <w:r>
        <w:rPr>
          <w:color w:val="000000" w:themeColor="text1"/>
          <w:sz w:val="22"/>
          <w:szCs w:val="22"/>
        </w:rPr>
        <w:t>B</w:t>
      </w:r>
      <w:r w:rsidRPr="00CF105B">
        <w:rPr>
          <w:color w:val="000000" w:themeColor="text1"/>
          <w:sz w:val="22"/>
          <w:szCs w:val="22"/>
        </w:rPr>
        <w:t xml:space="preserve">iodiversity </w:t>
      </w:r>
      <w:r>
        <w:rPr>
          <w:color w:val="000000" w:themeColor="text1"/>
          <w:sz w:val="22"/>
          <w:szCs w:val="22"/>
        </w:rPr>
        <w:t>F</w:t>
      </w:r>
      <w:r w:rsidRPr="00CF105B">
        <w:rPr>
          <w:color w:val="000000" w:themeColor="text1"/>
          <w:sz w:val="22"/>
          <w:szCs w:val="22"/>
        </w:rPr>
        <w:t xml:space="preserve">ramework </w:t>
      </w:r>
      <w:r>
        <w:rPr>
          <w:color w:val="000000" w:themeColor="text1"/>
          <w:sz w:val="22"/>
          <w:szCs w:val="22"/>
        </w:rPr>
        <w:t xml:space="preserve">with respect to marine and coastal biodiversity; </w:t>
      </w:r>
    </w:p>
    <w:p w14:paraId="4D42B5AD" w14:textId="77777777" w:rsidR="000062FB" w:rsidRDefault="000062FB" w:rsidP="00E35506">
      <w:pPr>
        <w:pStyle w:val="paragraph"/>
        <w:spacing w:before="120" w:beforeAutospacing="0" w:after="0" w:afterAutospacing="0"/>
        <w:ind w:firstLine="720"/>
        <w:jc w:val="both"/>
        <w:textAlignment w:val="baseline"/>
        <w:rPr>
          <w:rStyle w:val="eop"/>
          <w:rFonts w:eastAsiaTheme="majorEastAsia"/>
          <w:sz w:val="22"/>
        </w:rPr>
      </w:pPr>
      <w:r>
        <w:rPr>
          <w:kern w:val="22"/>
          <w:sz w:val="22"/>
          <w:szCs w:val="22"/>
        </w:rPr>
        <w:t>7</w:t>
      </w:r>
      <w:r w:rsidRPr="002B6E97">
        <w:rPr>
          <w:kern w:val="22"/>
          <w:sz w:val="22"/>
          <w:szCs w:val="22"/>
        </w:rPr>
        <w:t>.</w:t>
      </w:r>
      <w:r w:rsidRPr="002B6E97">
        <w:rPr>
          <w:kern w:val="22"/>
          <w:sz w:val="22"/>
          <w:szCs w:val="22"/>
        </w:rPr>
        <w:tab/>
      </w:r>
      <w:r w:rsidRPr="002B6E97">
        <w:rPr>
          <w:i/>
          <w:sz w:val="22"/>
          <w:szCs w:val="22"/>
        </w:rPr>
        <w:t xml:space="preserve">Urges </w:t>
      </w:r>
      <w:r w:rsidRPr="002B6E97">
        <w:rPr>
          <w:sz w:val="22"/>
          <w:szCs w:val="22"/>
        </w:rPr>
        <w:t>Parties and</w:t>
      </w:r>
      <w:r w:rsidRPr="002B6E97">
        <w:rPr>
          <w:i/>
          <w:sz w:val="22"/>
          <w:szCs w:val="22"/>
        </w:rPr>
        <w:t xml:space="preserve"> </w:t>
      </w:r>
      <w:r w:rsidRPr="006D53FB">
        <w:rPr>
          <w:iCs/>
          <w:sz w:val="22"/>
        </w:rPr>
        <w:t>invites</w:t>
      </w:r>
      <w:r w:rsidRPr="002B6E97">
        <w:rPr>
          <w:i/>
          <w:sz w:val="22"/>
          <w:szCs w:val="22"/>
        </w:rPr>
        <w:t xml:space="preserve"> </w:t>
      </w:r>
      <w:r w:rsidRPr="002B6E97">
        <w:rPr>
          <w:sz w:val="22"/>
          <w:szCs w:val="22"/>
        </w:rPr>
        <w:t>other Governments to acknowledge</w:t>
      </w:r>
      <w:r>
        <w:rPr>
          <w:sz w:val="22"/>
          <w:szCs w:val="22"/>
        </w:rPr>
        <w:t xml:space="preserve"> </w:t>
      </w:r>
      <w:r w:rsidRPr="002B6E97">
        <w:rPr>
          <w:sz w:val="22"/>
          <w:szCs w:val="22"/>
        </w:rPr>
        <w:t>the critical importance o</w:t>
      </w:r>
      <w:r>
        <w:rPr>
          <w:sz w:val="22"/>
          <w:szCs w:val="22"/>
        </w:rPr>
        <w:t>f</w:t>
      </w:r>
      <w:r w:rsidRPr="002B6E97">
        <w:rPr>
          <w:sz w:val="22"/>
          <w:szCs w:val="22"/>
        </w:rPr>
        <w:t xml:space="preserve"> marine and coastal biodiversity in the implementation of the </w:t>
      </w:r>
      <w:r>
        <w:rPr>
          <w:sz w:val="22"/>
          <w:szCs w:val="22"/>
        </w:rPr>
        <w:t>Kunming-Montreal</w:t>
      </w:r>
      <w:r w:rsidRPr="002B6E97">
        <w:rPr>
          <w:sz w:val="22"/>
          <w:szCs w:val="22"/>
        </w:rPr>
        <w:t xml:space="preserve"> </w:t>
      </w:r>
      <w:r>
        <w:rPr>
          <w:sz w:val="22"/>
          <w:szCs w:val="22"/>
        </w:rPr>
        <w:t>G</w:t>
      </w:r>
      <w:r w:rsidRPr="002B6E97">
        <w:rPr>
          <w:sz w:val="22"/>
          <w:szCs w:val="22"/>
        </w:rPr>
        <w:t xml:space="preserve">lobal </w:t>
      </w:r>
      <w:r>
        <w:rPr>
          <w:sz w:val="22"/>
          <w:szCs w:val="22"/>
        </w:rPr>
        <w:t>B</w:t>
      </w:r>
      <w:r w:rsidRPr="002B6E97">
        <w:rPr>
          <w:sz w:val="22"/>
          <w:szCs w:val="22"/>
        </w:rPr>
        <w:t xml:space="preserve">iodiversity </w:t>
      </w:r>
      <w:r>
        <w:rPr>
          <w:sz w:val="22"/>
          <w:szCs w:val="22"/>
        </w:rPr>
        <w:t>F</w:t>
      </w:r>
      <w:r w:rsidRPr="002B6E97">
        <w:rPr>
          <w:sz w:val="22"/>
          <w:szCs w:val="22"/>
        </w:rPr>
        <w:t>ramework, including through enhancing the conservation and sustainable use of marine and coastal biodiversity, based on the best available scientific information</w:t>
      </w:r>
      <w:r>
        <w:rPr>
          <w:sz w:val="22"/>
          <w:szCs w:val="22"/>
        </w:rPr>
        <w:t xml:space="preserve"> and the traditional knowledge of indigenous peoples and local </w:t>
      </w:r>
      <w:r w:rsidRPr="00E509A1">
        <w:rPr>
          <w:sz w:val="22"/>
          <w:szCs w:val="22"/>
        </w:rPr>
        <w:t>communities with their free, prior and informed consent, particularly for the</w:t>
      </w:r>
      <w:r w:rsidRPr="00B67EAB">
        <w:rPr>
          <w:sz w:val="22"/>
          <w:szCs w:val="22"/>
        </w:rPr>
        <w:t xml:space="preserve"> most vulnerable marine and coastal ecosystems and areas of particular importance for biodiversity, </w:t>
      </w:r>
      <w:r w:rsidRPr="00B67EAB">
        <w:rPr>
          <w:rStyle w:val="eop"/>
          <w:rFonts w:eastAsiaTheme="majorEastAsia"/>
          <w:sz w:val="22"/>
        </w:rPr>
        <w:t>highlight</w:t>
      </w:r>
      <w:r>
        <w:rPr>
          <w:rStyle w:val="eop"/>
          <w:rFonts w:eastAsiaTheme="majorEastAsia"/>
          <w:sz w:val="22"/>
        </w:rPr>
        <w:t>ing</w:t>
      </w:r>
      <w:r w:rsidRPr="00B67EAB">
        <w:rPr>
          <w:rStyle w:val="eop"/>
          <w:rFonts w:eastAsiaTheme="majorEastAsia"/>
          <w:sz w:val="22"/>
        </w:rPr>
        <w:t xml:space="preserve"> the need for area-based marine conservation as set out in the targets of the </w:t>
      </w:r>
      <w:r>
        <w:rPr>
          <w:rStyle w:val="eop"/>
          <w:rFonts w:eastAsiaTheme="majorEastAsia"/>
          <w:sz w:val="22"/>
        </w:rPr>
        <w:t>Kunming-Montreal G</w:t>
      </w:r>
      <w:r w:rsidRPr="00B67EAB">
        <w:rPr>
          <w:rStyle w:val="eop"/>
          <w:rFonts w:eastAsiaTheme="majorEastAsia"/>
          <w:sz w:val="22"/>
        </w:rPr>
        <w:t xml:space="preserve">lobal </w:t>
      </w:r>
      <w:r>
        <w:rPr>
          <w:rStyle w:val="eop"/>
          <w:rFonts w:eastAsiaTheme="majorEastAsia"/>
          <w:sz w:val="22"/>
        </w:rPr>
        <w:t>B</w:t>
      </w:r>
      <w:r w:rsidRPr="00B67EAB">
        <w:rPr>
          <w:rStyle w:val="eop"/>
          <w:rFonts w:eastAsiaTheme="majorEastAsia"/>
          <w:sz w:val="22"/>
        </w:rPr>
        <w:t xml:space="preserve">iodiversity </w:t>
      </w:r>
      <w:r>
        <w:rPr>
          <w:rStyle w:val="eop"/>
          <w:rFonts w:eastAsiaTheme="majorEastAsia"/>
          <w:sz w:val="22"/>
        </w:rPr>
        <w:t>F</w:t>
      </w:r>
      <w:r w:rsidRPr="00B67EAB">
        <w:rPr>
          <w:rStyle w:val="eop"/>
          <w:rFonts w:eastAsiaTheme="majorEastAsia"/>
          <w:sz w:val="22"/>
        </w:rPr>
        <w:t xml:space="preserve">ramework, including </w:t>
      </w:r>
      <w:r>
        <w:rPr>
          <w:rStyle w:val="eop"/>
          <w:rFonts w:eastAsiaTheme="majorEastAsia"/>
          <w:sz w:val="22"/>
        </w:rPr>
        <w:t>T</w:t>
      </w:r>
      <w:r w:rsidRPr="00B67EAB">
        <w:rPr>
          <w:rStyle w:val="eop"/>
          <w:rFonts w:eastAsiaTheme="majorEastAsia"/>
          <w:sz w:val="22"/>
        </w:rPr>
        <w:t>arget 3</w:t>
      </w:r>
      <w:r w:rsidRPr="00B67EAB">
        <w:rPr>
          <w:sz w:val="22"/>
          <w:szCs w:val="22"/>
        </w:rPr>
        <w:t>, addressing</w:t>
      </w:r>
      <w:r w:rsidRPr="0002608C">
        <w:rPr>
          <w:sz w:val="22"/>
          <w:szCs w:val="22"/>
        </w:rPr>
        <w:t xml:space="preserve"> the direct drivers of biodiversity loss </w:t>
      </w:r>
      <w:r w:rsidRPr="003B1CD8">
        <w:rPr>
          <w:sz w:val="22"/>
          <w:szCs w:val="22"/>
        </w:rPr>
        <w:t>identified by the</w:t>
      </w:r>
      <w:r w:rsidRPr="003B1CD8">
        <w:rPr>
          <w:color w:val="000000" w:themeColor="text1"/>
          <w:sz w:val="22"/>
          <w:szCs w:val="22"/>
        </w:rPr>
        <w:t xml:space="preserve"> Intergovernmental Science-Policy Platform on Biodiversity and Ecosystem Services,</w:t>
      </w:r>
      <w:r w:rsidRPr="003B1CD8">
        <w:rPr>
          <w:sz w:val="22"/>
          <w:szCs w:val="22"/>
        </w:rPr>
        <w:t xml:space="preserve"> and through </w:t>
      </w:r>
      <w:r w:rsidRPr="00554D43">
        <w:rPr>
          <w:sz w:val="22"/>
          <w:szCs w:val="22"/>
        </w:rPr>
        <w:t>appropriate access to marine genetic resources and</w:t>
      </w:r>
      <w:r w:rsidRPr="003B1CD8">
        <w:rPr>
          <w:sz w:val="22"/>
          <w:szCs w:val="22"/>
        </w:rPr>
        <w:t xml:space="preserve"> ensuring the fair and equitable sharing of the benefits arising</w:t>
      </w:r>
      <w:r w:rsidRPr="002B6E97">
        <w:rPr>
          <w:sz w:val="22"/>
          <w:szCs w:val="22"/>
        </w:rPr>
        <w:t xml:space="preserve"> out of the utilization</w:t>
      </w:r>
      <w:r>
        <w:rPr>
          <w:sz w:val="22"/>
          <w:szCs w:val="22"/>
        </w:rPr>
        <w:t xml:space="preserve"> of marine genetic resources</w:t>
      </w:r>
      <w:r w:rsidRPr="002B6E97">
        <w:rPr>
          <w:sz w:val="22"/>
          <w:szCs w:val="22"/>
        </w:rPr>
        <w:t xml:space="preserve">, within the jurisdictional scope of the Convention and its </w:t>
      </w:r>
      <w:r>
        <w:rPr>
          <w:sz w:val="22"/>
          <w:szCs w:val="22"/>
        </w:rPr>
        <w:t>P</w:t>
      </w:r>
      <w:r w:rsidRPr="002B6E97">
        <w:rPr>
          <w:sz w:val="22"/>
          <w:szCs w:val="22"/>
        </w:rPr>
        <w:t>rotocols, and recognizing and respecting the rights of indigenous peoples and local communities and their key role in conserving and sustainably using marine and coastal biodiversity</w:t>
      </w:r>
      <w:r w:rsidRPr="00A06F9F">
        <w:rPr>
          <w:rStyle w:val="normaltextrun"/>
          <w:rFonts w:eastAsiaTheme="majorEastAsia"/>
          <w:sz w:val="22"/>
          <w:szCs w:val="22"/>
        </w:rPr>
        <w:t>;</w:t>
      </w:r>
      <w:r w:rsidRPr="008A30AC">
        <w:rPr>
          <w:rStyle w:val="eop"/>
          <w:rFonts w:eastAsiaTheme="majorEastAsia"/>
          <w:sz w:val="22"/>
        </w:rPr>
        <w:t xml:space="preserve"> </w:t>
      </w:r>
    </w:p>
    <w:p w14:paraId="13409E18" w14:textId="77777777" w:rsidR="000062FB" w:rsidRPr="00844039" w:rsidRDefault="000062FB" w:rsidP="00E35506">
      <w:pPr>
        <w:pStyle w:val="paragraph"/>
        <w:spacing w:before="120" w:beforeAutospacing="0" w:after="0" w:afterAutospacing="0"/>
        <w:ind w:firstLine="720"/>
        <w:jc w:val="both"/>
        <w:textAlignment w:val="baseline"/>
        <w:rPr>
          <w:color w:val="000000" w:themeColor="text1"/>
          <w:sz w:val="22"/>
          <w:szCs w:val="22"/>
        </w:rPr>
      </w:pPr>
      <w:r>
        <w:rPr>
          <w:color w:val="000000" w:themeColor="text1"/>
          <w:sz w:val="22"/>
          <w:szCs w:val="22"/>
        </w:rPr>
        <w:t>8.</w:t>
      </w:r>
      <w:r>
        <w:rPr>
          <w:color w:val="000000" w:themeColor="text1"/>
          <w:sz w:val="22"/>
          <w:szCs w:val="22"/>
        </w:rPr>
        <w:tab/>
      </w:r>
      <w:r w:rsidRPr="00CF105B">
        <w:rPr>
          <w:i/>
          <w:iCs/>
          <w:color w:val="000000" w:themeColor="text1"/>
          <w:sz w:val="22"/>
          <w:szCs w:val="22"/>
        </w:rPr>
        <w:t>Urges</w:t>
      </w:r>
      <w:r w:rsidRPr="00CF105B">
        <w:rPr>
          <w:color w:val="000000" w:themeColor="text1"/>
          <w:sz w:val="22"/>
          <w:szCs w:val="22"/>
        </w:rPr>
        <w:t xml:space="preserve"> Parties and </w:t>
      </w:r>
      <w:r w:rsidRPr="006D53FB">
        <w:rPr>
          <w:color w:val="000000" w:themeColor="text1"/>
          <w:sz w:val="22"/>
          <w:szCs w:val="22"/>
        </w:rPr>
        <w:t>invites</w:t>
      </w:r>
      <w:r w:rsidRPr="00CF105B">
        <w:rPr>
          <w:color w:val="000000" w:themeColor="text1"/>
          <w:sz w:val="22"/>
          <w:szCs w:val="22"/>
        </w:rPr>
        <w:t xml:space="preserve"> other Governments</w:t>
      </w:r>
      <w:r>
        <w:rPr>
          <w:color w:val="000000" w:themeColor="text1"/>
          <w:sz w:val="22"/>
          <w:szCs w:val="22"/>
        </w:rPr>
        <w:t xml:space="preserve"> to</w:t>
      </w:r>
      <w:r w:rsidRPr="00CF105B">
        <w:rPr>
          <w:color w:val="000000" w:themeColor="text1"/>
          <w:sz w:val="22"/>
          <w:szCs w:val="22"/>
        </w:rPr>
        <w:t xml:space="preserve"> strengthen national, subregional, and regional efforts toward ocean accounting and economic valuation of ecosystem services provided by marine and coastal biodiversity </w:t>
      </w:r>
      <w:r>
        <w:rPr>
          <w:color w:val="000000" w:themeColor="text1"/>
          <w:sz w:val="22"/>
          <w:szCs w:val="22"/>
        </w:rPr>
        <w:t>and use this information to support decision-making for conservation and sustainable use</w:t>
      </w:r>
      <w:r w:rsidRPr="00CF105B">
        <w:rPr>
          <w:color w:val="000000" w:themeColor="text1"/>
          <w:sz w:val="22"/>
          <w:szCs w:val="22"/>
        </w:rPr>
        <w:t>;</w:t>
      </w:r>
    </w:p>
    <w:p w14:paraId="30FDB5F1" w14:textId="77777777" w:rsidR="000062FB" w:rsidRDefault="000062FB" w:rsidP="00E35506">
      <w:pPr>
        <w:suppressLineNumbers/>
        <w:suppressAutoHyphens/>
        <w:kinsoku w:val="0"/>
        <w:overflowPunct w:val="0"/>
        <w:autoSpaceDE w:val="0"/>
        <w:autoSpaceDN w:val="0"/>
        <w:spacing w:before="120" w:after="120"/>
        <w:ind w:firstLine="720"/>
        <w:rPr>
          <w:snapToGrid w:val="0"/>
          <w:kern w:val="22"/>
          <w:szCs w:val="22"/>
        </w:rPr>
      </w:pPr>
      <w:r>
        <w:rPr>
          <w:snapToGrid w:val="0"/>
          <w:kern w:val="22"/>
          <w:szCs w:val="22"/>
        </w:rPr>
        <w:t>9</w:t>
      </w:r>
      <w:r w:rsidRPr="00061112">
        <w:rPr>
          <w:snapToGrid w:val="0"/>
          <w:kern w:val="22"/>
          <w:szCs w:val="22"/>
        </w:rPr>
        <w:t>.</w:t>
      </w:r>
      <w:r w:rsidRPr="00061112">
        <w:rPr>
          <w:snapToGrid w:val="0"/>
          <w:kern w:val="22"/>
          <w:szCs w:val="22"/>
        </w:rPr>
        <w:tab/>
      </w:r>
      <w:r w:rsidRPr="00B421C9">
        <w:rPr>
          <w:i/>
          <w:iCs/>
          <w:snapToGrid w:val="0"/>
          <w:kern w:val="22"/>
          <w:szCs w:val="22"/>
        </w:rPr>
        <w:t>Notes</w:t>
      </w:r>
      <w:r>
        <w:rPr>
          <w:snapToGrid w:val="0"/>
          <w:kern w:val="22"/>
          <w:szCs w:val="22"/>
        </w:rPr>
        <w:t xml:space="preserve"> the role of </w:t>
      </w:r>
      <w:r w:rsidRPr="00061112">
        <w:rPr>
          <w:snapToGrid w:val="0"/>
          <w:kern w:val="22"/>
          <w:szCs w:val="22"/>
        </w:rPr>
        <w:t xml:space="preserve">relevant global and regional </w:t>
      </w:r>
      <w:r>
        <w:rPr>
          <w:snapToGrid w:val="0"/>
          <w:kern w:val="22"/>
          <w:szCs w:val="22"/>
        </w:rPr>
        <w:t>bodies and initiatives</w:t>
      </w:r>
      <w:r w:rsidRPr="00061112">
        <w:rPr>
          <w:snapToGrid w:val="0"/>
          <w:kern w:val="22"/>
          <w:szCs w:val="22"/>
        </w:rPr>
        <w:t>, including</w:t>
      </w:r>
      <w:r>
        <w:rPr>
          <w:snapToGrid w:val="0"/>
          <w:kern w:val="22"/>
          <w:szCs w:val="22"/>
        </w:rPr>
        <w:t xml:space="preserve">, </w:t>
      </w:r>
      <w:r w:rsidRPr="00962621">
        <w:rPr>
          <w:snapToGrid w:val="0"/>
          <w:kern w:val="22"/>
          <w:szCs w:val="22"/>
        </w:rPr>
        <w:t>inter alia</w:t>
      </w:r>
      <w:r>
        <w:rPr>
          <w:snapToGrid w:val="0"/>
          <w:kern w:val="22"/>
          <w:szCs w:val="22"/>
        </w:rPr>
        <w:t xml:space="preserve">, the United Nations Division on Ocean Affairs and the Law of the Sea, </w:t>
      </w:r>
      <w:r w:rsidRPr="00061112">
        <w:rPr>
          <w:snapToGrid w:val="0"/>
          <w:kern w:val="22"/>
          <w:szCs w:val="22"/>
        </w:rPr>
        <w:t>the United Nations Framework Convention on Climate Change, the International Maritime Organization, the International Seabed Authority, the Food and Agriculture Organization of the United Nations,</w:t>
      </w:r>
      <w:r>
        <w:rPr>
          <w:snapToGrid w:val="0"/>
          <w:kern w:val="22"/>
          <w:szCs w:val="22"/>
        </w:rPr>
        <w:t xml:space="preserve"> the Intergovernmental Oceanographic Commission of the United Nations </w:t>
      </w:r>
      <w:r>
        <w:rPr>
          <w:rStyle w:val="normaltextrun"/>
          <w:rFonts w:eastAsiaTheme="majorEastAsia"/>
          <w:szCs w:val="22"/>
        </w:rPr>
        <w:t>Educational, Scientific and Cultural Organization</w:t>
      </w:r>
      <w:r>
        <w:rPr>
          <w:snapToGrid w:val="0"/>
          <w:kern w:val="22"/>
          <w:szCs w:val="22"/>
        </w:rPr>
        <w:t>, the Ramsar Convention, the Convention on the Conservation of Migratory Species of Wild Animals, the Convention on International Trade in Endangered Species of Wild Fauna and Flora,</w:t>
      </w:r>
      <w:r w:rsidRPr="00AD6367">
        <w:rPr>
          <w:snapToGrid w:val="0"/>
          <w:kern w:val="22"/>
          <w:szCs w:val="22"/>
        </w:rPr>
        <w:t xml:space="preserve"> </w:t>
      </w:r>
      <w:r>
        <w:rPr>
          <w:snapToGrid w:val="0"/>
          <w:kern w:val="22"/>
          <w:szCs w:val="22"/>
        </w:rPr>
        <w:t>the World Meteorological Organization, r</w:t>
      </w:r>
      <w:r w:rsidRPr="00061112">
        <w:rPr>
          <w:snapToGrid w:val="0"/>
          <w:kern w:val="22"/>
          <w:szCs w:val="22"/>
        </w:rPr>
        <w:t>egional fishery bodies</w:t>
      </w:r>
      <w:r>
        <w:rPr>
          <w:snapToGrid w:val="0"/>
          <w:kern w:val="22"/>
          <w:szCs w:val="22"/>
        </w:rPr>
        <w:t xml:space="preserve">, </w:t>
      </w:r>
      <w:r w:rsidRPr="00061112">
        <w:rPr>
          <w:snapToGrid w:val="0"/>
          <w:kern w:val="22"/>
          <w:szCs w:val="22"/>
        </w:rPr>
        <w:t>regional seas conventions and action plans</w:t>
      </w:r>
      <w:r>
        <w:rPr>
          <w:snapToGrid w:val="0"/>
          <w:kern w:val="22"/>
          <w:szCs w:val="22"/>
        </w:rPr>
        <w:t xml:space="preserve">, the International Coral Reef Initiative, as well as the United Nations Decade of Ocean Science for Sustainable Development and the United Nations Decade on Ecosystem Restoration, in the conservation and sustainable use of marine and coastal biodiversity, and </w:t>
      </w:r>
      <w:r w:rsidRPr="006D53FB">
        <w:rPr>
          <w:snapToGrid w:val="0"/>
          <w:kern w:val="22"/>
          <w:szCs w:val="22"/>
        </w:rPr>
        <w:t>invites</w:t>
      </w:r>
      <w:r>
        <w:rPr>
          <w:snapToGrid w:val="0"/>
          <w:kern w:val="22"/>
          <w:szCs w:val="22"/>
        </w:rPr>
        <w:t xml:space="preserve"> them </w:t>
      </w:r>
      <w:r w:rsidRPr="00061112">
        <w:rPr>
          <w:snapToGrid w:val="0"/>
          <w:kern w:val="22"/>
          <w:szCs w:val="22"/>
        </w:rPr>
        <w:t xml:space="preserve">to support the implementation of the </w:t>
      </w:r>
      <w:r>
        <w:rPr>
          <w:snapToGrid w:val="0"/>
          <w:kern w:val="22"/>
          <w:szCs w:val="22"/>
        </w:rPr>
        <w:t>Kunming-Montreal</w:t>
      </w:r>
      <w:r w:rsidRPr="00061112">
        <w:rPr>
          <w:snapToGrid w:val="0"/>
          <w:kern w:val="22"/>
          <w:szCs w:val="22"/>
        </w:rPr>
        <w:t xml:space="preserve"> </w:t>
      </w:r>
      <w:r>
        <w:rPr>
          <w:snapToGrid w:val="0"/>
          <w:kern w:val="22"/>
          <w:szCs w:val="22"/>
        </w:rPr>
        <w:t>G</w:t>
      </w:r>
      <w:r w:rsidRPr="00061112">
        <w:rPr>
          <w:snapToGrid w:val="0"/>
          <w:kern w:val="22"/>
          <w:szCs w:val="22"/>
        </w:rPr>
        <w:t xml:space="preserve">lobal </w:t>
      </w:r>
      <w:r>
        <w:rPr>
          <w:snapToGrid w:val="0"/>
          <w:kern w:val="22"/>
          <w:szCs w:val="22"/>
        </w:rPr>
        <w:t>B</w:t>
      </w:r>
      <w:r w:rsidRPr="00061112">
        <w:rPr>
          <w:snapToGrid w:val="0"/>
          <w:kern w:val="22"/>
          <w:szCs w:val="22"/>
        </w:rPr>
        <w:t xml:space="preserve">iodiversity </w:t>
      </w:r>
      <w:r>
        <w:rPr>
          <w:snapToGrid w:val="0"/>
          <w:kern w:val="22"/>
          <w:szCs w:val="22"/>
        </w:rPr>
        <w:t>F</w:t>
      </w:r>
      <w:r w:rsidRPr="00061112">
        <w:rPr>
          <w:snapToGrid w:val="0"/>
          <w:kern w:val="22"/>
          <w:szCs w:val="22"/>
        </w:rPr>
        <w:t>ramework</w:t>
      </w:r>
      <w:r>
        <w:rPr>
          <w:snapToGrid w:val="0"/>
          <w:kern w:val="22"/>
          <w:szCs w:val="22"/>
        </w:rPr>
        <w:t xml:space="preserve"> </w:t>
      </w:r>
      <w:r w:rsidRPr="00061112">
        <w:rPr>
          <w:snapToGrid w:val="0"/>
          <w:kern w:val="22"/>
          <w:szCs w:val="22"/>
        </w:rPr>
        <w:t>with respect to marine and coastal biodiversity and to contribute to monitoring and reportin</w:t>
      </w:r>
      <w:r>
        <w:rPr>
          <w:snapToGrid w:val="0"/>
          <w:kern w:val="22"/>
          <w:szCs w:val="22"/>
        </w:rPr>
        <w:t>g on</w:t>
      </w:r>
      <w:r w:rsidRPr="00061112">
        <w:rPr>
          <w:snapToGrid w:val="0"/>
          <w:kern w:val="22"/>
          <w:szCs w:val="22"/>
        </w:rPr>
        <w:t xml:space="preserve"> the implementation of the </w:t>
      </w:r>
      <w:r>
        <w:rPr>
          <w:snapToGrid w:val="0"/>
          <w:kern w:val="22"/>
          <w:szCs w:val="22"/>
        </w:rPr>
        <w:t>F</w:t>
      </w:r>
      <w:r w:rsidRPr="00061112">
        <w:rPr>
          <w:snapToGrid w:val="0"/>
          <w:kern w:val="22"/>
          <w:szCs w:val="22"/>
        </w:rPr>
        <w:t>ramework</w:t>
      </w:r>
      <w:r>
        <w:rPr>
          <w:snapToGrid w:val="0"/>
          <w:kern w:val="22"/>
          <w:szCs w:val="22"/>
        </w:rPr>
        <w:t>, as appropriate</w:t>
      </w:r>
      <w:r w:rsidRPr="00061112">
        <w:rPr>
          <w:snapToGrid w:val="0"/>
          <w:kern w:val="22"/>
          <w:szCs w:val="22"/>
        </w:rPr>
        <w:t>;</w:t>
      </w:r>
    </w:p>
    <w:p w14:paraId="1039B35F" w14:textId="77777777" w:rsidR="000062FB" w:rsidRPr="0002608C" w:rsidRDefault="000062FB" w:rsidP="006E578F">
      <w:pPr>
        <w:suppressLineNumbers/>
        <w:suppressAutoHyphens/>
        <w:kinsoku w:val="0"/>
        <w:overflowPunct w:val="0"/>
        <w:autoSpaceDE w:val="0"/>
        <w:autoSpaceDN w:val="0"/>
        <w:spacing w:before="120" w:after="120"/>
        <w:ind w:firstLine="720"/>
        <w:rPr>
          <w:snapToGrid w:val="0"/>
          <w:kern w:val="22"/>
          <w:szCs w:val="22"/>
        </w:rPr>
      </w:pPr>
      <w:r w:rsidRPr="00554D43">
        <w:rPr>
          <w:snapToGrid w:val="0"/>
          <w:kern w:val="22"/>
          <w:szCs w:val="22"/>
        </w:rPr>
        <w:t>10.</w:t>
      </w:r>
      <w:r w:rsidRPr="00554D43">
        <w:rPr>
          <w:snapToGrid w:val="0"/>
          <w:kern w:val="22"/>
          <w:szCs w:val="22"/>
        </w:rPr>
        <w:tab/>
      </w:r>
      <w:r w:rsidRPr="00554D43">
        <w:rPr>
          <w:i/>
          <w:iCs/>
          <w:snapToGrid w:val="0"/>
          <w:kern w:val="22"/>
          <w:szCs w:val="22"/>
        </w:rPr>
        <w:t>Notes</w:t>
      </w:r>
      <w:r w:rsidRPr="00554D43">
        <w:rPr>
          <w:snapToGrid w:val="0"/>
          <w:kern w:val="22"/>
          <w:szCs w:val="22"/>
        </w:rPr>
        <w:t xml:space="preserve"> the role of the Food and Agriculture Organization of the United Nations</w:t>
      </w:r>
      <w:r w:rsidRPr="00554D43" w:rsidDel="00521C27">
        <w:rPr>
          <w:snapToGrid w:val="0"/>
          <w:kern w:val="22"/>
          <w:szCs w:val="22"/>
        </w:rPr>
        <w:t xml:space="preserve"> </w:t>
      </w:r>
      <w:r w:rsidRPr="00554D43">
        <w:rPr>
          <w:snapToGrid w:val="0"/>
          <w:kern w:val="22"/>
          <w:szCs w:val="22"/>
        </w:rPr>
        <w:t xml:space="preserve">as the global implementing body related to fisheries, and, acknowledging the work done to mainstream biodiversity into the fisheries sector globally, in particular the work done to facilitate the implementation of Aichi Biodiversity Target 6 on sustainable fisheries, </w:t>
      </w:r>
      <w:r w:rsidRPr="006D53FB">
        <w:rPr>
          <w:snapToGrid w:val="0"/>
          <w:kern w:val="22"/>
          <w:szCs w:val="22"/>
        </w:rPr>
        <w:t>invites</w:t>
      </w:r>
      <w:r w:rsidRPr="00554D43">
        <w:rPr>
          <w:snapToGrid w:val="0"/>
          <w:kern w:val="22"/>
          <w:szCs w:val="22"/>
        </w:rPr>
        <w:t xml:space="preserve"> the Food and Agriculture Organization of the United Nations</w:t>
      </w:r>
      <w:r w:rsidRPr="00554D43" w:rsidDel="00521C27">
        <w:rPr>
          <w:snapToGrid w:val="0"/>
          <w:kern w:val="22"/>
          <w:szCs w:val="22"/>
        </w:rPr>
        <w:t xml:space="preserve"> </w:t>
      </w:r>
      <w:r w:rsidRPr="00554D43">
        <w:rPr>
          <w:snapToGrid w:val="0"/>
          <w:kern w:val="22"/>
          <w:szCs w:val="22"/>
        </w:rPr>
        <w:t>to consider developing guiding material</w:t>
      </w:r>
      <w:r>
        <w:rPr>
          <w:snapToGrid w:val="0"/>
          <w:kern w:val="22"/>
          <w:szCs w:val="22"/>
        </w:rPr>
        <w:t>,</w:t>
      </w:r>
      <w:r w:rsidRPr="00554D43">
        <w:rPr>
          <w:snapToGrid w:val="0"/>
          <w:kern w:val="22"/>
          <w:szCs w:val="22"/>
        </w:rPr>
        <w:t xml:space="preserve"> conducting regular capacity</w:t>
      </w:r>
      <w:r>
        <w:rPr>
          <w:snapToGrid w:val="0"/>
          <w:kern w:val="22"/>
          <w:szCs w:val="22"/>
        </w:rPr>
        <w:t>-</w:t>
      </w:r>
      <w:r w:rsidRPr="00554D43">
        <w:rPr>
          <w:snapToGrid w:val="0"/>
          <w:kern w:val="22"/>
          <w:szCs w:val="22"/>
        </w:rPr>
        <w:t xml:space="preserve">building programmes, providing technical support and facilitating technology transfer to advocate and facilitate the implementation of the </w:t>
      </w:r>
      <w:r>
        <w:rPr>
          <w:snapToGrid w:val="0"/>
          <w:kern w:val="22"/>
          <w:szCs w:val="22"/>
        </w:rPr>
        <w:t>Kunming-Montreal</w:t>
      </w:r>
      <w:r w:rsidRPr="00554D43">
        <w:rPr>
          <w:snapToGrid w:val="0"/>
          <w:kern w:val="22"/>
          <w:szCs w:val="22"/>
        </w:rPr>
        <w:t xml:space="preserve"> </w:t>
      </w:r>
      <w:r>
        <w:rPr>
          <w:snapToGrid w:val="0"/>
          <w:kern w:val="22"/>
          <w:szCs w:val="22"/>
        </w:rPr>
        <w:t>G</w:t>
      </w:r>
      <w:r w:rsidRPr="00554D43">
        <w:rPr>
          <w:snapToGrid w:val="0"/>
          <w:kern w:val="22"/>
          <w:szCs w:val="22"/>
        </w:rPr>
        <w:t xml:space="preserve">lobal </w:t>
      </w:r>
      <w:r>
        <w:rPr>
          <w:snapToGrid w:val="0"/>
          <w:kern w:val="22"/>
          <w:szCs w:val="22"/>
        </w:rPr>
        <w:t>B</w:t>
      </w:r>
      <w:r w:rsidRPr="00554D43">
        <w:rPr>
          <w:snapToGrid w:val="0"/>
          <w:kern w:val="22"/>
          <w:szCs w:val="22"/>
        </w:rPr>
        <w:t xml:space="preserve">iodiversity </w:t>
      </w:r>
      <w:r>
        <w:rPr>
          <w:snapToGrid w:val="0"/>
          <w:kern w:val="22"/>
          <w:szCs w:val="22"/>
        </w:rPr>
        <w:t>F</w:t>
      </w:r>
      <w:r w:rsidRPr="00554D43">
        <w:rPr>
          <w:snapToGrid w:val="0"/>
          <w:kern w:val="22"/>
          <w:szCs w:val="22"/>
        </w:rPr>
        <w:t>ramework with respect to fisheries among its member countries;</w:t>
      </w:r>
      <w:r w:rsidRPr="006E578F">
        <w:rPr>
          <w:snapToGrid w:val="0"/>
          <w:kern w:val="22"/>
          <w:szCs w:val="22"/>
        </w:rPr>
        <w:t xml:space="preserve"> </w:t>
      </w:r>
    </w:p>
    <w:p w14:paraId="10A30EAB" w14:textId="77777777" w:rsidR="000062FB" w:rsidRDefault="000062FB" w:rsidP="00290F00">
      <w:pPr>
        <w:suppressLineNumbers/>
        <w:suppressAutoHyphens/>
        <w:kinsoku w:val="0"/>
        <w:overflowPunct w:val="0"/>
        <w:autoSpaceDE w:val="0"/>
        <w:autoSpaceDN w:val="0"/>
        <w:spacing w:before="120" w:after="120"/>
        <w:ind w:firstLine="720"/>
        <w:rPr>
          <w:snapToGrid w:val="0"/>
          <w:kern w:val="22"/>
          <w:szCs w:val="22"/>
          <w:highlight w:val="yellow"/>
        </w:rPr>
      </w:pPr>
      <w:r w:rsidRPr="00554D43">
        <w:rPr>
          <w:snapToGrid w:val="0"/>
          <w:kern w:val="22"/>
          <w:szCs w:val="22"/>
        </w:rPr>
        <w:t>11.</w:t>
      </w:r>
      <w:r w:rsidRPr="00554D43">
        <w:rPr>
          <w:snapToGrid w:val="0"/>
          <w:kern w:val="22"/>
          <w:szCs w:val="22"/>
        </w:rPr>
        <w:tab/>
      </w:r>
      <w:r w:rsidRPr="00554D43">
        <w:rPr>
          <w:i/>
          <w:iCs/>
          <w:snapToGrid w:val="0"/>
          <w:kern w:val="22"/>
          <w:szCs w:val="22"/>
        </w:rPr>
        <w:t>Encourages</w:t>
      </w:r>
      <w:r w:rsidRPr="00554D43">
        <w:rPr>
          <w:snapToGrid w:val="0"/>
          <w:kern w:val="22"/>
          <w:szCs w:val="22"/>
        </w:rPr>
        <w:t xml:space="preserve"> Parties and </w:t>
      </w:r>
      <w:r w:rsidRPr="006D53FB">
        <w:rPr>
          <w:snapToGrid w:val="0"/>
          <w:kern w:val="22"/>
          <w:szCs w:val="22"/>
        </w:rPr>
        <w:t>invites</w:t>
      </w:r>
      <w:r w:rsidRPr="00554D43">
        <w:rPr>
          <w:snapToGrid w:val="0"/>
          <w:kern w:val="22"/>
          <w:szCs w:val="22"/>
        </w:rPr>
        <w:t xml:space="preserve"> other Governments participating in the Intergovernmental Conference on an international legally binding instrument under the United Nations Convention on the Law of the Sea on the conservation and sustainable use of marine biological diversity of areas beyond national jurisdiction, to take into consideration the </w:t>
      </w:r>
      <w:r>
        <w:rPr>
          <w:snapToGrid w:val="0"/>
          <w:kern w:val="22"/>
          <w:szCs w:val="22"/>
        </w:rPr>
        <w:t>Kunming-Montreal</w:t>
      </w:r>
      <w:r w:rsidRPr="00554D43">
        <w:rPr>
          <w:snapToGrid w:val="0"/>
          <w:kern w:val="22"/>
          <w:szCs w:val="22"/>
        </w:rPr>
        <w:t xml:space="preserve"> </w:t>
      </w:r>
      <w:r>
        <w:rPr>
          <w:snapToGrid w:val="0"/>
          <w:kern w:val="22"/>
          <w:szCs w:val="22"/>
        </w:rPr>
        <w:t>G</w:t>
      </w:r>
      <w:r w:rsidRPr="00554D43">
        <w:rPr>
          <w:snapToGrid w:val="0"/>
          <w:kern w:val="22"/>
          <w:szCs w:val="22"/>
        </w:rPr>
        <w:t xml:space="preserve">lobal </w:t>
      </w:r>
      <w:r>
        <w:rPr>
          <w:snapToGrid w:val="0"/>
          <w:kern w:val="22"/>
          <w:szCs w:val="22"/>
        </w:rPr>
        <w:t>B</w:t>
      </w:r>
      <w:r w:rsidRPr="00554D43">
        <w:rPr>
          <w:snapToGrid w:val="0"/>
          <w:kern w:val="22"/>
          <w:szCs w:val="22"/>
        </w:rPr>
        <w:t xml:space="preserve">iodiversity </w:t>
      </w:r>
      <w:r>
        <w:rPr>
          <w:snapToGrid w:val="0"/>
          <w:kern w:val="22"/>
          <w:szCs w:val="22"/>
        </w:rPr>
        <w:t>F</w:t>
      </w:r>
      <w:r w:rsidRPr="00554D43">
        <w:rPr>
          <w:snapToGrid w:val="0"/>
          <w:kern w:val="22"/>
          <w:szCs w:val="22"/>
        </w:rPr>
        <w:t>ramework</w:t>
      </w:r>
      <w:r w:rsidRPr="009E3297">
        <w:rPr>
          <w:snapToGrid w:val="0"/>
          <w:kern w:val="22"/>
          <w:szCs w:val="22"/>
        </w:rPr>
        <w:t xml:space="preserve"> in its negotiations, as appropriate</w:t>
      </w:r>
      <w:r>
        <w:rPr>
          <w:snapToGrid w:val="0"/>
          <w:kern w:val="22"/>
          <w:szCs w:val="22"/>
        </w:rPr>
        <w:t>;</w:t>
      </w:r>
    </w:p>
    <w:p w14:paraId="5A7670B7" w14:textId="77777777" w:rsidR="000062FB" w:rsidRDefault="000062FB" w:rsidP="00E35506">
      <w:pPr>
        <w:suppressLineNumbers/>
        <w:suppressAutoHyphens/>
        <w:kinsoku w:val="0"/>
        <w:overflowPunct w:val="0"/>
        <w:autoSpaceDE w:val="0"/>
        <w:autoSpaceDN w:val="0"/>
        <w:spacing w:before="120" w:after="120"/>
        <w:ind w:firstLine="720"/>
        <w:rPr>
          <w:snapToGrid w:val="0"/>
          <w:kern w:val="22"/>
          <w:szCs w:val="22"/>
        </w:rPr>
      </w:pPr>
      <w:r>
        <w:rPr>
          <w:snapToGrid w:val="0"/>
          <w:kern w:val="22"/>
          <w:szCs w:val="22"/>
        </w:rPr>
        <w:t>12</w:t>
      </w:r>
      <w:r w:rsidRPr="0043317A">
        <w:rPr>
          <w:snapToGrid w:val="0"/>
          <w:kern w:val="22"/>
          <w:szCs w:val="22"/>
        </w:rPr>
        <w:t>.</w:t>
      </w:r>
      <w:r w:rsidRPr="0043317A">
        <w:rPr>
          <w:snapToGrid w:val="0"/>
          <w:kern w:val="22"/>
          <w:szCs w:val="22"/>
        </w:rPr>
        <w:tab/>
      </w:r>
      <w:r w:rsidRPr="0043317A">
        <w:rPr>
          <w:i/>
          <w:snapToGrid w:val="0"/>
          <w:kern w:val="22"/>
          <w:szCs w:val="22"/>
        </w:rPr>
        <w:t>R</w:t>
      </w:r>
      <w:r w:rsidRPr="0043317A">
        <w:rPr>
          <w:i/>
          <w:iCs/>
          <w:snapToGrid w:val="0"/>
          <w:kern w:val="22"/>
          <w:szCs w:val="22"/>
        </w:rPr>
        <w:t>equests</w:t>
      </w:r>
      <w:r w:rsidRPr="0043317A">
        <w:rPr>
          <w:snapToGrid w:val="0"/>
          <w:kern w:val="22"/>
          <w:szCs w:val="22"/>
        </w:rPr>
        <w:t xml:space="preserve"> the Executive Secretary</w:t>
      </w:r>
      <w:r>
        <w:rPr>
          <w:snapToGrid w:val="0"/>
          <w:kern w:val="22"/>
          <w:szCs w:val="22"/>
        </w:rPr>
        <w:t xml:space="preserve">, upon the adoption of </w:t>
      </w:r>
      <w:r w:rsidRPr="0043317A">
        <w:rPr>
          <w:snapToGrid w:val="0"/>
          <w:kern w:val="22"/>
          <w:szCs w:val="22"/>
        </w:rPr>
        <w:t>an international legally binding instrument under the United Nations Convention on the Law of the Sea</w:t>
      </w:r>
      <w:r w:rsidRPr="00610646">
        <w:rPr>
          <w:rStyle w:val="FootnoteReference"/>
          <w:rFonts w:eastAsiaTheme="majorEastAsia"/>
        </w:rPr>
        <w:footnoteReference w:id="326"/>
      </w:r>
      <w:r w:rsidRPr="0043317A">
        <w:rPr>
          <w:snapToGrid w:val="0"/>
          <w:kern w:val="22"/>
          <w:szCs w:val="22"/>
        </w:rPr>
        <w:t xml:space="preserve"> on the conservation and sustainable use of marine biodiversity </w:t>
      </w:r>
      <w:r>
        <w:rPr>
          <w:snapToGrid w:val="0"/>
          <w:kern w:val="22"/>
          <w:szCs w:val="22"/>
        </w:rPr>
        <w:t>of</w:t>
      </w:r>
      <w:r w:rsidRPr="0043317A">
        <w:rPr>
          <w:snapToGrid w:val="0"/>
          <w:kern w:val="22"/>
          <w:szCs w:val="22"/>
        </w:rPr>
        <w:t xml:space="preserve"> areas beyond national jurisdiction</w:t>
      </w:r>
      <w:r>
        <w:rPr>
          <w:snapToGrid w:val="0"/>
          <w:kern w:val="22"/>
          <w:szCs w:val="22"/>
        </w:rPr>
        <w:t>,</w:t>
      </w:r>
      <w:r w:rsidRPr="0043317A">
        <w:rPr>
          <w:snapToGrid w:val="0"/>
          <w:kern w:val="22"/>
          <w:szCs w:val="22"/>
        </w:rPr>
        <w:t xml:space="preserve"> to identify potential options for modalities for collaboration and cooperation with relevant global and regional organizations in the context of</w:t>
      </w:r>
      <w:r>
        <w:rPr>
          <w:snapToGrid w:val="0"/>
          <w:kern w:val="22"/>
          <w:szCs w:val="22"/>
        </w:rPr>
        <w:t xml:space="preserve"> this instrument</w:t>
      </w:r>
      <w:r w:rsidRPr="0043317A">
        <w:rPr>
          <w:snapToGrid w:val="0"/>
          <w:kern w:val="22"/>
          <w:szCs w:val="22"/>
        </w:rPr>
        <w:t>;</w:t>
      </w:r>
      <w:r>
        <w:rPr>
          <w:snapToGrid w:val="0"/>
          <w:kern w:val="22"/>
          <w:szCs w:val="22"/>
        </w:rPr>
        <w:t xml:space="preserve"> </w:t>
      </w:r>
    </w:p>
    <w:p w14:paraId="0CCEF7F9" w14:textId="77777777" w:rsidR="000062FB" w:rsidRDefault="000062FB" w:rsidP="00E35506">
      <w:pPr>
        <w:suppressLineNumbers/>
        <w:suppressAutoHyphens/>
        <w:kinsoku w:val="0"/>
        <w:overflowPunct w:val="0"/>
        <w:autoSpaceDE w:val="0"/>
        <w:autoSpaceDN w:val="0"/>
        <w:spacing w:before="120" w:after="120"/>
        <w:rPr>
          <w:snapToGrid w:val="0"/>
          <w:kern w:val="22"/>
          <w:szCs w:val="22"/>
        </w:rPr>
      </w:pPr>
      <w:r>
        <w:rPr>
          <w:snapToGrid w:val="0"/>
          <w:kern w:val="22"/>
          <w:szCs w:val="22"/>
        </w:rPr>
        <w:tab/>
      </w:r>
      <w:r w:rsidRPr="00844039">
        <w:rPr>
          <w:snapToGrid w:val="0"/>
          <w:kern w:val="22"/>
          <w:szCs w:val="22"/>
        </w:rPr>
        <w:t>1</w:t>
      </w:r>
      <w:r>
        <w:rPr>
          <w:snapToGrid w:val="0"/>
          <w:kern w:val="22"/>
          <w:szCs w:val="22"/>
        </w:rPr>
        <w:t>3</w:t>
      </w:r>
      <w:r w:rsidRPr="00844039">
        <w:rPr>
          <w:snapToGrid w:val="0"/>
          <w:kern w:val="22"/>
          <w:szCs w:val="22"/>
        </w:rPr>
        <w:t>.</w:t>
      </w:r>
      <w:r w:rsidRPr="00844039">
        <w:rPr>
          <w:snapToGrid w:val="0"/>
          <w:kern w:val="22"/>
          <w:szCs w:val="22"/>
        </w:rPr>
        <w:tab/>
      </w:r>
      <w:r w:rsidRPr="00844039">
        <w:rPr>
          <w:i/>
          <w:iCs/>
          <w:snapToGrid w:val="0"/>
          <w:kern w:val="22"/>
          <w:szCs w:val="22"/>
        </w:rPr>
        <w:t>Welcomes</w:t>
      </w:r>
      <w:r w:rsidRPr="00844039">
        <w:rPr>
          <w:snapToGrid w:val="0"/>
          <w:kern w:val="22"/>
          <w:szCs w:val="22"/>
        </w:rPr>
        <w:t xml:space="preserve"> the establishment, by the United Nations Environment Assembly, of an </w:t>
      </w:r>
      <w:r>
        <w:rPr>
          <w:snapToGrid w:val="0"/>
          <w:kern w:val="22"/>
          <w:szCs w:val="22"/>
        </w:rPr>
        <w:t>i</w:t>
      </w:r>
      <w:r w:rsidRPr="00844039">
        <w:rPr>
          <w:snapToGrid w:val="0"/>
          <w:kern w:val="22"/>
          <w:szCs w:val="22"/>
        </w:rPr>
        <w:t xml:space="preserve">ntergovernmental </w:t>
      </w:r>
      <w:r>
        <w:rPr>
          <w:snapToGrid w:val="0"/>
          <w:kern w:val="22"/>
          <w:szCs w:val="22"/>
        </w:rPr>
        <w:t>n</w:t>
      </w:r>
      <w:r w:rsidRPr="00844039">
        <w:rPr>
          <w:snapToGrid w:val="0"/>
          <w:kern w:val="22"/>
          <w:szCs w:val="22"/>
        </w:rPr>
        <w:t xml:space="preserve">egotiating </w:t>
      </w:r>
      <w:r>
        <w:rPr>
          <w:snapToGrid w:val="0"/>
          <w:kern w:val="22"/>
          <w:szCs w:val="22"/>
        </w:rPr>
        <w:t>c</w:t>
      </w:r>
      <w:r w:rsidRPr="00844039">
        <w:rPr>
          <w:snapToGrid w:val="0"/>
          <w:kern w:val="22"/>
          <w:szCs w:val="22"/>
        </w:rPr>
        <w:t xml:space="preserve">ommittee to develop an international legally binding instrument on plastic pollution, </w:t>
      </w:r>
      <w:r w:rsidRPr="00DA5979">
        <w:rPr>
          <w:snapToGrid w:val="0"/>
          <w:kern w:val="22"/>
          <w:szCs w:val="22"/>
        </w:rPr>
        <w:t xml:space="preserve">including in the marine environment, and </w:t>
      </w:r>
      <w:r w:rsidRPr="006D53FB">
        <w:rPr>
          <w:snapToGrid w:val="0"/>
          <w:kern w:val="22"/>
          <w:szCs w:val="22"/>
        </w:rPr>
        <w:t>urges</w:t>
      </w:r>
      <w:r w:rsidRPr="00DA5979">
        <w:rPr>
          <w:snapToGrid w:val="0"/>
          <w:kern w:val="22"/>
          <w:szCs w:val="22"/>
        </w:rPr>
        <w:t xml:space="preserve"> Parties and </w:t>
      </w:r>
      <w:r w:rsidRPr="006D53FB">
        <w:rPr>
          <w:snapToGrid w:val="0"/>
          <w:kern w:val="22"/>
          <w:szCs w:val="22"/>
        </w:rPr>
        <w:t>invites</w:t>
      </w:r>
      <w:r w:rsidRPr="00DA5979">
        <w:rPr>
          <w:snapToGrid w:val="0"/>
          <w:kern w:val="22"/>
          <w:szCs w:val="22"/>
        </w:rPr>
        <w:t xml:space="preserve"> other Governments to support work under this process </w:t>
      </w:r>
      <w:r w:rsidRPr="00554D43">
        <w:rPr>
          <w:snapToGrid w:val="0"/>
          <w:kern w:val="22"/>
          <w:szCs w:val="22"/>
        </w:rPr>
        <w:t>to develop an ambitious, international legally binding instrument on plastic pollution that addresses the full life</w:t>
      </w:r>
      <w:r>
        <w:rPr>
          <w:snapToGrid w:val="0"/>
          <w:kern w:val="22"/>
          <w:szCs w:val="22"/>
        </w:rPr>
        <w:t xml:space="preserve"> </w:t>
      </w:r>
      <w:r w:rsidRPr="00554D43">
        <w:rPr>
          <w:snapToGrid w:val="0"/>
          <w:kern w:val="22"/>
          <w:szCs w:val="22"/>
        </w:rPr>
        <w:t>cycle of plastics;</w:t>
      </w:r>
    </w:p>
    <w:p w14:paraId="7B0BB69D" w14:textId="77777777" w:rsidR="000062FB" w:rsidRDefault="000062FB" w:rsidP="00554D43">
      <w:pPr>
        <w:suppressLineNumbers/>
        <w:suppressAutoHyphens/>
        <w:kinsoku w:val="0"/>
        <w:overflowPunct w:val="0"/>
        <w:autoSpaceDE w:val="0"/>
        <w:autoSpaceDN w:val="0"/>
        <w:spacing w:before="120" w:after="120"/>
        <w:ind w:firstLine="720"/>
        <w:rPr>
          <w:snapToGrid w:val="0"/>
          <w:kern w:val="22"/>
          <w:szCs w:val="22"/>
        </w:rPr>
      </w:pPr>
      <w:r>
        <w:rPr>
          <w:snapToGrid w:val="0"/>
          <w:kern w:val="22"/>
          <w:szCs w:val="22"/>
        </w:rPr>
        <w:t>14.</w:t>
      </w:r>
      <w:r w:rsidRPr="003401BA">
        <w:t xml:space="preserve"> </w:t>
      </w:r>
      <w:r>
        <w:tab/>
      </w:r>
      <w:r w:rsidRPr="00B421C9">
        <w:rPr>
          <w:i/>
          <w:iCs/>
          <w:snapToGrid w:val="0"/>
          <w:kern w:val="22"/>
          <w:szCs w:val="22"/>
        </w:rPr>
        <w:t>Encourages</w:t>
      </w:r>
      <w:r w:rsidRPr="003401BA">
        <w:rPr>
          <w:snapToGrid w:val="0"/>
          <w:kern w:val="22"/>
          <w:szCs w:val="22"/>
        </w:rPr>
        <w:t xml:space="preserve"> Parties and </w:t>
      </w:r>
      <w:r w:rsidRPr="006D53FB">
        <w:rPr>
          <w:snapToGrid w:val="0"/>
          <w:kern w:val="22"/>
          <w:szCs w:val="22"/>
        </w:rPr>
        <w:t>invites</w:t>
      </w:r>
      <w:r>
        <w:rPr>
          <w:snapToGrid w:val="0"/>
          <w:kern w:val="22"/>
          <w:szCs w:val="22"/>
        </w:rPr>
        <w:t xml:space="preserve"> </w:t>
      </w:r>
      <w:r w:rsidRPr="003401BA">
        <w:rPr>
          <w:snapToGrid w:val="0"/>
          <w:kern w:val="22"/>
          <w:szCs w:val="22"/>
        </w:rPr>
        <w:t xml:space="preserve">other Governments as well as indigenous </w:t>
      </w:r>
      <w:r>
        <w:rPr>
          <w:snapToGrid w:val="0"/>
          <w:kern w:val="22"/>
          <w:szCs w:val="22"/>
        </w:rPr>
        <w:t xml:space="preserve">peoples </w:t>
      </w:r>
      <w:r w:rsidRPr="003401BA">
        <w:rPr>
          <w:snapToGrid w:val="0"/>
          <w:kern w:val="22"/>
          <w:szCs w:val="22"/>
        </w:rPr>
        <w:t xml:space="preserve">and local communities and other relevant stakeholders, to take </w:t>
      </w:r>
      <w:r w:rsidRPr="005955AC">
        <w:rPr>
          <w:snapToGrid w:val="0"/>
          <w:kern w:val="22"/>
          <w:szCs w:val="22"/>
        </w:rPr>
        <w:t>measures, as appropriate and</w:t>
      </w:r>
      <w:r w:rsidRPr="003401BA">
        <w:rPr>
          <w:snapToGrid w:val="0"/>
          <w:kern w:val="22"/>
          <w:szCs w:val="22"/>
        </w:rPr>
        <w:t xml:space="preserve"> within their competencies, and in accordance with national and international laws, to avoid, minimize and mitigate the potential significant adverse impacts of anthropogenic underwater noise on marine and coastal biodiversity</w:t>
      </w:r>
      <w:r>
        <w:rPr>
          <w:snapToGrid w:val="0"/>
          <w:kern w:val="22"/>
          <w:szCs w:val="22"/>
        </w:rPr>
        <w:t xml:space="preserve">; </w:t>
      </w:r>
    </w:p>
    <w:p w14:paraId="0B6996DB" w14:textId="77777777" w:rsidR="000062FB" w:rsidRPr="003E6B26" w:rsidRDefault="000062FB" w:rsidP="00E35506">
      <w:pPr>
        <w:suppressLineNumbers/>
        <w:suppressAutoHyphens/>
        <w:kinsoku w:val="0"/>
        <w:overflowPunct w:val="0"/>
        <w:autoSpaceDE w:val="0"/>
        <w:autoSpaceDN w:val="0"/>
        <w:spacing w:before="120" w:after="120"/>
        <w:ind w:firstLine="720"/>
        <w:rPr>
          <w:snapToGrid w:val="0"/>
          <w:kern w:val="22"/>
          <w:szCs w:val="22"/>
        </w:rPr>
      </w:pPr>
      <w:r>
        <w:rPr>
          <w:snapToGrid w:val="0"/>
          <w:kern w:val="22"/>
          <w:szCs w:val="22"/>
        </w:rPr>
        <w:t>15</w:t>
      </w:r>
      <w:r w:rsidRPr="00061112">
        <w:rPr>
          <w:snapToGrid w:val="0"/>
          <w:kern w:val="22"/>
          <w:szCs w:val="22"/>
        </w:rPr>
        <w:t>.</w:t>
      </w:r>
      <w:r w:rsidRPr="00061112">
        <w:rPr>
          <w:snapToGrid w:val="0"/>
          <w:kern w:val="22"/>
          <w:szCs w:val="22"/>
        </w:rPr>
        <w:tab/>
      </w:r>
      <w:r w:rsidRPr="00061112">
        <w:rPr>
          <w:i/>
          <w:iCs/>
          <w:snapToGrid w:val="0"/>
          <w:kern w:val="22"/>
          <w:szCs w:val="22"/>
        </w:rPr>
        <w:t>Requests</w:t>
      </w:r>
      <w:r w:rsidRPr="00061112">
        <w:rPr>
          <w:snapToGrid w:val="0"/>
          <w:kern w:val="22"/>
          <w:szCs w:val="22"/>
        </w:rPr>
        <w:t xml:space="preserve"> the Executive Secretary</w:t>
      </w:r>
      <w:r w:rsidRPr="00D75954">
        <w:rPr>
          <w:snapToGrid w:val="0"/>
          <w:kern w:val="22"/>
          <w:szCs w:val="22"/>
        </w:rPr>
        <w:t xml:space="preserve">, </w:t>
      </w:r>
      <w:r w:rsidRPr="00D75954">
        <w:rPr>
          <w:rStyle w:val="normaltextrun"/>
          <w:rFonts w:eastAsiaTheme="majorEastAsia"/>
          <w:szCs w:val="22"/>
        </w:rPr>
        <w:t>subject to the availability of resources,</w:t>
      </w:r>
      <w:r w:rsidRPr="00E05AA5">
        <w:rPr>
          <w:rStyle w:val="normaltextrun"/>
          <w:rFonts w:eastAsiaTheme="majorEastAsia"/>
          <w:szCs w:val="22"/>
        </w:rPr>
        <w:t xml:space="preserve"> </w:t>
      </w:r>
      <w:r w:rsidRPr="00061112">
        <w:rPr>
          <w:snapToGrid w:val="0"/>
          <w:kern w:val="22"/>
          <w:szCs w:val="22"/>
        </w:rPr>
        <w:t>to support the implementation of marine spatial planning</w:t>
      </w:r>
      <w:r>
        <w:rPr>
          <w:snapToGrid w:val="0"/>
          <w:kern w:val="22"/>
          <w:szCs w:val="22"/>
        </w:rPr>
        <w:t xml:space="preserve"> </w:t>
      </w:r>
      <w:r>
        <w:rPr>
          <w:szCs w:val="22"/>
        </w:rPr>
        <w:t>and</w:t>
      </w:r>
      <w:r w:rsidRPr="00E05AA5">
        <w:rPr>
          <w:szCs w:val="22"/>
        </w:rPr>
        <w:t xml:space="preserve"> integrated coastal zone </w:t>
      </w:r>
      <w:r>
        <w:rPr>
          <w:szCs w:val="22"/>
        </w:rPr>
        <w:t>management</w:t>
      </w:r>
      <w:r w:rsidRPr="00061112">
        <w:rPr>
          <w:snapToGrid w:val="0"/>
          <w:kern w:val="22"/>
          <w:szCs w:val="22"/>
        </w:rPr>
        <w:t>, including through capacity</w:t>
      </w:r>
      <w:r>
        <w:rPr>
          <w:snapToGrid w:val="0"/>
          <w:kern w:val="22"/>
          <w:szCs w:val="22"/>
        </w:rPr>
        <w:t>-</w:t>
      </w:r>
      <w:r w:rsidRPr="00527909">
        <w:rPr>
          <w:snapToGrid w:val="0"/>
          <w:kern w:val="22"/>
          <w:szCs w:val="22"/>
        </w:rPr>
        <w:t xml:space="preserve">building, technical assistance, technology transfer and partnership activities under, </w:t>
      </w:r>
      <w:r w:rsidRPr="00E37E16">
        <w:rPr>
          <w:snapToGrid w:val="0"/>
          <w:kern w:val="22"/>
          <w:szCs w:val="22"/>
        </w:rPr>
        <w:t>inter alia</w:t>
      </w:r>
      <w:r w:rsidRPr="00700326">
        <w:rPr>
          <w:snapToGrid w:val="0"/>
          <w:kern w:val="22"/>
          <w:szCs w:val="22"/>
        </w:rPr>
        <w:t>,</w:t>
      </w:r>
      <w:r w:rsidRPr="00527909">
        <w:rPr>
          <w:snapToGrid w:val="0"/>
          <w:kern w:val="22"/>
          <w:szCs w:val="22"/>
        </w:rPr>
        <w:t xml:space="preserve"> the Sustainable Ocean Initiative and other relevant initiatives, in collaboration with Parties, </w:t>
      </w:r>
      <w:r>
        <w:rPr>
          <w:snapToGrid w:val="0"/>
          <w:kern w:val="22"/>
          <w:szCs w:val="22"/>
        </w:rPr>
        <w:t>o</w:t>
      </w:r>
      <w:r w:rsidRPr="00527909">
        <w:rPr>
          <w:snapToGrid w:val="0"/>
          <w:kern w:val="22"/>
          <w:szCs w:val="22"/>
        </w:rPr>
        <w:t xml:space="preserve">ther Governments, </w:t>
      </w:r>
      <w:r w:rsidRPr="00527909">
        <w:rPr>
          <w:rStyle w:val="normaltextrun"/>
          <w:rFonts w:eastAsiaTheme="majorEastAsia"/>
          <w:szCs w:val="22"/>
        </w:rPr>
        <w:t>indigenous peoples</w:t>
      </w:r>
      <w:r w:rsidRPr="008B4FCC">
        <w:rPr>
          <w:rStyle w:val="normaltextrun"/>
          <w:rFonts w:eastAsiaTheme="majorEastAsia"/>
        </w:rPr>
        <w:t xml:space="preserve"> and </w:t>
      </w:r>
      <w:r w:rsidRPr="00527909">
        <w:rPr>
          <w:rStyle w:val="normaltextrun"/>
          <w:rFonts w:eastAsiaTheme="majorEastAsia"/>
          <w:szCs w:val="22"/>
        </w:rPr>
        <w:t>local communities</w:t>
      </w:r>
      <w:r>
        <w:rPr>
          <w:rStyle w:val="normaltextrun"/>
          <w:rFonts w:eastAsiaTheme="majorEastAsia"/>
          <w:szCs w:val="22"/>
        </w:rPr>
        <w:t xml:space="preserve"> as rights holders, in accordance with </w:t>
      </w:r>
      <w:r w:rsidRPr="009051BA">
        <w:rPr>
          <w:snapToGrid w:val="0"/>
          <w:kern w:val="22"/>
          <w:szCs w:val="22"/>
        </w:rPr>
        <w:t>United Nations Declaration on the Rights of Indigenous Peoples</w:t>
      </w:r>
      <w:r>
        <w:rPr>
          <w:snapToGrid w:val="0"/>
          <w:kern w:val="22"/>
          <w:szCs w:val="22"/>
        </w:rPr>
        <w:t xml:space="preserve"> </w:t>
      </w:r>
      <w:r>
        <w:rPr>
          <w:rStyle w:val="normaltextrun"/>
          <w:rFonts w:eastAsiaTheme="majorEastAsia"/>
          <w:szCs w:val="22"/>
        </w:rPr>
        <w:t>and international human rights law</w:t>
      </w:r>
      <w:r>
        <w:rPr>
          <w:snapToGrid w:val="0"/>
          <w:kern w:val="22"/>
          <w:szCs w:val="22"/>
        </w:rPr>
        <w:t xml:space="preserve">, </w:t>
      </w:r>
      <w:r w:rsidRPr="00527909">
        <w:rPr>
          <w:snapToGrid w:val="0"/>
          <w:kern w:val="22"/>
          <w:szCs w:val="22"/>
        </w:rPr>
        <w:t xml:space="preserve">relevant organizations </w:t>
      </w:r>
      <w:r w:rsidRPr="00A06F9F">
        <w:rPr>
          <w:rStyle w:val="normaltextrun"/>
          <w:rFonts w:eastAsiaTheme="majorEastAsia"/>
          <w:szCs w:val="22"/>
        </w:rPr>
        <w:t xml:space="preserve">and </w:t>
      </w:r>
      <w:r>
        <w:rPr>
          <w:rStyle w:val="normaltextrun"/>
          <w:rFonts w:eastAsiaTheme="majorEastAsia"/>
          <w:szCs w:val="22"/>
        </w:rPr>
        <w:t xml:space="preserve">other </w:t>
      </w:r>
      <w:r w:rsidRPr="00A06F9F">
        <w:rPr>
          <w:rStyle w:val="normaltextrun"/>
          <w:rFonts w:eastAsiaTheme="majorEastAsia"/>
          <w:szCs w:val="22"/>
        </w:rPr>
        <w:t>stakeholders, including women and youth</w:t>
      </w:r>
      <w:r w:rsidRPr="00527909">
        <w:rPr>
          <w:snapToGrid w:val="0"/>
          <w:kern w:val="22"/>
          <w:szCs w:val="22"/>
        </w:rPr>
        <w:t>;</w:t>
      </w:r>
      <w:r>
        <w:rPr>
          <w:snapToGrid w:val="0"/>
          <w:kern w:val="22"/>
          <w:szCs w:val="22"/>
        </w:rPr>
        <w:t xml:space="preserve"> </w:t>
      </w:r>
    </w:p>
    <w:p w14:paraId="6CCCFFBC" w14:textId="77777777" w:rsidR="000062FB" w:rsidRDefault="000062FB" w:rsidP="00E35506">
      <w:pPr>
        <w:suppressLineNumbers/>
        <w:suppressAutoHyphens/>
        <w:kinsoku w:val="0"/>
        <w:overflowPunct w:val="0"/>
        <w:autoSpaceDE w:val="0"/>
        <w:autoSpaceDN w:val="0"/>
        <w:spacing w:before="120" w:after="120"/>
        <w:ind w:firstLine="720"/>
        <w:rPr>
          <w:snapToGrid w:val="0"/>
          <w:kern w:val="22"/>
          <w:szCs w:val="22"/>
        </w:rPr>
      </w:pPr>
      <w:r w:rsidRPr="00D150B1">
        <w:rPr>
          <w:color w:val="000000"/>
          <w:szCs w:val="22"/>
        </w:rPr>
        <w:t>16.</w:t>
      </w:r>
      <w:r w:rsidRPr="00D150B1">
        <w:rPr>
          <w:rStyle w:val="apple-converted-space"/>
          <w:color w:val="000000"/>
          <w:szCs w:val="22"/>
        </w:rPr>
        <w:tab/>
      </w:r>
      <w:r w:rsidRPr="00D150B1">
        <w:rPr>
          <w:i/>
          <w:iCs/>
          <w:color w:val="000000"/>
          <w:szCs w:val="22"/>
        </w:rPr>
        <w:t>Encourages</w:t>
      </w:r>
      <w:r w:rsidRPr="00D150B1">
        <w:rPr>
          <w:rStyle w:val="apple-converted-space"/>
          <w:color w:val="000000"/>
          <w:szCs w:val="22"/>
        </w:rPr>
        <w:t xml:space="preserve"> </w:t>
      </w:r>
      <w:r w:rsidRPr="00D150B1">
        <w:rPr>
          <w:color w:val="000000"/>
          <w:szCs w:val="22"/>
        </w:rPr>
        <w:t>Parties and</w:t>
      </w:r>
      <w:r w:rsidRPr="00D150B1">
        <w:rPr>
          <w:rStyle w:val="apple-converted-space"/>
          <w:color w:val="000000"/>
          <w:szCs w:val="22"/>
        </w:rPr>
        <w:t xml:space="preserve"> </w:t>
      </w:r>
      <w:r w:rsidRPr="006D53FB">
        <w:rPr>
          <w:color w:val="000000"/>
          <w:szCs w:val="22"/>
        </w:rPr>
        <w:t>invites</w:t>
      </w:r>
      <w:r w:rsidRPr="006D53FB">
        <w:rPr>
          <w:rStyle w:val="apple-converted-space"/>
          <w:color w:val="000000"/>
          <w:szCs w:val="22"/>
        </w:rPr>
        <w:t xml:space="preserve"> </w:t>
      </w:r>
      <w:r w:rsidRPr="00D150B1">
        <w:rPr>
          <w:color w:val="000000"/>
          <w:szCs w:val="22"/>
        </w:rPr>
        <w:t xml:space="preserve">other Governments to ensure that, before deep seabed mineral exploitation activities take place, the impacts on the marine environment and biodiversity are sufficiently researched and the risks understood, the technologies and operational practices do not cause harmful effects to the marine environment and biodiversity, and appropriate rules, regulations and procedures are put in place by the International Seabed Authority, in accordance with the best available science and the traditional knowledge of indigenous peoples and local communities with their free, prior and informed consent, and the precautionary and ecosystem approaches, and </w:t>
      </w:r>
      <w:r w:rsidRPr="006D53FB">
        <w:rPr>
          <w:color w:val="000000"/>
          <w:szCs w:val="22"/>
        </w:rPr>
        <w:t xml:space="preserve">in a manner that is </w:t>
      </w:r>
      <w:r w:rsidRPr="00D150B1">
        <w:rPr>
          <w:color w:val="000000"/>
          <w:szCs w:val="22"/>
        </w:rPr>
        <w:t>consistent with the United Nations Convention on the Law of the Sea and other relevant international law;</w:t>
      </w:r>
      <w:r>
        <w:rPr>
          <w:color w:val="000000"/>
          <w:szCs w:val="22"/>
        </w:rPr>
        <w:t xml:space="preserve"> </w:t>
      </w:r>
    </w:p>
    <w:p w14:paraId="0F7BC7A3" w14:textId="77777777" w:rsidR="000062FB" w:rsidRDefault="000062FB" w:rsidP="00E35506">
      <w:pPr>
        <w:suppressLineNumbers/>
        <w:suppressAutoHyphens/>
        <w:kinsoku w:val="0"/>
        <w:overflowPunct w:val="0"/>
        <w:autoSpaceDE w:val="0"/>
        <w:autoSpaceDN w:val="0"/>
        <w:spacing w:before="120" w:after="120"/>
        <w:ind w:firstLine="720"/>
        <w:rPr>
          <w:snapToGrid w:val="0"/>
          <w:kern w:val="22"/>
          <w:szCs w:val="22"/>
        </w:rPr>
      </w:pPr>
      <w:r w:rsidRPr="00061112">
        <w:rPr>
          <w:snapToGrid w:val="0"/>
          <w:kern w:val="22"/>
          <w:szCs w:val="22"/>
        </w:rPr>
        <w:t>1</w:t>
      </w:r>
      <w:r>
        <w:rPr>
          <w:snapToGrid w:val="0"/>
          <w:kern w:val="22"/>
          <w:szCs w:val="22"/>
        </w:rPr>
        <w:t>7.</w:t>
      </w:r>
      <w:r w:rsidRPr="00061112">
        <w:rPr>
          <w:snapToGrid w:val="0"/>
          <w:kern w:val="22"/>
          <w:szCs w:val="22"/>
        </w:rPr>
        <w:tab/>
      </w:r>
      <w:r w:rsidRPr="00061112">
        <w:rPr>
          <w:i/>
          <w:iCs/>
          <w:snapToGrid w:val="0"/>
          <w:kern w:val="22"/>
          <w:szCs w:val="22"/>
        </w:rPr>
        <w:t>Welcomes</w:t>
      </w:r>
      <w:r w:rsidRPr="00061112">
        <w:rPr>
          <w:snapToGrid w:val="0"/>
          <w:kern w:val="22"/>
          <w:szCs w:val="22"/>
        </w:rPr>
        <w:t xml:space="preserve"> the cooperation</w:t>
      </w:r>
      <w:r w:rsidRPr="00061112">
        <w:rPr>
          <w:i/>
          <w:iCs/>
          <w:snapToGrid w:val="0"/>
          <w:kern w:val="22"/>
          <w:szCs w:val="22"/>
        </w:rPr>
        <w:t xml:space="preserve"> </w:t>
      </w:r>
      <w:r w:rsidRPr="00061112">
        <w:rPr>
          <w:snapToGrid w:val="0"/>
          <w:kern w:val="22"/>
          <w:szCs w:val="22"/>
        </w:rPr>
        <w:t xml:space="preserve">between the Food and Agriculture Organization of the United Nations, the International Union for Conservation of Nature and the </w:t>
      </w:r>
      <w:r>
        <w:rPr>
          <w:snapToGrid w:val="0"/>
          <w:kern w:val="22"/>
          <w:szCs w:val="22"/>
        </w:rPr>
        <w:t>Secretariat of the Convention on Biological Diversity</w:t>
      </w:r>
      <w:r w:rsidRPr="00061112">
        <w:rPr>
          <w:snapToGrid w:val="0"/>
          <w:kern w:val="22"/>
          <w:szCs w:val="22"/>
        </w:rPr>
        <w:t xml:space="preserve"> to support efforts to mainstream the conservation and sustainable use of biodiversity in fisheries</w:t>
      </w:r>
      <w:r>
        <w:rPr>
          <w:snapToGrid w:val="0"/>
          <w:kern w:val="22"/>
          <w:szCs w:val="22"/>
        </w:rPr>
        <w:t xml:space="preserve"> and aquaculture</w:t>
      </w:r>
      <w:r w:rsidRPr="00061112">
        <w:rPr>
          <w:snapToGrid w:val="0"/>
          <w:kern w:val="22"/>
          <w:szCs w:val="22"/>
        </w:rPr>
        <w:t xml:space="preserve">, and </w:t>
      </w:r>
      <w:r w:rsidRPr="006D53FB">
        <w:rPr>
          <w:iCs/>
          <w:kern w:val="22"/>
        </w:rPr>
        <w:t>requests</w:t>
      </w:r>
      <w:r w:rsidRPr="00061112">
        <w:rPr>
          <w:snapToGrid w:val="0"/>
          <w:kern w:val="22"/>
          <w:szCs w:val="22"/>
        </w:rPr>
        <w:t xml:space="preserve"> the Executive Secretary to continue this cooperation in an open and transparent manner</w:t>
      </w:r>
      <w:r>
        <w:rPr>
          <w:snapToGrid w:val="0"/>
          <w:kern w:val="22"/>
          <w:szCs w:val="22"/>
        </w:rPr>
        <w:t xml:space="preserve">, </w:t>
      </w:r>
      <w:r w:rsidRPr="00061112">
        <w:rPr>
          <w:snapToGrid w:val="0"/>
          <w:kern w:val="22"/>
          <w:szCs w:val="22"/>
        </w:rPr>
        <w:t xml:space="preserve">building on </w:t>
      </w:r>
      <w:r>
        <w:rPr>
          <w:snapToGrid w:val="0"/>
          <w:kern w:val="22"/>
          <w:szCs w:val="22"/>
        </w:rPr>
        <w:t xml:space="preserve">the guidance and advice contained in decision 14/8, the </w:t>
      </w:r>
      <w:r w:rsidRPr="00061112">
        <w:rPr>
          <w:snapToGrid w:val="0"/>
          <w:kern w:val="22"/>
          <w:szCs w:val="22"/>
        </w:rPr>
        <w:t>results of the Expert Meeting on Other Effective Area-Based Conservation Measures in the Marine Capture Fishery Sector</w:t>
      </w:r>
      <w:r w:rsidRPr="00610646">
        <w:rPr>
          <w:rStyle w:val="FootnoteReference"/>
        </w:rPr>
        <w:footnoteReference w:id="327"/>
      </w:r>
      <w:r>
        <w:rPr>
          <w:snapToGrid w:val="0"/>
          <w:kern w:val="22"/>
          <w:szCs w:val="22"/>
        </w:rPr>
        <w:t xml:space="preserve"> and the guidelines of the International Union for Conservation of Nature on “Recognizing and reporting </w:t>
      </w:r>
      <w:r w:rsidRPr="00061112">
        <w:rPr>
          <w:snapToGrid w:val="0"/>
          <w:kern w:val="22"/>
          <w:szCs w:val="22"/>
        </w:rPr>
        <w:t>other effective area</w:t>
      </w:r>
      <w:r>
        <w:rPr>
          <w:snapToGrid w:val="0"/>
          <w:kern w:val="22"/>
          <w:szCs w:val="22"/>
        </w:rPr>
        <w:noBreakHyphen/>
      </w:r>
      <w:r w:rsidRPr="00061112">
        <w:rPr>
          <w:snapToGrid w:val="0"/>
          <w:kern w:val="22"/>
          <w:szCs w:val="22"/>
        </w:rPr>
        <w:t>based conservation measures</w:t>
      </w:r>
      <w:r>
        <w:rPr>
          <w:snapToGrid w:val="0"/>
          <w:kern w:val="22"/>
          <w:szCs w:val="22"/>
        </w:rPr>
        <w:t>”</w:t>
      </w:r>
      <w:r w:rsidRPr="00FE65D2">
        <w:rPr>
          <w:snapToGrid w:val="0"/>
          <w:kern w:val="22"/>
          <w:szCs w:val="22"/>
        </w:rPr>
        <w:t>,</w:t>
      </w:r>
      <w:r w:rsidRPr="00610646">
        <w:rPr>
          <w:rStyle w:val="FootnoteReference"/>
        </w:rPr>
        <w:footnoteReference w:id="328"/>
      </w:r>
      <w:r w:rsidRPr="00061112">
        <w:rPr>
          <w:snapToGrid w:val="0"/>
          <w:kern w:val="22"/>
          <w:szCs w:val="22"/>
        </w:rPr>
        <w:t xml:space="preserve"> including for the development of</w:t>
      </w:r>
      <w:r>
        <w:rPr>
          <w:snapToGrid w:val="0"/>
          <w:kern w:val="22"/>
          <w:szCs w:val="22"/>
        </w:rPr>
        <w:t xml:space="preserve"> </w:t>
      </w:r>
      <w:r w:rsidRPr="00061112">
        <w:rPr>
          <w:snapToGrid w:val="0"/>
          <w:kern w:val="22"/>
          <w:szCs w:val="22"/>
        </w:rPr>
        <w:t>voluntary guidance on identifying and applying other effective area</w:t>
      </w:r>
      <w:r>
        <w:rPr>
          <w:snapToGrid w:val="0"/>
          <w:kern w:val="22"/>
          <w:szCs w:val="22"/>
        </w:rPr>
        <w:noBreakHyphen/>
      </w:r>
      <w:r w:rsidRPr="00061112">
        <w:rPr>
          <w:snapToGrid w:val="0"/>
          <w:kern w:val="22"/>
          <w:szCs w:val="22"/>
        </w:rPr>
        <w:t>based conservation measures in fisheries</w:t>
      </w:r>
      <w:r>
        <w:rPr>
          <w:snapToGrid w:val="0"/>
          <w:kern w:val="22"/>
          <w:szCs w:val="22"/>
        </w:rPr>
        <w:t>, in collaboration with the Food and Agriculture Organization of the United Nations</w:t>
      </w:r>
      <w:r w:rsidRPr="00061112">
        <w:rPr>
          <w:snapToGrid w:val="0"/>
          <w:kern w:val="22"/>
          <w:szCs w:val="22"/>
        </w:rPr>
        <w:t>;</w:t>
      </w:r>
      <w:r>
        <w:rPr>
          <w:snapToGrid w:val="0"/>
          <w:kern w:val="22"/>
          <w:szCs w:val="22"/>
        </w:rPr>
        <w:t xml:space="preserve"> </w:t>
      </w:r>
    </w:p>
    <w:p w14:paraId="1AA660E7" w14:textId="77777777" w:rsidR="000062FB" w:rsidRPr="00A06F9F" w:rsidRDefault="000062FB" w:rsidP="00E35506">
      <w:pPr>
        <w:pStyle w:val="paragraph"/>
        <w:spacing w:before="0" w:beforeAutospacing="0" w:after="0" w:afterAutospacing="0"/>
        <w:ind w:firstLine="720"/>
        <w:jc w:val="both"/>
        <w:textAlignment w:val="baseline"/>
        <w:rPr>
          <w:rFonts w:eastAsiaTheme="majorEastAsia"/>
          <w:szCs w:val="22"/>
        </w:rPr>
      </w:pPr>
      <w:r w:rsidRPr="00A06F9F">
        <w:rPr>
          <w:rStyle w:val="normaltextrun"/>
          <w:rFonts w:eastAsiaTheme="majorEastAsia"/>
          <w:sz w:val="22"/>
          <w:szCs w:val="22"/>
        </w:rPr>
        <w:t>1</w:t>
      </w:r>
      <w:r>
        <w:rPr>
          <w:rStyle w:val="normaltextrun"/>
          <w:rFonts w:eastAsiaTheme="majorEastAsia"/>
          <w:sz w:val="22"/>
          <w:szCs w:val="22"/>
        </w:rPr>
        <w:t>8</w:t>
      </w:r>
      <w:r w:rsidRPr="00A06F9F">
        <w:rPr>
          <w:rStyle w:val="normaltextrun"/>
          <w:rFonts w:eastAsiaTheme="majorEastAsia"/>
          <w:sz w:val="22"/>
          <w:szCs w:val="22"/>
        </w:rPr>
        <w:t xml:space="preserve">. </w:t>
      </w:r>
      <w:r>
        <w:rPr>
          <w:rStyle w:val="normaltextrun"/>
          <w:rFonts w:eastAsiaTheme="majorEastAsia"/>
          <w:sz w:val="22"/>
          <w:szCs w:val="22"/>
        </w:rPr>
        <w:tab/>
      </w:r>
      <w:r>
        <w:rPr>
          <w:rStyle w:val="normaltextrun"/>
          <w:rFonts w:eastAsiaTheme="majorEastAsia"/>
          <w:i/>
          <w:sz w:val="22"/>
          <w:szCs w:val="22"/>
        </w:rPr>
        <w:t>R</w:t>
      </w:r>
      <w:r w:rsidRPr="00A06F9F">
        <w:rPr>
          <w:rStyle w:val="normaltextrun"/>
          <w:rFonts w:eastAsiaTheme="majorEastAsia"/>
          <w:i/>
          <w:sz w:val="22"/>
          <w:szCs w:val="22"/>
        </w:rPr>
        <w:t>equests</w:t>
      </w:r>
      <w:r w:rsidRPr="00A06F9F">
        <w:rPr>
          <w:rStyle w:val="normaltextrun"/>
          <w:rFonts w:eastAsiaTheme="majorEastAsia"/>
          <w:sz w:val="22"/>
          <w:szCs w:val="22"/>
        </w:rPr>
        <w:t xml:space="preserve"> the Executive Secretary</w:t>
      </w:r>
      <w:r>
        <w:rPr>
          <w:rStyle w:val="normaltextrun"/>
          <w:rFonts w:eastAsiaTheme="majorEastAsia"/>
          <w:sz w:val="22"/>
          <w:szCs w:val="22"/>
        </w:rPr>
        <w:t>, in collaboration with relevant organizations,</w:t>
      </w:r>
      <w:r w:rsidRPr="00A06F9F">
        <w:rPr>
          <w:rStyle w:val="normaltextrun"/>
          <w:rFonts w:eastAsiaTheme="majorEastAsia"/>
          <w:sz w:val="22"/>
          <w:szCs w:val="22"/>
        </w:rPr>
        <w:t xml:space="preserve"> to prepare a compilation and synthesis of information on efforts for the</w:t>
      </w:r>
      <w:r>
        <w:rPr>
          <w:rStyle w:val="normaltextrun"/>
          <w:rFonts w:eastAsiaTheme="majorEastAsia"/>
          <w:sz w:val="22"/>
          <w:szCs w:val="22"/>
        </w:rPr>
        <w:t xml:space="preserve"> identification and recognition of </w:t>
      </w:r>
      <w:r w:rsidRPr="00A06F9F">
        <w:rPr>
          <w:rStyle w:val="normaltextrun"/>
          <w:rFonts w:eastAsiaTheme="majorEastAsia"/>
          <w:sz w:val="22"/>
          <w:szCs w:val="22"/>
        </w:rPr>
        <w:t xml:space="preserve">other effective area-based conservation measures </w:t>
      </w:r>
      <w:r>
        <w:rPr>
          <w:rStyle w:val="normaltextrun"/>
          <w:rFonts w:eastAsiaTheme="majorEastAsia"/>
          <w:sz w:val="22"/>
          <w:szCs w:val="22"/>
        </w:rPr>
        <w:t>and for the</w:t>
      </w:r>
      <w:r w:rsidRPr="00A06F9F">
        <w:rPr>
          <w:rStyle w:val="normaltextrun"/>
          <w:rFonts w:eastAsiaTheme="majorEastAsia"/>
          <w:sz w:val="22"/>
          <w:szCs w:val="22"/>
        </w:rPr>
        <w:t xml:space="preserve"> </w:t>
      </w:r>
      <w:r>
        <w:rPr>
          <w:rStyle w:val="normaltextrun"/>
          <w:rFonts w:eastAsiaTheme="majorEastAsia"/>
          <w:sz w:val="22"/>
          <w:szCs w:val="22"/>
        </w:rPr>
        <w:t>establishment</w:t>
      </w:r>
      <w:r w:rsidRPr="00A06F9F">
        <w:rPr>
          <w:rStyle w:val="normaltextrun"/>
          <w:rFonts w:eastAsiaTheme="majorEastAsia"/>
          <w:sz w:val="22"/>
          <w:szCs w:val="22"/>
        </w:rPr>
        <w:t xml:space="preserve"> and management of marine protected areas and other effective area-based conservation measures in marine and coastal areas;</w:t>
      </w:r>
      <w:r>
        <w:rPr>
          <w:rStyle w:val="normaltextrun"/>
          <w:rFonts w:eastAsiaTheme="majorEastAsia"/>
          <w:sz w:val="22"/>
          <w:szCs w:val="22"/>
        </w:rPr>
        <w:t xml:space="preserve"> </w:t>
      </w:r>
    </w:p>
    <w:p w14:paraId="7BE04998" w14:textId="77777777" w:rsidR="000062FB" w:rsidRPr="00061112" w:rsidRDefault="000062FB" w:rsidP="00E35506">
      <w:pPr>
        <w:suppressLineNumbers/>
        <w:suppressAutoHyphens/>
        <w:kinsoku w:val="0"/>
        <w:overflowPunct w:val="0"/>
        <w:autoSpaceDE w:val="0"/>
        <w:autoSpaceDN w:val="0"/>
        <w:spacing w:before="120" w:after="120"/>
        <w:ind w:firstLine="720"/>
        <w:rPr>
          <w:snapToGrid w:val="0"/>
          <w:kern w:val="22"/>
          <w:szCs w:val="22"/>
        </w:rPr>
      </w:pPr>
      <w:r w:rsidRPr="00061112">
        <w:rPr>
          <w:snapToGrid w:val="0"/>
          <w:kern w:val="22"/>
          <w:szCs w:val="22"/>
        </w:rPr>
        <w:t>1</w:t>
      </w:r>
      <w:r>
        <w:rPr>
          <w:snapToGrid w:val="0"/>
          <w:kern w:val="22"/>
          <w:szCs w:val="22"/>
        </w:rPr>
        <w:t>9</w:t>
      </w:r>
      <w:r w:rsidRPr="00061112">
        <w:rPr>
          <w:snapToGrid w:val="0"/>
          <w:kern w:val="22"/>
          <w:szCs w:val="22"/>
        </w:rPr>
        <w:t>.</w:t>
      </w:r>
      <w:r w:rsidRPr="00061112">
        <w:rPr>
          <w:i/>
          <w:snapToGrid w:val="0"/>
          <w:kern w:val="22"/>
          <w:szCs w:val="22"/>
        </w:rPr>
        <w:tab/>
      </w:r>
      <w:r>
        <w:rPr>
          <w:i/>
          <w:iCs/>
          <w:snapToGrid w:val="0"/>
          <w:kern w:val="22"/>
          <w:szCs w:val="22"/>
        </w:rPr>
        <w:t>W</w:t>
      </w:r>
      <w:r w:rsidRPr="00061112">
        <w:rPr>
          <w:i/>
          <w:iCs/>
          <w:snapToGrid w:val="0"/>
          <w:kern w:val="22"/>
          <w:szCs w:val="22"/>
        </w:rPr>
        <w:t>elcomes</w:t>
      </w:r>
      <w:r w:rsidRPr="00061112">
        <w:rPr>
          <w:snapToGrid w:val="0"/>
          <w:kern w:val="22"/>
          <w:szCs w:val="22"/>
        </w:rPr>
        <w:t xml:space="preserve"> the capacity-building</w:t>
      </w:r>
      <w:r>
        <w:rPr>
          <w:snapToGrid w:val="0"/>
          <w:kern w:val="22"/>
          <w:szCs w:val="22"/>
        </w:rPr>
        <w:t>, experience-sharing</w:t>
      </w:r>
      <w:r w:rsidRPr="00061112">
        <w:rPr>
          <w:snapToGrid w:val="0"/>
          <w:kern w:val="22"/>
          <w:szCs w:val="22"/>
        </w:rPr>
        <w:t xml:space="preserve"> and partnership activities being facilitated by the Executive Secretary, </w:t>
      </w:r>
      <w:r>
        <w:rPr>
          <w:snapToGrid w:val="0"/>
          <w:kern w:val="22"/>
          <w:szCs w:val="22"/>
        </w:rPr>
        <w:t>notably</w:t>
      </w:r>
      <w:r w:rsidRPr="00061112">
        <w:rPr>
          <w:snapToGrid w:val="0"/>
          <w:kern w:val="22"/>
          <w:szCs w:val="22"/>
        </w:rPr>
        <w:t xml:space="preserve"> through the Sustainable Ocean Initiative, at the national, regional and global levels</w:t>
      </w:r>
      <w:r>
        <w:rPr>
          <w:snapToGrid w:val="0"/>
          <w:kern w:val="22"/>
          <w:szCs w:val="22"/>
        </w:rPr>
        <w:t>,</w:t>
      </w:r>
      <w:r w:rsidRPr="00061112">
        <w:rPr>
          <w:snapToGrid w:val="0"/>
          <w:kern w:val="22"/>
          <w:szCs w:val="22"/>
        </w:rPr>
        <w:t xml:space="preserve"> in collaboration with Parties, </w:t>
      </w:r>
      <w:r>
        <w:rPr>
          <w:snapToGrid w:val="0"/>
          <w:kern w:val="22"/>
          <w:szCs w:val="22"/>
        </w:rPr>
        <w:t>o</w:t>
      </w:r>
      <w:r w:rsidRPr="00061112">
        <w:rPr>
          <w:snapToGrid w:val="0"/>
          <w:kern w:val="22"/>
          <w:szCs w:val="22"/>
        </w:rPr>
        <w:t>ther Governments</w:t>
      </w:r>
      <w:r>
        <w:rPr>
          <w:snapToGrid w:val="0"/>
          <w:kern w:val="22"/>
          <w:szCs w:val="22"/>
        </w:rPr>
        <w:t>, subnational governments, where appropriate, indigenous peoples and local communities, women, youth,</w:t>
      </w:r>
      <w:r w:rsidRPr="00061112">
        <w:rPr>
          <w:snapToGrid w:val="0"/>
          <w:kern w:val="22"/>
          <w:szCs w:val="22"/>
        </w:rPr>
        <w:t xml:space="preserve"> and relevant organizations, </w:t>
      </w:r>
      <w:r w:rsidRPr="006D53FB">
        <w:rPr>
          <w:iCs/>
          <w:snapToGrid w:val="0"/>
          <w:kern w:val="22"/>
          <w:szCs w:val="22"/>
        </w:rPr>
        <w:t>expresses its gratitude</w:t>
      </w:r>
      <w:r w:rsidRPr="00061112">
        <w:rPr>
          <w:snapToGrid w:val="0"/>
          <w:kern w:val="22"/>
          <w:szCs w:val="22"/>
        </w:rPr>
        <w:t xml:space="preserve"> to donor countries and many other partners for providing financial and technical support for the implementation of activities under the Sustainable Ocean Initiative, and </w:t>
      </w:r>
      <w:r w:rsidRPr="006D53FB">
        <w:rPr>
          <w:iCs/>
          <w:kern w:val="22"/>
        </w:rPr>
        <w:t>requests</w:t>
      </w:r>
      <w:r w:rsidRPr="00061112">
        <w:rPr>
          <w:snapToGrid w:val="0"/>
          <w:kern w:val="22"/>
          <w:szCs w:val="22"/>
        </w:rPr>
        <w:t xml:space="preserve"> the Executive Secretary to continue to facilitate</w:t>
      </w:r>
      <w:r>
        <w:rPr>
          <w:snapToGrid w:val="0"/>
          <w:kern w:val="22"/>
          <w:szCs w:val="22"/>
        </w:rPr>
        <w:t xml:space="preserve"> </w:t>
      </w:r>
      <w:r w:rsidRPr="00061112">
        <w:rPr>
          <w:snapToGrid w:val="0"/>
          <w:kern w:val="22"/>
          <w:szCs w:val="22"/>
        </w:rPr>
        <w:t xml:space="preserve">capacity-building activities under the Sustainable Ocean Initiative in order to </w:t>
      </w:r>
      <w:r>
        <w:rPr>
          <w:snapToGrid w:val="0"/>
          <w:kern w:val="22"/>
          <w:szCs w:val="22"/>
        </w:rPr>
        <w:t>support the</w:t>
      </w:r>
      <w:r w:rsidRPr="00061112">
        <w:rPr>
          <w:snapToGrid w:val="0"/>
          <w:kern w:val="22"/>
          <w:szCs w:val="22"/>
        </w:rPr>
        <w:t xml:space="preserve"> implementation of the </w:t>
      </w:r>
      <w:r>
        <w:rPr>
          <w:snapToGrid w:val="0"/>
          <w:kern w:val="22"/>
          <w:szCs w:val="22"/>
        </w:rPr>
        <w:t>Kunming-Montreal</w:t>
      </w:r>
      <w:r w:rsidRPr="00061112">
        <w:rPr>
          <w:snapToGrid w:val="0"/>
          <w:kern w:val="22"/>
          <w:szCs w:val="22"/>
        </w:rPr>
        <w:t xml:space="preserve"> </w:t>
      </w:r>
      <w:r>
        <w:rPr>
          <w:snapToGrid w:val="0"/>
          <w:kern w:val="22"/>
          <w:szCs w:val="22"/>
        </w:rPr>
        <w:t>G</w:t>
      </w:r>
      <w:r w:rsidRPr="00061112">
        <w:rPr>
          <w:snapToGrid w:val="0"/>
          <w:kern w:val="22"/>
          <w:szCs w:val="22"/>
        </w:rPr>
        <w:t xml:space="preserve">lobal </w:t>
      </w:r>
      <w:r>
        <w:rPr>
          <w:snapToGrid w:val="0"/>
          <w:kern w:val="22"/>
          <w:szCs w:val="22"/>
        </w:rPr>
        <w:t>B</w:t>
      </w:r>
      <w:r w:rsidRPr="00061112">
        <w:rPr>
          <w:snapToGrid w:val="0"/>
          <w:kern w:val="22"/>
          <w:szCs w:val="22"/>
        </w:rPr>
        <w:t xml:space="preserve">iodiversity </w:t>
      </w:r>
      <w:r>
        <w:rPr>
          <w:snapToGrid w:val="0"/>
          <w:kern w:val="22"/>
          <w:szCs w:val="22"/>
        </w:rPr>
        <w:t>F</w:t>
      </w:r>
      <w:r w:rsidRPr="00061112">
        <w:rPr>
          <w:snapToGrid w:val="0"/>
          <w:kern w:val="22"/>
          <w:szCs w:val="22"/>
        </w:rPr>
        <w:t>ramework</w:t>
      </w:r>
      <w:r>
        <w:rPr>
          <w:snapToGrid w:val="0"/>
          <w:kern w:val="22"/>
          <w:szCs w:val="22"/>
        </w:rPr>
        <w:t>, including its monitoring framework,</w:t>
      </w:r>
      <w:r w:rsidRPr="00061112">
        <w:rPr>
          <w:snapToGrid w:val="0"/>
          <w:kern w:val="22"/>
          <w:szCs w:val="22"/>
        </w:rPr>
        <w:t xml:space="preserve"> with respect to</w:t>
      </w:r>
      <w:r>
        <w:rPr>
          <w:snapToGrid w:val="0"/>
          <w:kern w:val="22"/>
          <w:szCs w:val="22"/>
        </w:rPr>
        <w:t xml:space="preserve"> </w:t>
      </w:r>
      <w:r w:rsidRPr="00061112">
        <w:rPr>
          <w:snapToGrid w:val="0"/>
          <w:kern w:val="22"/>
          <w:szCs w:val="22"/>
        </w:rPr>
        <w:t>marine, coastal and island biodiversity;</w:t>
      </w:r>
      <w:r>
        <w:rPr>
          <w:snapToGrid w:val="0"/>
          <w:kern w:val="22"/>
          <w:szCs w:val="22"/>
        </w:rPr>
        <w:t xml:space="preserve"> </w:t>
      </w:r>
    </w:p>
    <w:p w14:paraId="66743797" w14:textId="77777777" w:rsidR="000062FB" w:rsidRPr="003E6B26" w:rsidRDefault="000062FB" w:rsidP="00E35506">
      <w:pPr>
        <w:suppressLineNumbers/>
        <w:suppressAutoHyphens/>
        <w:kinsoku w:val="0"/>
        <w:overflowPunct w:val="0"/>
        <w:autoSpaceDE w:val="0"/>
        <w:autoSpaceDN w:val="0"/>
        <w:spacing w:before="120" w:after="120"/>
        <w:ind w:firstLine="720"/>
        <w:rPr>
          <w:snapToGrid w:val="0"/>
          <w:kern w:val="22"/>
          <w:szCs w:val="22"/>
        </w:rPr>
      </w:pPr>
      <w:r>
        <w:rPr>
          <w:snapToGrid w:val="0"/>
          <w:kern w:val="22"/>
          <w:szCs w:val="22"/>
        </w:rPr>
        <w:t>20</w:t>
      </w:r>
      <w:r w:rsidRPr="00061112">
        <w:rPr>
          <w:snapToGrid w:val="0"/>
          <w:kern w:val="22"/>
          <w:szCs w:val="22"/>
        </w:rPr>
        <w:t>.</w:t>
      </w:r>
      <w:r w:rsidRPr="00061112">
        <w:rPr>
          <w:snapToGrid w:val="0"/>
          <w:kern w:val="22"/>
          <w:szCs w:val="22"/>
        </w:rPr>
        <w:tab/>
      </w:r>
      <w:r>
        <w:rPr>
          <w:i/>
          <w:snapToGrid w:val="0"/>
          <w:kern w:val="22"/>
          <w:szCs w:val="22"/>
        </w:rPr>
        <w:t>Also</w:t>
      </w:r>
      <w:r w:rsidRPr="00061112">
        <w:rPr>
          <w:i/>
          <w:snapToGrid w:val="0"/>
          <w:kern w:val="22"/>
          <w:szCs w:val="22"/>
        </w:rPr>
        <w:t xml:space="preserve"> welcomes </w:t>
      </w:r>
      <w:r w:rsidRPr="00061112">
        <w:rPr>
          <w:snapToGrid w:val="0"/>
          <w:kern w:val="22"/>
          <w:szCs w:val="22"/>
        </w:rPr>
        <w:t xml:space="preserve">the collaborative efforts among the Secretariat, the United Nations Environment Programme, the Food and Agriculture Organization of the United Nations, </w:t>
      </w:r>
      <w:r w:rsidRPr="00061112">
        <w:rPr>
          <w:bCs/>
          <w:snapToGrid w:val="0"/>
          <w:kern w:val="22"/>
          <w:szCs w:val="22"/>
        </w:rPr>
        <w:t>the International Maritime Organi</w:t>
      </w:r>
      <w:r>
        <w:rPr>
          <w:bCs/>
          <w:snapToGrid w:val="0"/>
          <w:kern w:val="22"/>
          <w:szCs w:val="22"/>
        </w:rPr>
        <w:t>z</w:t>
      </w:r>
      <w:r w:rsidRPr="00061112">
        <w:rPr>
          <w:bCs/>
          <w:snapToGrid w:val="0"/>
          <w:kern w:val="22"/>
          <w:szCs w:val="22"/>
        </w:rPr>
        <w:t xml:space="preserve">ation, the International Seabed Authority, </w:t>
      </w:r>
      <w:r>
        <w:rPr>
          <w:bCs/>
          <w:snapToGrid w:val="0"/>
          <w:kern w:val="22"/>
          <w:szCs w:val="22"/>
        </w:rPr>
        <w:t>r</w:t>
      </w:r>
      <w:r w:rsidRPr="00061112">
        <w:rPr>
          <w:bCs/>
          <w:snapToGrid w:val="0"/>
          <w:kern w:val="22"/>
          <w:szCs w:val="22"/>
        </w:rPr>
        <w:t xml:space="preserve">egional </w:t>
      </w:r>
      <w:r>
        <w:rPr>
          <w:bCs/>
          <w:snapToGrid w:val="0"/>
          <w:kern w:val="22"/>
          <w:szCs w:val="22"/>
        </w:rPr>
        <w:t>s</w:t>
      </w:r>
      <w:r w:rsidRPr="00061112">
        <w:rPr>
          <w:bCs/>
          <w:snapToGrid w:val="0"/>
          <w:kern w:val="22"/>
          <w:szCs w:val="22"/>
        </w:rPr>
        <w:t xml:space="preserve">eas </w:t>
      </w:r>
      <w:r>
        <w:rPr>
          <w:bCs/>
          <w:snapToGrid w:val="0"/>
          <w:kern w:val="22"/>
          <w:szCs w:val="22"/>
        </w:rPr>
        <w:t>c</w:t>
      </w:r>
      <w:r w:rsidRPr="00061112">
        <w:rPr>
          <w:bCs/>
          <w:snapToGrid w:val="0"/>
          <w:kern w:val="22"/>
          <w:szCs w:val="22"/>
        </w:rPr>
        <w:t>onve</w:t>
      </w:r>
      <w:r w:rsidRPr="00061112">
        <w:rPr>
          <w:snapToGrid w:val="0"/>
          <w:kern w:val="22"/>
          <w:szCs w:val="22"/>
        </w:rPr>
        <w:t xml:space="preserve">ntions and </w:t>
      </w:r>
      <w:r>
        <w:rPr>
          <w:snapToGrid w:val="0"/>
          <w:kern w:val="22"/>
          <w:szCs w:val="22"/>
        </w:rPr>
        <w:t>a</w:t>
      </w:r>
      <w:r w:rsidRPr="00061112">
        <w:rPr>
          <w:snapToGrid w:val="0"/>
          <w:kern w:val="22"/>
          <w:szCs w:val="22"/>
        </w:rPr>
        <w:t xml:space="preserve">ction </w:t>
      </w:r>
      <w:r>
        <w:rPr>
          <w:snapToGrid w:val="0"/>
          <w:kern w:val="22"/>
          <w:szCs w:val="22"/>
        </w:rPr>
        <w:t>p</w:t>
      </w:r>
      <w:r w:rsidRPr="00061112">
        <w:rPr>
          <w:snapToGrid w:val="0"/>
          <w:kern w:val="22"/>
          <w:szCs w:val="22"/>
        </w:rPr>
        <w:t>lans, regional fishery bodies</w:t>
      </w:r>
      <w:r w:rsidRPr="00E05AA5">
        <w:rPr>
          <w:snapToGrid w:val="0"/>
          <w:kern w:val="22"/>
          <w:szCs w:val="22"/>
        </w:rPr>
        <w:t xml:space="preserve">, </w:t>
      </w:r>
      <w:r w:rsidRPr="00061112">
        <w:rPr>
          <w:snapToGrid w:val="0"/>
          <w:kern w:val="22"/>
          <w:szCs w:val="22"/>
        </w:rPr>
        <w:t xml:space="preserve">large marine ecosystem projects/programmes and other relevant regional initiatives to strengthen cross-sectoral cooperation at the regional </w:t>
      </w:r>
      <w:r>
        <w:rPr>
          <w:snapToGrid w:val="0"/>
          <w:kern w:val="22"/>
          <w:szCs w:val="22"/>
        </w:rPr>
        <w:t xml:space="preserve">and global </w:t>
      </w:r>
      <w:r w:rsidRPr="00061112">
        <w:rPr>
          <w:snapToGrid w:val="0"/>
          <w:kern w:val="22"/>
          <w:szCs w:val="22"/>
        </w:rPr>
        <w:t>scale in order to accelerate progress to achieve</w:t>
      </w:r>
      <w:r>
        <w:rPr>
          <w:snapToGrid w:val="0"/>
          <w:kern w:val="22"/>
          <w:szCs w:val="22"/>
        </w:rPr>
        <w:t xml:space="preserve"> the Aichi Biodiversity Targets and</w:t>
      </w:r>
      <w:r w:rsidRPr="00061112">
        <w:rPr>
          <w:snapToGrid w:val="0"/>
          <w:kern w:val="22"/>
          <w:szCs w:val="22"/>
        </w:rPr>
        <w:t xml:space="preserve"> the</w:t>
      </w:r>
      <w:r>
        <w:rPr>
          <w:snapToGrid w:val="0"/>
          <w:kern w:val="22"/>
          <w:szCs w:val="22"/>
        </w:rPr>
        <w:t xml:space="preserve"> </w:t>
      </w:r>
      <w:r w:rsidRPr="00061112">
        <w:rPr>
          <w:snapToGrid w:val="0"/>
          <w:kern w:val="22"/>
          <w:szCs w:val="22"/>
        </w:rPr>
        <w:t>Sustainable Development Goals, including through the Sustainable Ocean Initiative Global Dialogue with Regional Seas Organizations</w:t>
      </w:r>
      <w:r>
        <w:rPr>
          <w:snapToGrid w:val="0"/>
          <w:kern w:val="22"/>
          <w:szCs w:val="22"/>
        </w:rPr>
        <w:t xml:space="preserve"> </w:t>
      </w:r>
      <w:r w:rsidRPr="00061112">
        <w:rPr>
          <w:snapToGrid w:val="0"/>
          <w:kern w:val="22"/>
          <w:szCs w:val="22"/>
        </w:rPr>
        <w:t xml:space="preserve">and Regional Fishery Bodies, and </w:t>
      </w:r>
      <w:r w:rsidRPr="006D53FB">
        <w:rPr>
          <w:iCs/>
          <w:kern w:val="22"/>
        </w:rPr>
        <w:t>requests</w:t>
      </w:r>
      <w:r w:rsidRPr="00061112">
        <w:rPr>
          <w:i/>
          <w:snapToGrid w:val="0"/>
          <w:kern w:val="22"/>
          <w:szCs w:val="22"/>
        </w:rPr>
        <w:t xml:space="preserve"> </w:t>
      </w:r>
      <w:r w:rsidRPr="00061112">
        <w:rPr>
          <w:snapToGrid w:val="0"/>
          <w:kern w:val="22"/>
          <w:szCs w:val="22"/>
        </w:rPr>
        <w:t xml:space="preserve">the Executive Secretary to continue this collaboration in the context of the implementation of the </w:t>
      </w:r>
      <w:r>
        <w:rPr>
          <w:snapToGrid w:val="0"/>
          <w:kern w:val="22"/>
          <w:szCs w:val="22"/>
        </w:rPr>
        <w:t>Kunming-Montreal</w:t>
      </w:r>
      <w:r w:rsidRPr="00061112">
        <w:rPr>
          <w:snapToGrid w:val="0"/>
          <w:kern w:val="22"/>
          <w:szCs w:val="22"/>
        </w:rPr>
        <w:t xml:space="preserve"> </w:t>
      </w:r>
      <w:r>
        <w:rPr>
          <w:snapToGrid w:val="0"/>
          <w:kern w:val="22"/>
          <w:szCs w:val="22"/>
        </w:rPr>
        <w:t>G</w:t>
      </w:r>
      <w:r w:rsidRPr="00061112">
        <w:rPr>
          <w:snapToGrid w:val="0"/>
          <w:kern w:val="22"/>
          <w:szCs w:val="22"/>
        </w:rPr>
        <w:t xml:space="preserve">lobal </w:t>
      </w:r>
      <w:r>
        <w:rPr>
          <w:snapToGrid w:val="0"/>
          <w:kern w:val="22"/>
          <w:szCs w:val="22"/>
        </w:rPr>
        <w:t>B</w:t>
      </w:r>
      <w:r w:rsidRPr="00061112">
        <w:rPr>
          <w:snapToGrid w:val="0"/>
          <w:kern w:val="22"/>
          <w:szCs w:val="22"/>
        </w:rPr>
        <w:t xml:space="preserve">iodiversity </w:t>
      </w:r>
      <w:r>
        <w:rPr>
          <w:snapToGrid w:val="0"/>
          <w:kern w:val="22"/>
          <w:szCs w:val="22"/>
        </w:rPr>
        <w:t>F</w:t>
      </w:r>
      <w:r w:rsidRPr="00061112">
        <w:rPr>
          <w:snapToGrid w:val="0"/>
          <w:kern w:val="22"/>
          <w:szCs w:val="22"/>
        </w:rPr>
        <w:t>ramework;</w:t>
      </w:r>
    </w:p>
    <w:p w14:paraId="138580F0" w14:textId="77777777" w:rsidR="000062FB" w:rsidRDefault="000062FB" w:rsidP="00E35506">
      <w:pPr>
        <w:spacing w:before="120" w:after="120"/>
        <w:ind w:firstLine="720"/>
        <w:rPr>
          <w:snapToGrid w:val="0"/>
          <w:kern w:val="22"/>
          <w:szCs w:val="22"/>
        </w:rPr>
      </w:pPr>
      <w:r>
        <w:rPr>
          <w:snapToGrid w:val="0"/>
          <w:kern w:val="22"/>
          <w:szCs w:val="22"/>
        </w:rPr>
        <w:t>21</w:t>
      </w:r>
      <w:r w:rsidRPr="00061112">
        <w:rPr>
          <w:snapToGrid w:val="0"/>
          <w:kern w:val="22"/>
          <w:szCs w:val="22"/>
        </w:rPr>
        <w:t>.</w:t>
      </w:r>
      <w:r w:rsidRPr="00061112">
        <w:rPr>
          <w:snapToGrid w:val="0"/>
          <w:kern w:val="22"/>
          <w:szCs w:val="22"/>
        </w:rPr>
        <w:tab/>
      </w:r>
      <w:r w:rsidRPr="00061112">
        <w:rPr>
          <w:i/>
          <w:iCs/>
          <w:snapToGrid w:val="0"/>
          <w:kern w:val="22"/>
          <w:szCs w:val="22"/>
        </w:rPr>
        <w:t>Requests</w:t>
      </w:r>
      <w:r w:rsidRPr="00061112">
        <w:rPr>
          <w:snapToGrid w:val="0"/>
          <w:kern w:val="22"/>
          <w:szCs w:val="22"/>
        </w:rPr>
        <w:t xml:space="preserve"> the Executive Secretary to enhance cooperation and synergies with other global and regional organizations</w:t>
      </w:r>
      <w:r>
        <w:rPr>
          <w:snapToGrid w:val="0"/>
          <w:kern w:val="22"/>
          <w:szCs w:val="22"/>
        </w:rPr>
        <w:t xml:space="preserve">, indigenous peoples and local communities as rights holders in accordance with the </w:t>
      </w:r>
      <w:r w:rsidRPr="00B421C9">
        <w:rPr>
          <w:snapToGrid w:val="0"/>
          <w:kern w:val="22"/>
          <w:szCs w:val="22"/>
        </w:rPr>
        <w:t>United Nations Declaration on the Rights of Indigenous Peoples</w:t>
      </w:r>
      <w:r>
        <w:rPr>
          <w:snapToGrid w:val="0"/>
          <w:kern w:val="22"/>
          <w:szCs w:val="22"/>
        </w:rPr>
        <w:t xml:space="preserve"> and international human rights law, women and youth, and other stakeholders </w:t>
      </w:r>
      <w:r w:rsidRPr="00E05AA5">
        <w:rPr>
          <w:snapToGrid w:val="0"/>
          <w:kern w:val="22"/>
          <w:szCs w:val="22"/>
        </w:rPr>
        <w:t>with respect to various thematic issues related to marine and coastal biodiversity</w:t>
      </w:r>
      <w:r>
        <w:rPr>
          <w:snapToGrid w:val="0"/>
          <w:kern w:val="22"/>
          <w:szCs w:val="22"/>
        </w:rPr>
        <w:t xml:space="preserve"> i</w:t>
      </w:r>
      <w:r w:rsidRPr="00061112">
        <w:rPr>
          <w:snapToGrid w:val="0"/>
          <w:kern w:val="22"/>
          <w:szCs w:val="22"/>
        </w:rPr>
        <w:t>n support of the implementation of the 2030 Agenda for Sustainable Development</w:t>
      </w:r>
      <w:r w:rsidRPr="00610646">
        <w:rPr>
          <w:rStyle w:val="FootnoteReference"/>
          <w:rFonts w:eastAsiaTheme="majorEastAsia"/>
        </w:rPr>
        <w:footnoteReference w:id="329"/>
      </w:r>
      <w:r w:rsidRPr="00061112">
        <w:rPr>
          <w:snapToGrid w:val="0"/>
          <w:kern w:val="22"/>
          <w:szCs w:val="22"/>
        </w:rPr>
        <w:t xml:space="preserve"> and the achievement of the Sustainable Development Goals</w:t>
      </w:r>
      <w:r w:rsidRPr="00E05AA5">
        <w:rPr>
          <w:szCs w:val="22"/>
        </w:rPr>
        <w:t xml:space="preserve">, </w:t>
      </w:r>
      <w:r>
        <w:rPr>
          <w:szCs w:val="22"/>
        </w:rPr>
        <w:t>and</w:t>
      </w:r>
      <w:r w:rsidRPr="00E05AA5">
        <w:rPr>
          <w:szCs w:val="22"/>
        </w:rPr>
        <w:t xml:space="preserve"> to enhance cooperation and synergies </w:t>
      </w:r>
      <w:r>
        <w:rPr>
          <w:szCs w:val="22"/>
        </w:rPr>
        <w:t xml:space="preserve">with efforts under </w:t>
      </w:r>
      <w:r w:rsidRPr="00E05AA5">
        <w:rPr>
          <w:szCs w:val="22"/>
        </w:rPr>
        <w:t>the United Nations Decade of Ocean Science for Sustainable Development</w:t>
      </w:r>
      <w:r>
        <w:rPr>
          <w:snapToGrid w:val="0"/>
          <w:kern w:val="22"/>
          <w:szCs w:val="22"/>
        </w:rPr>
        <w:t xml:space="preserve">; </w:t>
      </w:r>
    </w:p>
    <w:p w14:paraId="03B02BF1" w14:textId="77777777" w:rsidR="000062FB" w:rsidRDefault="000062FB" w:rsidP="00554D43">
      <w:pPr>
        <w:pStyle w:val="Para1"/>
        <w:numPr>
          <w:ilvl w:val="0"/>
          <w:numId w:val="0"/>
        </w:numPr>
        <w:suppressLineNumbers/>
        <w:suppressAutoHyphens/>
        <w:kinsoku w:val="0"/>
        <w:ind w:firstLine="720"/>
        <w:rPr>
          <w:rStyle w:val="normaltextrun"/>
          <w:rFonts w:eastAsiaTheme="majorEastAsia"/>
          <w:snapToGrid/>
          <w:szCs w:val="24"/>
        </w:rPr>
      </w:pPr>
      <w:r>
        <w:t>22</w:t>
      </w:r>
      <w:r w:rsidRPr="00A7273F">
        <w:t>.</w:t>
      </w:r>
      <w:r w:rsidRPr="00A7273F">
        <w:tab/>
      </w:r>
      <w:r>
        <w:rPr>
          <w:i/>
          <w:iCs/>
        </w:rPr>
        <w:t xml:space="preserve">Also </w:t>
      </w:r>
      <w:r w:rsidRPr="00A7273F">
        <w:rPr>
          <w:i/>
          <w:iCs/>
        </w:rPr>
        <w:t>requests</w:t>
      </w:r>
      <w:r w:rsidRPr="00A7273F">
        <w:t xml:space="preserve"> the Executive Secretary to enhance cooperation and synergies with global and regional </w:t>
      </w:r>
      <w:r w:rsidRPr="00700326">
        <w:t>organizations with respect to climate change and marine and coastal biodiversity, including the United Nations Framework Convention on Climate Change</w:t>
      </w:r>
      <w:r w:rsidRPr="00610646">
        <w:rPr>
          <w:rStyle w:val="FootnoteReference"/>
          <w:rFonts w:eastAsiaTheme="majorEastAsia"/>
        </w:rPr>
        <w:footnoteReference w:id="330"/>
      </w:r>
      <w:r w:rsidRPr="00700326">
        <w:t xml:space="preserve"> and </w:t>
      </w:r>
      <w:r w:rsidRPr="00700326">
        <w:rPr>
          <w:rStyle w:val="normaltextrun"/>
          <w:rFonts w:eastAsiaTheme="majorEastAsia"/>
        </w:rPr>
        <w:t xml:space="preserve">the Intergovernmental Oceanographic Commission of </w:t>
      </w:r>
      <w:r>
        <w:rPr>
          <w:rStyle w:val="normaltextrun"/>
          <w:rFonts w:eastAsiaTheme="majorEastAsia"/>
        </w:rPr>
        <w:t>the United Nations Educational, Scientific and Cultural Organization</w:t>
      </w:r>
      <w:r w:rsidRPr="00C942EA">
        <w:rPr>
          <w:rStyle w:val="normaltextrun"/>
          <w:rFonts w:eastAsiaTheme="majorEastAsia"/>
        </w:rPr>
        <w:t>, in the</w:t>
      </w:r>
      <w:r w:rsidRPr="00700326">
        <w:rPr>
          <w:rStyle w:val="normaltextrun"/>
          <w:rFonts w:eastAsiaTheme="majorEastAsia"/>
        </w:rPr>
        <w:t xml:space="preserve"> context of the United Nations </w:t>
      </w:r>
      <w:r w:rsidRPr="00E627E2">
        <w:rPr>
          <w:rStyle w:val="normaltextrun"/>
          <w:rFonts w:eastAsiaTheme="majorEastAsia"/>
        </w:rPr>
        <w:t>Decade of Ocean Science for Sustainable Development</w:t>
      </w:r>
      <w:r w:rsidRPr="00E627E2">
        <w:t>,</w:t>
      </w:r>
      <w:r w:rsidRPr="00E627E2">
        <w:rPr>
          <w:iCs/>
        </w:rPr>
        <w:t xml:space="preserve"> taking into account</w:t>
      </w:r>
      <w:r w:rsidRPr="00E627E2">
        <w:t xml:space="preserve"> the Glasgow Climate Pact and </w:t>
      </w:r>
      <w:r w:rsidRPr="00E627E2">
        <w:rPr>
          <w:rStyle w:val="normaltextrun"/>
          <w:rFonts w:eastAsiaTheme="majorEastAsia"/>
        </w:rPr>
        <w:t>noting that nature-based solutions and</w:t>
      </w:r>
      <w:r>
        <w:rPr>
          <w:rStyle w:val="normaltextrun"/>
          <w:rFonts w:eastAsiaTheme="majorEastAsia"/>
        </w:rPr>
        <w:t>/or</w:t>
      </w:r>
      <w:r w:rsidRPr="00E627E2">
        <w:rPr>
          <w:rStyle w:val="normaltextrun"/>
          <w:rFonts w:eastAsiaTheme="majorEastAsia"/>
        </w:rPr>
        <w:t xml:space="preserve"> ecosystem-based approaches, including through marine protected areas and other</w:t>
      </w:r>
      <w:r w:rsidRPr="00A7273F">
        <w:rPr>
          <w:rStyle w:val="normaltextrun"/>
          <w:rFonts w:eastAsiaTheme="majorEastAsia"/>
        </w:rPr>
        <w:t xml:space="preserve"> effective area-based conservation measures, are critical elements of rebuilding and strengthening the resilience of marine and coastal ecosystems to the effects of climate change.</w:t>
      </w:r>
      <w:r>
        <w:rPr>
          <w:rStyle w:val="normaltextrun"/>
          <w:rFonts w:eastAsiaTheme="majorEastAsia"/>
        </w:rPr>
        <w:t xml:space="preserve"> </w:t>
      </w:r>
    </w:p>
    <w:p w14:paraId="3A13D185" w14:textId="77777777" w:rsidR="00963618" w:rsidRDefault="00963618" w:rsidP="00C9161D">
      <w:pPr>
        <w:sectPr w:rsidR="00963618" w:rsidSect="00441700">
          <w:footnotePr>
            <w:numRestart w:val="eachSect"/>
          </w:footnotePr>
          <w:pgSz w:w="12240" w:h="15840"/>
          <w:pgMar w:top="567" w:right="1440" w:bottom="1134" w:left="1440" w:header="709" w:footer="709" w:gutter="0"/>
          <w:cols w:space="708"/>
          <w:docGrid w:linePitch="360"/>
        </w:sectPr>
      </w:pPr>
    </w:p>
    <w:p w14:paraId="56602432" w14:textId="77777777" w:rsidR="00963618" w:rsidRPr="00A8574C" w:rsidRDefault="00963618" w:rsidP="00A8574C">
      <w:pPr>
        <w:pStyle w:val="decision"/>
        <w:ind w:left="1134" w:right="261" w:hanging="850"/>
        <w:jc w:val="left"/>
        <w:rPr>
          <w:b w:val="0"/>
          <w:bCs/>
          <w:caps/>
        </w:rPr>
      </w:pPr>
      <w:bookmarkStart w:id="290" w:name="_Toc150438823"/>
      <w:bookmarkStart w:id="291" w:name="_Toc150670523"/>
      <w:bookmarkStart w:id="292" w:name="_Toc150670633"/>
      <w:bookmarkStart w:id="293" w:name="_Toc150761135"/>
      <w:r w:rsidRPr="00A8574C">
        <w:rPr>
          <w:rStyle w:val="Heading2Char"/>
          <w:rFonts w:eastAsia="Malgun Gothic"/>
          <w:b/>
          <w:bCs w:val="0"/>
        </w:rPr>
        <w:t>15/25.</w:t>
      </w:r>
      <w:r w:rsidRPr="00A8574C">
        <w:rPr>
          <w:rStyle w:val="Heading2Char"/>
          <w:rFonts w:eastAsia="Malgun Gothic"/>
          <w:b/>
          <w:bCs w:val="0"/>
        </w:rPr>
        <w:tab/>
        <w:t>Ecologically or biologically significant marine areas in the North-East Atlantic Ocean and adjacent areas</w:t>
      </w:r>
      <w:bookmarkEnd w:id="290"/>
      <w:bookmarkEnd w:id="291"/>
      <w:bookmarkEnd w:id="292"/>
      <w:bookmarkEnd w:id="293"/>
      <w:r w:rsidRPr="00A8574C">
        <w:rPr>
          <w:b w:val="0"/>
          <w:bCs/>
          <w:caps/>
        </w:rPr>
        <w:t xml:space="preserve"> </w:t>
      </w:r>
    </w:p>
    <w:p w14:paraId="415973A5" w14:textId="77777777" w:rsidR="00963618" w:rsidRPr="00A73566" w:rsidRDefault="00963618" w:rsidP="0009640F">
      <w:pPr>
        <w:suppressLineNumbers/>
        <w:suppressAutoHyphens/>
        <w:kinsoku w:val="0"/>
        <w:overflowPunct w:val="0"/>
        <w:autoSpaceDE w:val="0"/>
        <w:autoSpaceDN w:val="0"/>
        <w:spacing w:before="120" w:after="120"/>
        <w:ind w:firstLine="709"/>
        <w:rPr>
          <w:i/>
          <w:snapToGrid w:val="0"/>
          <w:kern w:val="22"/>
          <w:szCs w:val="22"/>
          <w:lang w:eastAsia="ko-KR"/>
        </w:rPr>
      </w:pPr>
      <w:r w:rsidRPr="00A73566">
        <w:rPr>
          <w:i/>
          <w:snapToGrid w:val="0"/>
          <w:kern w:val="22"/>
          <w:szCs w:val="22"/>
          <w:lang w:eastAsia="ko-KR"/>
        </w:rPr>
        <w:t>The Conference of the Parties</w:t>
      </w:r>
    </w:p>
    <w:p w14:paraId="1FB666D9" w14:textId="77777777" w:rsidR="00963618" w:rsidRPr="0052289A" w:rsidRDefault="00963618" w:rsidP="006514DB">
      <w:pPr>
        <w:spacing w:before="120" w:after="120"/>
        <w:ind w:firstLine="709"/>
        <w:rPr>
          <w:szCs w:val="22"/>
        </w:rPr>
      </w:pPr>
      <w:r w:rsidRPr="00233915">
        <w:rPr>
          <w:snapToGrid w:val="0"/>
          <w:kern w:val="22"/>
          <w:szCs w:val="22"/>
        </w:rPr>
        <w:t>1.</w:t>
      </w:r>
      <w:r w:rsidRPr="00233915">
        <w:rPr>
          <w:snapToGrid w:val="0"/>
          <w:kern w:val="22"/>
          <w:szCs w:val="22"/>
        </w:rPr>
        <w:tab/>
      </w:r>
      <w:r w:rsidRPr="0052289A">
        <w:rPr>
          <w:i/>
          <w:szCs w:val="22"/>
        </w:rPr>
        <w:t xml:space="preserve">Acknowledges </w:t>
      </w:r>
      <w:r w:rsidRPr="0052289A">
        <w:rPr>
          <w:szCs w:val="22"/>
        </w:rPr>
        <w:t>that</w:t>
      </w:r>
      <w:r>
        <w:rPr>
          <w:szCs w:val="22"/>
        </w:rPr>
        <w:t xml:space="preserve">, following the requests </w:t>
      </w:r>
      <w:r w:rsidRPr="00811B24">
        <w:rPr>
          <w:szCs w:val="22"/>
        </w:rPr>
        <w:t xml:space="preserve">from </w:t>
      </w:r>
      <w:r w:rsidRPr="00EE1115">
        <w:rPr>
          <w:szCs w:val="22"/>
        </w:rPr>
        <w:t>the Conference of the Parties at its tenth and eleventh meetings,</w:t>
      </w:r>
      <w:r w:rsidRPr="00610646">
        <w:rPr>
          <w:rStyle w:val="FootnoteReference"/>
        </w:rPr>
        <w:footnoteReference w:id="331"/>
      </w:r>
      <w:r w:rsidRPr="00811B24">
        <w:rPr>
          <w:szCs w:val="22"/>
        </w:rPr>
        <w:t xml:space="preserve"> the Executive Secretary has successfully completed the series of regional workshops, covering most of the world’s ocean, facilitating the description</w:t>
      </w:r>
      <w:r w:rsidRPr="0052289A">
        <w:rPr>
          <w:szCs w:val="22"/>
        </w:rPr>
        <w:t xml:space="preserve"> of 338 areas meeting the criteria for ecologically or biologically significant marine areas;</w:t>
      </w:r>
    </w:p>
    <w:p w14:paraId="33944782" w14:textId="77777777" w:rsidR="00963618" w:rsidRPr="0052289A" w:rsidRDefault="00963618" w:rsidP="006514DB">
      <w:pPr>
        <w:spacing w:before="120" w:after="120"/>
        <w:ind w:firstLine="709"/>
        <w:rPr>
          <w:szCs w:val="22"/>
        </w:rPr>
      </w:pPr>
      <w:r w:rsidRPr="0052289A">
        <w:rPr>
          <w:szCs w:val="22"/>
        </w:rPr>
        <w:t>2.</w:t>
      </w:r>
      <w:r w:rsidRPr="0052289A">
        <w:rPr>
          <w:szCs w:val="22"/>
        </w:rPr>
        <w:tab/>
      </w:r>
      <w:r w:rsidRPr="0052289A">
        <w:rPr>
          <w:i/>
          <w:iCs/>
          <w:szCs w:val="22"/>
        </w:rPr>
        <w:t>Expresses its appreciation</w:t>
      </w:r>
      <w:r w:rsidRPr="0052289A">
        <w:rPr>
          <w:szCs w:val="22"/>
        </w:rPr>
        <w:t xml:space="preserve"> to all Parties, other Governments, organizations and stakeholders that have contributed to this process, and </w:t>
      </w:r>
      <w:r w:rsidRPr="00EE1115">
        <w:rPr>
          <w:szCs w:val="22"/>
        </w:rPr>
        <w:t>encourages</w:t>
      </w:r>
      <w:r w:rsidRPr="0052289A">
        <w:rPr>
          <w:szCs w:val="22"/>
        </w:rPr>
        <w:t xml:space="preserve"> continued efforts to describe areas meeting the criteria for ecologically or biologically significant marine areas using the best available scientific information</w:t>
      </w:r>
      <w:r>
        <w:rPr>
          <w:szCs w:val="22"/>
        </w:rPr>
        <w:t>,</w:t>
      </w:r>
      <w:r w:rsidRPr="0052289A">
        <w:rPr>
          <w:szCs w:val="22"/>
        </w:rPr>
        <w:t xml:space="preserve"> and to increase the number and coverage of ecologically or biologically significant marine areas around the world;</w:t>
      </w:r>
    </w:p>
    <w:p w14:paraId="5A88144D" w14:textId="77777777" w:rsidR="00963618" w:rsidRPr="00A73566" w:rsidRDefault="00963618" w:rsidP="006514DB">
      <w:pPr>
        <w:spacing w:before="120" w:after="120"/>
        <w:ind w:firstLine="709"/>
        <w:rPr>
          <w:snapToGrid w:val="0"/>
          <w:kern w:val="22"/>
          <w:szCs w:val="22"/>
        </w:rPr>
      </w:pPr>
      <w:r w:rsidRPr="00A73566">
        <w:rPr>
          <w:snapToGrid w:val="0"/>
          <w:kern w:val="22"/>
          <w:szCs w:val="22"/>
        </w:rPr>
        <w:t>3.</w:t>
      </w:r>
      <w:r w:rsidRPr="00A73566">
        <w:rPr>
          <w:i/>
          <w:snapToGrid w:val="0"/>
          <w:kern w:val="22"/>
          <w:szCs w:val="22"/>
        </w:rPr>
        <w:tab/>
        <w:t xml:space="preserve">Expresses its gratitude </w:t>
      </w:r>
      <w:r w:rsidRPr="00A73566">
        <w:rPr>
          <w:snapToGrid w:val="0"/>
          <w:kern w:val="22"/>
          <w:szCs w:val="22"/>
        </w:rPr>
        <w:t>to the Government of Sweden for hosting the Regional Workshop to Facilitate the Description of Ecologically or Biologically Significant Marine Areas in the North-East Atlantic Ocean, as well as the Governments of Denmark, France, Germany and Sweden for providing financial support for the workshop, and the Convention for the Protection of the Marine Environment of the North-East Atlantic and the North-East Atlantic Fisheries Commission for providing valuable scientific and technical input;</w:t>
      </w:r>
    </w:p>
    <w:p w14:paraId="317FB227" w14:textId="77777777" w:rsidR="00963618" w:rsidRPr="00A73566" w:rsidRDefault="00963618" w:rsidP="006514DB">
      <w:pPr>
        <w:suppressLineNumbers/>
        <w:suppressAutoHyphens/>
        <w:kinsoku w:val="0"/>
        <w:overflowPunct w:val="0"/>
        <w:autoSpaceDE w:val="0"/>
        <w:autoSpaceDN w:val="0"/>
        <w:spacing w:before="120" w:after="120"/>
        <w:ind w:firstLine="709"/>
        <w:rPr>
          <w:snapToGrid w:val="0"/>
          <w:kern w:val="22"/>
          <w:szCs w:val="22"/>
        </w:rPr>
      </w:pPr>
      <w:r w:rsidRPr="00A73566">
        <w:rPr>
          <w:snapToGrid w:val="0"/>
          <w:kern w:val="22"/>
          <w:szCs w:val="22"/>
        </w:rPr>
        <w:t>4.</w:t>
      </w:r>
      <w:r w:rsidRPr="00A73566">
        <w:rPr>
          <w:snapToGrid w:val="0"/>
          <w:kern w:val="22"/>
          <w:szCs w:val="22"/>
        </w:rPr>
        <w:tab/>
      </w:r>
      <w:r w:rsidRPr="00A73566">
        <w:rPr>
          <w:i/>
          <w:snapToGrid w:val="0"/>
          <w:kern w:val="22"/>
          <w:szCs w:val="22"/>
        </w:rPr>
        <w:t>Welcomes</w:t>
      </w:r>
      <w:r w:rsidRPr="00A73566">
        <w:rPr>
          <w:snapToGrid w:val="0"/>
          <w:kern w:val="22"/>
          <w:szCs w:val="22"/>
        </w:rPr>
        <w:t xml:space="preserve"> the summary reports prepared by the Subsidiary Body </w:t>
      </w:r>
      <w:r w:rsidRPr="00A73566">
        <w:rPr>
          <w:kern w:val="22"/>
          <w:szCs w:val="22"/>
        </w:rPr>
        <w:t>on Scientific, Technical and Technological Advice</w:t>
      </w:r>
      <w:r w:rsidRPr="00A73566">
        <w:rPr>
          <w:snapToGrid w:val="0"/>
          <w:kern w:val="22"/>
          <w:szCs w:val="22"/>
        </w:rPr>
        <w:t xml:space="preserve"> at its twenty-third meeting, which are annexed to the present decision and are based on the report of the Regional Workshop to Facilitate the Description of Ecologically or Biologically Significant Marine Areas in the North-East Atlantic Ocean;</w:t>
      </w:r>
      <w:r w:rsidRPr="00610646">
        <w:rPr>
          <w:rStyle w:val="FootnoteReference"/>
          <w:rFonts w:eastAsiaTheme="majorEastAsia"/>
        </w:rPr>
        <w:footnoteReference w:id="332"/>
      </w:r>
      <w:r>
        <w:rPr>
          <w:snapToGrid w:val="0"/>
          <w:kern w:val="22"/>
          <w:szCs w:val="22"/>
        </w:rPr>
        <w:t xml:space="preserve"> </w:t>
      </w:r>
    </w:p>
    <w:p w14:paraId="107E87B0" w14:textId="67D25B78" w:rsidR="00963618" w:rsidRDefault="00963618" w:rsidP="006514DB">
      <w:pPr>
        <w:suppressLineNumbers/>
        <w:suppressAutoHyphens/>
        <w:spacing w:before="120" w:after="120"/>
        <w:ind w:firstLine="720"/>
        <w:rPr>
          <w:snapToGrid w:val="0"/>
        </w:rPr>
      </w:pPr>
      <w:r w:rsidRPr="00233915">
        <w:rPr>
          <w:iCs/>
          <w:snapToGrid w:val="0"/>
          <w:szCs w:val="22"/>
          <w:shd w:val="clear" w:color="auto" w:fill="FFFFFF"/>
        </w:rPr>
        <w:t>5.</w:t>
      </w:r>
      <w:r w:rsidRPr="00233915">
        <w:rPr>
          <w:iCs/>
          <w:snapToGrid w:val="0"/>
          <w:szCs w:val="22"/>
          <w:shd w:val="clear" w:color="auto" w:fill="FFFFFF"/>
        </w:rPr>
        <w:tab/>
      </w:r>
      <w:r w:rsidRPr="000D1A7C">
        <w:rPr>
          <w:i/>
          <w:snapToGrid w:val="0"/>
          <w:szCs w:val="22"/>
          <w:shd w:val="clear" w:color="auto" w:fill="FFFFFF"/>
        </w:rPr>
        <w:t>R</w:t>
      </w:r>
      <w:r w:rsidRPr="00A73566">
        <w:rPr>
          <w:i/>
          <w:snapToGrid w:val="0"/>
          <w:szCs w:val="22"/>
        </w:rPr>
        <w:t>equests</w:t>
      </w:r>
      <w:r w:rsidRPr="00A73566">
        <w:rPr>
          <w:snapToGrid w:val="0"/>
          <w:szCs w:val="22"/>
        </w:rPr>
        <w:t xml:space="preserve"> the Executive Secretary to include the summary reports in the EBSA repository, and to submit them to the United Nations General Assembly and its relevant processes, as well as Parties, other Governments and relevant international organizations, in line with the purpose and procedures set out in decisions </w:t>
      </w:r>
      <w:hyperlink r:id="rId40" w:history="1">
        <w:r w:rsidRPr="00A73566">
          <w:rPr>
            <w:rStyle w:val="Hyperlink"/>
            <w:snapToGrid w:val="0"/>
            <w:kern w:val="22"/>
            <w:sz w:val="22"/>
            <w:szCs w:val="22"/>
            <w:u w:val="none"/>
          </w:rPr>
          <w:t>X/29</w:t>
        </w:r>
      </w:hyperlink>
      <w:r w:rsidRPr="00A73566">
        <w:rPr>
          <w:snapToGrid w:val="0"/>
        </w:rPr>
        <w:t xml:space="preserve">, </w:t>
      </w:r>
      <w:hyperlink r:id="rId41" w:history="1">
        <w:r w:rsidRPr="00A73566">
          <w:rPr>
            <w:rStyle w:val="Hyperlink"/>
            <w:snapToGrid w:val="0"/>
            <w:kern w:val="22"/>
            <w:sz w:val="22"/>
            <w:szCs w:val="22"/>
            <w:u w:val="none"/>
          </w:rPr>
          <w:t>XI/17</w:t>
        </w:r>
      </w:hyperlink>
      <w:r w:rsidRPr="00A73566">
        <w:rPr>
          <w:snapToGrid w:val="0"/>
        </w:rPr>
        <w:t xml:space="preserve">, </w:t>
      </w:r>
      <w:hyperlink r:id="rId42" w:history="1">
        <w:r w:rsidRPr="00A73566">
          <w:rPr>
            <w:rStyle w:val="Hyperlink"/>
            <w:snapToGrid w:val="0"/>
            <w:kern w:val="22"/>
            <w:sz w:val="22"/>
            <w:szCs w:val="22"/>
            <w:u w:val="none"/>
          </w:rPr>
          <w:t>XII/22</w:t>
        </w:r>
      </w:hyperlink>
      <w:r w:rsidRPr="00A73566">
        <w:rPr>
          <w:snapToGrid w:val="0"/>
        </w:rPr>
        <w:t xml:space="preserve">, </w:t>
      </w:r>
      <w:hyperlink r:id="rId43" w:history="1">
        <w:r w:rsidRPr="00A73566">
          <w:rPr>
            <w:rStyle w:val="Hyperlink"/>
            <w:snapToGrid w:val="0"/>
            <w:kern w:val="22"/>
            <w:sz w:val="22"/>
            <w:szCs w:val="22"/>
            <w:u w:val="none"/>
          </w:rPr>
          <w:t>XIII/12</w:t>
        </w:r>
      </w:hyperlink>
      <w:r w:rsidRPr="00A73566">
        <w:rPr>
          <w:rStyle w:val="Hyperlink"/>
          <w:snapToGrid w:val="0"/>
          <w:color w:val="auto"/>
          <w:kern w:val="22"/>
          <w:sz w:val="22"/>
          <w:szCs w:val="22"/>
          <w:u w:val="none"/>
        </w:rPr>
        <w:t xml:space="preserve"> and </w:t>
      </w:r>
      <w:hyperlink r:id="rId44" w:history="1">
        <w:r w:rsidRPr="00A73566">
          <w:rPr>
            <w:rStyle w:val="Hyperlink"/>
            <w:snapToGrid w:val="0"/>
            <w:kern w:val="22"/>
            <w:sz w:val="22"/>
            <w:szCs w:val="22"/>
            <w:u w:val="none"/>
          </w:rPr>
          <w:t>14/9</w:t>
        </w:r>
      </w:hyperlink>
      <w:r w:rsidRPr="00A73566">
        <w:rPr>
          <w:snapToGrid w:val="0"/>
        </w:rPr>
        <w:t>.</w:t>
      </w:r>
      <w:r>
        <w:rPr>
          <w:snapToGrid w:val="0"/>
        </w:rPr>
        <w:t xml:space="preserve"> </w:t>
      </w:r>
    </w:p>
    <w:p w14:paraId="5AC5186E" w14:textId="77777777" w:rsidR="00963618" w:rsidRPr="00EE1115" w:rsidRDefault="00963618" w:rsidP="00A8574C">
      <w:pPr>
        <w:spacing w:before="240"/>
        <w:jc w:val="center"/>
        <w:rPr>
          <w:bCs/>
          <w:szCs w:val="22"/>
        </w:rPr>
      </w:pPr>
      <w:r w:rsidRPr="00EE1115">
        <w:rPr>
          <w:bCs/>
          <w:i/>
          <w:szCs w:val="22"/>
        </w:rPr>
        <w:t>Addendum</w:t>
      </w:r>
    </w:p>
    <w:p w14:paraId="564721A8" w14:textId="77777777" w:rsidR="00963618" w:rsidRPr="00EE1115" w:rsidRDefault="00963618" w:rsidP="00EE1115">
      <w:pPr>
        <w:keepNext/>
        <w:spacing w:before="120" w:after="120"/>
        <w:jc w:val="center"/>
        <w:rPr>
          <w:rFonts w:ascii="Times New Roman Bold" w:hAnsi="Times New Roman Bold"/>
          <w:b/>
          <w:bCs/>
          <w:kern w:val="22"/>
          <w:szCs w:val="22"/>
        </w:rPr>
      </w:pPr>
      <w:r w:rsidRPr="00EE1115">
        <w:rPr>
          <w:rFonts w:ascii="Times New Roman Bold" w:hAnsi="Times New Roman Bold"/>
          <w:b/>
          <w:bCs/>
          <w:kern w:val="22"/>
          <w:szCs w:val="22"/>
        </w:rPr>
        <w:t>SUMMARY REPORT ON THE DESCRIPTION OF AREAS MEETING THE SCIENTIFIC CRITERIA FOR ECOLOGICALLY OR BIOLOGICALLY SIGNIFICANT MARINE AREAS IN THE NORTH-EAST ATLANTIC OCEAN AND ADJACENT AREAS</w:t>
      </w:r>
    </w:p>
    <w:p w14:paraId="01E300E1" w14:textId="77777777" w:rsidR="00963618" w:rsidRPr="00EE1115" w:rsidRDefault="00963618" w:rsidP="006514DB">
      <w:pPr>
        <w:jc w:val="center"/>
        <w:rPr>
          <w:b/>
          <w:bCs/>
          <w:szCs w:val="22"/>
        </w:rPr>
      </w:pPr>
      <w:r w:rsidRPr="00EE1115">
        <w:rPr>
          <w:b/>
          <w:bCs/>
          <w:szCs w:val="22"/>
        </w:rPr>
        <w:t>BACKGROUND</w:t>
      </w:r>
    </w:p>
    <w:p w14:paraId="7CA558DA" w14:textId="39B2DDD6" w:rsidR="00963618" w:rsidRPr="00EE1115" w:rsidRDefault="00963618" w:rsidP="006514DB">
      <w:pPr>
        <w:pStyle w:val="Para1"/>
        <w:numPr>
          <w:ilvl w:val="0"/>
          <w:numId w:val="0"/>
        </w:numPr>
        <w:suppressLineNumbers/>
        <w:suppressAutoHyphens/>
        <w:kinsoku w:val="0"/>
      </w:pPr>
      <w:r w:rsidRPr="00EE1115">
        <w:rPr>
          <w:lang w:eastAsia="en-GB"/>
        </w:rPr>
        <w:t>1.</w:t>
      </w:r>
      <w:r w:rsidRPr="00EE1115">
        <w:rPr>
          <w:lang w:eastAsia="en-GB"/>
        </w:rPr>
        <w:tab/>
        <w:t xml:space="preserve">Pursuant to decision </w:t>
      </w:r>
      <w:hyperlink r:id="rId45" w:history="1">
        <w:r w:rsidRPr="00EE1115">
          <w:rPr>
            <w:rStyle w:val="Hyperlink"/>
            <w:sz w:val="22"/>
            <w:lang w:eastAsia="en-GB"/>
          </w:rPr>
          <w:t>X/29</w:t>
        </w:r>
      </w:hyperlink>
      <w:r w:rsidRPr="00EE1115">
        <w:rPr>
          <w:lang w:eastAsia="en-GB"/>
        </w:rPr>
        <w:t xml:space="preserve">, paragraph 36, decision </w:t>
      </w:r>
      <w:hyperlink r:id="rId46" w:history="1">
        <w:r w:rsidRPr="00EE1115">
          <w:rPr>
            <w:rStyle w:val="Hyperlink"/>
            <w:sz w:val="22"/>
            <w:lang w:eastAsia="en-GB"/>
          </w:rPr>
          <w:t>XI/17</w:t>
        </w:r>
      </w:hyperlink>
      <w:r w:rsidRPr="00EE1115">
        <w:rPr>
          <w:lang w:eastAsia="en-GB"/>
        </w:rPr>
        <w:t xml:space="preserve">, paragraph 12, decision </w:t>
      </w:r>
      <w:hyperlink r:id="rId47" w:history="1">
        <w:r w:rsidRPr="00EE1115">
          <w:rPr>
            <w:rStyle w:val="Hyperlink"/>
            <w:sz w:val="22"/>
            <w:lang w:eastAsia="en-GB"/>
          </w:rPr>
          <w:t>XII/22</w:t>
        </w:r>
      </w:hyperlink>
      <w:r w:rsidRPr="00EE1115">
        <w:rPr>
          <w:lang w:eastAsia="en-GB"/>
        </w:rPr>
        <w:t xml:space="preserve">, paragraph 6, decision </w:t>
      </w:r>
      <w:hyperlink r:id="rId48" w:history="1">
        <w:r w:rsidRPr="00EE1115">
          <w:rPr>
            <w:rStyle w:val="Hyperlink"/>
            <w:sz w:val="22"/>
            <w:lang w:eastAsia="en-GB"/>
          </w:rPr>
          <w:t>XIII/12</w:t>
        </w:r>
      </w:hyperlink>
      <w:r w:rsidRPr="00EE1115">
        <w:rPr>
          <w:lang w:eastAsia="en-GB"/>
        </w:rPr>
        <w:t xml:space="preserve">, paragraph 8, and decision </w:t>
      </w:r>
      <w:hyperlink r:id="rId49" w:history="1">
        <w:r w:rsidRPr="00EE1115">
          <w:rPr>
            <w:rStyle w:val="Hyperlink"/>
            <w:sz w:val="22"/>
            <w:lang w:eastAsia="en-GB"/>
          </w:rPr>
          <w:t>14/9</w:t>
        </w:r>
      </w:hyperlink>
      <w:r w:rsidRPr="00EE1115">
        <w:rPr>
          <w:lang w:eastAsia="en-GB"/>
        </w:rPr>
        <w:t>, paragraph 4, a regional workshop was convened by the Executive Secretary of the Convention on Biological Diversity to facilitate the description of ecologically or biologically significant marine areas (EBSAs) in the North-East Atlantic Ocean (Stockholm, 23-27 September 2019).</w:t>
      </w:r>
      <w:r w:rsidRPr="00610646">
        <w:rPr>
          <w:rStyle w:val="FootnoteReference"/>
        </w:rPr>
        <w:footnoteReference w:id="333"/>
      </w:r>
    </w:p>
    <w:p w14:paraId="6E4EAE56" w14:textId="77777777" w:rsidR="00963618" w:rsidRPr="00EE1115" w:rsidRDefault="00963618" w:rsidP="006514DB">
      <w:pPr>
        <w:pStyle w:val="Para1"/>
        <w:numPr>
          <w:ilvl w:val="0"/>
          <w:numId w:val="0"/>
        </w:numPr>
        <w:suppressLineNumbers/>
        <w:suppressAutoHyphens/>
        <w:kinsoku w:val="0"/>
      </w:pPr>
      <w:r w:rsidRPr="00EE1115">
        <w:t>2.</w:t>
      </w:r>
      <w:r w:rsidRPr="00EE1115">
        <w:tab/>
        <w:t>The description of areas as meeting the criteria for EBSAs does not imply the expression of any opinion whatsoever concerning the legal status of any country, territory, city or area or of its authorities, or concerning the delimitation of its frontiers or boundaries. Nor does it have economic or legal implications; it is strictly a scientific and technical exercise.</w:t>
      </w:r>
    </w:p>
    <w:p w14:paraId="5B8315D9" w14:textId="77777777" w:rsidR="00963618" w:rsidRPr="00EE1115" w:rsidRDefault="00963618" w:rsidP="006514DB">
      <w:pPr>
        <w:pStyle w:val="Para1"/>
        <w:numPr>
          <w:ilvl w:val="0"/>
          <w:numId w:val="0"/>
        </w:numPr>
        <w:suppressLineNumbers/>
        <w:suppressAutoHyphens/>
        <w:kinsoku w:val="0"/>
      </w:pPr>
      <w:r w:rsidRPr="00EE1115">
        <w:t>3.</w:t>
      </w:r>
      <w:r w:rsidRPr="00EE1115">
        <w:tab/>
        <w:t>Pursuant to decision XI/17, paragraph 12, a summary of the results of this regional workshop is provided in table 1 below, while full descriptions of how the areas meet the criteria for EBSAs are provided in an annex to the report on the workshop.</w:t>
      </w:r>
    </w:p>
    <w:p w14:paraId="4EEA025E" w14:textId="77777777" w:rsidR="00963618" w:rsidRPr="00EE1115" w:rsidRDefault="00963618" w:rsidP="006514DB">
      <w:pPr>
        <w:pStyle w:val="Para1"/>
        <w:numPr>
          <w:ilvl w:val="0"/>
          <w:numId w:val="0"/>
        </w:numPr>
        <w:suppressLineNumbers/>
        <w:suppressAutoHyphens/>
        <w:kinsoku w:val="0"/>
      </w:pPr>
      <w:r w:rsidRPr="00EE1115">
        <w:t>4.</w:t>
      </w:r>
      <w:r w:rsidRPr="00EE1115">
        <w:tab/>
        <w:t xml:space="preserve">In decision X/29, paragraph 26, </w:t>
      </w:r>
      <w:r w:rsidRPr="00EE1115">
        <w:rPr>
          <w:lang w:eastAsia="en-GB"/>
        </w:rPr>
        <w:t xml:space="preserve">the Conference of Parties noted </w:t>
      </w:r>
      <w:r w:rsidRPr="00EE1115">
        <w:t>that the application of the EBSA criteria is a scientific and technical exercise, that areas found to meet the criteria may require enhanced conservation and management measures, and that this can be achieved through a variety of means, including marine spatial planning, marine protected areas, other effective area-based conservation measures and impact assessment. It also emphasized that the identification of EBSAs and the selection of conservation and management measures is a matter for States and competent intergovernmental organizations, in accordance with international law, including the United Nations Convention on the Law of the Sea.</w:t>
      </w:r>
      <w:r w:rsidRPr="00610646">
        <w:rPr>
          <w:rStyle w:val="FootnoteReference"/>
          <w:rFonts w:eastAsiaTheme="majorEastAsia"/>
        </w:rPr>
        <w:footnoteReference w:id="334"/>
      </w:r>
    </w:p>
    <w:p w14:paraId="0269B681" w14:textId="77777777" w:rsidR="00963618" w:rsidRPr="00EE1115" w:rsidRDefault="00963618" w:rsidP="006514DB">
      <w:pPr>
        <w:pStyle w:val="Para1"/>
        <w:numPr>
          <w:ilvl w:val="0"/>
          <w:numId w:val="0"/>
        </w:numPr>
        <w:suppressLineNumbers/>
        <w:suppressAutoHyphens/>
        <w:kinsoku w:val="0"/>
      </w:pPr>
    </w:p>
    <w:p w14:paraId="2C8B2AFC" w14:textId="77777777" w:rsidR="00963618" w:rsidRPr="00EE1115" w:rsidRDefault="00963618" w:rsidP="006514DB">
      <w:pPr>
        <w:rPr>
          <w:rStyle w:val="Emphasis"/>
          <w:b/>
          <w:bCs/>
          <w:i w:val="0"/>
          <w:snapToGrid w:val="0"/>
          <w:kern w:val="22"/>
          <w:szCs w:val="22"/>
        </w:rPr>
      </w:pPr>
      <w:r w:rsidRPr="00EE1115">
        <w:rPr>
          <w:rStyle w:val="Emphasis"/>
          <w:b/>
          <w:bCs/>
          <w:snapToGrid w:val="0"/>
          <w:kern w:val="22"/>
          <w:szCs w:val="22"/>
        </w:rPr>
        <w:t>Key to the tables</w:t>
      </w:r>
      <w:r w:rsidRPr="00EE1115">
        <w:rPr>
          <w:rStyle w:val="Emphasis"/>
          <w:b/>
          <w:bCs/>
          <w:snapToGrid w:val="0"/>
          <w:kern w:val="22"/>
          <w:szCs w:val="22"/>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52"/>
        <w:gridCol w:w="5376"/>
      </w:tblGrid>
      <w:tr w:rsidR="00963618" w:rsidRPr="009563A9" w14:paraId="62058677" w14:textId="77777777" w:rsidTr="00117478">
        <w:tc>
          <w:tcPr>
            <w:tcW w:w="3590" w:type="dxa"/>
            <w:shd w:val="clear" w:color="auto" w:fill="auto"/>
          </w:tcPr>
          <w:p w14:paraId="71FCE142" w14:textId="77777777" w:rsidR="00963618" w:rsidRPr="00EE1115" w:rsidRDefault="00963618" w:rsidP="00117478">
            <w:pPr>
              <w:suppressLineNumbers/>
              <w:suppressAutoHyphens/>
              <w:kinsoku w:val="0"/>
              <w:overflowPunct w:val="0"/>
              <w:autoSpaceDE w:val="0"/>
              <w:autoSpaceDN w:val="0"/>
              <w:snapToGrid w:val="0"/>
              <w:spacing w:before="120" w:after="120"/>
              <w:rPr>
                <w:rFonts w:eastAsia="MS Mincho"/>
                <w:b/>
                <w:snapToGrid w:val="0"/>
                <w:kern w:val="22"/>
                <w:szCs w:val="22"/>
              </w:rPr>
            </w:pPr>
            <w:r w:rsidRPr="00EE1115">
              <w:rPr>
                <w:rFonts w:eastAsia="MS Mincho"/>
                <w:b/>
                <w:snapToGrid w:val="0"/>
                <w:kern w:val="22"/>
                <w:szCs w:val="22"/>
              </w:rPr>
              <w:t>RANKING OF EBSA CRITERIA</w:t>
            </w:r>
          </w:p>
          <w:p w14:paraId="0D5A9E69" w14:textId="77777777" w:rsidR="00963618" w:rsidRPr="00EE1115" w:rsidRDefault="00963618" w:rsidP="00117478">
            <w:pPr>
              <w:suppressLineNumbers/>
              <w:suppressAutoHyphens/>
              <w:kinsoku w:val="0"/>
              <w:overflowPunct w:val="0"/>
              <w:autoSpaceDE w:val="0"/>
              <w:autoSpaceDN w:val="0"/>
              <w:snapToGrid w:val="0"/>
              <w:rPr>
                <w:rFonts w:eastAsia="MS Mincho"/>
                <w:b/>
                <w:snapToGrid w:val="0"/>
                <w:kern w:val="22"/>
                <w:szCs w:val="22"/>
              </w:rPr>
            </w:pPr>
            <w:r w:rsidRPr="00EE1115">
              <w:rPr>
                <w:rFonts w:eastAsia="MS Mincho"/>
                <w:b/>
                <w:snapToGrid w:val="0"/>
                <w:kern w:val="22"/>
                <w:szCs w:val="22"/>
              </w:rPr>
              <w:t>Relevance</w:t>
            </w:r>
          </w:p>
          <w:p w14:paraId="687BD851" w14:textId="77777777" w:rsidR="00963618" w:rsidRPr="00EE1115" w:rsidRDefault="00963618" w:rsidP="00117478">
            <w:pPr>
              <w:suppressLineNumbers/>
              <w:tabs>
                <w:tab w:val="left" w:pos="836"/>
              </w:tabs>
              <w:suppressAutoHyphens/>
              <w:kinsoku w:val="0"/>
              <w:overflowPunct w:val="0"/>
              <w:autoSpaceDE w:val="0"/>
              <w:autoSpaceDN w:val="0"/>
              <w:snapToGrid w:val="0"/>
              <w:ind w:left="426"/>
              <w:rPr>
                <w:rFonts w:eastAsia="MS Mincho"/>
                <w:b/>
                <w:snapToGrid w:val="0"/>
                <w:kern w:val="22"/>
                <w:szCs w:val="22"/>
              </w:rPr>
            </w:pPr>
            <w:r w:rsidRPr="00EE1115">
              <w:rPr>
                <w:rFonts w:eastAsia="MS Mincho"/>
                <w:b/>
                <w:snapToGrid w:val="0"/>
                <w:kern w:val="22"/>
                <w:szCs w:val="22"/>
              </w:rPr>
              <w:t>H:</w:t>
            </w:r>
            <w:r w:rsidRPr="00EE1115">
              <w:rPr>
                <w:rFonts w:eastAsia="MS Mincho"/>
                <w:b/>
                <w:snapToGrid w:val="0"/>
                <w:kern w:val="22"/>
                <w:szCs w:val="22"/>
              </w:rPr>
              <w:tab/>
              <w:t>High</w:t>
            </w:r>
          </w:p>
          <w:p w14:paraId="722681C6" w14:textId="77777777" w:rsidR="00963618" w:rsidRPr="00EE1115" w:rsidRDefault="00963618" w:rsidP="00117478">
            <w:pPr>
              <w:suppressLineNumbers/>
              <w:tabs>
                <w:tab w:val="left" w:pos="836"/>
              </w:tabs>
              <w:suppressAutoHyphens/>
              <w:kinsoku w:val="0"/>
              <w:overflowPunct w:val="0"/>
              <w:autoSpaceDE w:val="0"/>
              <w:autoSpaceDN w:val="0"/>
              <w:snapToGrid w:val="0"/>
              <w:ind w:left="426"/>
              <w:rPr>
                <w:rFonts w:eastAsia="MS Mincho"/>
                <w:b/>
                <w:snapToGrid w:val="0"/>
                <w:kern w:val="22"/>
                <w:szCs w:val="22"/>
              </w:rPr>
            </w:pPr>
            <w:r w:rsidRPr="00EE1115">
              <w:rPr>
                <w:rFonts w:eastAsia="MS Mincho"/>
                <w:b/>
                <w:snapToGrid w:val="0"/>
                <w:kern w:val="22"/>
                <w:szCs w:val="22"/>
              </w:rPr>
              <w:t>M:</w:t>
            </w:r>
            <w:r w:rsidRPr="00EE1115">
              <w:rPr>
                <w:rFonts w:eastAsia="MS Mincho"/>
                <w:b/>
                <w:snapToGrid w:val="0"/>
                <w:kern w:val="22"/>
                <w:szCs w:val="22"/>
              </w:rPr>
              <w:tab/>
              <w:t>Medium</w:t>
            </w:r>
          </w:p>
          <w:p w14:paraId="4A4D8DC7" w14:textId="77777777" w:rsidR="00963618" w:rsidRPr="00EE1115" w:rsidRDefault="00963618" w:rsidP="00117478">
            <w:pPr>
              <w:suppressLineNumbers/>
              <w:tabs>
                <w:tab w:val="left" w:pos="836"/>
              </w:tabs>
              <w:suppressAutoHyphens/>
              <w:kinsoku w:val="0"/>
              <w:overflowPunct w:val="0"/>
              <w:autoSpaceDE w:val="0"/>
              <w:autoSpaceDN w:val="0"/>
              <w:snapToGrid w:val="0"/>
              <w:ind w:left="426"/>
              <w:rPr>
                <w:rFonts w:eastAsia="MS Mincho"/>
                <w:b/>
                <w:snapToGrid w:val="0"/>
                <w:kern w:val="22"/>
                <w:szCs w:val="22"/>
              </w:rPr>
            </w:pPr>
            <w:r w:rsidRPr="00EE1115">
              <w:rPr>
                <w:rFonts w:eastAsia="MS Mincho"/>
                <w:b/>
                <w:snapToGrid w:val="0"/>
                <w:kern w:val="22"/>
                <w:szCs w:val="22"/>
              </w:rPr>
              <w:t>L:</w:t>
            </w:r>
            <w:r w:rsidRPr="00EE1115">
              <w:rPr>
                <w:rFonts w:eastAsia="MS Mincho"/>
                <w:b/>
                <w:snapToGrid w:val="0"/>
                <w:kern w:val="22"/>
                <w:szCs w:val="22"/>
              </w:rPr>
              <w:tab/>
              <w:t>Low</w:t>
            </w:r>
          </w:p>
          <w:p w14:paraId="1C44E715" w14:textId="77777777" w:rsidR="00963618" w:rsidRPr="00EE1115" w:rsidRDefault="00963618" w:rsidP="00117478">
            <w:pPr>
              <w:suppressLineNumbers/>
              <w:tabs>
                <w:tab w:val="left" w:pos="836"/>
              </w:tabs>
              <w:suppressAutoHyphens/>
              <w:kinsoku w:val="0"/>
              <w:overflowPunct w:val="0"/>
              <w:autoSpaceDE w:val="0"/>
              <w:autoSpaceDN w:val="0"/>
              <w:snapToGrid w:val="0"/>
              <w:spacing w:after="120"/>
              <w:ind w:left="425"/>
              <w:rPr>
                <w:rFonts w:eastAsia="MS Mincho"/>
                <w:b/>
                <w:snapToGrid w:val="0"/>
                <w:kern w:val="22"/>
                <w:szCs w:val="22"/>
              </w:rPr>
            </w:pPr>
            <w:r w:rsidRPr="00EE1115">
              <w:rPr>
                <w:rFonts w:eastAsia="MS Mincho"/>
                <w:b/>
                <w:snapToGrid w:val="0"/>
                <w:kern w:val="22"/>
                <w:szCs w:val="22"/>
              </w:rPr>
              <w:t>-:</w:t>
            </w:r>
            <w:r w:rsidRPr="00EE1115">
              <w:rPr>
                <w:rFonts w:eastAsia="MS Mincho"/>
                <w:b/>
                <w:snapToGrid w:val="0"/>
                <w:kern w:val="22"/>
                <w:szCs w:val="22"/>
              </w:rPr>
              <w:tab/>
              <w:t>No information</w:t>
            </w:r>
          </w:p>
          <w:p w14:paraId="1A61D7AA" w14:textId="77777777" w:rsidR="00963618" w:rsidRPr="00EE1115" w:rsidRDefault="00963618" w:rsidP="00117478">
            <w:pPr>
              <w:suppressLineNumbers/>
              <w:suppressAutoHyphens/>
              <w:kinsoku w:val="0"/>
              <w:overflowPunct w:val="0"/>
              <w:autoSpaceDE w:val="0"/>
              <w:autoSpaceDN w:val="0"/>
              <w:snapToGrid w:val="0"/>
              <w:ind w:left="360"/>
              <w:rPr>
                <w:b/>
                <w:snapToGrid w:val="0"/>
                <w:kern w:val="22"/>
                <w:szCs w:val="22"/>
              </w:rPr>
            </w:pPr>
          </w:p>
        </w:tc>
        <w:tc>
          <w:tcPr>
            <w:tcW w:w="5452" w:type="dxa"/>
          </w:tcPr>
          <w:p w14:paraId="369B4FBA" w14:textId="77777777" w:rsidR="00963618" w:rsidRPr="00EE1115" w:rsidRDefault="00963618" w:rsidP="00117478">
            <w:pPr>
              <w:suppressLineNumbers/>
              <w:suppressAutoHyphens/>
              <w:kinsoku w:val="0"/>
              <w:overflowPunct w:val="0"/>
              <w:autoSpaceDE w:val="0"/>
              <w:autoSpaceDN w:val="0"/>
              <w:snapToGrid w:val="0"/>
              <w:spacing w:before="120" w:after="120"/>
              <w:rPr>
                <w:rFonts w:eastAsia="MS Mincho"/>
                <w:b/>
                <w:snapToGrid w:val="0"/>
                <w:kern w:val="22"/>
                <w:szCs w:val="22"/>
              </w:rPr>
            </w:pPr>
            <w:r w:rsidRPr="00EE1115">
              <w:rPr>
                <w:rFonts w:eastAsia="MS Mincho"/>
                <w:b/>
                <w:snapToGrid w:val="0"/>
                <w:kern w:val="22"/>
                <w:szCs w:val="22"/>
              </w:rPr>
              <w:t>CRITERIA</w:t>
            </w:r>
          </w:p>
          <w:p w14:paraId="7F4E6A88" w14:textId="77777777" w:rsidR="00963618" w:rsidRPr="00EE1115" w:rsidRDefault="00963618" w:rsidP="00950BE4">
            <w:pPr>
              <w:numPr>
                <w:ilvl w:val="0"/>
                <w:numId w:val="66"/>
              </w:numPr>
              <w:suppressLineNumbers/>
              <w:suppressAutoHyphens/>
              <w:kinsoku w:val="0"/>
              <w:overflowPunct w:val="0"/>
              <w:autoSpaceDE w:val="0"/>
              <w:autoSpaceDN w:val="0"/>
              <w:snapToGrid w:val="0"/>
              <w:jc w:val="left"/>
              <w:rPr>
                <w:snapToGrid w:val="0"/>
                <w:color w:val="000000"/>
                <w:kern w:val="22"/>
                <w:szCs w:val="22"/>
              </w:rPr>
            </w:pPr>
            <w:r w:rsidRPr="00EE1115">
              <w:rPr>
                <w:b/>
                <w:snapToGrid w:val="0"/>
                <w:color w:val="000000"/>
                <w:kern w:val="22"/>
                <w:szCs w:val="22"/>
              </w:rPr>
              <w:t>C1</w:t>
            </w:r>
            <w:r w:rsidRPr="00EE1115">
              <w:rPr>
                <w:snapToGrid w:val="0"/>
                <w:color w:val="000000"/>
                <w:kern w:val="22"/>
                <w:szCs w:val="22"/>
              </w:rPr>
              <w:t xml:space="preserve">: Uniqueness or rarity </w:t>
            </w:r>
          </w:p>
          <w:p w14:paraId="7E59ED0C" w14:textId="77777777" w:rsidR="00963618" w:rsidRPr="00EE1115" w:rsidRDefault="00963618" w:rsidP="00950BE4">
            <w:pPr>
              <w:numPr>
                <w:ilvl w:val="0"/>
                <w:numId w:val="66"/>
              </w:numPr>
              <w:suppressLineNumbers/>
              <w:suppressAutoHyphens/>
              <w:kinsoku w:val="0"/>
              <w:overflowPunct w:val="0"/>
              <w:autoSpaceDE w:val="0"/>
              <w:autoSpaceDN w:val="0"/>
              <w:snapToGrid w:val="0"/>
              <w:jc w:val="left"/>
              <w:rPr>
                <w:snapToGrid w:val="0"/>
                <w:color w:val="000000"/>
                <w:kern w:val="22"/>
                <w:szCs w:val="22"/>
              </w:rPr>
            </w:pPr>
            <w:r w:rsidRPr="00EE1115">
              <w:rPr>
                <w:b/>
                <w:snapToGrid w:val="0"/>
                <w:color w:val="000000"/>
                <w:kern w:val="22"/>
                <w:szCs w:val="22"/>
              </w:rPr>
              <w:t>C2</w:t>
            </w:r>
            <w:r w:rsidRPr="00EE1115">
              <w:rPr>
                <w:snapToGrid w:val="0"/>
                <w:color w:val="000000"/>
                <w:kern w:val="22"/>
                <w:szCs w:val="22"/>
              </w:rPr>
              <w:t>: Special importance for life-history stages of species</w:t>
            </w:r>
          </w:p>
          <w:p w14:paraId="5AE7D91F" w14:textId="77777777" w:rsidR="00963618" w:rsidRPr="00EE1115" w:rsidRDefault="00963618" w:rsidP="00950BE4">
            <w:pPr>
              <w:numPr>
                <w:ilvl w:val="0"/>
                <w:numId w:val="66"/>
              </w:numPr>
              <w:suppressLineNumbers/>
              <w:suppressAutoHyphens/>
              <w:kinsoku w:val="0"/>
              <w:overflowPunct w:val="0"/>
              <w:autoSpaceDE w:val="0"/>
              <w:autoSpaceDN w:val="0"/>
              <w:snapToGrid w:val="0"/>
              <w:jc w:val="left"/>
              <w:rPr>
                <w:snapToGrid w:val="0"/>
                <w:color w:val="000000"/>
                <w:kern w:val="22"/>
                <w:szCs w:val="22"/>
              </w:rPr>
            </w:pPr>
            <w:r w:rsidRPr="00EE1115">
              <w:rPr>
                <w:b/>
                <w:snapToGrid w:val="0"/>
                <w:color w:val="000000"/>
                <w:kern w:val="22"/>
                <w:szCs w:val="22"/>
              </w:rPr>
              <w:t>C3</w:t>
            </w:r>
            <w:r w:rsidRPr="00EE1115">
              <w:rPr>
                <w:snapToGrid w:val="0"/>
                <w:color w:val="000000"/>
                <w:kern w:val="22"/>
                <w:szCs w:val="22"/>
              </w:rPr>
              <w:t>: Importance for threatened, endangered or declining species and/or habitats</w:t>
            </w:r>
          </w:p>
          <w:p w14:paraId="0B816C88" w14:textId="77777777" w:rsidR="00963618" w:rsidRPr="00EE1115" w:rsidRDefault="00963618" w:rsidP="00950BE4">
            <w:pPr>
              <w:numPr>
                <w:ilvl w:val="0"/>
                <w:numId w:val="66"/>
              </w:numPr>
              <w:suppressLineNumbers/>
              <w:suppressAutoHyphens/>
              <w:kinsoku w:val="0"/>
              <w:overflowPunct w:val="0"/>
              <w:autoSpaceDE w:val="0"/>
              <w:autoSpaceDN w:val="0"/>
              <w:snapToGrid w:val="0"/>
              <w:jc w:val="left"/>
              <w:rPr>
                <w:snapToGrid w:val="0"/>
                <w:color w:val="000000"/>
                <w:kern w:val="22"/>
                <w:szCs w:val="22"/>
              </w:rPr>
            </w:pPr>
            <w:r w:rsidRPr="00EE1115">
              <w:rPr>
                <w:b/>
                <w:snapToGrid w:val="0"/>
                <w:color w:val="000000"/>
                <w:kern w:val="22"/>
                <w:szCs w:val="22"/>
              </w:rPr>
              <w:t>C4</w:t>
            </w:r>
            <w:r w:rsidRPr="00EE1115">
              <w:rPr>
                <w:snapToGrid w:val="0"/>
                <w:color w:val="000000"/>
                <w:kern w:val="22"/>
                <w:szCs w:val="22"/>
              </w:rPr>
              <w:t>: Vulnerability, fragility, sensitivity, or slow recovery</w:t>
            </w:r>
          </w:p>
          <w:p w14:paraId="7F2D50F4" w14:textId="77777777" w:rsidR="00963618" w:rsidRPr="00EE1115" w:rsidRDefault="00963618" w:rsidP="00950BE4">
            <w:pPr>
              <w:numPr>
                <w:ilvl w:val="0"/>
                <w:numId w:val="66"/>
              </w:numPr>
              <w:suppressLineNumbers/>
              <w:suppressAutoHyphens/>
              <w:kinsoku w:val="0"/>
              <w:overflowPunct w:val="0"/>
              <w:autoSpaceDE w:val="0"/>
              <w:autoSpaceDN w:val="0"/>
              <w:snapToGrid w:val="0"/>
              <w:jc w:val="left"/>
              <w:rPr>
                <w:snapToGrid w:val="0"/>
                <w:color w:val="000000"/>
                <w:kern w:val="22"/>
                <w:szCs w:val="22"/>
              </w:rPr>
            </w:pPr>
            <w:r w:rsidRPr="00EE1115">
              <w:rPr>
                <w:b/>
                <w:snapToGrid w:val="0"/>
                <w:color w:val="000000"/>
                <w:kern w:val="22"/>
                <w:szCs w:val="22"/>
              </w:rPr>
              <w:t>C5</w:t>
            </w:r>
            <w:r w:rsidRPr="00EE1115">
              <w:rPr>
                <w:snapToGrid w:val="0"/>
                <w:color w:val="000000"/>
                <w:kern w:val="22"/>
                <w:szCs w:val="22"/>
              </w:rPr>
              <w:t>: Biological productivity</w:t>
            </w:r>
          </w:p>
          <w:p w14:paraId="08879FA6" w14:textId="77777777" w:rsidR="00963618" w:rsidRPr="00EE1115" w:rsidRDefault="00963618" w:rsidP="00950BE4">
            <w:pPr>
              <w:numPr>
                <w:ilvl w:val="0"/>
                <w:numId w:val="66"/>
              </w:numPr>
              <w:suppressLineNumbers/>
              <w:suppressAutoHyphens/>
              <w:kinsoku w:val="0"/>
              <w:overflowPunct w:val="0"/>
              <w:autoSpaceDE w:val="0"/>
              <w:autoSpaceDN w:val="0"/>
              <w:snapToGrid w:val="0"/>
              <w:jc w:val="left"/>
              <w:rPr>
                <w:snapToGrid w:val="0"/>
                <w:color w:val="000000"/>
                <w:kern w:val="22"/>
                <w:szCs w:val="22"/>
              </w:rPr>
            </w:pPr>
            <w:r w:rsidRPr="00EE1115">
              <w:rPr>
                <w:b/>
                <w:snapToGrid w:val="0"/>
                <w:color w:val="000000"/>
                <w:kern w:val="22"/>
                <w:szCs w:val="22"/>
              </w:rPr>
              <w:t>C6</w:t>
            </w:r>
            <w:r w:rsidRPr="00EE1115">
              <w:rPr>
                <w:snapToGrid w:val="0"/>
                <w:color w:val="000000"/>
                <w:kern w:val="22"/>
                <w:szCs w:val="22"/>
              </w:rPr>
              <w:t>: Biological diversity</w:t>
            </w:r>
          </w:p>
          <w:p w14:paraId="56045249" w14:textId="77777777" w:rsidR="00963618" w:rsidRPr="00EE1115" w:rsidRDefault="00963618" w:rsidP="00950BE4">
            <w:pPr>
              <w:numPr>
                <w:ilvl w:val="0"/>
                <w:numId w:val="66"/>
              </w:numPr>
              <w:suppressLineNumbers/>
              <w:suppressAutoHyphens/>
              <w:kinsoku w:val="0"/>
              <w:overflowPunct w:val="0"/>
              <w:autoSpaceDE w:val="0"/>
              <w:autoSpaceDN w:val="0"/>
              <w:snapToGrid w:val="0"/>
              <w:jc w:val="left"/>
              <w:rPr>
                <w:snapToGrid w:val="0"/>
                <w:kern w:val="22"/>
                <w:szCs w:val="22"/>
              </w:rPr>
            </w:pPr>
            <w:r w:rsidRPr="00EE1115">
              <w:rPr>
                <w:b/>
                <w:snapToGrid w:val="0"/>
                <w:color w:val="000000"/>
                <w:kern w:val="22"/>
                <w:szCs w:val="22"/>
              </w:rPr>
              <w:t>C7</w:t>
            </w:r>
            <w:r w:rsidRPr="00EE1115">
              <w:rPr>
                <w:snapToGrid w:val="0"/>
                <w:color w:val="000000"/>
                <w:kern w:val="22"/>
                <w:szCs w:val="22"/>
              </w:rPr>
              <w:t>: Naturalness</w:t>
            </w:r>
          </w:p>
          <w:p w14:paraId="7ED59016" w14:textId="77777777" w:rsidR="00963618" w:rsidRPr="00EE1115" w:rsidRDefault="00963618" w:rsidP="00117478">
            <w:pPr>
              <w:suppressLineNumbers/>
              <w:suppressAutoHyphens/>
              <w:kinsoku w:val="0"/>
              <w:overflowPunct w:val="0"/>
              <w:autoSpaceDE w:val="0"/>
              <w:autoSpaceDN w:val="0"/>
              <w:snapToGrid w:val="0"/>
              <w:spacing w:before="120" w:after="120"/>
              <w:rPr>
                <w:rFonts w:eastAsia="MS Mincho"/>
                <w:b/>
                <w:snapToGrid w:val="0"/>
                <w:kern w:val="22"/>
                <w:szCs w:val="22"/>
              </w:rPr>
            </w:pPr>
          </w:p>
        </w:tc>
      </w:tr>
    </w:tbl>
    <w:p w14:paraId="0904616B" w14:textId="77777777" w:rsidR="00963618" w:rsidRPr="00FD6CDE" w:rsidRDefault="00963618" w:rsidP="006514DB">
      <w:pPr>
        <w:jc w:val="center"/>
        <w:rPr>
          <w:b/>
          <w:bCs/>
          <w:sz w:val="20"/>
          <w:szCs w:val="20"/>
        </w:rPr>
        <w:sectPr w:rsidR="00963618" w:rsidRPr="00FD6CDE" w:rsidSect="006902DB">
          <w:headerReference w:type="even" r:id="rId50"/>
          <w:footerReference w:type="even" r:id="rId51"/>
          <w:footnotePr>
            <w:numRestart w:val="eachSect"/>
          </w:footnotePr>
          <w:pgSz w:w="12240" w:h="15840"/>
          <w:pgMar w:top="567" w:right="1389" w:bottom="1134" w:left="1389" w:header="709" w:footer="709" w:gutter="0"/>
          <w:cols w:space="708"/>
          <w:docGrid w:linePitch="360"/>
        </w:sectPr>
      </w:pPr>
    </w:p>
    <w:p w14:paraId="081A05B7" w14:textId="77777777" w:rsidR="00963618" w:rsidRPr="00FD6CDE" w:rsidRDefault="00963618" w:rsidP="006514DB">
      <w:pPr>
        <w:pStyle w:val="Header"/>
        <w:suppressLineNumbers/>
        <w:suppressAutoHyphens/>
        <w:kinsoku w:val="0"/>
        <w:overflowPunct w:val="0"/>
        <w:autoSpaceDE w:val="0"/>
        <w:autoSpaceDN w:val="0"/>
        <w:jc w:val="left"/>
        <w:rPr>
          <w:b/>
          <w:snapToGrid w:val="0"/>
          <w:kern w:val="22"/>
          <w:sz w:val="20"/>
          <w:szCs w:val="20"/>
        </w:rPr>
      </w:pPr>
      <w:r w:rsidRPr="00FD6CDE">
        <w:rPr>
          <w:b/>
          <w:snapToGrid w:val="0"/>
          <w:kern w:val="22"/>
          <w:sz w:val="20"/>
          <w:szCs w:val="20"/>
        </w:rPr>
        <w:t>Table 1. Description of areas meeting the EBSA criteria in the North-East Atlantic Ocean and adjacent areas</w:t>
      </w:r>
    </w:p>
    <w:p w14:paraId="6959E7AA" w14:textId="2CA8E9B1" w:rsidR="00963618" w:rsidRPr="00FD6CDE" w:rsidRDefault="00963618" w:rsidP="006514DB">
      <w:pPr>
        <w:suppressLineNumbers/>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kinsoku w:val="0"/>
        <w:overflowPunct w:val="0"/>
        <w:autoSpaceDE w:val="0"/>
        <w:autoSpaceDN w:val="0"/>
        <w:spacing w:before="120" w:after="120"/>
        <w:rPr>
          <w:i/>
          <w:iCs/>
          <w:sz w:val="20"/>
          <w:szCs w:val="20"/>
        </w:rPr>
      </w:pPr>
      <w:r w:rsidRPr="00FD6CDE">
        <w:rPr>
          <w:i/>
          <w:iCs/>
          <w:snapToGrid w:val="0"/>
          <w:kern w:val="22"/>
          <w:sz w:val="20"/>
          <w:szCs w:val="20"/>
        </w:rPr>
        <w:t xml:space="preserve">(Details are provided in </w:t>
      </w:r>
      <w:r w:rsidRPr="00FD6CDE">
        <w:rPr>
          <w:i/>
          <w:iCs/>
          <w:snapToGrid w:val="0"/>
          <w:kern w:val="22"/>
          <w:sz w:val="20"/>
          <w:szCs w:val="20"/>
          <w:lang w:eastAsia="ko-KR"/>
        </w:rPr>
        <w:t xml:space="preserve">the </w:t>
      </w:r>
      <w:r w:rsidRPr="00FD6CDE">
        <w:rPr>
          <w:i/>
          <w:iCs/>
          <w:snapToGrid w:val="0"/>
          <w:kern w:val="22"/>
          <w:sz w:val="20"/>
          <w:szCs w:val="20"/>
        </w:rPr>
        <w:t>report of the Regional Workshop to Facilitate the Description of Ecologically or Biologically Significant Marine Areas in the North-East Atlantic Ocean (</w:t>
      </w:r>
      <w:hyperlink r:id="rId52" w:history="1">
        <w:r w:rsidRPr="00FD6CDE">
          <w:rPr>
            <w:rStyle w:val="Hyperlink"/>
            <w:iCs/>
            <w:sz w:val="20"/>
            <w:szCs w:val="20"/>
          </w:rPr>
          <w:t>CBD/EBSA/WS/2019/1/4</w:t>
        </w:r>
      </w:hyperlink>
      <w:r w:rsidRPr="00FD6CDE">
        <w:rPr>
          <w:i/>
          <w:iCs/>
          <w:snapToGrid w:val="0"/>
          <w:kern w:val="22"/>
          <w:sz w:val="20"/>
          <w:szCs w:val="20"/>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963618" w:rsidRPr="00FD6CDE" w14:paraId="46EA695B" w14:textId="77777777" w:rsidTr="00117478">
        <w:trPr>
          <w:trHeight w:val="264"/>
          <w:tblHeader/>
        </w:trPr>
        <w:tc>
          <w:tcPr>
            <w:tcW w:w="9687" w:type="dxa"/>
            <w:vMerge w:val="restart"/>
            <w:shd w:val="clear" w:color="auto" w:fill="auto"/>
          </w:tcPr>
          <w:p w14:paraId="391948B7" w14:textId="77777777" w:rsidR="00963618" w:rsidRPr="00FD6CDE" w:rsidRDefault="00963618" w:rsidP="00117478">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Location and brief description of areas</w:t>
            </w:r>
          </w:p>
        </w:tc>
        <w:tc>
          <w:tcPr>
            <w:tcW w:w="506" w:type="dxa"/>
          </w:tcPr>
          <w:p w14:paraId="1A0753CC" w14:textId="77777777" w:rsidR="00963618" w:rsidRPr="00FD6CDE" w:rsidRDefault="00963618" w:rsidP="00117478">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C1</w:t>
            </w:r>
          </w:p>
        </w:tc>
        <w:tc>
          <w:tcPr>
            <w:tcW w:w="506" w:type="dxa"/>
          </w:tcPr>
          <w:p w14:paraId="26267F3F" w14:textId="77777777" w:rsidR="00963618" w:rsidRPr="00FD6CDE" w:rsidRDefault="00963618" w:rsidP="00117478">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C2</w:t>
            </w:r>
          </w:p>
        </w:tc>
        <w:tc>
          <w:tcPr>
            <w:tcW w:w="506" w:type="dxa"/>
          </w:tcPr>
          <w:p w14:paraId="2DEC47F7" w14:textId="77777777" w:rsidR="00963618" w:rsidRPr="00FD6CDE" w:rsidRDefault="00963618" w:rsidP="00117478">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C3</w:t>
            </w:r>
          </w:p>
        </w:tc>
        <w:tc>
          <w:tcPr>
            <w:tcW w:w="506" w:type="dxa"/>
          </w:tcPr>
          <w:p w14:paraId="5C918B6C" w14:textId="77777777" w:rsidR="00963618" w:rsidRPr="00FD6CDE" w:rsidRDefault="00963618" w:rsidP="00117478">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C4</w:t>
            </w:r>
          </w:p>
        </w:tc>
        <w:tc>
          <w:tcPr>
            <w:tcW w:w="506" w:type="dxa"/>
          </w:tcPr>
          <w:p w14:paraId="569E8D05" w14:textId="77777777" w:rsidR="00963618" w:rsidRPr="00FD6CDE" w:rsidRDefault="00963618" w:rsidP="00117478">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C5</w:t>
            </w:r>
          </w:p>
        </w:tc>
        <w:tc>
          <w:tcPr>
            <w:tcW w:w="506" w:type="dxa"/>
          </w:tcPr>
          <w:p w14:paraId="1B94CA0B" w14:textId="77777777" w:rsidR="00963618" w:rsidRPr="00FD6CDE" w:rsidRDefault="00963618" w:rsidP="00117478">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C6</w:t>
            </w:r>
          </w:p>
        </w:tc>
        <w:tc>
          <w:tcPr>
            <w:tcW w:w="507" w:type="dxa"/>
          </w:tcPr>
          <w:p w14:paraId="3617B794" w14:textId="77777777" w:rsidR="00963618" w:rsidRPr="00FD6CDE" w:rsidRDefault="00963618" w:rsidP="00117478">
            <w:pPr>
              <w:suppressLineNumbers/>
              <w:suppressAutoHyphens/>
              <w:kinsoku w:val="0"/>
              <w:overflowPunct w:val="0"/>
              <w:autoSpaceDE w:val="0"/>
              <w:autoSpaceDN w:val="0"/>
              <w:snapToGrid w:val="0"/>
              <w:jc w:val="center"/>
              <w:rPr>
                <w:b/>
                <w:snapToGrid w:val="0"/>
                <w:kern w:val="22"/>
                <w:sz w:val="20"/>
                <w:szCs w:val="20"/>
              </w:rPr>
            </w:pPr>
            <w:r w:rsidRPr="00FD6CDE">
              <w:rPr>
                <w:b/>
                <w:snapToGrid w:val="0"/>
                <w:kern w:val="22"/>
                <w:sz w:val="20"/>
                <w:szCs w:val="20"/>
              </w:rPr>
              <w:t>C7</w:t>
            </w:r>
          </w:p>
        </w:tc>
      </w:tr>
      <w:tr w:rsidR="00963618" w:rsidRPr="00FD6CDE" w14:paraId="01164C4D" w14:textId="77777777" w:rsidTr="00117478">
        <w:trPr>
          <w:trHeight w:val="264"/>
          <w:tblHeader/>
        </w:trPr>
        <w:tc>
          <w:tcPr>
            <w:tcW w:w="9687" w:type="dxa"/>
            <w:vMerge/>
            <w:shd w:val="clear" w:color="auto" w:fill="auto"/>
          </w:tcPr>
          <w:p w14:paraId="29D89191" w14:textId="77777777" w:rsidR="00963618" w:rsidRPr="00FD6CDE" w:rsidRDefault="00963618" w:rsidP="00117478">
            <w:pPr>
              <w:suppressLineNumbers/>
              <w:suppressAutoHyphens/>
              <w:kinsoku w:val="0"/>
              <w:overflowPunct w:val="0"/>
              <w:autoSpaceDE w:val="0"/>
              <w:autoSpaceDN w:val="0"/>
              <w:snapToGrid w:val="0"/>
              <w:jc w:val="center"/>
              <w:rPr>
                <w:b/>
                <w:snapToGrid w:val="0"/>
                <w:kern w:val="22"/>
                <w:sz w:val="20"/>
                <w:szCs w:val="20"/>
              </w:rPr>
            </w:pPr>
          </w:p>
        </w:tc>
        <w:tc>
          <w:tcPr>
            <w:tcW w:w="3543" w:type="dxa"/>
            <w:gridSpan w:val="7"/>
          </w:tcPr>
          <w:p w14:paraId="7455226B" w14:textId="77777777" w:rsidR="00963618" w:rsidRPr="00FD6CDE" w:rsidRDefault="00963618" w:rsidP="00117478">
            <w:pPr>
              <w:suppressLineNumbers/>
              <w:suppressAutoHyphens/>
              <w:kinsoku w:val="0"/>
              <w:overflowPunct w:val="0"/>
              <w:autoSpaceDE w:val="0"/>
              <w:autoSpaceDN w:val="0"/>
              <w:snapToGrid w:val="0"/>
              <w:jc w:val="center"/>
              <w:rPr>
                <w:b/>
                <w:snapToGrid w:val="0"/>
                <w:kern w:val="22"/>
                <w:sz w:val="20"/>
                <w:szCs w:val="20"/>
              </w:rPr>
            </w:pPr>
            <w:r w:rsidRPr="00FD6CDE">
              <w:rPr>
                <w:snapToGrid w:val="0"/>
                <w:kern w:val="22"/>
                <w:sz w:val="20"/>
                <w:szCs w:val="20"/>
              </w:rPr>
              <w:t>See the above key to the tables</w:t>
            </w:r>
          </w:p>
        </w:tc>
      </w:tr>
      <w:tr w:rsidR="00963618" w:rsidRPr="00FD6CDE" w14:paraId="56535517" w14:textId="77777777" w:rsidTr="00117478">
        <w:tc>
          <w:tcPr>
            <w:tcW w:w="9687" w:type="dxa"/>
            <w:shd w:val="clear" w:color="auto" w:fill="auto"/>
          </w:tcPr>
          <w:p w14:paraId="4F79C8F7" w14:textId="77777777" w:rsidR="00963618" w:rsidRPr="00FD6CDE" w:rsidRDefault="00963618" w:rsidP="00117478">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1. Danish Skagerrak</w:t>
            </w:r>
          </w:p>
          <w:p w14:paraId="0E1F7EE8" w14:textId="77777777" w:rsidR="00963618" w:rsidRPr="00FD6CDE" w:rsidRDefault="00963618" w:rsidP="00950BE4">
            <w:pPr>
              <w:numPr>
                <w:ilvl w:val="0"/>
                <w:numId w:val="67"/>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Location: This area is situated in the Danish part of the Skagerrak. The area reaches westwards to 6°45’E, to Skagen, the northern tip of Jutland, and stretches northeast from Skagen. It comprises an area of 7,876 km</w:t>
            </w:r>
            <w:r w:rsidRPr="00FD6CDE">
              <w:rPr>
                <w:snapToGrid w:val="0"/>
                <w:kern w:val="22"/>
                <w:sz w:val="20"/>
                <w:szCs w:val="20"/>
                <w:vertAlign w:val="superscript"/>
              </w:rPr>
              <w:t>2</w:t>
            </w:r>
            <w:r w:rsidRPr="00FD6CDE">
              <w:rPr>
                <w:snapToGrid w:val="0"/>
                <w:kern w:val="22"/>
                <w:sz w:val="20"/>
                <w:szCs w:val="20"/>
              </w:rPr>
              <w:t xml:space="preserve"> and reaches depths from the coastline to 465m. The northern and western parts cover the southern reach of the Norwegian Trench.</w:t>
            </w:r>
          </w:p>
          <w:p w14:paraId="69543AAF" w14:textId="77777777" w:rsidR="00963618" w:rsidRPr="00FD6CDE" w:rsidRDefault="00963618" w:rsidP="00950BE4">
            <w:pPr>
              <w:numPr>
                <w:ilvl w:val="0"/>
                <w:numId w:val="67"/>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This area focuses on a highly productive upwelling zone along the southern edge of the Norwegian Trench. This area has high fish biomass and diversity, and the upwelling zone also provides valuable feeding grounds for a number of cetacean and bird species.</w:t>
            </w:r>
          </w:p>
        </w:tc>
        <w:tc>
          <w:tcPr>
            <w:tcW w:w="506" w:type="dxa"/>
            <w:vAlign w:val="center"/>
          </w:tcPr>
          <w:p w14:paraId="5F5C3273"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F084EA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CBF2814"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3C714A07"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L</w:t>
            </w:r>
          </w:p>
        </w:tc>
        <w:tc>
          <w:tcPr>
            <w:tcW w:w="506" w:type="dxa"/>
            <w:vAlign w:val="center"/>
          </w:tcPr>
          <w:p w14:paraId="6131C250"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CF853C0"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7" w:type="dxa"/>
            <w:vAlign w:val="center"/>
          </w:tcPr>
          <w:p w14:paraId="6DB1BAAC"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L</w:t>
            </w:r>
          </w:p>
        </w:tc>
      </w:tr>
      <w:tr w:rsidR="00963618" w:rsidRPr="00FD6CDE" w14:paraId="7B98CE90" w14:textId="77777777" w:rsidTr="00117478">
        <w:tc>
          <w:tcPr>
            <w:tcW w:w="9687" w:type="dxa"/>
            <w:shd w:val="clear" w:color="auto" w:fill="auto"/>
          </w:tcPr>
          <w:p w14:paraId="55F42FE4" w14:textId="77777777" w:rsidR="00963618" w:rsidRPr="00FD6CDE" w:rsidRDefault="00963618" w:rsidP="00117478">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2. Danish Kattegat</w:t>
            </w:r>
          </w:p>
          <w:p w14:paraId="13DE242F" w14:textId="1B8298B9" w:rsidR="00963618" w:rsidRPr="00FD6CDE" w:rsidRDefault="00963618" w:rsidP="00950BE4">
            <w:pPr>
              <w:numPr>
                <w:ilvl w:val="0"/>
                <w:numId w:val="67"/>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Location: The Kattegat area comprises the northern part of the inner Danish waters. It is bordered to the south by the north coast of Sealand, to the west by the northeast Jutland coast, to the east by the Danish-Swedish border and to the north by a line from the northernmost point of Denmark to the northeast. It covers a total area of 14,995 km</w:t>
            </w:r>
            <w:r w:rsidRPr="00FD6CDE">
              <w:rPr>
                <w:snapToGrid w:val="0"/>
                <w:kern w:val="22"/>
                <w:sz w:val="20"/>
                <w:szCs w:val="20"/>
                <w:vertAlign w:val="superscript"/>
              </w:rPr>
              <w:t>2</w:t>
            </w:r>
            <w:r w:rsidRPr="00FD6CDE">
              <w:rPr>
                <w:snapToGrid w:val="0"/>
                <w:kern w:val="22"/>
                <w:sz w:val="20"/>
                <w:szCs w:val="20"/>
              </w:rPr>
              <w:t xml:space="preserve">. The existing EBSA (Area no. 9: Fladen and Stora and Lille Middelgrund), described in the CBD regional EBSA workshop for the Baltic Sea, borders this area </w:t>
            </w:r>
            <w:r w:rsidRPr="00FD6CDE">
              <w:rPr>
                <w:rFonts w:eastAsia="MS Mincho"/>
                <w:sz w:val="20"/>
                <w:szCs w:val="20"/>
              </w:rPr>
              <w:t xml:space="preserve">(see workshop report here: </w:t>
            </w:r>
            <w:hyperlink r:id="rId53" w:history="1">
              <w:r w:rsidRPr="00FD6CDE">
                <w:rPr>
                  <w:rStyle w:val="Hyperlink"/>
                  <w:sz w:val="20"/>
                  <w:szCs w:val="20"/>
                </w:rPr>
                <w:t>https://www.cbd.int/doc/c/aa9a/bde9/eaf24f73bd471d64e8094722/ebsa-ws-2018-01-04-en.pdf</w:t>
              </w:r>
            </w:hyperlink>
            <w:r w:rsidRPr="00FD6CDE">
              <w:rPr>
                <w:sz w:val="20"/>
                <w:szCs w:val="20"/>
              </w:rPr>
              <w:t>)</w:t>
            </w:r>
            <w:r w:rsidRPr="00FD6CDE">
              <w:rPr>
                <w:snapToGrid w:val="0"/>
                <w:kern w:val="22"/>
                <w:sz w:val="20"/>
                <w:szCs w:val="20"/>
              </w:rPr>
              <w:t>.</w:t>
            </w:r>
          </w:p>
          <w:p w14:paraId="4C1ED732" w14:textId="77777777" w:rsidR="00963618" w:rsidRPr="00FD6CDE" w:rsidRDefault="00963618" w:rsidP="00950BE4">
            <w:pPr>
              <w:numPr>
                <w:ilvl w:val="0"/>
                <w:numId w:val="67"/>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 xml:space="preserve">The Danish part of Kattegat hosts a landscape comprising shallow sandy flats, deeper muddy channels and areas with boulder reefs and bubbling reefs. The area has a diverse avifauna, with elements from pelagic environments in the North Sea, as well as wintering birds from breeding grounds in the Russian Federation and Scandinavia. Parts of the area are difficult to access for human activities and thus serve as valuable moulting sites for seaducks, such as common scoter and velvet scoter. The area is a meeting site for two subpopulations of harbour porpoise. Eelgrass meadows exist here, although they are smaller than they were in the year 1900. Seaweed forests and rich fauna are found on boulder reefs and bubbling reefs in this area, and infauna communities have high biomasses. Horse-mussel beds are found primarily in the southern part of Kattegat, where they form biogenic reef structures. </w:t>
            </w:r>
            <w:r w:rsidRPr="00FD6CDE">
              <w:rPr>
                <w:rFonts w:eastAsia="MS Mincho"/>
                <w:i/>
                <w:sz w:val="20"/>
                <w:szCs w:val="20"/>
              </w:rPr>
              <w:t xml:space="preserve">Haploops tubicola, </w:t>
            </w:r>
            <w:r w:rsidRPr="00FD6CDE">
              <w:rPr>
                <w:rFonts w:eastAsia="MS Mincho"/>
                <w:sz w:val="20"/>
                <w:szCs w:val="20"/>
              </w:rPr>
              <w:t>a</w:t>
            </w:r>
            <w:r w:rsidRPr="00FD6CDE">
              <w:rPr>
                <w:snapToGrid w:val="0"/>
                <w:kern w:val="22"/>
                <w:sz w:val="20"/>
                <w:szCs w:val="20"/>
              </w:rPr>
              <w:t xml:space="preserve"> small crustacean, is present in the area, but no longer forms a specific habitat with high densities.</w:t>
            </w:r>
          </w:p>
        </w:tc>
        <w:tc>
          <w:tcPr>
            <w:tcW w:w="506" w:type="dxa"/>
            <w:vAlign w:val="center"/>
          </w:tcPr>
          <w:p w14:paraId="563274E0"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8BA9BC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9F7ECE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74917B1"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A1EA1B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342FB198"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7" w:type="dxa"/>
            <w:vAlign w:val="center"/>
          </w:tcPr>
          <w:p w14:paraId="24BCD735"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r w:rsidR="00963618" w:rsidRPr="00FD6CDE" w14:paraId="7DF38C25" w14:textId="77777777" w:rsidTr="00117478">
        <w:tc>
          <w:tcPr>
            <w:tcW w:w="9687" w:type="dxa"/>
            <w:shd w:val="clear" w:color="auto" w:fill="auto"/>
          </w:tcPr>
          <w:p w14:paraId="30396100" w14:textId="77777777" w:rsidR="00963618" w:rsidRPr="00FD6CDE" w:rsidRDefault="00963618" w:rsidP="00117478">
            <w:pPr>
              <w:pStyle w:val="Para1"/>
              <w:numPr>
                <w:ilvl w:val="0"/>
                <w:numId w:val="0"/>
              </w:numPr>
              <w:suppressLineNumbers/>
              <w:suppressAutoHyphens/>
              <w:kinsoku w:val="0"/>
              <w:rPr>
                <w:b/>
                <w:sz w:val="20"/>
                <w:szCs w:val="20"/>
              </w:rPr>
            </w:pPr>
            <w:r w:rsidRPr="00FD6CDE">
              <w:rPr>
                <w:b/>
                <w:sz w:val="20"/>
                <w:szCs w:val="20"/>
              </w:rPr>
              <w:t>3. Cantabrian Sea (Southern Bay of Biscay)</w:t>
            </w:r>
          </w:p>
          <w:p w14:paraId="244B0C0D" w14:textId="77777777" w:rsidR="00963618" w:rsidRPr="00FD6CDE" w:rsidRDefault="00963618" w:rsidP="00950BE4">
            <w:pPr>
              <w:numPr>
                <w:ilvl w:val="0"/>
                <w:numId w:val="69"/>
              </w:numPr>
              <w:suppressLineNumbers/>
              <w:suppressAutoHyphens/>
              <w:kinsoku w:val="0"/>
              <w:overflowPunct w:val="0"/>
              <w:autoSpaceDE w:val="0"/>
              <w:autoSpaceDN w:val="0"/>
              <w:adjustRightInd w:val="0"/>
              <w:snapToGrid w:val="0"/>
              <w:rPr>
                <w:snapToGrid w:val="0"/>
                <w:color w:val="000000"/>
                <w:kern w:val="22"/>
                <w:sz w:val="20"/>
                <w:szCs w:val="20"/>
              </w:rPr>
            </w:pPr>
            <w:r w:rsidRPr="00FD6CDE">
              <w:rPr>
                <w:snapToGrid w:val="0"/>
                <w:kern w:val="22"/>
                <w:sz w:val="20"/>
                <w:szCs w:val="20"/>
              </w:rPr>
              <w:t>Location: The area is located in the south of the Bay of Biscay and is bounded by the parallels 43º 25'N and 45º 00'N and meridians 2º 10'W and 7º 00'W. The feature for which this area is described also extends eastwards and northwards, beyond the boundaries currently described.</w:t>
            </w:r>
          </w:p>
          <w:p w14:paraId="6E1A1A66" w14:textId="77777777" w:rsidR="00963618" w:rsidRPr="00FD6CDE" w:rsidRDefault="00963618" w:rsidP="00950BE4">
            <w:pPr>
              <w:numPr>
                <w:ilvl w:val="0"/>
                <w:numId w:val="69"/>
              </w:numPr>
              <w:suppressLineNumbers/>
              <w:suppressAutoHyphens/>
              <w:kinsoku w:val="0"/>
              <w:overflowPunct w:val="0"/>
              <w:autoSpaceDE w:val="0"/>
              <w:autoSpaceDN w:val="0"/>
              <w:adjustRightInd w:val="0"/>
              <w:snapToGrid w:val="0"/>
              <w:rPr>
                <w:snapToGrid w:val="0"/>
                <w:color w:val="000000"/>
                <w:kern w:val="22"/>
                <w:sz w:val="20"/>
                <w:szCs w:val="20"/>
              </w:rPr>
            </w:pPr>
            <w:r w:rsidRPr="00FD6CDE">
              <w:rPr>
                <w:rFonts w:eastAsia="MS Mincho"/>
                <w:snapToGrid w:val="0"/>
                <w:kern w:val="22"/>
                <w:sz w:val="20"/>
                <w:szCs w:val="20"/>
              </w:rPr>
              <w:t xml:space="preserve">The Cantabrian Sea ecosystem includes the continental shelf and slope and the deep abyssal basin (5000 m water depth) located along the northern border of the Iberian Peninsula (Southern Bay of Biscay), from the Capbreton Canyon head to Estaca de Bares Cape, on the Galician coast. It is a highly complex area, where the narrow continental shelf is deeply affected by the action of tectonic compression. The area contains important geomorphological elements, such as large submarine canyons and seamounts. The hydrology is also complex due to the interaction between waters formed in the Atlantic and waters of Mediterranean origin. </w:t>
            </w:r>
            <w:bookmarkStart w:id="294" w:name="_Hlk21006779"/>
            <w:r w:rsidRPr="00FD6CDE">
              <w:rPr>
                <w:rFonts w:eastAsia="MS Mincho"/>
                <w:snapToGrid w:val="0"/>
                <w:kern w:val="22"/>
                <w:sz w:val="20"/>
                <w:szCs w:val="20"/>
              </w:rPr>
              <w:t>This area includes a variety of benthic habitats, including habitats that are considered hotspots of biodiversity. These habitats serve as spawning grounds for several commercial species. The area also contains habitats for endangered, threatened and declining species and for migratory pelagic species, including cetaceans.</w:t>
            </w:r>
            <w:bookmarkEnd w:id="294"/>
          </w:p>
        </w:tc>
        <w:tc>
          <w:tcPr>
            <w:tcW w:w="506" w:type="dxa"/>
            <w:vAlign w:val="center"/>
          </w:tcPr>
          <w:p w14:paraId="7A73A66C"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1C488A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BBC3009"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D8BA547"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1509718"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BC148C4"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311140E6"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L</w:t>
            </w:r>
          </w:p>
        </w:tc>
      </w:tr>
      <w:tr w:rsidR="00963618" w:rsidRPr="00FD6CDE" w14:paraId="52D28C72" w14:textId="77777777" w:rsidTr="00117478">
        <w:tc>
          <w:tcPr>
            <w:tcW w:w="9687" w:type="dxa"/>
            <w:shd w:val="clear" w:color="auto" w:fill="auto"/>
          </w:tcPr>
          <w:p w14:paraId="03546A6C" w14:textId="77777777" w:rsidR="00963618" w:rsidRPr="00FD6CDE" w:rsidRDefault="00963618" w:rsidP="00117478">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4. West Iberian Canyons and Banks</w:t>
            </w:r>
          </w:p>
          <w:p w14:paraId="588351D4" w14:textId="77777777" w:rsidR="00963618" w:rsidRPr="00FD6CDE" w:rsidRDefault="00963618" w:rsidP="00950BE4">
            <w:pPr>
              <w:pStyle w:val="ListParagraph"/>
              <w:numPr>
                <w:ilvl w:val="0"/>
                <w:numId w:val="76"/>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Location: The area is located in waters surrounding Portugal and Spain. Its total area is 189,239 km</w:t>
            </w:r>
            <w:r w:rsidRPr="00FD6CDE">
              <w:rPr>
                <w:snapToGrid w:val="0"/>
                <w:kern w:val="22"/>
                <w:sz w:val="20"/>
                <w:szCs w:val="20"/>
                <w:vertAlign w:val="superscript"/>
              </w:rPr>
              <w:t>2</w:t>
            </w:r>
            <w:r w:rsidRPr="00FD6CDE">
              <w:rPr>
                <w:snapToGrid w:val="0"/>
                <w:kern w:val="22"/>
                <w:sz w:val="20"/>
                <w:szCs w:val="20"/>
              </w:rPr>
              <w:t xml:space="preserve"> and is divided into three sections: North Western Iberian Peninsula, Center Western Iberian Peninsula and South Western Iberian Peninsula.</w:t>
            </w:r>
            <w:r w:rsidRPr="00FD6CDE">
              <w:rPr>
                <w:sz w:val="20"/>
                <w:szCs w:val="20"/>
              </w:rPr>
              <w:t xml:space="preserve"> </w:t>
            </w:r>
            <w:r w:rsidRPr="00FD6CDE">
              <w:rPr>
                <w:snapToGrid w:val="0"/>
                <w:kern w:val="22"/>
                <w:sz w:val="20"/>
                <w:szCs w:val="20"/>
              </w:rPr>
              <w:t>The area includes 12 submarine canyons, five seamounts structures, banks, islands and an archipelago.</w:t>
            </w:r>
          </w:p>
          <w:p w14:paraId="40E70C62" w14:textId="77777777" w:rsidR="00963618" w:rsidRPr="00FD6CDE" w:rsidRDefault="00963618" w:rsidP="00950BE4">
            <w:pPr>
              <w:pStyle w:val="ListParagraph"/>
              <w:numPr>
                <w:ilvl w:val="0"/>
                <w:numId w:val="76"/>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The area includes marine protected areas (including six OSPAR Marine Protected Areas), one UNESCO Biosphere Reserve, 12 Natura 2000 Sites of Community Interest and 10 Natura 2000 Special Protection Areas for seabirds. The area is divided into three sections: North Western, Centre Western and South Western. The features in the area are hotspots of marine life, and they represent areas of enhanced productivity, especially when compared with surrounding areas. The area has a high diversity of benthic communities and spawning grounds for several species, and it is an important area for cetaceans. A total of 3,411 species are listed in the area, 11 per cent of which are protected under international or regional law.</w:t>
            </w:r>
            <w:r w:rsidRPr="00FD6CDE">
              <w:rPr>
                <w:rFonts w:eastAsia="MS Mincho"/>
                <w:snapToGrid w:val="0"/>
                <w:kern w:val="22"/>
                <w:sz w:val="20"/>
                <w:szCs w:val="20"/>
              </w:rPr>
              <w:t xml:space="preserve"> </w:t>
            </w:r>
          </w:p>
        </w:tc>
        <w:tc>
          <w:tcPr>
            <w:tcW w:w="506" w:type="dxa"/>
            <w:vAlign w:val="center"/>
          </w:tcPr>
          <w:p w14:paraId="7AD2D853"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5C1E85C"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AFBBCC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6870B32"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5C5476C"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C51ADF0"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048A9068"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L</w:t>
            </w:r>
          </w:p>
        </w:tc>
      </w:tr>
      <w:tr w:rsidR="00963618" w:rsidRPr="00FD6CDE" w14:paraId="74547A3B" w14:textId="77777777" w:rsidTr="00117478">
        <w:tc>
          <w:tcPr>
            <w:tcW w:w="9687" w:type="dxa"/>
            <w:shd w:val="clear" w:color="auto" w:fill="auto"/>
          </w:tcPr>
          <w:p w14:paraId="7262C0C3" w14:textId="77777777" w:rsidR="00963618" w:rsidRPr="00FD6CDE" w:rsidRDefault="00963618" w:rsidP="00117478">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5. Gulf of C</w:t>
            </w:r>
            <w:r w:rsidRPr="00FD6CDE">
              <w:rPr>
                <w:b/>
                <w:sz w:val="20"/>
                <w:szCs w:val="20"/>
              </w:rPr>
              <w:t>á</w:t>
            </w:r>
            <w:r w:rsidRPr="00FD6CDE">
              <w:rPr>
                <w:b/>
                <w:snapToGrid w:val="0"/>
                <w:kern w:val="22"/>
                <w:sz w:val="20"/>
                <w:szCs w:val="20"/>
              </w:rPr>
              <w:t>diz</w:t>
            </w:r>
          </w:p>
          <w:p w14:paraId="5189E064" w14:textId="77777777" w:rsidR="00963618" w:rsidRPr="00FD6CDE" w:rsidRDefault="00963618" w:rsidP="00950BE4">
            <w:pPr>
              <w:pStyle w:val="ListParagraph"/>
              <w:numPr>
                <w:ilvl w:val="0"/>
                <w:numId w:val="79"/>
              </w:numPr>
              <w:suppressLineNumbers/>
              <w:suppressAutoHyphens/>
              <w:kinsoku w:val="0"/>
              <w:overflowPunct w:val="0"/>
              <w:autoSpaceDE w:val="0"/>
              <w:autoSpaceDN w:val="0"/>
              <w:snapToGrid w:val="0"/>
              <w:ind w:left="395"/>
              <w:rPr>
                <w:rFonts w:eastAsia="MS Mincho"/>
                <w:snapToGrid w:val="0"/>
                <w:kern w:val="22"/>
                <w:sz w:val="20"/>
                <w:szCs w:val="20"/>
              </w:rPr>
            </w:pPr>
            <w:r w:rsidRPr="00FD6CDE">
              <w:rPr>
                <w:snapToGrid w:val="0"/>
                <w:kern w:val="22"/>
                <w:sz w:val="20"/>
                <w:szCs w:val="20"/>
              </w:rPr>
              <w:t xml:space="preserve">Location: </w:t>
            </w:r>
            <w:r w:rsidRPr="00FD6CDE">
              <w:rPr>
                <w:rFonts w:eastAsia="MS Mincho"/>
                <w:snapToGrid w:val="0"/>
                <w:kern w:val="22"/>
                <w:sz w:val="20"/>
                <w:szCs w:val="20"/>
              </w:rPr>
              <w:t xml:space="preserve">The area is located </w:t>
            </w:r>
            <w:r w:rsidRPr="00FD6CDE">
              <w:rPr>
                <w:sz w:val="20"/>
                <w:szCs w:val="20"/>
              </w:rPr>
              <w:t xml:space="preserve">to the southwest of the Iberian Peninsula. Its eastern boundary is the Strait of Gibraltar, on the western border of the Mediterranean Sea. It </w:t>
            </w:r>
            <w:r w:rsidRPr="00FD6CDE">
              <w:rPr>
                <w:rFonts w:eastAsia="MS Mincho"/>
                <w:snapToGrid w:val="0"/>
                <w:kern w:val="22"/>
                <w:sz w:val="20"/>
                <w:szCs w:val="20"/>
              </w:rPr>
              <w:t>is bounded by the parallels (37º 00'N and 35º 56'N) and meridians (6º 00'W and 7º 24'W).</w:t>
            </w:r>
          </w:p>
          <w:p w14:paraId="3172375E" w14:textId="77777777" w:rsidR="00963618" w:rsidRPr="00FD6CDE" w:rsidRDefault="00963618" w:rsidP="00950BE4">
            <w:pPr>
              <w:pStyle w:val="ListParagraph"/>
              <w:numPr>
                <w:ilvl w:val="0"/>
                <w:numId w:val="79"/>
              </w:numPr>
              <w:suppressLineNumbers/>
              <w:suppressAutoHyphens/>
              <w:kinsoku w:val="0"/>
              <w:overflowPunct w:val="0"/>
              <w:autoSpaceDE w:val="0"/>
              <w:autoSpaceDN w:val="0"/>
              <w:snapToGrid w:val="0"/>
              <w:ind w:left="395"/>
              <w:rPr>
                <w:rFonts w:eastAsia="MS Mincho"/>
                <w:snapToGrid w:val="0"/>
                <w:kern w:val="22"/>
                <w:sz w:val="20"/>
                <w:szCs w:val="20"/>
              </w:rPr>
            </w:pPr>
            <w:r w:rsidRPr="00FD6CDE">
              <w:rPr>
                <w:rFonts w:eastAsia="MS Mincho"/>
                <w:snapToGrid w:val="0"/>
                <w:kern w:val="22"/>
                <w:sz w:val="20"/>
                <w:szCs w:val="20"/>
              </w:rPr>
              <w:t xml:space="preserve">The area is very structurally complex and contains important geomorphological elements such as large submarine canyons and seamounts. The hydrology is also complex due to the interaction between waters formed in the Atlantic and waters of Mediterranean origin. This area includes a variety of benthic habitats, both on soft and rocky bottoms, </w:t>
            </w:r>
            <w:bookmarkStart w:id="295" w:name="_Hlk21006732"/>
            <w:r w:rsidRPr="00FD6CDE">
              <w:rPr>
                <w:rFonts w:eastAsia="MS Mincho"/>
                <w:snapToGrid w:val="0"/>
                <w:kern w:val="22"/>
                <w:sz w:val="20"/>
                <w:szCs w:val="20"/>
              </w:rPr>
              <w:t>that are considered hotspots of biodiversity, and which serve as various habitats for endangered, threatened and declining species. It is also a seasonal migratory pathway for large migratory pelagic species and is, in particular, an important area for cetacean species.</w:t>
            </w:r>
            <w:bookmarkEnd w:id="295"/>
          </w:p>
        </w:tc>
        <w:tc>
          <w:tcPr>
            <w:tcW w:w="506" w:type="dxa"/>
            <w:vAlign w:val="center"/>
          </w:tcPr>
          <w:p w14:paraId="05C2DF3A"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FFA71E3"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5EFE5AF"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F4B4AB5"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67DDD51"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5A044EA"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5080B2B4"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L</w:t>
            </w:r>
          </w:p>
        </w:tc>
      </w:tr>
      <w:tr w:rsidR="00963618" w:rsidRPr="00FD6CDE" w14:paraId="2DE85982" w14:textId="77777777" w:rsidTr="00117478">
        <w:tc>
          <w:tcPr>
            <w:tcW w:w="9687" w:type="dxa"/>
            <w:shd w:val="clear" w:color="auto" w:fill="auto"/>
          </w:tcPr>
          <w:p w14:paraId="67E21747" w14:textId="77777777" w:rsidR="00963618" w:rsidRPr="00FD6CDE" w:rsidRDefault="00963618" w:rsidP="00117478">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6. Madeira – Tore</w:t>
            </w:r>
          </w:p>
          <w:p w14:paraId="67A3E3B8" w14:textId="77777777" w:rsidR="00963618" w:rsidRPr="00FD6CDE" w:rsidRDefault="00963618" w:rsidP="00963618">
            <w:pPr>
              <w:suppressLineNumbers/>
              <w:suppressAutoHyphens/>
              <w:kinsoku w:val="0"/>
              <w:overflowPunct w:val="0"/>
              <w:autoSpaceDE w:val="0"/>
              <w:autoSpaceDN w:val="0"/>
              <w:ind w:left="360" w:hanging="360"/>
              <w:rPr>
                <w:snapToGrid w:val="0"/>
                <w:kern w:val="22"/>
                <w:sz w:val="20"/>
                <w:szCs w:val="20"/>
              </w:rPr>
            </w:pPr>
            <w:r w:rsidRPr="00FD6CDE">
              <w:rPr>
                <w:snapToGrid w:val="0"/>
                <w:kern w:val="22"/>
                <w:sz w:val="20"/>
                <w:szCs w:val="20"/>
              </w:rPr>
              <w:t xml:space="preserve">Location: </w:t>
            </w:r>
            <w:bookmarkStart w:id="296" w:name="_Hlk22118131"/>
            <w:r w:rsidRPr="00FD6CDE">
              <w:rPr>
                <w:snapToGrid w:val="0"/>
                <w:kern w:val="22"/>
                <w:sz w:val="20"/>
                <w:szCs w:val="20"/>
              </w:rPr>
              <w:t>The area is bounded by the parallels 39º28`4.39``N and 33º31`17.04``N, and the meridians 13º31`12.88`` W and 14º25`58.54``W.</w:t>
            </w:r>
          </w:p>
          <w:bookmarkEnd w:id="296"/>
          <w:p w14:paraId="1563FD63" w14:textId="77777777" w:rsidR="00963618" w:rsidRPr="00FD6CDE" w:rsidRDefault="00963618" w:rsidP="00963618">
            <w:pPr>
              <w:suppressLineNumbers/>
              <w:suppressAutoHyphens/>
              <w:kinsoku w:val="0"/>
              <w:overflowPunct w:val="0"/>
              <w:autoSpaceDE w:val="0"/>
              <w:autoSpaceDN w:val="0"/>
              <w:ind w:left="360" w:hanging="360"/>
              <w:rPr>
                <w:snapToGrid w:val="0"/>
                <w:kern w:val="22"/>
                <w:sz w:val="20"/>
                <w:szCs w:val="20"/>
              </w:rPr>
            </w:pPr>
            <w:r w:rsidRPr="00FD6CDE">
              <w:rPr>
                <w:snapToGrid w:val="0"/>
                <w:kern w:val="22"/>
                <w:sz w:val="20"/>
                <w:szCs w:val="20"/>
              </w:rPr>
              <w:t>This area includes</w:t>
            </w:r>
            <w:r w:rsidRPr="00FD6CDE">
              <w:rPr>
                <w:rFonts w:eastAsia="MS Mincho"/>
                <w:sz w:val="20"/>
                <w:szCs w:val="20"/>
              </w:rPr>
              <w:t>19 remarkable structures</w:t>
            </w:r>
            <w:r w:rsidRPr="00FD6CDE">
              <w:rPr>
                <w:snapToGrid w:val="0"/>
                <w:kern w:val="22"/>
                <w:sz w:val="20"/>
                <w:szCs w:val="20"/>
              </w:rPr>
              <w:t xml:space="preserve">,17 of which are seamounts. Seamounts are hotspots of marine life and, in general, they are areas of enhanced productivity, especially when compared with surrounding abyssal areas. </w:t>
            </w:r>
            <w:r w:rsidRPr="00FD6CDE">
              <w:rPr>
                <w:rFonts w:eastAsia="MS Mincho"/>
                <w:sz w:val="20"/>
                <w:szCs w:val="20"/>
              </w:rPr>
              <w:t>Madeira – Tore</w:t>
            </w:r>
            <w:r w:rsidRPr="00FD6CDE">
              <w:rPr>
                <w:snapToGrid w:val="0"/>
                <w:kern w:val="22"/>
                <w:sz w:val="20"/>
                <w:szCs w:val="20"/>
              </w:rPr>
              <w:t xml:space="preserve"> has an area of 197,431 km</w:t>
            </w:r>
            <w:r w:rsidRPr="00FD6CDE">
              <w:rPr>
                <w:snapToGrid w:val="0"/>
                <w:kern w:val="22"/>
                <w:sz w:val="20"/>
                <w:szCs w:val="20"/>
                <w:vertAlign w:val="superscript"/>
              </w:rPr>
              <w:t>2</w:t>
            </w:r>
            <w:r w:rsidRPr="00FD6CDE">
              <w:rPr>
                <w:snapToGrid w:val="0"/>
                <w:kern w:val="22"/>
                <w:sz w:val="20"/>
                <w:szCs w:val="20"/>
              </w:rPr>
              <w:t>, with depths ranging from 25m (top of Gettysburg seamount) to 4930m (bottom of Tore seamount). The area includes a proposed Site of Community Importance (Gorringe Bank) and an OSPAR High Seas Marine Protected Area (Josephine seamount). A total of 965 species are present in this area, 7 per cent of which are protected under international or regional law.</w:t>
            </w:r>
          </w:p>
        </w:tc>
        <w:tc>
          <w:tcPr>
            <w:tcW w:w="506" w:type="dxa"/>
            <w:vAlign w:val="center"/>
          </w:tcPr>
          <w:p w14:paraId="37FC75E3"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B4364C5"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137DDB92"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E5D2935"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702C6CC"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0915336"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6231DC96"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r w:rsidR="00963618" w:rsidRPr="00FD6CDE" w14:paraId="44660B2E" w14:textId="77777777" w:rsidTr="00117478">
        <w:tc>
          <w:tcPr>
            <w:tcW w:w="9687" w:type="dxa"/>
            <w:shd w:val="clear" w:color="auto" w:fill="auto"/>
          </w:tcPr>
          <w:p w14:paraId="45BEAE90" w14:textId="77777777" w:rsidR="00963618" w:rsidRPr="00FD6CDE" w:rsidRDefault="00963618" w:rsidP="00117478">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7. Desertas</w:t>
            </w:r>
          </w:p>
          <w:p w14:paraId="3F3B9817" w14:textId="77777777" w:rsidR="00963618" w:rsidRPr="00FD6CDE" w:rsidRDefault="00963618" w:rsidP="00950BE4">
            <w:pPr>
              <w:numPr>
                <w:ilvl w:val="0"/>
                <w:numId w:val="77"/>
              </w:numPr>
              <w:suppressLineNumbers/>
              <w:suppressAutoHyphens/>
              <w:kinsoku w:val="0"/>
              <w:overflowPunct w:val="0"/>
              <w:autoSpaceDE w:val="0"/>
              <w:autoSpaceDN w:val="0"/>
              <w:adjustRightInd w:val="0"/>
              <w:ind w:left="395"/>
              <w:rPr>
                <w:snapToGrid w:val="0"/>
                <w:kern w:val="22"/>
                <w:sz w:val="20"/>
                <w:szCs w:val="20"/>
              </w:rPr>
            </w:pPr>
            <w:r w:rsidRPr="00FD6CDE">
              <w:rPr>
                <w:snapToGrid w:val="0"/>
                <w:kern w:val="22"/>
                <w:sz w:val="20"/>
                <w:szCs w:val="20"/>
              </w:rPr>
              <w:t>Location: This area includes the marine areas adjacent to the Desertas Islands. It has an area of 455 km</w:t>
            </w:r>
            <w:r w:rsidRPr="00FD6CDE">
              <w:rPr>
                <w:snapToGrid w:val="0"/>
                <w:kern w:val="22"/>
                <w:sz w:val="20"/>
                <w:szCs w:val="20"/>
                <w:vertAlign w:val="superscript"/>
              </w:rPr>
              <w:t>2</w:t>
            </w:r>
            <w:r w:rsidRPr="00FD6CDE">
              <w:rPr>
                <w:snapToGrid w:val="0"/>
                <w:kern w:val="22"/>
                <w:sz w:val="20"/>
                <w:szCs w:val="20"/>
              </w:rPr>
              <w:t xml:space="preserve"> and is located southeast of Madeira Island, Portugal (32.47N/-16.52W).</w:t>
            </w:r>
          </w:p>
          <w:p w14:paraId="6C4672A9" w14:textId="77777777" w:rsidR="00963618" w:rsidRPr="00FD6CDE" w:rsidRDefault="00963618" w:rsidP="00950BE4">
            <w:pPr>
              <w:numPr>
                <w:ilvl w:val="0"/>
                <w:numId w:val="77"/>
              </w:numPr>
              <w:suppressLineNumbers/>
              <w:suppressAutoHyphens/>
              <w:kinsoku w:val="0"/>
              <w:overflowPunct w:val="0"/>
              <w:autoSpaceDE w:val="0"/>
              <w:autoSpaceDN w:val="0"/>
              <w:adjustRightInd w:val="0"/>
              <w:ind w:left="395"/>
              <w:rPr>
                <w:snapToGrid w:val="0"/>
                <w:kern w:val="22"/>
                <w:sz w:val="20"/>
                <w:szCs w:val="20"/>
              </w:rPr>
            </w:pPr>
            <w:r w:rsidRPr="00FD6CDE">
              <w:rPr>
                <w:snapToGrid w:val="0"/>
                <w:kern w:val="22"/>
                <w:sz w:val="20"/>
                <w:szCs w:val="20"/>
              </w:rPr>
              <w:t>The Desertas Islands hold some of the most important colonies of seabirds in the Atlantic, with large populations of Procellariiforms, including the only population of vulnerable Desertas petrel (</w:t>
            </w:r>
            <w:r w:rsidRPr="00FD6CDE">
              <w:rPr>
                <w:i/>
                <w:iCs/>
                <w:snapToGrid w:val="0"/>
                <w:kern w:val="22"/>
                <w:sz w:val="20"/>
                <w:szCs w:val="20"/>
              </w:rPr>
              <w:t>Pterodroma deserta</w:t>
            </w:r>
            <w:r w:rsidRPr="00FD6CDE">
              <w:rPr>
                <w:snapToGrid w:val="0"/>
                <w:kern w:val="22"/>
                <w:sz w:val="20"/>
                <w:szCs w:val="20"/>
              </w:rPr>
              <w:t>). They also contain important reproductive and resting habitats for the endangered monk seal (</w:t>
            </w:r>
            <w:r w:rsidRPr="00FD6CDE">
              <w:rPr>
                <w:i/>
                <w:iCs/>
                <w:snapToGrid w:val="0"/>
                <w:kern w:val="22"/>
                <w:sz w:val="20"/>
                <w:szCs w:val="20"/>
              </w:rPr>
              <w:t>Monachus monachus</w:t>
            </w:r>
            <w:r w:rsidRPr="00FD6CDE">
              <w:rPr>
                <w:snapToGrid w:val="0"/>
                <w:kern w:val="22"/>
                <w:sz w:val="20"/>
                <w:szCs w:val="20"/>
              </w:rPr>
              <w:t>) in the form of pupping caves and resting beaches.</w:t>
            </w:r>
          </w:p>
        </w:tc>
        <w:tc>
          <w:tcPr>
            <w:tcW w:w="506" w:type="dxa"/>
            <w:vAlign w:val="center"/>
          </w:tcPr>
          <w:p w14:paraId="65A9A219"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7BC77B8"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4499121"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5517D2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23BE730"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6" w:type="dxa"/>
            <w:vAlign w:val="center"/>
          </w:tcPr>
          <w:p w14:paraId="0F20ECF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7" w:type="dxa"/>
            <w:vAlign w:val="center"/>
          </w:tcPr>
          <w:p w14:paraId="7D30637F"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r>
      <w:tr w:rsidR="00963618" w:rsidRPr="00FD6CDE" w14:paraId="43F41943" w14:textId="77777777" w:rsidTr="00117478">
        <w:tc>
          <w:tcPr>
            <w:tcW w:w="9687" w:type="dxa"/>
            <w:shd w:val="clear" w:color="auto" w:fill="auto"/>
          </w:tcPr>
          <w:p w14:paraId="19C7A9EC" w14:textId="77777777" w:rsidR="00963618" w:rsidRPr="00FD6CDE" w:rsidRDefault="00963618" w:rsidP="00117478">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8. Oceanic Islands and Seamounts of the Canary Region</w:t>
            </w:r>
          </w:p>
          <w:p w14:paraId="1BCE7DC8" w14:textId="77777777" w:rsidR="00963618" w:rsidRPr="00FD6CDE" w:rsidRDefault="00963618" w:rsidP="00950BE4">
            <w:pPr>
              <w:pStyle w:val="ListParagraph"/>
              <w:numPr>
                <w:ilvl w:val="0"/>
                <w:numId w:val="80"/>
              </w:numPr>
              <w:suppressLineNumbers/>
              <w:shd w:val="clear" w:color="auto" w:fill="FFFFFF"/>
              <w:suppressAutoHyphens/>
              <w:kinsoku w:val="0"/>
              <w:overflowPunct w:val="0"/>
              <w:autoSpaceDE w:val="0"/>
              <w:autoSpaceDN w:val="0"/>
              <w:ind w:left="395"/>
              <w:rPr>
                <w:snapToGrid w:val="0"/>
                <w:color w:val="212121"/>
                <w:kern w:val="22"/>
                <w:sz w:val="20"/>
                <w:szCs w:val="20"/>
                <w:lang w:eastAsia="ja-JP"/>
              </w:rPr>
            </w:pPr>
            <w:r w:rsidRPr="00FD6CDE">
              <w:rPr>
                <w:snapToGrid w:val="0"/>
                <w:kern w:val="22"/>
                <w:sz w:val="20"/>
                <w:szCs w:val="20"/>
              </w:rPr>
              <w:t xml:space="preserve">Location: </w:t>
            </w:r>
            <w:r w:rsidRPr="00FD6CDE">
              <w:rPr>
                <w:rFonts w:eastAsia="MS Mincho"/>
                <w:snapToGrid w:val="0"/>
                <w:kern w:val="22"/>
                <w:sz w:val="20"/>
                <w:szCs w:val="20"/>
              </w:rPr>
              <w:t>The area is located in and around the Canary Islands, between the parallels 24º60’N and 32º27’N and meridians 20º96’W and 30º33’W. It includes volcanic edifices (e.g., emerged islands, seamounts and banks) and has a maximum depth of 3000 m.</w:t>
            </w:r>
          </w:p>
          <w:p w14:paraId="5BBC1A3A" w14:textId="77777777" w:rsidR="00963618" w:rsidRPr="00FD6CDE" w:rsidRDefault="00963618" w:rsidP="00950BE4">
            <w:pPr>
              <w:pStyle w:val="ListParagraph"/>
              <w:numPr>
                <w:ilvl w:val="0"/>
                <w:numId w:val="80"/>
              </w:numPr>
              <w:suppressLineNumbers/>
              <w:shd w:val="clear" w:color="auto" w:fill="FFFFFF"/>
              <w:suppressAutoHyphens/>
              <w:kinsoku w:val="0"/>
              <w:overflowPunct w:val="0"/>
              <w:autoSpaceDE w:val="0"/>
              <w:autoSpaceDN w:val="0"/>
              <w:ind w:left="395"/>
              <w:rPr>
                <w:snapToGrid w:val="0"/>
                <w:color w:val="212121"/>
                <w:kern w:val="22"/>
                <w:sz w:val="20"/>
                <w:szCs w:val="20"/>
                <w:lang w:eastAsia="ja-JP"/>
              </w:rPr>
            </w:pPr>
            <w:r w:rsidRPr="00FD6CDE">
              <w:rPr>
                <w:snapToGrid w:val="0"/>
                <w:kern w:val="22"/>
                <w:sz w:val="20"/>
                <w:szCs w:val="20"/>
              </w:rPr>
              <w:t xml:space="preserve">The area around the Canary Islands includes a set of islands and seamounts influenced by magma-driven processes over tens of millions of years over the Canary hotspot. The archipelago is made up of seven major islands, a group of islets in the northeast and three seamount fields: one in the northeast of the archipelago, one in the southwest and another between the islands. Some of these seamounts (Concepción Bank, El Banquete and Amanay) as well as coastal areas of the Canary region have been intensively studied. Thirty-nine marine Special Areas of Conservation and two Sites of Community Importance </w:t>
            </w:r>
            <w:bookmarkStart w:id="297" w:name="_Hlk22119041"/>
            <w:r w:rsidRPr="00FD6CDE">
              <w:rPr>
                <w:snapToGrid w:val="0"/>
                <w:kern w:val="22"/>
                <w:sz w:val="20"/>
                <w:szCs w:val="20"/>
              </w:rPr>
              <w:t xml:space="preserve">(both </w:t>
            </w:r>
            <w:r w:rsidRPr="00FD6CDE">
              <w:rPr>
                <w:rFonts w:eastAsia="MS Mincho"/>
                <w:sz w:val="20"/>
                <w:szCs w:val="20"/>
              </w:rPr>
              <w:t xml:space="preserve">under the Natura 2000 network), </w:t>
            </w:r>
            <w:bookmarkEnd w:id="297"/>
            <w:r w:rsidRPr="00FD6CDE">
              <w:rPr>
                <w:rFonts w:eastAsia="MS Mincho"/>
                <w:sz w:val="20"/>
                <w:szCs w:val="20"/>
              </w:rPr>
              <w:t>as well as</w:t>
            </w:r>
            <w:r w:rsidRPr="00FD6CDE">
              <w:rPr>
                <w:snapToGrid w:val="0"/>
                <w:kern w:val="22"/>
                <w:sz w:val="20"/>
                <w:szCs w:val="20"/>
              </w:rPr>
              <w:t xml:space="preserve"> three marine reserves are located in the area. This region, with its subtropical oceanographic conditions, represents the southern distribution limit for many pelagic and benthic species. It includes a variety of benthic habitats, including some that are considered hotspots of biodiversity. These habitats serve as spawning grounds for several commercial species. The area also includes habitats for endangered, threatened and declining species and for migratory pelagic species, including cetaceans.</w:t>
            </w:r>
          </w:p>
        </w:tc>
        <w:tc>
          <w:tcPr>
            <w:tcW w:w="506" w:type="dxa"/>
            <w:vAlign w:val="center"/>
          </w:tcPr>
          <w:p w14:paraId="5A47023A"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12D5F22"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4A7830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95B728C"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4464332"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68CA2F1"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4C53BFDB"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r w:rsidR="00963618" w:rsidRPr="00FD6CDE" w14:paraId="6E576918" w14:textId="77777777" w:rsidTr="00117478">
        <w:tc>
          <w:tcPr>
            <w:tcW w:w="9687" w:type="dxa"/>
            <w:shd w:val="clear" w:color="auto" w:fill="auto"/>
          </w:tcPr>
          <w:p w14:paraId="0679FDFA" w14:textId="77777777" w:rsidR="00963618" w:rsidRPr="00FD6CDE" w:rsidRDefault="00963618" w:rsidP="00117478">
            <w:pPr>
              <w:suppressLineNumbers/>
              <w:suppressAutoHyphens/>
              <w:kinsoku w:val="0"/>
              <w:overflowPunct w:val="0"/>
              <w:autoSpaceDE w:val="0"/>
              <w:autoSpaceDN w:val="0"/>
              <w:rPr>
                <w:b/>
                <w:snapToGrid w:val="0"/>
                <w:kern w:val="22"/>
                <w:sz w:val="20"/>
                <w:szCs w:val="20"/>
              </w:rPr>
            </w:pPr>
            <w:r w:rsidRPr="00FD6CDE">
              <w:rPr>
                <w:b/>
                <w:snapToGrid w:val="0"/>
                <w:kern w:val="22"/>
                <w:sz w:val="20"/>
                <w:szCs w:val="20"/>
              </w:rPr>
              <w:t>9. Tropic Seamount</w:t>
            </w:r>
          </w:p>
          <w:p w14:paraId="1111231C" w14:textId="77777777" w:rsidR="00963618" w:rsidRPr="00FD6CDE" w:rsidRDefault="00963618" w:rsidP="00950BE4">
            <w:pPr>
              <w:pStyle w:val="ListParagraph"/>
              <w:numPr>
                <w:ilvl w:val="0"/>
                <w:numId w:val="70"/>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Location: The Tropic Seamount is located in the North-East Atlantic (23°55’ N, 20°45’ W), along the north-western African continental margin.</w:t>
            </w:r>
          </w:p>
          <w:p w14:paraId="597CA0FE" w14:textId="77777777" w:rsidR="00963618" w:rsidRPr="00FD6CDE" w:rsidRDefault="00963618" w:rsidP="00950BE4">
            <w:pPr>
              <w:numPr>
                <w:ilvl w:val="0"/>
                <w:numId w:val="70"/>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 xml:space="preserve">The Tropic Seamount is home to numerous vulnerable taxa, including high-density octocoral gardens, </w:t>
            </w:r>
            <w:r w:rsidRPr="00FD6CDE">
              <w:rPr>
                <w:i/>
                <w:iCs/>
                <w:snapToGrid w:val="0"/>
                <w:kern w:val="22"/>
                <w:sz w:val="20"/>
                <w:szCs w:val="20"/>
              </w:rPr>
              <w:t>Solenosmilia variabilis</w:t>
            </w:r>
            <w:r w:rsidRPr="00FD6CDE">
              <w:rPr>
                <w:snapToGrid w:val="0"/>
                <w:kern w:val="22"/>
                <w:sz w:val="20"/>
                <w:szCs w:val="20"/>
              </w:rPr>
              <w:t xml:space="preserve"> patch reefs, xenophyophores, crinoid fields and deep-sea sponge grounds. A recent study offered the first biological insight to ground-truth the occurrence of potential vulnerable ecosystems on the Tropic Seamount, alongside predictive models to increase the spatial coverage beyond surveys</w:t>
            </w:r>
            <w:r w:rsidRPr="00FD6CDE" w:rsidDel="00DD0262">
              <w:rPr>
                <w:snapToGrid w:val="0"/>
                <w:kern w:val="22"/>
                <w:sz w:val="20"/>
                <w:szCs w:val="20"/>
              </w:rPr>
              <w:t xml:space="preserve"> </w:t>
            </w:r>
            <w:r w:rsidRPr="00FD6CDE">
              <w:rPr>
                <w:snapToGrid w:val="0"/>
                <w:kern w:val="22"/>
                <w:sz w:val="20"/>
                <w:szCs w:val="20"/>
              </w:rPr>
              <w:t xml:space="preserve">conducted by remotely operated and </w:t>
            </w:r>
            <w:bookmarkStart w:id="298" w:name="_Hlk22119282"/>
            <w:r w:rsidRPr="00FD6CDE">
              <w:rPr>
                <w:snapToGrid w:val="0"/>
                <w:kern w:val="22"/>
                <w:sz w:val="20"/>
                <w:szCs w:val="20"/>
              </w:rPr>
              <w:t>autonomous underwater vehicles</w:t>
            </w:r>
            <w:bookmarkEnd w:id="298"/>
            <w:r w:rsidRPr="00FD6CDE">
              <w:rPr>
                <w:snapToGrid w:val="0"/>
                <w:kern w:val="22"/>
                <w:sz w:val="20"/>
                <w:szCs w:val="20"/>
              </w:rPr>
              <w:t>. Predicted habitat for the glass sponge (</w:t>
            </w:r>
            <w:r w:rsidRPr="00FD6CDE">
              <w:rPr>
                <w:i/>
                <w:iCs/>
                <w:snapToGrid w:val="0"/>
                <w:kern w:val="22"/>
                <w:sz w:val="20"/>
                <w:szCs w:val="20"/>
              </w:rPr>
              <w:t>Poliopogon amadou)</w:t>
            </w:r>
            <w:r w:rsidRPr="00FD6CDE">
              <w:rPr>
                <w:snapToGrid w:val="0"/>
                <w:kern w:val="22"/>
                <w:sz w:val="20"/>
                <w:szCs w:val="20"/>
              </w:rPr>
              <w:t>, a biogeographically restricted hexactinellid forming extensive near-monospecific grounds, was found to favour the deep seamount flanks of this area within a very narrow oceanographic regime.</w:t>
            </w:r>
          </w:p>
        </w:tc>
        <w:tc>
          <w:tcPr>
            <w:tcW w:w="506" w:type="dxa"/>
            <w:vAlign w:val="center"/>
          </w:tcPr>
          <w:p w14:paraId="1D39167A"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22016DF"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6" w:type="dxa"/>
            <w:vAlign w:val="center"/>
          </w:tcPr>
          <w:p w14:paraId="141A269B"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A47C79F"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EC20B42"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3536BD6A"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100D6E91"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r>
      <w:tr w:rsidR="00963618" w:rsidRPr="00FD6CDE" w14:paraId="6E27CCDC" w14:textId="77777777" w:rsidTr="00117478">
        <w:tc>
          <w:tcPr>
            <w:tcW w:w="9687" w:type="dxa"/>
            <w:shd w:val="clear" w:color="auto" w:fill="auto"/>
          </w:tcPr>
          <w:p w14:paraId="2A67B54E" w14:textId="77777777" w:rsidR="00963618" w:rsidRPr="00FD6CDE" w:rsidRDefault="00963618" w:rsidP="00117478">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 xml:space="preserve">10. </w:t>
            </w:r>
            <w:bookmarkStart w:id="299" w:name="_Hlk21011357"/>
            <w:r w:rsidRPr="00FD6CDE">
              <w:rPr>
                <w:b/>
                <w:snapToGrid w:val="0"/>
                <w:kern w:val="22"/>
                <w:sz w:val="20"/>
                <w:szCs w:val="20"/>
              </w:rPr>
              <w:t>Atlantis-Meteor Seamount Complex</w:t>
            </w:r>
            <w:bookmarkEnd w:id="299"/>
          </w:p>
          <w:p w14:paraId="67A34747" w14:textId="77777777" w:rsidR="00963618" w:rsidRPr="00FD6CDE" w:rsidRDefault="00963618" w:rsidP="00963618">
            <w:pPr>
              <w:suppressLineNumbers/>
              <w:suppressAutoHyphens/>
              <w:kinsoku w:val="0"/>
              <w:overflowPunct w:val="0"/>
              <w:autoSpaceDE w:val="0"/>
              <w:autoSpaceDN w:val="0"/>
              <w:ind w:left="360" w:hanging="360"/>
              <w:rPr>
                <w:snapToGrid w:val="0"/>
                <w:kern w:val="22"/>
                <w:sz w:val="20"/>
                <w:szCs w:val="20"/>
              </w:rPr>
            </w:pPr>
            <w:r w:rsidRPr="00FD6CDE">
              <w:rPr>
                <w:snapToGrid w:val="0"/>
                <w:kern w:val="22"/>
                <w:sz w:val="20"/>
                <w:szCs w:val="20"/>
              </w:rPr>
              <w:t xml:space="preserve">Location: </w:t>
            </w:r>
            <w:bookmarkStart w:id="300" w:name="_Hlk22120364"/>
            <w:r w:rsidRPr="00FD6CDE">
              <w:rPr>
                <w:snapToGrid w:val="0"/>
                <w:kern w:val="22"/>
                <w:sz w:val="20"/>
                <w:szCs w:val="20"/>
              </w:rPr>
              <w:t>The area is situated roughly 700 km south of the Azores and about 1500 km northwest of Africa. It has a total area of 134,079 km</w:t>
            </w:r>
            <w:r w:rsidRPr="00FD6CDE">
              <w:rPr>
                <w:snapToGrid w:val="0"/>
                <w:kern w:val="22"/>
                <w:sz w:val="20"/>
                <w:szCs w:val="20"/>
                <w:vertAlign w:val="superscript"/>
              </w:rPr>
              <w:t>2</w:t>
            </w:r>
            <w:r w:rsidRPr="00FD6CDE">
              <w:rPr>
                <w:snapToGrid w:val="0"/>
                <w:kern w:val="22"/>
                <w:sz w:val="20"/>
                <w:szCs w:val="20"/>
              </w:rPr>
              <w:t>, with depths ranging from 265m (top of Atlantis seamount) to 4800m (bottom of Great Meteor seamount). The area is bounded by the parallels 35º30’0,000’’N and 29º12’0,000’’N and meridians -27º0’0,000’’W and -31º30’0,000’’W.</w:t>
            </w:r>
          </w:p>
          <w:bookmarkEnd w:id="300"/>
          <w:p w14:paraId="7DF255BE" w14:textId="77777777" w:rsidR="00963618" w:rsidRPr="00FD6CDE" w:rsidRDefault="00963618" w:rsidP="00963618">
            <w:pPr>
              <w:suppressLineNumbers/>
              <w:suppressAutoHyphens/>
              <w:kinsoku w:val="0"/>
              <w:overflowPunct w:val="0"/>
              <w:autoSpaceDE w:val="0"/>
              <w:autoSpaceDN w:val="0"/>
              <w:ind w:left="360" w:hanging="360"/>
              <w:rPr>
                <w:snapToGrid w:val="0"/>
                <w:kern w:val="22"/>
                <w:sz w:val="20"/>
                <w:szCs w:val="20"/>
              </w:rPr>
            </w:pPr>
            <w:r w:rsidRPr="00FD6CDE">
              <w:rPr>
                <w:snapToGrid w:val="0"/>
                <w:kern w:val="22"/>
                <w:sz w:val="20"/>
                <w:szCs w:val="20"/>
              </w:rPr>
              <w:t>The Atlantis-Meteor Seamount Complex comprises 10 seamounts. These seamounts are hotspots of marine life and areas of enhanced productivity, especially when compared with surrounding abyssal areas. This seamount complex has a total area of 134,079 km</w:t>
            </w:r>
            <w:r w:rsidRPr="00FD6CDE">
              <w:rPr>
                <w:snapToGrid w:val="0"/>
                <w:kern w:val="22"/>
                <w:sz w:val="20"/>
                <w:szCs w:val="20"/>
                <w:vertAlign w:val="superscript"/>
              </w:rPr>
              <w:t>2</w:t>
            </w:r>
            <w:r w:rsidRPr="00FD6CDE">
              <w:rPr>
                <w:snapToGrid w:val="0"/>
                <w:kern w:val="22"/>
                <w:sz w:val="20"/>
                <w:szCs w:val="20"/>
              </w:rPr>
              <w:t>, with depths ranging from 265m (top of Atlantis seamount) to 4800m (base of Great Meteor seamount). A total of 437 species are present in this area (with 16 per cent of mega- and macrofauna and up to 91 per cent of meiofauna endemic to the seamount group), 3.9 per cent of which are protected under international or regional law.</w:t>
            </w:r>
          </w:p>
        </w:tc>
        <w:tc>
          <w:tcPr>
            <w:tcW w:w="506" w:type="dxa"/>
            <w:vAlign w:val="center"/>
          </w:tcPr>
          <w:p w14:paraId="54D049E4"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5AF9102"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B5AEA1E"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9D46C6B"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55037CF"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5179F29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4E5D58E3"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r w:rsidR="00963618" w:rsidRPr="00FD6CDE" w14:paraId="4A8F0804" w14:textId="77777777" w:rsidTr="00117478">
        <w:tc>
          <w:tcPr>
            <w:tcW w:w="9687" w:type="dxa"/>
            <w:shd w:val="clear" w:color="auto" w:fill="auto"/>
          </w:tcPr>
          <w:p w14:paraId="07EB104E" w14:textId="77777777" w:rsidR="00963618" w:rsidRPr="00FD6CDE" w:rsidRDefault="00963618" w:rsidP="00117478">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11. Ridge South of the Azores</w:t>
            </w:r>
          </w:p>
          <w:p w14:paraId="5FDD47E4" w14:textId="77777777" w:rsidR="00963618" w:rsidRPr="00FD6CDE" w:rsidRDefault="00963618" w:rsidP="00950BE4">
            <w:pPr>
              <w:pStyle w:val="ListParagraph"/>
              <w:numPr>
                <w:ilvl w:val="0"/>
                <w:numId w:val="68"/>
              </w:numPr>
              <w:suppressLineNumbers/>
              <w:suppressAutoHyphens/>
              <w:kinsoku w:val="0"/>
              <w:overflowPunct w:val="0"/>
              <w:autoSpaceDE w:val="0"/>
              <w:autoSpaceDN w:val="0"/>
              <w:rPr>
                <w:rFonts w:eastAsia="MS Mincho"/>
                <w:snapToGrid w:val="0"/>
                <w:kern w:val="22"/>
                <w:sz w:val="20"/>
                <w:szCs w:val="20"/>
              </w:rPr>
            </w:pPr>
            <w:r w:rsidRPr="00FD6CDE">
              <w:rPr>
                <w:snapToGrid w:val="0"/>
                <w:kern w:val="22"/>
                <w:sz w:val="20"/>
                <w:szCs w:val="20"/>
              </w:rPr>
              <w:t xml:space="preserve">Location: </w:t>
            </w:r>
            <w:r w:rsidRPr="00FD6CDE">
              <w:rPr>
                <w:snapToGrid w:val="0"/>
                <w:kern w:val="22"/>
                <w:sz w:val="20"/>
                <w:szCs w:val="20"/>
                <w:lang w:eastAsia="ar-SA"/>
              </w:rPr>
              <w:t xml:space="preserve">The area is located on the Atlantic Ocean – South of the Azores. </w:t>
            </w:r>
            <w:r w:rsidRPr="00FD6CDE">
              <w:rPr>
                <w:bCs/>
                <w:iCs/>
                <w:sz w:val="20"/>
                <w:szCs w:val="20"/>
              </w:rPr>
              <w:t>This area has structures at depths ranging from 3460 m (inferred depth – south Oceanographer FZ), to the mid-range at 2320 m (measured depth – Rainbow), to the shallowest at Albert Monaco Ridge.</w:t>
            </w:r>
          </w:p>
          <w:p w14:paraId="471BE193" w14:textId="77777777" w:rsidR="00963618" w:rsidRPr="00FD6CDE" w:rsidRDefault="00963618" w:rsidP="00950BE4">
            <w:pPr>
              <w:pStyle w:val="ListBullet"/>
              <w:numPr>
                <w:ilvl w:val="0"/>
                <w:numId w:val="68"/>
              </w:numPr>
              <w:suppressLineNumbers/>
              <w:suppressAutoHyphens/>
              <w:kinsoku w:val="0"/>
              <w:overflowPunct w:val="0"/>
              <w:autoSpaceDE w:val="0"/>
              <w:autoSpaceDN w:val="0"/>
              <w:rPr>
                <w:snapToGrid w:val="0"/>
                <w:kern w:val="22"/>
                <w:sz w:val="20"/>
                <w:szCs w:val="20"/>
              </w:rPr>
            </w:pPr>
            <w:r w:rsidRPr="00FD6CDE">
              <w:rPr>
                <w:rFonts w:eastAsia="MS Mincho"/>
                <w:snapToGrid w:val="0"/>
                <w:kern w:val="22"/>
                <w:sz w:val="20"/>
                <w:szCs w:val="20"/>
              </w:rPr>
              <w:t>This area encompasses the axial valley and ridge crests of the Mid-Atlantic Ridge, from the Menez Gwen hydrothermal vent field area to the Haynes fracture zone. At the east ridge crest, the area includes part of the Alberto Monaco Ridge and seamount-like features associated with the western portions of the ridge. The area includes three marine protected areas (</w:t>
            </w:r>
            <w:r w:rsidRPr="00FD6CDE">
              <w:rPr>
                <w:rFonts w:eastAsia="MS Mincho"/>
                <w:sz w:val="20"/>
                <w:szCs w:val="20"/>
              </w:rPr>
              <w:t>part of the OSPAR Network of Marine Protected Areas)</w:t>
            </w:r>
            <w:r w:rsidRPr="00FD6CDE">
              <w:rPr>
                <w:rFonts w:eastAsia="MS Mincho"/>
                <w:snapToGrid w:val="0"/>
                <w:kern w:val="22"/>
                <w:sz w:val="20"/>
                <w:szCs w:val="20"/>
              </w:rPr>
              <w:t xml:space="preserve"> – Lucky Strike, Menez Gwen and Rainbow vent fields. The features in this area are both hotspots of marine life and areas of enhanced productivity when compared with surrounding bathyal and abyssal areas. The hydrothermal temperatures range between 10ᵒ C (Menez Hom and Saldanha) and 362ᵒ C (Rainbow). The area also includes other seafloor features at the ridge crest that host sponge aggregations, cold-water corals and other charismatic fauna.</w:t>
            </w:r>
          </w:p>
        </w:tc>
        <w:tc>
          <w:tcPr>
            <w:tcW w:w="506" w:type="dxa"/>
            <w:vAlign w:val="center"/>
          </w:tcPr>
          <w:p w14:paraId="13A9A5E3"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E4DB500"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625C267"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19FB791"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75220D3"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4C20EC0"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13BCBC43"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r>
      <w:tr w:rsidR="00963618" w:rsidRPr="00FD6CDE" w14:paraId="702DF7E3" w14:textId="77777777" w:rsidTr="00117478">
        <w:tc>
          <w:tcPr>
            <w:tcW w:w="9687" w:type="dxa"/>
            <w:shd w:val="clear" w:color="auto" w:fill="auto"/>
          </w:tcPr>
          <w:p w14:paraId="6C336BB3" w14:textId="77777777" w:rsidR="00963618" w:rsidRPr="00FD6CDE" w:rsidRDefault="00963618" w:rsidP="00117478">
            <w:pPr>
              <w:suppressLineNumbers/>
              <w:suppressAutoHyphens/>
              <w:kinsoku w:val="0"/>
              <w:overflowPunct w:val="0"/>
              <w:autoSpaceDE w:val="0"/>
              <w:autoSpaceDN w:val="0"/>
              <w:snapToGrid w:val="0"/>
              <w:rPr>
                <w:b/>
                <w:snapToGrid w:val="0"/>
                <w:kern w:val="22"/>
                <w:sz w:val="20"/>
                <w:szCs w:val="20"/>
              </w:rPr>
            </w:pPr>
            <w:r w:rsidRPr="00FD6CDE">
              <w:rPr>
                <w:b/>
                <w:snapToGrid w:val="0"/>
                <w:kern w:val="22"/>
                <w:sz w:val="20"/>
                <w:szCs w:val="20"/>
              </w:rPr>
              <w:t>12. Graciosa</w:t>
            </w:r>
          </w:p>
          <w:p w14:paraId="0BB7A199" w14:textId="77777777" w:rsidR="00963618" w:rsidRPr="00FD6CDE" w:rsidRDefault="00963618" w:rsidP="00950BE4">
            <w:pPr>
              <w:pStyle w:val="ListParagraph"/>
              <w:numPr>
                <w:ilvl w:val="0"/>
                <w:numId w:val="72"/>
              </w:numPr>
              <w:suppressLineNumbers/>
              <w:suppressAutoHyphens/>
              <w:kinsoku w:val="0"/>
              <w:overflowPunct w:val="0"/>
              <w:autoSpaceDE w:val="0"/>
              <w:autoSpaceDN w:val="0"/>
              <w:ind w:left="395"/>
              <w:rPr>
                <w:snapToGrid w:val="0"/>
                <w:color w:val="000000"/>
                <w:kern w:val="22"/>
                <w:sz w:val="20"/>
                <w:szCs w:val="20"/>
              </w:rPr>
            </w:pPr>
            <w:r w:rsidRPr="00FD6CDE">
              <w:rPr>
                <w:snapToGrid w:val="0"/>
                <w:color w:val="000000"/>
                <w:kern w:val="22"/>
                <w:sz w:val="20"/>
                <w:szCs w:val="20"/>
              </w:rPr>
              <w:t>Location: This area encompasses the surrounding waters of Graciosa Island and two smaller islands: Baixo and Praia islets. It has an area of 277 km</w:t>
            </w:r>
            <w:r w:rsidRPr="00FD6CDE">
              <w:rPr>
                <w:snapToGrid w:val="0"/>
                <w:color w:val="000000"/>
                <w:kern w:val="22"/>
                <w:sz w:val="20"/>
                <w:szCs w:val="20"/>
                <w:vertAlign w:val="superscript"/>
              </w:rPr>
              <w:t>2</w:t>
            </w:r>
            <w:r w:rsidRPr="00FD6CDE">
              <w:rPr>
                <w:snapToGrid w:val="0"/>
                <w:color w:val="000000"/>
                <w:kern w:val="22"/>
                <w:sz w:val="20"/>
                <w:szCs w:val="20"/>
              </w:rPr>
              <w:t xml:space="preserve"> and is the northernmost island of the Azores, Portugal (39.05N/-27.99W).</w:t>
            </w:r>
          </w:p>
          <w:p w14:paraId="1EBF2FE5" w14:textId="77777777" w:rsidR="00963618" w:rsidRPr="00FD6CDE" w:rsidRDefault="00963618" w:rsidP="00950BE4">
            <w:pPr>
              <w:numPr>
                <w:ilvl w:val="0"/>
                <w:numId w:val="72"/>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This is a key area for the only breeding population of the vulnerable and endemic Monteiro’s storm-petrel (</w:t>
            </w:r>
            <w:r w:rsidRPr="00FD6CDE">
              <w:rPr>
                <w:i/>
                <w:iCs/>
                <w:snapToGrid w:val="0"/>
                <w:kern w:val="22"/>
                <w:sz w:val="20"/>
                <w:szCs w:val="20"/>
              </w:rPr>
              <w:t>Hydrobates monteiroi</w:t>
            </w:r>
            <w:r w:rsidRPr="00FD6CDE">
              <w:rPr>
                <w:snapToGrid w:val="0"/>
                <w:kern w:val="22"/>
                <w:sz w:val="20"/>
                <w:szCs w:val="20"/>
              </w:rPr>
              <w:t>) and is also important for the breeding population of the Audubon’s shearwater (</w:t>
            </w:r>
            <w:r w:rsidRPr="00FD6CDE">
              <w:rPr>
                <w:i/>
                <w:iCs/>
                <w:snapToGrid w:val="0"/>
                <w:kern w:val="22"/>
                <w:sz w:val="20"/>
                <w:szCs w:val="20"/>
              </w:rPr>
              <w:t>Puffinus lherminieri baroli</w:t>
            </w:r>
            <w:r w:rsidRPr="00FD6CDE">
              <w:rPr>
                <w:snapToGrid w:val="0"/>
                <w:kern w:val="22"/>
                <w:sz w:val="20"/>
                <w:szCs w:val="20"/>
              </w:rPr>
              <w:t>), which is listed by OSPAR as a threatened and/or declining species. Many other seabirds occur in these waters, such as band-rumped storm-petrel (</w:t>
            </w:r>
            <w:r w:rsidRPr="00FD6CDE">
              <w:rPr>
                <w:i/>
                <w:iCs/>
                <w:snapToGrid w:val="0"/>
                <w:kern w:val="22"/>
                <w:sz w:val="20"/>
                <w:szCs w:val="20"/>
              </w:rPr>
              <w:t>Hydrobates castro</w:t>
            </w:r>
            <w:r w:rsidRPr="00FD6CDE">
              <w:rPr>
                <w:snapToGrid w:val="0"/>
                <w:kern w:val="22"/>
                <w:sz w:val="20"/>
                <w:szCs w:val="20"/>
              </w:rPr>
              <w:t>), Cory’s shearwater (</w:t>
            </w:r>
            <w:r w:rsidRPr="00FD6CDE">
              <w:rPr>
                <w:i/>
                <w:iCs/>
                <w:snapToGrid w:val="0"/>
                <w:kern w:val="22"/>
                <w:sz w:val="20"/>
                <w:szCs w:val="20"/>
              </w:rPr>
              <w:t>Calonectris borealis</w:t>
            </w:r>
            <w:r w:rsidRPr="00FD6CDE">
              <w:rPr>
                <w:snapToGrid w:val="0"/>
                <w:kern w:val="22"/>
                <w:sz w:val="20"/>
                <w:szCs w:val="20"/>
              </w:rPr>
              <w:t>), common tern (</w:t>
            </w:r>
            <w:r w:rsidRPr="00FD6CDE">
              <w:rPr>
                <w:i/>
                <w:iCs/>
                <w:snapToGrid w:val="0"/>
                <w:kern w:val="22"/>
                <w:sz w:val="20"/>
                <w:szCs w:val="20"/>
              </w:rPr>
              <w:t>Sterna hirundo</w:t>
            </w:r>
            <w:r w:rsidRPr="00FD6CDE">
              <w:rPr>
                <w:snapToGrid w:val="0"/>
                <w:kern w:val="22"/>
                <w:sz w:val="20"/>
                <w:szCs w:val="20"/>
              </w:rPr>
              <w:t>) and roseate tern (</w:t>
            </w:r>
            <w:r w:rsidRPr="00FD6CDE">
              <w:rPr>
                <w:i/>
                <w:iCs/>
                <w:snapToGrid w:val="0"/>
                <w:kern w:val="22"/>
                <w:sz w:val="20"/>
                <w:szCs w:val="20"/>
              </w:rPr>
              <w:t>Sterna dougallii</w:t>
            </w:r>
            <w:r w:rsidRPr="00FD6CDE">
              <w:rPr>
                <w:snapToGrid w:val="0"/>
                <w:kern w:val="22"/>
                <w:sz w:val="20"/>
                <w:szCs w:val="20"/>
              </w:rPr>
              <w:t>). All of these species have low recovery rates and are highly sensitive to environmental degradation or depletion by human activity.</w:t>
            </w:r>
          </w:p>
        </w:tc>
        <w:tc>
          <w:tcPr>
            <w:tcW w:w="506" w:type="dxa"/>
            <w:vAlign w:val="center"/>
          </w:tcPr>
          <w:p w14:paraId="279D1858"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50BBABA1"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4AB41A27"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7A5C1BC3"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3AA200A0"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w:t>
            </w:r>
          </w:p>
        </w:tc>
        <w:tc>
          <w:tcPr>
            <w:tcW w:w="506" w:type="dxa"/>
            <w:vAlign w:val="center"/>
          </w:tcPr>
          <w:p w14:paraId="73FECC78"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w:t>
            </w:r>
          </w:p>
        </w:tc>
        <w:tc>
          <w:tcPr>
            <w:tcW w:w="507" w:type="dxa"/>
            <w:vAlign w:val="center"/>
          </w:tcPr>
          <w:p w14:paraId="10F70957"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w:t>
            </w:r>
          </w:p>
        </w:tc>
      </w:tr>
      <w:tr w:rsidR="00963618" w:rsidRPr="00FD6CDE" w14:paraId="0124D58D" w14:textId="77777777" w:rsidTr="00117478">
        <w:tc>
          <w:tcPr>
            <w:tcW w:w="9687" w:type="dxa"/>
            <w:shd w:val="clear" w:color="auto" w:fill="auto"/>
          </w:tcPr>
          <w:p w14:paraId="2E8BC2E4" w14:textId="77777777" w:rsidR="00963618" w:rsidRPr="00FD6CDE" w:rsidRDefault="00963618" w:rsidP="00EE1115">
            <w:pPr>
              <w:keepNext/>
              <w:suppressLineNumbers/>
              <w:suppressAutoHyphens/>
              <w:kinsoku w:val="0"/>
              <w:overflowPunct w:val="0"/>
              <w:autoSpaceDE w:val="0"/>
              <w:autoSpaceDN w:val="0"/>
              <w:jc w:val="left"/>
              <w:outlineLvl w:val="1"/>
              <w:rPr>
                <w:b/>
                <w:snapToGrid w:val="0"/>
                <w:kern w:val="22"/>
                <w:sz w:val="20"/>
                <w:szCs w:val="20"/>
              </w:rPr>
            </w:pPr>
            <w:bookmarkStart w:id="301" w:name="_Toc118355040"/>
            <w:r w:rsidRPr="00FD6CDE">
              <w:rPr>
                <w:b/>
                <w:snapToGrid w:val="0"/>
                <w:kern w:val="22"/>
                <w:sz w:val="20"/>
                <w:szCs w:val="20"/>
              </w:rPr>
              <w:t>13. North Azores Plateau</w:t>
            </w:r>
            <w:bookmarkEnd w:id="301"/>
          </w:p>
          <w:p w14:paraId="42C06F62" w14:textId="77777777" w:rsidR="00963618" w:rsidRPr="00FD6CDE" w:rsidRDefault="00963618" w:rsidP="00950BE4">
            <w:pPr>
              <w:numPr>
                <w:ilvl w:val="0"/>
                <w:numId w:val="73"/>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Location: The area is spread over a wide part of the Atlantic Ocean, north of the Azores. The area is home to multiple types of structures (i.e., hydrothermal vent field, Mid-Atlantic Ridge North of the Azores High Seas Marine Protected Area, seamounts), which are very distinct in terms of biology and geology, and which have different compositions, locations and ages.</w:t>
            </w:r>
          </w:p>
          <w:p w14:paraId="6B7DD22C" w14:textId="77777777" w:rsidR="00963618" w:rsidRPr="00FD6CDE" w:rsidRDefault="00963618" w:rsidP="00950BE4">
            <w:pPr>
              <w:numPr>
                <w:ilvl w:val="0"/>
                <w:numId w:val="73"/>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This area is composed of several seamounts, one hydrothermal vent field, an undersea trough and a large portion of the Mid-Atlantic Ridge north of the Azores Plateau. The structures in this area are hotspots of marine life and, in general, are areas of enhanced productivity, especially when compared with surrounding abyssal areas. The Moytirra is the first known deep-sea hydrothermal vent field on the slow-spreading Mid-Atlantic Ridge north of the Azores, making this area highly unique. A total of 536 species have been observed in this area, 6 per cent of which are protected under international or regional law.</w:t>
            </w:r>
          </w:p>
        </w:tc>
        <w:tc>
          <w:tcPr>
            <w:tcW w:w="506" w:type="dxa"/>
            <w:vAlign w:val="center"/>
          </w:tcPr>
          <w:p w14:paraId="54F4DE70"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510663A6"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7D29C5E5"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4699E64A"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6" w:type="dxa"/>
            <w:vAlign w:val="center"/>
          </w:tcPr>
          <w:p w14:paraId="192487B7"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M</w:t>
            </w:r>
          </w:p>
        </w:tc>
        <w:tc>
          <w:tcPr>
            <w:tcW w:w="506" w:type="dxa"/>
            <w:vAlign w:val="center"/>
          </w:tcPr>
          <w:p w14:paraId="2977415D"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H</w:t>
            </w:r>
          </w:p>
        </w:tc>
        <w:tc>
          <w:tcPr>
            <w:tcW w:w="507" w:type="dxa"/>
            <w:vAlign w:val="center"/>
          </w:tcPr>
          <w:p w14:paraId="5F134401" w14:textId="77777777" w:rsidR="00963618" w:rsidRPr="00FD6CDE" w:rsidRDefault="00963618" w:rsidP="00117478">
            <w:pPr>
              <w:suppressLineNumbers/>
              <w:suppressAutoHyphens/>
              <w:kinsoku w:val="0"/>
              <w:overflowPunct w:val="0"/>
              <w:autoSpaceDE w:val="0"/>
              <w:autoSpaceDN w:val="0"/>
              <w:snapToGrid w:val="0"/>
              <w:jc w:val="center"/>
              <w:rPr>
                <w:snapToGrid w:val="0"/>
                <w:color w:val="000000"/>
                <w:kern w:val="22"/>
                <w:sz w:val="20"/>
                <w:szCs w:val="20"/>
              </w:rPr>
            </w:pPr>
            <w:r w:rsidRPr="00FD6CDE">
              <w:rPr>
                <w:snapToGrid w:val="0"/>
                <w:color w:val="000000"/>
                <w:kern w:val="22"/>
                <w:sz w:val="20"/>
                <w:szCs w:val="20"/>
              </w:rPr>
              <w:t>M</w:t>
            </w:r>
          </w:p>
        </w:tc>
      </w:tr>
      <w:tr w:rsidR="00963618" w:rsidRPr="00FD6CDE" w14:paraId="7C2ABE94" w14:textId="77777777" w:rsidTr="00117478">
        <w:tc>
          <w:tcPr>
            <w:tcW w:w="9687" w:type="dxa"/>
            <w:shd w:val="clear" w:color="auto" w:fill="auto"/>
          </w:tcPr>
          <w:p w14:paraId="7D212702" w14:textId="77777777" w:rsidR="00963618" w:rsidRPr="00FD6CDE" w:rsidRDefault="00963618" w:rsidP="00117478">
            <w:pPr>
              <w:suppressLineNumbers/>
              <w:suppressAutoHyphens/>
              <w:kinsoku w:val="0"/>
              <w:overflowPunct w:val="0"/>
              <w:autoSpaceDE w:val="0"/>
              <w:autoSpaceDN w:val="0"/>
              <w:jc w:val="left"/>
              <w:outlineLvl w:val="1"/>
              <w:rPr>
                <w:b/>
                <w:caps/>
                <w:snapToGrid w:val="0"/>
                <w:kern w:val="22"/>
                <w:sz w:val="20"/>
                <w:szCs w:val="20"/>
              </w:rPr>
            </w:pPr>
            <w:bookmarkStart w:id="302" w:name="_Toc118355041"/>
            <w:r w:rsidRPr="00FD6CDE">
              <w:rPr>
                <w:b/>
                <w:snapToGrid w:val="0"/>
                <w:kern w:val="22"/>
                <w:sz w:val="20"/>
                <w:szCs w:val="20"/>
              </w:rPr>
              <w:t>14. Mid-North-Atlantic Frontal System</w:t>
            </w:r>
            <w:bookmarkEnd w:id="302"/>
          </w:p>
          <w:p w14:paraId="7BE27F0B" w14:textId="77777777" w:rsidR="00963618" w:rsidRPr="00FD6CDE" w:rsidRDefault="00963618" w:rsidP="00950BE4">
            <w:pPr>
              <w:numPr>
                <w:ilvl w:val="0"/>
                <w:numId w:val="78"/>
              </w:numPr>
              <w:suppressLineNumbers/>
              <w:suppressAutoHyphens/>
              <w:kinsoku w:val="0"/>
              <w:overflowPunct w:val="0"/>
              <w:autoSpaceDE w:val="0"/>
              <w:autoSpaceDN w:val="0"/>
              <w:rPr>
                <w:snapToGrid w:val="0"/>
                <w:kern w:val="22"/>
                <w:sz w:val="20"/>
                <w:szCs w:val="20"/>
              </w:rPr>
            </w:pPr>
            <w:r w:rsidRPr="00FD6CDE">
              <w:rPr>
                <w:snapToGrid w:val="0"/>
                <w:kern w:val="22"/>
                <w:sz w:val="20"/>
                <w:szCs w:val="20"/>
              </w:rPr>
              <w:t>Location: This area has a well-defined western boundary (front), coinciding with the maritime boundary of the OSPAR Commission. It extends north along the east flank of the Grand Banks, where it forms a loop called the Northwest Corner and continues to the east. The northern boundary is defined by the northern extent of the Subpolar Front at 54°N. The North Subarctic Front is topographically fixed at the Charlie-Gibbs Fracture Zone at 30°W. It is known that the North Atlantic Current and frontal branches vary strongly, with latitudinal shifts up to 250-300 km. Thus, maps of annual means have been used to ensure that the area’s full temporal variability has been captured.</w:t>
            </w:r>
          </w:p>
          <w:p w14:paraId="3B30D663" w14:textId="77777777" w:rsidR="00963618" w:rsidRPr="00FD6CDE" w:rsidRDefault="00963618" w:rsidP="00950BE4">
            <w:pPr>
              <w:numPr>
                <w:ilvl w:val="0"/>
                <w:numId w:val="74"/>
              </w:numPr>
              <w:suppressLineNumbers/>
              <w:suppressAutoHyphens/>
              <w:kinsoku w:val="0"/>
              <w:overflowPunct w:val="0"/>
              <w:autoSpaceDE w:val="0"/>
              <w:autoSpaceDN w:val="0"/>
              <w:ind w:left="360"/>
              <w:rPr>
                <w:snapToGrid w:val="0"/>
                <w:kern w:val="22"/>
                <w:sz w:val="20"/>
                <w:szCs w:val="20"/>
              </w:rPr>
            </w:pPr>
            <w:r w:rsidRPr="00FD6CDE">
              <w:rPr>
                <w:snapToGrid w:val="0"/>
                <w:kern w:val="22"/>
                <w:sz w:val="20"/>
                <w:szCs w:val="20"/>
              </w:rPr>
              <w:t>This is a remote area of intense mesoscale activity with near stationary eddies and numerous thermal fronts aligned in zonal bands. These fronts and eddies enhance primary productivity and retain and concentrate secondary productivity both vertically and horizontally. The combination of locali</w:t>
            </w:r>
            <w:r>
              <w:rPr>
                <w:snapToGrid w:val="0"/>
                <w:kern w:val="22"/>
                <w:sz w:val="20"/>
                <w:szCs w:val="20"/>
              </w:rPr>
              <w:t>z</w:t>
            </w:r>
            <w:r w:rsidRPr="00FD6CDE">
              <w:rPr>
                <w:snapToGrid w:val="0"/>
                <w:kern w:val="22"/>
                <w:sz w:val="20"/>
                <w:szCs w:val="20"/>
              </w:rPr>
              <w:t>ed high- intensity mixing in the eddies results in patchy, high-surface productivity at fine scales. Tracking data collected for seabirds, whales, sea turtles, tunas and sharks (several of which are globally threatened) confirm that this is an area of high productivity with a high intensity of foraging activity, suggesting that this productivity cascades to higher trophic levels.</w:t>
            </w:r>
          </w:p>
        </w:tc>
        <w:tc>
          <w:tcPr>
            <w:tcW w:w="506" w:type="dxa"/>
            <w:vAlign w:val="center"/>
          </w:tcPr>
          <w:p w14:paraId="5B9D6483"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6" w:type="dxa"/>
            <w:vAlign w:val="center"/>
          </w:tcPr>
          <w:p w14:paraId="4025D98B"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7178F2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2DDC777B"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DE0841E"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9397C52"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1D630E5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r>
      <w:tr w:rsidR="00963618" w:rsidRPr="00FD6CDE" w14:paraId="59B87D09" w14:textId="77777777" w:rsidTr="00117478">
        <w:tc>
          <w:tcPr>
            <w:tcW w:w="9687" w:type="dxa"/>
            <w:shd w:val="clear" w:color="auto" w:fill="auto"/>
          </w:tcPr>
          <w:p w14:paraId="0EDE27D5" w14:textId="77777777" w:rsidR="00963618" w:rsidRPr="00FD6CDE" w:rsidRDefault="00963618" w:rsidP="00117478">
            <w:pPr>
              <w:suppressLineNumbers/>
              <w:suppressAutoHyphens/>
              <w:kinsoku w:val="0"/>
              <w:overflowPunct w:val="0"/>
              <w:autoSpaceDE w:val="0"/>
              <w:autoSpaceDN w:val="0"/>
              <w:jc w:val="left"/>
              <w:outlineLvl w:val="1"/>
              <w:rPr>
                <w:b/>
                <w:snapToGrid w:val="0"/>
                <w:kern w:val="22"/>
                <w:sz w:val="20"/>
                <w:szCs w:val="20"/>
              </w:rPr>
            </w:pPr>
            <w:bookmarkStart w:id="303" w:name="_Toc118355042"/>
            <w:r w:rsidRPr="00FD6CDE">
              <w:rPr>
                <w:b/>
                <w:snapToGrid w:val="0"/>
                <w:kern w:val="22"/>
                <w:sz w:val="20"/>
                <w:szCs w:val="20"/>
              </w:rPr>
              <w:t>15. Charlie-Gibbs Fracture Zone</w:t>
            </w:r>
            <w:bookmarkEnd w:id="303"/>
          </w:p>
          <w:p w14:paraId="7BAAD7CA" w14:textId="77777777" w:rsidR="00963618" w:rsidRPr="00FD6CDE" w:rsidRDefault="00963618" w:rsidP="00963618">
            <w:pPr>
              <w:suppressLineNumbers/>
              <w:suppressAutoHyphens/>
              <w:kinsoku w:val="0"/>
              <w:overflowPunct w:val="0"/>
              <w:autoSpaceDE w:val="0"/>
              <w:autoSpaceDN w:val="0"/>
              <w:ind w:left="360" w:hanging="360"/>
              <w:rPr>
                <w:snapToGrid w:val="0"/>
                <w:kern w:val="22"/>
                <w:sz w:val="20"/>
                <w:szCs w:val="20"/>
              </w:rPr>
            </w:pPr>
            <w:r w:rsidRPr="00FD6CDE">
              <w:rPr>
                <w:snapToGrid w:val="0"/>
                <w:kern w:val="22"/>
                <w:sz w:val="20"/>
                <w:szCs w:val="20"/>
              </w:rPr>
              <w:t>Location: This area extends from 48°N and 55°188′N along the Mid-Atlantic Ridge, and the Charlie-Gibbs Fracture Zone occurs at 52º30′N. The area extends from about 25°W to 45°W, with the transform faults occurring between 30°W and 35°W. The eastern boundary of the Charlie-Gibbs Fracture Zone is detectable beyond 42°W. The southern ridge continues uninterrupted to 45°W. This area encompasses the Charlie-Gibbs Fracture Zone, the meandering Sub-polar Frontal Zone and the benthic communities of the Mid-Atlantic Ridge in this area, including individual seamounts.</w:t>
            </w:r>
          </w:p>
          <w:p w14:paraId="6425502D" w14:textId="77777777" w:rsidR="00963618" w:rsidRPr="00FD6CDE" w:rsidRDefault="00963618" w:rsidP="00963618">
            <w:pPr>
              <w:suppressLineNumbers/>
              <w:suppressAutoHyphens/>
              <w:kinsoku w:val="0"/>
              <w:overflowPunct w:val="0"/>
              <w:autoSpaceDE w:val="0"/>
              <w:autoSpaceDN w:val="0"/>
              <w:ind w:left="360" w:hanging="360"/>
              <w:rPr>
                <w:snapToGrid w:val="0"/>
                <w:kern w:val="22"/>
                <w:sz w:val="20"/>
                <w:szCs w:val="20"/>
              </w:rPr>
            </w:pPr>
            <w:r w:rsidRPr="00FD6CDE">
              <w:rPr>
                <w:rFonts w:eastAsia="MS Mincho" w:hint="eastAsia"/>
                <w:snapToGrid w:val="0"/>
                <w:kern w:val="22"/>
                <w:sz w:val="20"/>
                <w:szCs w:val="20"/>
              </w:rPr>
              <w:t>Fracture zones are common topographic features of the ocean that arise through plate tectonics. The Charlie-Gibbs Fracture Zone is an unusual left lateral strike-slip double transform fault in the North Atlantic Ocean, along which the rift valley of the Mid-Atlantic Ridge is offset by 350 km near 52</w:t>
            </w:r>
            <w:r w:rsidRPr="00FD6CDE">
              <w:rPr>
                <w:rFonts w:eastAsia="MS Mincho" w:hint="eastAsia"/>
                <w:snapToGrid w:val="0"/>
                <w:kern w:val="22"/>
                <w:sz w:val="20"/>
                <w:szCs w:val="20"/>
              </w:rPr>
              <w:t>º</w:t>
            </w:r>
            <w:r w:rsidRPr="00FD6CDE">
              <w:rPr>
                <w:rFonts w:eastAsia="MS Mincho" w:hint="eastAsia"/>
                <w:snapToGrid w:val="0"/>
                <w:kern w:val="22"/>
                <w:sz w:val="20"/>
                <w:szCs w:val="20"/>
              </w:rPr>
              <w:t>30</w:t>
            </w:r>
            <w:r w:rsidRPr="00FD6CDE">
              <w:rPr>
                <w:rFonts w:eastAsia="MS Mincho" w:hint="eastAsia"/>
                <w:snapToGrid w:val="0"/>
                <w:kern w:val="22"/>
                <w:sz w:val="20"/>
                <w:szCs w:val="20"/>
              </w:rPr>
              <w:t>′</w:t>
            </w:r>
            <w:r w:rsidRPr="00FD6CDE">
              <w:rPr>
                <w:rFonts w:eastAsia="MS Mincho" w:hint="eastAsia"/>
                <w:snapToGrid w:val="0"/>
                <w:kern w:val="22"/>
                <w:sz w:val="20"/>
                <w:szCs w:val="20"/>
              </w:rPr>
              <w:t>N. It opens the deepest connection between the northwest and northeast Atlantic (maximum depth of approximately 4500 m) and is approximately 2000 km in length, extending from about 25</w:t>
            </w:r>
            <w:r w:rsidRPr="00FD6CDE">
              <w:rPr>
                <w:rFonts w:eastAsia="MS Mincho" w:hint="eastAsia"/>
                <w:snapToGrid w:val="0"/>
                <w:kern w:val="22"/>
                <w:sz w:val="20"/>
                <w:szCs w:val="20"/>
              </w:rPr>
              <w:t>°</w:t>
            </w:r>
            <w:r w:rsidRPr="00FD6CDE">
              <w:rPr>
                <w:rFonts w:eastAsia="MS Mincho" w:hint="eastAsia"/>
                <w:snapToGrid w:val="0"/>
                <w:kern w:val="22"/>
                <w:sz w:val="20"/>
                <w:szCs w:val="20"/>
              </w:rPr>
              <w:t>W to 45</w:t>
            </w:r>
            <w:r w:rsidRPr="00FD6CDE">
              <w:rPr>
                <w:rFonts w:eastAsia="MS Mincho" w:hint="eastAsia"/>
                <w:snapToGrid w:val="0"/>
                <w:kern w:val="22"/>
                <w:sz w:val="20"/>
                <w:szCs w:val="20"/>
              </w:rPr>
              <w:t>°</w:t>
            </w:r>
            <w:r w:rsidRPr="00FD6CDE">
              <w:rPr>
                <w:rFonts w:eastAsia="MS Mincho" w:hint="eastAsia"/>
                <w:snapToGrid w:val="0"/>
                <w:kern w:val="22"/>
                <w:sz w:val="20"/>
                <w:szCs w:val="20"/>
              </w:rPr>
              <w:t xml:space="preserve">W. It is the most prominent interruption of the Mid-Atlantic Ridge between the Azores and Iceland and the only fracture zone between Europe and North America that has an offset of this size. Two named seamounts are associated with the transform faults: </w:t>
            </w:r>
            <w:r w:rsidRPr="00FD6CDE">
              <w:rPr>
                <w:rFonts w:eastAsia="MS Mincho"/>
                <w:snapToGrid w:val="0"/>
                <w:kern w:val="22"/>
                <w:sz w:val="20"/>
                <w:szCs w:val="20"/>
              </w:rPr>
              <w:t>Minia and Hecate. The area is a unique geomorphological feature in the North Atlantic. Further, it captures the Earth’s geological history, including significant ongoing geological processes. The sub-polar front is also representative of a pelagic frontal system. The area is described based on its importance as a section of the northern Mid-Atlantic Ridge and is a biogeographically representative section of the northern Mid-Atlantic Ridge. There is evidence of both deep-sea sponge aggregations and cold-water corals in this area. In addition, the Mid-Atlantic Ridge is the only extensive hard substrate available for the propagation of benthic suspension feeders off the continental shelves and isolated seamounts in the region.</w:t>
            </w:r>
          </w:p>
        </w:tc>
        <w:tc>
          <w:tcPr>
            <w:tcW w:w="506" w:type="dxa"/>
            <w:vAlign w:val="center"/>
          </w:tcPr>
          <w:p w14:paraId="0681A87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7298A98"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6" w:type="dxa"/>
            <w:vAlign w:val="center"/>
          </w:tcPr>
          <w:p w14:paraId="4FB6B220"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2EDC455A"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35D4B5C"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c>
          <w:tcPr>
            <w:tcW w:w="506" w:type="dxa"/>
            <w:vAlign w:val="center"/>
          </w:tcPr>
          <w:p w14:paraId="3D20F512"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3466758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r w:rsidR="00963618" w:rsidRPr="00FD6CDE" w14:paraId="4CA9D715" w14:textId="77777777" w:rsidTr="00117478">
        <w:tc>
          <w:tcPr>
            <w:tcW w:w="9687" w:type="dxa"/>
            <w:shd w:val="clear" w:color="auto" w:fill="auto"/>
          </w:tcPr>
          <w:p w14:paraId="15A1A1CE" w14:textId="77777777" w:rsidR="00963618" w:rsidRPr="0087065C" w:rsidRDefault="00963618" w:rsidP="00117478">
            <w:pPr>
              <w:suppressLineNumbers/>
              <w:suppressAutoHyphens/>
              <w:kinsoku w:val="0"/>
              <w:overflowPunct w:val="0"/>
              <w:autoSpaceDE w:val="0"/>
              <w:autoSpaceDN w:val="0"/>
              <w:outlineLvl w:val="1"/>
              <w:rPr>
                <w:b/>
                <w:snapToGrid w:val="0"/>
                <w:kern w:val="22"/>
                <w:sz w:val="20"/>
                <w:szCs w:val="20"/>
              </w:rPr>
            </w:pPr>
            <w:bookmarkStart w:id="304" w:name="_Toc118355043"/>
            <w:r w:rsidRPr="00FD6CDE">
              <w:rPr>
                <w:b/>
                <w:snapToGrid w:val="0"/>
                <w:kern w:val="22"/>
                <w:sz w:val="20"/>
                <w:szCs w:val="20"/>
              </w:rPr>
              <w:t xml:space="preserve">16. Southern </w:t>
            </w:r>
            <w:r w:rsidRPr="0087065C">
              <w:rPr>
                <w:b/>
                <w:snapToGrid w:val="0"/>
                <w:kern w:val="22"/>
                <w:sz w:val="20"/>
                <w:szCs w:val="20"/>
              </w:rPr>
              <w:t>Reykjanes Ridge</w:t>
            </w:r>
            <w:bookmarkEnd w:id="304"/>
          </w:p>
          <w:p w14:paraId="74C92603" w14:textId="77777777" w:rsidR="00963618" w:rsidRPr="00047D70" w:rsidRDefault="00963618" w:rsidP="00950BE4">
            <w:pPr>
              <w:numPr>
                <w:ilvl w:val="0"/>
                <w:numId w:val="71"/>
              </w:numPr>
              <w:suppressLineNumbers/>
              <w:suppressAutoHyphens/>
              <w:kinsoku w:val="0"/>
              <w:overflowPunct w:val="0"/>
              <w:autoSpaceDE w:val="0"/>
              <w:autoSpaceDN w:val="0"/>
              <w:ind w:left="395"/>
              <w:rPr>
                <w:snapToGrid w:val="0"/>
                <w:kern w:val="22"/>
                <w:sz w:val="20"/>
                <w:szCs w:val="20"/>
              </w:rPr>
            </w:pPr>
            <w:r w:rsidRPr="0087065C">
              <w:rPr>
                <w:snapToGrid w:val="0"/>
                <w:kern w:val="22"/>
                <w:sz w:val="20"/>
                <w:szCs w:val="20"/>
              </w:rPr>
              <w:t xml:space="preserve">Location: </w:t>
            </w:r>
            <w:r w:rsidRPr="0087065C">
              <w:rPr>
                <w:rStyle w:val="apple-converted-space"/>
                <w:sz w:val="20"/>
                <w:szCs w:val="20"/>
              </w:rPr>
              <w:t>Situated, partly, on the continental shelf of Iceland</w:t>
            </w:r>
            <w:r>
              <w:rPr>
                <w:rStyle w:val="apple-converted-space"/>
                <w:sz w:val="20"/>
                <w:szCs w:val="20"/>
              </w:rPr>
              <w:t>,</w:t>
            </w:r>
            <w:r w:rsidRPr="0087065C">
              <w:rPr>
                <w:rStyle w:val="apple-converted-space"/>
                <w:sz w:val="20"/>
                <w:szCs w:val="20"/>
              </w:rPr>
              <w:t xml:space="preserve"> </w:t>
            </w:r>
            <w:r w:rsidRPr="0087065C">
              <w:rPr>
                <w:snapToGrid w:val="0"/>
                <w:kern w:val="22"/>
                <w:sz w:val="20"/>
                <w:szCs w:val="20"/>
              </w:rPr>
              <w:t xml:space="preserve">the </w:t>
            </w:r>
            <w:r w:rsidRPr="00B24C9F">
              <w:rPr>
                <w:snapToGrid w:val="0"/>
                <w:kern w:val="22"/>
                <w:sz w:val="20"/>
                <w:szCs w:val="20"/>
              </w:rPr>
              <w:t>northern boundary of the area is Iceland’s Exclusive Economic Zone. The southern boundary of this area is 55°188′N, well north the Sub-Polar Front, which separates the warm- and cold- water masses and is usually found between 52</w:t>
            </w:r>
            <w:r w:rsidRPr="00B24C9F">
              <w:rPr>
                <w:rFonts w:eastAsia="MS Mincho"/>
                <w:bCs/>
                <w:color w:val="000000"/>
                <w:sz w:val="20"/>
                <w:szCs w:val="20"/>
              </w:rPr>
              <w:t>°</w:t>
            </w:r>
            <w:r w:rsidRPr="00B24C9F">
              <w:rPr>
                <w:color w:val="000000"/>
                <w:sz w:val="20"/>
                <w:szCs w:val="20"/>
              </w:rPr>
              <w:t>N</w:t>
            </w:r>
            <w:r w:rsidRPr="00047D70">
              <w:rPr>
                <w:snapToGrid w:val="0"/>
                <w:kern w:val="22"/>
                <w:sz w:val="20"/>
                <w:szCs w:val="20"/>
              </w:rPr>
              <w:t xml:space="preserve"> and 53°N. The 2,500 m depth contour was used to define the boundaries of the area, as this captures most of the Ridge crest and known distribution of deep-water corals (maximum 2,400 m).</w:t>
            </w:r>
          </w:p>
          <w:p w14:paraId="63C43A8C" w14:textId="77777777" w:rsidR="00963618" w:rsidRPr="00FD6CDE" w:rsidRDefault="00963618" w:rsidP="00950BE4">
            <w:pPr>
              <w:numPr>
                <w:ilvl w:val="0"/>
                <w:numId w:val="71"/>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Reykjanes Ridge is part of a major topographic feature of the Atlantic Ocean, the Mid-Atlantic Ridge. The Mid-Atlantic Ridge separates the Newfoundland and Labrador Basins from the West-European Basin and the Irminger Sea from the Iceland Basin, influencing hydrography and circulation. The ridge crest is generally cut by a deep rift valley along its length, bordered by high rift mountains, which are bordered by high fractured plateaus. This region is largely composed of volcanic rock, which is the foundation of the area and provides a hard-bottom substrate for the colonization of benthic communities, including vulnerable and habitat-forming species. The area supports several endangered and threatened shark and ray species. The Ridge itself and its complex hydrographic setting contributes to enhanced vertical mixing and turbulence, resulting in areas of increased productivity above it. The 2,500 m depth contour is used to delineate the boundary of the area, capturing most of the Ridge crest and known distribution of deep-water corals.</w:t>
            </w:r>
          </w:p>
        </w:tc>
        <w:tc>
          <w:tcPr>
            <w:tcW w:w="506" w:type="dxa"/>
            <w:vAlign w:val="center"/>
          </w:tcPr>
          <w:p w14:paraId="7A06F7A1"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7856D578"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364851B5"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0F736300"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58A9AD19"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00627778"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5C8DF2D6"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w:t>
            </w:r>
          </w:p>
        </w:tc>
      </w:tr>
      <w:tr w:rsidR="00963618" w:rsidRPr="00FD6CDE" w14:paraId="2677CC01" w14:textId="77777777" w:rsidTr="00117478">
        <w:tc>
          <w:tcPr>
            <w:tcW w:w="9687" w:type="dxa"/>
            <w:shd w:val="clear" w:color="auto" w:fill="auto"/>
          </w:tcPr>
          <w:p w14:paraId="2AAD129A" w14:textId="77777777" w:rsidR="00963618" w:rsidRPr="00FD6CDE" w:rsidRDefault="00963618" w:rsidP="00117478">
            <w:pPr>
              <w:suppressLineNumbers/>
              <w:suppressAutoHyphens/>
              <w:kinsoku w:val="0"/>
              <w:overflowPunct w:val="0"/>
              <w:autoSpaceDE w:val="0"/>
              <w:autoSpaceDN w:val="0"/>
              <w:spacing w:line="280" w:lineRule="atLeast"/>
              <w:ind w:right="540"/>
              <w:jc w:val="left"/>
              <w:outlineLvl w:val="1"/>
              <w:rPr>
                <w:b/>
                <w:caps/>
                <w:snapToGrid w:val="0"/>
                <w:kern w:val="22"/>
                <w:sz w:val="20"/>
                <w:szCs w:val="20"/>
              </w:rPr>
            </w:pPr>
            <w:bookmarkStart w:id="305" w:name="_Toc118355044"/>
            <w:r w:rsidRPr="00FD6CDE">
              <w:rPr>
                <w:b/>
                <w:snapToGrid w:val="0"/>
                <w:kern w:val="22"/>
                <w:sz w:val="20"/>
                <w:szCs w:val="20"/>
              </w:rPr>
              <w:t>17. Hatton and Rockall Banks and Basin</w:t>
            </w:r>
            <w:bookmarkEnd w:id="305"/>
          </w:p>
          <w:p w14:paraId="4CAF6CD8" w14:textId="77777777" w:rsidR="00963618" w:rsidRPr="00FD6CDE" w:rsidRDefault="00963618" w:rsidP="00950BE4">
            <w:pPr>
              <w:numPr>
                <w:ilvl w:val="0"/>
                <w:numId w:val="75"/>
              </w:numPr>
              <w:suppressLineNumbers/>
              <w:suppressAutoHyphens/>
              <w:kinsoku w:val="0"/>
              <w:overflowPunct w:val="0"/>
              <w:autoSpaceDE w:val="0"/>
              <w:autoSpaceDN w:val="0"/>
              <w:ind w:left="395"/>
              <w:rPr>
                <w:snapToGrid w:val="0"/>
                <w:kern w:val="22"/>
                <w:sz w:val="20"/>
                <w:szCs w:val="20"/>
              </w:rPr>
            </w:pPr>
            <w:r w:rsidRPr="00FD6CDE">
              <w:rPr>
                <w:snapToGrid w:val="0"/>
                <w:kern w:val="22"/>
                <w:sz w:val="20"/>
                <w:szCs w:val="20"/>
              </w:rPr>
              <w:t>Location: The area is situated in the North-East Atlantic approximately 400-500 km west-northwest of Ireland and the United Kingdom of Great Britain and Northern Ireland and 400-500 km south-southeast of Iceland. It comprises the seabed and pelagic zones shallower than 3000m overlying the Rockall and Hatton Banks, together with the Rockall-Hatton Basin between them. The 3,000 m contour has been selected as delineating the boundary of this feature because: (i) it marks the accepted boundary between the bathyal and abyssal environments; (ii) review of oceanographic data suggests the 3,000 m contour corresponds well with the oceanographic influence of the feature and thus its likely influence on pelagic communities and (iii) new data on birds and mammals suggest that species use the pelagic areas just off the bank, which are  captured by the boundary of this area.</w:t>
            </w:r>
          </w:p>
          <w:p w14:paraId="00EF7E94" w14:textId="77777777" w:rsidR="00963618" w:rsidRPr="00B20490" w:rsidRDefault="00963618" w:rsidP="00950BE4">
            <w:pPr>
              <w:numPr>
                <w:ilvl w:val="0"/>
                <w:numId w:val="75"/>
              </w:numPr>
              <w:suppressLineNumbers/>
              <w:suppressAutoHyphens/>
              <w:kinsoku w:val="0"/>
              <w:overflowPunct w:val="0"/>
              <w:autoSpaceDE w:val="0"/>
              <w:autoSpaceDN w:val="0"/>
              <w:ind w:left="395"/>
              <w:rPr>
                <w:snapToGrid w:val="0"/>
                <w:kern w:val="22"/>
                <w:sz w:val="20"/>
                <w:szCs w:val="20"/>
              </w:rPr>
            </w:pPr>
            <w:r w:rsidRPr="00B20490">
              <w:rPr>
                <w:snapToGrid w:val="0"/>
                <w:kern w:val="22"/>
                <w:sz w:val="20"/>
                <w:szCs w:val="20"/>
              </w:rPr>
              <w:t>The Hatton and Rockall Banks, as well as their associated slopes and connecting basin, represent offshore pelagic and bathyal habitats from the surface to 3,000 m deep that collectively constitute a unique and prominent feature of the North-East Atlantic. The area has high habitat heterogeneity and supports a wide range of benthic and pelagic species and associated ecosystems. Its comparatively remote oceanic location several hundred kilometres from the continental shelf afford it a level of protection and isolation from many human activities that are known to degrade the natural marine environment.</w:t>
            </w:r>
          </w:p>
        </w:tc>
        <w:tc>
          <w:tcPr>
            <w:tcW w:w="506" w:type="dxa"/>
            <w:vAlign w:val="center"/>
          </w:tcPr>
          <w:p w14:paraId="7ED79AA6"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3054DCE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42AC3076"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62CBF9D4"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6" w:type="dxa"/>
            <w:vAlign w:val="center"/>
          </w:tcPr>
          <w:p w14:paraId="463C277C"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c>
          <w:tcPr>
            <w:tcW w:w="506" w:type="dxa"/>
            <w:vAlign w:val="center"/>
          </w:tcPr>
          <w:p w14:paraId="0CC3A85A"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H</w:t>
            </w:r>
          </w:p>
        </w:tc>
        <w:tc>
          <w:tcPr>
            <w:tcW w:w="507" w:type="dxa"/>
            <w:vAlign w:val="center"/>
          </w:tcPr>
          <w:p w14:paraId="491E322D" w14:textId="77777777" w:rsidR="00963618" w:rsidRPr="00FD6CDE" w:rsidRDefault="00963618" w:rsidP="00117478">
            <w:pPr>
              <w:suppressLineNumbers/>
              <w:suppressAutoHyphens/>
              <w:kinsoku w:val="0"/>
              <w:overflowPunct w:val="0"/>
              <w:autoSpaceDE w:val="0"/>
              <w:autoSpaceDN w:val="0"/>
              <w:snapToGrid w:val="0"/>
              <w:jc w:val="center"/>
              <w:rPr>
                <w:snapToGrid w:val="0"/>
                <w:kern w:val="22"/>
                <w:sz w:val="20"/>
                <w:szCs w:val="20"/>
              </w:rPr>
            </w:pPr>
            <w:r w:rsidRPr="00FD6CDE">
              <w:rPr>
                <w:snapToGrid w:val="0"/>
                <w:kern w:val="22"/>
                <w:sz w:val="20"/>
                <w:szCs w:val="20"/>
              </w:rPr>
              <w:t>M</w:t>
            </w:r>
          </w:p>
        </w:tc>
      </w:tr>
    </w:tbl>
    <w:p w14:paraId="5CDA0C2B" w14:textId="77777777" w:rsidR="00963618" w:rsidRDefault="00963618" w:rsidP="00F6586C">
      <w:pPr>
        <w:pStyle w:val="Para1"/>
        <w:numPr>
          <w:ilvl w:val="0"/>
          <w:numId w:val="0"/>
        </w:numPr>
      </w:pPr>
    </w:p>
    <w:p w14:paraId="1030A42B" w14:textId="77777777" w:rsidR="00252FCF" w:rsidRDefault="00252FCF" w:rsidP="00F6586C">
      <w:pPr>
        <w:pStyle w:val="Para1"/>
        <w:numPr>
          <w:ilvl w:val="0"/>
          <w:numId w:val="0"/>
        </w:numPr>
      </w:pPr>
    </w:p>
    <w:p w14:paraId="1B541D5E" w14:textId="77777777" w:rsidR="00E80078" w:rsidRDefault="00E80078" w:rsidP="0009640F">
      <w:pPr>
        <w:jc w:val="center"/>
        <w:sectPr w:rsidR="00E80078" w:rsidSect="00215B78">
          <w:headerReference w:type="default" r:id="rId54"/>
          <w:pgSz w:w="15840" w:h="12240" w:orient="landscape"/>
          <w:pgMar w:top="1440" w:right="567" w:bottom="1440" w:left="1134" w:header="709" w:footer="709" w:gutter="0"/>
          <w:cols w:space="708"/>
          <w:docGrid w:linePitch="360"/>
        </w:sectPr>
      </w:pPr>
    </w:p>
    <w:p w14:paraId="7E224C0B" w14:textId="77777777" w:rsidR="00252FCF" w:rsidRPr="008D2DCA" w:rsidRDefault="00252FCF" w:rsidP="00824EF9">
      <w:pPr>
        <w:pStyle w:val="decision"/>
        <w:rPr>
          <w:caps/>
        </w:rPr>
      </w:pPr>
      <w:bookmarkStart w:id="306" w:name="_Toc150438824"/>
      <w:bookmarkStart w:id="307" w:name="_Toc150670524"/>
      <w:bookmarkStart w:id="308" w:name="_Toc150670634"/>
      <w:bookmarkStart w:id="309" w:name="_Toc150761136"/>
      <w:r>
        <w:t>15/26.</w:t>
      </w:r>
      <w:r>
        <w:tab/>
      </w:r>
      <w:r w:rsidRPr="008D2DCA">
        <w:t>Ecologically or biologically significant marine areas: further work</w:t>
      </w:r>
      <w:bookmarkEnd w:id="306"/>
      <w:bookmarkEnd w:id="307"/>
      <w:bookmarkEnd w:id="308"/>
      <w:bookmarkEnd w:id="309"/>
      <w:r w:rsidRPr="008D2DCA">
        <w:rPr>
          <w:caps/>
        </w:rPr>
        <w:t xml:space="preserve"> </w:t>
      </w:r>
    </w:p>
    <w:p w14:paraId="04CC389D" w14:textId="77777777" w:rsidR="00252FCF" w:rsidRPr="008D2DCA" w:rsidRDefault="00252FCF" w:rsidP="0075569F">
      <w:pPr>
        <w:suppressLineNumbers/>
        <w:suppressAutoHyphens/>
        <w:kinsoku w:val="0"/>
        <w:overflowPunct w:val="0"/>
        <w:autoSpaceDE w:val="0"/>
        <w:autoSpaceDN w:val="0"/>
        <w:adjustRightInd w:val="0"/>
        <w:snapToGrid w:val="0"/>
        <w:spacing w:before="120" w:after="120"/>
        <w:ind w:firstLine="709"/>
        <w:rPr>
          <w:bCs/>
          <w:i/>
          <w:snapToGrid w:val="0"/>
          <w:kern w:val="22"/>
          <w:szCs w:val="22"/>
          <w:lang w:eastAsia="ko-KR"/>
        </w:rPr>
      </w:pPr>
      <w:r w:rsidRPr="008D2DCA">
        <w:rPr>
          <w:bCs/>
          <w:i/>
          <w:snapToGrid w:val="0"/>
          <w:kern w:val="22"/>
          <w:szCs w:val="22"/>
          <w:lang w:eastAsia="ko-KR"/>
        </w:rPr>
        <w:t>The Conference of the Parties</w:t>
      </w:r>
      <w:r w:rsidRPr="008D2DCA">
        <w:rPr>
          <w:bCs/>
          <w:iCs/>
          <w:snapToGrid w:val="0"/>
          <w:kern w:val="22"/>
          <w:szCs w:val="22"/>
          <w:lang w:eastAsia="ko-KR"/>
        </w:rPr>
        <w:t>,</w:t>
      </w:r>
    </w:p>
    <w:p w14:paraId="29A480D4" w14:textId="77777777" w:rsidR="00252FCF" w:rsidRPr="008D2DCA" w:rsidRDefault="00252FCF" w:rsidP="00C676E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D2DCA">
        <w:rPr>
          <w:i/>
          <w:iCs/>
          <w:snapToGrid w:val="0"/>
          <w:kern w:val="22"/>
          <w:szCs w:val="22"/>
        </w:rPr>
        <w:t>Reaffirming</w:t>
      </w:r>
      <w:r w:rsidRPr="008D2DCA">
        <w:rPr>
          <w:snapToGrid w:val="0"/>
          <w:kern w:val="22"/>
          <w:szCs w:val="22"/>
        </w:rPr>
        <w:t xml:space="preserve"> Articles 4 and 22 of the Convention</w:t>
      </w:r>
      <w:r>
        <w:rPr>
          <w:snapToGrid w:val="0"/>
          <w:kern w:val="22"/>
          <w:szCs w:val="22"/>
        </w:rPr>
        <w:t>,</w:t>
      </w:r>
      <w:r w:rsidRPr="008D2DCA">
        <w:rPr>
          <w:snapToGrid w:val="0"/>
          <w:kern w:val="22"/>
          <w:szCs w:val="22"/>
        </w:rPr>
        <w:t xml:space="preserve"> as well as decisions X/29, XI/17, XII/22, XIII/12</w:t>
      </w:r>
      <w:r>
        <w:rPr>
          <w:snapToGrid w:val="0"/>
          <w:kern w:val="22"/>
          <w:szCs w:val="22"/>
        </w:rPr>
        <w:t>,</w:t>
      </w:r>
      <w:r w:rsidRPr="008D2DCA">
        <w:rPr>
          <w:snapToGrid w:val="0"/>
          <w:kern w:val="22"/>
          <w:szCs w:val="22"/>
        </w:rPr>
        <w:t xml:space="preserve"> </w:t>
      </w:r>
      <w:r w:rsidRPr="00CA7C3A">
        <w:rPr>
          <w:snapToGrid w:val="0"/>
          <w:kern w:val="22"/>
          <w:szCs w:val="22"/>
        </w:rPr>
        <w:t>in particular paragraph 3</w:t>
      </w:r>
      <w:r w:rsidRPr="009A7D91">
        <w:rPr>
          <w:snapToGrid w:val="0"/>
          <w:kern w:val="22"/>
          <w:szCs w:val="22"/>
        </w:rPr>
        <w:t>,</w:t>
      </w:r>
      <w:r w:rsidRPr="00CA7C3A">
        <w:rPr>
          <w:snapToGrid w:val="0"/>
          <w:kern w:val="22"/>
          <w:szCs w:val="22"/>
        </w:rPr>
        <w:t xml:space="preserve"> and</w:t>
      </w:r>
      <w:r w:rsidRPr="008D2DCA">
        <w:rPr>
          <w:snapToGrid w:val="0"/>
          <w:kern w:val="22"/>
          <w:szCs w:val="22"/>
        </w:rPr>
        <w:t xml:space="preserve"> 14/9 of the Conference of the Parties,</w:t>
      </w:r>
    </w:p>
    <w:p w14:paraId="26EF1BC9" w14:textId="75D96BDE" w:rsidR="00252FCF" w:rsidRPr="008D2DCA" w:rsidRDefault="00252FCF" w:rsidP="00721DA6">
      <w:pPr>
        <w:suppressLineNumbers/>
        <w:suppressAutoHyphens/>
        <w:kinsoku w:val="0"/>
        <w:overflowPunct w:val="0"/>
        <w:autoSpaceDE w:val="0"/>
        <w:autoSpaceDN w:val="0"/>
        <w:adjustRightInd w:val="0"/>
        <w:snapToGrid w:val="0"/>
        <w:spacing w:before="120" w:after="120"/>
        <w:ind w:firstLine="720"/>
        <w:rPr>
          <w:szCs w:val="22"/>
        </w:rPr>
      </w:pPr>
      <w:r w:rsidRPr="008D2DCA">
        <w:rPr>
          <w:i/>
          <w:iCs/>
          <w:szCs w:val="22"/>
        </w:rPr>
        <w:t>Recalling</w:t>
      </w:r>
      <w:r w:rsidRPr="008D2DCA">
        <w:rPr>
          <w:szCs w:val="22"/>
        </w:rPr>
        <w:t xml:space="preserve"> United Nations General Assembly resolution </w:t>
      </w:r>
      <w:hyperlink r:id="rId55" w:history="1">
        <w:r w:rsidRPr="008D2DCA">
          <w:rPr>
            <w:rStyle w:val="Hyperlink"/>
            <w:sz w:val="22"/>
            <w:szCs w:val="22"/>
          </w:rPr>
          <w:t>76/72</w:t>
        </w:r>
      </w:hyperlink>
      <w:r w:rsidRPr="008D2DCA">
        <w:rPr>
          <w:szCs w:val="22"/>
        </w:rPr>
        <w:t xml:space="preserve"> on oceans and the law of the sea and its preambular paragraphs on the United Nations Convention on the Law of the Sea,</w:t>
      </w:r>
      <w:r w:rsidRPr="00610646">
        <w:rPr>
          <w:rStyle w:val="FootnoteReference"/>
        </w:rPr>
        <w:footnoteReference w:id="335"/>
      </w:r>
      <w:r>
        <w:rPr>
          <w:szCs w:val="22"/>
          <w:vertAlign w:val="superscript"/>
        </w:rPr>
        <w:t>,</w:t>
      </w:r>
      <w:r w:rsidDel="004F446F">
        <w:rPr>
          <w:szCs w:val="22"/>
        </w:rPr>
        <w:t xml:space="preserve"> </w:t>
      </w:r>
      <w:r w:rsidRPr="00610646">
        <w:rPr>
          <w:rStyle w:val="FootnoteReference"/>
        </w:rPr>
        <w:footnoteReference w:id="336"/>
      </w:r>
      <w:r>
        <w:rPr>
          <w:szCs w:val="22"/>
          <w:vertAlign w:val="superscript"/>
        </w:rPr>
        <w:t xml:space="preserve">, </w:t>
      </w:r>
      <w:r w:rsidRPr="00610646">
        <w:rPr>
          <w:rStyle w:val="FootnoteReference"/>
        </w:rPr>
        <w:footnoteReference w:id="337"/>
      </w:r>
    </w:p>
    <w:p w14:paraId="3E09AE89" w14:textId="77777777" w:rsidR="00252FCF" w:rsidRPr="008D2DCA" w:rsidRDefault="00252FCF" w:rsidP="00C676E1">
      <w:pPr>
        <w:suppressLineNumbers/>
        <w:suppressAutoHyphens/>
        <w:kinsoku w:val="0"/>
        <w:overflowPunct w:val="0"/>
        <w:autoSpaceDE w:val="0"/>
        <w:autoSpaceDN w:val="0"/>
        <w:adjustRightInd w:val="0"/>
        <w:snapToGrid w:val="0"/>
        <w:spacing w:before="120" w:after="120"/>
        <w:ind w:firstLine="720"/>
        <w:rPr>
          <w:szCs w:val="22"/>
        </w:rPr>
      </w:pPr>
      <w:r w:rsidRPr="008D2DCA">
        <w:rPr>
          <w:i/>
          <w:iCs/>
          <w:szCs w:val="22"/>
        </w:rPr>
        <w:t>Reiterating</w:t>
      </w:r>
      <w:r w:rsidRPr="008D2DCA">
        <w:rPr>
          <w:szCs w:val="22"/>
        </w:rPr>
        <w:t xml:space="preserve"> the central role of the General Assembly of the United Nations in addressing issues relating to the conservation and sustainable use of biodiversity in marine areas beyond national jurisdiction,</w:t>
      </w:r>
      <w:r>
        <w:rPr>
          <w:szCs w:val="22"/>
        </w:rPr>
        <w:t xml:space="preserve"> </w:t>
      </w:r>
    </w:p>
    <w:p w14:paraId="1479804F" w14:textId="3F0FF96B" w:rsidR="00252FCF" w:rsidRPr="008D2DCA" w:rsidRDefault="00252FCF" w:rsidP="00C676E1">
      <w:pPr>
        <w:suppressLineNumbers/>
        <w:suppressAutoHyphens/>
        <w:kinsoku w:val="0"/>
        <w:overflowPunct w:val="0"/>
        <w:autoSpaceDE w:val="0"/>
        <w:autoSpaceDN w:val="0"/>
        <w:adjustRightInd w:val="0"/>
        <w:snapToGrid w:val="0"/>
        <w:spacing w:before="120" w:after="120"/>
        <w:ind w:firstLine="720"/>
        <w:rPr>
          <w:szCs w:val="22"/>
        </w:rPr>
      </w:pPr>
      <w:r w:rsidRPr="008D2DCA">
        <w:rPr>
          <w:i/>
          <w:iCs/>
          <w:szCs w:val="22"/>
        </w:rPr>
        <w:t>Noting</w:t>
      </w:r>
      <w:r w:rsidRPr="008D2DCA">
        <w:rPr>
          <w:szCs w:val="22"/>
        </w:rPr>
        <w:t xml:space="preserve"> the negotiations underway in the intergovernmental conference on an international legally binding instrument under the United Nations Convention on the Law of the Sea on the conservation and sustainable use of marine biological diversity of areas beyond national jurisdiction, following United Nations General Assembly resolution </w:t>
      </w:r>
      <w:hyperlink r:id="rId56" w:history="1">
        <w:r w:rsidRPr="008D2DCA">
          <w:rPr>
            <w:rStyle w:val="Hyperlink"/>
            <w:sz w:val="22"/>
            <w:szCs w:val="22"/>
          </w:rPr>
          <w:t>72/249</w:t>
        </w:r>
      </w:hyperlink>
      <w:r w:rsidRPr="008D2DCA">
        <w:rPr>
          <w:szCs w:val="22"/>
        </w:rPr>
        <w:t>,</w:t>
      </w:r>
      <w:r>
        <w:rPr>
          <w:szCs w:val="22"/>
        </w:rPr>
        <w:t xml:space="preserve"> </w:t>
      </w:r>
    </w:p>
    <w:p w14:paraId="143C1591" w14:textId="77777777" w:rsidR="00252FCF" w:rsidRPr="008D2DCA" w:rsidRDefault="00252FCF" w:rsidP="00C676E1">
      <w:pPr>
        <w:suppressLineNumbers/>
        <w:suppressAutoHyphens/>
        <w:kinsoku w:val="0"/>
        <w:overflowPunct w:val="0"/>
        <w:autoSpaceDE w:val="0"/>
        <w:autoSpaceDN w:val="0"/>
        <w:adjustRightInd w:val="0"/>
        <w:snapToGrid w:val="0"/>
        <w:spacing w:before="120" w:after="120"/>
        <w:ind w:firstLine="720"/>
        <w:rPr>
          <w:szCs w:val="22"/>
          <w:lang w:val="en-US"/>
        </w:rPr>
      </w:pPr>
      <w:r>
        <w:rPr>
          <w:i/>
          <w:iCs/>
          <w:szCs w:val="22"/>
          <w:lang w:val="en-US"/>
        </w:rPr>
        <w:t>N</w:t>
      </w:r>
      <w:r w:rsidRPr="008D2DCA">
        <w:rPr>
          <w:i/>
          <w:iCs/>
          <w:szCs w:val="22"/>
          <w:lang w:val="en-US"/>
        </w:rPr>
        <w:t>oting</w:t>
      </w:r>
      <w:r>
        <w:rPr>
          <w:i/>
          <w:iCs/>
          <w:szCs w:val="22"/>
          <w:lang w:val="en-US"/>
        </w:rPr>
        <w:t xml:space="preserve"> also</w:t>
      </w:r>
      <w:r w:rsidRPr="008D2DCA">
        <w:rPr>
          <w:szCs w:val="22"/>
          <w:lang w:val="en-US"/>
        </w:rPr>
        <w:t xml:space="preserve"> the report of the </w:t>
      </w:r>
      <w:r w:rsidRPr="008D2DCA">
        <w:rPr>
          <w:szCs w:val="22"/>
          <w:lang w:val="en-CA"/>
        </w:rPr>
        <w:t xml:space="preserve">Preparatory Committee established by General Assembly resolution 69/292 on the development of an international legally binding instrument under the United Nations Convention on the Law of the Sea on the conservation and sustainable use of marine biological diversity of areas beyond national jurisdiction </w:t>
      </w:r>
      <w:r w:rsidRPr="008D2DCA">
        <w:rPr>
          <w:szCs w:val="22"/>
          <w:lang w:val="en-US"/>
        </w:rPr>
        <w:t xml:space="preserve">and the recommendations contained therein, which address, among other issues, area-based management tools, including marine protected areas, in marine areas beyond national jurisdiction, including standards and criteria for areas </w:t>
      </w:r>
      <w:r w:rsidRPr="008D2DCA">
        <w:rPr>
          <w:szCs w:val="22"/>
        </w:rPr>
        <w:t xml:space="preserve">requiring protection through the establishment of </w:t>
      </w:r>
      <w:r w:rsidRPr="008D2DCA">
        <w:rPr>
          <w:szCs w:val="22"/>
          <w:lang w:val="en-US"/>
        </w:rPr>
        <w:t>area-based management tools</w:t>
      </w:r>
      <w:r w:rsidRPr="008D2DCA">
        <w:rPr>
          <w:szCs w:val="22"/>
        </w:rPr>
        <w:t xml:space="preserve">, as well as the </w:t>
      </w:r>
      <w:r w:rsidRPr="008D2DCA">
        <w:rPr>
          <w:szCs w:val="22"/>
          <w:lang w:val="en-US"/>
        </w:rPr>
        <w:t xml:space="preserve">designation, implementation, and monitoring and review of area-based management tools, </w:t>
      </w:r>
    </w:p>
    <w:p w14:paraId="60141E5C" w14:textId="77777777" w:rsidR="00252FCF" w:rsidRPr="008D2DCA" w:rsidRDefault="00252FCF" w:rsidP="00A23837">
      <w:pPr>
        <w:suppressLineNumbers/>
        <w:shd w:val="clear" w:color="auto" w:fill="FFFFFF" w:themeFill="background1"/>
        <w:suppressAutoHyphens/>
        <w:kinsoku w:val="0"/>
        <w:overflowPunct w:val="0"/>
        <w:autoSpaceDE w:val="0"/>
        <w:autoSpaceDN w:val="0"/>
        <w:adjustRightInd w:val="0"/>
        <w:snapToGrid w:val="0"/>
        <w:spacing w:before="120" w:after="120"/>
        <w:ind w:firstLine="720"/>
        <w:rPr>
          <w:szCs w:val="22"/>
          <w:lang w:val="en-US"/>
        </w:rPr>
      </w:pPr>
      <w:r>
        <w:rPr>
          <w:i/>
          <w:iCs/>
          <w:szCs w:val="22"/>
          <w:lang w:val="en-US"/>
        </w:rPr>
        <w:t>N</w:t>
      </w:r>
      <w:r w:rsidRPr="008D2DCA">
        <w:rPr>
          <w:i/>
          <w:iCs/>
          <w:szCs w:val="22"/>
          <w:lang w:val="en-US"/>
        </w:rPr>
        <w:t>oting</w:t>
      </w:r>
      <w:r>
        <w:rPr>
          <w:i/>
          <w:iCs/>
          <w:szCs w:val="22"/>
          <w:lang w:val="en-US"/>
        </w:rPr>
        <w:t xml:space="preserve"> further</w:t>
      </w:r>
      <w:r w:rsidRPr="008D2DCA">
        <w:rPr>
          <w:szCs w:val="22"/>
          <w:lang w:val="en-US"/>
        </w:rPr>
        <w:t xml:space="preserve"> the competence of the International Maritime Organization and the Food and Agriculture Organization of the United Nations with respect to shipping and fishing in marine areas beyond national jurisdiction, respectively, and the competence of the International Seabed Authority with respect to the exploration and exploitation of mineral resources in the international seabed Area,</w:t>
      </w:r>
    </w:p>
    <w:p w14:paraId="7EDDA295" w14:textId="77777777" w:rsidR="00252FCF" w:rsidRPr="008D2DCA" w:rsidRDefault="00252FCF" w:rsidP="00666D48">
      <w:pPr>
        <w:suppressLineNumbers/>
        <w:shd w:val="clear" w:color="auto" w:fill="FFFFFF" w:themeFill="background1"/>
        <w:suppressAutoHyphens/>
        <w:kinsoku w:val="0"/>
        <w:overflowPunct w:val="0"/>
        <w:autoSpaceDE w:val="0"/>
        <w:autoSpaceDN w:val="0"/>
        <w:adjustRightInd w:val="0"/>
        <w:snapToGrid w:val="0"/>
        <w:spacing w:before="120" w:after="120"/>
        <w:ind w:firstLine="720"/>
        <w:rPr>
          <w:szCs w:val="22"/>
          <w:lang w:val="en-US"/>
        </w:rPr>
      </w:pPr>
      <w:r w:rsidRPr="008D2DCA">
        <w:rPr>
          <w:i/>
          <w:iCs/>
          <w:szCs w:val="22"/>
          <w:lang w:val="en-US"/>
        </w:rPr>
        <w:t>Noting</w:t>
      </w:r>
      <w:r w:rsidRPr="008D2DCA">
        <w:rPr>
          <w:szCs w:val="22"/>
          <w:lang w:val="en-US"/>
        </w:rPr>
        <w:t xml:space="preserve"> that the description of ecologically or biologically significant marine areas is an important scientific and technical process which may contribute to the implementation of the </w:t>
      </w:r>
      <w:r>
        <w:rPr>
          <w:szCs w:val="22"/>
          <w:lang w:val="en-US"/>
        </w:rPr>
        <w:t>Kunming-Montreal</w:t>
      </w:r>
      <w:r w:rsidRPr="008D2DCA">
        <w:rPr>
          <w:szCs w:val="22"/>
          <w:lang w:val="en-US"/>
        </w:rPr>
        <w:t xml:space="preserve"> </w:t>
      </w:r>
      <w:r>
        <w:rPr>
          <w:szCs w:val="22"/>
          <w:lang w:val="en-US"/>
        </w:rPr>
        <w:t>G</w:t>
      </w:r>
      <w:r w:rsidRPr="008D2DCA">
        <w:rPr>
          <w:szCs w:val="22"/>
          <w:lang w:val="en-US"/>
        </w:rPr>
        <w:t xml:space="preserve">lobal </w:t>
      </w:r>
      <w:r>
        <w:rPr>
          <w:szCs w:val="22"/>
          <w:lang w:val="en-US"/>
        </w:rPr>
        <w:t>B</w:t>
      </w:r>
      <w:r w:rsidRPr="008D2DCA">
        <w:rPr>
          <w:szCs w:val="22"/>
          <w:lang w:val="en-US"/>
        </w:rPr>
        <w:t xml:space="preserve">iodiversity </w:t>
      </w:r>
      <w:r>
        <w:rPr>
          <w:szCs w:val="22"/>
          <w:lang w:val="en-US"/>
        </w:rPr>
        <w:t>F</w:t>
      </w:r>
      <w:r w:rsidRPr="008D2DCA">
        <w:rPr>
          <w:szCs w:val="22"/>
          <w:lang w:val="en-US"/>
        </w:rPr>
        <w:t>ramework,</w:t>
      </w:r>
      <w:r>
        <w:rPr>
          <w:szCs w:val="22"/>
          <w:lang w:val="en-US"/>
        </w:rPr>
        <w:t xml:space="preserve"> </w:t>
      </w:r>
    </w:p>
    <w:p w14:paraId="17B3354D" w14:textId="77777777" w:rsidR="00252FCF" w:rsidRPr="008D2DCA" w:rsidRDefault="00252FCF" w:rsidP="00C676E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D2DCA">
        <w:rPr>
          <w:snapToGrid w:val="0"/>
          <w:kern w:val="22"/>
          <w:szCs w:val="22"/>
        </w:rPr>
        <w:t>1.</w:t>
      </w:r>
      <w:r w:rsidRPr="008D2DCA">
        <w:rPr>
          <w:snapToGrid w:val="0"/>
          <w:kern w:val="22"/>
          <w:szCs w:val="22"/>
        </w:rPr>
        <w:tab/>
      </w:r>
      <w:r w:rsidRPr="008D2DCA">
        <w:rPr>
          <w:i/>
          <w:iCs/>
          <w:snapToGrid w:val="0"/>
          <w:kern w:val="22"/>
          <w:szCs w:val="22"/>
        </w:rPr>
        <w:t>Expresses its appreciation</w:t>
      </w:r>
      <w:r w:rsidRPr="008D2DCA">
        <w:rPr>
          <w:snapToGrid w:val="0"/>
          <w:kern w:val="22"/>
          <w:szCs w:val="22"/>
        </w:rPr>
        <w:t xml:space="preserve"> to the Governments of Belgium and Germany for their financial support for the organization of the Expert Workshop to Identify Options for Modifying the Description of Ecologically or Biologically Significant Marine Areas and Describing New Areas, and </w:t>
      </w:r>
      <w:r w:rsidRPr="009A7D91">
        <w:rPr>
          <w:snapToGrid w:val="0"/>
          <w:kern w:val="22"/>
          <w:szCs w:val="22"/>
        </w:rPr>
        <w:t>takes note</w:t>
      </w:r>
      <w:r w:rsidRPr="008D2DCA">
        <w:rPr>
          <w:snapToGrid w:val="0"/>
          <w:kern w:val="22"/>
          <w:szCs w:val="22"/>
        </w:rPr>
        <w:t xml:space="preserve"> of the report of the workshop;</w:t>
      </w:r>
      <w:r w:rsidRPr="00610646">
        <w:rPr>
          <w:rStyle w:val="FootnoteReference"/>
          <w:rFonts w:eastAsiaTheme="majorEastAsia"/>
        </w:rPr>
        <w:footnoteReference w:id="338"/>
      </w:r>
      <w:r>
        <w:rPr>
          <w:snapToGrid w:val="0"/>
          <w:kern w:val="22"/>
          <w:szCs w:val="22"/>
        </w:rPr>
        <w:t xml:space="preserve"> </w:t>
      </w:r>
    </w:p>
    <w:p w14:paraId="51109886" w14:textId="77777777" w:rsidR="00252FCF" w:rsidRPr="008D2DCA" w:rsidRDefault="00252FCF" w:rsidP="00C676E1">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D2DCA">
        <w:rPr>
          <w:snapToGrid w:val="0"/>
          <w:kern w:val="22"/>
          <w:szCs w:val="22"/>
        </w:rPr>
        <w:t>2.</w:t>
      </w:r>
      <w:r w:rsidRPr="008D2DCA">
        <w:rPr>
          <w:snapToGrid w:val="0"/>
          <w:kern w:val="22"/>
          <w:szCs w:val="22"/>
        </w:rPr>
        <w:tab/>
      </w:r>
      <w:r w:rsidRPr="008D2DCA">
        <w:rPr>
          <w:i/>
          <w:iCs/>
          <w:snapToGrid w:val="0"/>
          <w:kern w:val="22"/>
          <w:szCs w:val="22"/>
        </w:rPr>
        <w:t>Welcomes</w:t>
      </w:r>
      <w:r w:rsidRPr="008D2DCA">
        <w:rPr>
          <w:snapToGrid w:val="0"/>
          <w:kern w:val="22"/>
          <w:szCs w:val="22"/>
        </w:rPr>
        <w:t xml:space="preserve"> the capacity-building activities facilitated by the Executive Secretary at the regional level in collaboration with Parties, other Governments and relevant organizations to facilitate efforts to describe </w:t>
      </w:r>
      <w:r w:rsidRPr="008D2DCA">
        <w:rPr>
          <w:szCs w:val="22"/>
          <w:lang w:val="en-US"/>
        </w:rPr>
        <w:t>ecologically or biologically significant marine areas</w:t>
      </w:r>
      <w:r w:rsidRPr="008D2DCA">
        <w:rPr>
          <w:snapToGrid w:val="0"/>
          <w:kern w:val="22"/>
          <w:szCs w:val="22"/>
        </w:rPr>
        <w:t xml:space="preserve">, </w:t>
      </w:r>
      <w:r w:rsidRPr="009A7D91">
        <w:rPr>
          <w:snapToGrid w:val="0"/>
          <w:kern w:val="22"/>
          <w:szCs w:val="22"/>
        </w:rPr>
        <w:t>acknowledges</w:t>
      </w:r>
      <w:r w:rsidRPr="008D2DCA">
        <w:rPr>
          <w:snapToGrid w:val="0"/>
          <w:kern w:val="22"/>
          <w:szCs w:val="22"/>
        </w:rPr>
        <w:t xml:space="preserve"> that such activities may comprise an important element of an updated programme of work on marine and coastal biodiversity, and </w:t>
      </w:r>
      <w:r w:rsidRPr="009A7D91">
        <w:rPr>
          <w:snapToGrid w:val="0"/>
          <w:kern w:val="22"/>
          <w:szCs w:val="22"/>
        </w:rPr>
        <w:t>requests</w:t>
      </w:r>
      <w:r w:rsidRPr="008D2DCA">
        <w:rPr>
          <w:snapToGrid w:val="0"/>
          <w:kern w:val="22"/>
          <w:szCs w:val="22"/>
        </w:rPr>
        <w:t xml:space="preserve"> the Executive Secretary to continue facilitating such capacity-building activities in support of the implementation of the </w:t>
      </w:r>
      <w:r>
        <w:rPr>
          <w:snapToGrid w:val="0"/>
          <w:kern w:val="22"/>
          <w:szCs w:val="22"/>
        </w:rPr>
        <w:t>Kunming-Montreal</w:t>
      </w:r>
      <w:r w:rsidRPr="008D2DCA">
        <w:rPr>
          <w:snapToGrid w:val="0"/>
          <w:kern w:val="22"/>
          <w:szCs w:val="22"/>
        </w:rPr>
        <w:t xml:space="preserve"> </w:t>
      </w:r>
      <w:r>
        <w:rPr>
          <w:snapToGrid w:val="0"/>
          <w:kern w:val="22"/>
          <w:szCs w:val="22"/>
        </w:rPr>
        <w:t>G</w:t>
      </w:r>
      <w:r w:rsidRPr="008D2DCA">
        <w:rPr>
          <w:snapToGrid w:val="0"/>
          <w:kern w:val="22"/>
          <w:szCs w:val="22"/>
        </w:rPr>
        <w:t xml:space="preserve">lobal </w:t>
      </w:r>
      <w:r>
        <w:rPr>
          <w:snapToGrid w:val="0"/>
          <w:kern w:val="22"/>
          <w:szCs w:val="22"/>
        </w:rPr>
        <w:t>B</w:t>
      </w:r>
      <w:r w:rsidRPr="008D2DCA">
        <w:rPr>
          <w:snapToGrid w:val="0"/>
          <w:kern w:val="22"/>
          <w:szCs w:val="22"/>
        </w:rPr>
        <w:t xml:space="preserve">iodiversity </w:t>
      </w:r>
      <w:r>
        <w:rPr>
          <w:snapToGrid w:val="0"/>
          <w:kern w:val="22"/>
          <w:szCs w:val="22"/>
        </w:rPr>
        <w:t>F</w:t>
      </w:r>
      <w:r w:rsidRPr="008D2DCA">
        <w:rPr>
          <w:snapToGrid w:val="0"/>
          <w:kern w:val="22"/>
          <w:szCs w:val="22"/>
        </w:rPr>
        <w:t>ramework;</w:t>
      </w:r>
      <w:r>
        <w:rPr>
          <w:snapToGrid w:val="0"/>
          <w:kern w:val="22"/>
          <w:szCs w:val="22"/>
        </w:rPr>
        <w:t xml:space="preserve"> </w:t>
      </w:r>
    </w:p>
    <w:p w14:paraId="04B82673" w14:textId="77777777" w:rsidR="00252FCF" w:rsidRPr="008D2DCA" w:rsidRDefault="00252FCF" w:rsidP="00C676E1">
      <w:pPr>
        <w:suppressLineNumbers/>
        <w:suppressAutoHyphens/>
        <w:kinsoku w:val="0"/>
        <w:overflowPunct w:val="0"/>
        <w:autoSpaceDE w:val="0"/>
        <w:autoSpaceDN w:val="0"/>
        <w:adjustRightInd w:val="0"/>
        <w:snapToGrid w:val="0"/>
        <w:spacing w:before="120" w:after="120"/>
        <w:ind w:firstLine="720"/>
        <w:rPr>
          <w:kern w:val="22"/>
          <w:szCs w:val="22"/>
        </w:rPr>
      </w:pPr>
      <w:r w:rsidRPr="008D2DCA">
        <w:rPr>
          <w:iCs/>
          <w:snapToGrid w:val="0"/>
          <w:kern w:val="22"/>
          <w:szCs w:val="22"/>
        </w:rPr>
        <w:t>3.</w:t>
      </w:r>
      <w:r w:rsidRPr="008D2DCA">
        <w:rPr>
          <w:iCs/>
          <w:snapToGrid w:val="0"/>
          <w:kern w:val="22"/>
          <w:szCs w:val="22"/>
        </w:rPr>
        <w:tab/>
      </w:r>
      <w:r w:rsidRPr="008D2DCA">
        <w:rPr>
          <w:i/>
          <w:snapToGrid w:val="0"/>
          <w:kern w:val="22"/>
          <w:szCs w:val="22"/>
        </w:rPr>
        <w:t>Decides</w:t>
      </w:r>
      <w:r w:rsidRPr="008D2DCA">
        <w:rPr>
          <w:iCs/>
          <w:snapToGrid w:val="0"/>
          <w:kern w:val="22"/>
          <w:szCs w:val="22"/>
        </w:rPr>
        <w:t xml:space="preserve"> to extend the term of the</w:t>
      </w:r>
      <w:r w:rsidRPr="008D2DCA">
        <w:rPr>
          <w:kern w:val="22"/>
          <w:szCs w:val="22"/>
        </w:rPr>
        <w:t xml:space="preserve"> Informal Advisory Group on Ecologically or Biologically Significant Marine Areas;</w:t>
      </w:r>
      <w:r>
        <w:rPr>
          <w:kern w:val="22"/>
          <w:szCs w:val="22"/>
        </w:rPr>
        <w:t xml:space="preserve"> </w:t>
      </w:r>
    </w:p>
    <w:p w14:paraId="27A7AE1F" w14:textId="77777777" w:rsidR="00252FCF" w:rsidRPr="008D2DCA" w:rsidRDefault="00252FCF" w:rsidP="007E6B15">
      <w:pPr>
        <w:suppressLineNumbers/>
        <w:suppressAutoHyphens/>
        <w:kinsoku w:val="0"/>
        <w:overflowPunct w:val="0"/>
        <w:autoSpaceDE w:val="0"/>
        <w:autoSpaceDN w:val="0"/>
        <w:adjustRightInd w:val="0"/>
        <w:snapToGrid w:val="0"/>
        <w:spacing w:before="120" w:after="120"/>
        <w:ind w:firstLine="720"/>
        <w:rPr>
          <w:lang w:val="en-US"/>
        </w:rPr>
      </w:pPr>
      <w:r w:rsidRPr="00980BF7">
        <w:rPr>
          <w:iCs/>
          <w:kern w:val="22"/>
          <w:szCs w:val="22"/>
        </w:rPr>
        <w:t>4.</w:t>
      </w:r>
      <w:r w:rsidRPr="00980BF7">
        <w:rPr>
          <w:iCs/>
          <w:kern w:val="22"/>
          <w:szCs w:val="22"/>
        </w:rPr>
        <w:tab/>
      </w:r>
      <w:r w:rsidRPr="00980BF7">
        <w:rPr>
          <w:i/>
          <w:snapToGrid w:val="0"/>
          <w:kern w:val="22"/>
          <w:szCs w:val="22"/>
          <w:lang w:val="en-US"/>
        </w:rPr>
        <w:t>Requests</w:t>
      </w:r>
      <w:r w:rsidRPr="00980BF7">
        <w:rPr>
          <w:iCs/>
          <w:snapToGrid w:val="0"/>
          <w:kern w:val="22"/>
          <w:szCs w:val="22"/>
          <w:lang w:val="en-US"/>
        </w:rPr>
        <w:t xml:space="preserve"> the Executive Secretary, subject to the availability of resources, to convene an expert workshop to review the technical aspects of the modalities outlined in the annex to recommendation </w:t>
      </w:r>
      <w:r w:rsidRPr="00980BF7">
        <w:rPr>
          <w:iCs/>
          <w:snapToGrid w:val="0"/>
          <w:kern w:val="22"/>
          <w:szCs w:val="22"/>
        </w:rPr>
        <w:t xml:space="preserve">24/10 of the </w:t>
      </w:r>
      <w:r w:rsidRPr="00980BF7">
        <w:rPr>
          <w:iCs/>
          <w:snapToGrid w:val="0"/>
          <w:kern w:val="22"/>
          <w:szCs w:val="22"/>
          <w:lang w:val="en-US"/>
        </w:rPr>
        <w:t>Subsidiary Body on Scientific, Technical and Technological Advice</w:t>
      </w:r>
      <w:r>
        <w:rPr>
          <w:iCs/>
          <w:snapToGrid w:val="0"/>
          <w:kern w:val="22"/>
          <w:szCs w:val="22"/>
          <w:lang w:val="en-US"/>
        </w:rPr>
        <w:t>,</w:t>
      </w:r>
      <w:bookmarkStart w:id="310" w:name="_Ref128564193"/>
      <w:r w:rsidRPr="00610646">
        <w:rPr>
          <w:rStyle w:val="FootnoteReference"/>
        </w:rPr>
        <w:footnoteReference w:id="339"/>
      </w:r>
      <w:bookmarkEnd w:id="310"/>
      <w:r w:rsidRPr="00980BF7">
        <w:rPr>
          <w:iCs/>
          <w:snapToGrid w:val="0"/>
          <w:kern w:val="22"/>
          <w:szCs w:val="22"/>
          <w:lang w:val="en-US"/>
        </w:rPr>
        <w:t xml:space="preserve"> and an expert workshop to review the legal issues pertaining to these modalities, on the basis of the outcomes of </w:t>
      </w:r>
      <w:r>
        <w:rPr>
          <w:iCs/>
          <w:snapToGrid w:val="0"/>
          <w:kern w:val="22"/>
          <w:szCs w:val="22"/>
          <w:lang w:val="en-US"/>
        </w:rPr>
        <w:t xml:space="preserve">the </w:t>
      </w:r>
      <w:r w:rsidRPr="00980BF7">
        <w:rPr>
          <w:iCs/>
          <w:snapToGrid w:val="0"/>
          <w:kern w:val="22"/>
          <w:szCs w:val="22"/>
          <w:lang w:val="en-US"/>
        </w:rPr>
        <w:t xml:space="preserve">above-noted workshop, </w:t>
      </w:r>
      <w:r w:rsidRPr="00980BF7">
        <w:rPr>
          <w:lang w:val="en-US"/>
        </w:rPr>
        <w:t xml:space="preserve">to provide the outcomes of this work for discussion through virtual </w:t>
      </w:r>
      <w:r w:rsidRPr="0064292F">
        <w:rPr>
          <w:lang w:val="en-US"/>
        </w:rPr>
        <w:t xml:space="preserve">modalities, </w:t>
      </w:r>
      <w:r w:rsidRPr="00B77B32">
        <w:rPr>
          <w:lang w:val="en-US"/>
        </w:rPr>
        <w:t xml:space="preserve">such as global and/or regional webinars, open comment by Parties and other Governments, and discussion by the Informal Advisory Group </w:t>
      </w:r>
      <w:r w:rsidRPr="00B77B32">
        <w:rPr>
          <w:kern w:val="22"/>
          <w:szCs w:val="22"/>
        </w:rPr>
        <w:t>on Ecologically or Biologically Significant Marine Areas</w:t>
      </w:r>
      <w:r w:rsidRPr="00B77B32">
        <w:rPr>
          <w:lang w:val="en-US"/>
        </w:rPr>
        <w:t>, and to provide the outcomes</w:t>
      </w:r>
      <w:r w:rsidRPr="0064292F">
        <w:rPr>
          <w:lang w:val="en-US"/>
        </w:rPr>
        <w:t xml:space="preserve"> of this work </w:t>
      </w:r>
      <w:r w:rsidRPr="0064292F">
        <w:t xml:space="preserve">to a future meeting of the </w:t>
      </w:r>
      <w:r w:rsidRPr="0064292F">
        <w:rPr>
          <w:iCs/>
          <w:snapToGrid w:val="0"/>
          <w:kern w:val="22"/>
          <w:szCs w:val="22"/>
          <w:lang w:val="en-US"/>
        </w:rPr>
        <w:t>Subsidiary Body on Scientific, Technical and Technological Advice</w:t>
      </w:r>
      <w:r w:rsidRPr="0064292F">
        <w:t xml:space="preserve"> and/or of the Subsidiary Body on Implementation</w:t>
      </w:r>
      <w:r w:rsidRPr="00980BF7">
        <w:t xml:space="preserve">, for consideration prior to the sixteenth meeting of the Conference of the Parties, </w:t>
      </w:r>
      <w:r w:rsidRPr="00980BF7">
        <w:rPr>
          <w:lang w:val="en-US"/>
        </w:rPr>
        <w:t xml:space="preserve">with a view to adopting </w:t>
      </w:r>
      <w:r w:rsidRPr="00980BF7">
        <w:rPr>
          <w:iCs/>
          <w:snapToGrid w:val="0"/>
          <w:kern w:val="22"/>
          <w:szCs w:val="22"/>
        </w:rPr>
        <w:t xml:space="preserve">modalities for modifying </w:t>
      </w:r>
      <w:r>
        <w:rPr>
          <w:iCs/>
          <w:snapToGrid w:val="0"/>
          <w:kern w:val="22"/>
          <w:szCs w:val="22"/>
        </w:rPr>
        <w:t xml:space="preserve">the </w:t>
      </w:r>
      <w:r w:rsidRPr="00980BF7">
        <w:rPr>
          <w:iCs/>
          <w:snapToGrid w:val="0"/>
          <w:kern w:val="22"/>
          <w:szCs w:val="22"/>
        </w:rPr>
        <w:t>descriptions of ecologically or biologically significant marine areas and for describing new areas</w:t>
      </w:r>
      <w:r w:rsidRPr="00980BF7">
        <w:rPr>
          <w:lang w:val="en-US"/>
        </w:rPr>
        <w:t xml:space="preserve"> at the sixteenth meeting of the </w:t>
      </w:r>
      <w:r w:rsidRPr="00980BF7">
        <w:t>Conference of the Parties</w:t>
      </w:r>
      <w:r w:rsidRPr="00980BF7">
        <w:rPr>
          <w:lang w:val="en-US"/>
        </w:rPr>
        <w:t>;</w:t>
      </w:r>
    </w:p>
    <w:p w14:paraId="66CF9268" w14:textId="769C35BF" w:rsidR="00252FCF" w:rsidRPr="008D2DCA" w:rsidRDefault="00252FCF" w:rsidP="00C676E1">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5</w:t>
      </w:r>
      <w:r w:rsidRPr="00E510D7">
        <w:rPr>
          <w:kern w:val="22"/>
          <w:szCs w:val="22"/>
        </w:rPr>
        <w:t>.</w:t>
      </w:r>
      <w:r w:rsidRPr="00E510D7">
        <w:rPr>
          <w:kern w:val="22"/>
          <w:szCs w:val="22"/>
        </w:rPr>
        <w:tab/>
      </w:r>
      <w:r>
        <w:rPr>
          <w:i/>
          <w:iCs/>
          <w:kern w:val="22"/>
          <w:szCs w:val="22"/>
        </w:rPr>
        <w:t>Also r</w:t>
      </w:r>
      <w:r w:rsidRPr="00E510D7">
        <w:rPr>
          <w:i/>
          <w:iCs/>
          <w:kern w:val="22"/>
          <w:szCs w:val="22"/>
        </w:rPr>
        <w:t>equests</w:t>
      </w:r>
      <w:r w:rsidRPr="00E510D7">
        <w:rPr>
          <w:kern w:val="22"/>
          <w:szCs w:val="22"/>
        </w:rPr>
        <w:t xml:space="preserve"> the Executive Secretary to develop draft terms of reference for a “relevant expert advisory body” in the context of modalities for modifying the descriptions of ecologically or biologically significant marine areas and </w:t>
      </w:r>
      <w:r w:rsidRPr="00053CC0">
        <w:rPr>
          <w:kern w:val="22"/>
          <w:szCs w:val="22"/>
        </w:rPr>
        <w:t>describing new</w:t>
      </w:r>
      <w:r w:rsidRPr="00E510D7">
        <w:rPr>
          <w:kern w:val="22"/>
          <w:szCs w:val="22"/>
        </w:rPr>
        <w:t xml:space="preserve"> </w:t>
      </w:r>
      <w:r w:rsidRPr="00833D39">
        <w:rPr>
          <w:kern w:val="22"/>
          <w:szCs w:val="22"/>
        </w:rPr>
        <w:t xml:space="preserve">areas, </w:t>
      </w:r>
      <w:r w:rsidRPr="0091618E">
        <w:rPr>
          <w:iCs/>
          <w:snapToGrid w:val="0"/>
          <w:kern w:val="22"/>
          <w:szCs w:val="22"/>
          <w:lang w:val="en-US"/>
        </w:rPr>
        <w:t xml:space="preserve">annexed to recommendation </w:t>
      </w:r>
      <w:r w:rsidRPr="0091618E">
        <w:rPr>
          <w:iCs/>
          <w:snapToGrid w:val="0"/>
          <w:kern w:val="22"/>
          <w:szCs w:val="22"/>
        </w:rPr>
        <w:t>24/10</w:t>
      </w:r>
      <w:r w:rsidRPr="00E510D7">
        <w:rPr>
          <w:iCs/>
          <w:snapToGrid w:val="0"/>
          <w:kern w:val="22"/>
          <w:szCs w:val="22"/>
        </w:rPr>
        <w:t xml:space="preserve"> of the </w:t>
      </w:r>
      <w:r w:rsidRPr="00E510D7">
        <w:rPr>
          <w:iCs/>
          <w:snapToGrid w:val="0"/>
          <w:kern w:val="22"/>
          <w:szCs w:val="22"/>
          <w:lang w:val="en-US"/>
        </w:rPr>
        <w:t>Subsidiary Body on Scientific, Technical and Technological Advice</w:t>
      </w:r>
      <w:r>
        <w:rPr>
          <w:iCs/>
          <w:snapToGrid w:val="0"/>
          <w:kern w:val="22"/>
          <w:szCs w:val="22"/>
          <w:lang w:val="en-US"/>
        </w:rPr>
        <w:t>,</w:t>
      </w:r>
      <w:r w:rsidRPr="009A7D91">
        <w:rPr>
          <w:iCs/>
          <w:snapToGrid w:val="0"/>
          <w:kern w:val="22"/>
          <w:szCs w:val="22"/>
          <w:vertAlign w:val="superscript"/>
          <w:lang w:val="en-US"/>
        </w:rPr>
        <w:fldChar w:fldCharType="begin"/>
      </w:r>
      <w:r w:rsidRPr="009A7D91">
        <w:rPr>
          <w:iCs/>
          <w:snapToGrid w:val="0"/>
          <w:kern w:val="22"/>
          <w:szCs w:val="22"/>
          <w:vertAlign w:val="superscript"/>
          <w:lang w:val="en-US"/>
        </w:rPr>
        <w:instrText xml:space="preserve"> NOTEREF _Ref128564193 \h </w:instrText>
      </w:r>
      <w:r>
        <w:rPr>
          <w:iCs/>
          <w:snapToGrid w:val="0"/>
          <w:kern w:val="22"/>
          <w:szCs w:val="22"/>
          <w:vertAlign w:val="superscript"/>
          <w:lang w:val="en-US"/>
        </w:rPr>
        <w:instrText xml:space="preserve"> \* MERGEFORMAT </w:instrText>
      </w:r>
      <w:r w:rsidRPr="009A7D91">
        <w:rPr>
          <w:iCs/>
          <w:snapToGrid w:val="0"/>
          <w:kern w:val="22"/>
          <w:szCs w:val="22"/>
          <w:vertAlign w:val="superscript"/>
          <w:lang w:val="en-US"/>
        </w:rPr>
      </w:r>
      <w:r w:rsidRPr="009A7D91">
        <w:rPr>
          <w:iCs/>
          <w:snapToGrid w:val="0"/>
          <w:kern w:val="22"/>
          <w:szCs w:val="22"/>
          <w:vertAlign w:val="superscript"/>
          <w:lang w:val="en-US"/>
        </w:rPr>
        <w:fldChar w:fldCharType="separate"/>
      </w:r>
      <w:r w:rsidR="00B54ED0">
        <w:rPr>
          <w:iCs/>
          <w:snapToGrid w:val="0"/>
          <w:kern w:val="22"/>
          <w:szCs w:val="22"/>
          <w:vertAlign w:val="superscript"/>
          <w:lang w:val="en-US"/>
        </w:rPr>
        <w:t>5</w:t>
      </w:r>
      <w:r w:rsidRPr="009A7D91">
        <w:rPr>
          <w:iCs/>
          <w:snapToGrid w:val="0"/>
          <w:kern w:val="22"/>
          <w:szCs w:val="22"/>
          <w:vertAlign w:val="superscript"/>
          <w:lang w:val="en-US"/>
        </w:rPr>
        <w:fldChar w:fldCharType="end"/>
      </w:r>
      <w:r w:rsidRPr="00E510D7">
        <w:rPr>
          <w:kern w:val="22"/>
          <w:szCs w:val="22"/>
        </w:rPr>
        <w:t xml:space="preserve"> without prejudicing future discussions on this issue, for </w:t>
      </w:r>
      <w:r w:rsidRPr="00E510D7">
        <w:rPr>
          <w:iCs/>
          <w:snapToGrid w:val="0"/>
          <w:kern w:val="22"/>
          <w:szCs w:val="22"/>
        </w:rPr>
        <w:t>subsequent consideration by the Subsidiary Body on Scientific, Technical and Technological Advice prior to the sixteenth meeting of the Conference of the Parties;</w:t>
      </w:r>
    </w:p>
    <w:p w14:paraId="443093FF" w14:textId="77777777" w:rsidR="00252FCF" w:rsidRPr="008D2DCA" w:rsidRDefault="00252FCF" w:rsidP="00C676E1">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Pr>
          <w:iCs/>
          <w:snapToGrid w:val="0"/>
          <w:kern w:val="22"/>
          <w:szCs w:val="22"/>
        </w:rPr>
        <w:t>6</w:t>
      </w:r>
      <w:r w:rsidRPr="008D2DCA">
        <w:rPr>
          <w:iCs/>
          <w:snapToGrid w:val="0"/>
          <w:kern w:val="22"/>
          <w:szCs w:val="22"/>
        </w:rPr>
        <w:t>.</w:t>
      </w:r>
      <w:r w:rsidRPr="008D2DCA">
        <w:rPr>
          <w:iCs/>
          <w:snapToGrid w:val="0"/>
          <w:kern w:val="22"/>
          <w:szCs w:val="22"/>
        </w:rPr>
        <w:tab/>
      </w:r>
      <w:r>
        <w:rPr>
          <w:i/>
          <w:snapToGrid w:val="0"/>
          <w:kern w:val="22"/>
          <w:szCs w:val="22"/>
        </w:rPr>
        <w:t>Further</w:t>
      </w:r>
      <w:r w:rsidRPr="008D2DCA">
        <w:rPr>
          <w:i/>
          <w:snapToGrid w:val="0"/>
          <w:kern w:val="22"/>
          <w:szCs w:val="22"/>
        </w:rPr>
        <w:t xml:space="preserve"> requests</w:t>
      </w:r>
      <w:r w:rsidRPr="008D2DCA">
        <w:rPr>
          <w:iCs/>
          <w:snapToGrid w:val="0"/>
          <w:kern w:val="22"/>
          <w:szCs w:val="22"/>
        </w:rPr>
        <w:t xml:space="preserve"> the Executive Secretary, under the guidance of the Bureau of the Subsidiary Body on Scientific, Technical and Technological Advice, to develop voluntary guidelines on peer-review processes for</w:t>
      </w:r>
      <w:r w:rsidRPr="008D2DCA">
        <w:rPr>
          <w:kern w:val="22"/>
          <w:szCs w:val="22"/>
        </w:rPr>
        <w:t xml:space="preserve"> </w:t>
      </w:r>
      <w:r w:rsidRPr="008D2DCA">
        <w:rPr>
          <w:iCs/>
          <w:snapToGrid w:val="0"/>
          <w:kern w:val="22"/>
          <w:szCs w:val="22"/>
        </w:rPr>
        <w:t xml:space="preserve">the description of areas meeting the criteria for </w:t>
      </w:r>
      <w:r w:rsidRPr="008D2DCA">
        <w:rPr>
          <w:snapToGrid w:val="0"/>
          <w:kern w:val="22"/>
          <w:szCs w:val="22"/>
        </w:rPr>
        <w:t>ecologically or biologically significant marine areas</w:t>
      </w:r>
      <w:r w:rsidRPr="008D2DCA" w:rsidDel="0006703F">
        <w:rPr>
          <w:iCs/>
          <w:snapToGrid w:val="0"/>
          <w:kern w:val="22"/>
          <w:szCs w:val="22"/>
        </w:rPr>
        <w:t xml:space="preserve"> </w:t>
      </w:r>
      <w:r w:rsidRPr="008D2DCA">
        <w:rPr>
          <w:iCs/>
          <w:snapToGrid w:val="0"/>
          <w:kern w:val="22"/>
          <w:szCs w:val="22"/>
        </w:rPr>
        <w:t>and other relevant compatible and complementary scientific criteria, for subsequent consideration by the Subsidiary Body on Scientific, Technical and Technological Advice prior to the sixteenth meeting of the Conference of the Parties;</w:t>
      </w:r>
    </w:p>
    <w:p w14:paraId="16AA6CEA" w14:textId="77777777" w:rsidR="00252FCF" w:rsidRPr="00AC42FC" w:rsidRDefault="00252FCF" w:rsidP="00C676E1">
      <w:pPr>
        <w:suppressLineNumbers/>
        <w:suppressAutoHyphens/>
        <w:kinsoku w:val="0"/>
        <w:overflowPunct w:val="0"/>
        <w:autoSpaceDE w:val="0"/>
        <w:autoSpaceDN w:val="0"/>
        <w:adjustRightInd w:val="0"/>
        <w:snapToGrid w:val="0"/>
        <w:spacing w:before="120" w:after="120"/>
        <w:ind w:firstLine="720"/>
        <w:rPr>
          <w:szCs w:val="22"/>
        </w:rPr>
      </w:pPr>
      <w:r w:rsidRPr="00AC42FC">
        <w:rPr>
          <w:iCs/>
          <w:snapToGrid w:val="0"/>
          <w:kern w:val="22"/>
          <w:szCs w:val="22"/>
        </w:rPr>
        <w:t>7.</w:t>
      </w:r>
      <w:r w:rsidRPr="00AC42FC">
        <w:rPr>
          <w:iCs/>
          <w:snapToGrid w:val="0"/>
          <w:kern w:val="22"/>
          <w:szCs w:val="22"/>
        </w:rPr>
        <w:tab/>
      </w:r>
      <w:r w:rsidRPr="00AC42FC">
        <w:rPr>
          <w:i/>
          <w:iCs/>
          <w:szCs w:val="22"/>
        </w:rPr>
        <w:t>Encourages</w:t>
      </w:r>
      <w:r w:rsidRPr="00AC42FC">
        <w:rPr>
          <w:szCs w:val="22"/>
        </w:rPr>
        <w:t xml:space="preserve"> Parties and </w:t>
      </w:r>
      <w:r w:rsidRPr="009A7D91">
        <w:rPr>
          <w:szCs w:val="22"/>
        </w:rPr>
        <w:t>invites</w:t>
      </w:r>
      <w:r w:rsidRPr="00AC42FC">
        <w:rPr>
          <w:szCs w:val="22"/>
        </w:rPr>
        <w:t xml:space="preserve"> other Governments to take into consideration the experiences and outcomes of the process to facilitate the description of </w:t>
      </w:r>
      <w:r w:rsidRPr="00AC42FC">
        <w:rPr>
          <w:szCs w:val="22"/>
          <w:lang w:val="en-US"/>
        </w:rPr>
        <w:t>ecologically or biologically significant marine areas</w:t>
      </w:r>
      <w:r w:rsidRPr="00AC42FC">
        <w:rPr>
          <w:szCs w:val="22"/>
        </w:rPr>
        <w:t xml:space="preserve"> in the deliberations on an international legally binding instrument under the United Nations Convention on the Law of the Sea on the conservation and sustainable use of marine biological diversity of areas beyond national jurisdiction;</w:t>
      </w:r>
    </w:p>
    <w:p w14:paraId="2321073B" w14:textId="77777777" w:rsidR="00252FCF" w:rsidRPr="008D2DCA" w:rsidRDefault="00252FCF" w:rsidP="00C676E1">
      <w:pPr>
        <w:suppressLineNumbers/>
        <w:suppressAutoHyphens/>
        <w:kinsoku w:val="0"/>
        <w:overflowPunct w:val="0"/>
        <w:autoSpaceDE w:val="0"/>
        <w:autoSpaceDN w:val="0"/>
        <w:adjustRightInd w:val="0"/>
        <w:snapToGrid w:val="0"/>
        <w:spacing w:before="120" w:after="120"/>
        <w:ind w:firstLine="720"/>
        <w:rPr>
          <w:szCs w:val="22"/>
        </w:rPr>
      </w:pPr>
      <w:r w:rsidRPr="00AC42FC">
        <w:rPr>
          <w:szCs w:val="22"/>
        </w:rPr>
        <w:t xml:space="preserve">8. </w:t>
      </w:r>
      <w:r w:rsidRPr="00AC42FC">
        <w:rPr>
          <w:szCs w:val="22"/>
        </w:rPr>
        <w:tab/>
      </w:r>
      <w:r w:rsidRPr="00AC42FC">
        <w:rPr>
          <w:i/>
          <w:iCs/>
          <w:szCs w:val="22"/>
        </w:rPr>
        <w:t>Invites</w:t>
      </w:r>
      <w:r w:rsidRPr="00AC42FC">
        <w:rPr>
          <w:szCs w:val="22"/>
        </w:rPr>
        <w:t xml:space="preserve"> Parties and other Governments to take into account the experiences and outcomes of the process to facilitate the description of </w:t>
      </w:r>
      <w:r w:rsidRPr="00AC42FC">
        <w:rPr>
          <w:szCs w:val="22"/>
          <w:lang w:val="en-US"/>
        </w:rPr>
        <w:t>ecologically or biologically significant marine areas</w:t>
      </w:r>
      <w:r w:rsidRPr="00AC42FC">
        <w:rPr>
          <w:szCs w:val="22"/>
        </w:rPr>
        <w:t xml:space="preserve"> </w:t>
      </w:r>
      <w:r w:rsidRPr="008D2DCA">
        <w:rPr>
          <w:szCs w:val="22"/>
        </w:rPr>
        <w:t>when analyzing the risks and implications of deep-seabed mining, including in the context of deliberations under the International Seabed Authority;</w:t>
      </w:r>
    </w:p>
    <w:p w14:paraId="451F1B14" w14:textId="77777777" w:rsidR="00252FCF" w:rsidRPr="008D2DCA" w:rsidRDefault="00252FCF" w:rsidP="009A7D91">
      <w:pPr>
        <w:suppressLineNumbers/>
        <w:suppressAutoHyphens/>
        <w:kinsoku w:val="0"/>
        <w:overflowPunct w:val="0"/>
        <w:autoSpaceDE w:val="0"/>
        <w:autoSpaceDN w:val="0"/>
        <w:adjustRightInd w:val="0"/>
        <w:snapToGrid w:val="0"/>
        <w:spacing w:before="120" w:after="120"/>
        <w:ind w:firstLine="720"/>
        <w:rPr>
          <w:b/>
          <w:bCs/>
          <w:kern w:val="22"/>
          <w:szCs w:val="22"/>
        </w:rPr>
      </w:pPr>
      <w:r>
        <w:rPr>
          <w:szCs w:val="22"/>
        </w:rPr>
        <w:t>9</w:t>
      </w:r>
      <w:r w:rsidRPr="008D2DCA">
        <w:rPr>
          <w:szCs w:val="22"/>
        </w:rPr>
        <w:t xml:space="preserve">. </w:t>
      </w:r>
      <w:r w:rsidRPr="008D2DCA">
        <w:rPr>
          <w:szCs w:val="22"/>
        </w:rPr>
        <w:tab/>
      </w:r>
      <w:r w:rsidRPr="008D2DCA">
        <w:rPr>
          <w:i/>
          <w:iCs/>
          <w:szCs w:val="22"/>
        </w:rPr>
        <w:t>Encourages</w:t>
      </w:r>
      <w:r w:rsidRPr="008D2DCA">
        <w:rPr>
          <w:szCs w:val="22"/>
        </w:rPr>
        <w:t xml:space="preserve"> further collaboration and information-sharing between the Secretariat of the Convention on Biological Diversity and the Food and Agriculture Organization of the United Nations, the International Maritime Organization, the International Seabed Authority, </w:t>
      </w:r>
      <w:r>
        <w:rPr>
          <w:szCs w:val="22"/>
        </w:rPr>
        <w:t>the</w:t>
      </w:r>
      <w:r w:rsidRPr="008D2DCA">
        <w:rPr>
          <w:szCs w:val="22"/>
        </w:rPr>
        <w:t xml:space="preserve"> Division for Ocean Affairs and the Law of the Sea, the Intergovernmental Oceanographic Commission of </w:t>
      </w:r>
      <w:r>
        <w:rPr>
          <w:szCs w:val="22"/>
        </w:rPr>
        <w:t xml:space="preserve">the United Nations Educational, Scientific and Cultural Organization </w:t>
      </w:r>
      <w:r w:rsidRPr="008D2DCA">
        <w:rPr>
          <w:szCs w:val="22"/>
        </w:rPr>
        <w:t>and the secretariats of the Intergovernmental Science-Policy Platform on Biodiversity and Ecosystem Services</w:t>
      </w:r>
      <w:r w:rsidRPr="008D2DCA" w:rsidDel="00015257">
        <w:rPr>
          <w:szCs w:val="22"/>
        </w:rPr>
        <w:t xml:space="preserve"> </w:t>
      </w:r>
      <w:r w:rsidRPr="008D2DCA">
        <w:rPr>
          <w:szCs w:val="22"/>
        </w:rPr>
        <w:t xml:space="preserve">and the Intergovernmental Panel on Climate Change, as well as regional fishery bodies, regional seas conventions and actions plans, and other relevant international organizations, regarding the use of information on ecologically or biologically significant marine areas, including the best available scientific information and the </w:t>
      </w:r>
      <w:r w:rsidRPr="00721DA6">
        <w:rPr>
          <w:szCs w:val="22"/>
        </w:rPr>
        <w:t>traditional knowledge of indigenous peoples and local communities with their free, prior and informed consent</w:t>
      </w:r>
      <w:r w:rsidRPr="00610646">
        <w:rPr>
          <w:rStyle w:val="FootnoteReference"/>
        </w:rPr>
        <w:footnoteReference w:id="340"/>
      </w:r>
      <w:r w:rsidRPr="00721DA6">
        <w:rPr>
          <w:szCs w:val="22"/>
        </w:rPr>
        <w:t xml:space="preserve"> as one of the key pieces of information that can be used, inter alia, for guidance and cross-learning regarding the use of area-based management tools, including vulnerable</w:t>
      </w:r>
      <w:r w:rsidRPr="008D2DCA">
        <w:rPr>
          <w:szCs w:val="22"/>
        </w:rPr>
        <w:t xml:space="preserve"> marine ecosystems, particularly sensitive sea areas, and areas of particular environmental interest, important marine mammal areas, among other approaches, with a view to contributing to the achievement of the </w:t>
      </w:r>
      <w:r>
        <w:rPr>
          <w:szCs w:val="22"/>
        </w:rPr>
        <w:t>Kunming-Montreal</w:t>
      </w:r>
      <w:r w:rsidRPr="008D2DCA">
        <w:rPr>
          <w:szCs w:val="22"/>
        </w:rPr>
        <w:t xml:space="preserve"> </w:t>
      </w:r>
      <w:r>
        <w:rPr>
          <w:szCs w:val="22"/>
        </w:rPr>
        <w:t>G</w:t>
      </w:r>
      <w:r w:rsidRPr="008D2DCA">
        <w:rPr>
          <w:szCs w:val="22"/>
        </w:rPr>
        <w:t xml:space="preserve">lobal </w:t>
      </w:r>
      <w:r>
        <w:rPr>
          <w:szCs w:val="22"/>
        </w:rPr>
        <w:t>B</w:t>
      </w:r>
      <w:r w:rsidRPr="008D2DCA">
        <w:rPr>
          <w:szCs w:val="22"/>
        </w:rPr>
        <w:t xml:space="preserve">iodiversity </w:t>
      </w:r>
      <w:r>
        <w:rPr>
          <w:szCs w:val="22"/>
        </w:rPr>
        <w:t>F</w:t>
      </w:r>
      <w:r w:rsidRPr="008D2DCA">
        <w:rPr>
          <w:szCs w:val="22"/>
        </w:rPr>
        <w:t>ramework and relevant Sustainable Development Goals.</w:t>
      </w:r>
      <w:r>
        <w:rPr>
          <w:szCs w:val="22"/>
        </w:rPr>
        <w:t xml:space="preserve"> </w:t>
      </w:r>
    </w:p>
    <w:p w14:paraId="26D16384" w14:textId="77777777" w:rsidR="007523D5" w:rsidRDefault="007523D5" w:rsidP="00C9161D">
      <w:pPr>
        <w:jc w:val="center"/>
        <w:sectPr w:rsidR="007523D5" w:rsidSect="00441700">
          <w:footnotePr>
            <w:numRestart w:val="eachSect"/>
          </w:footnotePr>
          <w:pgSz w:w="12240" w:h="15840"/>
          <w:pgMar w:top="567" w:right="1440" w:bottom="1134" w:left="1440" w:header="709" w:footer="709" w:gutter="0"/>
          <w:cols w:space="708"/>
          <w:docGrid w:linePitch="360"/>
        </w:sectPr>
      </w:pPr>
    </w:p>
    <w:p w14:paraId="1A675A68" w14:textId="77777777" w:rsidR="007523D5" w:rsidRPr="00824EF9" w:rsidRDefault="007523D5" w:rsidP="00824EF9">
      <w:pPr>
        <w:pStyle w:val="decision"/>
        <w:rPr>
          <w:b w:val="0"/>
          <w:bCs/>
          <w:caps/>
        </w:rPr>
      </w:pPr>
      <w:bookmarkStart w:id="311" w:name="_Toc150438825"/>
      <w:bookmarkStart w:id="312" w:name="_Toc150670525"/>
      <w:bookmarkStart w:id="313" w:name="_Toc150670635"/>
      <w:bookmarkStart w:id="314" w:name="_Toc150761137"/>
      <w:r w:rsidRPr="00824EF9">
        <w:rPr>
          <w:rStyle w:val="Heading2Char"/>
          <w:rFonts w:eastAsia="Malgun Gothic"/>
          <w:b/>
          <w:bCs w:val="0"/>
        </w:rPr>
        <w:t>15/27.</w:t>
      </w:r>
      <w:r w:rsidRPr="00824EF9">
        <w:rPr>
          <w:rStyle w:val="Heading2Char"/>
          <w:rFonts w:eastAsia="Malgun Gothic"/>
          <w:b/>
          <w:bCs w:val="0"/>
        </w:rPr>
        <w:tab/>
        <w:t>Invasive alien species</w:t>
      </w:r>
      <w:bookmarkEnd w:id="311"/>
      <w:bookmarkEnd w:id="312"/>
      <w:bookmarkEnd w:id="313"/>
      <w:bookmarkEnd w:id="314"/>
      <w:r w:rsidRPr="00824EF9">
        <w:rPr>
          <w:b w:val="0"/>
          <w:bCs/>
          <w:caps/>
        </w:rPr>
        <w:t xml:space="preserve"> </w:t>
      </w:r>
    </w:p>
    <w:p w14:paraId="0A040BBF" w14:textId="77777777" w:rsidR="007523D5" w:rsidRPr="001D14FB" w:rsidRDefault="007523D5" w:rsidP="007C5A47">
      <w:pPr>
        <w:pStyle w:val="ListParagraph"/>
        <w:spacing w:before="120" w:after="120"/>
        <w:ind w:left="0" w:firstLine="720"/>
        <w:contextualSpacing w:val="0"/>
        <w:rPr>
          <w:kern w:val="22"/>
          <w:szCs w:val="22"/>
        </w:rPr>
      </w:pPr>
      <w:r w:rsidRPr="00B04BE8">
        <w:rPr>
          <w:i/>
          <w:iCs/>
          <w:kern w:val="22"/>
          <w:szCs w:val="22"/>
        </w:rPr>
        <w:t>The Conference of the Parties</w:t>
      </w:r>
      <w:r w:rsidRPr="001D14FB">
        <w:rPr>
          <w:kern w:val="22"/>
          <w:szCs w:val="22"/>
        </w:rPr>
        <w:t>,</w:t>
      </w:r>
    </w:p>
    <w:p w14:paraId="58434832" w14:textId="77777777" w:rsidR="007523D5" w:rsidRPr="00B04BE8" w:rsidRDefault="007523D5" w:rsidP="007C5A47">
      <w:pPr>
        <w:pStyle w:val="ListParagraph"/>
        <w:spacing w:before="120" w:after="120"/>
        <w:ind w:left="0" w:firstLine="720"/>
        <w:contextualSpacing w:val="0"/>
        <w:rPr>
          <w:i/>
          <w:iCs/>
          <w:kern w:val="22"/>
          <w:szCs w:val="22"/>
        </w:rPr>
      </w:pPr>
      <w:r w:rsidRPr="00B04BE8">
        <w:rPr>
          <w:i/>
          <w:iCs/>
          <w:kern w:val="22"/>
          <w:szCs w:val="22"/>
        </w:rPr>
        <w:t xml:space="preserve">Noting with concern </w:t>
      </w:r>
      <w:r w:rsidRPr="001D14FB">
        <w:rPr>
          <w:kern w:val="22"/>
          <w:szCs w:val="22"/>
        </w:rPr>
        <w:t xml:space="preserve">that invasive alien species </w:t>
      </w:r>
      <w:r>
        <w:rPr>
          <w:kern w:val="22"/>
          <w:szCs w:val="22"/>
        </w:rPr>
        <w:t>are</w:t>
      </w:r>
      <w:r w:rsidRPr="001D14FB">
        <w:rPr>
          <w:kern w:val="22"/>
          <w:szCs w:val="22"/>
        </w:rPr>
        <w:t xml:space="preserve"> one of the main drivers of biodiversity loss worldwide, as reported by the Intergovernmental </w:t>
      </w:r>
      <w:r>
        <w:rPr>
          <w:kern w:val="22"/>
          <w:szCs w:val="22"/>
        </w:rPr>
        <w:t xml:space="preserve">Science-Policy </w:t>
      </w:r>
      <w:r w:rsidRPr="001D14FB">
        <w:rPr>
          <w:kern w:val="22"/>
          <w:szCs w:val="22"/>
        </w:rPr>
        <w:t xml:space="preserve">Platform on Biodiversity and Ecosystem Services in its 2019 </w:t>
      </w:r>
      <w:r w:rsidRPr="00B04BE8">
        <w:rPr>
          <w:i/>
          <w:iCs/>
          <w:kern w:val="22"/>
          <w:szCs w:val="22"/>
        </w:rPr>
        <w:t xml:space="preserve">Global </w:t>
      </w:r>
      <w:r w:rsidRPr="001D14FB">
        <w:rPr>
          <w:i/>
          <w:iCs/>
          <w:kern w:val="22"/>
          <w:szCs w:val="22"/>
        </w:rPr>
        <w:t>A</w:t>
      </w:r>
      <w:r w:rsidRPr="00B04BE8">
        <w:rPr>
          <w:i/>
          <w:iCs/>
          <w:kern w:val="22"/>
          <w:szCs w:val="22"/>
        </w:rPr>
        <w:t xml:space="preserve">ssessment </w:t>
      </w:r>
      <w:r w:rsidRPr="001D14FB">
        <w:rPr>
          <w:i/>
          <w:iCs/>
          <w:kern w:val="22"/>
          <w:szCs w:val="22"/>
        </w:rPr>
        <w:t>R</w:t>
      </w:r>
      <w:r w:rsidRPr="00B04BE8">
        <w:rPr>
          <w:i/>
          <w:iCs/>
          <w:kern w:val="22"/>
          <w:szCs w:val="22"/>
        </w:rPr>
        <w:t>eport</w:t>
      </w:r>
      <w:r w:rsidRPr="001D14FB">
        <w:rPr>
          <w:kern w:val="22"/>
          <w:szCs w:val="22"/>
        </w:rPr>
        <w:t>,</w:t>
      </w:r>
      <w:r w:rsidRPr="00610646">
        <w:rPr>
          <w:rStyle w:val="FootnoteReference"/>
        </w:rPr>
        <w:footnoteReference w:id="341"/>
      </w:r>
    </w:p>
    <w:p w14:paraId="28358DA4" w14:textId="77777777" w:rsidR="007523D5" w:rsidRPr="00B04BE8" w:rsidRDefault="007523D5" w:rsidP="007C5A47">
      <w:pPr>
        <w:pStyle w:val="ListParagraph"/>
        <w:spacing w:before="120" w:after="120"/>
        <w:ind w:left="0" w:firstLine="720"/>
        <w:contextualSpacing w:val="0"/>
        <w:rPr>
          <w:kern w:val="22"/>
          <w:szCs w:val="22"/>
        </w:rPr>
      </w:pPr>
      <w:r w:rsidRPr="00B04BE8">
        <w:rPr>
          <w:i/>
          <w:iCs/>
          <w:kern w:val="22"/>
          <w:szCs w:val="22"/>
        </w:rPr>
        <w:t xml:space="preserve">Noting </w:t>
      </w:r>
      <w:r w:rsidRPr="00B04BE8">
        <w:rPr>
          <w:kern w:val="22"/>
          <w:szCs w:val="22"/>
        </w:rPr>
        <w:t>the increasing volume of international consignments containing living organisms</w:t>
      </w:r>
      <w:r>
        <w:rPr>
          <w:kern w:val="22"/>
          <w:szCs w:val="22"/>
        </w:rPr>
        <w:t xml:space="preserve"> and propagules, </w:t>
      </w:r>
      <w:r w:rsidRPr="00B04BE8">
        <w:rPr>
          <w:kern w:val="22"/>
          <w:szCs w:val="22"/>
        </w:rPr>
        <w:t>as well as changes in trade patterns and consumer behaviour and habits,</w:t>
      </w:r>
    </w:p>
    <w:p w14:paraId="2987A080" w14:textId="77777777" w:rsidR="007523D5" w:rsidRPr="009A349A" w:rsidRDefault="007523D5" w:rsidP="007C5A47">
      <w:pPr>
        <w:pStyle w:val="ListParagraph"/>
        <w:spacing w:before="120" w:after="120"/>
        <w:ind w:left="0" w:firstLine="720"/>
        <w:contextualSpacing w:val="0"/>
        <w:rPr>
          <w:kern w:val="22"/>
          <w:szCs w:val="22"/>
        </w:rPr>
      </w:pPr>
      <w:r w:rsidRPr="00B04BE8">
        <w:rPr>
          <w:i/>
          <w:iCs/>
          <w:kern w:val="22"/>
          <w:szCs w:val="22"/>
        </w:rPr>
        <w:t>Recognizing</w:t>
      </w:r>
      <w:r w:rsidRPr="00B04BE8">
        <w:rPr>
          <w:kern w:val="22"/>
          <w:szCs w:val="22"/>
        </w:rPr>
        <w:t xml:space="preserve"> that anthropogenic changes in the environment</w:t>
      </w:r>
      <w:r w:rsidRPr="00B04BE8">
        <w:rPr>
          <w:kern w:val="22"/>
        </w:rPr>
        <w:t xml:space="preserve">, </w:t>
      </w:r>
      <w:r>
        <w:rPr>
          <w:kern w:val="22"/>
        </w:rPr>
        <w:t>including climate change, land- and sea-use change, overexploitation and pollution</w:t>
      </w:r>
      <w:r w:rsidRPr="00B04BE8">
        <w:rPr>
          <w:kern w:val="22"/>
        </w:rPr>
        <w:t>,</w:t>
      </w:r>
      <w:r w:rsidRPr="00B04BE8">
        <w:rPr>
          <w:kern w:val="22"/>
          <w:szCs w:val="22"/>
        </w:rPr>
        <w:t xml:space="preserve"> add further complexity and increased risk of biological invasions and consequent threats to biodiversity,</w:t>
      </w:r>
    </w:p>
    <w:p w14:paraId="532512C2" w14:textId="77777777" w:rsidR="007523D5" w:rsidRPr="00B04BE8" w:rsidRDefault="007523D5" w:rsidP="007C5A47">
      <w:pPr>
        <w:pStyle w:val="ListParagraph"/>
        <w:spacing w:before="120" w:after="120"/>
        <w:ind w:left="0" w:firstLine="720"/>
        <w:contextualSpacing w:val="0"/>
        <w:rPr>
          <w:kern w:val="22"/>
          <w:szCs w:val="22"/>
        </w:rPr>
      </w:pPr>
      <w:r w:rsidRPr="00B04BE8">
        <w:rPr>
          <w:i/>
          <w:iCs/>
          <w:kern w:val="22"/>
          <w:szCs w:val="22"/>
        </w:rPr>
        <w:t xml:space="preserve">Emphasizing </w:t>
      </w:r>
      <w:r w:rsidRPr="00B04BE8">
        <w:rPr>
          <w:kern w:val="22"/>
          <w:szCs w:val="22"/>
        </w:rPr>
        <w:t>the need for increased collaboration among Parties, other Governments</w:t>
      </w:r>
      <w:r>
        <w:rPr>
          <w:kern w:val="22"/>
          <w:szCs w:val="22"/>
        </w:rPr>
        <w:t xml:space="preserve">, </w:t>
      </w:r>
      <w:r w:rsidRPr="00AF1C03">
        <w:rPr>
          <w:kern w:val="22"/>
          <w:szCs w:val="22"/>
        </w:rPr>
        <w:t>subnational governments</w:t>
      </w:r>
      <w:r>
        <w:rPr>
          <w:kern w:val="22"/>
          <w:szCs w:val="22"/>
        </w:rPr>
        <w:t>,</w:t>
      </w:r>
      <w:r w:rsidRPr="00AF1C03">
        <w:rPr>
          <w:kern w:val="22"/>
          <w:szCs w:val="22"/>
        </w:rPr>
        <w:t xml:space="preserve"> where appropriate</w:t>
      </w:r>
      <w:r w:rsidRPr="00B04BE8">
        <w:rPr>
          <w:kern w:val="22"/>
          <w:szCs w:val="22"/>
        </w:rPr>
        <w:t xml:space="preserve">, </w:t>
      </w:r>
      <w:r>
        <w:rPr>
          <w:kern w:val="22"/>
          <w:szCs w:val="22"/>
        </w:rPr>
        <w:t xml:space="preserve">indigenous peoples and local communities, </w:t>
      </w:r>
      <w:r w:rsidRPr="00B04BE8">
        <w:rPr>
          <w:kern w:val="22"/>
          <w:szCs w:val="22"/>
        </w:rPr>
        <w:t>relevant organizations and all relevant sectors, including business,</w:t>
      </w:r>
    </w:p>
    <w:p w14:paraId="504D8886" w14:textId="77777777" w:rsidR="007523D5" w:rsidRPr="00B04BE8" w:rsidRDefault="007523D5" w:rsidP="007C5A47">
      <w:pPr>
        <w:pStyle w:val="ListParagraph"/>
        <w:spacing w:before="120" w:after="120"/>
        <w:ind w:left="0" w:firstLine="720"/>
        <w:contextualSpacing w:val="0"/>
        <w:rPr>
          <w:kern w:val="22"/>
          <w:szCs w:val="22"/>
        </w:rPr>
      </w:pPr>
      <w:r w:rsidRPr="00B04BE8">
        <w:rPr>
          <w:i/>
          <w:iCs/>
          <w:kern w:val="22"/>
          <w:szCs w:val="22"/>
        </w:rPr>
        <w:t xml:space="preserve">Recalling </w:t>
      </w:r>
      <w:r w:rsidRPr="00B04BE8">
        <w:rPr>
          <w:kern w:val="22"/>
          <w:szCs w:val="22"/>
        </w:rPr>
        <w:t xml:space="preserve">decisions XII/16, XIII/13 and 14/11, and </w:t>
      </w:r>
      <w:r w:rsidRPr="008646AA">
        <w:rPr>
          <w:kern w:val="22"/>
          <w:szCs w:val="22"/>
        </w:rPr>
        <w:t>recognizing</w:t>
      </w:r>
      <w:r w:rsidRPr="00B04BE8">
        <w:rPr>
          <w:kern w:val="22"/>
          <w:szCs w:val="22"/>
        </w:rPr>
        <w:t xml:space="preserve"> that </w:t>
      </w:r>
      <w:r>
        <w:rPr>
          <w:kern w:val="22"/>
          <w:szCs w:val="22"/>
        </w:rPr>
        <w:t xml:space="preserve">voluntary </w:t>
      </w:r>
      <w:r w:rsidRPr="00B04BE8">
        <w:rPr>
          <w:kern w:val="22"/>
          <w:szCs w:val="22"/>
        </w:rPr>
        <w:t xml:space="preserve">guidance in relation to invasive alien species and trade in live organisms may also </w:t>
      </w:r>
      <w:r w:rsidRPr="00DC33D5">
        <w:rPr>
          <w:kern w:val="22"/>
          <w:szCs w:val="22"/>
        </w:rPr>
        <w:t>apply to e-commerce,</w:t>
      </w:r>
    </w:p>
    <w:p w14:paraId="497B53AC" w14:textId="77777777" w:rsidR="007523D5" w:rsidRPr="001D14FB" w:rsidRDefault="007523D5" w:rsidP="007C5A47">
      <w:pPr>
        <w:pBdr>
          <w:top w:val="nil"/>
          <w:left w:val="nil"/>
          <w:bottom w:val="nil"/>
          <w:right w:val="nil"/>
          <w:between w:val="nil"/>
          <w:bar w:val="nil"/>
        </w:pBdr>
        <w:spacing w:before="120" w:after="120"/>
        <w:ind w:firstLine="720"/>
        <w:rPr>
          <w:kern w:val="22"/>
        </w:rPr>
      </w:pPr>
      <w:r w:rsidRPr="00B04BE8">
        <w:rPr>
          <w:kern w:val="22"/>
          <w:szCs w:val="22"/>
        </w:rPr>
        <w:t>1.</w:t>
      </w:r>
      <w:r w:rsidRPr="00B04BE8">
        <w:rPr>
          <w:kern w:val="22"/>
          <w:szCs w:val="22"/>
        </w:rPr>
        <w:tab/>
      </w:r>
      <w:r w:rsidRPr="00B04BE8">
        <w:rPr>
          <w:i/>
          <w:iCs/>
          <w:kern w:val="22"/>
          <w:szCs w:val="22"/>
        </w:rPr>
        <w:t xml:space="preserve">Takes note </w:t>
      </w:r>
      <w:r w:rsidRPr="001D14FB">
        <w:rPr>
          <w:kern w:val="22"/>
          <w:szCs w:val="22"/>
        </w:rPr>
        <w:t xml:space="preserve">of </w:t>
      </w:r>
      <w:r w:rsidRPr="00B04BE8">
        <w:rPr>
          <w:kern w:val="22"/>
          <w:szCs w:val="22"/>
        </w:rPr>
        <w:t>the outcomes of the Online Forum on Invasive Alien Species</w:t>
      </w:r>
      <w:r w:rsidRPr="00610646">
        <w:rPr>
          <w:rStyle w:val="FootnoteReference"/>
        </w:rPr>
        <w:footnoteReference w:id="342"/>
      </w:r>
      <w:r w:rsidRPr="00B04BE8">
        <w:rPr>
          <w:kern w:val="22"/>
          <w:szCs w:val="22"/>
        </w:rPr>
        <w:t xml:space="preserve"> and </w:t>
      </w:r>
      <w:r>
        <w:rPr>
          <w:kern w:val="22"/>
          <w:szCs w:val="22"/>
        </w:rPr>
        <w:t xml:space="preserve">of </w:t>
      </w:r>
      <w:r w:rsidRPr="00B04BE8">
        <w:rPr>
          <w:kern w:val="22"/>
          <w:szCs w:val="22"/>
        </w:rPr>
        <w:t>the meeting of the Ad Hoc Technical Expert Group on Invasive Alien Species including:</w:t>
      </w:r>
      <w:r w:rsidRPr="00610646">
        <w:rPr>
          <w:rStyle w:val="FootnoteReference"/>
        </w:rPr>
        <w:footnoteReference w:id="343"/>
      </w:r>
    </w:p>
    <w:p w14:paraId="1B45C2E8" w14:textId="77777777" w:rsidR="007523D5" w:rsidRPr="00B04BE8" w:rsidRDefault="007523D5" w:rsidP="007C5A47">
      <w:pPr>
        <w:pBdr>
          <w:top w:val="nil"/>
          <w:left w:val="nil"/>
          <w:bottom w:val="nil"/>
          <w:right w:val="nil"/>
          <w:between w:val="nil"/>
          <w:bar w:val="nil"/>
        </w:pBdr>
        <w:spacing w:before="120" w:after="120"/>
        <w:ind w:firstLine="720"/>
        <w:rPr>
          <w:kern w:val="22"/>
          <w:szCs w:val="22"/>
        </w:rPr>
      </w:pPr>
      <w:r w:rsidRPr="00B04BE8">
        <w:rPr>
          <w:kern w:val="22"/>
          <w:szCs w:val="22"/>
        </w:rPr>
        <w:t>(a)</w:t>
      </w:r>
      <w:r w:rsidRPr="00B04BE8">
        <w:rPr>
          <w:kern w:val="22"/>
          <w:szCs w:val="22"/>
        </w:rPr>
        <w:tab/>
        <w:t xml:space="preserve">Methods for cost-benefit and cost-effectiveness analysis which best apply to the management of invasive alien </w:t>
      </w:r>
      <w:r w:rsidRPr="00CB5F28">
        <w:rPr>
          <w:kern w:val="22"/>
          <w:szCs w:val="22"/>
        </w:rPr>
        <w:t>species,</w:t>
      </w:r>
      <w:r>
        <w:rPr>
          <w:kern w:val="22"/>
          <w:szCs w:val="22"/>
        </w:rPr>
        <w:t xml:space="preserve"> and risk analysis </w:t>
      </w:r>
      <w:r w:rsidRPr="008E1BD7">
        <w:rPr>
          <w:kern w:val="22"/>
          <w:szCs w:val="22"/>
        </w:rPr>
        <w:t>on</w:t>
      </w:r>
      <w:r>
        <w:rPr>
          <w:kern w:val="22"/>
          <w:szCs w:val="22"/>
        </w:rPr>
        <w:t xml:space="preserve"> the potential consequences of the introduction of invasive alien species on social, economic and cultural values; </w:t>
      </w:r>
    </w:p>
    <w:p w14:paraId="5E52F474" w14:textId="77777777" w:rsidR="007523D5" w:rsidRPr="00B04BE8" w:rsidRDefault="007523D5" w:rsidP="007C5A47">
      <w:pPr>
        <w:pBdr>
          <w:top w:val="nil"/>
          <w:left w:val="nil"/>
          <w:bottom w:val="nil"/>
          <w:right w:val="nil"/>
          <w:between w:val="nil"/>
          <w:bar w:val="nil"/>
        </w:pBdr>
        <w:spacing w:before="120" w:after="120"/>
        <w:ind w:firstLine="720"/>
        <w:rPr>
          <w:kern w:val="22"/>
          <w:szCs w:val="22"/>
        </w:rPr>
      </w:pPr>
      <w:r w:rsidRPr="00B04BE8">
        <w:rPr>
          <w:kern w:val="22"/>
          <w:szCs w:val="22"/>
        </w:rPr>
        <w:t>(b)</w:t>
      </w:r>
      <w:r w:rsidRPr="00B04BE8">
        <w:rPr>
          <w:kern w:val="22"/>
          <w:szCs w:val="22"/>
        </w:rPr>
        <w:tab/>
        <w:t>Methods, tools and measures for the identification and minimization of additional risks associated with cross-border e-commerce in live organisms and the impacts thereof;</w:t>
      </w:r>
    </w:p>
    <w:p w14:paraId="2F78EC7E" w14:textId="77777777" w:rsidR="007523D5" w:rsidRPr="00B04BE8" w:rsidRDefault="007523D5" w:rsidP="007C5A47">
      <w:pPr>
        <w:pBdr>
          <w:top w:val="nil"/>
          <w:left w:val="nil"/>
          <w:bottom w:val="nil"/>
          <w:right w:val="nil"/>
          <w:between w:val="nil"/>
          <w:bar w:val="nil"/>
        </w:pBdr>
        <w:spacing w:before="120" w:after="120"/>
        <w:ind w:firstLine="720"/>
        <w:rPr>
          <w:kern w:val="22"/>
          <w:szCs w:val="22"/>
        </w:rPr>
      </w:pPr>
      <w:r w:rsidRPr="00B04BE8">
        <w:rPr>
          <w:kern w:val="22"/>
          <w:szCs w:val="22"/>
        </w:rPr>
        <w:t>(c)</w:t>
      </w:r>
      <w:r w:rsidRPr="00B04BE8">
        <w:rPr>
          <w:kern w:val="22"/>
          <w:szCs w:val="22"/>
        </w:rPr>
        <w:tab/>
        <w:t>Methods, tools and strategies for the management of invasive alien species as it relates to prevention of potential risks arising from climate change and associated natural disasters and land-use changes;</w:t>
      </w:r>
    </w:p>
    <w:p w14:paraId="4D157C42" w14:textId="77777777" w:rsidR="007523D5" w:rsidRPr="00B04BE8" w:rsidRDefault="007523D5" w:rsidP="007C5A47">
      <w:pPr>
        <w:pBdr>
          <w:top w:val="nil"/>
          <w:left w:val="nil"/>
          <w:bottom w:val="nil"/>
          <w:right w:val="nil"/>
          <w:between w:val="nil"/>
          <w:bar w:val="nil"/>
        </w:pBdr>
        <w:spacing w:before="120" w:after="120"/>
        <w:ind w:firstLine="720"/>
        <w:rPr>
          <w:kern w:val="22"/>
          <w:szCs w:val="22"/>
        </w:rPr>
      </w:pPr>
      <w:r w:rsidRPr="00B04BE8">
        <w:rPr>
          <w:kern w:val="22"/>
          <w:szCs w:val="22"/>
        </w:rPr>
        <w:t>(d)</w:t>
      </w:r>
      <w:r w:rsidRPr="00B04BE8">
        <w:rPr>
          <w:kern w:val="22"/>
          <w:szCs w:val="22"/>
        </w:rPr>
        <w:tab/>
        <w:t>Use of existing databases on invasive alien species and their impacts, to support risk communication;</w:t>
      </w:r>
    </w:p>
    <w:p w14:paraId="4C4CCBB0" w14:textId="77777777" w:rsidR="007523D5" w:rsidRPr="007C099E" w:rsidRDefault="007523D5" w:rsidP="007C5A47">
      <w:pPr>
        <w:pBdr>
          <w:top w:val="nil"/>
          <w:left w:val="nil"/>
          <w:bottom w:val="nil"/>
          <w:right w:val="nil"/>
          <w:between w:val="nil"/>
          <w:bar w:val="nil"/>
        </w:pBdr>
        <w:spacing w:before="120" w:after="120"/>
        <w:ind w:firstLine="720"/>
        <w:rPr>
          <w:kern w:val="22"/>
          <w:szCs w:val="22"/>
        </w:rPr>
      </w:pPr>
      <w:r w:rsidRPr="007C099E">
        <w:rPr>
          <w:kern w:val="22"/>
          <w:szCs w:val="22"/>
        </w:rPr>
        <w:t>(e)</w:t>
      </w:r>
      <w:r w:rsidRPr="007C099E">
        <w:rPr>
          <w:kern w:val="22"/>
          <w:szCs w:val="22"/>
        </w:rPr>
        <w:tab/>
        <w:t>Additional advice and guidance on invasive alien species management.</w:t>
      </w:r>
    </w:p>
    <w:p w14:paraId="392F055D" w14:textId="77777777" w:rsidR="007523D5" w:rsidRPr="007C099E" w:rsidRDefault="007523D5" w:rsidP="007C5A47">
      <w:pPr>
        <w:pBdr>
          <w:top w:val="nil"/>
          <w:left w:val="nil"/>
          <w:bottom w:val="nil"/>
          <w:right w:val="nil"/>
          <w:between w:val="nil"/>
          <w:bar w:val="nil"/>
        </w:pBdr>
        <w:spacing w:before="120" w:after="120"/>
        <w:ind w:firstLine="720"/>
        <w:rPr>
          <w:kern w:val="22"/>
          <w:szCs w:val="22"/>
        </w:rPr>
      </w:pPr>
      <w:r w:rsidRPr="007C099E">
        <w:rPr>
          <w:kern w:val="22"/>
          <w:szCs w:val="22"/>
        </w:rPr>
        <w:t>2.</w:t>
      </w:r>
      <w:r w:rsidRPr="007C099E">
        <w:rPr>
          <w:kern w:val="22"/>
          <w:szCs w:val="22"/>
        </w:rPr>
        <w:tab/>
      </w:r>
      <w:r w:rsidRPr="007C099E">
        <w:rPr>
          <w:i/>
          <w:iCs/>
          <w:kern w:val="22"/>
          <w:szCs w:val="22"/>
        </w:rPr>
        <w:t xml:space="preserve">Requests </w:t>
      </w:r>
      <w:r w:rsidRPr="007C099E">
        <w:rPr>
          <w:kern w:val="22"/>
          <w:szCs w:val="22"/>
        </w:rPr>
        <w:t>the Executive Secretary to organize a peer-review process to solicit advice, pursuant to decision 14/11, on annexes I to VI to the present decision, taking into account the earlier decisions of the Conference of the Parties and those of existing international instruments, and regional differences, to convene a moderated open-ended online forum on the results of the peer-review process and to make the outcomes available for consideration by the Subsidiary Body on Scientific, Technical and Technological Advice, with a view to making recommendations to the Conference of the Parties at its sixteenth meeting;</w:t>
      </w:r>
    </w:p>
    <w:p w14:paraId="5BEDA63D" w14:textId="77777777" w:rsidR="007523D5" w:rsidRPr="007C099E" w:rsidRDefault="007523D5" w:rsidP="00B73A87">
      <w:pPr>
        <w:pBdr>
          <w:top w:val="nil"/>
          <w:left w:val="nil"/>
          <w:bottom w:val="nil"/>
          <w:right w:val="nil"/>
          <w:between w:val="nil"/>
          <w:bar w:val="nil"/>
        </w:pBdr>
        <w:spacing w:before="120" w:after="120"/>
        <w:ind w:firstLine="720"/>
        <w:rPr>
          <w:kern w:val="22"/>
          <w:szCs w:val="22"/>
        </w:rPr>
      </w:pPr>
      <w:r w:rsidRPr="007C099E">
        <w:rPr>
          <w:kern w:val="22"/>
          <w:szCs w:val="22"/>
        </w:rPr>
        <w:t>3.</w:t>
      </w:r>
      <w:r w:rsidRPr="007C099E">
        <w:rPr>
          <w:kern w:val="22"/>
          <w:szCs w:val="22"/>
        </w:rPr>
        <w:tab/>
      </w:r>
      <w:r w:rsidRPr="007C099E">
        <w:rPr>
          <w:i/>
          <w:iCs/>
          <w:kern w:val="22"/>
          <w:szCs w:val="22"/>
        </w:rPr>
        <w:t>Invites</w:t>
      </w:r>
      <w:r w:rsidRPr="007C099E">
        <w:rPr>
          <w:kern w:val="22"/>
          <w:szCs w:val="22"/>
        </w:rPr>
        <w:t xml:space="preserve"> Parties, other Governments and relevant organizations to enhance the inclusion of diverse social and cultural values of biodiversity across communities at the national </w:t>
      </w:r>
      <w:r w:rsidRPr="007C099E">
        <w:rPr>
          <w:kern w:val="22"/>
        </w:rPr>
        <w:t>and/or subnational</w:t>
      </w:r>
      <w:r w:rsidRPr="007C099E">
        <w:rPr>
          <w:kern w:val="22"/>
          <w:szCs w:val="22"/>
        </w:rPr>
        <w:t xml:space="preserve"> levels, including those of indigenous peoples and local communities, women, youth and the elderly, noting the methodological assessment o</w:t>
      </w:r>
      <w:r w:rsidRPr="00D9073D">
        <w:rPr>
          <w:kern w:val="22"/>
          <w:szCs w:val="22"/>
        </w:rPr>
        <w:t>n</w:t>
      </w:r>
      <w:r w:rsidRPr="007C099E">
        <w:rPr>
          <w:kern w:val="22"/>
          <w:szCs w:val="22"/>
        </w:rPr>
        <w:t xml:space="preserve"> the diverse values and valuation of nature prepared by the Intergovernmental Science-Policy Platform on Biodiversity and Ecosystem Services,</w:t>
      </w:r>
      <w:r w:rsidRPr="00610646">
        <w:rPr>
          <w:rStyle w:val="FootnoteReference"/>
        </w:rPr>
        <w:footnoteReference w:id="344"/>
      </w:r>
      <w:r w:rsidRPr="007C099E">
        <w:rPr>
          <w:kern w:val="22"/>
          <w:szCs w:val="22"/>
        </w:rPr>
        <w:t xml:space="preserve"> and in accordance with the rights and obligations derived from relevant multilateral agreements, when assessing the costs, benefits and prioritization of management of invasive alien species, and to build on existing processes, and international and national best practices for engagement of relevant actors, in order to feed effectively into decision-making processes based on scientific evidence, traditional knowledge and risk assessments;</w:t>
      </w:r>
    </w:p>
    <w:p w14:paraId="470F49C0" w14:textId="77777777" w:rsidR="007523D5" w:rsidRPr="001D14FB" w:rsidRDefault="007523D5" w:rsidP="007C5A47">
      <w:pPr>
        <w:pBdr>
          <w:top w:val="nil"/>
          <w:left w:val="nil"/>
          <w:bottom w:val="nil"/>
          <w:right w:val="nil"/>
          <w:between w:val="nil"/>
          <w:bar w:val="nil"/>
        </w:pBdr>
        <w:spacing w:before="120" w:after="120"/>
        <w:ind w:firstLine="720"/>
        <w:rPr>
          <w:i/>
          <w:kern w:val="22"/>
        </w:rPr>
      </w:pPr>
      <w:r w:rsidRPr="007C099E">
        <w:rPr>
          <w:kern w:val="22"/>
          <w:szCs w:val="22"/>
        </w:rPr>
        <w:t>4.</w:t>
      </w:r>
      <w:r w:rsidRPr="007C099E">
        <w:rPr>
          <w:kern w:val="22"/>
          <w:szCs w:val="22"/>
        </w:rPr>
        <w:tab/>
      </w:r>
      <w:r w:rsidRPr="007C099E">
        <w:rPr>
          <w:i/>
          <w:iCs/>
          <w:kern w:val="22"/>
          <w:szCs w:val="22"/>
        </w:rPr>
        <w:t xml:space="preserve">Welcomes </w:t>
      </w:r>
      <w:r w:rsidRPr="007C099E">
        <w:rPr>
          <w:kern w:val="22"/>
          <w:szCs w:val="22"/>
        </w:rPr>
        <w:t>the inclusion of invasive alien species by the World Customs Organization in the Technical Specifications under its Framework of Standards on Cross-border E</w:t>
      </w:r>
      <w:r w:rsidRPr="007C099E">
        <w:rPr>
          <w:kern w:val="22"/>
          <w:szCs w:val="22"/>
        </w:rPr>
        <w:noBreakHyphen/>
        <w:t>Commerce;</w:t>
      </w:r>
    </w:p>
    <w:p w14:paraId="308D318E" w14:textId="77777777" w:rsidR="007523D5" w:rsidRPr="00B04BE8" w:rsidRDefault="007523D5" w:rsidP="004F4DDA">
      <w:pPr>
        <w:pBdr>
          <w:top w:val="nil"/>
          <w:left w:val="nil"/>
          <w:bottom w:val="nil"/>
          <w:right w:val="nil"/>
          <w:between w:val="nil"/>
          <w:bar w:val="nil"/>
        </w:pBdr>
        <w:spacing w:before="120" w:after="120"/>
        <w:ind w:firstLine="720"/>
        <w:rPr>
          <w:kern w:val="22"/>
          <w:szCs w:val="22"/>
        </w:rPr>
      </w:pPr>
      <w:r w:rsidRPr="00B04BE8">
        <w:rPr>
          <w:kern w:val="22"/>
          <w:szCs w:val="22"/>
        </w:rPr>
        <w:t>5.</w:t>
      </w:r>
      <w:r w:rsidRPr="00B04BE8">
        <w:rPr>
          <w:kern w:val="22"/>
          <w:szCs w:val="22"/>
        </w:rPr>
        <w:tab/>
      </w:r>
      <w:r w:rsidRPr="00B04BE8">
        <w:rPr>
          <w:i/>
          <w:iCs/>
          <w:kern w:val="22"/>
          <w:szCs w:val="22"/>
        </w:rPr>
        <w:t xml:space="preserve">Encourages </w:t>
      </w:r>
      <w:r w:rsidRPr="00B04BE8">
        <w:rPr>
          <w:kern w:val="22"/>
          <w:szCs w:val="22"/>
        </w:rPr>
        <w:t xml:space="preserve">Parties and </w:t>
      </w:r>
      <w:r w:rsidRPr="008646AA">
        <w:rPr>
          <w:kern w:val="22"/>
          <w:szCs w:val="22"/>
        </w:rPr>
        <w:t>invites</w:t>
      </w:r>
      <w:r w:rsidRPr="00B04BE8">
        <w:rPr>
          <w:i/>
          <w:iCs/>
          <w:kern w:val="22"/>
          <w:szCs w:val="22"/>
        </w:rPr>
        <w:t xml:space="preserve"> </w:t>
      </w:r>
      <w:r w:rsidRPr="00B04BE8">
        <w:rPr>
          <w:kern w:val="22"/>
          <w:szCs w:val="22"/>
        </w:rPr>
        <w:t xml:space="preserve">other Governments and relevant organizations to develop national, regional or international open access portals or other websites directed to the general public, </w:t>
      </w:r>
      <w:r w:rsidRPr="00231EF4">
        <w:rPr>
          <w:kern w:val="22"/>
          <w:szCs w:val="22"/>
        </w:rPr>
        <w:t>to raise cooperation, awareness and understanding of the threats of invasive alien species to biodiversity and ecosystems, and offering practical help for identification and management of invasive alien species, as well as to enlist</w:t>
      </w:r>
      <w:r w:rsidRPr="00B04BE8">
        <w:rPr>
          <w:kern w:val="22"/>
          <w:szCs w:val="22"/>
        </w:rPr>
        <w:t xml:space="preserve"> the help of the public in reporting occurrences</w:t>
      </w:r>
      <w:r>
        <w:rPr>
          <w:kern w:val="22"/>
          <w:szCs w:val="22"/>
        </w:rPr>
        <w:t>,</w:t>
      </w:r>
      <w:r w:rsidRPr="00B04BE8">
        <w:rPr>
          <w:kern w:val="22"/>
          <w:szCs w:val="22"/>
        </w:rPr>
        <w:t xml:space="preserve"> and in controlling</w:t>
      </w:r>
      <w:r>
        <w:rPr>
          <w:kern w:val="22"/>
          <w:szCs w:val="22"/>
        </w:rPr>
        <w:t xml:space="preserve"> and managing </w:t>
      </w:r>
      <w:r w:rsidRPr="00B04BE8">
        <w:rPr>
          <w:kern w:val="22"/>
          <w:szCs w:val="22"/>
        </w:rPr>
        <w:t>invasive alien species;</w:t>
      </w:r>
      <w:r>
        <w:rPr>
          <w:kern w:val="22"/>
          <w:szCs w:val="22"/>
        </w:rPr>
        <w:t xml:space="preserve"> </w:t>
      </w:r>
    </w:p>
    <w:p w14:paraId="33B2D028" w14:textId="77777777" w:rsidR="007523D5" w:rsidRPr="0004363E" w:rsidRDefault="007523D5" w:rsidP="007C5A47">
      <w:pPr>
        <w:pBdr>
          <w:top w:val="nil"/>
          <w:left w:val="nil"/>
          <w:bottom w:val="nil"/>
          <w:right w:val="nil"/>
          <w:between w:val="nil"/>
          <w:bar w:val="nil"/>
        </w:pBdr>
        <w:spacing w:before="120" w:after="120"/>
        <w:ind w:firstLine="720"/>
        <w:rPr>
          <w:kern w:val="22"/>
          <w:szCs w:val="22"/>
        </w:rPr>
      </w:pPr>
      <w:r>
        <w:rPr>
          <w:kern w:val="22"/>
          <w:szCs w:val="22"/>
        </w:rPr>
        <w:t>6</w:t>
      </w:r>
      <w:r w:rsidRPr="00B04BE8">
        <w:rPr>
          <w:kern w:val="22"/>
          <w:szCs w:val="22"/>
        </w:rPr>
        <w:t>.</w:t>
      </w:r>
      <w:r w:rsidRPr="00B04BE8">
        <w:rPr>
          <w:kern w:val="22"/>
          <w:szCs w:val="22"/>
        </w:rPr>
        <w:tab/>
      </w:r>
      <w:r w:rsidRPr="00B04BE8">
        <w:rPr>
          <w:i/>
          <w:iCs/>
          <w:kern w:val="22"/>
          <w:szCs w:val="22"/>
        </w:rPr>
        <w:t>Urges</w:t>
      </w:r>
      <w:r>
        <w:rPr>
          <w:i/>
          <w:iCs/>
          <w:kern w:val="22"/>
          <w:szCs w:val="22"/>
        </w:rPr>
        <w:t xml:space="preserve"> </w:t>
      </w:r>
      <w:r w:rsidRPr="00B04BE8">
        <w:rPr>
          <w:kern w:val="22"/>
          <w:szCs w:val="22"/>
        </w:rPr>
        <w:t xml:space="preserve">Parties and </w:t>
      </w:r>
      <w:r w:rsidRPr="00D9073D">
        <w:rPr>
          <w:kern w:val="22"/>
          <w:szCs w:val="22"/>
        </w:rPr>
        <w:t>invites</w:t>
      </w:r>
      <w:r>
        <w:rPr>
          <w:kern w:val="22"/>
          <w:szCs w:val="22"/>
        </w:rPr>
        <w:t xml:space="preserve"> </w:t>
      </w:r>
      <w:r w:rsidRPr="00B04BE8">
        <w:rPr>
          <w:kern w:val="22"/>
          <w:szCs w:val="22"/>
        </w:rPr>
        <w:t xml:space="preserve">other Governments to </w:t>
      </w:r>
      <w:r>
        <w:rPr>
          <w:kern w:val="22"/>
          <w:szCs w:val="22"/>
        </w:rPr>
        <w:t xml:space="preserve">foster </w:t>
      </w:r>
      <w:r w:rsidRPr="00B04BE8">
        <w:rPr>
          <w:kern w:val="22"/>
          <w:szCs w:val="22"/>
        </w:rPr>
        <w:t>monitor</w:t>
      </w:r>
      <w:r>
        <w:rPr>
          <w:kern w:val="22"/>
          <w:szCs w:val="22"/>
        </w:rPr>
        <w:t>ing of</w:t>
      </w:r>
      <w:r>
        <w:rPr>
          <w:i/>
          <w:iCs/>
          <w:kern w:val="22"/>
          <w:szCs w:val="22"/>
        </w:rPr>
        <w:t xml:space="preserve"> </w:t>
      </w:r>
      <w:r w:rsidRPr="00B04BE8">
        <w:rPr>
          <w:kern w:val="22"/>
          <w:szCs w:val="22"/>
        </w:rPr>
        <w:t>the effects of large-scale</w:t>
      </w:r>
      <w:r>
        <w:rPr>
          <w:kern w:val="22"/>
          <w:szCs w:val="22"/>
        </w:rPr>
        <w:t xml:space="preserve"> changes of pathways and</w:t>
      </w:r>
      <w:r w:rsidRPr="00B04BE8">
        <w:rPr>
          <w:kern w:val="22"/>
          <w:szCs w:val="22"/>
        </w:rPr>
        <w:t xml:space="preserve"> releases of alien translocated or captively raised populations of, for example, fish, trees and game</w:t>
      </w:r>
      <w:r>
        <w:rPr>
          <w:kern w:val="22"/>
          <w:szCs w:val="22"/>
        </w:rPr>
        <w:t xml:space="preserve"> </w:t>
      </w:r>
      <w:r w:rsidRPr="00B04BE8">
        <w:rPr>
          <w:kern w:val="22"/>
          <w:szCs w:val="22"/>
        </w:rPr>
        <w:t xml:space="preserve">species, on the genetic diversity </w:t>
      </w:r>
      <w:r w:rsidRPr="0004363E">
        <w:rPr>
          <w:kern w:val="22"/>
          <w:szCs w:val="22"/>
        </w:rPr>
        <w:t>of local native populations and their long-term ability to adapt to a changing environment, to take adequate actions to address any detrimental effects on native populations, and to share knowledge and best practices with other Parties, as appropriate;</w:t>
      </w:r>
    </w:p>
    <w:p w14:paraId="6DE85184" w14:textId="77777777" w:rsidR="007523D5" w:rsidRPr="0004363E" w:rsidRDefault="007523D5" w:rsidP="007C5A47">
      <w:pPr>
        <w:pBdr>
          <w:top w:val="nil"/>
          <w:left w:val="nil"/>
          <w:bottom w:val="nil"/>
          <w:right w:val="nil"/>
          <w:between w:val="nil"/>
          <w:bar w:val="nil"/>
        </w:pBdr>
        <w:spacing w:before="120" w:after="120"/>
        <w:ind w:firstLine="720"/>
        <w:rPr>
          <w:kern w:val="22"/>
          <w:szCs w:val="22"/>
        </w:rPr>
      </w:pPr>
      <w:r w:rsidRPr="0004363E">
        <w:rPr>
          <w:kern w:val="22"/>
          <w:szCs w:val="22"/>
        </w:rPr>
        <w:t>7.</w:t>
      </w:r>
      <w:r w:rsidRPr="0004363E">
        <w:rPr>
          <w:kern w:val="22"/>
          <w:szCs w:val="22"/>
        </w:rPr>
        <w:tab/>
      </w:r>
      <w:r w:rsidRPr="0004363E">
        <w:rPr>
          <w:i/>
          <w:iCs/>
          <w:kern w:val="22"/>
          <w:szCs w:val="22"/>
        </w:rPr>
        <w:t>Invites</w:t>
      </w:r>
      <w:r w:rsidRPr="0004363E">
        <w:rPr>
          <w:kern w:val="22"/>
          <w:szCs w:val="22"/>
        </w:rPr>
        <w:t xml:space="preserve"> the Secretariat of the United Nations Economic and Social Council, the World Customs Organization, the International Plant Protection Convention, the World Organisation for Animal Health, the World Health Organization, the Food and Agriculture Organization of the United Nations and its Codex Alimentarius, the Secretariat of the Convention on International Trade in Endangered Species of Wild Fauna and Flora, and the Invasive Species Specialist Group of the International Union for Conservation of Nature, within the scope of their respective mandates, to support the national implementation of the Kunming-Montreal Global Biodiversity Framework with regard to targets and actions related to invasive alien species, including their monitoring and reporting;</w:t>
      </w:r>
    </w:p>
    <w:p w14:paraId="048C1DA2" w14:textId="77777777" w:rsidR="007523D5" w:rsidRDefault="007523D5" w:rsidP="004F4DDA">
      <w:pPr>
        <w:pBdr>
          <w:top w:val="nil"/>
          <w:left w:val="nil"/>
          <w:bottom w:val="nil"/>
          <w:right w:val="nil"/>
          <w:between w:val="nil"/>
          <w:bar w:val="nil"/>
        </w:pBdr>
        <w:spacing w:before="120" w:after="120"/>
        <w:ind w:firstLine="720"/>
        <w:rPr>
          <w:kern w:val="22"/>
          <w:szCs w:val="22"/>
        </w:rPr>
      </w:pPr>
      <w:r w:rsidRPr="0004363E">
        <w:rPr>
          <w:kern w:val="22"/>
          <w:szCs w:val="22"/>
        </w:rPr>
        <w:t>8.</w:t>
      </w:r>
      <w:r w:rsidRPr="0004363E">
        <w:rPr>
          <w:kern w:val="22"/>
          <w:szCs w:val="22"/>
        </w:rPr>
        <w:tab/>
      </w:r>
      <w:r w:rsidRPr="0004363E">
        <w:rPr>
          <w:i/>
          <w:iCs/>
          <w:kern w:val="22"/>
          <w:szCs w:val="22"/>
        </w:rPr>
        <w:t xml:space="preserve">Notes </w:t>
      </w:r>
      <w:r w:rsidRPr="0004363E">
        <w:rPr>
          <w:kern w:val="22"/>
          <w:szCs w:val="22"/>
        </w:rPr>
        <w:t>that the Economic and Social Council’s Sub-Committee o</w:t>
      </w:r>
      <w:r w:rsidRPr="00B04BE8">
        <w:rPr>
          <w:kern w:val="22"/>
          <w:szCs w:val="22"/>
        </w:rPr>
        <w:t xml:space="preserve">f Experts on the Transport of Dangerous Goods will consider including environmentally hazardous living organisms in chapter 2.9, class 9, of the United Nations </w:t>
      </w:r>
      <w:r w:rsidRPr="001D14FB">
        <w:rPr>
          <w:i/>
          <w:iCs/>
          <w:kern w:val="22"/>
          <w:szCs w:val="22"/>
        </w:rPr>
        <w:t>Recommendations on the Transport of Dangerous Goods - Model Regulations</w:t>
      </w:r>
      <w:r w:rsidRPr="00B04BE8">
        <w:rPr>
          <w:kern w:val="22"/>
          <w:szCs w:val="22"/>
        </w:rPr>
        <w:t>,</w:t>
      </w:r>
      <w:r w:rsidRPr="00610646">
        <w:rPr>
          <w:rStyle w:val="FootnoteReference"/>
        </w:rPr>
        <w:footnoteReference w:id="345"/>
      </w:r>
      <w:r w:rsidRPr="00B04BE8">
        <w:rPr>
          <w:kern w:val="22"/>
          <w:szCs w:val="22"/>
        </w:rPr>
        <w:t xml:space="preserve"> at its upcoming session, taking into account the risk of unintentional introduction of invasive alien species, including pathogens, in collaboration with the Inter-agency Liaison Group on Invasive Alien Species and other experts;</w:t>
      </w:r>
    </w:p>
    <w:p w14:paraId="0E5979E4" w14:textId="77777777" w:rsidR="007523D5" w:rsidRDefault="007523D5" w:rsidP="007C5A47">
      <w:pPr>
        <w:pBdr>
          <w:top w:val="nil"/>
          <w:left w:val="nil"/>
          <w:bottom w:val="nil"/>
          <w:right w:val="nil"/>
          <w:between w:val="nil"/>
          <w:bar w:val="nil"/>
        </w:pBdr>
        <w:spacing w:before="120" w:after="120"/>
        <w:ind w:firstLine="720"/>
        <w:rPr>
          <w:kern w:val="22"/>
          <w:szCs w:val="22"/>
        </w:rPr>
      </w:pPr>
      <w:r>
        <w:rPr>
          <w:kern w:val="22"/>
          <w:szCs w:val="22"/>
        </w:rPr>
        <w:t xml:space="preserve">9. </w:t>
      </w:r>
      <w:r>
        <w:rPr>
          <w:kern w:val="22"/>
          <w:szCs w:val="22"/>
        </w:rPr>
        <w:tab/>
      </w:r>
      <w:r w:rsidRPr="004F4DDA">
        <w:rPr>
          <w:i/>
          <w:iCs/>
          <w:kern w:val="22"/>
          <w:szCs w:val="22"/>
        </w:rPr>
        <w:t>Invites</w:t>
      </w:r>
      <w:r w:rsidRPr="00B04BE8">
        <w:rPr>
          <w:kern w:val="22"/>
          <w:szCs w:val="22"/>
        </w:rPr>
        <w:t xml:space="preserve"> Parties, other Governments and organizations to submit information to the Executive Secretary on experiences and relevant initiatives of horizon scanning, monitoring and managing emerging infectious diseases affecting biodiversity and, especially, the health of wild animals and plants, caused by alien pathogens or parasites and invasive alien species acting as vectors or hosts for pathogens or parasites;</w:t>
      </w:r>
    </w:p>
    <w:p w14:paraId="19A5CF7C" w14:textId="77777777" w:rsidR="007523D5" w:rsidRPr="00B04BE8" w:rsidRDefault="007523D5" w:rsidP="007C5A47">
      <w:pPr>
        <w:pBdr>
          <w:top w:val="nil"/>
          <w:left w:val="nil"/>
          <w:bottom w:val="nil"/>
          <w:right w:val="nil"/>
          <w:between w:val="nil"/>
          <w:bar w:val="nil"/>
        </w:pBdr>
        <w:spacing w:before="120" w:after="120"/>
        <w:ind w:firstLine="720"/>
        <w:rPr>
          <w:kern w:val="22"/>
          <w:szCs w:val="22"/>
        </w:rPr>
      </w:pPr>
      <w:r>
        <w:rPr>
          <w:kern w:val="22"/>
          <w:szCs w:val="22"/>
        </w:rPr>
        <w:t xml:space="preserve">10. </w:t>
      </w:r>
      <w:r>
        <w:rPr>
          <w:i/>
          <w:iCs/>
          <w:kern w:val="22"/>
          <w:szCs w:val="22"/>
        </w:rPr>
        <w:tab/>
        <w:t>Takes note with appreciation</w:t>
      </w:r>
      <w:r>
        <w:rPr>
          <w:kern w:val="22"/>
          <w:szCs w:val="22"/>
        </w:rPr>
        <w:t xml:space="preserve"> of the ongoing work of the </w:t>
      </w:r>
      <w:r w:rsidRPr="00B37C06">
        <w:rPr>
          <w:kern w:val="22"/>
          <w:szCs w:val="22"/>
        </w:rPr>
        <w:t>Intergovernmental Science-Policy Platform on Biodiversity and Ecosystem Services</w:t>
      </w:r>
      <w:r>
        <w:rPr>
          <w:kern w:val="22"/>
          <w:szCs w:val="22"/>
        </w:rPr>
        <w:t xml:space="preserve"> on the thematic assessment of invasive alien species and their control;</w:t>
      </w:r>
    </w:p>
    <w:p w14:paraId="09158F9B" w14:textId="77777777" w:rsidR="007523D5" w:rsidRPr="00B04BE8" w:rsidRDefault="007523D5" w:rsidP="007C5A47">
      <w:pPr>
        <w:pBdr>
          <w:top w:val="nil"/>
          <w:left w:val="nil"/>
          <w:bottom w:val="nil"/>
          <w:right w:val="nil"/>
          <w:between w:val="nil"/>
          <w:bar w:val="nil"/>
        </w:pBdr>
        <w:spacing w:before="120" w:after="120"/>
        <w:ind w:firstLine="720"/>
        <w:rPr>
          <w:kern w:val="22"/>
          <w:szCs w:val="22"/>
        </w:rPr>
      </w:pPr>
      <w:r w:rsidRPr="00B04BE8">
        <w:rPr>
          <w:kern w:val="22"/>
          <w:szCs w:val="22"/>
        </w:rPr>
        <w:t>1</w:t>
      </w:r>
      <w:r>
        <w:rPr>
          <w:kern w:val="22"/>
          <w:szCs w:val="22"/>
        </w:rPr>
        <w:t>1</w:t>
      </w:r>
      <w:r w:rsidRPr="00B04BE8">
        <w:rPr>
          <w:kern w:val="22"/>
          <w:szCs w:val="22"/>
        </w:rPr>
        <w:t>.</w:t>
      </w:r>
      <w:r w:rsidRPr="00B04BE8">
        <w:rPr>
          <w:kern w:val="22"/>
          <w:szCs w:val="22"/>
        </w:rPr>
        <w:tab/>
      </w:r>
      <w:r w:rsidRPr="00B04BE8">
        <w:rPr>
          <w:i/>
          <w:iCs/>
          <w:kern w:val="22"/>
          <w:szCs w:val="22"/>
        </w:rPr>
        <w:t>Invites</w:t>
      </w:r>
      <w:r w:rsidRPr="00B04BE8">
        <w:rPr>
          <w:kern w:val="22"/>
          <w:szCs w:val="22"/>
        </w:rPr>
        <w:t xml:space="preserve"> the Invasive Species Specialist Group of the International Union for Conservation of Nature</w:t>
      </w:r>
      <w:r w:rsidRPr="00B04BE8" w:rsidDel="006B5656">
        <w:rPr>
          <w:kern w:val="22"/>
          <w:szCs w:val="22"/>
        </w:rPr>
        <w:t xml:space="preserve"> </w:t>
      </w:r>
      <w:r w:rsidRPr="00B04BE8">
        <w:rPr>
          <w:kern w:val="22"/>
          <w:szCs w:val="22"/>
        </w:rPr>
        <w:t>to undertake assessments on the magnitude of the negative impacts from alien pathogens or parasites and invasive alien species that may transmit pathogens or parasites that may affect biodiversity and make the information available through the Global Invasive Species Database of the International Union for Conservation of Nature</w:t>
      </w:r>
      <w:r>
        <w:rPr>
          <w:kern w:val="22"/>
          <w:szCs w:val="22"/>
        </w:rPr>
        <w:t>, and other related databases</w:t>
      </w:r>
      <w:r w:rsidRPr="00B04BE8">
        <w:rPr>
          <w:kern w:val="22"/>
          <w:szCs w:val="22"/>
        </w:rPr>
        <w:t>;</w:t>
      </w:r>
    </w:p>
    <w:p w14:paraId="1B32F2B2" w14:textId="77777777" w:rsidR="007523D5" w:rsidRPr="003E0E07" w:rsidRDefault="007523D5" w:rsidP="007C5A47">
      <w:pPr>
        <w:pBdr>
          <w:top w:val="nil"/>
          <w:left w:val="nil"/>
          <w:bottom w:val="nil"/>
          <w:right w:val="nil"/>
          <w:between w:val="nil"/>
          <w:bar w:val="nil"/>
        </w:pBdr>
        <w:spacing w:before="120" w:after="120"/>
        <w:ind w:firstLine="720"/>
        <w:rPr>
          <w:kern w:val="22"/>
          <w:szCs w:val="22"/>
        </w:rPr>
      </w:pPr>
      <w:r w:rsidRPr="00B04BE8">
        <w:rPr>
          <w:kern w:val="22"/>
          <w:szCs w:val="22"/>
        </w:rPr>
        <w:t>1</w:t>
      </w:r>
      <w:r>
        <w:rPr>
          <w:kern w:val="22"/>
          <w:szCs w:val="22"/>
        </w:rPr>
        <w:t>2</w:t>
      </w:r>
      <w:r w:rsidRPr="00B04BE8">
        <w:rPr>
          <w:kern w:val="22"/>
          <w:szCs w:val="22"/>
        </w:rPr>
        <w:t>.</w:t>
      </w:r>
      <w:r w:rsidRPr="00B04BE8">
        <w:rPr>
          <w:kern w:val="22"/>
          <w:szCs w:val="22"/>
        </w:rPr>
        <w:tab/>
      </w:r>
      <w:r w:rsidRPr="00B04BE8">
        <w:rPr>
          <w:i/>
          <w:iCs/>
          <w:kern w:val="22"/>
          <w:szCs w:val="22"/>
        </w:rPr>
        <w:t xml:space="preserve">Requests </w:t>
      </w:r>
      <w:r w:rsidRPr="00B04BE8">
        <w:rPr>
          <w:kern w:val="22"/>
          <w:szCs w:val="22"/>
        </w:rPr>
        <w:t>the</w:t>
      </w:r>
      <w:r w:rsidRPr="00B04BE8">
        <w:rPr>
          <w:i/>
          <w:iCs/>
          <w:kern w:val="22"/>
          <w:szCs w:val="22"/>
        </w:rPr>
        <w:t xml:space="preserve"> </w:t>
      </w:r>
      <w:r w:rsidRPr="00B04BE8">
        <w:rPr>
          <w:kern w:val="22"/>
          <w:szCs w:val="22"/>
        </w:rPr>
        <w:t>Executive Secretary, subject to the availability of resources:</w:t>
      </w:r>
      <w:r w:rsidRPr="003E0E07" w:rsidDel="00FF40BD">
        <w:rPr>
          <w:kern w:val="22"/>
          <w:szCs w:val="22"/>
        </w:rPr>
        <w:t xml:space="preserve"> </w:t>
      </w:r>
    </w:p>
    <w:p w14:paraId="0C9551C9" w14:textId="77777777" w:rsidR="007523D5" w:rsidRPr="0004363E" w:rsidRDefault="007523D5" w:rsidP="007C5A47">
      <w:pPr>
        <w:pBdr>
          <w:top w:val="nil"/>
          <w:left w:val="nil"/>
          <w:bottom w:val="nil"/>
          <w:right w:val="nil"/>
          <w:between w:val="nil"/>
          <w:bar w:val="nil"/>
        </w:pBdr>
        <w:spacing w:before="120" w:after="120"/>
        <w:ind w:firstLine="720"/>
        <w:rPr>
          <w:kern w:val="22"/>
          <w:szCs w:val="22"/>
        </w:rPr>
      </w:pPr>
      <w:r w:rsidRPr="00B04BE8">
        <w:rPr>
          <w:kern w:val="22"/>
          <w:szCs w:val="22"/>
        </w:rPr>
        <w:t>(a)</w:t>
      </w:r>
      <w:r w:rsidRPr="00B04BE8">
        <w:rPr>
          <w:kern w:val="22"/>
          <w:szCs w:val="22"/>
        </w:rPr>
        <w:tab/>
      </w:r>
      <w:r w:rsidRPr="000B5578">
        <w:rPr>
          <w:kern w:val="22"/>
          <w:szCs w:val="22"/>
        </w:rPr>
        <w:t xml:space="preserve">To prepare </w:t>
      </w:r>
      <w:r w:rsidRPr="004F4DDA">
        <w:rPr>
          <w:kern w:val="22"/>
          <w:szCs w:val="22"/>
        </w:rPr>
        <w:t xml:space="preserve">a draft proposal to the Economic and Social </w:t>
      </w:r>
      <w:r w:rsidRPr="0004363E">
        <w:rPr>
          <w:kern w:val="22"/>
          <w:szCs w:val="22"/>
        </w:rPr>
        <w:t>Council’s Sub-Committee of Experts on the Transport of Dangerous Goods on a globally harmonized labelling system for consignments of environmentally hazardous living organisms or propagules, consistent and in harmony with the rules of the World Trade Organization and other international agreements and in consultation with the Inter-agency Liaison Group on Invasive Alien Species and the Secretariat of the Sub-Committee;</w:t>
      </w:r>
    </w:p>
    <w:p w14:paraId="576F4B8F" w14:textId="77777777" w:rsidR="007523D5" w:rsidRPr="0004363E" w:rsidRDefault="007523D5" w:rsidP="0007634C">
      <w:pPr>
        <w:pBdr>
          <w:top w:val="nil"/>
          <w:left w:val="nil"/>
          <w:bottom w:val="nil"/>
          <w:right w:val="nil"/>
          <w:between w:val="nil"/>
          <w:bar w:val="nil"/>
        </w:pBdr>
        <w:spacing w:before="120" w:after="120"/>
        <w:ind w:firstLine="720"/>
        <w:rPr>
          <w:kern w:val="22"/>
          <w:szCs w:val="22"/>
        </w:rPr>
      </w:pPr>
      <w:r w:rsidRPr="0004363E">
        <w:rPr>
          <w:kern w:val="22"/>
          <w:szCs w:val="22"/>
        </w:rPr>
        <w:t xml:space="preserve">(b) </w:t>
      </w:r>
      <w:r w:rsidRPr="0004363E">
        <w:rPr>
          <w:kern w:val="22"/>
          <w:szCs w:val="22"/>
        </w:rPr>
        <w:tab/>
        <w:t>To collaborate with the World Tourism Organization to consider joint efforts in addressing tourism, among the major sectors for introducing invasive alien species and the management thereof;</w:t>
      </w:r>
    </w:p>
    <w:p w14:paraId="63B287FC" w14:textId="77777777" w:rsidR="007523D5" w:rsidRPr="008A7453" w:rsidRDefault="007523D5" w:rsidP="007C5A47">
      <w:pPr>
        <w:pBdr>
          <w:top w:val="nil"/>
          <w:left w:val="nil"/>
          <w:bottom w:val="nil"/>
          <w:right w:val="nil"/>
          <w:between w:val="nil"/>
          <w:bar w:val="nil"/>
        </w:pBdr>
        <w:spacing w:before="120" w:after="120"/>
        <w:ind w:firstLine="720"/>
        <w:rPr>
          <w:kern w:val="22"/>
          <w:szCs w:val="22"/>
        </w:rPr>
      </w:pPr>
      <w:r w:rsidRPr="0004363E">
        <w:rPr>
          <w:kern w:val="22"/>
          <w:szCs w:val="22"/>
        </w:rPr>
        <w:t>(c)</w:t>
      </w:r>
      <w:r w:rsidRPr="0004363E">
        <w:rPr>
          <w:kern w:val="22"/>
          <w:szCs w:val="22"/>
        </w:rPr>
        <w:tab/>
        <w:t>To continue collaboration with the International Plant Pro</w:t>
      </w:r>
      <w:r w:rsidRPr="007E23D8">
        <w:rPr>
          <w:kern w:val="22"/>
          <w:szCs w:val="22"/>
        </w:rPr>
        <w:t xml:space="preserve">tection Convention, as well as other members of the Inter-agency Liaison Group on Invasive </w:t>
      </w:r>
      <w:r w:rsidRPr="003C1179">
        <w:rPr>
          <w:kern w:val="22"/>
          <w:szCs w:val="22"/>
        </w:rPr>
        <w:t xml:space="preserve">Alien </w:t>
      </w:r>
      <w:r w:rsidRPr="007E23D8">
        <w:rPr>
          <w:kern w:val="22"/>
          <w:szCs w:val="22"/>
        </w:rPr>
        <w:t>Species, towards developing a globally harmonized and operational voluntary guidance on the cleanliness of sea</w:t>
      </w:r>
      <w:r w:rsidRPr="008A7453">
        <w:rPr>
          <w:kern w:val="22"/>
          <w:szCs w:val="22"/>
        </w:rPr>
        <w:t xml:space="preserve"> containers and their cargos;</w:t>
      </w:r>
    </w:p>
    <w:p w14:paraId="5317C2FC" w14:textId="77777777" w:rsidR="007523D5" w:rsidRPr="001D14FB" w:rsidRDefault="007523D5" w:rsidP="007C5A47">
      <w:pPr>
        <w:pBdr>
          <w:top w:val="nil"/>
          <w:left w:val="nil"/>
          <w:bottom w:val="nil"/>
          <w:right w:val="nil"/>
          <w:between w:val="nil"/>
          <w:bar w:val="nil"/>
        </w:pBdr>
        <w:spacing w:before="120" w:after="120"/>
        <w:ind w:firstLine="720"/>
        <w:rPr>
          <w:i/>
          <w:kern w:val="22"/>
        </w:rPr>
      </w:pPr>
      <w:r w:rsidRPr="008A7453">
        <w:rPr>
          <w:kern w:val="22"/>
          <w:szCs w:val="22"/>
        </w:rPr>
        <w:t>(d)</w:t>
      </w:r>
      <w:r w:rsidRPr="008A7453">
        <w:rPr>
          <w:kern w:val="22"/>
          <w:szCs w:val="22"/>
        </w:rPr>
        <w:tab/>
        <w:t>To continue and enhance collaboration with members of the Inter-agency Liaison Group on Invasive Alien Species, including with</w:t>
      </w:r>
      <w:r w:rsidRPr="00B04BE8">
        <w:rPr>
          <w:kern w:val="22"/>
          <w:szCs w:val="22"/>
        </w:rPr>
        <w:t xml:space="preserve"> a view to determining how approaches for the prevention, control and management of invasive alien species may be usefully applied to biological invasions of pathogenic agents, in particular zoonotic pathogens;</w:t>
      </w:r>
    </w:p>
    <w:p w14:paraId="51A021BA" w14:textId="77777777" w:rsidR="007523D5" w:rsidRPr="00B04BE8" w:rsidRDefault="007523D5" w:rsidP="007C5A47">
      <w:pPr>
        <w:pBdr>
          <w:top w:val="nil"/>
          <w:left w:val="nil"/>
          <w:bottom w:val="nil"/>
          <w:right w:val="nil"/>
          <w:between w:val="nil"/>
          <w:bar w:val="nil"/>
        </w:pBdr>
        <w:spacing w:before="120" w:after="120"/>
        <w:ind w:firstLine="720"/>
        <w:rPr>
          <w:kern w:val="22"/>
          <w:szCs w:val="22"/>
        </w:rPr>
      </w:pPr>
      <w:r w:rsidRPr="00B04BE8">
        <w:rPr>
          <w:kern w:val="22"/>
          <w:szCs w:val="22"/>
        </w:rPr>
        <w:t>(</w:t>
      </w:r>
      <w:r>
        <w:rPr>
          <w:kern w:val="22"/>
          <w:szCs w:val="22"/>
        </w:rPr>
        <w:t>e</w:t>
      </w:r>
      <w:r w:rsidRPr="00B04BE8">
        <w:rPr>
          <w:kern w:val="22"/>
          <w:szCs w:val="22"/>
        </w:rPr>
        <w:t>)</w:t>
      </w:r>
      <w:r w:rsidRPr="00B04BE8">
        <w:rPr>
          <w:kern w:val="22"/>
          <w:szCs w:val="22"/>
        </w:rPr>
        <w:tab/>
        <w:t>To develop, on the basis of the national reports and in cooperation with the Inter</w:t>
      </w:r>
      <w:r w:rsidRPr="00B04BE8">
        <w:rPr>
          <w:kern w:val="22"/>
          <w:szCs w:val="22"/>
        </w:rPr>
        <w:noBreakHyphen/>
        <w:t>agency Liaison Group on Invasive Alien Species and other relevant organizations, advice on the evaluation of existing capacity and needs for monitoring, preventing and controlling the introduction and spread of invasive alien species and their harmful effects to biodiversity,</w:t>
      </w:r>
      <w:r>
        <w:rPr>
          <w:kern w:val="22"/>
          <w:szCs w:val="22"/>
        </w:rPr>
        <w:t xml:space="preserve"> taking into account relevant multilateral instruments, </w:t>
      </w:r>
      <w:r w:rsidRPr="00B04BE8">
        <w:rPr>
          <w:kern w:val="22"/>
          <w:szCs w:val="22"/>
        </w:rPr>
        <w:t xml:space="preserve">and thereafter as relevant, update the online toolkit on invasive alien species of the Convention on Biological Diversity and develop additional training materials for such topics as management of priority species and pathways of introduction, identification and management of priority </w:t>
      </w:r>
      <w:r w:rsidRPr="00C94C05">
        <w:rPr>
          <w:kern w:val="22"/>
          <w:szCs w:val="22"/>
        </w:rPr>
        <w:t>areas, as well as the application of international data standards in national and regional databases containing information on</w:t>
      </w:r>
      <w:r w:rsidRPr="00B04BE8">
        <w:rPr>
          <w:kern w:val="22"/>
          <w:szCs w:val="22"/>
        </w:rPr>
        <w:t xml:space="preserve"> invasive alien species;</w:t>
      </w:r>
    </w:p>
    <w:p w14:paraId="073AB0CB" w14:textId="77777777" w:rsidR="007523D5" w:rsidRPr="00B04BE8" w:rsidRDefault="007523D5" w:rsidP="007C5A47">
      <w:pPr>
        <w:pBdr>
          <w:top w:val="nil"/>
          <w:left w:val="nil"/>
          <w:bottom w:val="nil"/>
          <w:right w:val="nil"/>
          <w:between w:val="nil"/>
          <w:bar w:val="nil"/>
        </w:pBdr>
        <w:spacing w:before="120" w:after="120"/>
        <w:ind w:firstLine="720"/>
        <w:rPr>
          <w:kern w:val="22"/>
          <w:szCs w:val="22"/>
        </w:rPr>
      </w:pPr>
      <w:r w:rsidRPr="00B04BE8">
        <w:rPr>
          <w:kern w:val="22"/>
          <w:szCs w:val="22"/>
        </w:rPr>
        <w:t>(</w:t>
      </w:r>
      <w:r>
        <w:rPr>
          <w:kern w:val="22"/>
          <w:szCs w:val="22"/>
        </w:rPr>
        <w:t>f</w:t>
      </w:r>
      <w:r w:rsidRPr="00B04BE8">
        <w:rPr>
          <w:kern w:val="22"/>
          <w:szCs w:val="22"/>
        </w:rPr>
        <w:t>)</w:t>
      </w:r>
      <w:r w:rsidRPr="00B04BE8">
        <w:rPr>
          <w:kern w:val="22"/>
          <w:szCs w:val="22"/>
        </w:rPr>
        <w:tab/>
        <w:t>To collaborate with members of the Inter-agency Liaison Group on Invasive Alien Species and other relevant organizations, with a view to identifying gaps in knowledge, monitoring, and management of emerging infectious diseases affecting biodiversity and human health that relate to or are facilitated by invasive alien species, and to propose measures for mitigating and minimizing the negative effects on biodiversity and human health and preventing the further introduction and spread of relevant invasive alien species;</w:t>
      </w:r>
    </w:p>
    <w:p w14:paraId="719D1583" w14:textId="77777777" w:rsidR="007523D5" w:rsidRDefault="007523D5" w:rsidP="007C5A47">
      <w:pPr>
        <w:spacing w:before="120" w:after="120"/>
        <w:ind w:firstLine="720"/>
        <w:rPr>
          <w:kern w:val="22"/>
          <w:szCs w:val="22"/>
        </w:rPr>
      </w:pPr>
      <w:r w:rsidRPr="00B04BE8">
        <w:rPr>
          <w:kern w:val="22"/>
          <w:szCs w:val="22"/>
        </w:rPr>
        <w:t>(</w:t>
      </w:r>
      <w:r>
        <w:rPr>
          <w:kern w:val="22"/>
          <w:szCs w:val="22"/>
        </w:rPr>
        <w:t>g</w:t>
      </w:r>
      <w:r w:rsidRPr="00B04BE8">
        <w:rPr>
          <w:kern w:val="22"/>
          <w:szCs w:val="22"/>
        </w:rPr>
        <w:t>)</w:t>
      </w:r>
      <w:r w:rsidRPr="00B04BE8">
        <w:rPr>
          <w:kern w:val="22"/>
          <w:szCs w:val="22"/>
        </w:rPr>
        <w:tab/>
        <w:t>To report the progress on the above to the Subsidiary Body on Scientific, Technical and Technological Advice prior to the sixteenth meeting of the Conference of the Parties.</w:t>
      </w:r>
    </w:p>
    <w:p w14:paraId="26045498" w14:textId="77777777" w:rsidR="007523D5" w:rsidRPr="0027619F" w:rsidRDefault="007523D5" w:rsidP="00E643B3">
      <w:pPr>
        <w:keepNext/>
        <w:suppressLineNumbers/>
        <w:suppressAutoHyphens/>
        <w:spacing w:before="120" w:after="120"/>
        <w:jc w:val="center"/>
        <w:rPr>
          <w:rFonts w:asciiTheme="majorBidi" w:hAnsiTheme="majorBidi" w:cstheme="majorBidi"/>
          <w:i/>
          <w:snapToGrid w:val="0"/>
          <w:kern w:val="22"/>
          <w:szCs w:val="22"/>
        </w:rPr>
      </w:pPr>
      <w:bookmarkStart w:id="315" w:name="_Toc118355048"/>
      <w:r w:rsidRPr="0027619F">
        <w:rPr>
          <w:rFonts w:asciiTheme="majorBidi" w:hAnsiTheme="majorBidi" w:cstheme="majorBidi"/>
          <w:i/>
          <w:snapToGrid w:val="0"/>
          <w:kern w:val="22"/>
          <w:szCs w:val="22"/>
        </w:rPr>
        <w:t>Annex I</w:t>
      </w:r>
      <w:bookmarkEnd w:id="315"/>
    </w:p>
    <w:p w14:paraId="0F2E207E" w14:textId="77777777" w:rsidR="007523D5" w:rsidRPr="0027619F" w:rsidRDefault="007523D5" w:rsidP="00E643B3">
      <w:pPr>
        <w:keepNext/>
        <w:suppressLineNumbers/>
        <w:suppressAutoHyphens/>
        <w:spacing w:after="120"/>
        <w:jc w:val="center"/>
        <w:rPr>
          <w:rFonts w:asciiTheme="majorBidi" w:hAnsiTheme="majorBidi" w:cstheme="majorBidi"/>
          <w:b/>
          <w:caps/>
          <w:kern w:val="22"/>
        </w:rPr>
      </w:pPr>
      <w:bookmarkStart w:id="316" w:name="_Toc118355049"/>
      <w:r w:rsidRPr="0027619F">
        <w:rPr>
          <w:rFonts w:asciiTheme="majorBidi" w:hAnsiTheme="majorBidi" w:cstheme="majorBidi"/>
          <w:b/>
          <w:caps/>
          <w:kern w:val="22"/>
        </w:rPr>
        <w:t>Draft methods for cost-benefit and cost-effectiveness analysis which best apply to the management of invasive alien species</w:t>
      </w:r>
      <w:bookmarkEnd w:id="316"/>
    </w:p>
    <w:p w14:paraId="77A12A02" w14:textId="77777777" w:rsidR="007523D5" w:rsidRPr="00D9073D" w:rsidRDefault="007523D5" w:rsidP="007C5A47">
      <w:pPr>
        <w:keepNext/>
        <w:suppressLineNumbers/>
        <w:suppressAutoHyphens/>
        <w:spacing w:after="120"/>
        <w:jc w:val="center"/>
        <w:rPr>
          <w:rFonts w:asciiTheme="majorBidi" w:hAnsiTheme="majorBidi" w:cstheme="majorBidi"/>
          <w:b/>
          <w:caps/>
          <w:kern w:val="22"/>
        </w:rPr>
      </w:pPr>
      <w:r w:rsidRPr="00D9073D">
        <w:rPr>
          <w:rFonts w:asciiTheme="majorBidi" w:hAnsiTheme="majorBidi" w:cstheme="majorBidi"/>
          <w:b/>
          <w:caps/>
          <w:kern w:val="22"/>
        </w:rPr>
        <w:t>(Provisional advice pursuant to decision 14/11, annex II, paragraph 1 (a)</w:t>
      </w:r>
    </w:p>
    <w:p w14:paraId="7CD57D51" w14:textId="77777777" w:rsidR="007523D5" w:rsidRPr="00D9073D" w:rsidRDefault="007523D5" w:rsidP="007C5A47">
      <w:pPr>
        <w:suppressLineNumbers/>
        <w:suppressAutoHyphens/>
        <w:spacing w:before="120" w:after="120"/>
        <w:rPr>
          <w:rFonts w:asciiTheme="majorBidi" w:hAnsiTheme="majorBidi" w:cstheme="majorBidi"/>
          <w:szCs w:val="22"/>
        </w:rPr>
      </w:pPr>
      <w:r w:rsidRPr="00D9073D">
        <w:rPr>
          <w:rFonts w:asciiTheme="majorBidi" w:hAnsiTheme="majorBidi" w:cstheme="majorBidi"/>
          <w:szCs w:val="22"/>
        </w:rPr>
        <w:t>1.</w:t>
      </w:r>
      <w:r w:rsidRPr="00D9073D">
        <w:rPr>
          <w:rFonts w:asciiTheme="majorBidi" w:hAnsiTheme="majorBidi" w:cstheme="majorBidi"/>
          <w:szCs w:val="22"/>
        </w:rPr>
        <w:tab/>
      </w:r>
      <w:r w:rsidRPr="00D9073D">
        <w:rPr>
          <w:rFonts w:asciiTheme="majorBidi" w:hAnsiTheme="majorBidi" w:cstheme="majorBidi"/>
          <w:kern w:val="22"/>
          <w:szCs w:val="22"/>
        </w:rPr>
        <w:t>Aichi Biodiversity Target 9 states the need for invasive alien species and pathways to be identified and prioritized and for priority species to be controlled or eradicated. The extended technical rationale for this target (</w:t>
      </w:r>
      <w:r w:rsidRPr="00305DF6">
        <w:rPr>
          <w:rFonts w:asciiTheme="majorBidi" w:hAnsiTheme="majorBidi" w:cstheme="majorBidi"/>
          <w:kern w:val="22"/>
          <w:szCs w:val="22"/>
        </w:rPr>
        <w:t>UNEP/</w:t>
      </w:r>
      <w:r w:rsidRPr="00D9073D">
        <w:rPr>
          <w:rFonts w:asciiTheme="majorBidi" w:hAnsiTheme="majorBidi" w:cstheme="majorBidi"/>
          <w:kern w:val="22"/>
          <w:szCs w:val="22"/>
        </w:rPr>
        <w:t>CBD/COP/10/INF/12/Rev.1) includes the statement that “</w:t>
      </w:r>
      <w:r w:rsidRPr="00D9073D">
        <w:rPr>
          <w:rFonts w:asciiTheme="majorBidi" w:hAnsiTheme="majorBidi" w:cstheme="majorBidi"/>
          <w:kern w:val="22"/>
          <w:szCs w:val="22"/>
          <w:shd w:val="clear" w:color="auto" w:fill="FFFFFF"/>
        </w:rPr>
        <w:t>Given the multiple pathways for invasive species introductions and that multiple alien species are already present in many countries, it will be necessary to prioritize control and eradication efforts to those species and pathways which will have the greatest impact on biodiversity and/or which are the most resource effective to address.” Accordingly, a clear need exists to develop methods to prioritize invasive alien species and the active management thereof.</w:t>
      </w:r>
    </w:p>
    <w:p w14:paraId="25359087" w14:textId="77777777" w:rsidR="007523D5" w:rsidRPr="00D9073D" w:rsidRDefault="007523D5" w:rsidP="007C5A47">
      <w:pPr>
        <w:pStyle w:val="ListParagraph"/>
        <w:suppressLineNumbers/>
        <w:suppressAutoHyphens/>
        <w:spacing w:before="120" w:after="120"/>
        <w:ind w:left="0"/>
        <w:contextualSpacing w:val="0"/>
        <w:rPr>
          <w:rFonts w:asciiTheme="majorBidi" w:hAnsiTheme="majorBidi" w:cstheme="majorBidi"/>
          <w:kern w:val="22"/>
          <w:szCs w:val="22"/>
        </w:rPr>
      </w:pPr>
      <w:r w:rsidRPr="00D9073D">
        <w:rPr>
          <w:rFonts w:asciiTheme="majorBidi" w:hAnsiTheme="majorBidi" w:cstheme="majorBidi"/>
          <w:kern w:val="22"/>
          <w:szCs w:val="22"/>
        </w:rPr>
        <w:t>2.</w:t>
      </w:r>
      <w:r w:rsidRPr="00D9073D">
        <w:rPr>
          <w:rFonts w:asciiTheme="majorBidi" w:hAnsiTheme="majorBidi" w:cstheme="majorBidi"/>
          <w:kern w:val="22"/>
          <w:szCs w:val="22"/>
        </w:rPr>
        <w:tab/>
        <w:t>Established cost-benefit and cost-effectiveness methods are widely available and already in use in some regions to assist invasive alien species management decision-making, including prioritization. However, these existing analyses typically require detailed information, for example on costs, and may need technical expertise to apply. Including consideration of biodiversity, animal welfare and public acceptability in cost-benefit analyses can also be problematic as, although possible, these are often difficult to represent in simple financial terms.</w:t>
      </w:r>
    </w:p>
    <w:p w14:paraId="12F64783" w14:textId="77777777" w:rsidR="007523D5" w:rsidRPr="00D9073D" w:rsidRDefault="007523D5" w:rsidP="007C5A47">
      <w:pPr>
        <w:pStyle w:val="ListParagraph"/>
        <w:suppressLineNumbers/>
        <w:suppressAutoHyphens/>
        <w:spacing w:before="120" w:after="120"/>
        <w:ind w:left="0"/>
        <w:contextualSpacing w:val="0"/>
        <w:rPr>
          <w:rFonts w:asciiTheme="majorBidi" w:hAnsiTheme="majorBidi" w:cstheme="majorBidi"/>
          <w:kern w:val="22"/>
          <w:szCs w:val="22"/>
        </w:rPr>
      </w:pPr>
      <w:r w:rsidRPr="00D9073D">
        <w:rPr>
          <w:rFonts w:asciiTheme="majorBidi" w:hAnsiTheme="majorBidi" w:cstheme="majorBidi"/>
          <w:kern w:val="22"/>
          <w:szCs w:val="22"/>
        </w:rPr>
        <w:t>3.</w:t>
      </w:r>
      <w:r w:rsidRPr="00D9073D">
        <w:rPr>
          <w:rFonts w:asciiTheme="majorBidi" w:hAnsiTheme="majorBidi" w:cstheme="majorBidi"/>
          <w:kern w:val="22"/>
          <w:szCs w:val="22"/>
        </w:rPr>
        <w:tab/>
        <w:t>The final decision to eradicate or manage an invasive alien species carries significant costs and risks. While these rapid methods may produce “short lists” of priority species to consider for management, more detailed pilot studies and economic assessments are recommended before commitments to management are made.</w:t>
      </w:r>
    </w:p>
    <w:p w14:paraId="0D223679" w14:textId="77777777" w:rsidR="007523D5" w:rsidRPr="00D9073D" w:rsidRDefault="007523D5" w:rsidP="007C5A47">
      <w:pPr>
        <w:pStyle w:val="ListParagraph"/>
        <w:suppressLineNumbers/>
        <w:suppressAutoHyphens/>
        <w:spacing w:before="120" w:after="120"/>
        <w:ind w:left="0"/>
        <w:contextualSpacing w:val="0"/>
        <w:rPr>
          <w:rFonts w:asciiTheme="majorBidi" w:hAnsiTheme="majorBidi" w:cstheme="majorBidi"/>
          <w:kern w:val="22"/>
          <w:szCs w:val="22"/>
        </w:rPr>
      </w:pPr>
      <w:r w:rsidRPr="00D9073D">
        <w:rPr>
          <w:rFonts w:asciiTheme="majorBidi" w:hAnsiTheme="majorBidi" w:cstheme="majorBidi"/>
          <w:kern w:val="22"/>
          <w:szCs w:val="22"/>
        </w:rPr>
        <w:t>4.</w:t>
      </w:r>
      <w:r w:rsidRPr="00D9073D">
        <w:rPr>
          <w:rFonts w:asciiTheme="majorBidi" w:hAnsiTheme="majorBidi" w:cstheme="majorBidi"/>
          <w:kern w:val="22"/>
          <w:szCs w:val="22"/>
        </w:rPr>
        <w:tab/>
        <w:t>To support risk management, methods may be required when large numbers of species need to be rapidly assessed, where detailed information is often lacking and where non-monetary based inputs on social and cultural values are required.</w:t>
      </w:r>
    </w:p>
    <w:p w14:paraId="7490772D" w14:textId="77777777" w:rsidR="007523D5" w:rsidRPr="00D9073D" w:rsidRDefault="007523D5" w:rsidP="007C5A47">
      <w:pPr>
        <w:pStyle w:val="heading2notforTOC"/>
        <w:outlineLvl w:val="9"/>
        <w:rPr>
          <w:i w:val="0"/>
          <w:iCs w:val="0"/>
          <w:szCs w:val="22"/>
        </w:rPr>
      </w:pPr>
      <w:r w:rsidRPr="00D9073D">
        <w:rPr>
          <w:szCs w:val="22"/>
        </w:rPr>
        <w:t>A.</w:t>
      </w:r>
      <w:r w:rsidRPr="00D9073D">
        <w:rPr>
          <w:szCs w:val="22"/>
        </w:rPr>
        <w:tab/>
        <w:t>Multi-criteria methods</w:t>
      </w:r>
    </w:p>
    <w:p w14:paraId="6538F487" w14:textId="77777777" w:rsidR="007523D5" w:rsidRPr="00D9073D" w:rsidRDefault="007523D5" w:rsidP="007C5A47">
      <w:pPr>
        <w:suppressLineNumbers/>
        <w:suppressAutoHyphens/>
        <w:spacing w:before="120" w:after="120"/>
        <w:rPr>
          <w:rFonts w:asciiTheme="majorBidi" w:hAnsiTheme="majorBidi" w:cstheme="majorBidi"/>
          <w:kern w:val="22"/>
          <w:szCs w:val="22"/>
        </w:rPr>
      </w:pPr>
      <w:r w:rsidRPr="00D9073D">
        <w:rPr>
          <w:rFonts w:asciiTheme="majorBidi" w:hAnsiTheme="majorBidi" w:cstheme="majorBidi"/>
          <w:kern w:val="22"/>
          <w:szCs w:val="22"/>
        </w:rPr>
        <w:t>5.</w:t>
      </w:r>
      <w:r w:rsidRPr="00D9073D">
        <w:rPr>
          <w:rFonts w:asciiTheme="majorBidi" w:hAnsiTheme="majorBidi" w:cstheme="majorBidi"/>
          <w:kern w:val="22"/>
          <w:szCs w:val="22"/>
        </w:rPr>
        <w:tab/>
        <w:t>Multi-criteria methods can be used in circumstances where more detailed, but data-hungry approaches, such as cost-benefit analysis, may be impractical. Multi-criteria methods provide a route to the rapid assessment of options and are already widely used to support invasive alien species decision</w:t>
      </w:r>
      <w:r w:rsidRPr="00D9073D">
        <w:rPr>
          <w:rFonts w:asciiTheme="majorBidi" w:hAnsiTheme="majorBidi" w:cstheme="majorBidi"/>
          <w:kern w:val="22"/>
          <w:szCs w:val="22"/>
        </w:rPr>
        <w:noBreakHyphen/>
        <w:t>making – for example through the risk assessment process. There is scope to use multi-criteria methods more widely to support decision</w:t>
      </w:r>
      <w:r w:rsidRPr="00D9073D">
        <w:rPr>
          <w:rFonts w:asciiTheme="majorBidi" w:hAnsiTheme="majorBidi" w:cstheme="majorBidi"/>
          <w:kern w:val="22"/>
          <w:szCs w:val="22"/>
        </w:rPr>
        <w:noBreakHyphen/>
        <w:t>making to answer questions such as how to prioritize species for management, when to choose between prevention, eradication or long-term management objectives, how to produce rapid assessments of large numbers of species, or how to compare the feasibility of different management options?</w:t>
      </w:r>
    </w:p>
    <w:p w14:paraId="5509D08F" w14:textId="77777777" w:rsidR="007523D5" w:rsidRPr="00D9073D" w:rsidRDefault="007523D5" w:rsidP="007C5A47">
      <w:pPr>
        <w:suppressLineNumbers/>
        <w:suppressAutoHyphens/>
        <w:spacing w:before="120" w:after="120"/>
        <w:rPr>
          <w:rFonts w:asciiTheme="majorBidi" w:hAnsiTheme="majorBidi" w:cstheme="majorBidi"/>
          <w:kern w:val="22"/>
          <w:szCs w:val="22"/>
        </w:rPr>
      </w:pPr>
      <w:r w:rsidRPr="00D9073D">
        <w:rPr>
          <w:rFonts w:asciiTheme="majorBidi" w:hAnsiTheme="majorBidi" w:cstheme="majorBidi"/>
          <w:kern w:val="22"/>
          <w:szCs w:val="22"/>
        </w:rPr>
        <w:t>6.</w:t>
      </w:r>
      <w:r w:rsidRPr="00D9073D">
        <w:rPr>
          <w:rFonts w:asciiTheme="majorBidi" w:hAnsiTheme="majorBidi" w:cstheme="majorBidi"/>
          <w:kern w:val="22"/>
          <w:szCs w:val="22"/>
        </w:rPr>
        <w:tab/>
        <w:t>Multi-criteria decision-making is concerned with structuring and solving decision and planning problems involving multiple criteria. By breaking problems down into their different components they can be used to assess decisions in a transparent and rational manner, they can be rapidly applied to large numbers of cases, and by using expert opinion, or the knowledge of indigenous peoples and local communities with their prior and informed consent, free prior and informed consent or approval and involvement, they can still be applied where published information is lacking. These modelling and methodological tools are designed to find optimal solutions to complex problems where assessment criteria or data are measured in different currencies.</w:t>
      </w:r>
    </w:p>
    <w:p w14:paraId="7492DEE7" w14:textId="77777777" w:rsidR="007523D5" w:rsidRPr="00D9073D" w:rsidRDefault="007523D5" w:rsidP="007C5A47">
      <w:pPr>
        <w:suppressLineNumbers/>
        <w:suppressAutoHyphens/>
        <w:spacing w:before="120" w:after="120"/>
        <w:rPr>
          <w:rFonts w:asciiTheme="majorBidi" w:hAnsiTheme="majorBidi" w:cstheme="majorBidi"/>
          <w:kern w:val="22"/>
          <w:szCs w:val="22"/>
        </w:rPr>
      </w:pPr>
      <w:r w:rsidRPr="00D9073D">
        <w:rPr>
          <w:rFonts w:asciiTheme="majorBidi" w:hAnsiTheme="majorBidi" w:cstheme="majorBidi"/>
          <w:kern w:val="22"/>
          <w:szCs w:val="22"/>
        </w:rPr>
        <w:t>7.</w:t>
      </w:r>
      <w:r w:rsidRPr="00D9073D">
        <w:rPr>
          <w:rFonts w:asciiTheme="majorBidi" w:hAnsiTheme="majorBidi" w:cstheme="majorBidi"/>
          <w:kern w:val="22"/>
          <w:szCs w:val="22"/>
        </w:rPr>
        <w:tab/>
        <w:t>Because multi-criteria approaches often operate in the absence of published data, this may raise concerns over the use of opinion or unsubstantiated information. The way in which multiple criteria are combined to support an overall conclusion can also be problematic and is often based on pragmatism rather than a validated approach. Nevertheless, multi-criteria methods and cost-benefit analysis complement each other, for example an initial prioritization based on a large number of options may be undertaken using a multi-criteria approach, but the proposed priorities may then be more fully assessed using a more rigorous approach such as cost-benefit before resources are committed.</w:t>
      </w:r>
    </w:p>
    <w:p w14:paraId="417E45C5" w14:textId="77777777" w:rsidR="007523D5" w:rsidRPr="00D9073D" w:rsidRDefault="007523D5" w:rsidP="007C5A47">
      <w:pPr>
        <w:pStyle w:val="heading2notforTOC"/>
        <w:outlineLvl w:val="9"/>
        <w:rPr>
          <w:i w:val="0"/>
          <w:iCs w:val="0"/>
          <w:szCs w:val="22"/>
        </w:rPr>
      </w:pPr>
      <w:r w:rsidRPr="00D9073D">
        <w:rPr>
          <w:szCs w:val="22"/>
        </w:rPr>
        <w:t>B.</w:t>
      </w:r>
      <w:r w:rsidRPr="00D9073D">
        <w:rPr>
          <w:szCs w:val="22"/>
        </w:rPr>
        <w:tab/>
        <w:t>Advice for actions</w:t>
      </w:r>
    </w:p>
    <w:p w14:paraId="2447682A" w14:textId="77777777" w:rsidR="007523D5" w:rsidRPr="00D9073D" w:rsidRDefault="007523D5" w:rsidP="007C5A47">
      <w:pPr>
        <w:suppressLineNumbers/>
        <w:suppressAutoHyphens/>
        <w:spacing w:before="120" w:after="120"/>
        <w:rPr>
          <w:rFonts w:asciiTheme="majorBidi" w:hAnsiTheme="majorBidi" w:cstheme="majorBidi"/>
          <w:kern w:val="22"/>
          <w:szCs w:val="22"/>
          <w:bdr w:val="nil"/>
        </w:rPr>
      </w:pPr>
      <w:r w:rsidRPr="00D9073D">
        <w:rPr>
          <w:rFonts w:asciiTheme="majorBidi" w:hAnsiTheme="majorBidi" w:cstheme="majorBidi"/>
          <w:kern w:val="22"/>
          <w:szCs w:val="22"/>
          <w:u w:color="000000"/>
          <w:bdr w:val="nil"/>
        </w:rPr>
        <w:t>8.</w:t>
      </w:r>
      <w:r w:rsidRPr="00D9073D">
        <w:rPr>
          <w:rFonts w:asciiTheme="majorBidi" w:hAnsiTheme="majorBidi" w:cstheme="majorBidi"/>
          <w:kern w:val="22"/>
          <w:szCs w:val="22"/>
          <w:u w:color="000000"/>
          <w:bdr w:val="nil"/>
        </w:rPr>
        <w:tab/>
      </w:r>
      <w:r w:rsidRPr="00305DF6">
        <w:rPr>
          <w:rFonts w:asciiTheme="majorBidi" w:hAnsiTheme="majorBidi" w:cstheme="majorBidi"/>
          <w:kern w:val="22"/>
          <w:szCs w:val="22"/>
          <w:bdr w:val="nil"/>
        </w:rPr>
        <w:t>C</w:t>
      </w:r>
      <w:r w:rsidRPr="00D9073D">
        <w:rPr>
          <w:rFonts w:asciiTheme="majorBidi" w:hAnsiTheme="majorBidi" w:cstheme="majorBidi"/>
          <w:kern w:val="22"/>
          <w:szCs w:val="22"/>
          <w:bdr w:val="nil"/>
        </w:rPr>
        <w:t>oordinated national, subnational and local response strategies should be developed to minimize incursions and impacts of invasive alien species, such as national, subnational and local invasive species strategies and action plans as a part of national, subnational and local biodiversity strategies and action plans. This could include strengthening and coordinating existing programmes, identifying and filling gaps with new initiatives, and building on the strengths and capacities of partner organizations, including academia and scientific institutions, indigenous peoples and local communities and women and youth at the national, regional and local levels.</w:t>
      </w:r>
    </w:p>
    <w:p w14:paraId="6273E5AD" w14:textId="77777777" w:rsidR="007523D5" w:rsidRPr="00D9073D" w:rsidRDefault="007523D5" w:rsidP="007C5A47">
      <w:pPr>
        <w:suppressLineNumbers/>
        <w:suppressAutoHyphens/>
        <w:spacing w:before="120" w:after="120"/>
        <w:rPr>
          <w:rFonts w:asciiTheme="majorBidi" w:hAnsiTheme="majorBidi" w:cstheme="majorBidi"/>
          <w:kern w:val="22"/>
          <w:szCs w:val="22"/>
        </w:rPr>
      </w:pPr>
      <w:r w:rsidRPr="00D9073D">
        <w:rPr>
          <w:rFonts w:asciiTheme="majorBidi" w:hAnsiTheme="majorBidi" w:cstheme="majorBidi"/>
          <w:color w:val="000000"/>
          <w:kern w:val="22"/>
          <w:szCs w:val="22"/>
          <w:u w:color="000000"/>
          <w:bdr w:val="nil"/>
        </w:rPr>
        <w:t>9.</w:t>
      </w:r>
      <w:r w:rsidRPr="00D9073D">
        <w:rPr>
          <w:rFonts w:asciiTheme="majorBidi" w:hAnsiTheme="majorBidi" w:cstheme="majorBidi"/>
          <w:color w:val="000000"/>
          <w:kern w:val="22"/>
          <w:szCs w:val="22"/>
          <w:u w:color="000000"/>
          <w:bdr w:val="nil"/>
        </w:rPr>
        <w:tab/>
      </w:r>
      <w:r w:rsidRPr="00D9073D">
        <w:rPr>
          <w:rFonts w:asciiTheme="majorBidi" w:hAnsiTheme="majorBidi" w:cstheme="majorBidi"/>
          <w:kern w:val="22"/>
          <w:szCs w:val="22"/>
          <w:u w:color="000000"/>
          <w:bdr w:val="nil"/>
        </w:rPr>
        <w:t xml:space="preserve">The best </w:t>
      </w:r>
      <w:r w:rsidRPr="00D9073D">
        <w:rPr>
          <w:rFonts w:asciiTheme="majorBidi" w:hAnsiTheme="majorBidi" w:cstheme="majorBidi"/>
          <w:color w:val="000000"/>
          <w:kern w:val="22"/>
          <w:szCs w:val="22"/>
          <w:u w:color="000000"/>
          <w:bdr w:val="nil"/>
        </w:rPr>
        <w:t xml:space="preserve">available prioritization methods should be applied to prioritize management of dispersal pathways of invasive alien species within as well as between countries, and for assessing feasibility and cost-effectiveness. </w:t>
      </w:r>
      <w:r w:rsidRPr="00D9073D">
        <w:rPr>
          <w:rFonts w:asciiTheme="majorBidi" w:hAnsiTheme="majorBidi" w:cstheme="majorBidi"/>
          <w:kern w:val="22"/>
          <w:szCs w:val="22"/>
          <w:u w:color="000000"/>
          <w:bdr w:val="nil"/>
        </w:rPr>
        <w:t xml:space="preserve">These </w:t>
      </w:r>
      <w:r w:rsidRPr="00D9073D">
        <w:rPr>
          <w:rFonts w:asciiTheme="majorBidi" w:eastAsiaTheme="majorEastAsia" w:hAnsiTheme="majorBidi" w:cstheme="majorBidi"/>
          <w:kern w:val="22"/>
          <w:szCs w:val="22"/>
          <w:bdr w:val="nil"/>
        </w:rPr>
        <w:t xml:space="preserve">methods </w:t>
      </w:r>
      <w:r w:rsidRPr="00D9073D">
        <w:rPr>
          <w:rFonts w:asciiTheme="majorBidi" w:hAnsiTheme="majorBidi" w:cstheme="majorBidi"/>
          <w:kern w:val="22"/>
          <w:szCs w:val="22"/>
        </w:rPr>
        <w:t xml:space="preserve">should </w:t>
      </w:r>
      <w:r w:rsidRPr="00D9073D">
        <w:rPr>
          <w:rFonts w:asciiTheme="majorBidi" w:eastAsiaTheme="majorEastAsia" w:hAnsiTheme="majorBidi" w:cstheme="majorBidi"/>
          <w:kern w:val="22"/>
          <w:szCs w:val="22"/>
          <w:bdr w:val="nil"/>
        </w:rPr>
        <w:t xml:space="preserve">be in a form compatible </w:t>
      </w:r>
      <w:r w:rsidRPr="00305DF6">
        <w:rPr>
          <w:rFonts w:asciiTheme="majorBidi" w:eastAsiaTheme="majorEastAsia" w:hAnsiTheme="majorBidi" w:cstheme="majorBidi"/>
          <w:kern w:val="22"/>
          <w:szCs w:val="22"/>
          <w:bdr w:val="nil"/>
        </w:rPr>
        <w:t xml:space="preserve">with </w:t>
      </w:r>
      <w:r w:rsidRPr="00D9073D">
        <w:rPr>
          <w:rFonts w:asciiTheme="majorBidi" w:eastAsiaTheme="majorEastAsia" w:hAnsiTheme="majorBidi" w:cstheme="majorBidi"/>
          <w:kern w:val="22"/>
          <w:szCs w:val="22"/>
          <w:bdr w:val="nil"/>
        </w:rPr>
        <w:t>and complementary to existing approaches to risk assessment.</w:t>
      </w:r>
      <w:r w:rsidRPr="00D9073D">
        <w:rPr>
          <w:rFonts w:asciiTheme="majorBidi" w:hAnsiTheme="majorBidi" w:cstheme="majorBidi"/>
          <w:kern w:val="22"/>
          <w:szCs w:val="22"/>
        </w:rPr>
        <w:t xml:space="preserve"> Methods used for risk-prioritization of invasive alien species include cost-benefit, cost-effectiveness and risk analysis. However, the detailed information required to undertake cost-benefit and cost-effectiveness analyses are often in short supply or uncertain, and these analyses require sufficient technical expertise. A number of science-based prioritization methodologies for invasive alien species, horizon-scanning, and impact and management for single or multiple types of invasive alien species have been developed by Parties or independent international science teams and are worth consideration by other countries.</w:t>
      </w:r>
    </w:p>
    <w:p w14:paraId="133F168F" w14:textId="77777777" w:rsidR="007523D5" w:rsidRPr="00D9073D" w:rsidRDefault="007523D5" w:rsidP="007C5A47">
      <w:pPr>
        <w:suppressLineNumbers/>
        <w:suppressAutoHyphens/>
        <w:spacing w:before="120" w:after="120"/>
        <w:rPr>
          <w:rFonts w:asciiTheme="majorBidi" w:hAnsiTheme="majorBidi" w:cstheme="majorBidi"/>
          <w:kern w:val="22"/>
        </w:rPr>
      </w:pPr>
      <w:r w:rsidRPr="00D9073D">
        <w:rPr>
          <w:rFonts w:asciiTheme="majorBidi" w:hAnsiTheme="majorBidi" w:cstheme="majorBidi"/>
          <w:kern w:val="22"/>
        </w:rPr>
        <w:t xml:space="preserve">10. </w:t>
      </w:r>
      <w:r w:rsidRPr="00D9073D">
        <w:rPr>
          <w:rFonts w:asciiTheme="majorBidi" w:hAnsiTheme="majorBidi" w:cstheme="majorBidi"/>
          <w:kern w:val="22"/>
        </w:rPr>
        <w:tab/>
        <w:t>Knowledge exchange should be promoted, as well as training and capacity-building to apply the best available prioritization methods consistently across environments.</w:t>
      </w:r>
    </w:p>
    <w:p w14:paraId="76513753" w14:textId="77777777" w:rsidR="007523D5" w:rsidRPr="00D9073D" w:rsidRDefault="007523D5" w:rsidP="007C5A47">
      <w:pPr>
        <w:suppressLineNumbers/>
        <w:suppressAutoHyphens/>
        <w:spacing w:before="120" w:after="120"/>
        <w:rPr>
          <w:rFonts w:asciiTheme="majorBidi" w:hAnsiTheme="majorBidi" w:cstheme="majorBidi"/>
          <w:kern w:val="22"/>
        </w:rPr>
      </w:pPr>
      <w:r w:rsidRPr="00D9073D">
        <w:rPr>
          <w:rFonts w:asciiTheme="majorBidi" w:eastAsiaTheme="majorEastAsia" w:hAnsiTheme="majorBidi" w:cstheme="majorBidi"/>
          <w:kern w:val="22"/>
        </w:rPr>
        <w:t>11.</w:t>
      </w:r>
      <w:r w:rsidRPr="00D9073D">
        <w:rPr>
          <w:rFonts w:asciiTheme="majorBidi" w:eastAsiaTheme="majorEastAsia" w:hAnsiTheme="majorBidi" w:cstheme="majorBidi"/>
          <w:kern w:val="22"/>
        </w:rPr>
        <w:tab/>
      </w:r>
      <w:r w:rsidRPr="00D9073D">
        <w:rPr>
          <w:rFonts w:asciiTheme="majorBidi" w:hAnsiTheme="majorBidi" w:cstheme="majorBidi"/>
          <w:kern w:val="22"/>
        </w:rPr>
        <w:t>The best available methods for prioritizing the invasive alien species to be managed and for assessing feasibility and cost-effectiveness</w:t>
      </w:r>
      <w:r w:rsidRPr="00305DF6">
        <w:rPr>
          <w:rFonts w:asciiTheme="majorBidi" w:hAnsiTheme="majorBidi" w:cstheme="majorBidi"/>
          <w:kern w:val="22"/>
        </w:rPr>
        <w:t xml:space="preserve"> should be used</w:t>
      </w:r>
      <w:r w:rsidRPr="00D9073D">
        <w:rPr>
          <w:rFonts w:asciiTheme="majorBidi" w:hAnsiTheme="majorBidi" w:cstheme="majorBidi"/>
          <w:kern w:val="22"/>
        </w:rPr>
        <w:t>, in a form compatible and complementary to existing approaches to risk assessment. Multi-criteria decision-making approaches should be used to support risk-based prioritization for management when information required to undertake cost-benefit and cost-effectiveness analysis is lacking or uncertain.</w:t>
      </w:r>
    </w:p>
    <w:p w14:paraId="24C46104" w14:textId="77777777" w:rsidR="007523D5" w:rsidRPr="00D9073D" w:rsidRDefault="007523D5" w:rsidP="007C5A47">
      <w:pPr>
        <w:suppressLineNumbers/>
        <w:suppressAutoHyphens/>
        <w:spacing w:before="120" w:after="120"/>
        <w:rPr>
          <w:rFonts w:asciiTheme="majorBidi" w:hAnsiTheme="majorBidi" w:cstheme="majorBidi"/>
          <w:kern w:val="22"/>
          <w:szCs w:val="22"/>
        </w:rPr>
      </w:pPr>
      <w:r w:rsidRPr="00D9073D">
        <w:rPr>
          <w:rFonts w:asciiTheme="majorBidi" w:hAnsiTheme="majorBidi" w:cstheme="majorBidi"/>
          <w:kern w:val="22"/>
          <w:szCs w:val="22"/>
        </w:rPr>
        <w:t>12.</w:t>
      </w:r>
      <w:r w:rsidRPr="00D9073D">
        <w:rPr>
          <w:rFonts w:asciiTheme="majorBidi" w:hAnsiTheme="majorBidi" w:cstheme="majorBidi"/>
          <w:kern w:val="22"/>
          <w:szCs w:val="22"/>
        </w:rPr>
        <w:tab/>
        <w:t xml:space="preserve">States, sectoral authorities and organizations </w:t>
      </w:r>
      <w:r w:rsidRPr="00D9073D">
        <w:rPr>
          <w:rFonts w:asciiTheme="majorBidi" w:hAnsiTheme="majorBidi" w:cstheme="majorBidi"/>
          <w:szCs w:val="22"/>
          <w:lang w:eastAsia="en-CA"/>
        </w:rPr>
        <w:t>and subnational governments</w:t>
      </w:r>
      <w:r w:rsidRPr="00D9073D">
        <w:rPr>
          <w:rFonts w:asciiTheme="majorBidi" w:hAnsiTheme="majorBidi" w:cstheme="majorBidi"/>
          <w:kern w:val="22"/>
          <w:szCs w:val="22"/>
        </w:rPr>
        <w:t xml:space="preserve"> are encouraged to share information on their best practices regarding tools and technologies for the management</w:t>
      </w:r>
      <w:r w:rsidRPr="00610646">
        <w:rPr>
          <w:rStyle w:val="FootnoteReference"/>
        </w:rPr>
        <w:footnoteReference w:id="346"/>
      </w:r>
      <w:r w:rsidRPr="00D9073D">
        <w:rPr>
          <w:rFonts w:asciiTheme="majorBidi" w:hAnsiTheme="majorBidi" w:cstheme="majorBidi"/>
          <w:kern w:val="22"/>
          <w:szCs w:val="22"/>
        </w:rPr>
        <w:t xml:space="preserve"> of invasive alien species that can be implemented across sectors at all levels.</w:t>
      </w:r>
    </w:p>
    <w:p w14:paraId="1CCAA5A8" w14:textId="77777777" w:rsidR="007523D5" w:rsidRPr="00D9073D" w:rsidRDefault="007523D5" w:rsidP="007C5A47">
      <w:pPr>
        <w:suppressLineNumbers/>
        <w:suppressAutoHyphens/>
        <w:spacing w:before="120" w:after="120"/>
        <w:rPr>
          <w:rFonts w:asciiTheme="majorBidi" w:hAnsiTheme="majorBidi" w:cstheme="majorBidi"/>
          <w:szCs w:val="22"/>
        </w:rPr>
      </w:pPr>
      <w:r w:rsidRPr="00D9073D">
        <w:rPr>
          <w:rFonts w:asciiTheme="majorBidi" w:hAnsiTheme="majorBidi" w:cstheme="majorBidi"/>
          <w:kern w:val="22"/>
          <w:szCs w:val="22"/>
        </w:rPr>
        <w:t>13.</w:t>
      </w:r>
      <w:r w:rsidRPr="00D9073D">
        <w:rPr>
          <w:rFonts w:asciiTheme="majorBidi" w:hAnsiTheme="majorBidi" w:cstheme="majorBidi"/>
          <w:kern w:val="22"/>
          <w:szCs w:val="22"/>
        </w:rPr>
        <w:tab/>
      </w:r>
      <w:r w:rsidRPr="00D9073D">
        <w:rPr>
          <w:rFonts w:asciiTheme="majorBidi" w:hAnsiTheme="majorBidi" w:cstheme="majorBidi"/>
          <w:i/>
          <w:kern w:val="22"/>
          <w:szCs w:val="22"/>
        </w:rPr>
        <w:t>Multi-criteria decision-making</w:t>
      </w:r>
      <w:r w:rsidRPr="00D9073D">
        <w:rPr>
          <w:rFonts w:asciiTheme="majorBidi" w:hAnsiTheme="majorBidi" w:cstheme="majorBidi"/>
          <w:kern w:val="22"/>
          <w:szCs w:val="22"/>
        </w:rPr>
        <w:t xml:space="preserve"> approaches can be used, wherever possible, when applying risk analysis, cost-benefit and cost-effectiveness analyses to support risk-based prioritization. Invasive alien </w:t>
      </w:r>
      <w:r w:rsidRPr="00D9073D">
        <w:rPr>
          <w:rFonts w:asciiTheme="majorBidi" w:hAnsiTheme="majorBidi" w:cstheme="majorBidi"/>
          <w:kern w:val="22"/>
          <w:szCs w:val="22"/>
          <w:bdr w:val="nil"/>
        </w:rPr>
        <w:t>species</w:t>
      </w:r>
      <w:r w:rsidRPr="00D9073D">
        <w:rPr>
          <w:rFonts w:asciiTheme="majorBidi" w:hAnsiTheme="majorBidi" w:cstheme="majorBidi"/>
          <w:kern w:val="22"/>
          <w:szCs w:val="22"/>
        </w:rPr>
        <w:t xml:space="preserve"> prioritized by actual or potential impacts using such rapid methods can then be considered in more detail to ensure that management, based on clear objectives, is indeed cost-effective and feasible. Multi-criteria decision-making can consider such aspects as effectiveness, practicality, feasibility, likelihood of success, cost, public acceptability, including to indigenous peoples and local communities, women and youth of proposed actions as well as any unintended negative impacts of management alongside the risks and impacts posed by the targeted invasive alien species, in line with relevant multilateral agreements. These methods involve</w:t>
      </w:r>
      <w:r w:rsidRPr="00D9073D">
        <w:rPr>
          <w:rFonts w:asciiTheme="majorBidi" w:hAnsiTheme="majorBidi" w:cstheme="majorBidi"/>
          <w:kern w:val="22"/>
          <w:szCs w:val="22"/>
          <w:shd w:val="clear" w:color="auto" w:fill="FFFFFF"/>
        </w:rPr>
        <w:t xml:space="preserve"> a structured process and can help resolve issues associated with decision-making and planning that involve multiple criteria and are</w:t>
      </w:r>
      <w:r w:rsidRPr="00D9073D">
        <w:rPr>
          <w:rFonts w:asciiTheme="majorBidi" w:hAnsiTheme="majorBidi" w:cstheme="majorBidi"/>
          <w:kern w:val="22"/>
          <w:szCs w:val="22"/>
        </w:rPr>
        <w:t xml:space="preserve"> designed to find optimal solutions to complex problems where assessment criteria or data are measured in different ways. They can also be used with expert elicitation when only incomplete or imprecise information is available.</w:t>
      </w:r>
    </w:p>
    <w:p w14:paraId="2541D149" w14:textId="77777777" w:rsidR="007523D5" w:rsidRPr="00D9073D" w:rsidRDefault="007523D5" w:rsidP="007C5A47">
      <w:pPr>
        <w:pStyle w:val="ListParagraph"/>
        <w:suppressLineNumbers/>
        <w:suppressAutoHyphens/>
        <w:spacing w:before="120" w:after="120"/>
        <w:ind w:left="0"/>
        <w:contextualSpacing w:val="0"/>
        <w:rPr>
          <w:rFonts w:asciiTheme="majorBidi" w:hAnsiTheme="majorBidi" w:cstheme="majorBidi"/>
          <w:kern w:val="22"/>
          <w:szCs w:val="22"/>
        </w:rPr>
      </w:pPr>
      <w:r w:rsidRPr="00D9073D">
        <w:rPr>
          <w:rFonts w:asciiTheme="majorBidi" w:hAnsiTheme="majorBidi" w:cstheme="majorBidi"/>
          <w:kern w:val="22"/>
          <w:szCs w:val="22"/>
        </w:rPr>
        <w:t>14.</w:t>
      </w:r>
      <w:r w:rsidRPr="00D9073D">
        <w:rPr>
          <w:rFonts w:asciiTheme="majorBidi" w:hAnsiTheme="majorBidi" w:cstheme="majorBidi"/>
          <w:kern w:val="22"/>
          <w:szCs w:val="22"/>
        </w:rPr>
        <w:tab/>
        <w:t>Multi-criteria methods to support invasive species prioritization, risk management and decision</w:t>
      </w:r>
      <w:r w:rsidRPr="00D9073D">
        <w:rPr>
          <w:rFonts w:asciiTheme="majorBidi" w:hAnsiTheme="majorBidi" w:cstheme="majorBidi"/>
          <w:kern w:val="22"/>
          <w:szCs w:val="22"/>
        </w:rPr>
        <w:noBreakHyphen/>
        <w:t>making need to be developed further. Opportunities for development include:</w:t>
      </w:r>
    </w:p>
    <w:p w14:paraId="69069A49" w14:textId="77777777" w:rsidR="007523D5" w:rsidRPr="00D9073D" w:rsidRDefault="007523D5" w:rsidP="007C5A47">
      <w:pPr>
        <w:suppressLineNumbers/>
        <w:suppressAutoHyphens/>
        <w:spacing w:after="120"/>
        <w:ind w:firstLine="720"/>
        <w:rPr>
          <w:rFonts w:asciiTheme="majorBidi" w:hAnsiTheme="majorBidi" w:cstheme="majorBidi"/>
          <w:color w:val="000000"/>
          <w:kern w:val="22"/>
          <w:szCs w:val="22"/>
          <w:u w:color="000000"/>
          <w:bdr w:val="nil"/>
        </w:rPr>
      </w:pPr>
      <w:r w:rsidRPr="00D9073D">
        <w:rPr>
          <w:rFonts w:asciiTheme="majorBidi" w:hAnsiTheme="majorBidi" w:cstheme="majorBidi"/>
          <w:color w:val="000000"/>
          <w:kern w:val="22"/>
          <w:szCs w:val="22"/>
          <w:u w:color="000000"/>
          <w:bdr w:val="nil"/>
        </w:rPr>
        <w:t>(a)</w:t>
      </w:r>
      <w:r w:rsidRPr="00D9073D">
        <w:rPr>
          <w:rFonts w:asciiTheme="majorBidi" w:hAnsiTheme="majorBidi" w:cstheme="majorBidi"/>
          <w:color w:val="000000"/>
          <w:kern w:val="22"/>
          <w:szCs w:val="22"/>
          <w:u w:color="000000"/>
          <w:bdr w:val="nil"/>
        </w:rPr>
        <w:tab/>
        <w:t>There is considerable variation in the methods and approaches to prioritization and decision making used in different countries – reviewing the strengths and weaknesses of other approaches to this issue would be valuable;</w:t>
      </w:r>
    </w:p>
    <w:p w14:paraId="3D59C846" w14:textId="77777777" w:rsidR="007523D5" w:rsidRPr="00D9073D" w:rsidRDefault="007523D5" w:rsidP="007C5A47">
      <w:pPr>
        <w:pStyle w:val="ListParagraph"/>
        <w:suppressLineNumbers/>
        <w:suppressAutoHyphens/>
        <w:spacing w:after="120"/>
        <w:ind w:left="0" w:firstLine="720"/>
        <w:contextualSpacing w:val="0"/>
        <w:rPr>
          <w:rFonts w:asciiTheme="majorBidi" w:hAnsiTheme="majorBidi" w:cstheme="majorBidi"/>
          <w:color w:val="000000"/>
          <w:kern w:val="22"/>
          <w:szCs w:val="22"/>
          <w:u w:color="000000"/>
          <w:bdr w:val="nil"/>
        </w:rPr>
      </w:pPr>
      <w:r w:rsidRPr="00D9073D">
        <w:rPr>
          <w:rFonts w:asciiTheme="majorBidi" w:hAnsiTheme="majorBidi" w:cstheme="majorBidi"/>
          <w:color w:val="000000"/>
          <w:kern w:val="22"/>
          <w:szCs w:val="22"/>
          <w:u w:color="000000"/>
          <w:bdr w:val="nil"/>
        </w:rPr>
        <w:t>(b)</w:t>
      </w:r>
      <w:r w:rsidRPr="00D9073D">
        <w:rPr>
          <w:rFonts w:asciiTheme="majorBidi" w:hAnsiTheme="majorBidi" w:cstheme="majorBidi"/>
          <w:color w:val="000000"/>
          <w:kern w:val="22"/>
          <w:szCs w:val="22"/>
          <w:u w:color="000000"/>
          <w:bdr w:val="nil"/>
        </w:rPr>
        <w:tab/>
        <w:t>Risk management as part of a larger risk analysis process is widely used in other fields, such as plant health – increased dialogue with experts from these fields would help to develop best-practice;</w:t>
      </w:r>
    </w:p>
    <w:p w14:paraId="3864F288" w14:textId="77777777" w:rsidR="007523D5" w:rsidRPr="00D9073D" w:rsidRDefault="007523D5" w:rsidP="007C5A47">
      <w:pPr>
        <w:pStyle w:val="ListParagraph"/>
        <w:suppressLineNumbers/>
        <w:suppressAutoHyphens/>
        <w:spacing w:after="120"/>
        <w:ind w:left="0" w:firstLine="720"/>
        <w:contextualSpacing w:val="0"/>
        <w:rPr>
          <w:rFonts w:asciiTheme="majorBidi" w:hAnsiTheme="majorBidi" w:cstheme="majorBidi"/>
          <w:color w:val="000000"/>
          <w:kern w:val="22"/>
          <w:szCs w:val="22"/>
          <w:u w:color="000000"/>
          <w:bdr w:val="nil"/>
        </w:rPr>
      </w:pPr>
      <w:r w:rsidRPr="00D9073D">
        <w:rPr>
          <w:rFonts w:asciiTheme="majorBidi" w:hAnsiTheme="majorBidi" w:cstheme="majorBidi"/>
          <w:color w:val="000000"/>
          <w:kern w:val="22"/>
          <w:szCs w:val="22"/>
          <w:u w:color="000000"/>
          <w:bdr w:val="nil"/>
        </w:rPr>
        <w:t>(c)</w:t>
      </w:r>
      <w:r w:rsidRPr="00D9073D">
        <w:rPr>
          <w:rFonts w:asciiTheme="majorBidi" w:hAnsiTheme="majorBidi" w:cstheme="majorBidi"/>
          <w:color w:val="000000"/>
          <w:kern w:val="22"/>
          <w:szCs w:val="22"/>
          <w:u w:color="000000"/>
          <w:bdr w:val="nil"/>
        </w:rPr>
        <w:tab/>
        <w:t>Other considerations will be needed when applying the approach to different management questions;</w:t>
      </w:r>
    </w:p>
    <w:p w14:paraId="13B921BA" w14:textId="77777777" w:rsidR="007523D5" w:rsidRPr="00D9073D" w:rsidRDefault="007523D5" w:rsidP="007C5A47">
      <w:pPr>
        <w:pStyle w:val="ListParagraph"/>
        <w:suppressLineNumbers/>
        <w:suppressAutoHyphens/>
        <w:spacing w:after="120"/>
        <w:ind w:left="0" w:firstLine="720"/>
        <w:contextualSpacing w:val="0"/>
        <w:rPr>
          <w:rFonts w:asciiTheme="majorBidi" w:hAnsiTheme="majorBidi" w:cstheme="majorBidi"/>
          <w:color w:val="000000"/>
          <w:kern w:val="22"/>
          <w:szCs w:val="22"/>
          <w:u w:color="000000"/>
          <w:bdr w:val="nil"/>
        </w:rPr>
      </w:pPr>
      <w:r w:rsidRPr="00D9073D">
        <w:rPr>
          <w:rFonts w:asciiTheme="majorBidi" w:hAnsiTheme="majorBidi" w:cstheme="majorBidi"/>
          <w:color w:val="000000"/>
          <w:kern w:val="22"/>
          <w:szCs w:val="22"/>
          <w:u w:color="000000"/>
          <w:bdr w:val="nil"/>
        </w:rPr>
        <w:t>(d)</w:t>
      </w:r>
      <w:r w:rsidRPr="00D9073D">
        <w:rPr>
          <w:rFonts w:asciiTheme="majorBidi" w:hAnsiTheme="majorBidi" w:cstheme="majorBidi"/>
          <w:color w:val="000000"/>
          <w:kern w:val="22"/>
          <w:szCs w:val="22"/>
          <w:u w:color="000000"/>
          <w:bdr w:val="nil"/>
        </w:rPr>
        <w:tab/>
        <w:t>Cases in which multi-criteria methods have been applied to invasive alien species management decision making are still limited – more trials and applications would help refine the approach;</w:t>
      </w:r>
    </w:p>
    <w:p w14:paraId="404F99A3" w14:textId="77777777" w:rsidR="007523D5" w:rsidRPr="00D9073D" w:rsidRDefault="007523D5" w:rsidP="007C5A47">
      <w:pPr>
        <w:suppressLineNumbers/>
        <w:suppressAutoHyphens/>
        <w:spacing w:after="120"/>
        <w:ind w:firstLine="720"/>
        <w:rPr>
          <w:rFonts w:asciiTheme="majorBidi" w:hAnsiTheme="majorBidi" w:cstheme="majorBidi"/>
          <w:kern w:val="22"/>
        </w:rPr>
      </w:pPr>
      <w:r w:rsidRPr="00D9073D">
        <w:rPr>
          <w:rFonts w:asciiTheme="majorBidi" w:hAnsiTheme="majorBidi" w:cstheme="majorBidi"/>
          <w:kern w:val="22"/>
        </w:rPr>
        <w:t>(e)</w:t>
      </w:r>
      <w:r w:rsidRPr="00D9073D">
        <w:rPr>
          <w:rFonts w:asciiTheme="majorBidi" w:hAnsiTheme="majorBidi" w:cstheme="majorBidi"/>
          <w:kern w:val="22"/>
        </w:rPr>
        <w:tab/>
        <w:t>Where possible, published quantitative data should be used to underpin decision-making, in order to better identify and access key information.</w:t>
      </w:r>
    </w:p>
    <w:p w14:paraId="48C5DD7A" w14:textId="77777777" w:rsidR="007523D5" w:rsidRPr="00D9073D" w:rsidRDefault="007523D5" w:rsidP="007C5A47">
      <w:pPr>
        <w:suppressLineNumbers/>
        <w:suppressAutoHyphens/>
        <w:spacing w:before="120" w:after="120"/>
        <w:rPr>
          <w:rFonts w:asciiTheme="majorBidi" w:hAnsiTheme="majorBidi" w:cstheme="majorBidi"/>
          <w:kern w:val="22"/>
        </w:rPr>
      </w:pPr>
      <w:r w:rsidRPr="00D9073D">
        <w:rPr>
          <w:rFonts w:asciiTheme="majorBidi" w:hAnsiTheme="majorBidi" w:cstheme="majorBidi"/>
          <w:kern w:val="22"/>
        </w:rPr>
        <w:t>15.</w:t>
      </w:r>
      <w:r w:rsidRPr="00D9073D">
        <w:rPr>
          <w:rFonts w:asciiTheme="majorBidi" w:hAnsiTheme="majorBidi" w:cstheme="majorBidi"/>
          <w:kern w:val="22"/>
        </w:rPr>
        <w:tab/>
        <w:t>It is suggested that guidelines be developed in order to more explicitly include social and cultural values when assessing the costs, benefits and prioritization of management. This could build on existing processes (for example, Socio-economic Impact Classification of Alien Taxa (SEICAT)) and international best practices on stakeholder engagement in decision-making. Decisions and risk analyses should be based on science and should follow international standards agreed under relevant international organizations, such as the agreement on the application of sanitary and phytosanitary measures, as appropriate.</w:t>
      </w:r>
    </w:p>
    <w:p w14:paraId="69CE744C" w14:textId="77777777" w:rsidR="007523D5" w:rsidRPr="00D9073D" w:rsidRDefault="007523D5" w:rsidP="007C5A47">
      <w:pPr>
        <w:suppressLineNumbers/>
        <w:suppressAutoHyphens/>
        <w:spacing w:before="120" w:after="120"/>
        <w:rPr>
          <w:rFonts w:asciiTheme="majorBidi" w:hAnsiTheme="majorBidi" w:cstheme="majorBidi"/>
          <w:kern w:val="22"/>
        </w:rPr>
      </w:pPr>
      <w:r w:rsidRPr="00D9073D">
        <w:rPr>
          <w:rFonts w:asciiTheme="majorBidi" w:hAnsiTheme="majorBidi" w:cstheme="majorBidi"/>
          <w:kern w:val="22"/>
        </w:rPr>
        <w:t>16.</w:t>
      </w:r>
      <w:r w:rsidRPr="00D9073D">
        <w:rPr>
          <w:rFonts w:asciiTheme="majorBidi" w:hAnsiTheme="majorBidi" w:cstheme="majorBidi"/>
          <w:kern w:val="22"/>
        </w:rPr>
        <w:tab/>
        <w:t>It is recommended that efforts be made to increase the accessibility of data and vocabulary on management activities across species and ecosystems to support evidence-based management prioritization and decision-making. This will be assisted by the creation of common approaches to sharing and reporting experience and information, common data formats that include information on the taxon, management objective, cost and/or effort, area covered and the outcome of management. To promote the production of prioritized lists for action, there is a need for knowledge exchange, training and capacity</w:t>
      </w:r>
      <w:r w:rsidRPr="00D9073D">
        <w:rPr>
          <w:rFonts w:asciiTheme="majorBidi" w:hAnsiTheme="majorBidi" w:cstheme="majorBidi"/>
          <w:kern w:val="22"/>
        </w:rPr>
        <w:noBreakHyphen/>
        <w:t>building.</w:t>
      </w:r>
    </w:p>
    <w:p w14:paraId="1C296BBB" w14:textId="2343745E" w:rsidR="007523D5" w:rsidRPr="0027619F" w:rsidRDefault="007523D5" w:rsidP="00B20490">
      <w:pPr>
        <w:suppressLineNumbers/>
        <w:suppressAutoHyphens/>
        <w:spacing w:before="120" w:after="120"/>
        <w:rPr>
          <w:rFonts w:asciiTheme="majorBidi" w:hAnsiTheme="majorBidi" w:cstheme="majorBidi"/>
          <w:kern w:val="22"/>
        </w:rPr>
      </w:pPr>
      <w:r w:rsidRPr="00D9073D">
        <w:rPr>
          <w:rFonts w:asciiTheme="majorBidi" w:hAnsiTheme="majorBidi" w:cstheme="majorBidi"/>
          <w:kern w:val="22"/>
        </w:rPr>
        <w:t>17.</w:t>
      </w:r>
      <w:r w:rsidRPr="00D9073D">
        <w:rPr>
          <w:rFonts w:asciiTheme="majorBidi" w:hAnsiTheme="majorBidi" w:cstheme="majorBidi"/>
          <w:kern w:val="22"/>
        </w:rPr>
        <w:tab/>
        <w:t>It is recommended that, in communicating risks associated with invasive alien species it be highlighted that these risks can affect biodiversity and the economy of indigenous regions/peoples and local communities as well as public health.</w:t>
      </w:r>
    </w:p>
    <w:p w14:paraId="093DED31" w14:textId="77777777" w:rsidR="007523D5" w:rsidRPr="0027619F" w:rsidRDefault="007523D5" w:rsidP="00B20490">
      <w:pPr>
        <w:keepNext/>
        <w:suppressLineNumbers/>
        <w:suppressAutoHyphens/>
        <w:spacing w:before="120" w:after="120"/>
        <w:jc w:val="center"/>
        <w:rPr>
          <w:i/>
          <w:snapToGrid w:val="0"/>
          <w:kern w:val="22"/>
          <w:szCs w:val="22"/>
        </w:rPr>
      </w:pPr>
      <w:bookmarkStart w:id="317" w:name="_Toc118355050"/>
      <w:r w:rsidRPr="0027619F">
        <w:rPr>
          <w:i/>
          <w:snapToGrid w:val="0"/>
          <w:kern w:val="22"/>
          <w:szCs w:val="22"/>
        </w:rPr>
        <w:t>Annex II</w:t>
      </w:r>
      <w:bookmarkEnd w:id="317"/>
    </w:p>
    <w:p w14:paraId="27C128A0" w14:textId="77777777" w:rsidR="007523D5" w:rsidRPr="0027619F" w:rsidRDefault="007523D5" w:rsidP="0040286E">
      <w:pPr>
        <w:keepNext/>
        <w:suppressLineNumbers/>
        <w:suppressAutoHyphens/>
        <w:spacing w:before="120" w:after="120"/>
        <w:jc w:val="center"/>
        <w:rPr>
          <w:rFonts w:asciiTheme="majorBidi" w:hAnsiTheme="majorBidi" w:cstheme="majorBidi"/>
          <w:b/>
          <w:caps/>
          <w:kern w:val="22"/>
        </w:rPr>
      </w:pPr>
      <w:bookmarkStart w:id="318" w:name="_Toc118355051"/>
      <w:r w:rsidRPr="0027619F">
        <w:rPr>
          <w:rFonts w:asciiTheme="majorBidi" w:hAnsiTheme="majorBidi" w:cstheme="majorBidi"/>
          <w:b/>
          <w:caps/>
          <w:kern w:val="22"/>
        </w:rPr>
        <w:t>Draft methods, tools and measures for identification and minimization of additional risks associated with cross-border e-commerce in live organisms and the impacts thereof</w:t>
      </w:r>
      <w:bookmarkEnd w:id="318"/>
    </w:p>
    <w:p w14:paraId="384041F7" w14:textId="77777777" w:rsidR="007523D5" w:rsidRPr="00D9073D" w:rsidRDefault="007523D5" w:rsidP="007C5A47">
      <w:pPr>
        <w:keepNext/>
        <w:suppressLineNumbers/>
        <w:suppressAutoHyphens/>
        <w:spacing w:before="120" w:after="120"/>
        <w:jc w:val="center"/>
        <w:rPr>
          <w:rFonts w:asciiTheme="majorBidi" w:hAnsiTheme="majorBidi" w:cstheme="majorBidi"/>
        </w:rPr>
      </w:pPr>
      <w:r w:rsidRPr="00D9073D">
        <w:rPr>
          <w:rFonts w:asciiTheme="majorBidi" w:hAnsiTheme="majorBidi" w:cstheme="majorBidi"/>
          <w:b/>
          <w:caps/>
          <w:kern w:val="22"/>
        </w:rPr>
        <w:t>(Provisional advice pursuant to decision 14/11, annex II, paragraph 1 (b))</w:t>
      </w:r>
    </w:p>
    <w:p w14:paraId="142F7148" w14:textId="77777777" w:rsidR="007523D5" w:rsidRPr="00D9073D" w:rsidRDefault="007523D5" w:rsidP="007C5A47">
      <w:pPr>
        <w:pStyle w:val="heading2notforTOC"/>
        <w:outlineLvl w:val="9"/>
        <w:rPr>
          <w:i w:val="0"/>
          <w:iCs w:val="0"/>
          <w:color w:val="000000"/>
          <w:szCs w:val="22"/>
          <w:u w:color="000000"/>
          <w:bdr w:val="nil"/>
          <w:lang w:val="en-US"/>
        </w:rPr>
      </w:pPr>
      <w:r w:rsidRPr="00D9073D">
        <w:rPr>
          <w:szCs w:val="22"/>
        </w:rPr>
        <w:t>A.</w:t>
      </w:r>
      <w:r w:rsidRPr="00D9073D">
        <w:rPr>
          <w:szCs w:val="22"/>
        </w:rPr>
        <w:tab/>
        <w:t>Suggested actions for national and/or subnational authorities/border agencies</w:t>
      </w:r>
    </w:p>
    <w:p w14:paraId="7B1994BE" w14:textId="77777777" w:rsidR="007523D5" w:rsidRPr="00D9073D" w:rsidRDefault="007523D5" w:rsidP="007C5A47">
      <w:pPr>
        <w:jc w:val="center"/>
        <w:rPr>
          <w:i/>
          <w:iCs/>
          <w:kern w:val="22"/>
          <w:szCs w:val="22"/>
        </w:rPr>
      </w:pPr>
      <w:r w:rsidRPr="00D9073D">
        <w:rPr>
          <w:i/>
          <w:iCs/>
          <w:kern w:val="22"/>
          <w:szCs w:val="22"/>
        </w:rPr>
        <w:t>1.</w:t>
      </w:r>
      <w:r w:rsidRPr="00D9073D">
        <w:rPr>
          <w:i/>
          <w:iCs/>
          <w:kern w:val="22"/>
          <w:szCs w:val="22"/>
        </w:rPr>
        <w:tab/>
        <w:t>Legislation and policy set by States</w:t>
      </w:r>
    </w:p>
    <w:p w14:paraId="1F6C4911" w14:textId="77777777" w:rsidR="007523D5" w:rsidRPr="00D9073D" w:rsidRDefault="007523D5" w:rsidP="007C5A47">
      <w:pPr>
        <w:suppressLineNumbers/>
        <w:suppressAutoHyphens/>
        <w:spacing w:before="120" w:after="120"/>
        <w:rPr>
          <w:i/>
          <w:iCs/>
          <w:kern w:val="22"/>
        </w:rPr>
      </w:pPr>
      <w:r w:rsidRPr="00D9073D">
        <w:rPr>
          <w:kern w:val="22"/>
        </w:rPr>
        <w:t>1.</w:t>
      </w:r>
      <w:r w:rsidRPr="00D9073D">
        <w:rPr>
          <w:kern w:val="22"/>
        </w:rPr>
        <w:tab/>
        <w:t>Investigate and evaluate the risks posed by all forms of e-commerce to the introduction and spread of invasive alien species and their parts and, if necessary, develop and implement appropriate risk management activities. See also decision XII/17, paragraph 9 (d).</w:t>
      </w:r>
    </w:p>
    <w:p w14:paraId="183BD763" w14:textId="77777777" w:rsidR="007523D5" w:rsidRPr="00D9073D" w:rsidRDefault="007523D5" w:rsidP="007C5A47">
      <w:pPr>
        <w:suppressLineNumbers/>
        <w:suppressAutoHyphens/>
        <w:spacing w:before="120" w:after="120"/>
        <w:rPr>
          <w:kern w:val="22"/>
        </w:rPr>
      </w:pPr>
      <w:r w:rsidRPr="00D9073D">
        <w:rPr>
          <w:kern w:val="22"/>
        </w:rPr>
        <w:t>2.</w:t>
      </w:r>
      <w:r w:rsidRPr="00D9073D">
        <w:rPr>
          <w:kern w:val="22"/>
        </w:rPr>
        <w:tab/>
        <w:t>Implement when addressing trade with invasive alien species through e-commerce, decision XIII/13, paragraphs 7 and 8, and use the voluntary guidance on devising and implementing measures to address the risks associated with the introduction of alien species as pets, aquarium and terrarium species, and as live bait and live food (decision XII/16) and the supplementary guidance for avoiding unintentional introductions of invasive alien species associated with trade in live organisms (decision 14/11), as relevant.</w:t>
      </w:r>
    </w:p>
    <w:p w14:paraId="4AC2AC02" w14:textId="77777777" w:rsidR="007523D5" w:rsidRPr="00D9073D" w:rsidRDefault="007523D5" w:rsidP="007C5A47">
      <w:pPr>
        <w:suppressLineNumbers/>
        <w:suppressAutoHyphens/>
        <w:spacing w:before="120" w:after="120"/>
        <w:rPr>
          <w:kern w:val="22"/>
        </w:rPr>
      </w:pPr>
      <w:r w:rsidRPr="00D9073D">
        <w:rPr>
          <w:kern w:val="22"/>
        </w:rPr>
        <w:t>3.</w:t>
      </w:r>
      <w:r w:rsidRPr="00D9073D">
        <w:rPr>
          <w:kern w:val="22"/>
        </w:rPr>
        <w:tab/>
        <w:t>Review existing national and/or subnational legislation, regulations and policies to verify that e</w:t>
      </w:r>
      <w:r w:rsidRPr="00D9073D">
        <w:rPr>
          <w:kern w:val="22"/>
        </w:rPr>
        <w:noBreakHyphen/>
        <w:t>commerce is adequately addressed or make changes as needed to ensure that enforcement actions can be taken,</w:t>
      </w:r>
      <w:r w:rsidRPr="00D9073D">
        <w:t xml:space="preserve"> </w:t>
      </w:r>
      <w:r w:rsidRPr="00D9073D">
        <w:rPr>
          <w:kern w:val="22"/>
        </w:rPr>
        <w:t>in accordance with decision XIII/13, paragraph 2.</w:t>
      </w:r>
    </w:p>
    <w:p w14:paraId="294DA7AA" w14:textId="77777777" w:rsidR="007523D5" w:rsidRPr="00D9073D" w:rsidRDefault="007523D5" w:rsidP="007C5A47">
      <w:pPr>
        <w:suppressLineNumbers/>
        <w:suppressAutoHyphens/>
        <w:spacing w:before="120" w:after="120"/>
        <w:rPr>
          <w:kern w:val="22"/>
        </w:rPr>
      </w:pPr>
      <w:r w:rsidRPr="00D9073D">
        <w:rPr>
          <w:kern w:val="22"/>
        </w:rPr>
        <w:t>4.</w:t>
      </w:r>
      <w:r w:rsidRPr="00D9073D">
        <w:rPr>
          <w:kern w:val="22"/>
        </w:rPr>
        <w:tab/>
        <w:t>Establish mechanisms to identify commodities of concern that may be obtained via e-commerce with a focus on high and potential high-risk consignments, such as soils, growing media, and living organisms.</w:t>
      </w:r>
    </w:p>
    <w:p w14:paraId="2325DD8E" w14:textId="77777777" w:rsidR="007523D5" w:rsidRPr="00D9073D" w:rsidRDefault="007523D5" w:rsidP="007C5A47">
      <w:pPr>
        <w:suppressLineNumbers/>
        <w:suppressAutoHyphens/>
        <w:spacing w:before="120" w:after="120"/>
        <w:rPr>
          <w:kern w:val="22"/>
        </w:rPr>
      </w:pPr>
      <w:r w:rsidRPr="00D9073D">
        <w:rPr>
          <w:kern w:val="22"/>
        </w:rPr>
        <w:t>5.</w:t>
      </w:r>
      <w:r w:rsidRPr="00D9073D">
        <w:rPr>
          <w:kern w:val="22"/>
        </w:rPr>
        <w:tab/>
        <w:t>Consider the use of lists that specify which species may be imported and restrict the remainder, rather than lists that only identify those species whose import is prohibited or restricted, in the interests of preventing the unintended introduction of invasive alien species, and especially in the case of countries that are vulnerable to invasive alien species, such as small island developing States, island countries, and countries with islands. These considerations should be consistent with the guidance contained in decisions XII/16, paragraph 23,</w:t>
      </w:r>
      <w:r w:rsidRPr="00610646">
        <w:rPr>
          <w:rStyle w:val="FootnoteReference"/>
        </w:rPr>
        <w:footnoteReference w:id="347"/>
      </w:r>
      <w:r w:rsidRPr="00D9073D">
        <w:rPr>
          <w:kern w:val="22"/>
        </w:rPr>
        <w:t xml:space="preserve"> and decision 14/11</w:t>
      </w:r>
      <w:r>
        <w:rPr>
          <w:kern w:val="22"/>
        </w:rPr>
        <w:t>, paragraph 11</w:t>
      </w:r>
      <w:r w:rsidRPr="00D9073D">
        <w:rPr>
          <w:kern w:val="22"/>
        </w:rPr>
        <w:t>(a),</w:t>
      </w:r>
      <w:r w:rsidRPr="00610646">
        <w:rPr>
          <w:rStyle w:val="FootnoteReference"/>
        </w:rPr>
        <w:footnoteReference w:id="348"/>
      </w:r>
      <w:r w:rsidRPr="00D9073D">
        <w:rPr>
          <w:kern w:val="22"/>
        </w:rPr>
        <w:t xml:space="preserve"> as well as other applicable international obligations and standards, including those recognized by the World Trade Organization Agreement on the General Agreement on Trade in Services (GATS) that are relevant for cross-border e-commerce, as well as in accordance with decisions XII/16, paragraph 22 and 14/11, paragraph 11(a).</w:t>
      </w:r>
    </w:p>
    <w:p w14:paraId="7EB15E48" w14:textId="77777777" w:rsidR="007523D5" w:rsidRPr="00D9073D" w:rsidRDefault="007523D5" w:rsidP="004F4DDA">
      <w:pPr>
        <w:spacing w:before="120" w:after="120"/>
        <w:jc w:val="center"/>
        <w:rPr>
          <w:i/>
          <w:iCs/>
          <w:kern w:val="22"/>
          <w:szCs w:val="22"/>
        </w:rPr>
      </w:pPr>
      <w:r w:rsidRPr="00D9073D">
        <w:rPr>
          <w:i/>
          <w:iCs/>
          <w:kern w:val="22"/>
          <w:szCs w:val="22"/>
        </w:rPr>
        <w:t>2.</w:t>
      </w:r>
      <w:r w:rsidRPr="00D9073D">
        <w:rPr>
          <w:i/>
          <w:iCs/>
          <w:kern w:val="22"/>
          <w:szCs w:val="22"/>
        </w:rPr>
        <w:tab/>
        <w:t>Indigenous peoples, local communities and relevant stakeholders’</w:t>
      </w:r>
      <w:r w:rsidRPr="00D9073D" w:rsidDel="00B469C2">
        <w:rPr>
          <w:i/>
          <w:iCs/>
          <w:kern w:val="22"/>
          <w:szCs w:val="22"/>
        </w:rPr>
        <w:t xml:space="preserve"> </w:t>
      </w:r>
      <w:r w:rsidRPr="00D9073D">
        <w:rPr>
          <w:i/>
          <w:iCs/>
          <w:kern w:val="22"/>
          <w:szCs w:val="22"/>
        </w:rPr>
        <w:t>engagement</w:t>
      </w:r>
    </w:p>
    <w:p w14:paraId="757AFE38" w14:textId="77777777" w:rsidR="007523D5" w:rsidRPr="00D9073D" w:rsidRDefault="007523D5" w:rsidP="007C5A47">
      <w:pPr>
        <w:suppressLineNumbers/>
        <w:suppressAutoHyphens/>
        <w:spacing w:after="120"/>
        <w:rPr>
          <w:kern w:val="22"/>
        </w:rPr>
      </w:pPr>
      <w:r w:rsidRPr="00D9073D">
        <w:rPr>
          <w:kern w:val="22"/>
        </w:rPr>
        <w:t>6.</w:t>
      </w:r>
      <w:r w:rsidRPr="00D9073D">
        <w:rPr>
          <w:kern w:val="22"/>
        </w:rPr>
        <w:tab/>
        <w:t>In accordance with decision XIII/13, paragraph 7, develop mechanisms, in collaboration with e-commerce stakeholders, for identification of e-commerce traders, their locations and other stakeholders with a view to facilitating inter</w:t>
      </w:r>
      <w:r w:rsidRPr="00D9073D">
        <w:rPr>
          <w:kern w:val="22"/>
        </w:rPr>
        <w:noBreakHyphen/>
        <w:t>agency and multi-stakeholder participation and cooperation.</w:t>
      </w:r>
    </w:p>
    <w:p w14:paraId="0A77932C" w14:textId="77777777" w:rsidR="007523D5" w:rsidRPr="00D9073D" w:rsidRDefault="007523D5" w:rsidP="007C5A47">
      <w:pPr>
        <w:suppressLineNumbers/>
        <w:suppressAutoHyphens/>
        <w:spacing w:before="120" w:after="120"/>
        <w:rPr>
          <w:kern w:val="22"/>
        </w:rPr>
      </w:pPr>
      <w:r w:rsidRPr="00D9073D">
        <w:rPr>
          <w:kern w:val="22"/>
        </w:rPr>
        <w:t>7.</w:t>
      </w:r>
      <w:r w:rsidRPr="00D9073D">
        <w:rPr>
          <w:kern w:val="22"/>
        </w:rPr>
        <w:tab/>
        <w:t>Engage with indigenous peoples and local communities, women and youth, as well as the wider community and general public for detection of early incursion, establishment or spread of invasive alien species, including from e-commerce, across traditional lands and waters, as well as the wider community and general public.</w:t>
      </w:r>
    </w:p>
    <w:p w14:paraId="2855B6F5" w14:textId="77777777" w:rsidR="007523D5" w:rsidRPr="00D9073D" w:rsidRDefault="007523D5" w:rsidP="007C5A47">
      <w:pPr>
        <w:suppressLineNumbers/>
        <w:suppressAutoHyphens/>
        <w:spacing w:before="120" w:after="120"/>
        <w:rPr>
          <w:kern w:val="22"/>
        </w:rPr>
      </w:pPr>
      <w:r w:rsidRPr="00D9073D">
        <w:rPr>
          <w:kern w:val="22"/>
        </w:rPr>
        <w:t>8.</w:t>
      </w:r>
      <w:r w:rsidRPr="00D9073D">
        <w:rPr>
          <w:kern w:val="22"/>
        </w:rPr>
        <w:tab/>
        <w:t>Ensure, in accordance with decision 14/11, paragraph 10, compliance with the sanitary, phytosanitary and veterinary import requirements of importing countries among e-commerce customers and traders by providing quality information on the risks to the customer’s country (legal, environmental and health related).</w:t>
      </w:r>
    </w:p>
    <w:p w14:paraId="7B58A2C7" w14:textId="77777777" w:rsidR="007523D5" w:rsidRPr="00D9073D" w:rsidRDefault="007523D5" w:rsidP="007C5A47">
      <w:pPr>
        <w:suppressLineNumbers/>
        <w:suppressAutoHyphens/>
        <w:spacing w:before="120" w:after="120"/>
        <w:rPr>
          <w:kern w:val="22"/>
        </w:rPr>
      </w:pPr>
      <w:r w:rsidRPr="00D9073D">
        <w:rPr>
          <w:kern w:val="22"/>
        </w:rPr>
        <w:t>9.</w:t>
      </w:r>
      <w:r w:rsidRPr="00D9073D">
        <w:rPr>
          <w:kern w:val="22"/>
        </w:rPr>
        <w:tab/>
        <w:t>Strengthen coordination with postal and express courier services to ensure that relevant information on the risks and preventive measures are conveyed to e-commerce users in accordance with decision XII/16, paragraph 24, and taking into consideration decision 14/11, annex I, paragraphs 7, 9-11, 13 and 29.</w:t>
      </w:r>
    </w:p>
    <w:p w14:paraId="12699AF7" w14:textId="77777777" w:rsidR="007523D5" w:rsidRPr="00D9073D" w:rsidRDefault="007523D5" w:rsidP="007C5A47">
      <w:pPr>
        <w:suppressLineNumbers/>
        <w:suppressAutoHyphens/>
        <w:spacing w:before="120" w:after="120"/>
        <w:rPr>
          <w:kern w:val="22"/>
        </w:rPr>
      </w:pPr>
      <w:r w:rsidRPr="00D9073D">
        <w:rPr>
          <w:kern w:val="22"/>
        </w:rPr>
        <w:t>10.</w:t>
      </w:r>
      <w:r w:rsidRPr="00D9073D">
        <w:rPr>
          <w:kern w:val="22"/>
        </w:rPr>
        <w:tab/>
        <w:t xml:space="preserve">Ensure, in collaboration with national and regional trade authorities, that import/export requirements are up-to-date, clear and accessible to e-commerce traders, </w:t>
      </w:r>
      <w:r w:rsidRPr="00D9073D">
        <w:t>indigenous peoples, local communities and relevant stakeholders.</w:t>
      </w:r>
    </w:p>
    <w:p w14:paraId="786AB425" w14:textId="77777777" w:rsidR="007523D5" w:rsidRPr="00D9073D" w:rsidRDefault="007523D5" w:rsidP="007C5A47">
      <w:pPr>
        <w:suppressLineNumbers/>
        <w:suppressAutoHyphens/>
        <w:spacing w:before="120" w:after="120"/>
        <w:rPr>
          <w:kern w:val="22"/>
        </w:rPr>
      </w:pPr>
      <w:r w:rsidRPr="00D9073D">
        <w:rPr>
          <w:kern w:val="22"/>
        </w:rPr>
        <w:t>11.</w:t>
      </w:r>
      <w:r w:rsidRPr="00D9073D">
        <w:rPr>
          <w:kern w:val="22"/>
        </w:rPr>
        <w:tab/>
        <w:t xml:space="preserve">Aim to inform both sellers and buyers about potentially invasive alien species, focusing on their legal responsibility. Both social media and specialized media, such as pet magazines/journals/books, especially </w:t>
      </w:r>
      <w:r w:rsidRPr="00D9073D">
        <w:t>journals</w:t>
      </w:r>
      <w:r w:rsidRPr="00D9073D">
        <w:rPr>
          <w:kern w:val="22"/>
        </w:rPr>
        <w:t xml:space="preserve"> from pet or plant association/society and multi-agency targeted publicity campaigns should be used to disseminate correct information, aiming to shift consumer values (e.g. towards native and non-invasive species) and to change behaviours (e.g. to prevent impulse purchase of invasive alien species)</w:t>
      </w:r>
      <w:r w:rsidRPr="00D9073D">
        <w:t xml:space="preserve"> </w:t>
      </w:r>
      <w:r w:rsidRPr="00D9073D">
        <w:rPr>
          <w:kern w:val="22"/>
        </w:rPr>
        <w:t>in accordance with decision XIII/13, paragraph 7(a).</w:t>
      </w:r>
    </w:p>
    <w:p w14:paraId="308DD50C" w14:textId="77777777" w:rsidR="007523D5" w:rsidRPr="00D9073D" w:rsidRDefault="007523D5" w:rsidP="007C5A47">
      <w:pPr>
        <w:suppressLineNumbers/>
        <w:suppressAutoHyphens/>
        <w:spacing w:before="120" w:after="120"/>
        <w:rPr>
          <w:kern w:val="22"/>
        </w:rPr>
      </w:pPr>
      <w:r w:rsidRPr="00D9073D">
        <w:rPr>
          <w:kern w:val="22"/>
        </w:rPr>
        <w:t>12.</w:t>
      </w:r>
      <w:r w:rsidRPr="00D9073D">
        <w:rPr>
          <w:kern w:val="22"/>
        </w:rPr>
        <w:tab/>
        <w:t>Encourage, taking into consideration decision XIII/13, paragraph 7, e-commerce platforms and e</w:t>
      </w:r>
      <w:r w:rsidRPr="00D9073D">
        <w:rPr>
          <w:kern w:val="22"/>
        </w:rPr>
        <w:noBreakHyphen/>
        <w:t xml:space="preserve">payment </w:t>
      </w:r>
      <w:r w:rsidRPr="00D9073D">
        <w:t>service</w:t>
      </w:r>
      <w:r w:rsidRPr="00D9073D">
        <w:rPr>
          <w:kern w:val="22"/>
        </w:rPr>
        <w:t xml:space="preserve"> providers, postal and express courier services to adhere to national regulations, international standards and guidance on invasive alien species in their operations, in consistency with other international obligations.</w:t>
      </w:r>
    </w:p>
    <w:p w14:paraId="4C32EC86" w14:textId="77777777" w:rsidR="007523D5" w:rsidRPr="00D9073D" w:rsidRDefault="007523D5" w:rsidP="007C5A47">
      <w:pPr>
        <w:suppressLineNumbers/>
        <w:suppressAutoHyphens/>
        <w:spacing w:before="120" w:after="120"/>
        <w:rPr>
          <w:kern w:val="22"/>
        </w:rPr>
      </w:pPr>
      <w:r w:rsidRPr="00D9073D">
        <w:rPr>
          <w:kern w:val="22"/>
        </w:rPr>
        <w:t>13.</w:t>
      </w:r>
      <w:r w:rsidRPr="00D9073D">
        <w:rPr>
          <w:kern w:val="22"/>
        </w:rPr>
        <w:tab/>
        <w:t>Consider implementing the Single Window</w:t>
      </w:r>
      <w:r w:rsidRPr="00610646">
        <w:rPr>
          <w:rStyle w:val="FootnoteReference"/>
        </w:rPr>
        <w:footnoteReference w:id="349"/>
      </w:r>
      <w:r w:rsidRPr="00D9073D">
        <w:rPr>
          <w:kern w:val="22"/>
        </w:rPr>
        <w:t xml:space="preserve"> approach, which allows the sharing of standardized information and documents with a single-entry point to fulfil all import, export and transit-related regulatory requirements. Its implementation at the national and/or subnational level may facilitate reporting on regulated articles (including live alien organisms with phytosanitary and sanitary risks, and risks to biodiversity), taking into account decision XII/16, paragraph 6, decision XIII/13, paragraph 7(c) and decision 14/11, annex I, paragraph 33.</w:t>
      </w:r>
    </w:p>
    <w:p w14:paraId="58A8AF3D" w14:textId="77777777" w:rsidR="007523D5" w:rsidRPr="00D9073D" w:rsidRDefault="007523D5" w:rsidP="007C5A47">
      <w:pPr>
        <w:suppressLineNumbers/>
        <w:suppressAutoHyphens/>
        <w:spacing w:before="120" w:after="120"/>
        <w:rPr>
          <w:kern w:val="22"/>
        </w:rPr>
      </w:pPr>
      <w:r w:rsidRPr="00D9073D">
        <w:rPr>
          <w:kern w:val="22"/>
        </w:rPr>
        <w:t>14.</w:t>
      </w:r>
      <w:r w:rsidRPr="00D9073D">
        <w:rPr>
          <w:kern w:val="22"/>
        </w:rPr>
        <w:tab/>
        <w:t>Establish legal and policy frameworks that allow for the advanced international electronic sharing and exchange of data between all actors involved in the international supply chain, as appropriate, and use these data to triage packages and determine the level of inspection needed (risk-based inspection).</w:t>
      </w:r>
    </w:p>
    <w:p w14:paraId="5A5799D7" w14:textId="77777777" w:rsidR="007523D5" w:rsidRPr="00D9073D" w:rsidRDefault="007523D5" w:rsidP="007C5A47">
      <w:pPr>
        <w:jc w:val="center"/>
        <w:rPr>
          <w:i/>
          <w:iCs/>
          <w:kern w:val="22"/>
          <w:szCs w:val="22"/>
        </w:rPr>
      </w:pPr>
      <w:r w:rsidRPr="00D9073D">
        <w:rPr>
          <w:i/>
          <w:iCs/>
          <w:kern w:val="22"/>
          <w:szCs w:val="22"/>
        </w:rPr>
        <w:t>3.</w:t>
      </w:r>
      <w:r w:rsidRPr="00D9073D">
        <w:rPr>
          <w:i/>
          <w:iCs/>
          <w:kern w:val="22"/>
          <w:szCs w:val="22"/>
        </w:rPr>
        <w:tab/>
        <w:t>Monitoring and compliance</w:t>
      </w:r>
    </w:p>
    <w:p w14:paraId="6DB5AF69" w14:textId="77777777" w:rsidR="007523D5" w:rsidRPr="00D9073D" w:rsidRDefault="007523D5" w:rsidP="007C5A47">
      <w:pPr>
        <w:suppressLineNumbers/>
        <w:pBdr>
          <w:top w:val="nil"/>
          <w:left w:val="nil"/>
          <w:bottom w:val="nil"/>
          <w:right w:val="nil"/>
          <w:between w:val="nil"/>
        </w:pBdr>
        <w:suppressAutoHyphens/>
        <w:spacing w:before="120"/>
        <w:rPr>
          <w:color w:val="000000"/>
          <w:kern w:val="22"/>
          <w:szCs w:val="22"/>
        </w:rPr>
      </w:pPr>
      <w:r w:rsidRPr="00D9073D">
        <w:rPr>
          <w:color w:val="000000"/>
          <w:kern w:val="22"/>
          <w:szCs w:val="22"/>
        </w:rPr>
        <w:t>15.</w:t>
      </w:r>
      <w:r w:rsidRPr="00D9073D">
        <w:rPr>
          <w:color w:val="000000"/>
          <w:kern w:val="22"/>
          <w:szCs w:val="22"/>
        </w:rPr>
        <w:tab/>
      </w:r>
      <w:r w:rsidRPr="00D9073D">
        <w:rPr>
          <w:kern w:val="22"/>
          <w:szCs w:val="22"/>
        </w:rPr>
        <w:t xml:space="preserve">Gather data, taking into consideration decision 14/11, annex I, paragraphs 34-36, and in compliance with national legislation and circumstances, using all available means and tools (e.g. crowdsourcing) to monitor compliance and to evaluate the efficacy of activities that are implemented to mitigate risks associated with e-commerce. The data collected should be used, together with other relevant information including compliance history, and relevant information from indigenous peoples and local communities with their free, prior and informed consent, to inform risk-based inspections and determine if investigation or enforcement action is needed. </w:t>
      </w:r>
      <w:r w:rsidRPr="00D9073D">
        <w:rPr>
          <w:color w:val="000000"/>
          <w:kern w:val="22"/>
          <w:szCs w:val="22"/>
        </w:rPr>
        <w:t>Data analytics should be applied to discern any abnormal trends and patterns, including potential invasive alien species incursion and impact risks.</w:t>
      </w:r>
    </w:p>
    <w:p w14:paraId="6E1734F8" w14:textId="77777777" w:rsidR="007523D5" w:rsidRPr="00D9073D" w:rsidRDefault="007523D5" w:rsidP="007C5A47">
      <w:pPr>
        <w:suppressLineNumbers/>
        <w:suppressAutoHyphens/>
        <w:spacing w:before="120" w:after="120"/>
        <w:rPr>
          <w:kern w:val="22"/>
        </w:rPr>
      </w:pPr>
      <w:r w:rsidRPr="00D9073D">
        <w:rPr>
          <w:kern w:val="22"/>
        </w:rPr>
        <w:t>16.</w:t>
      </w:r>
      <w:r w:rsidRPr="00D9073D">
        <w:rPr>
          <w:kern w:val="22"/>
        </w:rPr>
        <w:tab/>
        <w:t>Disseminate good practices and risk-based interventions using best practice methods of data analytics to facilitate legitimate e-commerce and, at the same time, identify and stop illicit trade. Wherever possible, prioritize the use of non-intrusive inspection (NII) technologies, and promote the adequacy of existing technologies e.g. scanners, sniffer dogs and other available tools for the detection of invasive alien species, and the further development of automated biosensors to improve efficient detection of prohibited and restricted articles moving through the express courier and postal systems.</w:t>
      </w:r>
    </w:p>
    <w:p w14:paraId="0B58089B" w14:textId="77777777" w:rsidR="007523D5" w:rsidRPr="00D9073D" w:rsidRDefault="007523D5" w:rsidP="007C5A47">
      <w:pPr>
        <w:suppressLineNumbers/>
        <w:pBdr>
          <w:top w:val="nil"/>
          <w:left w:val="nil"/>
          <w:bottom w:val="nil"/>
          <w:right w:val="nil"/>
          <w:between w:val="nil"/>
        </w:pBdr>
        <w:suppressAutoHyphens/>
        <w:rPr>
          <w:color w:val="000000"/>
          <w:kern w:val="22"/>
          <w:szCs w:val="22"/>
        </w:rPr>
      </w:pPr>
      <w:r w:rsidRPr="00D9073D">
        <w:rPr>
          <w:color w:val="000000"/>
          <w:kern w:val="22"/>
          <w:szCs w:val="22"/>
        </w:rPr>
        <w:t>17.</w:t>
      </w:r>
      <w:r w:rsidRPr="00D9073D">
        <w:rPr>
          <w:color w:val="000000"/>
          <w:kern w:val="22"/>
          <w:szCs w:val="22"/>
        </w:rPr>
        <w:tab/>
      </w:r>
      <w:r w:rsidRPr="00D9073D">
        <w:rPr>
          <w:kern w:val="22"/>
          <w:szCs w:val="22"/>
        </w:rPr>
        <w:t>Develop and implement training and tools to facilitate appropriate level of monitoring and inspection in e-commerce markets. This could include developing guidance on monitoring of e-commerce platforms and on the issuance of warnings, notices and other enforcement actions when non-compliances are found in e-commerce transactions, and the proper handling of restricted items seized in compliance with national and/or subnational law</w:t>
      </w:r>
      <w:r w:rsidRPr="00D9073D">
        <w:rPr>
          <w:color w:val="000000"/>
          <w:kern w:val="22"/>
          <w:szCs w:val="22"/>
        </w:rPr>
        <w:t>.</w:t>
      </w:r>
    </w:p>
    <w:p w14:paraId="4B4ED52F" w14:textId="77777777" w:rsidR="007523D5" w:rsidRPr="00D9073D" w:rsidRDefault="007523D5" w:rsidP="007C5A47">
      <w:pPr>
        <w:pStyle w:val="heading2notforTOC"/>
        <w:ind w:left="1134" w:hanging="425"/>
        <w:jc w:val="left"/>
        <w:outlineLvl w:val="9"/>
        <w:rPr>
          <w:i w:val="0"/>
          <w:iCs w:val="0"/>
          <w:szCs w:val="22"/>
        </w:rPr>
      </w:pPr>
      <w:r w:rsidRPr="00D9073D">
        <w:rPr>
          <w:szCs w:val="22"/>
        </w:rPr>
        <w:t>B.</w:t>
      </w:r>
      <w:r w:rsidRPr="00D9073D">
        <w:rPr>
          <w:szCs w:val="22"/>
        </w:rPr>
        <w:tab/>
        <w:t>Suggested actions for web marketplaces (sale platforms) and e-payment service providers, postal and express courier services</w:t>
      </w:r>
    </w:p>
    <w:p w14:paraId="2A5552BA" w14:textId="77777777" w:rsidR="007523D5" w:rsidRPr="00D9073D" w:rsidRDefault="007523D5" w:rsidP="007C5A47">
      <w:pPr>
        <w:suppressLineNumbers/>
        <w:suppressAutoHyphens/>
        <w:spacing w:before="120" w:after="120"/>
        <w:rPr>
          <w:kern w:val="22"/>
        </w:rPr>
      </w:pPr>
      <w:r w:rsidRPr="00D9073D">
        <w:rPr>
          <w:kern w:val="22"/>
        </w:rPr>
        <w:t>18.</w:t>
      </w:r>
      <w:r w:rsidRPr="00D9073D">
        <w:rPr>
          <w:kern w:val="22"/>
        </w:rPr>
        <w:tab/>
        <w:t>Web marketplaces (sale platforms) and e-payment service providers, postal and express courier services are strongly encouraged to:</w:t>
      </w:r>
    </w:p>
    <w:p w14:paraId="26537D91" w14:textId="77777777" w:rsidR="007523D5" w:rsidRPr="00D9073D" w:rsidRDefault="007523D5" w:rsidP="007C5A47">
      <w:pPr>
        <w:suppressLineNumbers/>
        <w:suppressAutoHyphens/>
        <w:spacing w:after="120"/>
        <w:ind w:firstLine="720"/>
        <w:rPr>
          <w:kern w:val="22"/>
        </w:rPr>
      </w:pPr>
      <w:r w:rsidRPr="00D9073D">
        <w:rPr>
          <w:kern w:val="22"/>
        </w:rPr>
        <w:t>(a)</w:t>
      </w:r>
      <w:r w:rsidRPr="00D9073D">
        <w:rPr>
          <w:kern w:val="22"/>
        </w:rPr>
        <w:tab/>
        <w:t>Consider the information available from relevant international bodies, national and/or subnational authorities and other sources, regarding the risks (both legal and environmental) posed by invasive alien species and take steps accordingly to make their users aware of them, taking into account decision 14/11, annex I, paragraphs 11-13;</w:t>
      </w:r>
    </w:p>
    <w:p w14:paraId="6C04EEE7" w14:textId="77777777" w:rsidR="007523D5" w:rsidRPr="00D9073D" w:rsidRDefault="007523D5" w:rsidP="007C5A47">
      <w:pPr>
        <w:suppressLineNumbers/>
        <w:suppressAutoHyphens/>
        <w:spacing w:after="120"/>
        <w:ind w:firstLine="720"/>
        <w:rPr>
          <w:kern w:val="22"/>
        </w:rPr>
      </w:pPr>
      <w:r w:rsidRPr="00D9073D">
        <w:rPr>
          <w:kern w:val="22"/>
        </w:rPr>
        <w:t>(b)</w:t>
      </w:r>
      <w:r w:rsidRPr="00D9073D">
        <w:rPr>
          <w:kern w:val="22"/>
        </w:rPr>
        <w:tab/>
        <w:t>Monitor e-commerce taking place within their platforms or jurisdiction and, consistent with relevant national and/or subnational legislation, alert relevant authorities where there is evidence of illegal or otherwise potentially damaging trade in invasive alien species taking place;</w:t>
      </w:r>
    </w:p>
    <w:p w14:paraId="144DFBD9" w14:textId="77777777" w:rsidR="007523D5" w:rsidRPr="00D9073D" w:rsidRDefault="007523D5" w:rsidP="007C5A47">
      <w:pPr>
        <w:suppressLineNumbers/>
        <w:suppressAutoHyphens/>
        <w:spacing w:after="120"/>
        <w:ind w:firstLine="720"/>
        <w:rPr>
          <w:kern w:val="22"/>
        </w:rPr>
      </w:pPr>
      <w:r w:rsidRPr="00D9073D">
        <w:rPr>
          <w:kern w:val="22"/>
        </w:rPr>
        <w:t>(c)</w:t>
      </w:r>
      <w:r w:rsidRPr="00D9073D">
        <w:rPr>
          <w:kern w:val="22"/>
        </w:rPr>
        <w:tab/>
        <w:t>Develop and apply improved management measures to minimize the risks of introduction of invasive alien species through e-commerce, consistent with international and national obligations.</w:t>
      </w:r>
    </w:p>
    <w:p w14:paraId="0EC364EA" w14:textId="77777777" w:rsidR="007523D5" w:rsidRPr="00D9073D" w:rsidRDefault="007523D5" w:rsidP="007C5A47">
      <w:pPr>
        <w:pStyle w:val="heading2notforTOC"/>
        <w:outlineLvl w:val="9"/>
        <w:rPr>
          <w:i w:val="0"/>
          <w:iCs w:val="0"/>
          <w:color w:val="000000"/>
          <w:szCs w:val="22"/>
          <w:u w:color="000000"/>
          <w:bdr w:val="nil"/>
          <w:lang w:val="en-US"/>
        </w:rPr>
      </w:pPr>
      <w:r w:rsidRPr="00D9073D">
        <w:rPr>
          <w:szCs w:val="22"/>
        </w:rPr>
        <w:t>C.</w:t>
      </w:r>
      <w:r w:rsidRPr="00D9073D">
        <w:rPr>
          <w:szCs w:val="22"/>
        </w:rPr>
        <w:tab/>
        <w:t xml:space="preserve">Suggested actions for </w:t>
      </w:r>
      <w:bookmarkStart w:id="319" w:name="_Hlk27157522"/>
      <w:r w:rsidRPr="00D9073D">
        <w:rPr>
          <w:szCs w:val="22"/>
        </w:rPr>
        <w:t xml:space="preserve">international bodies/agreements </w:t>
      </w:r>
      <w:bookmarkEnd w:id="319"/>
      <w:r w:rsidRPr="00D9073D">
        <w:rPr>
          <w:szCs w:val="22"/>
        </w:rPr>
        <w:t>and cross-jurisdictional collaboration</w:t>
      </w:r>
    </w:p>
    <w:p w14:paraId="79031782" w14:textId="77777777" w:rsidR="007523D5" w:rsidRPr="00D9073D" w:rsidRDefault="007523D5" w:rsidP="007C5A47">
      <w:pPr>
        <w:suppressLineNumbers/>
        <w:suppressAutoHyphens/>
        <w:spacing w:before="120" w:after="120"/>
        <w:rPr>
          <w:kern w:val="22"/>
        </w:rPr>
      </w:pPr>
      <w:r w:rsidRPr="00D9073D">
        <w:rPr>
          <w:kern w:val="22"/>
        </w:rPr>
        <w:t>19.</w:t>
      </w:r>
      <w:r w:rsidRPr="00D9073D">
        <w:rPr>
          <w:kern w:val="22"/>
        </w:rPr>
        <w:tab/>
        <w:t>International bodies/agreements, in collaboration with regional organizations and national authorities, as relevant, are strongly encouraged to undertake the following:</w:t>
      </w:r>
    </w:p>
    <w:p w14:paraId="06A9C067" w14:textId="77777777" w:rsidR="007523D5" w:rsidRPr="00D9073D" w:rsidRDefault="007523D5" w:rsidP="007C5A47">
      <w:pPr>
        <w:suppressLineNumbers/>
        <w:suppressAutoHyphens/>
        <w:spacing w:before="120" w:after="120"/>
        <w:ind w:firstLine="720"/>
        <w:rPr>
          <w:kern w:val="22"/>
        </w:rPr>
      </w:pPr>
      <w:r w:rsidRPr="00D9073D">
        <w:rPr>
          <w:kern w:val="22"/>
        </w:rPr>
        <w:t>(a)</w:t>
      </w:r>
      <w:r w:rsidRPr="00D9073D">
        <w:rPr>
          <w:kern w:val="22"/>
        </w:rPr>
        <w:tab/>
        <w:t>Collaborate to share data, information, technology and expertise on e-commerce in potential invasive alien species;</w:t>
      </w:r>
    </w:p>
    <w:p w14:paraId="3946F1BB" w14:textId="77777777" w:rsidR="007523D5" w:rsidRPr="00D9073D" w:rsidRDefault="007523D5" w:rsidP="007C5A47">
      <w:pPr>
        <w:suppressLineNumbers/>
        <w:suppressAutoHyphens/>
        <w:spacing w:before="120" w:after="120"/>
        <w:ind w:firstLine="720"/>
        <w:rPr>
          <w:kern w:val="22"/>
        </w:rPr>
      </w:pPr>
      <w:r w:rsidRPr="00D9073D">
        <w:rPr>
          <w:kern w:val="22"/>
        </w:rPr>
        <w:t>(b)</w:t>
      </w:r>
      <w:r w:rsidRPr="00D9073D">
        <w:rPr>
          <w:kern w:val="22"/>
        </w:rPr>
        <w:tab/>
        <w:t>Draw on guidance from other international bodies, including the ongoing work by the World Customs Organization and in the Bern Convention;</w:t>
      </w:r>
    </w:p>
    <w:p w14:paraId="71B46341" w14:textId="77777777" w:rsidR="007523D5" w:rsidRPr="00D9073D" w:rsidRDefault="007523D5" w:rsidP="007C5A47">
      <w:pPr>
        <w:suppressLineNumbers/>
        <w:suppressAutoHyphens/>
        <w:spacing w:before="120" w:after="120"/>
        <w:ind w:firstLine="720"/>
        <w:rPr>
          <w:kern w:val="22"/>
        </w:rPr>
      </w:pPr>
      <w:r w:rsidRPr="00D9073D">
        <w:rPr>
          <w:kern w:val="22"/>
        </w:rPr>
        <w:t>(c)</w:t>
      </w:r>
      <w:r w:rsidRPr="00D9073D">
        <w:rPr>
          <w:kern w:val="22"/>
        </w:rPr>
        <w:tab/>
        <w:t>Continue to monitor e-commerce with potential invasive alien species at the global and regional levels with a view to identifying trends and risks in trade of invasive alien species;</w:t>
      </w:r>
    </w:p>
    <w:p w14:paraId="3050AA07" w14:textId="77777777" w:rsidR="007523D5" w:rsidRPr="00D9073D" w:rsidRDefault="007523D5" w:rsidP="007C5A47">
      <w:pPr>
        <w:suppressLineNumbers/>
        <w:suppressAutoHyphens/>
        <w:spacing w:before="120" w:after="120"/>
        <w:ind w:firstLine="720"/>
        <w:rPr>
          <w:kern w:val="22"/>
        </w:rPr>
      </w:pPr>
      <w:r w:rsidRPr="00D9073D">
        <w:rPr>
          <w:kern w:val="22"/>
        </w:rPr>
        <w:t>(d)</w:t>
      </w:r>
      <w:r w:rsidRPr="00D9073D">
        <w:rPr>
          <w:kern w:val="22"/>
        </w:rPr>
        <w:tab/>
        <w:t>Prepare guidance to assist national border agencies in responding to non-compliance, considering that both domestic and international actions may be required to respond effectively;</w:t>
      </w:r>
    </w:p>
    <w:p w14:paraId="21979A4C" w14:textId="77777777" w:rsidR="007523D5" w:rsidRPr="00D9073D" w:rsidRDefault="007523D5" w:rsidP="007C5A47">
      <w:pPr>
        <w:suppressLineNumbers/>
        <w:suppressAutoHyphens/>
        <w:spacing w:before="120" w:after="120"/>
        <w:ind w:firstLine="720"/>
        <w:rPr>
          <w:kern w:val="22"/>
        </w:rPr>
      </w:pPr>
      <w:r w:rsidRPr="00D9073D">
        <w:rPr>
          <w:kern w:val="22"/>
        </w:rPr>
        <w:t>(e)</w:t>
      </w:r>
      <w:r w:rsidRPr="00D9073D">
        <w:rPr>
          <w:kern w:val="22"/>
        </w:rPr>
        <w:tab/>
        <w:t>Improve collaboration between national border agencies in order to enhance opportunities to link existing security initiatives with invasive alien species risk management and targeted (risk-based) inspections. This will also provide a mechanism for timely information-sharing among national border agencies and other relevant ministries/departments on issues related to cross-border e-commerce trade;</w:t>
      </w:r>
    </w:p>
    <w:p w14:paraId="50072196" w14:textId="77777777" w:rsidR="007523D5" w:rsidRPr="00D9073D" w:rsidRDefault="007523D5" w:rsidP="007C5A47">
      <w:pPr>
        <w:suppressLineNumbers/>
        <w:suppressAutoHyphens/>
        <w:spacing w:before="120" w:after="120"/>
        <w:ind w:firstLine="720"/>
        <w:rPr>
          <w:kern w:val="22"/>
        </w:rPr>
      </w:pPr>
      <w:r w:rsidRPr="00D9073D">
        <w:rPr>
          <w:kern w:val="22"/>
        </w:rPr>
        <w:t>(f)</w:t>
      </w:r>
      <w:r w:rsidRPr="00D9073D">
        <w:rPr>
          <w:kern w:val="22"/>
        </w:rPr>
        <w:tab/>
        <w:t>Conduct joint capacity-building activities with relevant organizations, Parties and other Governments and provide technical assistance and resources for implementing existing international guidelines and standards, and developing national and/or subnational regulatory frameworks or measures to address the risks associated with e-commerce for all relevant stakeholders including indigenous peoples and local communities;</w:t>
      </w:r>
    </w:p>
    <w:p w14:paraId="3CA05860" w14:textId="77777777" w:rsidR="007523D5" w:rsidRPr="00D9073D" w:rsidRDefault="007523D5" w:rsidP="007C5A47">
      <w:pPr>
        <w:suppressLineNumbers/>
        <w:suppressAutoHyphens/>
        <w:spacing w:before="120" w:after="120"/>
        <w:ind w:firstLine="720"/>
        <w:rPr>
          <w:kern w:val="22"/>
        </w:rPr>
      </w:pPr>
      <w:r w:rsidRPr="00D9073D">
        <w:rPr>
          <w:kern w:val="22"/>
        </w:rPr>
        <w:t>(g)</w:t>
      </w:r>
      <w:r w:rsidRPr="00D9073D">
        <w:rPr>
          <w:kern w:val="22"/>
        </w:rPr>
        <w:tab/>
        <w:t>Expand the concept of “authorized economic operators”</w:t>
      </w:r>
      <w:r w:rsidRPr="00610646">
        <w:rPr>
          <w:rStyle w:val="FootnoteReference"/>
        </w:rPr>
        <w:footnoteReference w:id="350"/>
      </w:r>
      <w:r w:rsidRPr="00D9073D">
        <w:rPr>
          <w:kern w:val="22"/>
        </w:rPr>
        <w:t xml:space="preserve"> (AEO); trusted trader to cross-border e-commerce and include invasive alien species risks in AEO criteria and requirements. Implementing AEO and trusted trader programmes in the e-commerce environment for postal operators, express carriers and e-platforms, which would result in a lower frequency of inspections;</w:t>
      </w:r>
    </w:p>
    <w:p w14:paraId="6E6B2F64" w14:textId="77777777" w:rsidR="007523D5" w:rsidRPr="00D9073D" w:rsidRDefault="007523D5" w:rsidP="007C5A47">
      <w:pPr>
        <w:suppressLineNumbers/>
        <w:suppressAutoHyphens/>
        <w:spacing w:before="120" w:after="120"/>
        <w:ind w:firstLine="720"/>
        <w:rPr>
          <w:kern w:val="22"/>
        </w:rPr>
      </w:pPr>
      <w:r w:rsidRPr="00D9073D">
        <w:rPr>
          <w:kern w:val="22"/>
        </w:rPr>
        <w:t>(h)</w:t>
      </w:r>
      <w:r w:rsidRPr="00D9073D">
        <w:rPr>
          <w:kern w:val="22"/>
        </w:rPr>
        <w:tab/>
        <w:t>Establish frameworks that allow for the advanced electronic exchange of data between all parties involved in the international supply chain and use these data to triage packages and determine the level of inspection needed (risk-based inspection).</w:t>
      </w:r>
    </w:p>
    <w:p w14:paraId="21060B56" w14:textId="77777777" w:rsidR="007523D5" w:rsidRPr="00D9073D" w:rsidRDefault="007523D5" w:rsidP="007C5A47">
      <w:pPr>
        <w:pStyle w:val="heading2notforTOC"/>
        <w:outlineLvl w:val="9"/>
        <w:rPr>
          <w:i w:val="0"/>
          <w:iCs w:val="0"/>
          <w:color w:val="000000"/>
          <w:szCs w:val="22"/>
          <w:u w:color="000000"/>
          <w:bdr w:val="nil"/>
          <w:lang w:val="en-US"/>
        </w:rPr>
      </w:pPr>
      <w:r w:rsidRPr="00D9073D">
        <w:rPr>
          <w:szCs w:val="22"/>
        </w:rPr>
        <w:t>D.</w:t>
      </w:r>
      <w:r w:rsidRPr="00D9073D">
        <w:rPr>
          <w:szCs w:val="22"/>
        </w:rPr>
        <w:tab/>
        <w:t xml:space="preserve">Suggested actions for </w:t>
      </w:r>
      <w:bookmarkStart w:id="320" w:name="_Hlk27157610"/>
      <w:r w:rsidRPr="00D9073D">
        <w:rPr>
          <w:szCs w:val="22"/>
        </w:rPr>
        <w:t>relevant international expert organizations</w:t>
      </w:r>
      <w:bookmarkEnd w:id="320"/>
    </w:p>
    <w:p w14:paraId="7FEDAD64" w14:textId="77777777" w:rsidR="007523D5" w:rsidRPr="00D9073D" w:rsidRDefault="007523D5" w:rsidP="007C5A47">
      <w:pPr>
        <w:suppressLineNumbers/>
        <w:suppressAutoHyphens/>
        <w:spacing w:before="120" w:after="120"/>
        <w:rPr>
          <w:kern w:val="22"/>
        </w:rPr>
      </w:pPr>
      <w:r w:rsidRPr="00D9073D">
        <w:rPr>
          <w:kern w:val="22"/>
        </w:rPr>
        <w:t>20.</w:t>
      </w:r>
      <w:r w:rsidRPr="00D9073D">
        <w:rPr>
          <w:kern w:val="22"/>
        </w:rPr>
        <w:tab/>
        <w:t>Relevant international expert organizations are strongly encouraged to:</w:t>
      </w:r>
    </w:p>
    <w:p w14:paraId="5C21DCA6" w14:textId="77777777" w:rsidR="007523D5" w:rsidRPr="00D9073D" w:rsidRDefault="007523D5" w:rsidP="007C5A47">
      <w:pPr>
        <w:suppressLineNumbers/>
        <w:suppressAutoHyphens/>
        <w:spacing w:before="120" w:after="120"/>
        <w:ind w:firstLine="709"/>
        <w:rPr>
          <w:kern w:val="22"/>
        </w:rPr>
      </w:pPr>
      <w:r w:rsidRPr="00D9073D">
        <w:rPr>
          <w:kern w:val="22"/>
        </w:rPr>
        <w:t>(a)</w:t>
      </w:r>
      <w:r w:rsidRPr="00D9073D">
        <w:rPr>
          <w:kern w:val="22"/>
        </w:rPr>
        <w:tab/>
        <w:t>Raise awareness among international, national organizations and e-commerce stakeholders about import/export requirements and what can be done to minimize the risk of introduction and spread of alien and potentially invasive species associated with e-commerce, taking into account decision XIII/13 paragraph 7(a);</w:t>
      </w:r>
    </w:p>
    <w:p w14:paraId="0BA9A803" w14:textId="7A12B442" w:rsidR="007523D5" w:rsidRPr="00D9073D" w:rsidRDefault="007523D5" w:rsidP="000B1FDA">
      <w:pPr>
        <w:ind w:firstLine="709"/>
        <w:rPr>
          <w:kern w:val="22"/>
          <w:szCs w:val="22"/>
        </w:rPr>
      </w:pPr>
      <w:r w:rsidRPr="00D9073D">
        <w:rPr>
          <w:kern w:val="22"/>
          <w:szCs w:val="22"/>
        </w:rPr>
        <w:t>(b)</w:t>
      </w:r>
      <w:r w:rsidRPr="00D9073D">
        <w:rPr>
          <w:kern w:val="22"/>
          <w:szCs w:val="22"/>
        </w:rPr>
        <w:tab/>
        <w:t>Building on such frameworks as EICAT,</w:t>
      </w:r>
      <w:r w:rsidRPr="00610646">
        <w:rPr>
          <w:rStyle w:val="FootnoteReference"/>
        </w:rPr>
        <w:footnoteReference w:id="351"/>
      </w:r>
      <w:r w:rsidRPr="00D9073D">
        <w:rPr>
          <w:kern w:val="22"/>
          <w:szCs w:val="22"/>
        </w:rPr>
        <w:t xml:space="preserve"> establish an international invasive alien species risk-based labelling system, to be used for all species sold via e-commerce and provide guidance on the handling and care of organisms. On consignments of live alien species, such labelling should include information to enable identification of hazards for biodiversity and the identification of species or lower taxa (e.g., scientific name, taxonomic serial number or its equivalent), taking into account decisions XII/17 and 14/11 as well as the ongoing work of the Economic and Social Council’s Sub-Committee of Experts on the Transport of Dangerous Goods.</w:t>
      </w:r>
    </w:p>
    <w:p w14:paraId="2625E731" w14:textId="77777777" w:rsidR="007523D5" w:rsidRPr="0027619F" w:rsidRDefault="007523D5" w:rsidP="0040286E">
      <w:pPr>
        <w:keepNext/>
        <w:suppressLineNumbers/>
        <w:suppressAutoHyphens/>
        <w:spacing w:before="120" w:after="120"/>
        <w:jc w:val="center"/>
        <w:rPr>
          <w:rFonts w:asciiTheme="majorBidi" w:hAnsiTheme="majorBidi" w:cstheme="majorBidi"/>
          <w:i/>
          <w:snapToGrid w:val="0"/>
          <w:kern w:val="22"/>
          <w:szCs w:val="22"/>
        </w:rPr>
      </w:pPr>
      <w:r w:rsidRPr="0027619F">
        <w:rPr>
          <w:rFonts w:asciiTheme="majorBidi" w:hAnsiTheme="majorBidi" w:cstheme="majorBidi"/>
          <w:i/>
          <w:snapToGrid w:val="0"/>
          <w:kern w:val="22"/>
          <w:szCs w:val="22"/>
        </w:rPr>
        <w:t>Annex III</w:t>
      </w:r>
    </w:p>
    <w:p w14:paraId="172306C3" w14:textId="77777777" w:rsidR="007523D5" w:rsidRPr="00D9073D" w:rsidRDefault="007523D5" w:rsidP="0040286E">
      <w:pPr>
        <w:keepNext/>
        <w:suppressLineNumbers/>
        <w:suppressAutoHyphens/>
        <w:spacing w:before="120" w:after="120"/>
        <w:jc w:val="center"/>
        <w:rPr>
          <w:rFonts w:asciiTheme="majorBidi" w:hAnsiTheme="majorBidi" w:cstheme="majorBidi"/>
          <w:b/>
          <w:bCs/>
          <w:caps/>
          <w:kern w:val="22"/>
        </w:rPr>
      </w:pPr>
      <w:r w:rsidRPr="0027619F">
        <w:rPr>
          <w:rFonts w:asciiTheme="majorBidi" w:hAnsiTheme="majorBidi" w:cstheme="majorBidi"/>
          <w:b/>
          <w:bCs/>
          <w:caps/>
          <w:spacing w:val="-2"/>
          <w:kern w:val="22"/>
        </w:rPr>
        <w:t>Draft methods, tools and strategies for the management of invasive alien species as it relates to prevention of potential risks arising from climate change and associated natural disasters and land use changes</w:t>
      </w:r>
    </w:p>
    <w:p w14:paraId="35C73704" w14:textId="77777777" w:rsidR="007523D5" w:rsidRPr="00D9073D" w:rsidRDefault="007523D5" w:rsidP="007C5A47">
      <w:pPr>
        <w:spacing w:before="120" w:after="120"/>
        <w:jc w:val="center"/>
        <w:rPr>
          <w:rFonts w:asciiTheme="majorBidi" w:hAnsiTheme="majorBidi" w:cstheme="majorBidi"/>
          <w:b/>
          <w:bCs/>
          <w:caps/>
          <w:spacing w:val="-2"/>
          <w:kern w:val="22"/>
          <w:szCs w:val="22"/>
        </w:rPr>
      </w:pPr>
      <w:r w:rsidRPr="00D9073D">
        <w:rPr>
          <w:rFonts w:asciiTheme="majorBidi" w:hAnsiTheme="majorBidi" w:cstheme="majorBidi"/>
          <w:b/>
          <w:bCs/>
          <w:caps/>
          <w:spacing w:val="-2"/>
          <w:kern w:val="22"/>
          <w:szCs w:val="22"/>
        </w:rPr>
        <w:t xml:space="preserve">(Provisional </w:t>
      </w:r>
      <w:r w:rsidRPr="00D9073D">
        <w:rPr>
          <w:rFonts w:asciiTheme="majorBidi" w:hAnsiTheme="majorBidi" w:cstheme="majorBidi"/>
          <w:b/>
          <w:bCs/>
          <w:caps/>
          <w:kern w:val="22"/>
          <w:szCs w:val="22"/>
        </w:rPr>
        <w:t>advice pursuant to decision 14/11, annex II, paragraph 1 (c))</w:t>
      </w:r>
    </w:p>
    <w:p w14:paraId="36965591" w14:textId="77777777" w:rsidR="007523D5" w:rsidRPr="00D9073D" w:rsidRDefault="007523D5" w:rsidP="007C5A47">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rPr>
      </w:pPr>
      <w:r w:rsidRPr="00D9073D">
        <w:rPr>
          <w:rFonts w:asciiTheme="majorBidi" w:hAnsiTheme="majorBidi" w:cstheme="majorBidi"/>
          <w:bCs/>
          <w:color w:val="000000"/>
          <w:kern w:val="22"/>
          <w:szCs w:val="22"/>
        </w:rPr>
        <w:t>1.</w:t>
      </w:r>
      <w:r w:rsidRPr="00D9073D">
        <w:rPr>
          <w:rFonts w:asciiTheme="majorBidi" w:hAnsiTheme="majorBidi" w:cstheme="majorBidi"/>
          <w:bCs/>
          <w:color w:val="000000"/>
          <w:kern w:val="22"/>
          <w:szCs w:val="22"/>
        </w:rPr>
        <w:tab/>
        <w:t>The interactions of climate change, associated changes in land and marine ecosystems and biological invasions will have profound consequences for biodiversity. These interactions are considered and potential responses enumerated in CBD/AHTEG/IAS/2019/1/2.</w:t>
      </w:r>
    </w:p>
    <w:p w14:paraId="405D6F99" w14:textId="77777777" w:rsidR="007523D5" w:rsidRPr="00D9073D" w:rsidRDefault="007523D5" w:rsidP="007C5A47">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rPr>
      </w:pPr>
      <w:r w:rsidRPr="00D9073D">
        <w:rPr>
          <w:rFonts w:asciiTheme="majorBidi" w:hAnsiTheme="majorBidi" w:cstheme="majorBidi"/>
          <w:bCs/>
          <w:color w:val="000000"/>
          <w:kern w:val="22"/>
          <w:szCs w:val="22"/>
        </w:rPr>
        <w:t>2.</w:t>
      </w:r>
      <w:r w:rsidRPr="00D9073D">
        <w:rPr>
          <w:rFonts w:asciiTheme="majorBidi" w:hAnsiTheme="majorBidi" w:cstheme="majorBidi"/>
          <w:bCs/>
          <w:color w:val="000000"/>
          <w:kern w:val="22"/>
          <w:szCs w:val="22"/>
        </w:rPr>
        <w:tab/>
        <w:t>Climate change is aiding increased rates (and risk of</w:t>
      </w:r>
      <w:r w:rsidRPr="00340DCD">
        <w:rPr>
          <w:rFonts w:asciiTheme="majorBidi" w:hAnsiTheme="majorBidi" w:cstheme="majorBidi"/>
          <w:bCs/>
          <w:color w:val="000000"/>
          <w:kern w:val="22"/>
          <w:szCs w:val="22"/>
        </w:rPr>
        <w:t>)</w:t>
      </w:r>
      <w:r w:rsidRPr="00D9073D">
        <w:rPr>
          <w:rFonts w:asciiTheme="majorBidi" w:hAnsiTheme="majorBidi" w:cstheme="majorBidi"/>
          <w:bCs/>
          <w:color w:val="000000"/>
          <w:kern w:val="22"/>
          <w:szCs w:val="22"/>
        </w:rPr>
        <w:t xml:space="preserve"> spread of many alien species. Human adaptations to climate change will alter land-use and increase disturbances in the ecosystem that, in turn, facilitate the establishment of alien species.</w:t>
      </w:r>
    </w:p>
    <w:p w14:paraId="5B8F04D7" w14:textId="77777777" w:rsidR="007523D5" w:rsidRPr="00D9073D" w:rsidRDefault="007523D5" w:rsidP="007C5A47">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rPr>
      </w:pPr>
      <w:r w:rsidRPr="00D9073D">
        <w:rPr>
          <w:rFonts w:asciiTheme="majorBidi" w:hAnsiTheme="majorBidi" w:cstheme="majorBidi"/>
          <w:bCs/>
          <w:color w:val="000000"/>
          <w:kern w:val="22"/>
          <w:szCs w:val="22"/>
        </w:rPr>
        <w:t>3.</w:t>
      </w:r>
      <w:r w:rsidRPr="00D9073D">
        <w:rPr>
          <w:rFonts w:asciiTheme="majorBidi" w:hAnsiTheme="majorBidi" w:cstheme="majorBidi"/>
          <w:bCs/>
          <w:color w:val="000000"/>
          <w:kern w:val="22"/>
          <w:szCs w:val="22"/>
        </w:rPr>
        <w:tab/>
        <w:t>Not all invasive alien species incursions are successful, nor will all invasive alien species benefit from climate change, as some may become less abundant under particular changing climates. Some invasive alien species will decline in importance while some currently low impact alien species may become significant invasive alien species.</w:t>
      </w:r>
    </w:p>
    <w:p w14:paraId="18B99828" w14:textId="77777777" w:rsidR="007523D5" w:rsidRPr="00D9073D" w:rsidRDefault="007523D5" w:rsidP="007C5A47">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rPr>
      </w:pPr>
      <w:r w:rsidRPr="00D9073D">
        <w:rPr>
          <w:rFonts w:asciiTheme="majorBidi" w:hAnsiTheme="majorBidi" w:cstheme="majorBidi"/>
          <w:bCs/>
          <w:color w:val="000000"/>
          <w:kern w:val="22"/>
          <w:szCs w:val="22"/>
        </w:rPr>
        <w:t>4.</w:t>
      </w:r>
      <w:r w:rsidRPr="00D9073D">
        <w:rPr>
          <w:rFonts w:asciiTheme="majorBidi" w:hAnsiTheme="majorBidi" w:cstheme="majorBidi"/>
          <w:bCs/>
          <w:color w:val="000000"/>
          <w:kern w:val="22"/>
          <w:szCs w:val="22"/>
        </w:rPr>
        <w:tab/>
        <w:t>Climate change may exacerbate existing problems and impacts of invasive alien species, with both direct and indirect impacts on biodiversity and socioeconomic values. Changing ocean currents will have huge impacts on species movements in marine environments as well as influence climatic conditions on land. Loss of permanent sea ice is opening up new sea transport routes and shipping in the Arctic is creating greater probability of invasive alien species introduction and establishment in the Arctic terrestrial and marine environments.</w:t>
      </w:r>
    </w:p>
    <w:p w14:paraId="230EE729" w14:textId="77777777" w:rsidR="007523D5" w:rsidRPr="00D9073D" w:rsidRDefault="007523D5" w:rsidP="007C5A47">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rPr>
      </w:pPr>
      <w:r w:rsidRPr="00D9073D">
        <w:rPr>
          <w:rFonts w:asciiTheme="majorBidi" w:hAnsiTheme="majorBidi" w:cstheme="majorBidi"/>
          <w:bCs/>
          <w:color w:val="000000"/>
          <w:kern w:val="22"/>
          <w:szCs w:val="22"/>
        </w:rPr>
        <w:t>5.</w:t>
      </w:r>
      <w:r w:rsidRPr="00D9073D">
        <w:rPr>
          <w:rFonts w:asciiTheme="majorBidi" w:hAnsiTheme="majorBidi" w:cstheme="majorBidi"/>
          <w:bCs/>
          <w:color w:val="000000"/>
          <w:kern w:val="22"/>
          <w:szCs w:val="22"/>
        </w:rPr>
        <w:tab/>
        <w:t>Climate change is associated with more frequent extreme weather events like cyclones and flooding. Extreme weather events cannot only transport invasive alien species to new areas, but also cause disturbances in habitats which enable invasive alien species to establish themselves and spread. Climate-induced extreme weather events can also lead to sudden human population movements and displaced people can inadvertently transport invasive alien species.</w:t>
      </w:r>
    </w:p>
    <w:p w14:paraId="0DC6E551" w14:textId="77777777" w:rsidR="007523D5" w:rsidRPr="00D9073D" w:rsidRDefault="007523D5" w:rsidP="007C5A47">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rPr>
      </w:pPr>
      <w:r w:rsidRPr="00D9073D">
        <w:rPr>
          <w:rFonts w:asciiTheme="majorBidi" w:hAnsiTheme="majorBidi" w:cstheme="majorBidi"/>
          <w:bCs/>
          <w:color w:val="000000"/>
          <w:kern w:val="22"/>
          <w:szCs w:val="22"/>
        </w:rPr>
        <w:t>6</w:t>
      </w:r>
      <w:r w:rsidRPr="00D9073D">
        <w:rPr>
          <w:rFonts w:asciiTheme="majorBidi" w:hAnsiTheme="majorBidi" w:cstheme="majorBidi"/>
          <w:bCs/>
          <w:color w:val="000000"/>
          <w:kern w:val="22"/>
          <w:szCs w:val="22"/>
        </w:rPr>
        <w:tab/>
        <w:t>Prevention and management of invasive alien species under climate change becomes an even greater challenge with climate change. New prioritization actions will be required.</w:t>
      </w:r>
    </w:p>
    <w:p w14:paraId="22580A9A" w14:textId="77777777" w:rsidR="007523D5" w:rsidRPr="00D9073D" w:rsidRDefault="007523D5" w:rsidP="007C5A47">
      <w:pPr>
        <w:keepNext/>
        <w:suppressLineNumbers/>
        <w:pBdr>
          <w:top w:val="nil"/>
          <w:left w:val="nil"/>
          <w:bottom w:val="nil"/>
          <w:right w:val="nil"/>
          <w:between w:val="nil"/>
        </w:pBdr>
        <w:suppressAutoHyphens/>
        <w:spacing w:before="120" w:after="120"/>
        <w:rPr>
          <w:rFonts w:asciiTheme="majorBidi" w:hAnsiTheme="majorBidi" w:cstheme="majorBidi"/>
          <w:bCs/>
          <w:color w:val="000000"/>
          <w:kern w:val="22"/>
          <w:szCs w:val="22"/>
        </w:rPr>
      </w:pPr>
      <w:r w:rsidRPr="00D9073D">
        <w:rPr>
          <w:rFonts w:asciiTheme="majorBidi" w:hAnsiTheme="majorBidi" w:cstheme="majorBidi"/>
          <w:bCs/>
          <w:color w:val="000000"/>
          <w:kern w:val="22"/>
          <w:szCs w:val="22"/>
        </w:rPr>
        <w:t>7</w:t>
      </w:r>
      <w:r>
        <w:rPr>
          <w:rFonts w:asciiTheme="majorBidi" w:hAnsiTheme="majorBidi" w:cstheme="majorBidi"/>
          <w:bCs/>
          <w:color w:val="000000"/>
          <w:kern w:val="22"/>
          <w:szCs w:val="22"/>
        </w:rPr>
        <w:t>.</w:t>
      </w:r>
      <w:r w:rsidRPr="00D9073D">
        <w:rPr>
          <w:rFonts w:asciiTheme="majorBidi" w:hAnsiTheme="majorBidi" w:cstheme="majorBidi"/>
          <w:bCs/>
          <w:color w:val="000000"/>
          <w:kern w:val="22"/>
          <w:szCs w:val="22"/>
        </w:rPr>
        <w:tab/>
        <w:t>For more information on tools that support management of invasive alien species in the face of climate change</w:t>
      </w:r>
      <w:r w:rsidRPr="00340DCD">
        <w:rPr>
          <w:rFonts w:asciiTheme="majorBidi" w:hAnsiTheme="majorBidi" w:cstheme="majorBidi"/>
          <w:bCs/>
          <w:color w:val="000000"/>
          <w:kern w:val="22"/>
          <w:szCs w:val="22"/>
        </w:rPr>
        <w:t xml:space="preserve">, see the </w:t>
      </w:r>
      <w:r w:rsidRPr="00340DCD">
        <w:rPr>
          <w:bCs/>
          <w:kern w:val="18"/>
          <w:szCs w:val="18"/>
        </w:rPr>
        <w:t>synthesis report of the Online Forum</w:t>
      </w:r>
      <w:r w:rsidRPr="00D9073D">
        <w:rPr>
          <w:rFonts w:asciiTheme="majorBidi" w:hAnsiTheme="majorBidi" w:cstheme="majorBidi"/>
          <w:bCs/>
          <w:color w:val="000000"/>
          <w:kern w:val="22"/>
          <w:szCs w:val="22"/>
        </w:rPr>
        <w:t>.</w:t>
      </w:r>
      <w:r w:rsidRPr="00610646">
        <w:rPr>
          <w:rStyle w:val="FootnoteReference"/>
        </w:rPr>
        <w:footnoteReference w:id="352"/>
      </w:r>
    </w:p>
    <w:p w14:paraId="269B75F0" w14:textId="77777777" w:rsidR="007523D5" w:rsidRPr="00D9073D" w:rsidRDefault="007523D5" w:rsidP="007C5A47">
      <w:pPr>
        <w:keepNext/>
        <w:suppressLineNumbers/>
        <w:pBdr>
          <w:top w:val="nil"/>
          <w:left w:val="nil"/>
          <w:bottom w:val="nil"/>
          <w:right w:val="nil"/>
          <w:between w:val="nil"/>
        </w:pBdr>
        <w:tabs>
          <w:tab w:val="left" w:pos="426"/>
        </w:tabs>
        <w:suppressAutoHyphens/>
        <w:spacing w:before="120" w:after="120"/>
        <w:jc w:val="center"/>
        <w:rPr>
          <w:rFonts w:asciiTheme="majorBidi" w:hAnsiTheme="majorBidi" w:cstheme="majorBidi"/>
          <w:b/>
          <w:color w:val="000000"/>
          <w:kern w:val="22"/>
          <w:szCs w:val="22"/>
        </w:rPr>
      </w:pPr>
      <w:r w:rsidRPr="00D9073D">
        <w:rPr>
          <w:rFonts w:asciiTheme="majorBidi" w:hAnsiTheme="majorBidi" w:cstheme="majorBidi"/>
          <w:b/>
          <w:color w:val="000000"/>
          <w:kern w:val="22"/>
          <w:szCs w:val="22"/>
        </w:rPr>
        <w:t>A.</w:t>
      </w:r>
      <w:r w:rsidRPr="00D9073D">
        <w:rPr>
          <w:rFonts w:asciiTheme="majorBidi" w:hAnsiTheme="majorBidi" w:cstheme="majorBidi"/>
          <w:b/>
          <w:color w:val="000000"/>
          <w:kern w:val="22"/>
          <w:szCs w:val="22"/>
        </w:rPr>
        <w:tab/>
        <w:t>Prediction</w:t>
      </w:r>
    </w:p>
    <w:p w14:paraId="3508304F" w14:textId="77777777" w:rsidR="007523D5" w:rsidRPr="00D9073D" w:rsidRDefault="007523D5" w:rsidP="007C5A47">
      <w:pPr>
        <w:keepNext/>
        <w:suppressLineNumbers/>
        <w:pBdr>
          <w:top w:val="nil"/>
          <w:left w:val="nil"/>
          <w:bottom w:val="nil"/>
          <w:right w:val="nil"/>
          <w:between w:val="nil"/>
        </w:pBdr>
        <w:suppressAutoHyphens/>
        <w:spacing w:before="120" w:after="120"/>
        <w:ind w:hanging="11"/>
        <w:rPr>
          <w:rFonts w:asciiTheme="majorBidi" w:hAnsiTheme="majorBidi" w:cstheme="majorBidi"/>
          <w:color w:val="000000"/>
          <w:kern w:val="22"/>
          <w:szCs w:val="22"/>
          <w:u w:val="single"/>
        </w:rPr>
      </w:pPr>
      <w:r w:rsidRPr="00D9073D">
        <w:rPr>
          <w:rFonts w:asciiTheme="majorBidi" w:hAnsiTheme="majorBidi" w:cstheme="majorBidi"/>
          <w:color w:val="000000"/>
          <w:kern w:val="22"/>
          <w:szCs w:val="22"/>
        </w:rPr>
        <w:t>8.</w:t>
      </w:r>
      <w:r w:rsidRPr="00D9073D">
        <w:rPr>
          <w:rFonts w:asciiTheme="majorBidi" w:hAnsiTheme="majorBidi" w:cstheme="majorBidi"/>
          <w:color w:val="000000"/>
          <w:kern w:val="22"/>
          <w:szCs w:val="22"/>
        </w:rPr>
        <w:tab/>
      </w:r>
      <w:r w:rsidRPr="00D9073D">
        <w:rPr>
          <w:rFonts w:asciiTheme="majorBidi" w:hAnsiTheme="majorBidi" w:cstheme="majorBidi"/>
          <w:kern w:val="22"/>
          <w:szCs w:val="22"/>
        </w:rPr>
        <w:t>Managing the impacts of invasive alien species on biodiversity and ecosystem services requires knowledge of the manner in which the actual and potential impact will vary as a result of climate change so that management priorities can be adapted accordingly.</w:t>
      </w:r>
    </w:p>
    <w:p w14:paraId="1632226A" w14:textId="77777777" w:rsidR="007523D5" w:rsidRPr="00D9073D" w:rsidRDefault="007523D5" w:rsidP="007C5A47">
      <w:pPr>
        <w:keepNext/>
        <w:suppressLineNumbers/>
        <w:pBdr>
          <w:top w:val="nil"/>
          <w:left w:val="nil"/>
          <w:bottom w:val="nil"/>
          <w:right w:val="nil"/>
          <w:between w:val="nil"/>
        </w:pBdr>
        <w:suppressAutoHyphens/>
        <w:spacing w:before="120" w:after="120"/>
        <w:ind w:hanging="11"/>
        <w:rPr>
          <w:rFonts w:asciiTheme="majorBidi" w:hAnsiTheme="majorBidi" w:cstheme="majorBidi"/>
          <w:color w:val="000000"/>
          <w:kern w:val="22"/>
          <w:szCs w:val="22"/>
          <w:u w:val="single"/>
        </w:rPr>
      </w:pPr>
      <w:r w:rsidRPr="00D9073D">
        <w:rPr>
          <w:rFonts w:asciiTheme="majorBidi" w:hAnsiTheme="majorBidi" w:cstheme="majorBidi"/>
          <w:color w:val="000000"/>
          <w:kern w:val="22"/>
          <w:szCs w:val="22"/>
        </w:rPr>
        <w:t>9.</w:t>
      </w:r>
      <w:r w:rsidRPr="00D9073D">
        <w:rPr>
          <w:rFonts w:asciiTheme="majorBidi" w:hAnsiTheme="majorBidi" w:cstheme="majorBidi"/>
          <w:color w:val="000000"/>
          <w:kern w:val="22"/>
          <w:szCs w:val="22"/>
        </w:rPr>
        <w:tab/>
      </w:r>
      <w:r w:rsidRPr="00D9073D">
        <w:rPr>
          <w:rFonts w:asciiTheme="majorBidi" w:hAnsiTheme="majorBidi" w:cstheme="majorBidi"/>
          <w:kern w:val="22"/>
          <w:szCs w:val="22"/>
        </w:rPr>
        <w:t xml:space="preserve">States, organizations and </w:t>
      </w:r>
      <w:r w:rsidRPr="00D9073D">
        <w:rPr>
          <w:rFonts w:asciiTheme="majorBidi" w:hAnsiTheme="majorBidi" w:cstheme="majorBidi"/>
          <w:szCs w:val="22"/>
        </w:rPr>
        <w:t xml:space="preserve">relevant stakeholders, taking into account, </w:t>
      </w:r>
      <w:r w:rsidRPr="00D9073D">
        <w:rPr>
          <w:rFonts w:asciiTheme="majorBidi" w:hAnsiTheme="majorBidi" w:cstheme="majorBidi"/>
          <w:kern w:val="22"/>
          <w:szCs w:val="22"/>
        </w:rPr>
        <w:t>among other things, decision 14/5,</w:t>
      </w:r>
      <w:r w:rsidRPr="00D9073D" w:rsidDel="008E5A61">
        <w:rPr>
          <w:rFonts w:asciiTheme="majorBidi" w:hAnsiTheme="majorBidi" w:cstheme="majorBidi"/>
          <w:kern w:val="22"/>
          <w:szCs w:val="22"/>
        </w:rPr>
        <w:t xml:space="preserve"> </w:t>
      </w:r>
      <w:r w:rsidRPr="00D9073D">
        <w:rPr>
          <w:rFonts w:asciiTheme="majorBidi" w:hAnsiTheme="majorBidi" w:cstheme="majorBidi"/>
          <w:kern w:val="22"/>
          <w:szCs w:val="22"/>
        </w:rPr>
        <w:t>are strongly encouraged:</w:t>
      </w:r>
    </w:p>
    <w:p w14:paraId="1C5EFC93"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(a)</w:t>
      </w:r>
      <w:r w:rsidRPr="00D9073D">
        <w:rPr>
          <w:rFonts w:asciiTheme="majorBidi" w:hAnsiTheme="majorBidi" w:cstheme="majorBidi"/>
          <w:kern w:val="22"/>
          <w:szCs w:val="22"/>
        </w:rPr>
        <w:tab/>
        <w:t>To undertake horizon scanning to forecast/predict future changes in actual and potential risks and impacts of invasive alien species arising from climate change;</w:t>
      </w:r>
    </w:p>
    <w:p w14:paraId="030C527F"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(b)</w:t>
      </w:r>
      <w:r w:rsidRPr="00D9073D">
        <w:rPr>
          <w:rFonts w:asciiTheme="majorBidi" w:hAnsiTheme="majorBidi" w:cstheme="majorBidi"/>
          <w:kern w:val="22"/>
          <w:szCs w:val="22"/>
        </w:rPr>
        <w:tab/>
        <w:t>To identify changes in invasive alien species pathway risks arising from climate change. Climatically similar regions posing the greatest current mutual risks today are likely to change in the future along with changes in vectors and pathways, including changes in trade and the movement of people between these regions;</w:t>
      </w:r>
    </w:p>
    <w:p w14:paraId="0AC5835E"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(c)</w:t>
      </w:r>
      <w:r w:rsidRPr="00D9073D">
        <w:rPr>
          <w:rFonts w:asciiTheme="majorBidi" w:hAnsiTheme="majorBidi" w:cstheme="majorBidi"/>
          <w:kern w:val="22"/>
          <w:szCs w:val="22"/>
        </w:rPr>
        <w:tab/>
        <w:t>To prioritize invasive alien species on the basis of potential direct and indirect impacts in the context of climate change;</w:t>
      </w:r>
    </w:p>
    <w:p w14:paraId="564D6D97"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(d)</w:t>
      </w:r>
      <w:r w:rsidRPr="00D9073D">
        <w:rPr>
          <w:rFonts w:asciiTheme="majorBidi" w:hAnsiTheme="majorBidi" w:cstheme="majorBidi"/>
          <w:kern w:val="22"/>
          <w:szCs w:val="22"/>
        </w:rPr>
        <w:tab/>
        <w:t>To identify effects of climate change on new potential invasive alien species introductions or pathways of introductions and establishment into pristine and invaded communities;</w:t>
      </w:r>
    </w:p>
    <w:p w14:paraId="73720C6A"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(e)</w:t>
      </w:r>
      <w:r w:rsidRPr="00D9073D">
        <w:rPr>
          <w:rFonts w:asciiTheme="majorBidi" w:hAnsiTheme="majorBidi" w:cstheme="majorBidi"/>
          <w:kern w:val="22"/>
          <w:szCs w:val="22"/>
        </w:rPr>
        <w:tab/>
        <w:t>To determine and prioritize for action sites at the greatest risk from climate change and invasive alien species;</w:t>
      </w:r>
    </w:p>
    <w:p w14:paraId="795335DE"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(f)</w:t>
      </w:r>
      <w:r w:rsidRPr="00D9073D">
        <w:rPr>
          <w:rFonts w:asciiTheme="majorBidi" w:hAnsiTheme="majorBidi" w:cstheme="majorBidi"/>
          <w:kern w:val="22"/>
          <w:szCs w:val="22"/>
        </w:rPr>
        <w:tab/>
        <w:t>To prioritize efforts to maintain ecosystem goods and services, as well as ecosystem structures and functions on sites at the greatest risk from climate change and invasive alien species;</w:t>
      </w:r>
    </w:p>
    <w:p w14:paraId="08466D21"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(g)</w:t>
      </w:r>
      <w:r w:rsidRPr="00D9073D">
        <w:rPr>
          <w:rFonts w:asciiTheme="majorBidi" w:hAnsiTheme="majorBidi" w:cstheme="majorBidi"/>
          <w:kern w:val="22"/>
          <w:szCs w:val="22"/>
        </w:rPr>
        <w:tab/>
        <w:t>To apply climate models to understand the impacts of invasive alien species on biodiversity and ecosystem services arising from climate change, and to further develop models for use on a broad scale by developing countries;</w:t>
      </w:r>
    </w:p>
    <w:p w14:paraId="10D5389F"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(h)</w:t>
      </w:r>
      <w:r w:rsidRPr="00D9073D">
        <w:rPr>
          <w:rFonts w:asciiTheme="majorBidi" w:hAnsiTheme="majorBidi" w:cstheme="majorBidi"/>
          <w:kern w:val="22"/>
          <w:szCs w:val="22"/>
        </w:rPr>
        <w:tab/>
        <w:t>To develop better methods to integrate (i) climate change models, (ii) land-use scenarios and (iii) trends in trade with invasive alien species data analysis to improve prediction capability;</w:t>
      </w:r>
    </w:p>
    <w:p w14:paraId="5EE9F6FD"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(i)</w:t>
      </w:r>
      <w:r w:rsidRPr="00D9073D">
        <w:rPr>
          <w:rFonts w:asciiTheme="majorBidi" w:hAnsiTheme="majorBidi" w:cstheme="majorBidi"/>
          <w:kern w:val="22"/>
          <w:szCs w:val="22"/>
        </w:rPr>
        <w:tab/>
        <w:t>To define scenarios to understand where invasive alien species may indirectly increase the impacts of climate change on biodiversity and ecosystem services by transforming ecosystems;</w:t>
      </w:r>
    </w:p>
    <w:p w14:paraId="50B52FD6"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(j)</w:t>
      </w:r>
      <w:r w:rsidRPr="00D9073D">
        <w:rPr>
          <w:rFonts w:asciiTheme="majorBidi" w:hAnsiTheme="majorBidi" w:cstheme="majorBidi"/>
          <w:kern w:val="22"/>
          <w:szCs w:val="22"/>
        </w:rPr>
        <w:tab/>
        <w:t>To modify/fine-tune invasive alien species risk analysis, and identify potential alien invasive species</w:t>
      </w:r>
      <w:r w:rsidRPr="00610646">
        <w:rPr>
          <w:rStyle w:val="FootnoteReference"/>
        </w:rPr>
        <w:footnoteReference w:id="353"/>
      </w:r>
      <w:r w:rsidRPr="00D9073D">
        <w:rPr>
          <w:rFonts w:asciiTheme="majorBidi" w:hAnsiTheme="majorBidi" w:cstheme="majorBidi"/>
          <w:kern w:val="22"/>
          <w:szCs w:val="22"/>
        </w:rPr>
        <w:t xml:space="preserve"> (including disease vectors) that remain only casual under current conditions without significant impact and are likely to become established and/or invasive and have an increased impact due to rapid population growth as a result of climate change;</w:t>
      </w:r>
    </w:p>
    <w:p w14:paraId="51F8FC1C"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(k)</w:t>
      </w:r>
      <w:r w:rsidRPr="00D9073D">
        <w:rPr>
          <w:rFonts w:asciiTheme="majorBidi" w:hAnsiTheme="majorBidi" w:cstheme="majorBidi"/>
          <w:kern w:val="22"/>
          <w:szCs w:val="22"/>
        </w:rPr>
        <w:tab/>
        <w:t>To identify and study potential future invasive alien species that can establish and spread and have an increased impact as a result of climate change. This can be done by using such approaches as sentinel sites to monitor changes in abundance, spread and impacts of such species or by carrying out trait- and impact-based risk assessments;</w:t>
      </w:r>
    </w:p>
    <w:p w14:paraId="57EC9011"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(l)</w:t>
      </w:r>
      <w:r w:rsidRPr="00D9073D">
        <w:rPr>
          <w:rFonts w:asciiTheme="majorBidi" w:hAnsiTheme="majorBidi" w:cstheme="majorBidi"/>
          <w:kern w:val="22"/>
          <w:szCs w:val="22"/>
        </w:rPr>
        <w:tab/>
        <w:t>To identify invasive alien species that are likely to benefit under increased CO</w:t>
      </w:r>
      <w:r w:rsidRPr="00D9073D">
        <w:rPr>
          <w:rFonts w:asciiTheme="majorBidi" w:hAnsiTheme="majorBidi" w:cstheme="majorBidi"/>
          <w:kern w:val="22"/>
          <w:szCs w:val="22"/>
          <w:vertAlign w:val="subscript"/>
        </w:rPr>
        <w:t>2</w:t>
      </w:r>
      <w:r w:rsidRPr="00D9073D">
        <w:rPr>
          <w:rFonts w:asciiTheme="majorBidi" w:hAnsiTheme="majorBidi" w:cstheme="majorBidi"/>
          <w:kern w:val="22"/>
          <w:szCs w:val="22"/>
        </w:rPr>
        <w:t xml:space="preserve"> levels, rising temperatures, increased frequency of extreme events, fire regimes of increased frequency and intensity, high salt-water incursions, changes in ocean currents and changes in precipitation patterns, and prioritize management to prevent their spread and impacts, including humane methods of eradication and control;</w:t>
      </w:r>
    </w:p>
    <w:p w14:paraId="295FCA79"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(m)</w:t>
      </w:r>
      <w:r w:rsidRPr="00D9073D">
        <w:rPr>
          <w:rFonts w:asciiTheme="majorBidi" w:hAnsiTheme="majorBidi" w:cstheme="majorBidi"/>
          <w:kern w:val="22"/>
          <w:szCs w:val="22"/>
        </w:rPr>
        <w:tab/>
        <w:t>To improve knowledge of the risks of invasive alien species adapting to new environmental conditions, including rapid evolution and hybridization;</w:t>
      </w:r>
    </w:p>
    <w:p w14:paraId="5AE745D1"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(n)</w:t>
      </w:r>
      <w:r w:rsidRPr="00D9073D">
        <w:rPr>
          <w:rFonts w:asciiTheme="majorBidi" w:hAnsiTheme="majorBidi" w:cstheme="majorBidi"/>
          <w:kern w:val="22"/>
          <w:szCs w:val="22"/>
        </w:rPr>
        <w:tab/>
        <w:t>To identify impacts of invasive alien species arising from climate change on biodiversity and ecosystem services;</w:t>
      </w:r>
    </w:p>
    <w:p w14:paraId="756E562A"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(o)</w:t>
      </w:r>
      <w:r w:rsidRPr="00D9073D">
        <w:rPr>
          <w:rFonts w:asciiTheme="majorBidi" w:hAnsiTheme="majorBidi" w:cstheme="majorBidi"/>
          <w:kern w:val="22"/>
          <w:szCs w:val="22"/>
        </w:rPr>
        <w:tab/>
        <w:t>To ensure the meaningful participation of indigenous peoples and local communities, use of their biocultural indicators, early identification and warning systems and traditional knowledge in the development of predictions of invasive alien species under climate change with their “free, prior and informed consent” or “free, prior informed consent” or “approval and involvement”, depending on national circumstances.</w:t>
      </w:r>
    </w:p>
    <w:p w14:paraId="24EC7109" w14:textId="77777777" w:rsidR="007523D5" w:rsidRPr="00D9073D" w:rsidRDefault="007523D5" w:rsidP="007C5A47">
      <w:pPr>
        <w:keepNext/>
        <w:suppressLineNumbers/>
        <w:tabs>
          <w:tab w:val="left" w:pos="426"/>
        </w:tabs>
        <w:suppressAutoHyphens/>
        <w:spacing w:before="120" w:after="120"/>
        <w:jc w:val="center"/>
        <w:rPr>
          <w:rFonts w:asciiTheme="majorBidi" w:hAnsiTheme="majorBidi" w:cstheme="majorBidi"/>
          <w:b/>
          <w:kern w:val="22"/>
          <w:szCs w:val="22"/>
        </w:rPr>
      </w:pPr>
      <w:r w:rsidRPr="00D9073D">
        <w:rPr>
          <w:rFonts w:asciiTheme="majorBidi" w:hAnsiTheme="majorBidi" w:cstheme="majorBidi"/>
          <w:b/>
          <w:kern w:val="22"/>
          <w:szCs w:val="22"/>
        </w:rPr>
        <w:t>B.</w:t>
      </w:r>
      <w:r w:rsidRPr="00D9073D">
        <w:rPr>
          <w:rFonts w:asciiTheme="majorBidi" w:hAnsiTheme="majorBidi" w:cstheme="majorBidi"/>
          <w:b/>
          <w:kern w:val="22"/>
          <w:szCs w:val="22"/>
        </w:rPr>
        <w:tab/>
        <w:t>Planning and prevention</w:t>
      </w:r>
    </w:p>
    <w:p w14:paraId="1DB92FC7" w14:textId="77777777" w:rsidR="007523D5" w:rsidRPr="00D9073D" w:rsidRDefault="007523D5" w:rsidP="007C5A47">
      <w:pPr>
        <w:keepNext/>
        <w:suppressLineNumbers/>
        <w:pBdr>
          <w:top w:val="nil"/>
          <w:left w:val="nil"/>
          <w:bottom w:val="nil"/>
          <w:right w:val="nil"/>
          <w:between w:val="nil"/>
        </w:pBdr>
        <w:suppressAutoHyphens/>
        <w:spacing w:before="120" w:after="120"/>
        <w:ind w:hanging="11"/>
        <w:rPr>
          <w:rFonts w:asciiTheme="majorBidi" w:hAnsiTheme="majorBidi" w:cstheme="majorBidi"/>
          <w:kern w:val="22"/>
          <w:szCs w:val="22"/>
        </w:rPr>
      </w:pPr>
      <w:r w:rsidRPr="00D9073D">
        <w:rPr>
          <w:rFonts w:asciiTheme="majorBidi" w:hAnsiTheme="majorBidi" w:cstheme="majorBidi"/>
          <w:kern w:val="22"/>
          <w:szCs w:val="22"/>
        </w:rPr>
        <w:t>10.</w:t>
      </w:r>
      <w:r w:rsidRPr="00D9073D">
        <w:rPr>
          <w:rFonts w:asciiTheme="majorBidi" w:hAnsiTheme="majorBidi" w:cstheme="majorBidi"/>
          <w:kern w:val="22"/>
          <w:szCs w:val="22"/>
        </w:rPr>
        <w:tab/>
        <w:t xml:space="preserve">States are encouraged, in collaboration with experts, subnational government, </w:t>
      </w:r>
      <w:r w:rsidRPr="00D9073D">
        <w:rPr>
          <w:rFonts w:asciiTheme="majorBidi" w:hAnsiTheme="majorBidi" w:cstheme="majorBidi"/>
          <w:szCs w:val="22"/>
        </w:rPr>
        <w:t>indigenous peoples, local communities and relevant stakeholders</w:t>
      </w:r>
      <w:r w:rsidRPr="00D9073D">
        <w:rPr>
          <w:rFonts w:asciiTheme="majorBidi" w:hAnsiTheme="majorBidi" w:cstheme="majorBidi"/>
          <w:kern w:val="22"/>
          <w:szCs w:val="22"/>
        </w:rPr>
        <w:t>:</w:t>
      </w:r>
    </w:p>
    <w:p w14:paraId="646AA009"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(a)</w:t>
      </w:r>
      <w:r w:rsidRPr="00D9073D">
        <w:rPr>
          <w:rFonts w:asciiTheme="majorBidi" w:hAnsiTheme="majorBidi" w:cstheme="majorBidi"/>
          <w:kern w:val="22"/>
          <w:szCs w:val="22"/>
        </w:rPr>
        <w:tab/>
        <w:t>To develop climate change relevant risk analysis for prioritizing invasive alien species for management (e.g. fire</w:t>
      </w:r>
      <w:r>
        <w:rPr>
          <w:rFonts w:asciiTheme="majorBidi" w:hAnsiTheme="majorBidi" w:cstheme="majorBidi"/>
          <w:kern w:val="22"/>
          <w:szCs w:val="22"/>
        </w:rPr>
        <w:noBreakHyphen/>
      </w:r>
      <w:r w:rsidRPr="00D9073D">
        <w:rPr>
          <w:rFonts w:asciiTheme="majorBidi" w:hAnsiTheme="majorBidi" w:cstheme="majorBidi"/>
          <w:kern w:val="22"/>
          <w:szCs w:val="22"/>
        </w:rPr>
        <w:t>enhancing weeds);</w:t>
      </w:r>
    </w:p>
    <w:p w14:paraId="698A62B1"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(b)</w:t>
      </w:r>
      <w:r w:rsidRPr="00D9073D">
        <w:rPr>
          <w:rFonts w:asciiTheme="majorBidi" w:hAnsiTheme="majorBidi" w:cstheme="majorBidi"/>
          <w:kern w:val="22"/>
          <w:szCs w:val="22"/>
        </w:rPr>
        <w:tab/>
        <w:t>To develop and implement management strategies to eradicate, contain or control high ranking potential alien species and introduced or established invasive alien species before they can respond to climate change. Those strategies should be object of an appropriate risk analysis, in order to avoid unnecessary biosafety concerns;</w:t>
      </w:r>
    </w:p>
    <w:p w14:paraId="7CF90FF1"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(c)</w:t>
      </w:r>
      <w:r w:rsidRPr="00D9073D">
        <w:rPr>
          <w:rFonts w:asciiTheme="majorBidi" w:hAnsiTheme="majorBidi" w:cstheme="majorBidi"/>
          <w:kern w:val="22"/>
          <w:szCs w:val="22"/>
        </w:rPr>
        <w:tab/>
        <w:t>To monitor the spread and impact of all established and potential alien species, particularly in sites or regions where biodiversity and ecosystem services are likely to deteriorate rapidly under climate change. Best-practice approaches using, for example, remote sensing or sensor networks are suggested to be undertaken;</w:t>
      </w:r>
    </w:p>
    <w:p w14:paraId="79E5831D"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(d)</w:t>
      </w:r>
      <w:r w:rsidRPr="00D9073D">
        <w:rPr>
          <w:rFonts w:asciiTheme="majorBidi" w:hAnsiTheme="majorBidi" w:cstheme="majorBidi"/>
          <w:kern w:val="22"/>
          <w:szCs w:val="22"/>
        </w:rPr>
        <w:tab/>
        <w:t>To minimize the potential of biological invasions or develop spatial response planning for areas in which communities are threatened with a high risk of extreme weather events (e.g, relocate zoos, botanical gardens, exotic aquaculture facilities from extreme-event-prone areas);</w:t>
      </w:r>
    </w:p>
    <w:p w14:paraId="74E3E565"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(e)</w:t>
      </w:r>
      <w:r w:rsidRPr="00D9073D">
        <w:rPr>
          <w:rFonts w:asciiTheme="majorBidi" w:hAnsiTheme="majorBidi" w:cstheme="majorBidi"/>
          <w:kern w:val="22"/>
          <w:szCs w:val="22"/>
        </w:rPr>
        <w:tab/>
        <w:t>To adapt current pathway management with a view to reducing changes in risks arising from climate, including predicted associated changes in trade and movement of people;</w:t>
      </w:r>
    </w:p>
    <w:p w14:paraId="65E44940"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(f)</w:t>
      </w:r>
      <w:r w:rsidRPr="00D9073D">
        <w:rPr>
          <w:rFonts w:asciiTheme="majorBidi" w:hAnsiTheme="majorBidi" w:cstheme="majorBidi"/>
          <w:kern w:val="22"/>
          <w:szCs w:val="22"/>
        </w:rPr>
        <w:tab/>
        <w:t>To engage all sectors, including agriculture and public health agencies and industries, in invasive alien species planning activities where climate change risks are cross-sectoral;</w:t>
      </w:r>
    </w:p>
    <w:p w14:paraId="01DB1C4E"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(g)</w:t>
      </w:r>
      <w:r w:rsidRPr="00D9073D">
        <w:rPr>
          <w:rFonts w:asciiTheme="majorBidi" w:hAnsiTheme="majorBidi" w:cstheme="majorBidi"/>
          <w:kern w:val="22"/>
          <w:szCs w:val="22"/>
        </w:rPr>
        <w:tab/>
        <w:t>To raise public awareness of changing invasive alien species threats arising from climate change and include the participation of the public and all relevant sectors in response planning;</w:t>
      </w:r>
    </w:p>
    <w:p w14:paraId="4DD9A012" w14:textId="77777777" w:rsidR="007523D5" w:rsidRPr="00D9073D" w:rsidRDefault="007523D5" w:rsidP="007C5A47">
      <w:pPr>
        <w:pStyle w:val="ListParagraph"/>
        <w:suppressLineNumbers/>
        <w:suppressAutoHyphens/>
        <w:spacing w:before="120" w:after="120"/>
        <w:ind w:left="0" w:firstLine="720"/>
        <w:contextualSpacing w:val="0"/>
        <w:rPr>
          <w:rFonts w:asciiTheme="majorBidi" w:hAnsiTheme="majorBidi" w:cstheme="majorBidi"/>
          <w:kern w:val="22"/>
          <w:szCs w:val="22"/>
        </w:rPr>
      </w:pPr>
      <w:r w:rsidRPr="00D9073D">
        <w:rPr>
          <w:rFonts w:asciiTheme="majorBidi" w:hAnsiTheme="majorBidi" w:cstheme="majorBidi"/>
          <w:kern w:val="22"/>
          <w:szCs w:val="22"/>
        </w:rPr>
        <w:t>(h)</w:t>
      </w:r>
      <w:r w:rsidRPr="00D9073D">
        <w:rPr>
          <w:rFonts w:asciiTheme="majorBidi" w:hAnsiTheme="majorBidi" w:cstheme="majorBidi"/>
          <w:kern w:val="22"/>
          <w:szCs w:val="22"/>
        </w:rPr>
        <w:tab/>
        <w:t>To collect best practices of indigenous peoples and local communities on the monitoring, controlling and mitigation of the impacts of invasive alien species caused by climate change;</w:t>
      </w:r>
    </w:p>
    <w:p w14:paraId="30DEB42D"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(i)</w:t>
      </w:r>
      <w:r w:rsidRPr="00D9073D">
        <w:rPr>
          <w:rFonts w:asciiTheme="majorBidi" w:hAnsiTheme="majorBidi" w:cstheme="majorBidi"/>
          <w:kern w:val="22"/>
          <w:szCs w:val="22"/>
        </w:rPr>
        <w:tab/>
        <w:t>To engage with regional and local specialists when considering prevention, planning and mitigation measures.</w:t>
      </w:r>
    </w:p>
    <w:p w14:paraId="6AB2E076" w14:textId="77777777" w:rsidR="007523D5" w:rsidRPr="00D9073D" w:rsidRDefault="007523D5" w:rsidP="007C5A47">
      <w:pPr>
        <w:keepNext/>
        <w:suppressLineNumbers/>
        <w:tabs>
          <w:tab w:val="left" w:pos="426"/>
        </w:tabs>
        <w:suppressAutoHyphens/>
        <w:spacing w:before="120" w:after="120"/>
        <w:jc w:val="center"/>
        <w:rPr>
          <w:rFonts w:asciiTheme="majorBidi" w:hAnsiTheme="majorBidi" w:cstheme="majorBidi"/>
          <w:b/>
          <w:kern w:val="22"/>
          <w:szCs w:val="22"/>
        </w:rPr>
      </w:pPr>
      <w:r w:rsidRPr="00D9073D">
        <w:rPr>
          <w:rFonts w:asciiTheme="majorBidi" w:hAnsiTheme="majorBidi" w:cstheme="majorBidi"/>
          <w:b/>
          <w:kern w:val="22"/>
          <w:szCs w:val="22"/>
        </w:rPr>
        <w:t>C.</w:t>
      </w:r>
      <w:r w:rsidRPr="00D9073D">
        <w:rPr>
          <w:rFonts w:asciiTheme="majorBidi" w:hAnsiTheme="majorBidi" w:cstheme="majorBidi"/>
          <w:b/>
          <w:kern w:val="22"/>
          <w:szCs w:val="22"/>
        </w:rPr>
        <w:tab/>
        <w:t>Management</w:t>
      </w:r>
    </w:p>
    <w:p w14:paraId="6B59FEF5" w14:textId="77777777" w:rsidR="007523D5" w:rsidRPr="00D9073D" w:rsidRDefault="007523D5" w:rsidP="007C5A47">
      <w:pPr>
        <w:keepNext/>
        <w:suppressLineNumbers/>
        <w:pBdr>
          <w:top w:val="nil"/>
          <w:left w:val="nil"/>
          <w:bottom w:val="nil"/>
          <w:right w:val="nil"/>
          <w:between w:val="nil"/>
        </w:pBdr>
        <w:suppressAutoHyphens/>
        <w:spacing w:before="120" w:after="120"/>
        <w:ind w:hanging="11"/>
        <w:rPr>
          <w:rFonts w:asciiTheme="majorBidi" w:hAnsiTheme="majorBidi" w:cstheme="majorBidi"/>
          <w:kern w:val="22"/>
          <w:szCs w:val="22"/>
        </w:rPr>
      </w:pPr>
      <w:r w:rsidRPr="00D9073D">
        <w:rPr>
          <w:rFonts w:asciiTheme="majorBidi" w:hAnsiTheme="majorBidi" w:cstheme="majorBidi"/>
          <w:kern w:val="22"/>
          <w:szCs w:val="22"/>
        </w:rPr>
        <w:t>11.</w:t>
      </w:r>
      <w:r w:rsidRPr="00D9073D">
        <w:rPr>
          <w:rFonts w:asciiTheme="majorBidi" w:hAnsiTheme="majorBidi" w:cstheme="majorBidi"/>
          <w:kern w:val="22"/>
          <w:szCs w:val="22"/>
        </w:rPr>
        <w:tab/>
        <w:t>It is suggested that States take the following actions:</w:t>
      </w:r>
    </w:p>
    <w:p w14:paraId="7696F303"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(a)</w:t>
      </w:r>
      <w:r w:rsidRPr="00D9073D">
        <w:rPr>
          <w:rFonts w:asciiTheme="majorBidi" w:hAnsiTheme="majorBidi" w:cstheme="majorBidi"/>
          <w:kern w:val="22"/>
          <w:szCs w:val="22"/>
        </w:rPr>
        <w:tab/>
        <w:t>Apply adaptive management approaches to future prioritized management actions in the context of climate change and share the information with other Parties to improve outcomes;</w:t>
      </w:r>
    </w:p>
    <w:p w14:paraId="17F5BD97"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(b)</w:t>
      </w:r>
      <w:r w:rsidRPr="00D9073D">
        <w:rPr>
          <w:rFonts w:asciiTheme="majorBidi" w:hAnsiTheme="majorBidi" w:cstheme="majorBidi"/>
          <w:kern w:val="22"/>
          <w:szCs w:val="22"/>
        </w:rPr>
        <w:tab/>
        <w:t>Take steps to increase the long-term functional resilience of threatened ecosystems and habitats to climate change, extreme weather events and natural disasters and associated invasive alien species incursions, particularly for islands and coastal systems, taking into account guidance in decision 14/5, paragraphs 3(h), 4(b) and annex</w:t>
      </w:r>
      <w:r>
        <w:rPr>
          <w:rFonts w:asciiTheme="majorBidi" w:hAnsiTheme="majorBidi" w:cstheme="majorBidi"/>
          <w:kern w:val="22"/>
          <w:szCs w:val="22"/>
        </w:rPr>
        <w:t>,</w:t>
      </w:r>
      <w:r w:rsidRPr="00D9073D">
        <w:rPr>
          <w:rFonts w:asciiTheme="majorBidi" w:hAnsiTheme="majorBidi" w:cstheme="majorBidi"/>
          <w:kern w:val="22"/>
          <w:szCs w:val="22"/>
        </w:rPr>
        <w:t xml:space="preserve"> as well as decision X/33, paragraph 8(n);</w:t>
      </w:r>
    </w:p>
    <w:p w14:paraId="49771B4D"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(c)</w:t>
      </w:r>
      <w:r w:rsidRPr="00D9073D">
        <w:rPr>
          <w:rFonts w:asciiTheme="majorBidi" w:hAnsiTheme="majorBidi" w:cstheme="majorBidi"/>
          <w:kern w:val="22"/>
          <w:szCs w:val="22"/>
        </w:rPr>
        <w:tab/>
        <w:t>Undertake focused management actions, including containment, eradication when possible or control of invasive alien species in areas that could act as non-native sources for spread into identified vulnerable areas and/or native communities;</w:t>
      </w:r>
    </w:p>
    <w:p w14:paraId="795F43D1"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(d)</w:t>
      </w:r>
      <w:r w:rsidRPr="00D9073D">
        <w:rPr>
          <w:rFonts w:asciiTheme="majorBidi" w:hAnsiTheme="majorBidi" w:cstheme="majorBidi"/>
          <w:kern w:val="22"/>
          <w:szCs w:val="22"/>
        </w:rPr>
        <w:tab/>
        <w:t>Collate existing knowledge into international online databases to allow the interoperable collection and dissemination of data and knowledge on the effectiveness of actions to mitigate impacts of invasive alien species arising from climate change. An example of such a database is the Database of Island Invasive Species Eradications (DIISE);</w:t>
      </w:r>
      <w:r w:rsidRPr="00610646">
        <w:rPr>
          <w:rStyle w:val="FootnoteReference"/>
        </w:rPr>
        <w:footnoteReference w:id="354"/>
      </w:r>
    </w:p>
    <w:p w14:paraId="56B9A9E0" w14:textId="77777777" w:rsidR="007523D5" w:rsidRPr="00D9073D" w:rsidRDefault="007523D5" w:rsidP="007C5A47">
      <w:pPr>
        <w:suppressLineNumbers/>
        <w:suppressAutoHyphens/>
        <w:spacing w:before="120" w:after="120"/>
        <w:ind w:firstLine="720"/>
        <w:rPr>
          <w:rFonts w:asciiTheme="majorBidi" w:hAnsiTheme="majorBidi" w:cstheme="majorBidi"/>
          <w:i/>
          <w:kern w:val="22"/>
          <w:szCs w:val="22"/>
        </w:rPr>
      </w:pPr>
      <w:r w:rsidRPr="00D9073D">
        <w:rPr>
          <w:rFonts w:asciiTheme="majorBidi" w:hAnsiTheme="majorBidi" w:cstheme="majorBidi"/>
          <w:kern w:val="22"/>
          <w:szCs w:val="22"/>
        </w:rPr>
        <w:t>(e)</w:t>
      </w:r>
      <w:r w:rsidRPr="00D9073D">
        <w:rPr>
          <w:rFonts w:asciiTheme="majorBidi" w:hAnsiTheme="majorBidi" w:cstheme="majorBidi"/>
          <w:kern w:val="22"/>
          <w:szCs w:val="22"/>
        </w:rPr>
        <w:tab/>
        <w:t>Develop and integrate invasive alien species management strategies into “threatened climate vulnerable species movement-assisted translocation actions” to avoid unintended consequences, taking into account decision X/33, paragraph 8(e);</w:t>
      </w:r>
    </w:p>
    <w:p w14:paraId="2BB6E771" w14:textId="77777777" w:rsidR="007523D5" w:rsidRPr="00D9073D" w:rsidRDefault="007523D5" w:rsidP="007C5A47">
      <w:pPr>
        <w:suppressLineNumbers/>
        <w:suppressAutoHyphens/>
        <w:spacing w:before="120" w:after="120"/>
        <w:ind w:firstLine="720"/>
        <w:rPr>
          <w:rFonts w:asciiTheme="majorBidi" w:hAnsiTheme="majorBidi" w:cstheme="majorBidi"/>
          <w:i/>
          <w:kern w:val="22"/>
          <w:szCs w:val="22"/>
        </w:rPr>
      </w:pPr>
      <w:r w:rsidRPr="00D9073D">
        <w:rPr>
          <w:rFonts w:asciiTheme="majorBidi" w:hAnsiTheme="majorBidi" w:cstheme="majorBidi"/>
          <w:kern w:val="22"/>
          <w:szCs w:val="22"/>
        </w:rPr>
        <w:t>(f)</w:t>
      </w:r>
      <w:r w:rsidRPr="00D9073D">
        <w:rPr>
          <w:rFonts w:asciiTheme="majorBidi" w:hAnsiTheme="majorBidi" w:cstheme="majorBidi"/>
          <w:kern w:val="22"/>
          <w:szCs w:val="22"/>
        </w:rPr>
        <w:tab/>
        <w:t>Collect best practices of indigenous peoples and local communities on the monitoring, control and mitigation of the impacts of invasive alien species, diseases and shifting species distributions caused by climate change.</w:t>
      </w:r>
    </w:p>
    <w:p w14:paraId="22D9B790" w14:textId="77777777" w:rsidR="007523D5" w:rsidRPr="00D9073D" w:rsidRDefault="007523D5" w:rsidP="007C5A47">
      <w:pPr>
        <w:pStyle w:val="ListParagraph"/>
        <w:keepNext/>
        <w:suppressLineNumbers/>
        <w:tabs>
          <w:tab w:val="left" w:pos="426"/>
        </w:tabs>
        <w:suppressAutoHyphens/>
        <w:spacing w:before="120" w:after="120"/>
        <w:ind w:left="0"/>
        <w:contextualSpacing w:val="0"/>
        <w:jc w:val="center"/>
        <w:rPr>
          <w:rFonts w:asciiTheme="majorBidi" w:hAnsiTheme="majorBidi" w:cstheme="majorBidi"/>
          <w:b/>
          <w:kern w:val="22"/>
          <w:szCs w:val="22"/>
        </w:rPr>
      </w:pPr>
      <w:r w:rsidRPr="00D9073D">
        <w:rPr>
          <w:rFonts w:asciiTheme="majorBidi" w:hAnsiTheme="majorBidi" w:cstheme="majorBidi"/>
          <w:b/>
          <w:kern w:val="22"/>
          <w:szCs w:val="22"/>
        </w:rPr>
        <w:t>D.</w:t>
      </w:r>
      <w:r w:rsidRPr="00D9073D">
        <w:rPr>
          <w:rFonts w:asciiTheme="majorBidi" w:hAnsiTheme="majorBidi" w:cstheme="majorBidi"/>
          <w:b/>
          <w:kern w:val="22"/>
          <w:szCs w:val="22"/>
        </w:rPr>
        <w:tab/>
        <w:t>National and international cooperation</w:t>
      </w:r>
    </w:p>
    <w:p w14:paraId="1563DD2A" w14:textId="77777777" w:rsidR="007523D5" w:rsidRPr="00D9073D" w:rsidRDefault="007523D5" w:rsidP="007C5A47">
      <w:pPr>
        <w:suppressLineNumbers/>
        <w:pBdr>
          <w:top w:val="nil"/>
          <w:left w:val="nil"/>
          <w:bottom w:val="nil"/>
          <w:right w:val="nil"/>
          <w:between w:val="nil"/>
        </w:pBdr>
        <w:suppressAutoHyphens/>
        <w:spacing w:before="120" w:after="120"/>
        <w:ind w:hanging="11"/>
        <w:rPr>
          <w:rFonts w:asciiTheme="majorBidi" w:hAnsiTheme="majorBidi" w:cstheme="majorBidi"/>
          <w:kern w:val="22"/>
          <w:szCs w:val="22"/>
        </w:rPr>
      </w:pPr>
      <w:r w:rsidRPr="00D9073D">
        <w:rPr>
          <w:rFonts w:asciiTheme="majorBidi" w:hAnsiTheme="majorBidi" w:cstheme="majorBidi"/>
          <w:kern w:val="22"/>
          <w:szCs w:val="22"/>
        </w:rPr>
        <w:t>12.</w:t>
      </w:r>
      <w:r w:rsidRPr="00D9073D">
        <w:rPr>
          <w:rFonts w:asciiTheme="majorBidi" w:hAnsiTheme="majorBidi" w:cstheme="majorBidi"/>
          <w:kern w:val="22"/>
          <w:szCs w:val="22"/>
        </w:rPr>
        <w:tab/>
        <w:t>States and relevant international organizations are strongly urged to integrate pathway and invasive alien species risk based multi-criteria prioritization approaches into all levels of planning to obtain multiple benefits and shared outcomes, including the following:</w:t>
      </w:r>
    </w:p>
    <w:p w14:paraId="33286388"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(a)</w:t>
      </w:r>
      <w:r w:rsidRPr="00D9073D">
        <w:rPr>
          <w:rFonts w:asciiTheme="majorBidi" w:hAnsiTheme="majorBidi" w:cstheme="majorBidi"/>
          <w:kern w:val="22"/>
          <w:szCs w:val="22"/>
        </w:rPr>
        <w:tab/>
        <w:t>National and international climate mitigation and adaptation strategies, environmental impact assessments, and response planning activities in accordance with decision X/33, paragraph 8(p);</w:t>
      </w:r>
    </w:p>
    <w:p w14:paraId="2F7F38FD"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(b)</w:t>
      </w:r>
      <w:r w:rsidRPr="00D9073D">
        <w:rPr>
          <w:rFonts w:asciiTheme="majorBidi" w:hAnsiTheme="majorBidi" w:cstheme="majorBidi"/>
          <w:kern w:val="22"/>
          <w:szCs w:val="22"/>
        </w:rPr>
        <w:tab/>
        <w:t>Other relevant conventions (e.g. United Nations Framework Convention on Climate Change, Convention on the Conservation of Migratory Species of Wild Animals) and providing relevant United Nations implementing agencies with policy guidance;</w:t>
      </w:r>
    </w:p>
    <w:p w14:paraId="3EBA20EB" w14:textId="77777777" w:rsidR="007523D5" w:rsidRPr="00D9073D" w:rsidRDefault="007523D5" w:rsidP="007C5A47">
      <w:pPr>
        <w:suppressLineNumbers/>
        <w:suppressAutoHyphens/>
        <w:spacing w:before="120" w:after="120"/>
        <w:ind w:firstLine="720"/>
        <w:rPr>
          <w:rFonts w:asciiTheme="majorBidi" w:hAnsiTheme="majorBidi" w:cstheme="majorBidi"/>
          <w:kern w:val="22"/>
          <w:szCs w:val="22"/>
        </w:rPr>
      </w:pPr>
      <w:r w:rsidRPr="00D9073D">
        <w:rPr>
          <w:rFonts w:asciiTheme="majorBidi" w:hAnsiTheme="majorBidi" w:cstheme="majorBidi"/>
          <w:kern w:val="22"/>
          <w:szCs w:val="22"/>
        </w:rPr>
        <w:t>(c)</w:t>
      </w:r>
      <w:r w:rsidRPr="00D9073D">
        <w:rPr>
          <w:rFonts w:asciiTheme="majorBidi" w:hAnsiTheme="majorBidi" w:cstheme="majorBidi"/>
          <w:kern w:val="22"/>
          <w:szCs w:val="22"/>
        </w:rPr>
        <w:tab/>
        <w:t>National and international commitments and actions under the Sustainable Development Goals;</w:t>
      </w:r>
    </w:p>
    <w:p w14:paraId="058DBD81" w14:textId="77777777" w:rsidR="007523D5" w:rsidRPr="00D9073D" w:rsidRDefault="007523D5" w:rsidP="007C5A47">
      <w:pPr>
        <w:suppressLineNumbers/>
        <w:suppressAutoHyphens/>
        <w:spacing w:before="120" w:after="120"/>
        <w:ind w:firstLine="720"/>
        <w:rPr>
          <w:rFonts w:asciiTheme="majorBidi" w:hAnsiTheme="majorBidi" w:cstheme="majorBidi"/>
          <w:i/>
          <w:kern w:val="22"/>
          <w:szCs w:val="22"/>
        </w:rPr>
      </w:pPr>
      <w:r w:rsidRPr="00D9073D">
        <w:rPr>
          <w:rFonts w:asciiTheme="majorBidi" w:hAnsiTheme="majorBidi" w:cstheme="majorBidi"/>
          <w:kern w:val="22"/>
          <w:szCs w:val="22"/>
        </w:rPr>
        <w:t>(d)</w:t>
      </w:r>
      <w:r w:rsidRPr="00D9073D">
        <w:rPr>
          <w:rFonts w:asciiTheme="majorBidi" w:hAnsiTheme="majorBidi" w:cstheme="majorBidi"/>
          <w:kern w:val="22"/>
          <w:szCs w:val="22"/>
        </w:rPr>
        <w:tab/>
        <w:t>Market incentive programmes and other actions funded by multilateral agencies or forums, such as the Global Environment Facility, the Clean Development Mechanism and the Green Climate Fund.</w:t>
      </w:r>
    </w:p>
    <w:p w14:paraId="29ABA115" w14:textId="77777777" w:rsidR="007523D5" w:rsidRPr="00D9073D" w:rsidRDefault="007523D5" w:rsidP="007C5A47">
      <w:pPr>
        <w:suppressLineNumbers/>
        <w:pBdr>
          <w:top w:val="nil"/>
          <w:left w:val="nil"/>
          <w:bottom w:val="nil"/>
          <w:right w:val="nil"/>
          <w:between w:val="nil"/>
        </w:pBdr>
        <w:suppressAutoHyphens/>
        <w:spacing w:before="120" w:after="120"/>
        <w:ind w:hanging="11"/>
        <w:rPr>
          <w:rFonts w:asciiTheme="majorBidi" w:hAnsiTheme="majorBidi" w:cstheme="majorBidi"/>
          <w:kern w:val="22"/>
          <w:szCs w:val="22"/>
        </w:rPr>
      </w:pPr>
      <w:r w:rsidRPr="00D9073D">
        <w:rPr>
          <w:rFonts w:asciiTheme="majorBidi" w:hAnsiTheme="majorBidi" w:cstheme="majorBidi"/>
          <w:kern w:val="22"/>
          <w:szCs w:val="22"/>
        </w:rPr>
        <w:t>13.</w:t>
      </w:r>
      <w:r w:rsidRPr="00D9073D">
        <w:rPr>
          <w:rFonts w:asciiTheme="majorBidi" w:hAnsiTheme="majorBidi" w:cstheme="majorBidi"/>
          <w:kern w:val="22"/>
          <w:szCs w:val="22"/>
        </w:rPr>
        <w:tab/>
        <w:t>It is suggested that relevant international organizations organize training for governmental and non-governmental development assistance agencies and operatives engaged in disaster relief, identify risks of introducing and spread of invasive alien species with their activities and undertake rapid response with appropriate measures, such as quarantine of equipment and goods, emergency response, eradication, containment and control.</w:t>
      </w:r>
    </w:p>
    <w:p w14:paraId="384F6458" w14:textId="43087B07" w:rsidR="007523D5" w:rsidRPr="0027619F" w:rsidRDefault="007523D5" w:rsidP="00453786">
      <w:pPr>
        <w:keepNext/>
        <w:suppressLineNumbers/>
        <w:suppressAutoHyphens/>
        <w:spacing w:after="120"/>
        <w:jc w:val="center"/>
        <w:rPr>
          <w:i/>
          <w:snapToGrid w:val="0"/>
          <w:kern w:val="22"/>
          <w:szCs w:val="22"/>
        </w:rPr>
      </w:pPr>
      <w:bookmarkStart w:id="321" w:name="_Toc118355052"/>
      <w:r w:rsidRPr="0027619F">
        <w:rPr>
          <w:i/>
          <w:snapToGrid w:val="0"/>
          <w:kern w:val="22"/>
          <w:szCs w:val="22"/>
        </w:rPr>
        <w:t>Annex IV</w:t>
      </w:r>
      <w:bookmarkEnd w:id="321"/>
    </w:p>
    <w:p w14:paraId="58C942E8" w14:textId="77777777" w:rsidR="007523D5" w:rsidRPr="0027619F" w:rsidRDefault="007523D5" w:rsidP="00453786">
      <w:pPr>
        <w:keepNext/>
        <w:suppressLineNumbers/>
        <w:suppressAutoHyphens/>
        <w:spacing w:before="120" w:after="120"/>
        <w:jc w:val="center"/>
        <w:rPr>
          <w:b/>
          <w:bCs/>
          <w:caps/>
          <w:kern w:val="22"/>
        </w:rPr>
      </w:pPr>
      <w:bookmarkStart w:id="322" w:name="_Toc118355053"/>
      <w:r w:rsidRPr="0027619F">
        <w:rPr>
          <w:b/>
          <w:bCs/>
          <w:caps/>
          <w:kern w:val="22"/>
        </w:rPr>
        <w:t>Draft risk analysis on the potential consequences of the introduction of invasive alien species on social, economic and cultural values</w:t>
      </w:r>
      <w:bookmarkEnd w:id="322"/>
    </w:p>
    <w:p w14:paraId="3C18AE4D" w14:textId="77777777" w:rsidR="007523D5" w:rsidRPr="00D9073D" w:rsidRDefault="007523D5" w:rsidP="007C5A47">
      <w:pPr>
        <w:keepNext/>
        <w:suppressLineNumbers/>
        <w:suppressAutoHyphens/>
        <w:spacing w:before="120" w:after="120"/>
        <w:jc w:val="center"/>
        <w:rPr>
          <w:bCs/>
          <w:caps/>
        </w:rPr>
      </w:pPr>
      <w:r w:rsidRPr="00D9073D">
        <w:rPr>
          <w:b/>
          <w:bCs/>
          <w:caps/>
          <w:kern w:val="22"/>
        </w:rPr>
        <w:t>(Provisional advice pursuant to</w:t>
      </w:r>
      <w:r w:rsidRPr="00D9073D">
        <w:rPr>
          <w:bCs/>
          <w:caps/>
          <w:kern w:val="22"/>
        </w:rPr>
        <w:t xml:space="preserve"> </w:t>
      </w:r>
      <w:r w:rsidRPr="00D9073D">
        <w:rPr>
          <w:b/>
          <w:bCs/>
          <w:caps/>
          <w:kern w:val="22"/>
        </w:rPr>
        <w:t>decision 14/11, annex II, paragraph 1 (d))</w:t>
      </w:r>
    </w:p>
    <w:p w14:paraId="19E388A8" w14:textId="77777777" w:rsidR="007523D5" w:rsidRPr="00D9073D" w:rsidRDefault="007523D5" w:rsidP="007C5A47">
      <w:pPr>
        <w:suppressLineNumbers/>
        <w:suppressAutoHyphens/>
        <w:spacing w:before="120" w:after="120"/>
        <w:rPr>
          <w:kern w:val="22"/>
          <w:szCs w:val="22"/>
        </w:rPr>
      </w:pPr>
      <w:r w:rsidRPr="00D9073D">
        <w:rPr>
          <w:kern w:val="22"/>
          <w:szCs w:val="22"/>
        </w:rPr>
        <w:t>1.</w:t>
      </w:r>
      <w:r w:rsidRPr="00D9073D">
        <w:rPr>
          <w:kern w:val="22"/>
          <w:szCs w:val="22"/>
        </w:rPr>
        <w:tab/>
        <w:t xml:space="preserve">It is suggested that guidelines be developed in order to more explicitly include social and cultural values when assessing the costs, benefits and prioritization of management. This could build on existing processes (for example, Socioeconomic Impact Classification of Alien Taxa (SEICAT)) and international best practices on engagement of </w:t>
      </w:r>
      <w:r w:rsidRPr="00D9073D">
        <w:rPr>
          <w:szCs w:val="22"/>
        </w:rPr>
        <w:t>indigenous peoples, local communities and relevant stakeholders</w:t>
      </w:r>
      <w:r w:rsidRPr="00D9073D">
        <w:rPr>
          <w:kern w:val="22"/>
          <w:szCs w:val="22"/>
        </w:rPr>
        <w:t xml:space="preserve"> in decision-making. New Zealand incorporates cultural knowledge, values and perspectives (mātauranga) in the management of invasive alien species. Māori are involved in the governance of invasive alien species management, especially when culturally and spiritually significant (taonga) species are at risk. This system is worthy of emulation. States should seek formal participation and ensure bidirectional data streams between data holders and generators through the national data portals (where applicable) to the global-level aggregators. Country membership status, capacity, resources and other aspects should be understood by all Parties. Open access to data and seamless integration of this data between data tools used by </w:t>
      </w:r>
      <w:r w:rsidRPr="00D9073D">
        <w:rPr>
          <w:szCs w:val="22"/>
        </w:rPr>
        <w:t>indigenous peoples, local communities and relevant stakeholders</w:t>
      </w:r>
      <w:r w:rsidRPr="00D9073D">
        <w:rPr>
          <w:kern w:val="22"/>
          <w:szCs w:val="22"/>
        </w:rPr>
        <w:t xml:space="preserve"> is an imperative for better management and monitoring of this threat. This will (a) increase data flows necessary for analysis at the level of the Convention on Biological Diversity and international decision-making and (b) open opportunities for national capacity-building and resourcing.</w:t>
      </w:r>
    </w:p>
    <w:p w14:paraId="48FE4FDA" w14:textId="77777777" w:rsidR="007523D5" w:rsidRPr="00D9073D" w:rsidRDefault="007523D5" w:rsidP="007C5A47">
      <w:pPr>
        <w:suppressLineNumbers/>
        <w:suppressAutoHyphens/>
        <w:spacing w:before="120" w:after="120"/>
        <w:rPr>
          <w:kern w:val="22"/>
          <w:szCs w:val="22"/>
        </w:rPr>
      </w:pPr>
      <w:r w:rsidRPr="00D9073D">
        <w:rPr>
          <w:kern w:val="22"/>
          <w:szCs w:val="22"/>
        </w:rPr>
        <w:t>2.</w:t>
      </w:r>
      <w:r w:rsidRPr="00D9073D">
        <w:rPr>
          <w:kern w:val="22"/>
          <w:szCs w:val="22"/>
        </w:rPr>
        <w:tab/>
        <w:t>It is suggested that efforts be made to increase qualitative and quantitative knowledge and data on socioeconomic and cultural impacts of invasive alien species on communities and society, including indigenous peoples and local communities, and methods to use this knowledge when prioritizing invasive alien species for impact and management feasibility and likelihood of success. It will be important to define socioeconomic, cultural and community well-being criteria in order to collectively evaluate such impacts, for example how the impacts of invasive alien species on treasured, sacred, culturally and spiritually significant native species can be measured, and impact thresholds understood and addressed.</w:t>
      </w:r>
    </w:p>
    <w:p w14:paraId="5F4A2839" w14:textId="77777777" w:rsidR="007523D5" w:rsidRPr="00D9073D" w:rsidRDefault="007523D5" w:rsidP="007C5A47">
      <w:pPr>
        <w:suppressLineNumbers/>
        <w:suppressAutoHyphens/>
        <w:spacing w:before="120" w:after="120"/>
        <w:rPr>
          <w:kern w:val="22"/>
          <w:szCs w:val="22"/>
        </w:rPr>
      </w:pPr>
      <w:r w:rsidRPr="00D9073D">
        <w:rPr>
          <w:kern w:val="22"/>
          <w:szCs w:val="22"/>
        </w:rPr>
        <w:t>3.</w:t>
      </w:r>
      <w:r w:rsidRPr="00D9073D">
        <w:rPr>
          <w:kern w:val="22"/>
          <w:szCs w:val="22"/>
        </w:rPr>
        <w:tab/>
        <w:t xml:space="preserve">Enhanced risk communication is essential to facilitate dialogue and understanding between and among </w:t>
      </w:r>
      <w:r w:rsidRPr="00D9073D">
        <w:rPr>
          <w:szCs w:val="22"/>
        </w:rPr>
        <w:t>indigenous peoples, local communities and relevant stakeholders</w:t>
      </w:r>
      <w:r w:rsidRPr="00D9073D">
        <w:rPr>
          <w:kern w:val="22"/>
          <w:szCs w:val="22"/>
        </w:rPr>
        <w:t>, who may include the general public and indigenous peoples and local communities. Risk communication seeks to reconcile the views of all interested parties in order to achieve a common understanding of the risks posed by invasive alien species, develop credible risk management options and consistent regulations, and promote awareness of issues concerning invasive alien species.</w:t>
      </w:r>
    </w:p>
    <w:p w14:paraId="3AF5FE3B" w14:textId="77777777" w:rsidR="007523D5" w:rsidRPr="00D9073D" w:rsidRDefault="007523D5" w:rsidP="007C5A47">
      <w:pPr>
        <w:suppressLineNumbers/>
        <w:suppressAutoHyphens/>
        <w:spacing w:before="120" w:after="120"/>
        <w:rPr>
          <w:kern w:val="22"/>
          <w:szCs w:val="22"/>
        </w:rPr>
      </w:pPr>
      <w:r w:rsidRPr="00D9073D">
        <w:rPr>
          <w:kern w:val="22"/>
          <w:szCs w:val="22"/>
        </w:rPr>
        <w:t>4.</w:t>
      </w:r>
      <w:r w:rsidRPr="00D9073D">
        <w:rPr>
          <w:kern w:val="22"/>
          <w:szCs w:val="22"/>
        </w:rPr>
        <w:tab/>
        <w:t>There is a lack of well-documented semi-quantitative criteria for socioeconomic, cultural and community well-being on which not only to evaluate impacts, but also to evaluate the effectiveness of the applied risk management option.</w:t>
      </w:r>
    </w:p>
    <w:p w14:paraId="0A26EA04"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5.</w:t>
      </w:r>
      <w:r w:rsidRPr="00D9073D">
        <w:rPr>
          <w:kern w:val="22"/>
          <w:szCs w:val="22"/>
        </w:rPr>
        <w:tab/>
        <w:t>Social impact assessment offers a structured process for identifying, evaluating and addressing social costs and benefits. It has potential value for enabling public participation in planning and as a key component of integrated assessments of management options.</w:t>
      </w:r>
    </w:p>
    <w:p w14:paraId="11EC40FF" w14:textId="77777777" w:rsidR="007523D5" w:rsidRPr="0027619F" w:rsidRDefault="007523D5" w:rsidP="007C5A47">
      <w:pPr>
        <w:pStyle w:val="ListParagraph"/>
        <w:suppressLineNumbers/>
        <w:suppressAutoHyphens/>
        <w:ind w:left="0"/>
        <w:contextualSpacing w:val="0"/>
        <w:rPr>
          <w:kern w:val="22"/>
          <w:szCs w:val="22"/>
        </w:rPr>
      </w:pPr>
    </w:p>
    <w:p w14:paraId="490D4C14" w14:textId="77777777" w:rsidR="007523D5" w:rsidRPr="0027619F" w:rsidRDefault="007523D5" w:rsidP="00B66FDF">
      <w:pPr>
        <w:keepNext/>
        <w:suppressLineNumbers/>
        <w:suppressAutoHyphens/>
        <w:spacing w:before="120" w:after="120"/>
        <w:jc w:val="center"/>
        <w:rPr>
          <w:rFonts w:asciiTheme="majorBidi" w:hAnsiTheme="majorBidi" w:cstheme="majorBidi"/>
          <w:i/>
          <w:snapToGrid w:val="0"/>
          <w:kern w:val="22"/>
          <w:szCs w:val="22"/>
        </w:rPr>
      </w:pPr>
      <w:bookmarkStart w:id="323" w:name="_Toc118355054"/>
      <w:r w:rsidRPr="0027619F">
        <w:rPr>
          <w:rFonts w:asciiTheme="majorBidi" w:hAnsiTheme="majorBidi" w:cstheme="majorBidi"/>
          <w:i/>
          <w:snapToGrid w:val="0"/>
          <w:kern w:val="22"/>
          <w:szCs w:val="22"/>
        </w:rPr>
        <w:t>Annex V</w:t>
      </w:r>
      <w:bookmarkEnd w:id="323"/>
    </w:p>
    <w:p w14:paraId="1E2C7089" w14:textId="77777777" w:rsidR="007523D5" w:rsidRPr="0027619F" w:rsidRDefault="007523D5" w:rsidP="00B66FDF">
      <w:pPr>
        <w:keepNext/>
        <w:suppressLineNumbers/>
        <w:suppressAutoHyphens/>
        <w:spacing w:before="120" w:after="120"/>
        <w:jc w:val="center"/>
        <w:rPr>
          <w:rFonts w:asciiTheme="majorBidi" w:hAnsiTheme="majorBidi" w:cstheme="majorBidi"/>
          <w:b/>
          <w:bCs/>
          <w:caps/>
          <w:kern w:val="22"/>
        </w:rPr>
      </w:pPr>
      <w:bookmarkStart w:id="324" w:name="_Toc118355055"/>
      <w:r w:rsidRPr="0027619F">
        <w:rPr>
          <w:rFonts w:asciiTheme="majorBidi" w:hAnsiTheme="majorBidi" w:cstheme="majorBidi"/>
          <w:b/>
          <w:bCs/>
          <w:caps/>
          <w:kern w:val="22"/>
        </w:rPr>
        <w:t>Draft use of existing databases on invasive alien species and their impacts, to support risk communication</w:t>
      </w:r>
      <w:bookmarkEnd w:id="324"/>
    </w:p>
    <w:p w14:paraId="29E6065F" w14:textId="77777777" w:rsidR="007523D5" w:rsidRPr="00D9073D" w:rsidRDefault="007523D5" w:rsidP="007C5A47">
      <w:pPr>
        <w:suppressLineNumbers/>
        <w:suppressAutoHyphens/>
        <w:spacing w:before="120" w:after="120"/>
        <w:jc w:val="center"/>
        <w:rPr>
          <w:rFonts w:ascii="Times New Roman Bold" w:hAnsi="Times New Roman Bold" w:cs="Times New Roman Bold"/>
          <w:b/>
          <w:bCs/>
          <w:caps/>
          <w:kern w:val="22"/>
        </w:rPr>
      </w:pPr>
      <w:r w:rsidRPr="00D9073D">
        <w:rPr>
          <w:rFonts w:ascii="Times New Roman Bold" w:hAnsi="Times New Roman Bold" w:cs="Times New Roman Bold"/>
          <w:b/>
          <w:bCs/>
          <w:caps/>
          <w:kern w:val="22"/>
        </w:rPr>
        <w:t>(Provisional advice pursuant to</w:t>
      </w:r>
      <w:r w:rsidRPr="00D9073D">
        <w:rPr>
          <w:rFonts w:ascii="Times New Roman Bold" w:hAnsi="Times New Roman Bold" w:cs="Times New Roman Bold"/>
          <w:bCs/>
          <w:caps/>
          <w:kern w:val="22"/>
        </w:rPr>
        <w:t xml:space="preserve"> </w:t>
      </w:r>
      <w:r w:rsidRPr="00D9073D">
        <w:rPr>
          <w:rFonts w:ascii="Times New Roman Bold" w:hAnsi="Times New Roman Bold" w:cs="Times New Roman Bold"/>
          <w:b/>
          <w:bCs/>
          <w:caps/>
          <w:kern w:val="22"/>
        </w:rPr>
        <w:t>decision 14/11, annex II, paragraph 1 (e))</w:t>
      </w:r>
    </w:p>
    <w:p w14:paraId="788F32BD" w14:textId="77777777" w:rsidR="007523D5" w:rsidRPr="00D9073D" w:rsidRDefault="007523D5" w:rsidP="007C5A47">
      <w:pPr>
        <w:suppressLineNumbers/>
        <w:suppressAutoHyphens/>
        <w:spacing w:before="120" w:after="120"/>
        <w:rPr>
          <w:kern w:val="22"/>
          <w:szCs w:val="22"/>
        </w:rPr>
      </w:pPr>
      <w:r w:rsidRPr="00D9073D">
        <w:rPr>
          <w:kern w:val="22"/>
          <w:szCs w:val="22"/>
        </w:rPr>
        <w:t>1.</w:t>
      </w:r>
      <w:r w:rsidRPr="00D9073D">
        <w:rPr>
          <w:kern w:val="22"/>
          <w:szCs w:val="22"/>
        </w:rPr>
        <w:tab/>
        <w:t>This advice is aimed at assisting Parties, other Governments and organizations in developing and maintaining efficient, timely and up-to-date data and information for management of invasive alien species.</w:t>
      </w:r>
    </w:p>
    <w:p w14:paraId="289A80C3" w14:textId="77777777" w:rsidR="007523D5" w:rsidRPr="00D9073D" w:rsidRDefault="007523D5" w:rsidP="007C5A47">
      <w:pPr>
        <w:suppressLineNumbers/>
        <w:suppressAutoHyphens/>
        <w:spacing w:before="120" w:after="120"/>
        <w:rPr>
          <w:kern w:val="22"/>
          <w:szCs w:val="22"/>
        </w:rPr>
      </w:pPr>
      <w:r w:rsidRPr="00D9073D">
        <w:rPr>
          <w:kern w:val="22"/>
          <w:szCs w:val="22"/>
        </w:rPr>
        <w:t>2.</w:t>
      </w:r>
      <w:r w:rsidRPr="00D9073D">
        <w:rPr>
          <w:kern w:val="22"/>
          <w:szCs w:val="22"/>
        </w:rPr>
        <w:tab/>
        <w:t xml:space="preserve">Enhanced risk communication is essential to facilitate dialogue and understanding between and among </w:t>
      </w:r>
      <w:r w:rsidRPr="00D9073D">
        <w:rPr>
          <w:szCs w:val="22"/>
        </w:rPr>
        <w:t>indigenous peoples, local communities and relevant stakeholders</w:t>
      </w:r>
      <w:r w:rsidRPr="00D9073D">
        <w:rPr>
          <w:kern w:val="22"/>
          <w:szCs w:val="22"/>
        </w:rPr>
        <w:t>. Risk communication seeks to reconcile the views of all interested Parties in order to achieve a common understanding of the risks posed by invasive alien species, develop credible risk management options and consistent regulations, and promote awareness of issues concerning invasive alien species.</w:t>
      </w:r>
    </w:p>
    <w:p w14:paraId="4A4A754F"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3.</w:t>
      </w:r>
      <w:r w:rsidRPr="00D9073D">
        <w:rPr>
          <w:kern w:val="22"/>
          <w:szCs w:val="22"/>
        </w:rPr>
        <w:tab/>
        <w:t>It is essential that regularly updated and curated data is maintained on invasive alien species distribution, impact and management action and relevant knowledge. Relevant publicly available data should be shared with the key global data aggregators to support processes under the Convention on Biological Diversity and other international and regional agreements.</w:t>
      </w:r>
    </w:p>
    <w:p w14:paraId="25832195"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4.</w:t>
      </w:r>
      <w:r w:rsidRPr="00D9073D">
        <w:rPr>
          <w:kern w:val="22"/>
          <w:szCs w:val="22"/>
        </w:rPr>
        <w:tab/>
        <w:t xml:space="preserve">It is essential that Parties, other Governments and organizations engage with key global aggregators and data providers (e.g. Global Biodiversity Information Facility (GBIF), Global Registry of Introduced and Invasive Species (GRIIS)) and ensure bidirectional data streams between data holders and generators through the national data portals (where applicable) to the global-level aggregators. Open access to data, seamless integration of this data between data tools and availability of the data to </w:t>
      </w:r>
      <w:r w:rsidRPr="00D9073D">
        <w:rPr>
          <w:szCs w:val="22"/>
        </w:rPr>
        <w:t>indigenous peoples, local communities and relevant stakeholders</w:t>
      </w:r>
      <w:r w:rsidRPr="00D9073D" w:rsidDel="00DB52F5">
        <w:rPr>
          <w:kern w:val="22"/>
          <w:szCs w:val="22"/>
        </w:rPr>
        <w:t xml:space="preserve"> </w:t>
      </w:r>
      <w:r w:rsidRPr="00D9073D">
        <w:rPr>
          <w:kern w:val="22"/>
          <w:szCs w:val="22"/>
        </w:rPr>
        <w:t>are imperative for better management and monitoring of invasive alien species. National or central coordination of data streams is essential for timely, comprehensive and fair availability of the occurrence data on invasive alien species from multiple sources. This will (a) increase data flows necessary for global and regional analysis and decision-making and (b) open opportunities for national capacity-building and resourcing.</w:t>
      </w:r>
    </w:p>
    <w:p w14:paraId="32AC085A"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5.</w:t>
      </w:r>
      <w:r w:rsidRPr="00D9073D">
        <w:rPr>
          <w:kern w:val="22"/>
          <w:szCs w:val="22"/>
        </w:rPr>
        <w:tab/>
        <w:t>It is important to facilitate data sharing and, where appropriate, use common international data standards, standard terminology in national, regional, local and thematic databases, even if languages differ between data portals.</w:t>
      </w:r>
    </w:p>
    <w:p w14:paraId="0CC93985"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6.</w:t>
      </w:r>
      <w:r w:rsidRPr="00D9073D">
        <w:rPr>
          <w:kern w:val="22"/>
          <w:szCs w:val="22"/>
        </w:rPr>
        <w:tab/>
        <w:t>It is also important to obtain free, prior and informed consent from indigenous peoples and local communities when using their traditional knowledge.</w:t>
      </w:r>
    </w:p>
    <w:p w14:paraId="1EB0481C"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7.</w:t>
      </w:r>
      <w:r w:rsidRPr="00D9073D">
        <w:rPr>
          <w:kern w:val="22"/>
          <w:szCs w:val="22"/>
        </w:rPr>
        <w:tab/>
        <w:t>Real-time data sharing is recommended to allow access to up-to-date information to enable early detection and rapid response.</w:t>
      </w:r>
    </w:p>
    <w:p w14:paraId="6BCB14C3"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8.</w:t>
      </w:r>
      <w:r w:rsidRPr="00D9073D">
        <w:rPr>
          <w:kern w:val="22"/>
          <w:szCs w:val="22"/>
        </w:rPr>
        <w:tab/>
        <w:t>There is a great need for States, organizations and the scientific community to identify gaps in knowledge and information on alien species in existing databases and strive to improve knowledge and data, especially for organism groups on which knowledge is especially poor, such as alien marine species, invertebrates, microorganisms and fungi. Increased interaction between data generators, data providers and experts may provide improvements in the quality of data. Collaboration between experts in collating existing databases using existing standards could also contribute to filling these information gaps. Errors in current databases should be identified and corrected in existing databases.</w:t>
      </w:r>
    </w:p>
    <w:p w14:paraId="68E87EB0"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9.</w:t>
      </w:r>
      <w:r w:rsidRPr="00D9073D">
        <w:rPr>
          <w:kern w:val="22"/>
          <w:szCs w:val="22"/>
        </w:rPr>
        <w:tab/>
        <w:t>Existing global invasive alien species data providers, such as the IUCN-Invasive Species Specialist Group (IUCN-ISSG), the Global Biodiversity Information Facility (GBIF) and CABI, could be invited to provide a global platform for sharing information, experiences and analysis of the results of management activities for invasive alien species, best practices in policy and regulatory mechanisms and codes of conduct to address activities that lead to the introduction and spread of alien and invasive species, aquariums and local productive activities.</w:t>
      </w:r>
    </w:p>
    <w:p w14:paraId="3A511DE6"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10.</w:t>
      </w:r>
      <w:r w:rsidRPr="00D9073D">
        <w:rPr>
          <w:kern w:val="22"/>
          <w:szCs w:val="22"/>
        </w:rPr>
        <w:tab/>
        <w:t>IUCN-ISSG and partners could be invited to index, collate and archive the development of policy response indicators within the Biodiversity Indicators Framework (BIP) and Sustainable Development Goal indicator 15.8.1.</w:t>
      </w:r>
    </w:p>
    <w:p w14:paraId="54F4D2FA" w14:textId="77777777" w:rsidR="007523D5" w:rsidRPr="00D9073D" w:rsidRDefault="007523D5" w:rsidP="007C5A47">
      <w:pPr>
        <w:suppressLineNumbers/>
        <w:suppressAutoHyphens/>
        <w:spacing w:before="120" w:after="120"/>
        <w:rPr>
          <w:kern w:val="22"/>
          <w:szCs w:val="22"/>
        </w:rPr>
      </w:pPr>
      <w:r w:rsidRPr="00D9073D">
        <w:rPr>
          <w:kern w:val="22"/>
          <w:szCs w:val="22"/>
        </w:rPr>
        <w:t>11.</w:t>
      </w:r>
      <w:r w:rsidRPr="00D9073D">
        <w:rPr>
          <w:kern w:val="22"/>
          <w:szCs w:val="22"/>
        </w:rPr>
        <w:tab/>
        <w:t>States, organizations and experts are invited to continue supporting the ongoing development of the Global Registry of Introduced and Invasive Species (GRIIS) and other expert networks focused on collation and curation of new and existing data.</w:t>
      </w:r>
    </w:p>
    <w:p w14:paraId="4F4E932A"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12.</w:t>
      </w:r>
      <w:r w:rsidRPr="00D9073D">
        <w:rPr>
          <w:kern w:val="22"/>
          <w:szCs w:val="22"/>
        </w:rPr>
        <w:tab/>
        <w:t>GBIF could be invited to include distribution data on invasive alien species in their global biodiversity databases.</w:t>
      </w:r>
    </w:p>
    <w:p w14:paraId="1470A400"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13.</w:t>
      </w:r>
      <w:r w:rsidRPr="00D9073D">
        <w:rPr>
          <w:kern w:val="22"/>
          <w:szCs w:val="22"/>
        </w:rPr>
        <w:tab/>
        <w:t>States, sectoral authorities, international, regional and local organizations and relevant stakeholders could be invited to contribute to and use the CABI Invasive Species Compendium, which is an encyclopedic resource of scientific information on invasive alien species to help inform decision-making.</w:t>
      </w:r>
    </w:p>
    <w:p w14:paraId="40506380" w14:textId="77777777" w:rsidR="007523D5" w:rsidRPr="00D9073D" w:rsidRDefault="007523D5" w:rsidP="007C5A47">
      <w:pPr>
        <w:pStyle w:val="ListParagraph"/>
        <w:suppressLineNumbers/>
        <w:suppressAutoHyphens/>
        <w:spacing w:before="120" w:after="120"/>
        <w:ind w:left="0"/>
        <w:contextualSpacing w:val="0"/>
        <w:rPr>
          <w:kern w:val="22"/>
          <w:szCs w:val="22"/>
        </w:rPr>
      </w:pPr>
      <w:r w:rsidRPr="00D9073D">
        <w:rPr>
          <w:kern w:val="22"/>
          <w:szCs w:val="22"/>
        </w:rPr>
        <w:t>14.</w:t>
      </w:r>
      <w:r w:rsidRPr="00D9073D">
        <w:rPr>
          <w:kern w:val="22"/>
          <w:szCs w:val="22"/>
        </w:rPr>
        <w:tab/>
        <w:t>States, sectoral authorities, international, regional and local organizations, experts and relevant stakeholders are invited to use and further develop, as needed, impact assessment frameworks (e,g, EICAT and SEICAT) to develop science-based policies and prioritization of invasive alien species management actions.</w:t>
      </w:r>
      <w:r w:rsidRPr="00610646">
        <w:rPr>
          <w:rStyle w:val="FootnoteReference"/>
        </w:rPr>
        <w:footnoteReference w:id="355"/>
      </w:r>
    </w:p>
    <w:p w14:paraId="6705F49F" w14:textId="77777777" w:rsidR="007523D5" w:rsidRPr="0027619F" w:rsidRDefault="007523D5" w:rsidP="007C5A47">
      <w:pPr>
        <w:pStyle w:val="ListParagraph"/>
        <w:suppressLineNumbers/>
        <w:suppressAutoHyphens/>
        <w:ind w:left="0"/>
        <w:contextualSpacing w:val="0"/>
        <w:rPr>
          <w:kern w:val="22"/>
          <w:szCs w:val="22"/>
        </w:rPr>
      </w:pPr>
    </w:p>
    <w:p w14:paraId="42A11CD1" w14:textId="77777777" w:rsidR="007523D5" w:rsidRPr="0027619F" w:rsidRDefault="007523D5" w:rsidP="00B66FDF">
      <w:pPr>
        <w:suppressLineNumbers/>
        <w:tabs>
          <w:tab w:val="right" w:pos="9360"/>
        </w:tabs>
        <w:suppressAutoHyphens/>
        <w:spacing w:before="120" w:after="120"/>
        <w:jc w:val="center"/>
        <w:rPr>
          <w:rFonts w:asciiTheme="majorBidi" w:hAnsiTheme="majorBidi" w:cstheme="majorBidi"/>
          <w:i/>
          <w:iCs/>
          <w:snapToGrid w:val="0"/>
          <w:kern w:val="22"/>
          <w:szCs w:val="22"/>
        </w:rPr>
      </w:pPr>
      <w:bookmarkStart w:id="325" w:name="_Toc118355056"/>
      <w:r w:rsidRPr="0027619F">
        <w:rPr>
          <w:rFonts w:asciiTheme="majorBidi" w:hAnsiTheme="majorBidi" w:cstheme="majorBidi"/>
          <w:i/>
          <w:iCs/>
          <w:snapToGrid w:val="0"/>
          <w:kern w:val="22"/>
          <w:szCs w:val="22"/>
        </w:rPr>
        <w:t>Annex VI</w:t>
      </w:r>
      <w:bookmarkEnd w:id="325"/>
    </w:p>
    <w:p w14:paraId="39DB634E" w14:textId="77777777" w:rsidR="007523D5" w:rsidRPr="0027619F" w:rsidRDefault="007523D5" w:rsidP="00B66FDF">
      <w:pPr>
        <w:pStyle w:val="HEADINGNOTFORTOC"/>
        <w:spacing w:before="120"/>
        <w:outlineLvl w:val="9"/>
        <w:rPr>
          <w:rFonts w:asciiTheme="majorBidi" w:hAnsiTheme="majorBidi" w:cstheme="majorBidi"/>
          <w:szCs w:val="22"/>
        </w:rPr>
      </w:pPr>
      <w:bookmarkStart w:id="326" w:name="_Toc118355057"/>
      <w:r w:rsidRPr="0027619F">
        <w:rPr>
          <w:rFonts w:asciiTheme="majorBidi" w:hAnsiTheme="majorBidi" w:cstheme="majorBidi"/>
          <w:szCs w:val="22"/>
        </w:rPr>
        <w:t>Draft additional advice and technical guidance on invasive alien species management</w:t>
      </w:r>
      <w:bookmarkEnd w:id="326"/>
    </w:p>
    <w:p w14:paraId="307D77F6" w14:textId="77777777" w:rsidR="007523D5" w:rsidRPr="00D9073D" w:rsidRDefault="007523D5" w:rsidP="007C5A47">
      <w:pPr>
        <w:pStyle w:val="heading2notforTOC"/>
        <w:outlineLvl w:val="9"/>
        <w:rPr>
          <w:rFonts w:asciiTheme="majorBidi" w:hAnsiTheme="majorBidi" w:cstheme="majorBidi"/>
          <w:b/>
          <w:i w:val="0"/>
          <w:iCs w:val="0"/>
          <w:caps/>
          <w:szCs w:val="22"/>
        </w:rPr>
      </w:pPr>
      <w:r w:rsidRPr="00D9073D">
        <w:rPr>
          <w:rFonts w:asciiTheme="majorBidi" w:hAnsiTheme="majorBidi" w:cstheme="majorBidi"/>
          <w:szCs w:val="22"/>
        </w:rPr>
        <w:t>A.</w:t>
      </w:r>
      <w:r w:rsidRPr="00D9073D">
        <w:rPr>
          <w:rFonts w:asciiTheme="majorBidi" w:hAnsiTheme="majorBidi" w:cstheme="majorBidi"/>
          <w:szCs w:val="22"/>
        </w:rPr>
        <w:tab/>
        <w:t>Advice on the use of sanitary and phytosanitary measures</w:t>
      </w:r>
    </w:p>
    <w:p w14:paraId="586FDCED" w14:textId="77777777" w:rsidR="007523D5" w:rsidRPr="00D9073D" w:rsidRDefault="007523D5" w:rsidP="007C5A47">
      <w:pPr>
        <w:pStyle w:val="Style1"/>
        <w:suppressLineNumbers/>
        <w:suppressAutoHyphens/>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w:t>
      </w:r>
      <w:r w:rsidRPr="00D9073D">
        <w:rPr>
          <w:rFonts w:asciiTheme="majorBidi" w:hAnsiTheme="majorBidi" w:cstheme="majorBidi"/>
          <w:b w:val="0"/>
          <w:bCs w:val="0"/>
          <w:i w:val="0"/>
          <w:kern w:val="22"/>
        </w:rPr>
        <w:tab/>
        <w:t>The application of sanitary and phytosanitary (SPS) measures to regulate import/export of alien organisms at the national level requires close collaboration between national authorities and other relevant ministries and departments. Some countries closely coordinate their activities on import requirements for alien organisms among relevant ministries and agencies, including national plant protection organizations and the veterinary authorities (e.g., coordination in Australia between the Department of Agriculture and the Department of Environment and Energy).</w:t>
      </w:r>
    </w:p>
    <w:p w14:paraId="567B51A7" w14:textId="77777777" w:rsidR="007523D5" w:rsidRPr="00D9073D" w:rsidRDefault="007523D5" w:rsidP="007C5A47">
      <w:pPr>
        <w:pStyle w:val="Style1"/>
        <w:suppressLineNumbers/>
        <w:suppressAutoHyphens/>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2.</w:t>
      </w:r>
      <w:r w:rsidRPr="00D9073D">
        <w:rPr>
          <w:rFonts w:asciiTheme="majorBidi" w:hAnsiTheme="majorBidi" w:cstheme="majorBidi"/>
          <w:b w:val="0"/>
          <w:bCs w:val="0"/>
          <w:i w:val="0"/>
          <w:kern w:val="22"/>
        </w:rPr>
        <w:tab/>
        <w:t>Environmental authorities, national plant protection organizations and veterinary authorities should be advised to establish strong partnerships with national, regional and local governments in connection with mandates for alien species management. This will help prevent the introduction of invasive alien species and support early detection, rapid response and effective management. Such partnerships could include collaboration in setting national and regional priorities, completing risk assessments, carrying out surveillance, developing response plans, sharing information and exchanging expertise.</w:t>
      </w:r>
    </w:p>
    <w:p w14:paraId="53F8608A" w14:textId="77777777" w:rsidR="007523D5" w:rsidRPr="00D9073D" w:rsidRDefault="007523D5" w:rsidP="007C5A47">
      <w:pPr>
        <w:pStyle w:val="Style1"/>
        <w:suppressLineNumbers/>
        <w:suppressAutoHyphens/>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3.</w:t>
      </w:r>
      <w:r w:rsidRPr="00D9073D">
        <w:rPr>
          <w:rFonts w:asciiTheme="majorBidi" w:hAnsiTheme="majorBidi" w:cstheme="majorBidi"/>
          <w:b w:val="0"/>
          <w:bCs w:val="0"/>
          <w:i w:val="0"/>
          <w:kern w:val="22"/>
        </w:rPr>
        <w:tab/>
        <w:t>A large number of the international standards that are recognized by the World Trade Organization (WTO) Agreement on the Application of Sanitary and Phytosanitary Measures (SPS Agreement) are relevant for protecting biodiversity. These SPS measures should be applied more widely, not only in the context of agriculture, but also to protect the health of wild fauna and flora.</w:t>
      </w:r>
    </w:p>
    <w:p w14:paraId="7A9C650C" w14:textId="77777777" w:rsidR="007523D5" w:rsidRPr="00D9073D" w:rsidRDefault="007523D5" w:rsidP="00F5075E">
      <w:pPr>
        <w:pStyle w:val="Style1"/>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4.</w:t>
      </w:r>
      <w:r w:rsidRPr="00D9073D">
        <w:rPr>
          <w:rFonts w:asciiTheme="majorBidi" w:hAnsiTheme="majorBidi" w:cstheme="majorBidi"/>
          <w:b w:val="0"/>
          <w:bCs w:val="0"/>
          <w:i w:val="0"/>
          <w:kern w:val="22"/>
        </w:rPr>
        <w:tab/>
        <w:t>A number of guides, manuals and training materials have been developed under the International Plant Protection Convention (IPPC) to build capacity and support the implementation of international standards. These materials should be used to raise awareness and build capacity among partner organizations to address the issue of invasive alien species.</w:t>
      </w:r>
    </w:p>
    <w:p w14:paraId="5CDD722C" w14:textId="77777777" w:rsidR="007523D5" w:rsidRPr="00D9073D" w:rsidRDefault="007523D5" w:rsidP="00F5075E">
      <w:pPr>
        <w:pStyle w:val="Style1"/>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5.</w:t>
      </w:r>
      <w:r w:rsidRPr="00D9073D">
        <w:rPr>
          <w:rFonts w:asciiTheme="majorBidi" w:hAnsiTheme="majorBidi" w:cstheme="majorBidi"/>
          <w:kern w:val="22"/>
        </w:rPr>
        <w:tab/>
      </w:r>
      <w:r w:rsidRPr="00D9073D">
        <w:rPr>
          <w:rFonts w:asciiTheme="majorBidi" w:hAnsiTheme="majorBidi" w:cstheme="majorBidi"/>
          <w:b w:val="0"/>
          <w:bCs w:val="0"/>
          <w:i w:val="0"/>
          <w:kern w:val="22"/>
        </w:rPr>
        <w:t>There is a need for capacity-building among developing countries, for implementing existing IPPC and the World Organisation for Animal Health (OIE) international guidelines and standards and for developing national regulatory frameworks to address the risks associated with invasive alien species.</w:t>
      </w:r>
    </w:p>
    <w:p w14:paraId="3671E2B8" w14:textId="77777777" w:rsidR="007523D5" w:rsidRPr="00D9073D" w:rsidRDefault="007523D5" w:rsidP="00F5075E">
      <w:pPr>
        <w:pStyle w:val="Style1"/>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6.</w:t>
      </w:r>
      <w:r w:rsidRPr="00D9073D">
        <w:rPr>
          <w:rFonts w:asciiTheme="majorBidi" w:hAnsiTheme="majorBidi" w:cstheme="majorBidi"/>
          <w:b w:val="0"/>
          <w:bCs w:val="0"/>
          <w:i w:val="0"/>
          <w:kern w:val="22"/>
        </w:rPr>
        <w:tab/>
        <w:t>Regional cooperation and partnerships should be further developed to support the achievement of Aichi Biodiversity Target 9 and beyond, through regular coordination and communication, identification of common priorities and alignment of efforts on a regional basis. This could be supported through IPPC by using the model of regional plant protection organizations to foster cooperation on invasive alien species.</w:t>
      </w:r>
    </w:p>
    <w:p w14:paraId="4A13736D" w14:textId="77777777" w:rsidR="007523D5" w:rsidRPr="00D9073D" w:rsidRDefault="007523D5" w:rsidP="00F5075E">
      <w:pPr>
        <w:pStyle w:val="Style1"/>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7.</w:t>
      </w:r>
      <w:r w:rsidRPr="00D9073D">
        <w:rPr>
          <w:rFonts w:asciiTheme="majorBidi" w:hAnsiTheme="majorBidi" w:cstheme="majorBidi"/>
          <w:b w:val="0"/>
          <w:bCs w:val="0"/>
          <w:i w:val="0"/>
          <w:kern w:val="22"/>
        </w:rPr>
        <w:tab/>
        <w:t>A key gap that needs additional attention and guidance is pathogens affecting wildlife and invasive alien species that may be a vector or host of pathogens or parasites and other organisms that do not meet the IPPC definition of quarantine pests, the pathogens causing diseases listed under OIE and other organisms (e.g. invasive ants) that are not covered by IPPC or OIE.</w:t>
      </w:r>
    </w:p>
    <w:p w14:paraId="673FFA7B" w14:textId="77777777" w:rsidR="007523D5" w:rsidRPr="00D9073D" w:rsidRDefault="007523D5" w:rsidP="00F5075E">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8.</w:t>
      </w:r>
      <w:r w:rsidRPr="00D9073D">
        <w:rPr>
          <w:rFonts w:asciiTheme="majorBidi" w:hAnsiTheme="majorBidi" w:cstheme="majorBidi"/>
          <w:b w:val="0"/>
          <w:bCs w:val="0"/>
          <w:i w:val="0"/>
          <w:kern w:val="22"/>
        </w:rPr>
        <w:tab/>
        <w:t>As countries adopt different approaches in regulating invasive alien species (e.g., lists of restricted, prohibited and permitted species or hybrids), guidelines could be developed on how such approaches can be implemented in compliance with the SPS Agreement, with a view to facilitating the development of better regulation and ensure transparency.</w:t>
      </w:r>
    </w:p>
    <w:p w14:paraId="1C793161" w14:textId="77777777" w:rsidR="007523D5" w:rsidRPr="00D9073D" w:rsidRDefault="007523D5" w:rsidP="004F4DDA">
      <w:pPr>
        <w:pStyle w:val="heading2notforTOC"/>
        <w:outlineLvl w:val="9"/>
        <w:rPr>
          <w:rFonts w:asciiTheme="majorBidi" w:hAnsiTheme="majorBidi" w:cstheme="majorBidi"/>
          <w:b/>
          <w:bCs/>
          <w:szCs w:val="22"/>
        </w:rPr>
      </w:pPr>
      <w:bookmarkStart w:id="327" w:name="_Hlk24450439"/>
      <w:r w:rsidRPr="00D9073D">
        <w:rPr>
          <w:rFonts w:asciiTheme="majorBidi" w:hAnsiTheme="majorBidi" w:cstheme="majorBidi"/>
          <w:szCs w:val="22"/>
        </w:rPr>
        <w:t>B.</w:t>
      </w:r>
      <w:bookmarkEnd w:id="327"/>
      <w:r w:rsidRPr="00D9073D">
        <w:rPr>
          <w:rFonts w:asciiTheme="majorBidi" w:hAnsiTheme="majorBidi" w:cstheme="majorBidi"/>
          <w:szCs w:val="22"/>
        </w:rPr>
        <w:tab/>
        <w:t>Advice on management-specific pathways</w:t>
      </w:r>
    </w:p>
    <w:p w14:paraId="706810E8" w14:textId="77777777" w:rsidR="007523D5" w:rsidRPr="00D9073D" w:rsidRDefault="007523D5" w:rsidP="004F4DDA">
      <w:pPr>
        <w:keepNext/>
        <w:jc w:val="center"/>
        <w:rPr>
          <w:i/>
          <w:iCs/>
          <w:szCs w:val="22"/>
        </w:rPr>
      </w:pPr>
      <w:r w:rsidRPr="00D9073D">
        <w:rPr>
          <w:i/>
          <w:iCs/>
          <w:szCs w:val="22"/>
        </w:rPr>
        <w:t>1.</w:t>
      </w:r>
      <w:r w:rsidRPr="00D9073D">
        <w:rPr>
          <w:i/>
          <w:iCs/>
          <w:szCs w:val="22"/>
        </w:rPr>
        <w:tab/>
        <w:t>Inter-basin water transfer and navigational canals</w:t>
      </w:r>
    </w:p>
    <w:p w14:paraId="635D76BC" w14:textId="77777777" w:rsidR="007523D5" w:rsidRPr="00D9073D" w:rsidRDefault="007523D5" w:rsidP="00844D84">
      <w:pPr>
        <w:pStyle w:val="Style1"/>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9.</w:t>
      </w:r>
      <w:r w:rsidRPr="00D9073D">
        <w:rPr>
          <w:rFonts w:asciiTheme="majorBidi" w:hAnsiTheme="majorBidi" w:cstheme="majorBidi"/>
          <w:b w:val="0"/>
          <w:bCs w:val="0"/>
          <w:i w:val="0"/>
          <w:kern w:val="22"/>
        </w:rPr>
        <w:tab/>
        <w:t>The ratification and application of relevant international maritime agreements (e.g. the International Convention for the Control and Management of Ships’ Ballast Water and Sediments (BWM Convention), mentioned in paragraph 25 of decision VIII/27, and the Guidelines for the control and management of biofouling mentioned in paragraphs 29 and 30 of decision VIII/27) should be promoted in order to diminish the spread of invasive alien species through new shipping routes opening up as a result of climate change.</w:t>
      </w:r>
    </w:p>
    <w:p w14:paraId="13A0FE37" w14:textId="77777777" w:rsidR="007523D5" w:rsidRPr="00D9073D" w:rsidRDefault="007523D5" w:rsidP="00844D84">
      <w:pPr>
        <w:pStyle w:val="Style1"/>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10.</w:t>
      </w:r>
      <w:r w:rsidRPr="00D9073D">
        <w:rPr>
          <w:rFonts w:asciiTheme="majorBidi" w:hAnsiTheme="majorBidi" w:cstheme="majorBidi"/>
          <w:b w:val="0"/>
          <w:bCs w:val="0"/>
          <w:i w:val="0"/>
          <w:kern w:val="22"/>
        </w:rPr>
        <w:tab/>
        <w:t>Regional cooperation among States should be enhanced on planning, monitoring and data exchange on invasive alien species specifically related to inter-basin water channels to establish early warning and rapid response systems as well as researching and employing methodologies to reduce new invasions through these channels.</w:t>
      </w:r>
    </w:p>
    <w:p w14:paraId="22453762" w14:textId="77777777" w:rsidR="007523D5" w:rsidRPr="00D9073D" w:rsidRDefault="007523D5" w:rsidP="00844D84">
      <w:pPr>
        <w:pStyle w:val="Style1"/>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11.</w:t>
      </w:r>
      <w:r w:rsidRPr="00D9073D">
        <w:rPr>
          <w:rFonts w:asciiTheme="majorBidi" w:hAnsiTheme="majorBidi" w:cstheme="majorBidi"/>
          <w:b w:val="0"/>
          <w:bCs w:val="0"/>
          <w:i w:val="0"/>
          <w:kern w:val="22"/>
        </w:rPr>
        <w:tab/>
        <w:t>Measures to prevent the introduction and spread of invasive alien species in the procedures for planning, development and management of the inland waterway infrastructure should be promoted, as appropriate. Relevant organizations, indigenous peoples and local communities, women and youth and other stakeholders, including local fishers and other groups that are dependent on the waterways (e.g., boaters, recreational boat users, outfitters), should be consulted and engaged when planning and designing such measures.</w:t>
      </w:r>
    </w:p>
    <w:p w14:paraId="546A754E" w14:textId="77777777" w:rsidR="007523D5" w:rsidRPr="00D9073D" w:rsidRDefault="007523D5" w:rsidP="004C183A">
      <w:pPr>
        <w:keepNext/>
        <w:jc w:val="center"/>
        <w:rPr>
          <w:i/>
          <w:iCs/>
          <w:szCs w:val="22"/>
        </w:rPr>
      </w:pPr>
      <w:r w:rsidRPr="00D9073D">
        <w:rPr>
          <w:i/>
          <w:iCs/>
          <w:szCs w:val="22"/>
        </w:rPr>
        <w:t>2.</w:t>
      </w:r>
      <w:r w:rsidRPr="00D9073D">
        <w:rPr>
          <w:i/>
          <w:iCs/>
          <w:szCs w:val="22"/>
        </w:rPr>
        <w:tab/>
        <w:t>International aid programmes</w:t>
      </w:r>
    </w:p>
    <w:p w14:paraId="13230ED9" w14:textId="77777777" w:rsidR="007523D5" w:rsidRPr="00D9073D" w:rsidRDefault="007523D5" w:rsidP="004C183A">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12.</w:t>
      </w:r>
      <w:r w:rsidRPr="00D9073D">
        <w:rPr>
          <w:rFonts w:asciiTheme="majorBidi" w:hAnsiTheme="majorBidi" w:cstheme="majorBidi"/>
          <w:kern w:val="22"/>
        </w:rPr>
        <w:tab/>
      </w:r>
      <w:r w:rsidRPr="00D9073D">
        <w:rPr>
          <w:rFonts w:asciiTheme="majorBidi" w:hAnsiTheme="majorBidi" w:cstheme="majorBidi"/>
          <w:b w:val="0"/>
          <w:bCs w:val="0"/>
          <w:i w:val="0"/>
          <w:kern w:val="22"/>
        </w:rPr>
        <w:t>Developing countries need capacity-building, resource mobilization and information sharing for assessing and managing the invasive alien species risks associated with international aid programmes.</w:t>
      </w:r>
    </w:p>
    <w:p w14:paraId="42FD68AF" w14:textId="77777777" w:rsidR="007523D5" w:rsidRPr="00D9073D" w:rsidRDefault="007523D5" w:rsidP="004C183A">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13.</w:t>
      </w:r>
      <w:r w:rsidRPr="00D9073D">
        <w:rPr>
          <w:rFonts w:asciiTheme="majorBidi" w:hAnsiTheme="majorBidi" w:cstheme="majorBidi"/>
          <w:b w:val="0"/>
          <w:bCs w:val="0"/>
          <w:i w:val="0"/>
          <w:kern w:val="22"/>
        </w:rPr>
        <w:tab/>
        <w:t>Aid agencies should ensure that any initiatives/projects/programmes/agreements avoid the introduction of invasive alien species into the area.</w:t>
      </w:r>
    </w:p>
    <w:p w14:paraId="0EA5D0DA" w14:textId="77777777" w:rsidR="007523D5" w:rsidRPr="00D9073D" w:rsidRDefault="007523D5" w:rsidP="00844D84">
      <w:pPr>
        <w:keepNext/>
        <w:jc w:val="left"/>
        <w:rPr>
          <w:i/>
          <w:iCs/>
          <w:szCs w:val="22"/>
        </w:rPr>
      </w:pPr>
      <w:r w:rsidRPr="00D9073D">
        <w:rPr>
          <w:i/>
          <w:iCs/>
          <w:szCs w:val="22"/>
        </w:rPr>
        <w:t>Emergency relief, aid and response</w:t>
      </w:r>
    </w:p>
    <w:p w14:paraId="0A49F56B" w14:textId="77777777" w:rsidR="007523D5" w:rsidRPr="00D9073D" w:rsidRDefault="007523D5" w:rsidP="004C183A">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14.</w:t>
      </w:r>
      <w:r w:rsidRPr="00D9073D">
        <w:rPr>
          <w:rFonts w:asciiTheme="majorBidi" w:hAnsiTheme="majorBidi" w:cstheme="majorBidi"/>
          <w:kern w:val="22"/>
        </w:rPr>
        <w:tab/>
      </w:r>
      <w:r w:rsidRPr="00D9073D">
        <w:rPr>
          <w:rFonts w:asciiTheme="majorBidi" w:hAnsiTheme="majorBidi" w:cstheme="majorBidi"/>
          <w:b w:val="0"/>
          <w:bCs w:val="0"/>
          <w:i w:val="0"/>
          <w:kern w:val="22"/>
        </w:rPr>
        <w:t>Environmental authorities should consult the relevant enforcement agencies to comply with the SPS Agreement or the country’s quarantine regulation to prevent risk of biological invasions associated with emergency relief, aid and response.</w:t>
      </w:r>
    </w:p>
    <w:p w14:paraId="5258C284" w14:textId="77777777" w:rsidR="007523D5" w:rsidRPr="00D9073D" w:rsidRDefault="007523D5" w:rsidP="004C183A">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15.</w:t>
      </w:r>
      <w:r w:rsidRPr="00D9073D">
        <w:rPr>
          <w:rFonts w:asciiTheme="majorBidi" w:hAnsiTheme="majorBidi" w:cstheme="majorBidi"/>
          <w:b w:val="0"/>
          <w:bCs w:val="0"/>
          <w:i w:val="0"/>
          <w:kern w:val="22"/>
        </w:rPr>
        <w:tab/>
        <w:t>Documenting any case of invasive alien species in aid-recipient countries should be initiated across broad sectors.</w:t>
      </w:r>
    </w:p>
    <w:p w14:paraId="322B2815" w14:textId="77777777" w:rsidR="007523D5" w:rsidRPr="00D9073D" w:rsidRDefault="007523D5" w:rsidP="004C183A">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16.</w:t>
      </w:r>
      <w:r w:rsidRPr="00D9073D">
        <w:rPr>
          <w:rFonts w:asciiTheme="majorBidi" w:hAnsiTheme="majorBidi" w:cstheme="majorBidi"/>
          <w:b w:val="0"/>
          <w:bCs w:val="0"/>
          <w:i w:val="0"/>
          <w:kern w:val="22"/>
        </w:rPr>
        <w:tab/>
        <w:t>The risk of invasive alien species should be incorporated into emergency response strategies.</w:t>
      </w:r>
    </w:p>
    <w:p w14:paraId="3CAD7736" w14:textId="77777777" w:rsidR="007523D5" w:rsidRPr="00D9073D" w:rsidRDefault="007523D5" w:rsidP="004C183A">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17.</w:t>
      </w:r>
      <w:r w:rsidRPr="00D9073D">
        <w:rPr>
          <w:rFonts w:asciiTheme="majorBidi" w:hAnsiTheme="majorBidi" w:cstheme="majorBidi"/>
          <w:b w:val="0"/>
          <w:bCs w:val="0"/>
          <w:i w:val="0"/>
          <w:kern w:val="22"/>
        </w:rPr>
        <w:tab/>
        <w:t>The responsibilities of aid-providers and aid-recipients should be identified to avoid any invasive alien species introduction through contaminants in aid transports and transfers.</w:t>
      </w:r>
    </w:p>
    <w:p w14:paraId="65C31454" w14:textId="77777777" w:rsidR="007523D5" w:rsidRPr="00D9073D" w:rsidRDefault="007523D5" w:rsidP="007C5A47">
      <w:pPr>
        <w:jc w:val="center"/>
        <w:rPr>
          <w:i/>
          <w:iCs/>
          <w:szCs w:val="22"/>
        </w:rPr>
      </w:pPr>
      <w:r w:rsidRPr="00D9073D">
        <w:rPr>
          <w:i/>
          <w:iCs/>
          <w:szCs w:val="22"/>
        </w:rPr>
        <w:t>3.</w:t>
      </w:r>
      <w:r w:rsidRPr="00D9073D">
        <w:rPr>
          <w:i/>
          <w:iCs/>
          <w:szCs w:val="22"/>
        </w:rPr>
        <w:tab/>
        <w:t>Air transport</w:t>
      </w:r>
    </w:p>
    <w:p w14:paraId="07EFBFD3" w14:textId="77777777" w:rsidR="007523D5" w:rsidRPr="00D9073D" w:rsidRDefault="007523D5" w:rsidP="00D72BDD">
      <w:pPr>
        <w:pStyle w:val="Style1"/>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18.</w:t>
      </w:r>
      <w:r w:rsidRPr="00D9073D">
        <w:rPr>
          <w:rFonts w:asciiTheme="majorBidi" w:hAnsiTheme="majorBidi" w:cstheme="majorBidi"/>
          <w:b w:val="0"/>
          <w:bCs w:val="0"/>
          <w:i w:val="0"/>
          <w:kern w:val="22"/>
        </w:rPr>
        <w:tab/>
        <w:t>Relevant organizations should engage indigenous peoples, local communities and relevant stakeholders</w:t>
      </w:r>
      <w:r w:rsidRPr="00D9073D" w:rsidDel="009951C3">
        <w:rPr>
          <w:rFonts w:asciiTheme="majorBidi" w:hAnsiTheme="majorBidi" w:cstheme="majorBidi"/>
          <w:b w:val="0"/>
          <w:bCs w:val="0"/>
          <w:i w:val="0"/>
          <w:kern w:val="22"/>
        </w:rPr>
        <w:t xml:space="preserve"> </w:t>
      </w:r>
      <w:r w:rsidRPr="00D9073D">
        <w:rPr>
          <w:rFonts w:asciiTheme="majorBidi" w:hAnsiTheme="majorBidi" w:cstheme="majorBidi"/>
          <w:b w:val="0"/>
          <w:bCs w:val="0"/>
          <w:i w:val="0"/>
          <w:kern w:val="22"/>
        </w:rPr>
        <w:t>at all levels to develop standards to prevent hitchhiker or stowaway species arriving by air.</w:t>
      </w:r>
    </w:p>
    <w:p w14:paraId="139EA4F2" w14:textId="77777777" w:rsidR="007523D5" w:rsidRPr="00D9073D" w:rsidRDefault="007523D5" w:rsidP="00D72BDD">
      <w:pPr>
        <w:pStyle w:val="Style1"/>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19.</w:t>
      </w:r>
      <w:r w:rsidRPr="00D9073D">
        <w:rPr>
          <w:rFonts w:asciiTheme="majorBidi" w:hAnsiTheme="majorBidi" w:cstheme="majorBidi"/>
          <w:b w:val="0"/>
          <w:bCs w:val="0"/>
          <w:i w:val="0"/>
          <w:kern w:val="22"/>
        </w:rPr>
        <w:tab/>
        <w:t>Relevant organizations, including IPPC, OIE, ICAO, WCO and IATA, should collaborate to develop harmonized operating standards related to air cargo, with input from indigenous peoples, local communities and relevant stakeholders.</w:t>
      </w:r>
    </w:p>
    <w:p w14:paraId="482AA098" w14:textId="77777777" w:rsidR="007523D5" w:rsidRPr="00D9073D" w:rsidRDefault="007523D5" w:rsidP="00D72BDD">
      <w:pPr>
        <w:pStyle w:val="Style1"/>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20.</w:t>
      </w:r>
      <w:r w:rsidRPr="00D9073D">
        <w:rPr>
          <w:rFonts w:asciiTheme="majorBidi" w:hAnsiTheme="majorBidi" w:cstheme="majorBidi"/>
          <w:b w:val="0"/>
          <w:bCs w:val="0"/>
          <w:i w:val="0"/>
          <w:kern w:val="22"/>
        </w:rPr>
        <w:tab/>
        <w:t>States should avoid the introduction and spread of invasive alien species through the transport of living organisms, in accordance with the guidance annexed to decisions XII/16 and 14/11.</w:t>
      </w:r>
    </w:p>
    <w:p w14:paraId="265FC867" w14:textId="77777777" w:rsidR="007523D5" w:rsidRPr="00D9073D" w:rsidRDefault="007523D5" w:rsidP="007C5A47">
      <w:pPr>
        <w:jc w:val="center"/>
        <w:rPr>
          <w:i/>
          <w:iCs/>
          <w:szCs w:val="22"/>
        </w:rPr>
      </w:pPr>
      <w:r w:rsidRPr="00D9073D">
        <w:rPr>
          <w:i/>
          <w:iCs/>
          <w:szCs w:val="22"/>
        </w:rPr>
        <w:t>4.</w:t>
      </w:r>
      <w:r w:rsidRPr="00D9073D">
        <w:rPr>
          <w:i/>
          <w:iCs/>
          <w:szCs w:val="22"/>
        </w:rPr>
        <w:tab/>
        <w:t>Tourism</w:t>
      </w:r>
    </w:p>
    <w:p w14:paraId="4397E172" w14:textId="77777777" w:rsidR="007523D5" w:rsidRPr="00D9073D" w:rsidRDefault="007523D5" w:rsidP="00D72BDD">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21.</w:t>
      </w:r>
      <w:r w:rsidRPr="00D9073D">
        <w:rPr>
          <w:rFonts w:asciiTheme="majorBidi" w:hAnsiTheme="majorBidi" w:cstheme="majorBidi"/>
          <w:b w:val="0"/>
          <w:bCs w:val="0"/>
          <w:i w:val="0"/>
          <w:kern w:val="22"/>
        </w:rPr>
        <w:tab/>
        <w:t>Parties, in collaboration with travel operators and non-governmental organizations, should develop awareness programmes and campaigns to educate tourists, tourism agencies, local communities and policymakers on the risk and management of invasive alien species, and strategies and techniques to minimize risks.</w:t>
      </w:r>
    </w:p>
    <w:p w14:paraId="34B0BDF0" w14:textId="77777777" w:rsidR="007523D5" w:rsidRPr="00D9073D" w:rsidRDefault="007523D5" w:rsidP="00D72BDD">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22.</w:t>
      </w:r>
      <w:r w:rsidRPr="00D9073D">
        <w:rPr>
          <w:rFonts w:asciiTheme="majorBidi" w:hAnsiTheme="majorBidi" w:cstheme="majorBidi"/>
          <w:b w:val="0"/>
          <w:bCs w:val="0"/>
          <w:i w:val="0"/>
          <w:kern w:val="22"/>
        </w:rPr>
        <w:tab/>
        <w:t>Minimizing the impact of touristic activity to prevent the introduction and spread of invasive alien species should be prioritized, taking into account vulnerable ecosystems, such as in protected areas, and island ecosystems.</w:t>
      </w:r>
    </w:p>
    <w:p w14:paraId="7B736CC3" w14:textId="77777777" w:rsidR="007523D5" w:rsidRPr="00D9073D" w:rsidRDefault="007523D5" w:rsidP="00D72BDD">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23.</w:t>
      </w:r>
      <w:r w:rsidRPr="00D9073D">
        <w:rPr>
          <w:rFonts w:asciiTheme="majorBidi" w:hAnsiTheme="majorBidi" w:cstheme="majorBidi"/>
          <w:b w:val="0"/>
          <w:bCs w:val="0"/>
          <w:i w:val="0"/>
          <w:kern w:val="22"/>
        </w:rPr>
        <w:tab/>
        <w:t>The Secretariat should collaborate with the World Tourism Organization to consider joint efforts in addressing tourism as a major possibility for introducing invasive alien species and the management thereof.</w:t>
      </w:r>
    </w:p>
    <w:p w14:paraId="1620671C" w14:textId="77777777" w:rsidR="007523D5" w:rsidRPr="00D9073D" w:rsidRDefault="007523D5" w:rsidP="007C5A47">
      <w:pPr>
        <w:keepNext/>
        <w:jc w:val="center"/>
        <w:rPr>
          <w:i/>
          <w:iCs/>
          <w:szCs w:val="22"/>
        </w:rPr>
      </w:pPr>
      <w:r w:rsidRPr="00D9073D">
        <w:rPr>
          <w:i/>
          <w:iCs/>
          <w:szCs w:val="22"/>
        </w:rPr>
        <w:t>5.</w:t>
      </w:r>
      <w:r w:rsidRPr="00D9073D">
        <w:rPr>
          <w:i/>
          <w:iCs/>
          <w:szCs w:val="22"/>
        </w:rPr>
        <w:tab/>
        <w:t>Sea containers and cargos</w:t>
      </w:r>
    </w:p>
    <w:p w14:paraId="742050CB" w14:textId="77777777" w:rsidR="007523D5" w:rsidRPr="00D9073D" w:rsidRDefault="007523D5" w:rsidP="00D72BDD">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24.</w:t>
      </w:r>
      <w:r w:rsidRPr="00D9073D">
        <w:rPr>
          <w:rFonts w:asciiTheme="majorBidi" w:hAnsiTheme="majorBidi" w:cstheme="majorBidi"/>
          <w:b w:val="0"/>
          <w:bCs w:val="0"/>
          <w:i w:val="0"/>
          <w:kern w:val="22"/>
        </w:rPr>
        <w:tab/>
        <w:t>Parties and other Governments should be aware that sea containers may carry invasive alien species with any cargoes, including industrial products, not only cargoes containing living organisms.</w:t>
      </w:r>
    </w:p>
    <w:p w14:paraId="16C881B9" w14:textId="77777777" w:rsidR="007523D5" w:rsidRPr="00D9073D" w:rsidRDefault="007523D5" w:rsidP="00D72BDD">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25.</w:t>
      </w:r>
      <w:r w:rsidRPr="00D9073D">
        <w:rPr>
          <w:rFonts w:asciiTheme="majorBidi" w:hAnsiTheme="majorBidi" w:cstheme="majorBidi"/>
          <w:b w:val="0"/>
          <w:bCs w:val="0"/>
          <w:i w:val="0"/>
          <w:kern w:val="22"/>
        </w:rPr>
        <w:tab/>
        <w:t>Relevant organizations should engage indigenous peoples, local communities and relevant stakeholders at all levels to develop guidelines to prevent invasions of hitchhiker or stowaway species through sea containers.</w:t>
      </w:r>
    </w:p>
    <w:p w14:paraId="252540FE" w14:textId="77777777" w:rsidR="007523D5" w:rsidRPr="00D9073D" w:rsidRDefault="007523D5" w:rsidP="00D72BDD">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26.</w:t>
      </w:r>
      <w:r w:rsidRPr="00D9073D">
        <w:rPr>
          <w:rFonts w:asciiTheme="majorBidi" w:hAnsiTheme="majorBidi" w:cstheme="majorBidi"/>
          <w:b w:val="0"/>
          <w:bCs w:val="0"/>
          <w:i w:val="0"/>
          <w:kern w:val="22"/>
        </w:rPr>
        <w:tab/>
        <w:t>Relevant organizations, including IPPC, OIE, IMO and WCO, should further collaborate to develop harmonized operational standards to address the pathways of biological invasion (contaminants and stowaway) via sea containers, in close cooperation with the relevant business sector and input from indigenous peoples, local communities and relevant stakeholders, taking into account the appropriate treatment of sea containers prior to loading cargos.</w:t>
      </w:r>
    </w:p>
    <w:p w14:paraId="213B1F40" w14:textId="77777777" w:rsidR="007523D5" w:rsidRPr="00D9073D" w:rsidRDefault="007523D5" w:rsidP="00D72BDD">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27.</w:t>
      </w:r>
      <w:r w:rsidRPr="00D9073D">
        <w:rPr>
          <w:rFonts w:asciiTheme="majorBidi" w:hAnsiTheme="majorBidi" w:cstheme="majorBidi"/>
          <w:b w:val="0"/>
          <w:bCs w:val="0"/>
          <w:i w:val="0"/>
          <w:kern w:val="22"/>
        </w:rPr>
        <w:tab/>
        <w:t>The introduction and spread of invasive alien species through the transport of sea containers should be avoided, in accordance with the guidance annexed to decision XIII/13 and take appropriate actions to prevent the unintentional spread of invasive alien species via sea containers, taking into account paragraphs 10, 34, 35 and 36 of the guidance annexed to decision 14/11 and other relevant international guidance, for example, the IPPC Guidance from the International Plant Protection Convention’s Sea Container Task Force.</w:t>
      </w:r>
      <w:r w:rsidRPr="00AF07BF">
        <w:rPr>
          <w:rStyle w:val="FootnoteReference"/>
          <w:b w:val="0"/>
          <w:bCs w:val="0"/>
          <w:i w:val="0"/>
          <w:iCs/>
        </w:rPr>
        <w:footnoteReference w:id="356"/>
      </w:r>
    </w:p>
    <w:p w14:paraId="742A9EF5" w14:textId="77777777" w:rsidR="007523D5" w:rsidRPr="00D9073D" w:rsidRDefault="007523D5" w:rsidP="00D72BDD">
      <w:pPr>
        <w:pStyle w:val="Style1"/>
        <w:keepNext w:val="0"/>
        <w:suppressLineNumbers/>
        <w:suppressAutoHyphens/>
        <w:spacing w:before="120"/>
        <w:jc w:val="both"/>
        <w:outlineLvl w:val="9"/>
        <w:rPr>
          <w:rFonts w:asciiTheme="majorBidi" w:hAnsiTheme="majorBidi" w:cstheme="majorBidi"/>
          <w:b w:val="0"/>
          <w:bCs w:val="0"/>
          <w:i w:val="0"/>
          <w:iCs/>
          <w:kern w:val="22"/>
        </w:rPr>
      </w:pPr>
      <w:r w:rsidRPr="00D9073D">
        <w:rPr>
          <w:rFonts w:asciiTheme="majorBidi" w:hAnsiTheme="majorBidi" w:cstheme="majorBidi"/>
          <w:b w:val="0"/>
          <w:bCs w:val="0"/>
          <w:i w:val="0"/>
          <w:kern w:val="22"/>
        </w:rPr>
        <w:t>28.</w:t>
      </w:r>
      <w:r w:rsidRPr="00D9073D">
        <w:rPr>
          <w:rFonts w:asciiTheme="majorBidi" w:hAnsiTheme="majorBidi" w:cstheme="majorBidi"/>
          <w:b w:val="0"/>
          <w:bCs w:val="0"/>
          <w:i w:val="0"/>
          <w:kern w:val="22"/>
        </w:rPr>
        <w:tab/>
        <w:t>Trade partners involved in operation of sea containers should act proactively to prevent unintentional introduction and spread of invasive alien species.</w:t>
      </w:r>
    </w:p>
    <w:p w14:paraId="22210C80" w14:textId="77777777" w:rsidR="007523D5" w:rsidRPr="00D9073D" w:rsidRDefault="007523D5" w:rsidP="007C5A47">
      <w:pPr>
        <w:pStyle w:val="heading2notforTOC"/>
        <w:outlineLvl w:val="9"/>
        <w:rPr>
          <w:rFonts w:asciiTheme="majorBidi" w:hAnsiTheme="majorBidi" w:cstheme="majorBidi"/>
          <w:b/>
          <w:bCs/>
          <w:szCs w:val="22"/>
        </w:rPr>
      </w:pPr>
      <w:r w:rsidRPr="00D9073D">
        <w:rPr>
          <w:rFonts w:asciiTheme="majorBidi" w:hAnsiTheme="majorBidi" w:cstheme="majorBidi"/>
          <w:szCs w:val="22"/>
        </w:rPr>
        <w:t>C.</w:t>
      </w:r>
      <w:r w:rsidRPr="00D9073D">
        <w:rPr>
          <w:rFonts w:asciiTheme="majorBidi" w:hAnsiTheme="majorBidi" w:cstheme="majorBidi"/>
          <w:szCs w:val="22"/>
        </w:rPr>
        <w:tab/>
        <w:t>Advice on capacity-building activities</w:t>
      </w:r>
    </w:p>
    <w:p w14:paraId="68E948C3" w14:textId="77777777" w:rsidR="007523D5" w:rsidRPr="00D9073D" w:rsidRDefault="007523D5" w:rsidP="007C5A47">
      <w:pPr>
        <w:pStyle w:val="NoSpacing"/>
        <w:suppressLineNumbers/>
        <w:suppressAutoHyphens/>
        <w:spacing w:before="120" w:after="120"/>
        <w:rPr>
          <w:rFonts w:asciiTheme="majorBidi" w:hAnsiTheme="majorBidi" w:cstheme="majorBidi"/>
          <w:kern w:val="22"/>
        </w:rPr>
      </w:pPr>
      <w:r w:rsidRPr="00D9073D">
        <w:rPr>
          <w:rFonts w:asciiTheme="majorBidi" w:hAnsiTheme="majorBidi" w:cstheme="majorBidi"/>
          <w:kern w:val="22"/>
        </w:rPr>
        <w:t>29.</w:t>
      </w:r>
      <w:r w:rsidRPr="00D9073D">
        <w:rPr>
          <w:rFonts w:asciiTheme="majorBidi" w:hAnsiTheme="majorBidi" w:cstheme="majorBidi"/>
          <w:kern w:val="22"/>
        </w:rPr>
        <w:tab/>
        <w:t>The capacity-building programme under the Convention, should include capacity-building in invasive alien species management.</w:t>
      </w:r>
    </w:p>
    <w:p w14:paraId="58995EDE" w14:textId="77777777" w:rsidR="007523D5" w:rsidRPr="00D9073D" w:rsidRDefault="007523D5" w:rsidP="007C5A47">
      <w:pPr>
        <w:pStyle w:val="NoSpacing"/>
        <w:suppressLineNumbers/>
        <w:suppressAutoHyphens/>
        <w:spacing w:before="120" w:after="120"/>
        <w:rPr>
          <w:rFonts w:asciiTheme="majorBidi" w:hAnsiTheme="majorBidi" w:cstheme="majorBidi"/>
          <w:kern w:val="22"/>
        </w:rPr>
      </w:pPr>
      <w:r w:rsidRPr="00D9073D">
        <w:rPr>
          <w:rFonts w:asciiTheme="majorBidi" w:hAnsiTheme="majorBidi" w:cstheme="majorBidi"/>
          <w:kern w:val="22"/>
        </w:rPr>
        <w:t>30.</w:t>
      </w:r>
      <w:r w:rsidRPr="00D9073D">
        <w:rPr>
          <w:rFonts w:asciiTheme="majorBidi" w:hAnsiTheme="majorBidi" w:cstheme="majorBidi"/>
          <w:kern w:val="22"/>
        </w:rPr>
        <w:tab/>
        <w:t>Training programmes at the international, national, subnational or local level should be established by inviting broad sectors, especially academics and scientific expert organizations and other relevant organizations, including indigenous peoples and local communities and women and youth.</w:t>
      </w:r>
    </w:p>
    <w:p w14:paraId="0ED9586C" w14:textId="77777777" w:rsidR="007523D5" w:rsidRPr="00D9073D" w:rsidRDefault="007523D5" w:rsidP="007C5A47">
      <w:pPr>
        <w:pStyle w:val="NoSpacing"/>
        <w:suppressLineNumbers/>
        <w:suppressAutoHyphens/>
        <w:spacing w:before="120" w:after="120"/>
        <w:rPr>
          <w:rFonts w:asciiTheme="majorBidi" w:hAnsiTheme="majorBidi" w:cstheme="majorBidi"/>
          <w:kern w:val="22"/>
        </w:rPr>
      </w:pPr>
      <w:r w:rsidRPr="00D9073D">
        <w:rPr>
          <w:rFonts w:asciiTheme="majorBidi" w:hAnsiTheme="majorBidi" w:cstheme="majorBidi"/>
          <w:kern w:val="22"/>
        </w:rPr>
        <w:t>31.</w:t>
      </w:r>
      <w:r w:rsidRPr="00D9073D">
        <w:rPr>
          <w:rFonts w:asciiTheme="majorBidi" w:hAnsiTheme="majorBidi" w:cstheme="majorBidi"/>
          <w:kern w:val="22"/>
        </w:rPr>
        <w:tab/>
        <w:t>The evaluation of existing capacity and the development of training packages for relevant topics, such as taxonomy, ecology, invasion biology, risk analysis – in particular horizon scanning</w:t>
      </w:r>
      <w:r>
        <w:rPr>
          <w:rFonts w:asciiTheme="majorBidi" w:hAnsiTheme="majorBidi" w:cstheme="majorBidi"/>
          <w:kern w:val="22"/>
        </w:rPr>
        <w:t>,</w:t>
      </w:r>
      <w:r w:rsidRPr="00D9073D">
        <w:rPr>
          <w:rFonts w:asciiTheme="majorBidi" w:hAnsiTheme="majorBidi" w:cstheme="majorBidi"/>
          <w:kern w:val="22"/>
        </w:rPr>
        <w:t xml:space="preserve"> biological control, management of priority species and pathways should be considered within the long-term strategic framework for capacity</w:t>
      </w:r>
      <w:r w:rsidRPr="00D9073D">
        <w:rPr>
          <w:rFonts w:asciiTheme="majorBidi" w:hAnsiTheme="majorBidi" w:cstheme="majorBidi"/>
          <w:kern w:val="22"/>
        </w:rPr>
        <w:noBreakHyphen/>
        <w:t>building.</w:t>
      </w:r>
    </w:p>
    <w:p w14:paraId="4321DEAE" w14:textId="77777777" w:rsidR="007523D5" w:rsidRPr="00D9073D" w:rsidRDefault="007523D5" w:rsidP="007C5A47">
      <w:pPr>
        <w:pStyle w:val="NoSpacing"/>
        <w:suppressLineNumbers/>
        <w:suppressAutoHyphens/>
        <w:spacing w:before="120" w:after="120"/>
        <w:rPr>
          <w:rFonts w:asciiTheme="majorBidi" w:hAnsiTheme="majorBidi" w:cstheme="majorBidi"/>
          <w:kern w:val="22"/>
        </w:rPr>
      </w:pPr>
      <w:r w:rsidRPr="00D9073D">
        <w:rPr>
          <w:rFonts w:asciiTheme="majorBidi" w:hAnsiTheme="majorBidi" w:cstheme="majorBidi"/>
          <w:kern w:val="22"/>
        </w:rPr>
        <w:t>32.</w:t>
      </w:r>
      <w:r w:rsidRPr="00D9073D">
        <w:rPr>
          <w:rFonts w:asciiTheme="majorBidi" w:hAnsiTheme="majorBidi" w:cstheme="majorBidi"/>
          <w:kern w:val="22"/>
        </w:rPr>
        <w:tab/>
        <w:t>There is a need to develop technical resources, including technical manuals for broad sectors, as follows:</w:t>
      </w:r>
    </w:p>
    <w:p w14:paraId="0568A2F0" w14:textId="77777777" w:rsidR="007523D5" w:rsidRPr="00D9073D" w:rsidRDefault="007523D5" w:rsidP="007C5A47">
      <w:pPr>
        <w:suppressLineNumbers/>
        <w:suppressAutoHyphens/>
        <w:autoSpaceDE w:val="0"/>
        <w:autoSpaceDN w:val="0"/>
        <w:adjustRightInd w:val="0"/>
        <w:spacing w:after="120"/>
        <w:ind w:firstLine="720"/>
        <w:rPr>
          <w:rFonts w:asciiTheme="majorBidi" w:hAnsiTheme="majorBidi" w:cstheme="majorBidi"/>
          <w:kern w:val="22"/>
          <w:szCs w:val="22"/>
        </w:rPr>
      </w:pPr>
      <w:r w:rsidRPr="00D9073D">
        <w:rPr>
          <w:rFonts w:asciiTheme="majorBidi" w:hAnsiTheme="majorBidi" w:cstheme="majorBidi"/>
          <w:color w:val="000000" w:themeColor="text1"/>
          <w:kern w:val="22"/>
          <w:szCs w:val="22"/>
        </w:rPr>
        <w:t>(a)</w:t>
      </w:r>
      <w:r w:rsidRPr="00D9073D">
        <w:rPr>
          <w:rFonts w:asciiTheme="majorBidi" w:hAnsiTheme="majorBidi" w:cstheme="majorBidi"/>
          <w:color w:val="000000" w:themeColor="text1"/>
          <w:kern w:val="22"/>
          <w:szCs w:val="22"/>
        </w:rPr>
        <w:tab/>
      </w:r>
      <w:r w:rsidRPr="00D9073D">
        <w:rPr>
          <w:rFonts w:asciiTheme="majorBidi" w:hAnsiTheme="majorBidi" w:cstheme="majorBidi"/>
          <w:kern w:val="22"/>
          <w:szCs w:val="22"/>
        </w:rPr>
        <w:t>Taxonomic identification of organisms, including identification keys based on morphology, and the link to databases with images and to lists of specialists, DNA barcoding, artificial-intelligence-aided identification and citizen science;</w:t>
      </w:r>
    </w:p>
    <w:p w14:paraId="1A3F8FFB" w14:textId="77777777" w:rsidR="007523D5" w:rsidRPr="00D9073D" w:rsidRDefault="007523D5" w:rsidP="007C5A47">
      <w:pPr>
        <w:suppressLineNumbers/>
        <w:suppressAutoHyphens/>
        <w:autoSpaceDE w:val="0"/>
        <w:autoSpaceDN w:val="0"/>
        <w:adjustRightInd w:val="0"/>
        <w:spacing w:after="120"/>
        <w:ind w:firstLine="720"/>
        <w:rPr>
          <w:rFonts w:asciiTheme="majorBidi" w:hAnsiTheme="majorBidi" w:cstheme="majorBidi"/>
          <w:kern w:val="22"/>
          <w:szCs w:val="22"/>
        </w:rPr>
      </w:pPr>
      <w:r w:rsidRPr="00D9073D">
        <w:rPr>
          <w:rFonts w:asciiTheme="majorBidi" w:hAnsiTheme="majorBidi" w:cstheme="majorBidi"/>
          <w:color w:val="000000" w:themeColor="text1"/>
          <w:kern w:val="22"/>
          <w:szCs w:val="22"/>
        </w:rPr>
        <w:t>(b)</w:t>
      </w:r>
      <w:r w:rsidRPr="00D9073D">
        <w:rPr>
          <w:rFonts w:asciiTheme="majorBidi" w:hAnsiTheme="majorBidi" w:cstheme="majorBidi"/>
          <w:color w:val="000000" w:themeColor="text1"/>
          <w:kern w:val="22"/>
          <w:szCs w:val="22"/>
        </w:rPr>
        <w:tab/>
      </w:r>
      <w:r w:rsidRPr="00D9073D">
        <w:rPr>
          <w:rFonts w:asciiTheme="majorBidi" w:hAnsiTheme="majorBidi" w:cstheme="majorBidi"/>
          <w:kern w:val="22"/>
          <w:szCs w:val="22"/>
        </w:rPr>
        <w:t>How to apply sanitary and phytosanitary measures to prevent spread of invasive alien species;</w:t>
      </w:r>
    </w:p>
    <w:p w14:paraId="13834BE8" w14:textId="77777777" w:rsidR="007523D5" w:rsidRPr="00D9073D" w:rsidRDefault="007523D5" w:rsidP="007C5A47">
      <w:pPr>
        <w:suppressLineNumbers/>
        <w:suppressAutoHyphens/>
        <w:autoSpaceDE w:val="0"/>
        <w:autoSpaceDN w:val="0"/>
        <w:adjustRightInd w:val="0"/>
        <w:spacing w:after="120"/>
        <w:ind w:firstLine="720"/>
        <w:rPr>
          <w:rFonts w:asciiTheme="majorBidi" w:hAnsiTheme="majorBidi" w:cstheme="majorBidi"/>
          <w:kern w:val="22"/>
          <w:szCs w:val="22"/>
        </w:rPr>
      </w:pPr>
      <w:r w:rsidRPr="00D9073D">
        <w:rPr>
          <w:rFonts w:asciiTheme="majorBidi" w:hAnsiTheme="majorBidi" w:cstheme="majorBidi"/>
          <w:color w:val="000000" w:themeColor="text1"/>
          <w:kern w:val="22"/>
          <w:szCs w:val="22"/>
        </w:rPr>
        <w:t>(c)</w:t>
      </w:r>
      <w:r w:rsidRPr="00D9073D">
        <w:rPr>
          <w:rFonts w:asciiTheme="majorBidi" w:hAnsiTheme="majorBidi" w:cstheme="majorBidi"/>
          <w:color w:val="000000" w:themeColor="text1"/>
          <w:kern w:val="22"/>
          <w:szCs w:val="22"/>
        </w:rPr>
        <w:tab/>
      </w:r>
      <w:r w:rsidRPr="00D9073D">
        <w:rPr>
          <w:rFonts w:asciiTheme="majorBidi" w:hAnsiTheme="majorBidi" w:cstheme="majorBidi"/>
          <w:kern w:val="22"/>
          <w:szCs w:val="22"/>
        </w:rPr>
        <w:t>How to publish and use data on invasive alien species using international data standards to ensure cross-linking national, subnational and regional and global thematic databases;</w:t>
      </w:r>
    </w:p>
    <w:p w14:paraId="2F03ADD8" w14:textId="77777777" w:rsidR="007523D5" w:rsidRPr="00D9073D" w:rsidRDefault="007523D5" w:rsidP="007C5A47">
      <w:pPr>
        <w:suppressLineNumbers/>
        <w:suppressAutoHyphens/>
        <w:autoSpaceDE w:val="0"/>
        <w:autoSpaceDN w:val="0"/>
        <w:adjustRightInd w:val="0"/>
        <w:spacing w:after="120"/>
        <w:ind w:firstLine="720"/>
        <w:rPr>
          <w:rFonts w:asciiTheme="majorBidi" w:hAnsiTheme="majorBidi" w:cstheme="majorBidi"/>
          <w:kern w:val="22"/>
          <w:szCs w:val="22"/>
        </w:rPr>
      </w:pPr>
      <w:r w:rsidRPr="00D9073D">
        <w:rPr>
          <w:rFonts w:asciiTheme="majorBidi" w:hAnsiTheme="majorBidi" w:cstheme="majorBidi"/>
          <w:color w:val="000000" w:themeColor="text1"/>
          <w:kern w:val="22"/>
          <w:szCs w:val="22"/>
        </w:rPr>
        <w:t>(d)</w:t>
      </w:r>
      <w:r w:rsidRPr="00D9073D">
        <w:rPr>
          <w:rFonts w:asciiTheme="majorBidi" w:hAnsiTheme="majorBidi" w:cstheme="majorBidi"/>
          <w:color w:val="000000" w:themeColor="text1"/>
          <w:kern w:val="22"/>
          <w:szCs w:val="22"/>
        </w:rPr>
        <w:tab/>
      </w:r>
      <w:r w:rsidRPr="00D9073D">
        <w:rPr>
          <w:rFonts w:asciiTheme="majorBidi" w:hAnsiTheme="majorBidi" w:cstheme="majorBidi"/>
          <w:kern w:val="22"/>
          <w:szCs w:val="22"/>
        </w:rPr>
        <w:t>Best practices published on successful eradications, and other useful information resources on technical advice on websites;</w:t>
      </w:r>
    </w:p>
    <w:p w14:paraId="3B30F18A" w14:textId="77777777" w:rsidR="007523D5" w:rsidRPr="00D9073D" w:rsidRDefault="007523D5" w:rsidP="007C5A47">
      <w:pPr>
        <w:suppressLineNumbers/>
        <w:suppressAutoHyphens/>
        <w:autoSpaceDE w:val="0"/>
        <w:autoSpaceDN w:val="0"/>
        <w:adjustRightInd w:val="0"/>
        <w:spacing w:after="120"/>
        <w:ind w:firstLine="720"/>
        <w:rPr>
          <w:rFonts w:asciiTheme="majorBidi" w:hAnsiTheme="majorBidi" w:cstheme="majorBidi"/>
          <w:kern w:val="22"/>
          <w:szCs w:val="22"/>
        </w:rPr>
      </w:pPr>
      <w:r w:rsidRPr="00D9073D">
        <w:rPr>
          <w:rFonts w:asciiTheme="majorBidi" w:hAnsiTheme="majorBidi" w:cstheme="majorBidi"/>
          <w:color w:val="000000" w:themeColor="text1"/>
          <w:kern w:val="22"/>
          <w:szCs w:val="22"/>
        </w:rPr>
        <w:t>(e)</w:t>
      </w:r>
      <w:r w:rsidRPr="00D9073D">
        <w:rPr>
          <w:rFonts w:asciiTheme="majorBidi" w:hAnsiTheme="majorBidi" w:cstheme="majorBidi"/>
          <w:color w:val="000000" w:themeColor="text1"/>
          <w:kern w:val="22"/>
          <w:szCs w:val="22"/>
        </w:rPr>
        <w:tab/>
      </w:r>
      <w:r w:rsidRPr="00D9073D">
        <w:rPr>
          <w:rFonts w:asciiTheme="majorBidi" w:hAnsiTheme="majorBidi" w:cstheme="majorBidi"/>
          <w:kern w:val="22"/>
          <w:szCs w:val="22"/>
        </w:rPr>
        <w:t>How to use shared information on invasive alien species for national and subnational policy-setting and implementation;</w:t>
      </w:r>
    </w:p>
    <w:p w14:paraId="5FAF0C34" w14:textId="77777777" w:rsidR="007523D5" w:rsidRPr="00D9073D" w:rsidRDefault="007523D5" w:rsidP="007C5A47">
      <w:pPr>
        <w:suppressLineNumbers/>
        <w:suppressAutoHyphens/>
        <w:autoSpaceDE w:val="0"/>
        <w:autoSpaceDN w:val="0"/>
        <w:adjustRightInd w:val="0"/>
        <w:spacing w:after="120"/>
        <w:ind w:firstLine="720"/>
        <w:rPr>
          <w:rFonts w:asciiTheme="majorBidi" w:hAnsiTheme="majorBidi" w:cstheme="majorBidi"/>
          <w:kern w:val="22"/>
          <w:szCs w:val="22"/>
        </w:rPr>
      </w:pPr>
      <w:r w:rsidRPr="00D9073D">
        <w:rPr>
          <w:rFonts w:asciiTheme="majorBidi" w:hAnsiTheme="majorBidi" w:cstheme="majorBidi"/>
          <w:color w:val="000000" w:themeColor="text1"/>
          <w:kern w:val="22"/>
          <w:szCs w:val="22"/>
        </w:rPr>
        <w:t>(f)</w:t>
      </w:r>
      <w:r w:rsidRPr="00D9073D">
        <w:rPr>
          <w:rFonts w:asciiTheme="majorBidi" w:hAnsiTheme="majorBidi" w:cstheme="majorBidi"/>
          <w:color w:val="000000" w:themeColor="text1"/>
          <w:kern w:val="22"/>
          <w:szCs w:val="22"/>
        </w:rPr>
        <w:tab/>
      </w:r>
      <w:r w:rsidRPr="00D9073D">
        <w:rPr>
          <w:rFonts w:asciiTheme="majorBidi" w:hAnsiTheme="majorBidi" w:cstheme="majorBidi"/>
          <w:kern w:val="22"/>
          <w:szCs w:val="22"/>
        </w:rPr>
        <w:t>How to apply classical biological control agents against invasive alien species and under what circumstances;</w:t>
      </w:r>
    </w:p>
    <w:p w14:paraId="59741542" w14:textId="77777777" w:rsidR="007523D5" w:rsidRPr="00D9073D" w:rsidRDefault="007523D5" w:rsidP="007C5A47">
      <w:pPr>
        <w:suppressLineNumbers/>
        <w:suppressAutoHyphens/>
        <w:autoSpaceDE w:val="0"/>
        <w:autoSpaceDN w:val="0"/>
        <w:adjustRightInd w:val="0"/>
        <w:spacing w:after="120"/>
        <w:ind w:firstLine="720"/>
        <w:rPr>
          <w:rFonts w:asciiTheme="majorBidi" w:hAnsiTheme="majorBidi" w:cstheme="majorBidi"/>
          <w:kern w:val="22"/>
          <w:szCs w:val="22"/>
        </w:rPr>
      </w:pPr>
      <w:r w:rsidRPr="00D9073D">
        <w:rPr>
          <w:rFonts w:asciiTheme="majorBidi" w:hAnsiTheme="majorBidi" w:cstheme="majorBidi"/>
          <w:color w:val="000000" w:themeColor="text1"/>
          <w:kern w:val="22"/>
          <w:szCs w:val="22"/>
        </w:rPr>
        <w:t>(g)</w:t>
      </w:r>
      <w:r w:rsidRPr="00D9073D">
        <w:rPr>
          <w:rFonts w:asciiTheme="majorBidi" w:hAnsiTheme="majorBidi" w:cstheme="majorBidi"/>
          <w:color w:val="000000" w:themeColor="text1"/>
          <w:kern w:val="22"/>
          <w:szCs w:val="22"/>
        </w:rPr>
        <w:tab/>
      </w:r>
      <w:r w:rsidRPr="00D9073D">
        <w:rPr>
          <w:rFonts w:asciiTheme="majorBidi" w:hAnsiTheme="majorBidi" w:cstheme="majorBidi"/>
          <w:kern w:val="22"/>
          <w:szCs w:val="22"/>
        </w:rPr>
        <w:t>How to apply an ecosystem-based approach to control invasive alien species;</w:t>
      </w:r>
    </w:p>
    <w:p w14:paraId="5560742B" w14:textId="77777777" w:rsidR="007523D5" w:rsidRPr="00D9073D" w:rsidRDefault="007523D5" w:rsidP="007C5A47">
      <w:pPr>
        <w:suppressLineNumbers/>
        <w:suppressAutoHyphens/>
        <w:autoSpaceDE w:val="0"/>
        <w:autoSpaceDN w:val="0"/>
        <w:adjustRightInd w:val="0"/>
        <w:spacing w:after="120"/>
        <w:ind w:firstLine="720"/>
        <w:rPr>
          <w:rFonts w:asciiTheme="majorBidi" w:hAnsiTheme="majorBidi" w:cstheme="majorBidi"/>
          <w:kern w:val="22"/>
          <w:szCs w:val="22"/>
        </w:rPr>
      </w:pPr>
      <w:r w:rsidRPr="00D9073D">
        <w:rPr>
          <w:rFonts w:asciiTheme="majorBidi" w:hAnsiTheme="majorBidi" w:cstheme="majorBidi"/>
          <w:color w:val="000000" w:themeColor="text1"/>
          <w:kern w:val="22"/>
          <w:szCs w:val="22"/>
        </w:rPr>
        <w:t>(h)</w:t>
      </w:r>
      <w:r w:rsidRPr="00D9073D">
        <w:rPr>
          <w:rFonts w:asciiTheme="majorBidi" w:hAnsiTheme="majorBidi" w:cstheme="majorBidi"/>
          <w:color w:val="000000" w:themeColor="text1"/>
          <w:kern w:val="22"/>
          <w:szCs w:val="22"/>
        </w:rPr>
        <w:tab/>
      </w:r>
      <w:r w:rsidRPr="00D9073D">
        <w:rPr>
          <w:rFonts w:asciiTheme="majorBidi" w:hAnsiTheme="majorBidi" w:cstheme="majorBidi"/>
          <w:kern w:val="22"/>
          <w:szCs w:val="22"/>
        </w:rPr>
        <w:t>Multi-criteria decision support manual for policymakers;</w:t>
      </w:r>
    </w:p>
    <w:p w14:paraId="705584BD" w14:textId="77777777" w:rsidR="007523D5" w:rsidRPr="00D9073D" w:rsidRDefault="007523D5" w:rsidP="007C5A47">
      <w:pPr>
        <w:suppressLineNumbers/>
        <w:suppressAutoHyphens/>
        <w:autoSpaceDE w:val="0"/>
        <w:autoSpaceDN w:val="0"/>
        <w:adjustRightInd w:val="0"/>
        <w:spacing w:after="120"/>
        <w:ind w:firstLine="720"/>
        <w:rPr>
          <w:rFonts w:asciiTheme="majorBidi" w:hAnsiTheme="majorBidi" w:cstheme="majorBidi"/>
          <w:kern w:val="22"/>
          <w:szCs w:val="22"/>
        </w:rPr>
      </w:pPr>
      <w:r w:rsidRPr="00D9073D">
        <w:rPr>
          <w:rFonts w:asciiTheme="majorBidi" w:hAnsiTheme="majorBidi" w:cstheme="majorBidi"/>
          <w:color w:val="000000" w:themeColor="text1"/>
          <w:kern w:val="22"/>
          <w:szCs w:val="22"/>
        </w:rPr>
        <w:t>(i)</w:t>
      </w:r>
      <w:r w:rsidRPr="00D9073D">
        <w:rPr>
          <w:rFonts w:asciiTheme="majorBidi" w:hAnsiTheme="majorBidi" w:cstheme="majorBidi"/>
          <w:color w:val="000000" w:themeColor="text1"/>
          <w:kern w:val="22"/>
          <w:szCs w:val="22"/>
        </w:rPr>
        <w:tab/>
      </w:r>
      <w:r w:rsidRPr="00D9073D">
        <w:rPr>
          <w:rFonts w:asciiTheme="majorBidi" w:hAnsiTheme="majorBidi" w:cstheme="majorBidi"/>
          <w:kern w:val="22"/>
          <w:szCs w:val="22"/>
        </w:rPr>
        <w:t>If needed, a model regulatory act on invasive alien species with shared responsibility among broad sectors;</w:t>
      </w:r>
    </w:p>
    <w:p w14:paraId="1BD22ED0" w14:textId="77777777" w:rsidR="007523D5" w:rsidRPr="00D9073D" w:rsidRDefault="007523D5" w:rsidP="007C5A47">
      <w:pPr>
        <w:suppressLineNumbers/>
        <w:suppressAutoHyphens/>
        <w:autoSpaceDE w:val="0"/>
        <w:autoSpaceDN w:val="0"/>
        <w:adjustRightInd w:val="0"/>
        <w:spacing w:after="120"/>
        <w:ind w:firstLine="720"/>
        <w:rPr>
          <w:rFonts w:asciiTheme="majorBidi" w:hAnsiTheme="majorBidi" w:cstheme="majorBidi"/>
          <w:kern w:val="22"/>
          <w:szCs w:val="22"/>
        </w:rPr>
      </w:pPr>
      <w:r w:rsidRPr="00D9073D">
        <w:rPr>
          <w:rFonts w:asciiTheme="majorBidi" w:hAnsiTheme="majorBidi" w:cstheme="majorBidi"/>
          <w:color w:val="000000" w:themeColor="text1"/>
          <w:kern w:val="22"/>
          <w:szCs w:val="22"/>
        </w:rPr>
        <w:t>(j)</w:t>
      </w:r>
      <w:r w:rsidRPr="00D9073D">
        <w:rPr>
          <w:rFonts w:asciiTheme="majorBidi" w:hAnsiTheme="majorBidi" w:cstheme="majorBidi"/>
          <w:color w:val="000000" w:themeColor="text1"/>
          <w:kern w:val="22"/>
          <w:szCs w:val="22"/>
        </w:rPr>
        <w:tab/>
      </w:r>
      <w:r w:rsidRPr="00D9073D">
        <w:rPr>
          <w:rFonts w:asciiTheme="majorBidi" w:hAnsiTheme="majorBidi" w:cstheme="majorBidi"/>
          <w:kern w:val="22"/>
          <w:szCs w:val="22"/>
        </w:rPr>
        <w:t>Management manuals for broad sectors to communicate on invasive alien species among different stakeholders, including indigenous peoples and local communities and women and youth.</w:t>
      </w:r>
    </w:p>
    <w:p w14:paraId="1BD804B6" w14:textId="77777777" w:rsidR="007A11A6" w:rsidRDefault="007A11A6" w:rsidP="007C5A47">
      <w:pPr>
        <w:pStyle w:val="Para1"/>
        <w:numPr>
          <w:ilvl w:val="0"/>
          <w:numId w:val="0"/>
        </w:numPr>
        <w:jc w:val="center"/>
        <w:sectPr w:rsidR="007A11A6" w:rsidSect="00441700">
          <w:footnotePr>
            <w:numRestart w:val="eachSect"/>
          </w:footnotePr>
          <w:pgSz w:w="12240" w:h="15840"/>
          <w:pgMar w:top="567" w:right="1440" w:bottom="1134" w:left="1440" w:header="709" w:footer="709" w:gutter="0"/>
          <w:cols w:space="708"/>
          <w:docGrid w:linePitch="360"/>
        </w:sectPr>
      </w:pPr>
    </w:p>
    <w:p w14:paraId="44BE2CF8" w14:textId="77777777" w:rsidR="007A11A6" w:rsidRDefault="007A11A6" w:rsidP="000F1DC0">
      <w:pPr>
        <w:pStyle w:val="decision"/>
        <w:rPr>
          <w:caps/>
        </w:rPr>
      </w:pPr>
      <w:bookmarkStart w:id="328" w:name="_Toc150438826"/>
      <w:bookmarkStart w:id="329" w:name="_Toc150670526"/>
      <w:bookmarkStart w:id="330" w:name="_Toc150670636"/>
      <w:bookmarkStart w:id="331" w:name="_Toc150761138"/>
      <w:r>
        <w:t>15/28.</w:t>
      </w:r>
      <w:r>
        <w:tab/>
      </w:r>
      <w:r w:rsidRPr="00932DF5">
        <w:t>Biodiversity and agriculture</w:t>
      </w:r>
      <w:bookmarkEnd w:id="328"/>
      <w:bookmarkEnd w:id="329"/>
      <w:bookmarkEnd w:id="330"/>
      <w:bookmarkEnd w:id="331"/>
      <w:r w:rsidRPr="00105372">
        <w:rPr>
          <w:caps/>
        </w:rPr>
        <w:t xml:space="preserve"> </w:t>
      </w:r>
    </w:p>
    <w:p w14:paraId="4ED00D1F" w14:textId="77777777" w:rsidR="007A11A6" w:rsidRPr="008845E8" w:rsidRDefault="007A11A6" w:rsidP="008B2808">
      <w:pPr>
        <w:pStyle w:val="Para1"/>
        <w:numPr>
          <w:ilvl w:val="0"/>
          <w:numId w:val="0"/>
        </w:numPr>
        <w:suppressLineNumbers/>
        <w:suppressAutoHyphens/>
        <w:kinsoku w:val="0"/>
        <w:adjustRightInd w:val="0"/>
        <w:ind w:firstLine="720"/>
        <w:rPr>
          <w:iCs/>
        </w:rPr>
      </w:pPr>
      <w:r w:rsidRPr="008845E8">
        <w:rPr>
          <w:i/>
        </w:rPr>
        <w:t>The Conference of the Parties</w:t>
      </w:r>
      <w:r w:rsidRPr="008845E8">
        <w:rPr>
          <w:iCs/>
        </w:rPr>
        <w:t>,</w:t>
      </w:r>
    </w:p>
    <w:p w14:paraId="1E942EBD" w14:textId="4065E4A4" w:rsidR="007A11A6" w:rsidRPr="008845E8" w:rsidRDefault="007A11A6" w:rsidP="008B2808">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845E8">
        <w:rPr>
          <w:i/>
          <w:snapToGrid w:val="0"/>
          <w:kern w:val="22"/>
          <w:szCs w:val="22"/>
        </w:rPr>
        <w:t>Recalling</w:t>
      </w:r>
      <w:r w:rsidRPr="008845E8">
        <w:rPr>
          <w:snapToGrid w:val="0"/>
          <w:kern w:val="22"/>
          <w:szCs w:val="22"/>
        </w:rPr>
        <w:t xml:space="preserve"> decisions III/11, V/5, </w:t>
      </w:r>
      <w:hyperlink r:id="rId57" w:history="1">
        <w:r w:rsidRPr="008845E8">
          <w:rPr>
            <w:rStyle w:val="Hyperlink"/>
            <w:snapToGrid w:val="0"/>
            <w:kern w:val="22"/>
            <w:sz w:val="22"/>
            <w:szCs w:val="22"/>
          </w:rPr>
          <w:t>VI/5</w:t>
        </w:r>
      </w:hyperlink>
      <w:r w:rsidRPr="008845E8">
        <w:rPr>
          <w:snapToGrid w:val="0"/>
          <w:kern w:val="22"/>
          <w:szCs w:val="22"/>
        </w:rPr>
        <w:t xml:space="preserve">, </w:t>
      </w:r>
      <w:hyperlink r:id="rId58" w:history="1">
        <w:r w:rsidRPr="008845E8">
          <w:rPr>
            <w:rStyle w:val="Hyperlink"/>
            <w:snapToGrid w:val="0"/>
            <w:kern w:val="22"/>
            <w:sz w:val="22"/>
            <w:szCs w:val="22"/>
          </w:rPr>
          <w:t>VIII/23</w:t>
        </w:r>
      </w:hyperlink>
      <w:r w:rsidRPr="008845E8">
        <w:rPr>
          <w:snapToGrid w:val="0"/>
          <w:kern w:val="22"/>
          <w:szCs w:val="22"/>
        </w:rPr>
        <w:t xml:space="preserve"> and </w:t>
      </w:r>
      <w:hyperlink r:id="rId59" w:history="1">
        <w:r w:rsidRPr="008845E8">
          <w:rPr>
            <w:rStyle w:val="Hyperlink"/>
            <w:snapToGrid w:val="0"/>
            <w:kern w:val="22"/>
            <w:sz w:val="22"/>
            <w:szCs w:val="22"/>
          </w:rPr>
          <w:t>X/34</w:t>
        </w:r>
      </w:hyperlink>
      <w:r w:rsidRPr="008845E8">
        <w:rPr>
          <w:snapToGrid w:val="0"/>
          <w:kern w:val="22"/>
          <w:szCs w:val="22"/>
        </w:rPr>
        <w:t>,</w:t>
      </w:r>
    </w:p>
    <w:p w14:paraId="35D1BF49" w14:textId="77777777" w:rsidR="007A11A6" w:rsidRPr="008845E8" w:rsidRDefault="007A11A6" w:rsidP="008B2808">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8845E8">
        <w:rPr>
          <w:i/>
          <w:snapToGrid w:val="0"/>
          <w:kern w:val="22"/>
          <w:szCs w:val="22"/>
        </w:rPr>
        <w:t>Acknowledging</w:t>
      </w:r>
      <w:r w:rsidRPr="008845E8">
        <w:rPr>
          <w:snapToGrid w:val="0"/>
          <w:kern w:val="22"/>
          <w:szCs w:val="22"/>
        </w:rPr>
        <w:t xml:space="preserve"> the importance of soil biodiversity in underpinning the functioning of terrestrial ecosystems and, therefore, most of the services it delivers,</w:t>
      </w:r>
    </w:p>
    <w:p w14:paraId="4AA416F4" w14:textId="77777777" w:rsidR="007A11A6" w:rsidRPr="00F76EF9" w:rsidRDefault="007A11A6" w:rsidP="008B2808">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8845E8">
        <w:rPr>
          <w:i/>
          <w:snapToGrid w:val="0"/>
          <w:kern w:val="22"/>
          <w:szCs w:val="22"/>
        </w:rPr>
        <w:t>Recognizing</w:t>
      </w:r>
      <w:r w:rsidRPr="008845E8">
        <w:rPr>
          <w:snapToGrid w:val="0"/>
          <w:kern w:val="22"/>
          <w:szCs w:val="22"/>
        </w:rPr>
        <w:t xml:space="preserve"> that activities to promote the conservation, restoration and sustainable use of soil biodiversity, and the ecosystem functions and services they provide, are key in the functioning of sustainable agricultural systems for food and nutrition security for all, for climate change mitigation</w:t>
      </w:r>
      <w:r>
        <w:rPr>
          <w:snapToGrid w:val="0"/>
          <w:kern w:val="22"/>
          <w:szCs w:val="22"/>
        </w:rPr>
        <w:t>,</w:t>
      </w:r>
      <w:r w:rsidRPr="008845E8">
        <w:rPr>
          <w:snapToGrid w:val="0"/>
          <w:kern w:val="22"/>
          <w:szCs w:val="22"/>
        </w:rPr>
        <w:t xml:space="preserve"> adaptation</w:t>
      </w:r>
      <w:r>
        <w:rPr>
          <w:snapToGrid w:val="0"/>
          <w:kern w:val="22"/>
          <w:szCs w:val="22"/>
        </w:rPr>
        <w:t xml:space="preserve"> and co-benefits</w:t>
      </w:r>
      <w:r w:rsidRPr="008845E8">
        <w:rPr>
          <w:snapToGrid w:val="0"/>
          <w:kern w:val="22"/>
          <w:szCs w:val="22"/>
        </w:rPr>
        <w:t xml:space="preserve">, </w:t>
      </w:r>
      <w:r>
        <w:rPr>
          <w:snapToGrid w:val="0"/>
          <w:kern w:val="22"/>
          <w:szCs w:val="22"/>
        </w:rPr>
        <w:t xml:space="preserve">for </w:t>
      </w:r>
      <w:r w:rsidRPr="008845E8">
        <w:rPr>
          <w:snapToGrid w:val="0"/>
          <w:kern w:val="22"/>
          <w:szCs w:val="22"/>
        </w:rPr>
        <w:t xml:space="preserve">the transition towards more sustainable agricultural and food systems and to enhance the achievement </w:t>
      </w:r>
      <w:r w:rsidRPr="00F76EF9">
        <w:rPr>
          <w:snapToGrid w:val="0"/>
          <w:kern w:val="22"/>
          <w:szCs w:val="22"/>
        </w:rPr>
        <w:t>of the Sustainable Development Goals,</w:t>
      </w:r>
    </w:p>
    <w:p w14:paraId="14117AC4" w14:textId="77777777" w:rsidR="007A11A6" w:rsidRPr="008845E8" w:rsidRDefault="007A11A6" w:rsidP="008B2808">
      <w:pPr>
        <w:pStyle w:val="Para1"/>
        <w:numPr>
          <w:ilvl w:val="0"/>
          <w:numId w:val="0"/>
        </w:numPr>
        <w:suppressLineNumbers/>
        <w:suppressAutoHyphens/>
        <w:kinsoku w:val="0"/>
        <w:adjustRightInd w:val="0"/>
        <w:ind w:firstLine="720"/>
      </w:pPr>
      <w:r w:rsidRPr="00F76EF9">
        <w:t>1.</w:t>
      </w:r>
      <w:r w:rsidRPr="00F76EF9">
        <w:rPr>
          <w:i/>
        </w:rPr>
        <w:tab/>
        <w:t>Adopts</w:t>
      </w:r>
      <w:r w:rsidRPr="00F76EF9">
        <w:t xml:space="preserve"> the </w:t>
      </w:r>
      <w:r w:rsidRPr="00AA309E">
        <w:t>P</w:t>
      </w:r>
      <w:r w:rsidRPr="00F76EF9">
        <w:t xml:space="preserve">lan of </w:t>
      </w:r>
      <w:r w:rsidRPr="00AA309E">
        <w:t>A</w:t>
      </w:r>
      <w:r w:rsidRPr="00F76EF9">
        <w:t xml:space="preserve">ction </w:t>
      </w:r>
      <w:r w:rsidRPr="00AA309E">
        <w:t>(</w:t>
      </w:r>
      <w:r w:rsidRPr="00F76EF9">
        <w:t>2020–2030</w:t>
      </w:r>
      <w:r w:rsidRPr="00AA309E">
        <w:t>)</w:t>
      </w:r>
      <w:r w:rsidRPr="00F76EF9">
        <w:t xml:space="preserve"> for the International Initiative for the Conservation and Sustainable Use of Soil Biodiversity, </w:t>
      </w:r>
      <w:r w:rsidRPr="00F76EF9">
        <w:rPr>
          <w:rFonts w:eastAsia="Calibri"/>
        </w:rPr>
        <w:t xml:space="preserve">as </w:t>
      </w:r>
      <w:r w:rsidRPr="00F76EF9">
        <w:t>contained</w:t>
      </w:r>
      <w:r w:rsidRPr="008845E8">
        <w:t xml:space="preserve"> in the annex to the present decision, and considers it an instrument for supporting the implementation of the </w:t>
      </w:r>
      <w:r>
        <w:t>Kunming-Montreal</w:t>
      </w:r>
      <w:r w:rsidRPr="008845E8">
        <w:t xml:space="preserve"> </w:t>
      </w:r>
      <w:r>
        <w:t>G</w:t>
      </w:r>
      <w:r w:rsidRPr="008845E8">
        <w:t xml:space="preserve">lobal </w:t>
      </w:r>
      <w:r>
        <w:t>B</w:t>
      </w:r>
      <w:r w:rsidRPr="008845E8">
        <w:t xml:space="preserve">iodiversity </w:t>
      </w:r>
      <w:r>
        <w:t>F</w:t>
      </w:r>
      <w:r w:rsidRPr="008845E8">
        <w:t>ramework on a voluntary basis and in accordance with national circumstances and priorities;</w:t>
      </w:r>
    </w:p>
    <w:p w14:paraId="7D9F68CC" w14:textId="77777777" w:rsidR="007A11A6" w:rsidRPr="008845E8" w:rsidRDefault="007A11A6" w:rsidP="008B2808">
      <w:pPr>
        <w:pStyle w:val="Para1"/>
        <w:numPr>
          <w:ilvl w:val="0"/>
          <w:numId w:val="0"/>
        </w:numPr>
        <w:suppressLineNumbers/>
        <w:suppressAutoHyphens/>
        <w:kinsoku w:val="0"/>
        <w:adjustRightInd w:val="0"/>
        <w:ind w:firstLine="720"/>
      </w:pPr>
      <w:r w:rsidRPr="008845E8">
        <w:t>2</w:t>
      </w:r>
      <w:r w:rsidRPr="008845E8">
        <w:rPr>
          <w:i/>
        </w:rPr>
        <w:t>.</w:t>
      </w:r>
      <w:r w:rsidRPr="008845E8">
        <w:rPr>
          <w:i/>
        </w:rPr>
        <w:tab/>
        <w:t xml:space="preserve">Takes note </w:t>
      </w:r>
      <w:r w:rsidRPr="008845E8">
        <w:rPr>
          <w:iCs/>
        </w:rPr>
        <w:t xml:space="preserve">of </w:t>
      </w:r>
      <w:r w:rsidRPr="008845E8">
        <w:t xml:space="preserve">the report entitled </w:t>
      </w:r>
      <w:r w:rsidRPr="008845E8">
        <w:rPr>
          <w:i/>
        </w:rPr>
        <w:t>State of Knowledge on Soil Biodiversity - Status, Challenges and Potentialities</w:t>
      </w:r>
      <w:r w:rsidRPr="008845E8">
        <w:rPr>
          <w:iCs/>
        </w:rPr>
        <w:t>,</w:t>
      </w:r>
      <w:r w:rsidRPr="00610646">
        <w:rPr>
          <w:rStyle w:val="FootnoteReference"/>
        </w:rPr>
        <w:footnoteReference w:id="357"/>
      </w:r>
      <w:r w:rsidRPr="008845E8">
        <w:rPr>
          <w:iCs/>
        </w:rPr>
        <w:t xml:space="preserve"> </w:t>
      </w:r>
      <w:r w:rsidRPr="008845E8">
        <w:t>prepared by the Food and Agriculture Organization of the United Nations in collaboration with the Intergovernmental Technical Panel on Soils of the Global Soil Partnership, the Global Soil Biodiversity Initiative, the European Commission and the Secretariat of the Convention on Biological Diversity;</w:t>
      </w:r>
    </w:p>
    <w:p w14:paraId="678451C5" w14:textId="77777777" w:rsidR="007A11A6" w:rsidRPr="008845E8" w:rsidRDefault="007A11A6" w:rsidP="008B2808">
      <w:pPr>
        <w:pStyle w:val="Para1"/>
        <w:numPr>
          <w:ilvl w:val="0"/>
          <w:numId w:val="0"/>
        </w:numPr>
        <w:suppressLineNumbers/>
        <w:suppressAutoHyphens/>
        <w:kinsoku w:val="0"/>
        <w:adjustRightInd w:val="0"/>
        <w:ind w:firstLine="720"/>
      </w:pPr>
      <w:r w:rsidRPr="008845E8">
        <w:t>3</w:t>
      </w:r>
      <w:r w:rsidRPr="008845E8">
        <w:rPr>
          <w:i/>
        </w:rPr>
        <w:t>.</w:t>
      </w:r>
      <w:r w:rsidRPr="008845E8">
        <w:rPr>
          <w:i/>
        </w:rPr>
        <w:tab/>
        <w:t>Encourages</w:t>
      </w:r>
      <w:r w:rsidRPr="008845E8">
        <w:t xml:space="preserve"> Parties, other Governments and relevant organizations to support the implementation of, and capacity-building and development for, the </w:t>
      </w:r>
      <w:r>
        <w:t>P</w:t>
      </w:r>
      <w:r w:rsidRPr="008845E8">
        <w:t xml:space="preserve">lan of </w:t>
      </w:r>
      <w:r>
        <w:t>A</w:t>
      </w:r>
      <w:r w:rsidRPr="008845E8">
        <w:t xml:space="preserve">ction </w:t>
      </w:r>
      <w:r>
        <w:t>(</w:t>
      </w:r>
      <w:r w:rsidRPr="008845E8">
        <w:t>2020</w:t>
      </w:r>
      <w:r>
        <w:t>–</w:t>
      </w:r>
      <w:r w:rsidRPr="008845E8">
        <w:t>2030</w:t>
      </w:r>
      <w:r>
        <w:t>)</w:t>
      </w:r>
      <w:r w:rsidRPr="008845E8">
        <w:t xml:space="preserve"> for the International Initiative for the Conservation and Sustainable Use of Soil Biodiversity through, among other things, the integration of appropriate measures </w:t>
      </w:r>
      <w:bookmarkStart w:id="332" w:name="_Hlk32323995"/>
      <w:r w:rsidRPr="008845E8">
        <w:t>into national biodiversity strategies and action plans and national reports, sustainable soil management and relevant agricultural policies, plans, legislation, standards, programmes</w:t>
      </w:r>
      <w:bookmarkEnd w:id="332"/>
      <w:r w:rsidRPr="008845E8">
        <w:t xml:space="preserve"> and practices, in accordance with national priorities and circumstances;</w:t>
      </w:r>
    </w:p>
    <w:p w14:paraId="5A41CF8D" w14:textId="77777777" w:rsidR="007A11A6" w:rsidRPr="008845E8" w:rsidRDefault="007A11A6" w:rsidP="008B2808">
      <w:pPr>
        <w:pStyle w:val="Para1"/>
        <w:numPr>
          <w:ilvl w:val="0"/>
          <w:numId w:val="0"/>
        </w:numPr>
        <w:suppressLineNumbers/>
        <w:suppressAutoHyphens/>
        <w:kinsoku w:val="0"/>
        <w:adjustRightInd w:val="0"/>
        <w:ind w:firstLine="720"/>
        <w:rPr>
          <w:shd w:val="clear" w:color="auto" w:fill="FCFCFC"/>
        </w:rPr>
      </w:pPr>
      <w:r w:rsidRPr="008845E8">
        <w:t>4.</w:t>
      </w:r>
      <w:r w:rsidRPr="008845E8">
        <w:rPr>
          <w:i/>
        </w:rPr>
        <w:tab/>
        <w:t>Urges</w:t>
      </w:r>
      <w:r w:rsidRPr="008845E8">
        <w:t xml:space="preserve"> Parties to address the direct and indirect drivers of soil biodiversity loss and land degradation</w:t>
      </w:r>
      <w:r w:rsidRPr="008845E8">
        <w:rPr>
          <w:shd w:val="clear" w:color="auto" w:fill="FCFCFC"/>
        </w:rPr>
        <w:t>;</w:t>
      </w:r>
    </w:p>
    <w:p w14:paraId="29C43E06" w14:textId="77777777" w:rsidR="007A11A6" w:rsidRPr="008845E8" w:rsidRDefault="007A11A6" w:rsidP="008B2808">
      <w:pPr>
        <w:pStyle w:val="Para1"/>
        <w:numPr>
          <w:ilvl w:val="0"/>
          <w:numId w:val="0"/>
        </w:numPr>
        <w:suppressLineNumbers/>
        <w:suppressAutoHyphens/>
        <w:kinsoku w:val="0"/>
        <w:adjustRightInd w:val="0"/>
        <w:ind w:firstLine="720"/>
      </w:pPr>
      <w:r w:rsidRPr="008845E8">
        <w:t>5.</w:t>
      </w:r>
      <w:r w:rsidRPr="008845E8">
        <w:rPr>
          <w:i/>
        </w:rPr>
        <w:tab/>
        <w:t>Encourages</w:t>
      </w:r>
      <w:r w:rsidRPr="008845E8">
        <w:t xml:space="preserve"> Parties to integrate the conservation, restoration and sustainable use of soil biodiversity into agricultural systems</w:t>
      </w:r>
      <w:r>
        <w:t xml:space="preserve">, </w:t>
      </w:r>
      <w:r w:rsidRPr="008845E8">
        <w:t xml:space="preserve">other managed ecosystems and other </w:t>
      </w:r>
      <w:r>
        <w:t xml:space="preserve">relevant </w:t>
      </w:r>
      <w:r w:rsidRPr="008845E8">
        <w:t>sectors</w:t>
      </w:r>
      <w:r w:rsidRPr="008845E8">
        <w:rPr>
          <w:shd w:val="clear" w:color="auto" w:fill="FCFCFC"/>
        </w:rPr>
        <w:t>, land and soil management, development programmes and relevant policies</w:t>
      </w:r>
      <w:r w:rsidRPr="008845E8">
        <w:t>;</w:t>
      </w:r>
    </w:p>
    <w:p w14:paraId="688C31F0" w14:textId="77777777" w:rsidR="007A11A6" w:rsidRPr="008845E8" w:rsidRDefault="007A11A6" w:rsidP="008B2808">
      <w:pPr>
        <w:pStyle w:val="Para1"/>
        <w:numPr>
          <w:ilvl w:val="0"/>
          <w:numId w:val="0"/>
        </w:numPr>
        <w:suppressLineNumbers/>
        <w:suppressAutoHyphens/>
        <w:kinsoku w:val="0"/>
        <w:adjustRightInd w:val="0"/>
        <w:ind w:firstLine="720"/>
      </w:pPr>
      <w:r w:rsidRPr="008845E8">
        <w:t>6.</w:t>
      </w:r>
      <w:r w:rsidRPr="008845E8">
        <w:tab/>
      </w:r>
      <w:r w:rsidRPr="008845E8">
        <w:rPr>
          <w:i/>
        </w:rPr>
        <w:t>Invites</w:t>
      </w:r>
      <w:r w:rsidRPr="008845E8">
        <w:t xml:space="preserve"> academic and research bodies, relevant organizations, networks and indigenous peoples and local communities, farmers, women and youth, to increase knowledge and promote </w:t>
      </w:r>
      <w:r w:rsidRPr="008845E8">
        <w:rPr>
          <w:shd w:val="clear" w:color="auto" w:fill="FCFCFC"/>
        </w:rPr>
        <w:t>awareness-raising activities on the importance of soil biodiversity</w:t>
      </w:r>
      <w:r w:rsidRPr="008845E8">
        <w:t xml:space="preserve"> and to promote further research in order to address gaps identified in the plan of action, including through </w:t>
      </w:r>
      <w:r>
        <w:t xml:space="preserve">different modalities of </w:t>
      </w:r>
      <w:r w:rsidRPr="008845E8">
        <w:t>technology transfer</w:t>
      </w:r>
      <w:r>
        <w:t>,</w:t>
      </w:r>
      <w:r w:rsidRPr="008845E8">
        <w:t xml:space="preserve"> capacity-building</w:t>
      </w:r>
      <w:r>
        <w:t xml:space="preserve"> and development, in accordance with the Convention</w:t>
      </w:r>
      <w:r w:rsidRPr="008845E8">
        <w:t>;</w:t>
      </w:r>
    </w:p>
    <w:p w14:paraId="6564A225" w14:textId="77777777" w:rsidR="007A11A6" w:rsidRPr="008845E8" w:rsidRDefault="007A11A6" w:rsidP="008B2808">
      <w:pPr>
        <w:pStyle w:val="Para1"/>
        <w:numPr>
          <w:ilvl w:val="0"/>
          <w:numId w:val="0"/>
        </w:numPr>
        <w:suppressLineNumbers/>
        <w:suppressAutoHyphens/>
        <w:kinsoku w:val="0"/>
        <w:adjustRightInd w:val="0"/>
        <w:ind w:firstLine="720"/>
      </w:pPr>
      <w:r w:rsidRPr="008845E8">
        <w:t>7.</w:t>
      </w:r>
      <w:r w:rsidRPr="008845E8">
        <w:rPr>
          <w:i/>
        </w:rPr>
        <w:tab/>
        <w:t>Invites</w:t>
      </w:r>
      <w:r w:rsidRPr="008845E8">
        <w:t xml:space="preserve"> the Food and Agriculture Organization of the United Nations, including through the framework of the Global Soil Partnership, to facilitate the implementation of the plan of action, involving Parties, including their ministries of agriculture and environment at the national level, as appropriate;</w:t>
      </w:r>
    </w:p>
    <w:p w14:paraId="60AD5D1A" w14:textId="77777777" w:rsidR="007A11A6" w:rsidRPr="008845E8" w:rsidRDefault="007A11A6" w:rsidP="008B2808">
      <w:pPr>
        <w:pStyle w:val="Para1"/>
        <w:numPr>
          <w:ilvl w:val="0"/>
          <w:numId w:val="0"/>
        </w:numPr>
        <w:suppressLineNumbers/>
        <w:suppressAutoHyphens/>
        <w:kinsoku w:val="0"/>
        <w:adjustRightInd w:val="0"/>
        <w:ind w:firstLine="720"/>
        <w:rPr>
          <w:iCs/>
        </w:rPr>
      </w:pPr>
      <w:r w:rsidRPr="008845E8">
        <w:t>8.</w:t>
      </w:r>
      <w:r w:rsidRPr="008845E8">
        <w:tab/>
      </w:r>
      <w:r w:rsidRPr="008845E8">
        <w:rPr>
          <w:i/>
        </w:rPr>
        <w:t xml:space="preserve">Invites </w:t>
      </w:r>
      <w:r w:rsidRPr="008845E8">
        <w:rPr>
          <w:iCs/>
        </w:rPr>
        <w:t>the</w:t>
      </w:r>
      <w:r w:rsidRPr="008845E8">
        <w:rPr>
          <w:i/>
        </w:rPr>
        <w:t xml:space="preserve"> </w:t>
      </w:r>
      <w:r w:rsidRPr="008845E8">
        <w:rPr>
          <w:iCs/>
        </w:rPr>
        <w:t xml:space="preserve">United Nations Environment Programme, the Food and Agriculture Organization of the United Nations, the United Nations Convention to Combat Desertification, the </w:t>
      </w:r>
      <w:r w:rsidRPr="008845E8">
        <w:t>Intergovernmental Technical Panel on Soils of the Global Soil Partnership</w:t>
      </w:r>
      <w:r w:rsidRPr="008845E8">
        <w:rPr>
          <w:iCs/>
        </w:rPr>
        <w:t xml:space="preserve"> and the Global Initiative for Soil Biodiversity to support the implementation of the </w:t>
      </w:r>
      <w:r>
        <w:rPr>
          <w:iCs/>
        </w:rPr>
        <w:t>Kunming-Montreal</w:t>
      </w:r>
      <w:r w:rsidRPr="008845E8">
        <w:rPr>
          <w:iCs/>
        </w:rPr>
        <w:t xml:space="preserve"> </w:t>
      </w:r>
      <w:r>
        <w:rPr>
          <w:iCs/>
        </w:rPr>
        <w:t>G</w:t>
      </w:r>
      <w:r w:rsidRPr="008845E8">
        <w:rPr>
          <w:iCs/>
        </w:rPr>
        <w:t xml:space="preserve">lobal </w:t>
      </w:r>
      <w:r>
        <w:rPr>
          <w:iCs/>
        </w:rPr>
        <w:t>B</w:t>
      </w:r>
      <w:r w:rsidRPr="008845E8">
        <w:rPr>
          <w:iCs/>
        </w:rPr>
        <w:t xml:space="preserve">iodiversity </w:t>
      </w:r>
      <w:r>
        <w:rPr>
          <w:iCs/>
        </w:rPr>
        <w:t>F</w:t>
      </w:r>
      <w:r w:rsidRPr="008845E8">
        <w:rPr>
          <w:iCs/>
        </w:rPr>
        <w:t>ramework with regard to soil-related targets and actions, including their monitoring and reporting;</w:t>
      </w:r>
    </w:p>
    <w:p w14:paraId="75D98B5A" w14:textId="77777777" w:rsidR="007A11A6" w:rsidRPr="008845E8" w:rsidRDefault="007A11A6" w:rsidP="008B2808">
      <w:pPr>
        <w:pStyle w:val="Para1"/>
        <w:numPr>
          <w:ilvl w:val="0"/>
          <w:numId w:val="0"/>
        </w:numPr>
        <w:suppressLineNumbers/>
        <w:suppressAutoHyphens/>
        <w:kinsoku w:val="0"/>
        <w:adjustRightInd w:val="0"/>
        <w:ind w:firstLine="720"/>
        <w:rPr>
          <w:iCs/>
        </w:rPr>
      </w:pPr>
      <w:r w:rsidRPr="008845E8">
        <w:rPr>
          <w:iCs/>
        </w:rPr>
        <w:t>9.</w:t>
      </w:r>
      <w:r w:rsidRPr="008845E8">
        <w:tab/>
      </w:r>
      <w:r w:rsidRPr="008845E8">
        <w:rPr>
          <w:i/>
          <w:iCs/>
        </w:rPr>
        <w:t>Urges</w:t>
      </w:r>
      <w:r w:rsidRPr="008845E8">
        <w:t xml:space="preserve"> Parties</w:t>
      </w:r>
      <w:r>
        <w:t>, in accordance with Article 20 of the Convention,</w:t>
      </w:r>
      <w:r w:rsidRPr="008845E8">
        <w:t xml:space="preserve"> and </w:t>
      </w:r>
      <w:r w:rsidRPr="005F6AE5">
        <w:rPr>
          <w:iCs/>
        </w:rPr>
        <w:t>invites</w:t>
      </w:r>
      <w:r w:rsidRPr="008845E8">
        <w:t xml:space="preserve"> other Governments and organizations</w:t>
      </w:r>
      <w:r>
        <w:t xml:space="preserve"> </w:t>
      </w:r>
      <w:r w:rsidRPr="008845E8">
        <w:t>in a position to do so, to provide financial and technical support, as appropriate, to enable developing country Parties</w:t>
      </w:r>
      <w:r>
        <w:t>, in particular least developed countries, small island developing States, as well as countries</w:t>
      </w:r>
      <w:r w:rsidRPr="008845E8">
        <w:t xml:space="preserve"> with economies in transition</w:t>
      </w:r>
      <w:r>
        <w:t>,</w:t>
      </w:r>
      <w:r w:rsidRPr="008845E8">
        <w:t xml:space="preserve"> to promote the research, technology transfer, monitoring and assessment of soil biodiversity</w:t>
      </w:r>
      <w:r w:rsidRPr="008845E8">
        <w:rPr>
          <w:iCs/>
        </w:rPr>
        <w:t>;</w:t>
      </w:r>
    </w:p>
    <w:p w14:paraId="35C404E4" w14:textId="77777777" w:rsidR="007A11A6" w:rsidRPr="008845E8" w:rsidRDefault="007A11A6" w:rsidP="008B2808">
      <w:pPr>
        <w:pStyle w:val="Para1"/>
        <w:numPr>
          <w:ilvl w:val="0"/>
          <w:numId w:val="0"/>
        </w:numPr>
        <w:suppressLineNumbers/>
        <w:suppressAutoHyphens/>
        <w:kinsoku w:val="0"/>
        <w:adjustRightInd w:val="0"/>
        <w:ind w:firstLine="720"/>
      </w:pPr>
      <w:r w:rsidRPr="008845E8">
        <w:t>10.</w:t>
      </w:r>
      <w:r w:rsidRPr="008845E8">
        <w:rPr>
          <w:i/>
        </w:rPr>
        <w:tab/>
      </w:r>
      <w:r w:rsidRPr="008845E8">
        <w:rPr>
          <w:rFonts w:eastAsia="Malgun Gothic"/>
          <w:i/>
          <w:lang w:eastAsia="ko-KR"/>
        </w:rPr>
        <w:t xml:space="preserve">Invites </w:t>
      </w:r>
      <w:r w:rsidRPr="008845E8">
        <w:t>the Global Environment Facility, other donors, funding agencies and the private sector to provide financial assistance</w:t>
      </w:r>
      <w:r>
        <w:t xml:space="preserve"> to developing countries, in particular the least developed countries and small island developing States, as well as countries with economies in transition</w:t>
      </w:r>
      <w:r w:rsidRPr="003666C4">
        <w:t>,</w:t>
      </w:r>
      <w:r w:rsidRPr="00AA309E">
        <w:t xml:space="preserve"> </w:t>
      </w:r>
      <w:r w:rsidRPr="003666C4">
        <w:t xml:space="preserve">including </w:t>
      </w:r>
      <w:r w:rsidRPr="008845E8">
        <w:t xml:space="preserve">capacity-building and development activities, for national, subnational and regional projects that address the implementation of the </w:t>
      </w:r>
      <w:r>
        <w:t>P</w:t>
      </w:r>
      <w:r w:rsidRPr="008845E8">
        <w:t xml:space="preserve">lan of </w:t>
      </w:r>
      <w:r>
        <w:t>A</w:t>
      </w:r>
      <w:r w:rsidRPr="008845E8">
        <w:t xml:space="preserve">ction </w:t>
      </w:r>
      <w:r>
        <w:t xml:space="preserve">(2020–2030) </w:t>
      </w:r>
      <w:r w:rsidRPr="008845E8">
        <w:t xml:space="preserve">for the </w:t>
      </w:r>
      <w:r>
        <w:t>International Initiative for the C</w:t>
      </w:r>
      <w:r w:rsidRPr="008845E8">
        <w:t xml:space="preserve">onservation and </w:t>
      </w:r>
      <w:r>
        <w:t>S</w:t>
      </w:r>
      <w:r w:rsidRPr="008845E8">
        <w:t xml:space="preserve">ustainable </w:t>
      </w:r>
      <w:r>
        <w:t>U</w:t>
      </w:r>
      <w:r w:rsidRPr="008845E8">
        <w:t xml:space="preserve">se of </w:t>
      </w:r>
      <w:r>
        <w:t>S</w:t>
      </w:r>
      <w:r w:rsidRPr="008845E8">
        <w:t xml:space="preserve">oil </w:t>
      </w:r>
      <w:r>
        <w:t>B</w:t>
      </w:r>
      <w:r w:rsidRPr="008845E8">
        <w:t>iodiversity;</w:t>
      </w:r>
    </w:p>
    <w:p w14:paraId="3BFC68C8" w14:textId="77777777" w:rsidR="007A11A6" w:rsidRPr="008845E8" w:rsidRDefault="007A11A6" w:rsidP="008B2808">
      <w:pPr>
        <w:pStyle w:val="Para1"/>
        <w:numPr>
          <w:ilvl w:val="0"/>
          <w:numId w:val="0"/>
        </w:numPr>
        <w:suppressLineNumbers/>
        <w:suppressAutoHyphens/>
        <w:kinsoku w:val="0"/>
        <w:adjustRightInd w:val="0"/>
        <w:ind w:firstLine="720"/>
      </w:pPr>
      <w:r w:rsidRPr="008845E8">
        <w:rPr>
          <w:rFonts w:eastAsia="Malgun Gothic"/>
          <w:lang w:eastAsia="ko-KR"/>
        </w:rPr>
        <w:t>11.</w:t>
      </w:r>
      <w:r w:rsidRPr="008845E8">
        <w:rPr>
          <w:iCs/>
        </w:rPr>
        <w:tab/>
      </w:r>
      <w:r w:rsidRPr="008845E8">
        <w:rPr>
          <w:i/>
        </w:rPr>
        <w:t>Invites</w:t>
      </w:r>
      <w:r w:rsidRPr="008845E8">
        <w:t xml:space="preserve"> Parties to provide, on a voluntary basis, information on their activities and results from the implementation of the </w:t>
      </w:r>
      <w:r>
        <w:t>P</w:t>
      </w:r>
      <w:r w:rsidRPr="008845E8">
        <w:t xml:space="preserve">lan of </w:t>
      </w:r>
      <w:r>
        <w:t>A</w:t>
      </w:r>
      <w:r w:rsidRPr="008845E8">
        <w:t xml:space="preserve">ction, in alignment with the </w:t>
      </w:r>
      <w:r>
        <w:t>Kunming-Montreal</w:t>
      </w:r>
      <w:r w:rsidRPr="008845E8">
        <w:t xml:space="preserve"> </w:t>
      </w:r>
      <w:r>
        <w:t>G</w:t>
      </w:r>
      <w:r w:rsidRPr="008845E8">
        <w:t xml:space="preserve">lobal </w:t>
      </w:r>
      <w:r>
        <w:t>B</w:t>
      </w:r>
      <w:r w:rsidRPr="008845E8">
        <w:t xml:space="preserve">iodiversity </w:t>
      </w:r>
      <w:r>
        <w:t>F</w:t>
      </w:r>
      <w:r w:rsidRPr="008845E8">
        <w:t xml:space="preserve">ramework, as appropriate, and </w:t>
      </w:r>
      <w:r w:rsidRPr="005F6AE5">
        <w:rPr>
          <w:iCs/>
        </w:rPr>
        <w:t>requests</w:t>
      </w:r>
      <w:r w:rsidRPr="008845E8">
        <w:t xml:space="preserve"> the Executive Secretary to compile the submissions and to make them available for consideration by the Subsidiary Body on Scientific, Technical and Technological Advice at a meeting held prior to the seventeenth meeting of the Conference of the Parties;</w:t>
      </w:r>
    </w:p>
    <w:p w14:paraId="606AD950" w14:textId="4EC6E8B3" w:rsidR="007A11A6" w:rsidRPr="00AF07BF" w:rsidRDefault="007A11A6" w:rsidP="00AF07BF">
      <w:pPr>
        <w:pStyle w:val="Para1"/>
        <w:numPr>
          <w:ilvl w:val="0"/>
          <w:numId w:val="0"/>
        </w:numPr>
        <w:suppressLineNumbers/>
        <w:suppressAutoHyphens/>
        <w:kinsoku w:val="0"/>
        <w:adjustRightInd w:val="0"/>
        <w:ind w:firstLine="720"/>
      </w:pPr>
      <w:r w:rsidRPr="008845E8">
        <w:t>12.</w:t>
      </w:r>
      <w:r w:rsidRPr="008845E8">
        <w:rPr>
          <w:i/>
        </w:rPr>
        <w:tab/>
        <w:t>Requests</w:t>
      </w:r>
      <w:r w:rsidRPr="008845E8">
        <w:t xml:space="preserve"> the Executive Secretary to bring the present decision to the attention of the Food and Agriculture Organization of the United Nations, the United Nations Convention to Combat Desertification, the United Nations Framework Convention on Climate Change, other United Nations organizations, programmes and biodiversity-related conventions and the United Nations Decade on Ecosystem Restoration (2021</w:t>
      </w:r>
      <w:r>
        <w:t>–</w:t>
      </w:r>
      <w:r w:rsidRPr="008845E8">
        <w:t>2030).</w:t>
      </w:r>
      <w:r w:rsidRPr="00610646">
        <w:rPr>
          <w:rStyle w:val="FootnoteReference"/>
        </w:rPr>
        <w:footnoteReference w:id="358"/>
      </w:r>
    </w:p>
    <w:p w14:paraId="7E1FC3F3" w14:textId="77777777" w:rsidR="007A11A6" w:rsidRPr="00AA309E" w:rsidRDefault="007A11A6" w:rsidP="006C3786">
      <w:pPr>
        <w:keepNext/>
        <w:jc w:val="center"/>
        <w:rPr>
          <w:b/>
          <w:i/>
          <w:iCs/>
          <w:snapToGrid w:val="0"/>
          <w:szCs w:val="22"/>
        </w:rPr>
      </w:pPr>
      <w:r w:rsidRPr="00AA309E">
        <w:rPr>
          <w:i/>
          <w:iCs/>
          <w:snapToGrid w:val="0"/>
          <w:szCs w:val="22"/>
        </w:rPr>
        <w:t>Annex</w:t>
      </w:r>
    </w:p>
    <w:p w14:paraId="23AD4514" w14:textId="3EAE2FF7" w:rsidR="007A11A6" w:rsidRPr="000F1DC0" w:rsidRDefault="000F1DC0" w:rsidP="000F1DC0">
      <w:pPr>
        <w:pStyle w:val="BodyText"/>
        <w:jc w:val="center"/>
        <w:rPr>
          <w:b/>
          <w:bCs/>
          <w:snapToGrid w:val="0"/>
        </w:rPr>
      </w:pPr>
      <w:bookmarkStart w:id="333" w:name="_Toc118355061"/>
      <w:r w:rsidRPr="000F1DC0">
        <w:rPr>
          <w:b/>
          <w:bCs/>
          <w:snapToGrid w:val="0"/>
        </w:rPr>
        <w:t>PLAN OF ACTION (2020</w:t>
      </w:r>
      <w:r w:rsidRPr="000F1DC0">
        <w:rPr>
          <w:b/>
          <w:bCs/>
          <w:kern w:val="22"/>
        </w:rPr>
        <w:t>–</w:t>
      </w:r>
      <w:r w:rsidRPr="000F1DC0">
        <w:rPr>
          <w:b/>
          <w:bCs/>
          <w:snapToGrid w:val="0"/>
        </w:rPr>
        <w:t>2030) FOR THE INTERNATIONAL INITIATIVE FOR THE CONSERVATION AND SUSTAINABLE USE OF SOIL BIODIVERSITY</w:t>
      </w:r>
      <w:bookmarkEnd w:id="333"/>
    </w:p>
    <w:p w14:paraId="493FD739" w14:textId="77777777" w:rsidR="007A11A6" w:rsidRPr="00AA309E" w:rsidRDefault="007A11A6" w:rsidP="000F1DC0">
      <w:pPr>
        <w:pStyle w:val="Heading1-compilation"/>
        <w:tabs>
          <w:tab w:val="clear" w:pos="284"/>
        </w:tabs>
        <w:rPr>
          <w:szCs w:val="22"/>
        </w:rPr>
      </w:pPr>
      <w:bookmarkStart w:id="334" w:name="_Toc118354931"/>
      <w:bookmarkStart w:id="335" w:name="_Toc150670310"/>
      <w:bookmarkStart w:id="336" w:name="_Toc150670527"/>
      <w:bookmarkStart w:id="337" w:name="_Toc150670637"/>
      <w:r w:rsidRPr="00AA309E">
        <w:rPr>
          <w:szCs w:val="22"/>
        </w:rPr>
        <w:t>I.</w:t>
      </w:r>
      <w:r w:rsidRPr="00AA309E">
        <w:rPr>
          <w:szCs w:val="22"/>
        </w:rPr>
        <w:tab/>
        <w:t>INTRODUCTION</w:t>
      </w:r>
      <w:bookmarkEnd w:id="334"/>
      <w:bookmarkEnd w:id="335"/>
      <w:bookmarkEnd w:id="336"/>
      <w:bookmarkEnd w:id="337"/>
    </w:p>
    <w:p w14:paraId="31308012"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1.</w:t>
      </w:r>
      <w:r w:rsidRPr="00AA309E">
        <w:rPr>
          <w:rFonts w:asciiTheme="majorBidi" w:hAnsiTheme="majorBidi" w:cstheme="majorBidi"/>
        </w:rPr>
        <w:tab/>
        <w:t>Since the launch of the International Initiative for the Conservation and Sustainable Use of Soil Biodiversity, a significant amount of new scientific, technical and other types of knowledge relevant to soils and their biodiversity has been released.</w:t>
      </w:r>
    </w:p>
    <w:p w14:paraId="2CAE0EA1"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2.</w:t>
      </w:r>
      <w:r w:rsidRPr="00AA309E">
        <w:rPr>
          <w:rFonts w:asciiTheme="majorBidi" w:hAnsiTheme="majorBidi" w:cstheme="majorBidi"/>
        </w:rPr>
        <w:tab/>
        <w:t xml:space="preserve">The </w:t>
      </w:r>
      <w:r>
        <w:rPr>
          <w:rFonts w:asciiTheme="majorBidi" w:hAnsiTheme="majorBidi" w:cstheme="majorBidi"/>
        </w:rPr>
        <w:t>P</w:t>
      </w:r>
      <w:r w:rsidRPr="00AA309E">
        <w:rPr>
          <w:rFonts w:asciiTheme="majorBidi" w:hAnsiTheme="majorBidi" w:cstheme="majorBidi"/>
        </w:rPr>
        <w:t xml:space="preserve">lan of </w:t>
      </w:r>
      <w:r>
        <w:rPr>
          <w:rFonts w:asciiTheme="majorBidi" w:hAnsiTheme="majorBidi" w:cstheme="majorBidi"/>
        </w:rPr>
        <w:t>A</w:t>
      </w:r>
      <w:r w:rsidRPr="00AA309E">
        <w:rPr>
          <w:rFonts w:asciiTheme="majorBidi" w:hAnsiTheme="majorBidi" w:cstheme="majorBidi"/>
        </w:rPr>
        <w:t xml:space="preserve">ction </w:t>
      </w:r>
      <w:r>
        <w:rPr>
          <w:rFonts w:asciiTheme="majorBidi" w:hAnsiTheme="majorBidi" w:cstheme="majorBidi"/>
        </w:rPr>
        <w:t>(</w:t>
      </w:r>
      <w:r w:rsidRPr="00AA309E">
        <w:rPr>
          <w:rFonts w:asciiTheme="majorBidi" w:hAnsiTheme="majorBidi" w:cstheme="majorBidi"/>
        </w:rPr>
        <w:t>2020</w:t>
      </w:r>
      <w:r>
        <w:t>–</w:t>
      </w:r>
      <w:r w:rsidRPr="00AA309E">
        <w:rPr>
          <w:rFonts w:asciiTheme="majorBidi" w:hAnsiTheme="majorBidi" w:cstheme="majorBidi"/>
        </w:rPr>
        <w:t>2030</w:t>
      </w:r>
      <w:r>
        <w:rPr>
          <w:rFonts w:asciiTheme="majorBidi" w:hAnsiTheme="majorBidi" w:cstheme="majorBidi"/>
        </w:rPr>
        <w:t>)</w:t>
      </w:r>
      <w:r w:rsidRPr="00AA309E">
        <w:rPr>
          <w:rFonts w:asciiTheme="majorBidi" w:hAnsiTheme="majorBidi" w:cstheme="majorBidi"/>
        </w:rPr>
        <w:t xml:space="preserve"> for the International Initiative for the Conservation and Sustainable Use of Soil Biodiversity</w:t>
      </w:r>
      <w:r>
        <w:rPr>
          <w:rFonts w:asciiTheme="majorBidi" w:hAnsiTheme="majorBidi" w:cstheme="majorBidi"/>
        </w:rPr>
        <w:t xml:space="preserve"> </w:t>
      </w:r>
      <w:r w:rsidRPr="00AA309E">
        <w:rPr>
          <w:rFonts w:asciiTheme="majorBidi" w:hAnsiTheme="majorBidi" w:cstheme="majorBidi"/>
        </w:rPr>
        <w:t xml:space="preserve">is based on the review of the Initiative, the </w:t>
      </w:r>
      <w:r w:rsidRPr="00AA309E">
        <w:rPr>
          <w:rFonts w:asciiTheme="majorBidi" w:hAnsiTheme="majorBidi" w:cstheme="majorBidi"/>
          <w:i/>
        </w:rPr>
        <w:t>Status of the World’s Soil Resources</w:t>
      </w:r>
      <w:r w:rsidRPr="00AA309E">
        <w:rPr>
          <w:rFonts w:asciiTheme="majorBidi" w:hAnsiTheme="majorBidi" w:cstheme="majorBidi"/>
        </w:rPr>
        <w:t xml:space="preserve"> report</w:t>
      </w:r>
      <w:r w:rsidRPr="00610646">
        <w:rPr>
          <w:rStyle w:val="FootnoteReference"/>
        </w:rPr>
        <w:footnoteReference w:id="359"/>
      </w:r>
      <w:r w:rsidRPr="00AA309E">
        <w:rPr>
          <w:rFonts w:asciiTheme="majorBidi" w:hAnsiTheme="majorBidi" w:cstheme="majorBidi"/>
        </w:rPr>
        <w:t xml:space="preserve"> and on the findings of the report on the </w:t>
      </w:r>
      <w:r w:rsidRPr="00AA309E">
        <w:rPr>
          <w:rFonts w:asciiTheme="majorBidi" w:hAnsiTheme="majorBidi" w:cstheme="majorBidi"/>
          <w:i/>
        </w:rPr>
        <w:t>State of Knowledge on Soil Biodiversity - Status, Challenges and Potentialities</w:t>
      </w:r>
      <w:r w:rsidRPr="00AA309E">
        <w:rPr>
          <w:rFonts w:asciiTheme="majorBidi" w:hAnsiTheme="majorBidi" w:cstheme="majorBidi"/>
          <w:iCs/>
        </w:rPr>
        <w:t>,</w:t>
      </w:r>
      <w:r w:rsidRPr="00610646">
        <w:rPr>
          <w:rStyle w:val="FootnoteReference"/>
        </w:rPr>
        <w:footnoteReference w:id="360"/>
      </w:r>
      <w:r w:rsidRPr="00AA309E">
        <w:rPr>
          <w:rFonts w:asciiTheme="majorBidi" w:hAnsiTheme="majorBidi" w:cstheme="majorBidi"/>
          <w:iCs/>
        </w:rPr>
        <w:t xml:space="preserve"> </w:t>
      </w:r>
      <w:r w:rsidRPr="00AA309E">
        <w:rPr>
          <w:rFonts w:asciiTheme="majorBidi" w:hAnsiTheme="majorBidi" w:cstheme="majorBidi"/>
        </w:rPr>
        <w:t>prepared by the Food and Agriculture Organization of the United Nations (FAO) and the Intergovernmental Technical Panel on Soils.</w:t>
      </w:r>
    </w:p>
    <w:p w14:paraId="2C73F308"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bookmarkStart w:id="338" w:name="_Hlk98420956"/>
      <w:r w:rsidRPr="00AA309E">
        <w:rPr>
          <w:rFonts w:asciiTheme="majorBidi" w:hAnsiTheme="majorBidi" w:cstheme="majorBidi"/>
        </w:rPr>
        <w:t>3.</w:t>
      </w:r>
      <w:r w:rsidRPr="00AA309E">
        <w:rPr>
          <w:rFonts w:asciiTheme="majorBidi" w:hAnsiTheme="majorBidi" w:cstheme="majorBidi"/>
        </w:rPr>
        <w:tab/>
        <w:t>Improved management of soil and its biodiversity offers solutions for all sectors that rely on soils, including forestry and farming, while it can simultaneously increase carbon storage, improve water and nutrient cycling, resilience to climate change, while preventing and avoiding potential impacts arising from the implementation of soil mitigation approaches and practices on indigenous peoples and local communities</w:t>
      </w:r>
      <w:r>
        <w:rPr>
          <w:rFonts w:asciiTheme="majorBidi" w:hAnsiTheme="majorBidi" w:cstheme="majorBidi"/>
        </w:rPr>
        <w:t>,</w:t>
      </w:r>
      <w:r w:rsidRPr="00AA309E">
        <w:rPr>
          <w:rFonts w:asciiTheme="majorBidi" w:hAnsiTheme="majorBidi" w:cstheme="majorBidi"/>
        </w:rPr>
        <w:t xml:space="preserve"> including through nature-based solutions,</w:t>
      </w:r>
      <w:r w:rsidRPr="00610646">
        <w:rPr>
          <w:rStyle w:val="FootnoteReference"/>
        </w:rPr>
        <w:footnoteReference w:id="361"/>
      </w:r>
      <w:r w:rsidRPr="00AA309E">
        <w:rPr>
          <w:rFonts w:asciiTheme="majorBidi" w:hAnsiTheme="majorBidi" w:cstheme="majorBidi"/>
        </w:rPr>
        <w:t xml:space="preserve"> and/or ecosystem</w:t>
      </w:r>
      <w:r>
        <w:rPr>
          <w:rFonts w:asciiTheme="majorBidi" w:hAnsiTheme="majorBidi" w:cstheme="majorBidi"/>
        </w:rPr>
        <w:t>-based</w:t>
      </w:r>
      <w:r w:rsidRPr="00AA309E">
        <w:rPr>
          <w:rFonts w:asciiTheme="majorBidi" w:hAnsiTheme="majorBidi" w:cstheme="majorBidi"/>
        </w:rPr>
        <w:t xml:space="preserve"> approaches</w:t>
      </w:r>
      <w:r>
        <w:rPr>
          <w:rFonts w:asciiTheme="majorBidi" w:hAnsiTheme="majorBidi" w:cstheme="majorBidi"/>
        </w:rPr>
        <w:t>,</w:t>
      </w:r>
      <w:r w:rsidRPr="00AA309E">
        <w:rPr>
          <w:rFonts w:asciiTheme="majorBidi" w:hAnsiTheme="majorBidi" w:cstheme="majorBidi"/>
        </w:rPr>
        <w:t xml:space="preserve"> and mitigate pollution. Soil biodiversity depends on the type of climate, mineral soil and type of vegetation and, in turn, this biodiversity has an effect on soil. In order to maintain or restore the biodiversity of soils, it is necessary to maintain or restore their biophysical, biochemical and biological properties. Soil biodiversity and its biotic interactions are important levers to improve soil quality and function, highlighting the importance of research, monitoring and management that is geared directly at soil biodiversity, as an integrative part and key element of soil quality. Soil biodiversity is also crucial to improve not only soil health,</w:t>
      </w:r>
      <w:r w:rsidRPr="00610646">
        <w:rPr>
          <w:rStyle w:val="FootnoteReference"/>
        </w:rPr>
        <w:footnoteReference w:id="362"/>
      </w:r>
      <w:r w:rsidRPr="00AA309E">
        <w:rPr>
          <w:rFonts w:asciiTheme="majorBidi" w:hAnsiTheme="majorBidi" w:cstheme="majorBidi"/>
        </w:rPr>
        <w:t xml:space="preserve"> but also plant, animal and human health.</w:t>
      </w:r>
    </w:p>
    <w:bookmarkEnd w:id="338"/>
    <w:p w14:paraId="773F4AC0"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4.</w:t>
      </w:r>
      <w:r w:rsidRPr="00AA309E">
        <w:rPr>
          <w:rFonts w:asciiTheme="majorBidi" w:hAnsiTheme="majorBidi" w:cstheme="majorBidi"/>
        </w:rPr>
        <w:tab/>
        <w:t>However, soil is one of the world’s most vulnerable resources in the face of pollution, climate change, desertification, land degradation, drought, land-use change, unsustainable agriculture practices, biodiversity loss, increased demand for water and food production, urbanization and industrial development. Therefore, in order to safeguard soils and ecosystems, it is necessary to prevent the loss of soil and soil biodiversity from anthropogenic drivers related to climate change, such as the increase in temperature, droughts or extreme rainfall, and to land-use change.</w:t>
      </w:r>
    </w:p>
    <w:p w14:paraId="5223A794"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5.</w:t>
      </w:r>
      <w:r w:rsidRPr="00AA309E">
        <w:rPr>
          <w:rFonts w:asciiTheme="majorBidi" w:hAnsiTheme="majorBidi" w:cstheme="majorBidi"/>
        </w:rPr>
        <w:tab/>
        <w:t xml:space="preserve">The present </w:t>
      </w:r>
      <w:r>
        <w:rPr>
          <w:rFonts w:asciiTheme="majorBidi" w:hAnsiTheme="majorBidi" w:cstheme="majorBidi"/>
        </w:rPr>
        <w:t>p</w:t>
      </w:r>
      <w:r w:rsidRPr="009A67EA">
        <w:rPr>
          <w:rFonts w:asciiTheme="majorBidi" w:hAnsiTheme="majorBidi" w:cstheme="majorBidi"/>
        </w:rPr>
        <w:t xml:space="preserve">lan of </w:t>
      </w:r>
      <w:r>
        <w:rPr>
          <w:rFonts w:asciiTheme="majorBidi" w:hAnsiTheme="majorBidi" w:cstheme="majorBidi"/>
        </w:rPr>
        <w:t>a</w:t>
      </w:r>
      <w:r w:rsidRPr="009A67EA">
        <w:rPr>
          <w:rFonts w:asciiTheme="majorBidi" w:hAnsiTheme="majorBidi" w:cstheme="majorBidi"/>
        </w:rPr>
        <w:t xml:space="preserve">ction </w:t>
      </w:r>
      <w:r w:rsidRPr="00AA309E">
        <w:rPr>
          <w:rFonts w:asciiTheme="majorBidi" w:hAnsiTheme="majorBidi" w:cstheme="majorBidi"/>
        </w:rPr>
        <w:t xml:space="preserve">presents global actions to support the integration of soil biodiversity considerations into the context of the </w:t>
      </w:r>
      <w:r>
        <w:rPr>
          <w:rFonts w:asciiTheme="majorBidi" w:hAnsiTheme="majorBidi" w:cstheme="majorBidi"/>
        </w:rPr>
        <w:t>Kunming-Montreal</w:t>
      </w:r>
      <w:r w:rsidRPr="00AA309E">
        <w:rPr>
          <w:rFonts w:asciiTheme="majorBidi" w:hAnsiTheme="majorBidi" w:cstheme="majorBidi"/>
        </w:rPr>
        <w:t xml:space="preserve"> </w:t>
      </w:r>
      <w:r>
        <w:rPr>
          <w:rFonts w:asciiTheme="majorBidi" w:hAnsiTheme="majorBidi" w:cstheme="majorBidi"/>
        </w:rPr>
        <w:t>G</w:t>
      </w:r>
      <w:r w:rsidRPr="00AA309E">
        <w:rPr>
          <w:rFonts w:asciiTheme="majorBidi" w:hAnsiTheme="majorBidi" w:cstheme="majorBidi"/>
        </w:rPr>
        <w:t xml:space="preserve">lobal </w:t>
      </w:r>
      <w:r>
        <w:rPr>
          <w:rFonts w:asciiTheme="majorBidi" w:hAnsiTheme="majorBidi" w:cstheme="majorBidi"/>
        </w:rPr>
        <w:t>B</w:t>
      </w:r>
      <w:r w:rsidRPr="00AA309E">
        <w:rPr>
          <w:rFonts w:asciiTheme="majorBidi" w:hAnsiTheme="majorBidi" w:cstheme="majorBidi"/>
        </w:rPr>
        <w:t xml:space="preserve">iodiversity </w:t>
      </w:r>
      <w:r>
        <w:rPr>
          <w:rFonts w:asciiTheme="majorBidi" w:hAnsiTheme="majorBidi" w:cstheme="majorBidi"/>
        </w:rPr>
        <w:t>F</w:t>
      </w:r>
      <w:r w:rsidRPr="00AA309E">
        <w:rPr>
          <w:rFonts w:asciiTheme="majorBidi" w:hAnsiTheme="majorBidi" w:cstheme="majorBidi"/>
        </w:rPr>
        <w:t>ramework, as well as within and across productive sectors.</w:t>
      </w:r>
    </w:p>
    <w:p w14:paraId="3CE0AE1C"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6.</w:t>
      </w:r>
      <w:r w:rsidRPr="00AA309E">
        <w:rPr>
          <w:rFonts w:asciiTheme="majorBidi" w:hAnsiTheme="majorBidi" w:cstheme="majorBidi"/>
        </w:rPr>
        <w:tab/>
        <w:t xml:space="preserve">The elements of this </w:t>
      </w:r>
      <w:r>
        <w:rPr>
          <w:rFonts w:asciiTheme="majorBidi" w:hAnsiTheme="majorBidi" w:cstheme="majorBidi"/>
        </w:rPr>
        <w:t>p</w:t>
      </w:r>
      <w:r w:rsidRPr="009A67EA">
        <w:rPr>
          <w:rFonts w:asciiTheme="majorBidi" w:hAnsiTheme="majorBidi" w:cstheme="majorBidi"/>
        </w:rPr>
        <w:t xml:space="preserve">lan of </w:t>
      </w:r>
      <w:r>
        <w:rPr>
          <w:rFonts w:asciiTheme="majorBidi" w:hAnsiTheme="majorBidi" w:cstheme="majorBidi"/>
        </w:rPr>
        <w:t>a</w:t>
      </w:r>
      <w:r w:rsidRPr="009A67EA">
        <w:rPr>
          <w:rFonts w:asciiTheme="majorBidi" w:hAnsiTheme="majorBidi" w:cstheme="majorBidi"/>
        </w:rPr>
        <w:t xml:space="preserve">ction </w:t>
      </w:r>
      <w:r w:rsidRPr="00AA309E">
        <w:rPr>
          <w:rFonts w:asciiTheme="majorBidi" w:hAnsiTheme="majorBidi" w:cstheme="majorBidi"/>
        </w:rPr>
        <w:t>recognize the need to mainstream soil biodiversity across sectors and the need for integrated approaches to better address the complex interactions that come into play as the conservation and sustainable use of soil biodiversity usually involve economic, environmental, cultural and social factors. The importance of implementation at the field level with due consideration of gender roles, local context and specificities is another element reflected in the plan, while awareness</w:t>
      </w:r>
      <w:r w:rsidRPr="00AA309E">
        <w:rPr>
          <w:rFonts w:asciiTheme="majorBidi" w:hAnsiTheme="majorBidi" w:cstheme="majorBidi"/>
        </w:rPr>
        <w:noBreakHyphen/>
        <w:t>raising, sharing of knowledge, capacity-building and research remain key to ensuring a better understanding of the role of soil biodiversity for sustainability.</w:t>
      </w:r>
    </w:p>
    <w:p w14:paraId="12843DBE" w14:textId="1B650BF3"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7.</w:t>
      </w:r>
      <w:r w:rsidRPr="00AA309E">
        <w:rPr>
          <w:rFonts w:asciiTheme="majorBidi" w:hAnsiTheme="majorBidi" w:cstheme="majorBidi"/>
        </w:rPr>
        <w:tab/>
        <w:t xml:space="preserve">The present plan of action has been prepared jointly by FAO, the Secretariat of the Global Soil Partnership (GSP) and the Secretariat of the Convention on Biological Diversity, in consultation with other partners and relevant experts, pursuant to decision </w:t>
      </w:r>
      <w:hyperlink r:id="rId60" w:history="1">
        <w:r w:rsidRPr="00AA309E">
          <w:rPr>
            <w:rStyle w:val="Hyperlink"/>
            <w:rFonts w:asciiTheme="majorBidi" w:hAnsiTheme="majorBidi" w:cstheme="majorBidi"/>
            <w:sz w:val="22"/>
          </w:rPr>
          <w:t>14/30</w:t>
        </w:r>
      </w:hyperlink>
      <w:r w:rsidRPr="00AA309E">
        <w:rPr>
          <w:rFonts w:asciiTheme="majorBidi" w:hAnsiTheme="majorBidi" w:cstheme="majorBidi"/>
        </w:rPr>
        <w:t>.</w:t>
      </w:r>
    </w:p>
    <w:p w14:paraId="76416621" w14:textId="77777777" w:rsidR="007A11A6" w:rsidRPr="00AA309E" w:rsidRDefault="007A11A6" w:rsidP="000F1DC0">
      <w:pPr>
        <w:pStyle w:val="Heading1-compilation"/>
        <w:tabs>
          <w:tab w:val="clear" w:pos="284"/>
        </w:tabs>
        <w:rPr>
          <w:szCs w:val="22"/>
        </w:rPr>
      </w:pPr>
      <w:bookmarkStart w:id="339" w:name="_Toc118354932"/>
      <w:bookmarkStart w:id="340" w:name="_Toc150670311"/>
      <w:bookmarkStart w:id="341" w:name="_Toc150670528"/>
      <w:bookmarkStart w:id="342" w:name="_Toc150670638"/>
      <w:r w:rsidRPr="00AA309E">
        <w:rPr>
          <w:szCs w:val="22"/>
        </w:rPr>
        <w:t>II.</w:t>
      </w:r>
      <w:r w:rsidRPr="00AA309E">
        <w:rPr>
          <w:szCs w:val="22"/>
        </w:rPr>
        <w:tab/>
        <w:t>PURPOSE AND OBJECTIVES</w:t>
      </w:r>
      <w:bookmarkEnd w:id="339"/>
      <w:bookmarkEnd w:id="340"/>
      <w:bookmarkEnd w:id="341"/>
      <w:bookmarkEnd w:id="342"/>
    </w:p>
    <w:p w14:paraId="45F80476"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8.</w:t>
      </w:r>
      <w:r w:rsidRPr="00AA309E">
        <w:rPr>
          <w:rFonts w:asciiTheme="majorBidi" w:hAnsiTheme="majorBidi" w:cstheme="majorBidi"/>
        </w:rPr>
        <w:tab/>
        <w:t xml:space="preserve">The </w:t>
      </w:r>
      <w:r w:rsidRPr="00AA309E">
        <w:rPr>
          <w:rFonts w:asciiTheme="majorBidi" w:hAnsiTheme="majorBidi" w:cstheme="majorBidi"/>
          <w:i/>
        </w:rPr>
        <w:t>Status of the World’s Soil Resources</w:t>
      </w:r>
      <w:r w:rsidRPr="00AA309E">
        <w:rPr>
          <w:rFonts w:asciiTheme="majorBidi" w:hAnsiTheme="majorBidi" w:cstheme="majorBidi"/>
        </w:rPr>
        <w:t xml:space="preserve"> report identified 10 threats critical to soil functions. The loss of soil biodiversity was identified as one of these threats, and a respective call for action was strongly recommended. The Voluntary Guidelines for Sustainable Soil Management</w:t>
      </w:r>
      <w:bookmarkStart w:id="343" w:name="_Ref74415104"/>
      <w:r w:rsidRPr="00610646">
        <w:rPr>
          <w:rStyle w:val="FootnoteReference"/>
        </w:rPr>
        <w:footnoteReference w:id="363"/>
      </w:r>
      <w:bookmarkEnd w:id="343"/>
      <w:r w:rsidRPr="00AA309E">
        <w:rPr>
          <w:rFonts w:asciiTheme="majorBidi" w:hAnsiTheme="majorBidi" w:cstheme="majorBidi"/>
        </w:rPr>
        <w:t xml:space="preserve"> provide a framework for reverting it through a number of policies, research and field actions.</w:t>
      </w:r>
    </w:p>
    <w:p w14:paraId="56D0021A"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9.</w:t>
      </w:r>
      <w:r w:rsidRPr="00AA309E">
        <w:rPr>
          <w:rFonts w:asciiTheme="majorBidi" w:hAnsiTheme="majorBidi" w:cstheme="majorBidi"/>
        </w:rPr>
        <w:tab/>
        <w:t xml:space="preserve">The </w:t>
      </w:r>
      <w:r w:rsidRPr="00AA309E">
        <w:rPr>
          <w:rFonts w:asciiTheme="majorBidi" w:hAnsiTheme="majorBidi" w:cstheme="majorBidi"/>
          <w:i/>
        </w:rPr>
        <w:t xml:space="preserve">purpose </w:t>
      </w:r>
      <w:r w:rsidRPr="00AA309E">
        <w:rPr>
          <w:rFonts w:asciiTheme="majorBidi" w:hAnsiTheme="majorBidi" w:cstheme="majorBidi"/>
        </w:rPr>
        <w:t>of this plan of action is to provide ways to encourage conservation, restoration and sustainable use of soil biodiversity and to support Parties, other Governments, subnational and local governments, indigenous peoples and local communities, women and youth, relevant organizations and initiatives, in accelerating and upscaling efforts towards the conservation, restoration and sustainable use of soil biodiversity, and towards the assessment and monitoring at the corresponding level of soil organisms to promote their conservation, sustainable use and/or restoration, and to respond to challenges that threaten soil biodiversity.</w:t>
      </w:r>
    </w:p>
    <w:p w14:paraId="04ED741E"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10.</w:t>
      </w:r>
      <w:r w:rsidRPr="00AA309E">
        <w:rPr>
          <w:rFonts w:asciiTheme="majorBidi" w:hAnsiTheme="majorBidi" w:cstheme="majorBidi"/>
        </w:rPr>
        <w:tab/>
        <w:t xml:space="preserve">The </w:t>
      </w:r>
      <w:r w:rsidRPr="00AA309E">
        <w:rPr>
          <w:rFonts w:asciiTheme="majorBidi" w:hAnsiTheme="majorBidi" w:cstheme="majorBidi"/>
          <w:i/>
        </w:rPr>
        <w:t>overall objective</w:t>
      </w:r>
      <w:r w:rsidRPr="00AA309E">
        <w:rPr>
          <w:rFonts w:asciiTheme="majorBidi" w:hAnsiTheme="majorBidi" w:cstheme="majorBidi"/>
        </w:rPr>
        <w:t xml:space="preserve"> of this plan of action is to mainstream soil biodiversity science, knowledge, and understanding into public policies, at all levels, and to foster coordinated action to invest in soil biodiversity assessments at the global level to safeguard and promote the conservation, restoration and sustainable use of soil biodiversity and its ecosystem functions and services, which are essential for sustaining life on Earth, while acknowledging that economic, environmental, cultural and social factors contribute to sustainable soil management, and to promote investment in soil biodiversity research, monitoring and assessment at the corresponding level. Achieving this objective will ensure that soil biodiversity recovers and continues to provide a full range of functions. It will also formally promote sustainable soil management practices, including artisanal forms of food production, which can enhance soil biodiversity while maintaining the productivity of managed ecosystems.</w:t>
      </w:r>
    </w:p>
    <w:p w14:paraId="248C601E"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11.</w:t>
      </w:r>
      <w:r w:rsidRPr="00AA309E">
        <w:rPr>
          <w:rFonts w:asciiTheme="majorBidi" w:hAnsiTheme="majorBidi" w:cstheme="majorBidi"/>
        </w:rPr>
        <w:tab/>
        <w:t xml:space="preserve">The </w:t>
      </w:r>
      <w:r w:rsidRPr="00AA309E">
        <w:rPr>
          <w:rFonts w:asciiTheme="majorBidi" w:hAnsiTheme="majorBidi" w:cstheme="majorBidi"/>
          <w:i/>
        </w:rPr>
        <w:t>specific</w:t>
      </w:r>
      <w:r w:rsidRPr="00AA309E">
        <w:rPr>
          <w:rFonts w:asciiTheme="majorBidi" w:hAnsiTheme="majorBidi" w:cstheme="majorBidi"/>
        </w:rPr>
        <w:t xml:space="preserve"> </w:t>
      </w:r>
      <w:r w:rsidRPr="00AA309E">
        <w:rPr>
          <w:rFonts w:asciiTheme="majorBidi" w:hAnsiTheme="majorBidi" w:cstheme="majorBidi"/>
          <w:i/>
        </w:rPr>
        <w:t>objectives</w:t>
      </w:r>
      <w:r w:rsidRPr="00AA309E">
        <w:rPr>
          <w:rFonts w:asciiTheme="majorBidi" w:hAnsiTheme="majorBidi" w:cstheme="majorBidi"/>
        </w:rPr>
        <w:t xml:space="preserve"> of this plan of action are to help Parties, other Governments, indigenous peoples and local communities, women and youth, and other stakeholders, in accordance with national priorities and circumstances, consistent with the Convention and other applicable international obligations, as well as relevant organizations and initiatives, with the following:</w:t>
      </w:r>
    </w:p>
    <w:p w14:paraId="385021BC" w14:textId="77777777" w:rsidR="007A11A6" w:rsidRPr="00AA309E" w:rsidRDefault="007A11A6" w:rsidP="008B2808">
      <w:pPr>
        <w:pStyle w:val="Para1"/>
        <w:numPr>
          <w:ilvl w:val="0"/>
          <w:numId w:val="0"/>
        </w:numPr>
        <w:suppressLineNumbers/>
        <w:suppressAutoHyphens/>
        <w:kinsoku w:val="0"/>
        <w:adjustRightInd w:val="0"/>
        <w:ind w:firstLine="720"/>
        <w:rPr>
          <w:rFonts w:asciiTheme="majorBidi" w:hAnsiTheme="majorBidi" w:cstheme="majorBidi"/>
        </w:rPr>
      </w:pPr>
      <w:r w:rsidRPr="00AA309E">
        <w:rPr>
          <w:rFonts w:asciiTheme="majorBidi" w:hAnsiTheme="majorBidi" w:cstheme="majorBidi"/>
        </w:rPr>
        <w:t>(a)</w:t>
      </w:r>
      <w:r w:rsidRPr="00AA309E">
        <w:rPr>
          <w:rFonts w:asciiTheme="majorBidi" w:hAnsiTheme="majorBidi" w:cstheme="majorBidi"/>
        </w:rPr>
        <w:tab/>
        <w:t>Implementing coherent and comprehensive policies for the conservation, restoration and sustainable use of soil biodiversity at the local, subnational, national, regional and global levels, considering the different economic, environmental, cultural and social factors of all relevant productive sectors and their soil management practices, and mainstreaming their integration into relevant sectoral and cross-sectoral plans, programmes and strategies;</w:t>
      </w:r>
    </w:p>
    <w:p w14:paraId="752B0408" w14:textId="77777777" w:rsidR="007A11A6" w:rsidRPr="00AA309E" w:rsidRDefault="007A11A6" w:rsidP="008B2808">
      <w:pPr>
        <w:pStyle w:val="Para1"/>
        <w:numPr>
          <w:ilvl w:val="0"/>
          <w:numId w:val="0"/>
        </w:numPr>
        <w:suppressLineNumbers/>
        <w:suppressAutoHyphens/>
        <w:kinsoku w:val="0"/>
        <w:adjustRightInd w:val="0"/>
        <w:ind w:firstLine="720"/>
        <w:rPr>
          <w:rFonts w:asciiTheme="majorBidi" w:hAnsiTheme="majorBidi" w:cstheme="majorBidi"/>
        </w:rPr>
      </w:pPr>
      <w:r w:rsidRPr="00AA309E">
        <w:rPr>
          <w:rFonts w:asciiTheme="majorBidi" w:hAnsiTheme="majorBidi" w:cstheme="majorBidi"/>
        </w:rPr>
        <w:t>(b)</w:t>
      </w:r>
      <w:r w:rsidRPr="00AA309E">
        <w:rPr>
          <w:rFonts w:asciiTheme="majorBidi" w:hAnsiTheme="majorBidi" w:cstheme="majorBidi"/>
        </w:rPr>
        <w:tab/>
        <w:t>Encouraging the use of sustainable soil management practices and existing tools, sustainable traditional practices, guidance and frameworks to maintain and restore soil biodiversity and to encourage the transfer of knowledge and enable women, particularly rural women, indigenous peoples and local communities and all stakeholders to harness the benefits of soil biodiversity for their livelihoods, taking into account national circumstances;</w:t>
      </w:r>
    </w:p>
    <w:p w14:paraId="0E46A5D7" w14:textId="77777777" w:rsidR="007A11A6" w:rsidRPr="00AA309E" w:rsidRDefault="007A11A6" w:rsidP="008B2808">
      <w:pPr>
        <w:pStyle w:val="Para1"/>
        <w:numPr>
          <w:ilvl w:val="0"/>
          <w:numId w:val="0"/>
        </w:numPr>
        <w:suppressLineNumbers/>
        <w:suppressAutoHyphens/>
        <w:kinsoku w:val="0"/>
        <w:adjustRightInd w:val="0"/>
        <w:ind w:firstLine="720"/>
        <w:rPr>
          <w:rFonts w:asciiTheme="majorBidi" w:hAnsiTheme="majorBidi" w:cstheme="majorBidi"/>
        </w:rPr>
      </w:pPr>
      <w:r w:rsidRPr="00AA309E">
        <w:rPr>
          <w:rFonts w:asciiTheme="majorBidi" w:hAnsiTheme="majorBidi" w:cstheme="majorBidi"/>
        </w:rPr>
        <w:t>(c)</w:t>
      </w:r>
      <w:r w:rsidRPr="00AA309E">
        <w:rPr>
          <w:rFonts w:asciiTheme="majorBidi" w:hAnsiTheme="majorBidi" w:cstheme="majorBidi"/>
        </w:rPr>
        <w:tab/>
        <w:t>Promoting education, awareness-raising and developing capacities in the public and private sectors on the multiple benefits and application of soil biodiversity, sharing knowledge and improving the tools for decision-making, fostering engagement through collaboration, intergenerational transmission of traditional knowledge of indigenous peoples and local communities and partnerships, and providing practical and feasible actions to avoid, reduce or reverse soil biodiversity loss;</w:t>
      </w:r>
    </w:p>
    <w:p w14:paraId="4754D131" w14:textId="77777777" w:rsidR="007A11A6" w:rsidRPr="00AA309E" w:rsidRDefault="007A11A6" w:rsidP="008B2808">
      <w:pPr>
        <w:pStyle w:val="Para1"/>
        <w:numPr>
          <w:ilvl w:val="0"/>
          <w:numId w:val="0"/>
        </w:numPr>
        <w:suppressLineNumbers/>
        <w:suppressAutoHyphens/>
        <w:kinsoku w:val="0"/>
        <w:adjustRightInd w:val="0"/>
        <w:ind w:firstLine="720"/>
        <w:rPr>
          <w:rFonts w:asciiTheme="majorBidi" w:hAnsiTheme="majorBidi" w:cstheme="majorBidi"/>
        </w:rPr>
      </w:pPr>
      <w:r w:rsidRPr="00AA309E">
        <w:rPr>
          <w:rFonts w:asciiTheme="majorBidi" w:hAnsiTheme="majorBidi" w:cstheme="majorBidi"/>
        </w:rPr>
        <w:t>(d)</w:t>
      </w:r>
      <w:r w:rsidRPr="00AA309E">
        <w:rPr>
          <w:rFonts w:asciiTheme="majorBidi" w:hAnsiTheme="majorBidi" w:cstheme="majorBidi"/>
        </w:rPr>
        <w:tab/>
        <w:t>Developing voluntary standard protocols to assess the status and trends of soil biodiversity, as well as monitor activities, in accordance with national legislation, to address gaps in knowledge and foster relevant research, and to enable compilation of large data sets to support research and monitoring activities;</w:t>
      </w:r>
    </w:p>
    <w:p w14:paraId="1BEA2576" w14:textId="77777777" w:rsidR="007A11A6" w:rsidRPr="00AA309E" w:rsidRDefault="007A11A6" w:rsidP="008B2808">
      <w:pPr>
        <w:pStyle w:val="Para1"/>
        <w:numPr>
          <w:ilvl w:val="0"/>
          <w:numId w:val="0"/>
        </w:numPr>
        <w:suppressLineNumbers/>
        <w:suppressAutoHyphens/>
        <w:kinsoku w:val="0"/>
        <w:adjustRightInd w:val="0"/>
        <w:ind w:firstLine="720"/>
        <w:rPr>
          <w:rFonts w:asciiTheme="majorBidi" w:hAnsiTheme="majorBidi" w:cstheme="majorBidi"/>
        </w:rPr>
      </w:pPr>
      <w:r w:rsidRPr="00AA309E">
        <w:rPr>
          <w:rFonts w:asciiTheme="majorBidi" w:hAnsiTheme="majorBidi" w:cstheme="majorBidi"/>
        </w:rPr>
        <w:t xml:space="preserve">(e)  </w:t>
      </w:r>
      <w:r w:rsidRPr="00AA309E">
        <w:rPr>
          <w:rFonts w:asciiTheme="majorBidi" w:hAnsiTheme="majorBidi" w:cstheme="majorBidi"/>
        </w:rPr>
        <w:tab/>
        <w:t>Recognizing and supporting the role, and land and resource rights of indigenous peoples and local communities, in accordance with national legislation and international instruments, as well as the role of women, smallholders and small-scale food producers, particularly family farmers, in maintaining biodiversity through sustainable agricultural practices.</w:t>
      </w:r>
    </w:p>
    <w:p w14:paraId="00ABDF7C"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12.</w:t>
      </w:r>
      <w:r w:rsidRPr="00AA309E">
        <w:rPr>
          <w:rFonts w:asciiTheme="majorBidi" w:hAnsiTheme="majorBidi" w:cstheme="majorBidi"/>
        </w:rPr>
        <w:tab/>
        <w:t xml:space="preserve">The plan of action seeks to contribute to the achievement of the Sustainable Development Goals, in particular Goals 2, 3, 6, 13, 14 and 15, the </w:t>
      </w:r>
      <w:r>
        <w:t>Kunming-Montreal</w:t>
      </w:r>
      <w:r w:rsidRPr="008845E8">
        <w:t xml:space="preserve"> </w:t>
      </w:r>
      <w:r>
        <w:t>G</w:t>
      </w:r>
      <w:r w:rsidRPr="008845E8">
        <w:t xml:space="preserve">lobal </w:t>
      </w:r>
      <w:r>
        <w:t>B</w:t>
      </w:r>
      <w:r w:rsidRPr="008845E8">
        <w:t xml:space="preserve">iodiversity </w:t>
      </w:r>
      <w:r>
        <w:t>F</w:t>
      </w:r>
      <w:r w:rsidRPr="008845E8">
        <w:t>ramework</w:t>
      </w:r>
      <w:r w:rsidRPr="00AA309E">
        <w:rPr>
          <w:rFonts w:asciiTheme="majorBidi" w:hAnsiTheme="majorBidi" w:cstheme="majorBidi"/>
        </w:rPr>
        <w:t xml:space="preserve">, the 2050 </w:t>
      </w:r>
      <w:r>
        <w:rPr>
          <w:rFonts w:asciiTheme="majorBidi" w:hAnsiTheme="majorBidi" w:cstheme="majorBidi"/>
        </w:rPr>
        <w:t>v</w:t>
      </w:r>
      <w:r w:rsidRPr="00AA309E">
        <w:rPr>
          <w:rFonts w:asciiTheme="majorBidi" w:hAnsiTheme="majorBidi" w:cstheme="majorBidi"/>
        </w:rPr>
        <w:t>ision, the FAO Strategy on Mainstreaming Biodiversity across Agricultural Sectors,</w:t>
      </w:r>
      <w:r w:rsidRPr="00610646">
        <w:rPr>
          <w:rStyle w:val="FootnoteReference"/>
        </w:rPr>
        <w:footnoteReference w:id="364"/>
      </w:r>
      <w:r w:rsidRPr="00AA309E">
        <w:rPr>
          <w:rFonts w:asciiTheme="majorBidi" w:hAnsiTheme="majorBidi" w:cstheme="majorBidi"/>
        </w:rPr>
        <w:t xml:space="preserve"> the 2018</w:t>
      </w:r>
      <w:r>
        <w:t>–</w:t>
      </w:r>
      <w:r w:rsidRPr="00AA309E">
        <w:rPr>
          <w:rFonts w:asciiTheme="majorBidi" w:hAnsiTheme="majorBidi" w:cstheme="majorBidi"/>
        </w:rPr>
        <w:t>2030 Strategic Framework under the United Nations Convention to Combat Desertification (UNCCD)</w:t>
      </w:r>
      <w:r w:rsidRPr="00610646">
        <w:rPr>
          <w:rStyle w:val="FootnoteReference"/>
        </w:rPr>
        <w:footnoteReference w:id="365"/>
      </w:r>
      <w:r w:rsidRPr="00AA309E">
        <w:rPr>
          <w:rFonts w:asciiTheme="majorBidi" w:hAnsiTheme="majorBidi" w:cstheme="majorBidi"/>
        </w:rPr>
        <w:t xml:space="preserve"> and the objectives, commitments and initiatives under other conventions and multilateral environmental agreements, including the three Rio conventions, the Basel Convention on the Control of Transboundary Movements of Hazardous Wastes and their Disposal,</w:t>
      </w:r>
      <w:r w:rsidRPr="00610646">
        <w:rPr>
          <w:rStyle w:val="FootnoteReference"/>
        </w:rPr>
        <w:footnoteReference w:id="366"/>
      </w:r>
      <w:r w:rsidRPr="00AA309E">
        <w:rPr>
          <w:rFonts w:asciiTheme="majorBidi" w:hAnsiTheme="majorBidi" w:cstheme="majorBidi"/>
        </w:rPr>
        <w:t xml:space="preserve"> the Rotterdam Convention on the Prior Informed Consent Procedure for Certain Hazardous Chemicals and Pesticides in International Trade</w:t>
      </w:r>
      <w:r w:rsidRPr="00610646">
        <w:rPr>
          <w:rStyle w:val="FootnoteReference"/>
        </w:rPr>
        <w:footnoteReference w:id="367"/>
      </w:r>
      <w:r w:rsidRPr="00AA309E">
        <w:rPr>
          <w:rFonts w:asciiTheme="majorBidi" w:hAnsiTheme="majorBidi" w:cstheme="majorBidi"/>
        </w:rPr>
        <w:t xml:space="preserve"> and the Stockholm Convention on Persistent Organic Pollutants,</w:t>
      </w:r>
      <w:r w:rsidRPr="00610646">
        <w:rPr>
          <w:rStyle w:val="FootnoteReference"/>
        </w:rPr>
        <w:footnoteReference w:id="368"/>
      </w:r>
      <w:r w:rsidRPr="00AA309E">
        <w:rPr>
          <w:rFonts w:asciiTheme="majorBidi" w:hAnsiTheme="majorBidi" w:cstheme="majorBidi"/>
        </w:rPr>
        <w:t xml:space="preserve"> and the Minamata Convention on Mercury.</w:t>
      </w:r>
    </w:p>
    <w:p w14:paraId="5CA953B0" w14:textId="77777777" w:rsidR="007A11A6" w:rsidRPr="00AA309E" w:rsidRDefault="007A11A6" w:rsidP="000F1DC0">
      <w:pPr>
        <w:pStyle w:val="Heading1-compilation"/>
        <w:tabs>
          <w:tab w:val="clear" w:pos="284"/>
        </w:tabs>
        <w:rPr>
          <w:szCs w:val="22"/>
        </w:rPr>
      </w:pPr>
      <w:bookmarkStart w:id="344" w:name="_Toc118354933"/>
      <w:bookmarkStart w:id="345" w:name="_Toc150670312"/>
      <w:bookmarkStart w:id="346" w:name="_Toc150670529"/>
      <w:bookmarkStart w:id="347" w:name="_Toc150670639"/>
      <w:r w:rsidRPr="00AA309E">
        <w:rPr>
          <w:szCs w:val="22"/>
        </w:rPr>
        <w:t>III.</w:t>
      </w:r>
      <w:r w:rsidRPr="00AA309E">
        <w:rPr>
          <w:szCs w:val="22"/>
        </w:rPr>
        <w:tab/>
        <w:t>SCOPE AND PRINCIPLES</w:t>
      </w:r>
      <w:bookmarkEnd w:id="344"/>
      <w:bookmarkEnd w:id="345"/>
      <w:bookmarkEnd w:id="346"/>
      <w:bookmarkEnd w:id="347"/>
    </w:p>
    <w:p w14:paraId="66FC7741"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13.</w:t>
      </w:r>
      <w:r w:rsidRPr="00AA309E">
        <w:rPr>
          <w:rFonts w:asciiTheme="majorBidi" w:hAnsiTheme="majorBidi" w:cstheme="majorBidi"/>
        </w:rPr>
        <w:tab/>
        <w:t xml:space="preserve">The </w:t>
      </w:r>
      <w:r w:rsidRPr="00AA309E">
        <w:rPr>
          <w:rFonts w:asciiTheme="majorBidi" w:hAnsiTheme="majorBidi" w:cstheme="majorBidi"/>
          <w:i/>
        </w:rPr>
        <w:t>scope</w:t>
      </w:r>
      <w:r w:rsidRPr="00AA309E">
        <w:rPr>
          <w:rFonts w:asciiTheme="majorBidi" w:hAnsiTheme="majorBidi" w:cstheme="majorBidi"/>
        </w:rPr>
        <w:t xml:space="preserve"> of this updated plan of action focusses on soils across agricultural, other productive landscapes and other relevant ecosystems. It is wide and far-reaching and context-dependent to ensure that it responds to specific situations and farmer typologies and that it prioritizes actions on the basis of country goals and the needs of direct beneficiaries.</w:t>
      </w:r>
    </w:p>
    <w:p w14:paraId="7E77E8A1"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14.</w:t>
      </w:r>
      <w:r w:rsidRPr="00AA309E">
        <w:rPr>
          <w:rFonts w:asciiTheme="majorBidi" w:hAnsiTheme="majorBidi" w:cstheme="majorBidi"/>
        </w:rPr>
        <w:tab/>
        <w:t xml:space="preserve">The </w:t>
      </w:r>
      <w:r>
        <w:rPr>
          <w:rFonts w:asciiTheme="majorBidi" w:hAnsiTheme="majorBidi" w:cstheme="majorBidi"/>
        </w:rPr>
        <w:t xml:space="preserve">International </w:t>
      </w:r>
      <w:r w:rsidRPr="00AA309E">
        <w:rPr>
          <w:rFonts w:asciiTheme="majorBidi" w:hAnsiTheme="majorBidi" w:cstheme="majorBidi"/>
        </w:rPr>
        <w:t xml:space="preserve">Initiative </w:t>
      </w:r>
      <w:r w:rsidRPr="00CD79D0">
        <w:rPr>
          <w:rFonts w:asciiTheme="majorBidi" w:hAnsiTheme="majorBidi" w:cstheme="majorBidi"/>
        </w:rPr>
        <w:t>for the</w:t>
      </w:r>
      <w:r>
        <w:rPr>
          <w:rFonts w:asciiTheme="majorBidi" w:hAnsiTheme="majorBidi" w:cstheme="majorBidi"/>
        </w:rPr>
        <w:t xml:space="preserve"> Conservation and Sustainable Use of Soil Biodiversity </w:t>
      </w:r>
      <w:r w:rsidRPr="00AA309E">
        <w:rPr>
          <w:rFonts w:asciiTheme="majorBidi" w:hAnsiTheme="majorBidi" w:cstheme="majorBidi"/>
        </w:rPr>
        <w:t xml:space="preserve">continues to be implemented as a cross-cutting initiative by Parties to the Convention, the Secretariat, FAO and its Global Soil Partnership in partnership with the work of the Intergovernmental Technical Panel on Soils, the Global Soil Biodiversity Initiative, the Science-Policy Interface </w:t>
      </w:r>
      <w:r>
        <w:rPr>
          <w:rFonts w:asciiTheme="majorBidi" w:hAnsiTheme="majorBidi" w:cstheme="majorBidi"/>
        </w:rPr>
        <w:t>under</w:t>
      </w:r>
      <w:r w:rsidRPr="00AA309E">
        <w:rPr>
          <w:rFonts w:asciiTheme="majorBidi" w:hAnsiTheme="majorBidi" w:cstheme="majorBidi"/>
        </w:rPr>
        <w:t xml:space="preserve"> </w:t>
      </w:r>
      <w:r>
        <w:rPr>
          <w:rFonts w:asciiTheme="majorBidi" w:hAnsiTheme="majorBidi" w:cstheme="majorBidi"/>
        </w:rPr>
        <w:t>UNCCD</w:t>
      </w:r>
      <w:r w:rsidRPr="00AA309E">
        <w:rPr>
          <w:rFonts w:asciiTheme="majorBidi" w:hAnsiTheme="majorBidi" w:cstheme="majorBidi"/>
        </w:rPr>
        <w:t>, education, academic and research bodies, donor agencies and the private sector, as well as relevant organizations, farmers, land owners and land managers, indigenous peoples and local communities, women, youth, subnational governments and civil society.</w:t>
      </w:r>
    </w:p>
    <w:p w14:paraId="59245788"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15.</w:t>
      </w:r>
      <w:r w:rsidRPr="00AA309E">
        <w:rPr>
          <w:rFonts w:asciiTheme="majorBidi" w:hAnsiTheme="majorBidi" w:cstheme="majorBidi"/>
        </w:rPr>
        <w:tab/>
        <w:t xml:space="preserve">When linked to the </w:t>
      </w:r>
      <w:r>
        <w:t>Kunming-Montreal</w:t>
      </w:r>
      <w:r w:rsidRPr="008845E8">
        <w:t xml:space="preserve"> </w:t>
      </w:r>
      <w:r>
        <w:t>G</w:t>
      </w:r>
      <w:r w:rsidRPr="008845E8">
        <w:t xml:space="preserve">lobal </w:t>
      </w:r>
      <w:r>
        <w:t>B</w:t>
      </w:r>
      <w:r w:rsidRPr="008845E8">
        <w:t xml:space="preserve">iodiversity </w:t>
      </w:r>
      <w:r>
        <w:t>F</w:t>
      </w:r>
      <w:r w:rsidRPr="008845E8">
        <w:t>ramework</w:t>
      </w:r>
      <w:r w:rsidRPr="00AA309E">
        <w:rPr>
          <w:rFonts w:asciiTheme="majorBidi" w:hAnsiTheme="majorBidi" w:cstheme="majorBidi"/>
        </w:rPr>
        <w:t>, the United Nations Decade on Ecosystem Restoration,</w:t>
      </w:r>
      <w:r w:rsidRPr="00610646">
        <w:rPr>
          <w:rStyle w:val="FootnoteReference"/>
        </w:rPr>
        <w:footnoteReference w:id="369"/>
      </w:r>
      <w:r w:rsidRPr="00AA309E">
        <w:rPr>
          <w:rFonts w:asciiTheme="majorBidi" w:hAnsiTheme="majorBidi" w:cstheme="majorBidi"/>
        </w:rPr>
        <w:t xml:space="preserve"> the United Nations Decade of Family Farming 2019</w:t>
      </w:r>
      <w:r>
        <w:t>–</w:t>
      </w:r>
      <w:r w:rsidRPr="00AA309E">
        <w:rPr>
          <w:rFonts w:asciiTheme="majorBidi" w:hAnsiTheme="majorBidi" w:cstheme="majorBidi"/>
        </w:rPr>
        <w:t>2028, the 2030 Agenda for Sustainable Development and its Sustainable Development Goals,</w:t>
      </w:r>
      <w:r w:rsidRPr="00610646">
        <w:rPr>
          <w:rStyle w:val="FootnoteReference"/>
        </w:rPr>
        <w:footnoteReference w:id="370"/>
      </w:r>
      <w:r w:rsidRPr="00AA309E">
        <w:rPr>
          <w:rFonts w:asciiTheme="majorBidi" w:hAnsiTheme="majorBidi" w:cstheme="majorBidi"/>
        </w:rPr>
        <w:t xml:space="preserve"> the United Nations Framework Convention on Climate Change and the Paris Agreement</w:t>
      </w:r>
      <w:r>
        <w:rPr>
          <w:rFonts w:asciiTheme="majorBidi" w:hAnsiTheme="majorBidi" w:cstheme="majorBidi"/>
        </w:rPr>
        <w:t>,</w:t>
      </w:r>
      <w:r w:rsidRPr="00610646">
        <w:rPr>
          <w:rStyle w:val="FootnoteReference"/>
        </w:rPr>
        <w:footnoteReference w:id="371"/>
      </w:r>
      <w:r w:rsidRPr="00AA309E">
        <w:rPr>
          <w:rFonts w:asciiTheme="majorBidi" w:hAnsiTheme="majorBidi" w:cstheme="majorBidi"/>
        </w:rPr>
        <w:t xml:space="preserve"> and United Nations Convention to Combat Desertification and land degradation neutrality targets, the scope of this plan of action can achieve multiple co-benefits of soil biodiversity processes for improved and more sustainable land-use practices.</w:t>
      </w:r>
    </w:p>
    <w:p w14:paraId="623EDDBD"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16.</w:t>
      </w:r>
      <w:r w:rsidRPr="00AA309E">
        <w:rPr>
          <w:rFonts w:asciiTheme="majorBidi" w:hAnsiTheme="majorBidi" w:cstheme="majorBidi"/>
        </w:rPr>
        <w:tab/>
        <w:t xml:space="preserve">The plan of action adheres to the </w:t>
      </w:r>
      <w:r w:rsidRPr="00AA309E">
        <w:rPr>
          <w:rFonts w:asciiTheme="majorBidi" w:hAnsiTheme="majorBidi" w:cstheme="majorBidi"/>
          <w:i/>
        </w:rPr>
        <w:t>principles</w:t>
      </w:r>
      <w:r w:rsidRPr="00AA309E">
        <w:rPr>
          <w:rFonts w:asciiTheme="majorBidi" w:hAnsiTheme="majorBidi" w:cstheme="majorBidi"/>
        </w:rPr>
        <w:t xml:space="preserve"> of the ecosystem approach,</w:t>
      </w:r>
      <w:r w:rsidRPr="00610646">
        <w:rPr>
          <w:rStyle w:val="FootnoteReference"/>
        </w:rPr>
        <w:footnoteReference w:id="372"/>
      </w:r>
      <w:r w:rsidRPr="00AA309E">
        <w:rPr>
          <w:rFonts w:asciiTheme="majorBidi" w:hAnsiTheme="majorBidi" w:cstheme="majorBidi"/>
        </w:rPr>
        <w:t xml:space="preserve"> which is aimed at providing better biological, physical, economic and human interactions associated with sustainable and productive ecosystems.</w:t>
      </w:r>
    </w:p>
    <w:p w14:paraId="20CD73A1" w14:textId="77777777" w:rsidR="007A11A6" w:rsidRPr="00AA309E" w:rsidRDefault="007A11A6" w:rsidP="008B2808">
      <w:pPr>
        <w:pStyle w:val="Para1"/>
        <w:numPr>
          <w:ilvl w:val="0"/>
          <w:numId w:val="0"/>
        </w:numPr>
        <w:rPr>
          <w:rFonts w:asciiTheme="majorBidi" w:hAnsiTheme="majorBidi" w:cstheme="majorBidi"/>
        </w:rPr>
      </w:pPr>
      <w:r w:rsidRPr="00AA309E">
        <w:rPr>
          <w:rFonts w:asciiTheme="majorBidi" w:hAnsiTheme="majorBidi" w:cstheme="majorBidi"/>
        </w:rPr>
        <w:t>17.</w:t>
      </w:r>
      <w:r w:rsidRPr="00AA309E">
        <w:rPr>
          <w:rFonts w:asciiTheme="majorBidi" w:hAnsiTheme="majorBidi" w:cstheme="majorBidi"/>
        </w:rPr>
        <w:tab/>
        <w:t>The plan of action focuses on the improvement of livelihoods, on the implementation of integrated and holistic solutions adapted to national and subnational contexts and in developing synergies for better soil biodiversity research, monitoring and assessment at the corresponding level while ensuring multi-stakeholder participation.</w:t>
      </w:r>
    </w:p>
    <w:p w14:paraId="04D9A469" w14:textId="77777777" w:rsidR="007A11A6" w:rsidRPr="00AA309E" w:rsidRDefault="007A11A6" w:rsidP="008B2808">
      <w:pPr>
        <w:pStyle w:val="Para1"/>
        <w:numPr>
          <w:ilvl w:val="0"/>
          <w:numId w:val="0"/>
        </w:numPr>
        <w:rPr>
          <w:rFonts w:asciiTheme="majorBidi" w:hAnsiTheme="majorBidi" w:cstheme="majorBidi"/>
        </w:rPr>
      </w:pPr>
      <w:r w:rsidRPr="00AA309E">
        <w:rPr>
          <w:rFonts w:asciiTheme="majorBidi" w:hAnsiTheme="majorBidi" w:cstheme="majorBidi"/>
        </w:rPr>
        <w:t>18.</w:t>
      </w:r>
      <w:r w:rsidRPr="00AA309E">
        <w:rPr>
          <w:rFonts w:asciiTheme="majorBidi" w:hAnsiTheme="majorBidi" w:cstheme="majorBidi"/>
        </w:rPr>
        <w:tab/>
        <w:t>The plan of action recognizes the role of farmers, smallholders, small-scale food producers, family farmers, peasants, landowners, land managers, foresters, ranchers, indigenous peoples, local communities, women, youth, education, academia and research bodies, civil society, subnational governments, the private sector, and other relevant stakeholders in the conservation, restoration and sustainable use of soil biodiversity and for the implementation of the plan.</w:t>
      </w:r>
    </w:p>
    <w:p w14:paraId="2C84F71C" w14:textId="77777777" w:rsidR="007A11A6" w:rsidRPr="00AA309E" w:rsidRDefault="007A11A6" w:rsidP="008B2808">
      <w:pPr>
        <w:pStyle w:val="Para1"/>
        <w:numPr>
          <w:ilvl w:val="0"/>
          <w:numId w:val="0"/>
        </w:numPr>
        <w:suppressLineNumbers/>
        <w:suppressAutoHyphens/>
        <w:kinsoku w:val="0"/>
        <w:rPr>
          <w:rFonts w:asciiTheme="majorBidi" w:hAnsiTheme="majorBidi" w:cstheme="majorBidi"/>
        </w:rPr>
      </w:pPr>
      <w:r w:rsidRPr="00AA309E">
        <w:rPr>
          <w:rFonts w:asciiTheme="majorBidi" w:hAnsiTheme="majorBidi" w:cstheme="majorBidi"/>
        </w:rPr>
        <w:t>19.</w:t>
      </w:r>
      <w:r w:rsidRPr="00AA309E">
        <w:rPr>
          <w:rFonts w:asciiTheme="majorBidi" w:hAnsiTheme="majorBidi" w:cstheme="majorBidi"/>
        </w:rPr>
        <w:tab/>
        <w:t>FAO is invited to facilitate the implementation of the plan of action, and it is intended to align activities on soil biodiversity more closely with other FAO-related activities including the International Network on Soil Biodiversity and the Global Soil Biodiversity Observatory, to monitor and forecast the conditions of soil biodiversity and soil health as well as with regional and country offices in order to create synergies and provide broader support. The full implementation of the plan of action</w:t>
      </w:r>
      <w:r w:rsidRPr="00AA309E" w:rsidDel="001F1B97">
        <w:rPr>
          <w:rFonts w:asciiTheme="majorBidi" w:hAnsiTheme="majorBidi" w:cstheme="majorBidi"/>
        </w:rPr>
        <w:t xml:space="preserve"> </w:t>
      </w:r>
      <w:r w:rsidRPr="00AA309E">
        <w:rPr>
          <w:rFonts w:asciiTheme="majorBidi" w:hAnsiTheme="majorBidi" w:cstheme="majorBidi"/>
        </w:rPr>
        <w:t>at the national and subnational levels will depend on the availability of resources.</w:t>
      </w:r>
    </w:p>
    <w:p w14:paraId="0408B209" w14:textId="77777777" w:rsidR="007A11A6" w:rsidRPr="00AA309E" w:rsidRDefault="007A11A6" w:rsidP="008F2719">
      <w:pPr>
        <w:pStyle w:val="Heading1-compilation"/>
        <w:tabs>
          <w:tab w:val="clear" w:pos="284"/>
        </w:tabs>
        <w:rPr>
          <w:szCs w:val="22"/>
        </w:rPr>
      </w:pPr>
      <w:bookmarkStart w:id="348" w:name="_Toc118354934"/>
      <w:bookmarkStart w:id="349" w:name="_Toc150670313"/>
      <w:bookmarkStart w:id="350" w:name="_Toc150670530"/>
      <w:bookmarkStart w:id="351" w:name="_Toc150670640"/>
      <w:r w:rsidRPr="00AA309E">
        <w:rPr>
          <w:szCs w:val="22"/>
        </w:rPr>
        <w:t>IV.</w:t>
      </w:r>
      <w:r w:rsidRPr="00AA309E">
        <w:rPr>
          <w:szCs w:val="22"/>
        </w:rPr>
        <w:tab/>
        <w:t>GLOBAL ACTIONS</w:t>
      </w:r>
      <w:bookmarkEnd w:id="348"/>
      <w:bookmarkEnd w:id="349"/>
      <w:bookmarkEnd w:id="350"/>
      <w:bookmarkEnd w:id="351"/>
    </w:p>
    <w:p w14:paraId="5CA2B3F9"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20.</w:t>
      </w:r>
      <w:r w:rsidRPr="00AA309E">
        <w:rPr>
          <w:rFonts w:asciiTheme="majorBidi" w:hAnsiTheme="majorBidi" w:cstheme="majorBidi"/>
        </w:rPr>
        <w:tab/>
        <w:t>To support the implementation of coherent and comprehensive policies for the conservation, restoration and sustainable use of soil biodiversity at all levels, the following global actions have been identified and can be considered, as appropriate and on a voluntary basis, by Parties and other Governments, in collaboration with relevant organizations:</w:t>
      </w:r>
    </w:p>
    <w:p w14:paraId="68DF33D7"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(a)</w:t>
      </w:r>
      <w:r w:rsidRPr="00AA309E">
        <w:rPr>
          <w:rFonts w:asciiTheme="majorBidi" w:hAnsiTheme="majorBidi" w:cstheme="majorBidi"/>
        </w:rPr>
        <w:tab/>
        <w:t>Develop protocols, adopt harmonized methods and use tools to collect and digitize soil biodiversity data and to improve mapping capabilities of Parties, acknowledging the differences in soil types across regions;</w:t>
      </w:r>
    </w:p>
    <w:p w14:paraId="55D4BDE2"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(b)</w:t>
      </w:r>
      <w:r w:rsidRPr="00AA309E">
        <w:rPr>
          <w:rFonts w:asciiTheme="majorBidi" w:hAnsiTheme="majorBidi" w:cstheme="majorBidi"/>
        </w:rPr>
        <w:tab/>
        <w:t>Include soil biodiversity as an important component of soil description surveys using a large range of tools, including state-of-the-art methods and technology, and the development of bioindicators;</w:t>
      </w:r>
    </w:p>
    <w:p w14:paraId="5D856DD4"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(c)</w:t>
      </w:r>
      <w:r w:rsidRPr="00AA309E">
        <w:rPr>
          <w:rFonts w:asciiTheme="majorBidi" w:hAnsiTheme="majorBidi" w:cstheme="majorBidi"/>
        </w:rPr>
        <w:tab/>
        <w:t>Establish or strengthen, as appropriate, a monitoring network to assess and keep track of the abundance and diversity of multiple soil taxa or units and of the changes in soil biodiversity and its functioning, in accordance with national legislation;</w:t>
      </w:r>
    </w:p>
    <w:p w14:paraId="62D338FA"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(d)</w:t>
      </w:r>
      <w:r w:rsidRPr="00AA309E">
        <w:rPr>
          <w:rFonts w:asciiTheme="majorBidi" w:hAnsiTheme="majorBidi" w:cstheme="majorBidi"/>
        </w:rPr>
        <w:tab/>
        <w:t>Develop or identify and implement feasible indicators of soil biodiversity that are related to key ecosystem functions and services;</w:t>
      </w:r>
      <w:r w:rsidRPr="00AA309E" w:rsidDel="0096234E">
        <w:rPr>
          <w:rFonts w:asciiTheme="majorBidi" w:hAnsiTheme="majorBidi" w:cstheme="majorBidi"/>
        </w:rPr>
        <w:t xml:space="preserve"> </w:t>
      </w:r>
    </w:p>
    <w:p w14:paraId="5C3DBC4A"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(e)</w:t>
      </w:r>
      <w:r w:rsidRPr="00AA309E">
        <w:rPr>
          <w:rFonts w:asciiTheme="majorBidi" w:hAnsiTheme="majorBidi" w:cstheme="majorBidi"/>
        </w:rPr>
        <w:tab/>
        <w:t>Strengthen education, research and capacity-building to use tools to monitor soil microbiodiversity and contribute to human, plant and soil health;</w:t>
      </w:r>
    </w:p>
    <w:p w14:paraId="476D4B2F"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(f)</w:t>
      </w:r>
      <w:r w:rsidRPr="00AA309E">
        <w:rPr>
          <w:rFonts w:asciiTheme="majorBidi" w:hAnsiTheme="majorBidi" w:cstheme="majorBidi"/>
        </w:rPr>
        <w:tab/>
        <w:t xml:space="preserve">Promote ecosystem-based approaches to conserve, restore and sustainably manage soil biodiversity in response to numerous challenges, such as loss of soil organic carbon and the need for sustainable management of soil in the context of climate change, soil degradation, the control, prevention and suppression of soil-borne diseases, enhancement of soil nutrients, food security and food safety, reducing water scarcity and disaster risk; </w:t>
      </w:r>
    </w:p>
    <w:p w14:paraId="46EA1DEB"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(g)</w:t>
      </w:r>
      <w:r w:rsidRPr="00AA309E">
        <w:rPr>
          <w:rFonts w:asciiTheme="majorBidi" w:hAnsiTheme="majorBidi" w:cstheme="majorBidi"/>
        </w:rPr>
        <w:tab/>
        <w:t>Engage with the United Nations Decade on Ecosystem Restoration to pursue restoration of degraded soils and their multifunctionality, including the utilization of restored areas and degraded agricultural areas for food production and avoiding expansion to natural areas where feasible;</w:t>
      </w:r>
    </w:p>
    <w:p w14:paraId="1E8AA407"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(h)</w:t>
      </w:r>
      <w:r w:rsidRPr="00AA309E">
        <w:rPr>
          <w:rFonts w:asciiTheme="majorBidi" w:hAnsiTheme="majorBidi" w:cstheme="majorBidi"/>
        </w:rPr>
        <w:tab/>
        <w:t xml:space="preserve">Encourage civil society groups, research bodies, subnational governments, cities and other local authorities, traditional authorities from indigenous peoples and local communities, to become involved in the implementation of the </w:t>
      </w:r>
      <w:r>
        <w:rPr>
          <w:rFonts w:asciiTheme="majorBidi" w:hAnsiTheme="majorBidi" w:cstheme="majorBidi"/>
        </w:rPr>
        <w:t>p</w:t>
      </w:r>
      <w:r w:rsidRPr="00B45543">
        <w:rPr>
          <w:rFonts w:asciiTheme="majorBidi" w:hAnsiTheme="majorBidi" w:cstheme="majorBidi"/>
        </w:rPr>
        <w:t xml:space="preserve">lan of </w:t>
      </w:r>
      <w:r>
        <w:rPr>
          <w:rFonts w:asciiTheme="majorBidi" w:hAnsiTheme="majorBidi" w:cstheme="majorBidi"/>
        </w:rPr>
        <w:t>a</w:t>
      </w:r>
      <w:r w:rsidRPr="00B45543">
        <w:rPr>
          <w:rFonts w:asciiTheme="majorBidi" w:hAnsiTheme="majorBidi" w:cstheme="majorBidi"/>
        </w:rPr>
        <w:t>ction</w:t>
      </w:r>
      <w:r w:rsidRPr="00AA309E">
        <w:rPr>
          <w:rFonts w:asciiTheme="majorBidi" w:hAnsiTheme="majorBidi" w:cstheme="majorBidi"/>
        </w:rPr>
        <w:t>;</w:t>
      </w:r>
    </w:p>
    <w:p w14:paraId="47C36A59"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(i)</w:t>
      </w:r>
      <w:r w:rsidRPr="00AA309E">
        <w:rPr>
          <w:rFonts w:asciiTheme="majorBidi" w:hAnsiTheme="majorBidi" w:cstheme="majorBidi"/>
        </w:rPr>
        <w:tab/>
        <w:t>Encourage awareness-raising on the importance of soil biodiversity and its functions and services through subnational, national, regional and global platforms, such as FAO and GSP, which provide existing channels to be leveraged;</w:t>
      </w:r>
    </w:p>
    <w:p w14:paraId="2ED3AEF3"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(j)</w:t>
      </w:r>
      <w:r w:rsidRPr="00AA309E">
        <w:rPr>
          <w:rFonts w:asciiTheme="majorBidi" w:hAnsiTheme="majorBidi" w:cstheme="majorBidi"/>
        </w:rPr>
        <w:tab/>
        <w:t>Promote both in-situ and ex-situ conservation, restoration and sustainable use activities and management practices while strengthening the systems of knowledge of indigenous peoples and local communities;</w:t>
      </w:r>
    </w:p>
    <w:p w14:paraId="09EB7939" w14:textId="77777777" w:rsidR="007A11A6" w:rsidRPr="00AA309E" w:rsidRDefault="007A11A6" w:rsidP="008B2808">
      <w:pPr>
        <w:pStyle w:val="Para1"/>
        <w:numPr>
          <w:ilvl w:val="0"/>
          <w:numId w:val="0"/>
        </w:numPr>
        <w:suppressLineNumbers/>
        <w:tabs>
          <w:tab w:val="left" w:pos="1440"/>
        </w:tabs>
        <w:suppressAutoHyphens/>
        <w:kinsoku w:val="0"/>
        <w:adjustRightInd w:val="0"/>
        <w:ind w:firstLine="720"/>
        <w:rPr>
          <w:rFonts w:asciiTheme="majorBidi" w:hAnsiTheme="majorBidi" w:cstheme="majorBidi"/>
        </w:rPr>
      </w:pPr>
      <w:r w:rsidRPr="00AA309E">
        <w:rPr>
          <w:rFonts w:asciiTheme="majorBidi" w:hAnsiTheme="majorBidi" w:cstheme="majorBidi"/>
        </w:rPr>
        <w:t>(k)</w:t>
      </w:r>
      <w:r w:rsidRPr="00AA309E">
        <w:rPr>
          <w:rFonts w:asciiTheme="majorBidi" w:hAnsiTheme="majorBidi" w:cstheme="majorBidi"/>
        </w:rPr>
        <w:tab/>
        <w:t>Identify the cumulative impacts of multiple sectors on the quality of soil biodiversity;</w:t>
      </w:r>
    </w:p>
    <w:p w14:paraId="29962420" w14:textId="77777777" w:rsidR="007A11A6" w:rsidRPr="00AA309E" w:rsidRDefault="007A11A6" w:rsidP="008B2808">
      <w:pPr>
        <w:pStyle w:val="Para1"/>
        <w:numPr>
          <w:ilvl w:val="0"/>
          <w:numId w:val="0"/>
        </w:numPr>
        <w:suppressLineNumbers/>
        <w:suppressAutoHyphens/>
        <w:kinsoku w:val="0"/>
        <w:adjustRightInd w:val="0"/>
        <w:ind w:firstLine="709"/>
        <w:rPr>
          <w:rFonts w:asciiTheme="majorBidi" w:hAnsiTheme="majorBidi" w:cstheme="majorBidi"/>
        </w:rPr>
      </w:pPr>
      <w:r w:rsidRPr="00AA309E">
        <w:rPr>
          <w:rFonts w:asciiTheme="majorBidi" w:hAnsiTheme="majorBidi" w:cstheme="majorBidi"/>
        </w:rPr>
        <w:t xml:space="preserve">(l) </w:t>
      </w:r>
      <w:r w:rsidRPr="00AA309E">
        <w:rPr>
          <w:rFonts w:asciiTheme="majorBidi" w:hAnsiTheme="majorBidi" w:cstheme="majorBidi"/>
        </w:rPr>
        <w:tab/>
        <w:t>Promote good agricultural practices, including integrated pest management in order to prevent and address possible negative impacts of fertilizers and pesticides on soil biodiversity, based on risk assessment approaches and scientific evidence;</w:t>
      </w:r>
    </w:p>
    <w:p w14:paraId="7FF49DBD" w14:textId="77777777" w:rsidR="007A11A6" w:rsidRPr="00AA309E" w:rsidRDefault="007A11A6" w:rsidP="008B2808">
      <w:pPr>
        <w:pStyle w:val="Para1"/>
        <w:numPr>
          <w:ilvl w:val="0"/>
          <w:numId w:val="0"/>
        </w:numPr>
        <w:suppressLineNumbers/>
        <w:suppressAutoHyphens/>
        <w:kinsoku w:val="0"/>
        <w:adjustRightInd w:val="0"/>
        <w:ind w:left="720"/>
        <w:rPr>
          <w:rFonts w:asciiTheme="majorBidi" w:hAnsiTheme="majorBidi" w:cstheme="majorBidi"/>
        </w:rPr>
      </w:pPr>
      <w:r w:rsidRPr="00AA309E">
        <w:rPr>
          <w:rFonts w:asciiTheme="majorBidi" w:hAnsiTheme="majorBidi" w:cstheme="majorBidi"/>
        </w:rPr>
        <w:t>(m)</w:t>
      </w:r>
      <w:r w:rsidRPr="00AA309E">
        <w:rPr>
          <w:rFonts w:asciiTheme="majorBidi" w:hAnsiTheme="majorBidi" w:cstheme="majorBidi"/>
        </w:rPr>
        <w:tab/>
        <w:t xml:space="preserve"> Identify sources of financial resources for the implementation of the action plan.</w:t>
      </w:r>
    </w:p>
    <w:p w14:paraId="66544BC0" w14:textId="77777777" w:rsidR="007A11A6" w:rsidRPr="00AA309E" w:rsidRDefault="007A11A6" w:rsidP="008F2719">
      <w:pPr>
        <w:pStyle w:val="Heading1-compilation"/>
        <w:tabs>
          <w:tab w:val="clear" w:pos="284"/>
        </w:tabs>
        <w:rPr>
          <w:szCs w:val="22"/>
        </w:rPr>
      </w:pPr>
      <w:bookmarkStart w:id="352" w:name="_Toc118354935"/>
      <w:bookmarkStart w:id="353" w:name="_Toc150670314"/>
      <w:bookmarkStart w:id="354" w:name="_Toc150670531"/>
      <w:bookmarkStart w:id="355" w:name="_Toc150670641"/>
      <w:r w:rsidRPr="00AA309E">
        <w:rPr>
          <w:szCs w:val="22"/>
        </w:rPr>
        <w:t>V.</w:t>
      </w:r>
      <w:r w:rsidRPr="00AA309E">
        <w:rPr>
          <w:szCs w:val="22"/>
        </w:rPr>
        <w:tab/>
        <w:t>KEY ELEMENTS AND ACTIVITIES</w:t>
      </w:r>
      <w:bookmarkEnd w:id="352"/>
      <w:bookmarkEnd w:id="353"/>
      <w:bookmarkEnd w:id="354"/>
      <w:bookmarkEnd w:id="355"/>
    </w:p>
    <w:p w14:paraId="4AEAFAC3" w14:textId="77777777" w:rsidR="007A11A6" w:rsidRPr="00AA309E" w:rsidRDefault="007A11A6" w:rsidP="008B2808">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21.</w:t>
      </w:r>
      <w:r w:rsidRPr="00AA309E">
        <w:rPr>
          <w:rFonts w:asciiTheme="majorBidi" w:hAnsiTheme="majorBidi" w:cstheme="majorBidi"/>
        </w:rPr>
        <w:tab/>
        <w:t xml:space="preserve">The </w:t>
      </w:r>
      <w:r>
        <w:rPr>
          <w:rFonts w:asciiTheme="majorBidi" w:hAnsiTheme="majorBidi" w:cstheme="majorBidi"/>
        </w:rPr>
        <w:t>p</w:t>
      </w:r>
      <w:r w:rsidRPr="00FD1CED">
        <w:rPr>
          <w:rFonts w:asciiTheme="majorBidi" w:hAnsiTheme="majorBidi" w:cstheme="majorBidi"/>
        </w:rPr>
        <w:t xml:space="preserve">lan of </w:t>
      </w:r>
      <w:r>
        <w:rPr>
          <w:rFonts w:asciiTheme="majorBidi" w:hAnsiTheme="majorBidi" w:cstheme="majorBidi"/>
        </w:rPr>
        <w:t>a</w:t>
      </w:r>
      <w:r w:rsidRPr="00FD1CED">
        <w:rPr>
          <w:rFonts w:asciiTheme="majorBidi" w:hAnsiTheme="majorBidi" w:cstheme="majorBidi"/>
        </w:rPr>
        <w:t xml:space="preserve">ction </w:t>
      </w:r>
      <w:r w:rsidRPr="00AA309E">
        <w:rPr>
          <w:rFonts w:asciiTheme="majorBidi" w:hAnsiTheme="majorBidi" w:cstheme="majorBidi"/>
        </w:rPr>
        <w:t>comprises four main elements that could be undertaken, as appropriate, by Parties and other Governments, in collaboration with relevant organizations:</w:t>
      </w:r>
    </w:p>
    <w:p w14:paraId="33A2E7E7" w14:textId="77777777" w:rsidR="007A11A6" w:rsidRPr="00AA309E" w:rsidRDefault="007A11A6" w:rsidP="008B2808">
      <w:pPr>
        <w:pStyle w:val="Para1"/>
        <w:numPr>
          <w:ilvl w:val="0"/>
          <w:numId w:val="0"/>
        </w:numPr>
        <w:suppressLineNumbers/>
        <w:suppressAutoHyphens/>
        <w:kinsoku w:val="0"/>
        <w:adjustRightInd w:val="0"/>
        <w:ind w:firstLine="720"/>
        <w:rPr>
          <w:rFonts w:asciiTheme="majorBidi" w:hAnsiTheme="majorBidi" w:cstheme="majorBidi"/>
        </w:rPr>
      </w:pPr>
      <w:r w:rsidRPr="00AA309E">
        <w:rPr>
          <w:rFonts w:asciiTheme="majorBidi" w:hAnsiTheme="majorBidi" w:cstheme="majorBidi"/>
        </w:rPr>
        <w:t>(a)</w:t>
      </w:r>
      <w:r w:rsidRPr="00AA309E">
        <w:rPr>
          <w:rFonts w:asciiTheme="majorBidi" w:hAnsiTheme="majorBidi" w:cstheme="majorBidi"/>
        </w:rPr>
        <w:tab/>
        <w:t>Policy coherence and mainstreaming;</w:t>
      </w:r>
    </w:p>
    <w:p w14:paraId="0BA75353" w14:textId="77777777" w:rsidR="007A11A6" w:rsidRPr="00AA309E" w:rsidRDefault="007A11A6" w:rsidP="008B2808">
      <w:pPr>
        <w:pStyle w:val="Para1"/>
        <w:numPr>
          <w:ilvl w:val="0"/>
          <w:numId w:val="0"/>
        </w:numPr>
        <w:suppressLineNumbers/>
        <w:suppressAutoHyphens/>
        <w:kinsoku w:val="0"/>
        <w:adjustRightInd w:val="0"/>
        <w:ind w:firstLine="720"/>
        <w:rPr>
          <w:rFonts w:asciiTheme="majorBidi" w:hAnsiTheme="majorBidi" w:cstheme="majorBidi"/>
        </w:rPr>
      </w:pPr>
      <w:r w:rsidRPr="00AA309E">
        <w:rPr>
          <w:rFonts w:asciiTheme="majorBidi" w:hAnsiTheme="majorBidi" w:cstheme="majorBidi"/>
        </w:rPr>
        <w:t>(b)</w:t>
      </w:r>
      <w:r w:rsidRPr="00AA309E">
        <w:rPr>
          <w:rFonts w:asciiTheme="majorBidi" w:hAnsiTheme="majorBidi" w:cstheme="majorBidi"/>
        </w:rPr>
        <w:tab/>
        <w:t>Encouraging the use of sustainable soil management practices;</w:t>
      </w:r>
    </w:p>
    <w:p w14:paraId="2D3458CA" w14:textId="77777777" w:rsidR="007A11A6" w:rsidRPr="00AA309E" w:rsidRDefault="007A11A6" w:rsidP="008B2808">
      <w:pPr>
        <w:pStyle w:val="Para1"/>
        <w:numPr>
          <w:ilvl w:val="0"/>
          <w:numId w:val="0"/>
        </w:numPr>
        <w:suppressLineNumbers/>
        <w:suppressAutoHyphens/>
        <w:kinsoku w:val="0"/>
        <w:adjustRightInd w:val="0"/>
        <w:ind w:firstLine="720"/>
        <w:rPr>
          <w:rFonts w:asciiTheme="majorBidi" w:hAnsiTheme="majorBidi" w:cstheme="majorBidi"/>
          <w:bCs/>
        </w:rPr>
      </w:pPr>
      <w:r w:rsidRPr="00AA309E">
        <w:rPr>
          <w:rFonts w:asciiTheme="majorBidi" w:hAnsiTheme="majorBidi" w:cstheme="majorBidi"/>
          <w:bCs/>
        </w:rPr>
        <w:t>(c)</w:t>
      </w:r>
      <w:r w:rsidRPr="00AA309E">
        <w:rPr>
          <w:rFonts w:asciiTheme="majorBidi" w:hAnsiTheme="majorBidi" w:cstheme="majorBidi"/>
          <w:bCs/>
        </w:rPr>
        <w:tab/>
      </w:r>
      <w:r w:rsidRPr="00AA309E">
        <w:rPr>
          <w:rFonts w:asciiTheme="majorBidi" w:hAnsiTheme="majorBidi" w:cstheme="majorBidi"/>
        </w:rPr>
        <w:t>Awareness-raising, sharing of knowledge, technology transfer and capacity-building and development;</w:t>
      </w:r>
    </w:p>
    <w:p w14:paraId="4C3F1BB8" w14:textId="77777777" w:rsidR="007A11A6" w:rsidRPr="00AA309E" w:rsidRDefault="007A11A6" w:rsidP="008B2808">
      <w:pPr>
        <w:pStyle w:val="Para1"/>
        <w:numPr>
          <w:ilvl w:val="0"/>
          <w:numId w:val="0"/>
        </w:numPr>
        <w:suppressLineNumbers/>
        <w:suppressAutoHyphens/>
        <w:kinsoku w:val="0"/>
        <w:adjustRightInd w:val="0"/>
        <w:ind w:firstLine="720"/>
        <w:rPr>
          <w:rFonts w:asciiTheme="majorBidi" w:hAnsiTheme="majorBidi" w:cstheme="majorBidi"/>
          <w:bCs/>
        </w:rPr>
      </w:pPr>
      <w:r w:rsidRPr="00AA309E">
        <w:rPr>
          <w:rFonts w:asciiTheme="majorBidi" w:hAnsiTheme="majorBidi" w:cstheme="majorBidi"/>
          <w:bCs/>
        </w:rPr>
        <w:t>(d)</w:t>
      </w:r>
      <w:r w:rsidRPr="00AA309E">
        <w:rPr>
          <w:rFonts w:asciiTheme="majorBidi" w:hAnsiTheme="majorBidi" w:cstheme="majorBidi"/>
          <w:bCs/>
        </w:rPr>
        <w:tab/>
        <w:t>Research, monitoring and assessment.</w:t>
      </w:r>
    </w:p>
    <w:p w14:paraId="2C172F9F"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i/>
          <w:snapToGrid w:val="0"/>
          <w:kern w:val="22"/>
          <w:szCs w:val="22"/>
        </w:rPr>
      </w:pPr>
      <w:r w:rsidRPr="00AA309E">
        <w:rPr>
          <w:rFonts w:asciiTheme="majorBidi" w:hAnsiTheme="majorBidi" w:cstheme="majorBidi"/>
          <w:b/>
          <w:snapToGrid w:val="0"/>
          <w:kern w:val="22"/>
          <w:szCs w:val="22"/>
        </w:rPr>
        <w:t>Element 1: Policy coherence and mainstreaming</w:t>
      </w:r>
    </w:p>
    <w:p w14:paraId="108AAF12"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rPr>
      </w:pPr>
      <w:r w:rsidRPr="00AA309E">
        <w:rPr>
          <w:rFonts w:asciiTheme="majorBidi" w:hAnsiTheme="majorBidi" w:cstheme="majorBidi"/>
          <w:i/>
          <w:snapToGrid w:val="0"/>
          <w:kern w:val="22"/>
          <w:szCs w:val="22"/>
        </w:rPr>
        <w:t>Rationale</w:t>
      </w:r>
    </w:p>
    <w:p w14:paraId="336B03E1"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snapToGrid w:val="0"/>
          <w:kern w:val="22"/>
          <w:szCs w:val="22"/>
        </w:rPr>
      </w:pPr>
      <w:r w:rsidRPr="00AA309E">
        <w:rPr>
          <w:rFonts w:asciiTheme="majorBidi" w:hAnsiTheme="majorBidi" w:cstheme="majorBidi"/>
          <w:snapToGrid w:val="0"/>
          <w:kern w:val="22"/>
          <w:szCs w:val="22"/>
        </w:rPr>
        <w:t>Soil loss and soil biodiversity loss is a cross-cutting issue, and policies should be designed to integrate considerations not only into the context of sustainable agriculture and sustainable forest management, but also within other sectors, especially infrastructure, mining, energy, transport and spatial planning. Appropriate and coherent national and subnational policies are needed to provide an effective and enabling environment to support activities by farmers, with emphasis on small-holders, small-scale food producers, family farmers, women farmers, peasants, and land managers, foresters, indigenous peoples and local communities, youth and all relevant stakeholders. Inclusive policies that take soil biodiversity into consideration and promote its conservation, restoration and sustainable use can provide multiple benefits by linking agriculture, food production, forestry, marine, water, air, human health, culture, spiritual and environmental policies.</w:t>
      </w:r>
    </w:p>
    <w:p w14:paraId="2B80AD60"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rPr>
      </w:pPr>
      <w:r w:rsidRPr="00AA309E">
        <w:rPr>
          <w:rFonts w:asciiTheme="majorBidi" w:hAnsiTheme="majorBidi" w:cstheme="majorBidi"/>
          <w:i/>
          <w:snapToGrid w:val="0"/>
          <w:kern w:val="22"/>
          <w:szCs w:val="22"/>
        </w:rPr>
        <w:t>Activities</w:t>
      </w:r>
    </w:p>
    <w:p w14:paraId="0287FF2A"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 xml:space="preserve">1.1 </w:t>
      </w:r>
      <w:r w:rsidRPr="00AA309E">
        <w:rPr>
          <w:rFonts w:asciiTheme="majorBidi" w:hAnsiTheme="majorBidi" w:cstheme="majorBidi"/>
          <w:bCs/>
          <w:snapToGrid w:val="0"/>
          <w:kern w:val="22"/>
          <w:szCs w:val="22"/>
        </w:rPr>
        <w:t>Promote the importance of mainstreaming soil biodiversity,</w:t>
      </w:r>
      <w:r w:rsidRPr="00AA309E">
        <w:rPr>
          <w:rFonts w:asciiTheme="majorBidi" w:hAnsiTheme="majorBidi" w:cstheme="majorBidi"/>
          <w:b/>
          <w:snapToGrid w:val="0"/>
          <w:kern w:val="22"/>
          <w:szCs w:val="22"/>
        </w:rPr>
        <w:t xml:space="preserve"> </w:t>
      </w:r>
      <w:r w:rsidRPr="00AA309E">
        <w:rPr>
          <w:rFonts w:asciiTheme="majorBidi" w:hAnsiTheme="majorBidi" w:cstheme="majorBidi"/>
          <w:bCs/>
          <w:snapToGrid w:val="0"/>
          <w:kern w:val="22"/>
          <w:szCs w:val="22"/>
        </w:rPr>
        <w:t>including the conservation, restoration, sustainable use and management of soil biodiversity into policies aimed at the sustainability of agriculture, and other relevant sectors and sup</w:t>
      </w:r>
      <w:r w:rsidRPr="00AA309E">
        <w:rPr>
          <w:rFonts w:asciiTheme="majorBidi" w:hAnsiTheme="majorBidi" w:cstheme="majorBidi"/>
          <w:snapToGrid w:val="0"/>
          <w:kern w:val="22"/>
          <w:szCs w:val="22"/>
        </w:rPr>
        <w:t>port the development and implementation of coherent and comprehensive policies for the conservation, sustainable use and restoration of soil biodiversity at the local, subnational, national, regional and global levels;</w:t>
      </w:r>
    </w:p>
    <w:p w14:paraId="3654A615"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 xml:space="preserve">1.2 </w:t>
      </w:r>
      <w:r w:rsidRPr="00AA309E">
        <w:rPr>
          <w:rFonts w:asciiTheme="majorBidi" w:hAnsiTheme="majorBidi" w:cstheme="majorBidi"/>
          <w:snapToGrid w:val="0"/>
          <w:kern w:val="22"/>
          <w:szCs w:val="22"/>
        </w:rPr>
        <w:t xml:space="preserve">Foster activities to safeguard and promote the importance as well as the practical application of soil biodiversity, and integrate them into broader policy agendas for food security, ecosystem and landscape restoration, climate change adaptation and mitigation, urban planning and sustainable development, including the </w:t>
      </w:r>
      <w:r>
        <w:rPr>
          <w:kern w:val="22"/>
          <w:szCs w:val="22"/>
        </w:rPr>
        <w:t>Kunming-Montreal</w:t>
      </w:r>
      <w:r w:rsidRPr="008845E8">
        <w:rPr>
          <w:kern w:val="22"/>
          <w:szCs w:val="22"/>
        </w:rPr>
        <w:t xml:space="preserve"> </w:t>
      </w:r>
      <w:r>
        <w:rPr>
          <w:kern w:val="22"/>
          <w:szCs w:val="22"/>
        </w:rPr>
        <w:t>G</w:t>
      </w:r>
      <w:r w:rsidRPr="008845E8">
        <w:rPr>
          <w:kern w:val="22"/>
          <w:szCs w:val="22"/>
        </w:rPr>
        <w:t xml:space="preserve">lobal </w:t>
      </w:r>
      <w:r>
        <w:rPr>
          <w:kern w:val="22"/>
          <w:szCs w:val="22"/>
        </w:rPr>
        <w:t>B</w:t>
      </w:r>
      <w:r w:rsidRPr="008845E8">
        <w:rPr>
          <w:kern w:val="22"/>
          <w:szCs w:val="22"/>
        </w:rPr>
        <w:t xml:space="preserve">iodiversity </w:t>
      </w:r>
      <w:r>
        <w:rPr>
          <w:kern w:val="22"/>
          <w:szCs w:val="22"/>
        </w:rPr>
        <w:t>F</w:t>
      </w:r>
      <w:r w:rsidRPr="008845E8">
        <w:rPr>
          <w:kern w:val="22"/>
          <w:szCs w:val="22"/>
        </w:rPr>
        <w:t>ramework</w:t>
      </w:r>
      <w:r w:rsidRPr="00AA309E">
        <w:rPr>
          <w:rFonts w:asciiTheme="majorBidi" w:hAnsiTheme="majorBidi" w:cstheme="majorBidi"/>
          <w:snapToGrid w:val="0"/>
          <w:kern w:val="22"/>
          <w:szCs w:val="22"/>
        </w:rPr>
        <w:t>, UNCCD 2018</w:t>
      </w:r>
      <w:r>
        <w:rPr>
          <w:kern w:val="22"/>
          <w:szCs w:val="22"/>
        </w:rPr>
        <w:t>–</w:t>
      </w:r>
      <w:r w:rsidRPr="00AA309E">
        <w:rPr>
          <w:rFonts w:asciiTheme="majorBidi" w:hAnsiTheme="majorBidi" w:cstheme="majorBidi"/>
          <w:snapToGrid w:val="0"/>
          <w:kern w:val="22"/>
          <w:szCs w:val="22"/>
        </w:rPr>
        <w:t>2030 Strategic Framework and the Sustainable Development Goals;</w:t>
      </w:r>
    </w:p>
    <w:p w14:paraId="68743378"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1.3</w:t>
      </w:r>
      <w:r w:rsidRPr="00AA309E">
        <w:rPr>
          <w:rFonts w:asciiTheme="majorBidi" w:hAnsiTheme="majorBidi" w:cstheme="majorBidi"/>
          <w:snapToGrid w:val="0"/>
          <w:kern w:val="22"/>
          <w:szCs w:val="22"/>
        </w:rPr>
        <w:t xml:space="preserve"> Promote the implementation of good practices of sustainable soil management</w:t>
      </w:r>
      <w:bookmarkStart w:id="356" w:name="_Ref125013023"/>
      <w:r w:rsidRPr="00610646">
        <w:rPr>
          <w:rStyle w:val="FootnoteReference"/>
        </w:rPr>
        <w:footnoteReference w:id="373"/>
      </w:r>
      <w:bookmarkEnd w:id="356"/>
      <w:r w:rsidRPr="00AA309E">
        <w:rPr>
          <w:rFonts w:asciiTheme="majorBidi" w:hAnsiTheme="majorBidi" w:cstheme="majorBidi"/>
          <w:snapToGrid w:val="0"/>
          <w:kern w:val="22"/>
          <w:szCs w:val="22"/>
        </w:rPr>
        <w:t xml:space="preserve"> as a vehicle to promote integrated and holistic solutions that recognize the key role of above-ground/below-ground biodiversity interactions and of indigenous peoples and local communities and their traditional knowledge and practices, and that consider local contexts and integrated land-use planning, in a participatory manner;</w:t>
      </w:r>
    </w:p>
    <w:p w14:paraId="4CE76A25"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bCs/>
          <w:snapToGrid w:val="0"/>
          <w:kern w:val="22"/>
          <w:szCs w:val="22"/>
        </w:rPr>
        <w:t>1.4</w:t>
      </w:r>
      <w:r w:rsidRPr="00AA309E">
        <w:rPr>
          <w:rFonts w:asciiTheme="majorBidi" w:hAnsiTheme="majorBidi" w:cstheme="majorBidi"/>
          <w:snapToGrid w:val="0"/>
          <w:kern w:val="22"/>
          <w:szCs w:val="22"/>
        </w:rPr>
        <w:t xml:space="preserve"> Promote integrated ecosystem approaches for the conservation, restoration and sustainable use of soil biodiversity, considering, as appropriate traditional sustainable agricultural practices;</w:t>
      </w:r>
    </w:p>
    <w:p w14:paraId="64DFE854"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1.5</w:t>
      </w:r>
      <w:r w:rsidRPr="00AA309E">
        <w:rPr>
          <w:rFonts w:asciiTheme="majorBidi" w:hAnsiTheme="majorBidi" w:cstheme="majorBidi"/>
          <w:snapToGrid w:val="0"/>
          <w:kern w:val="22"/>
          <w:szCs w:val="22"/>
        </w:rPr>
        <w:t xml:space="preserve"> Promote policies that protect or help increase soil biodiversity; </w:t>
      </w:r>
    </w:p>
    <w:p w14:paraId="7CE0C504"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bookmarkStart w:id="357" w:name="_Hlk98427646"/>
      <w:r w:rsidRPr="00AA309E">
        <w:rPr>
          <w:rFonts w:asciiTheme="majorBidi" w:hAnsiTheme="majorBidi" w:cstheme="majorBidi"/>
          <w:b/>
          <w:bCs/>
          <w:snapToGrid w:val="0"/>
          <w:kern w:val="22"/>
          <w:szCs w:val="22"/>
        </w:rPr>
        <w:t>1.6</w:t>
      </w:r>
      <w:r w:rsidRPr="00AA309E">
        <w:rPr>
          <w:rFonts w:asciiTheme="majorBidi" w:hAnsiTheme="majorBidi" w:cstheme="majorBidi"/>
          <w:snapToGrid w:val="0"/>
          <w:kern w:val="22"/>
          <w:szCs w:val="22"/>
        </w:rPr>
        <w:t xml:space="preserve"> </w:t>
      </w:r>
      <w:bookmarkEnd w:id="357"/>
      <w:r w:rsidRPr="00AA309E">
        <w:rPr>
          <w:rFonts w:asciiTheme="majorBidi" w:hAnsiTheme="majorBidi" w:cstheme="majorBidi"/>
          <w:snapToGrid w:val="0"/>
          <w:kern w:val="22"/>
          <w:szCs w:val="22"/>
        </w:rPr>
        <w:t>Develop policies and actions based on the recognition that soil biodiversity is central for sustaining all ecosystems and a key asset in restoring soil multi-functionality in degraded and degrading ecosystems;</w:t>
      </w:r>
    </w:p>
    <w:p w14:paraId="55F316E0"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1.7</w:t>
      </w:r>
      <w:r w:rsidRPr="00AA309E">
        <w:rPr>
          <w:rFonts w:asciiTheme="majorBidi" w:hAnsiTheme="majorBidi" w:cstheme="majorBidi"/>
          <w:snapToGrid w:val="0"/>
          <w:kern w:val="22"/>
          <w:szCs w:val="22"/>
        </w:rPr>
        <w:t xml:space="preserve"> Strengthen synergies between scientific evidence, conservation, restoration and sustainable practices, farmer-researcher community practices, agricultural advisory services and traditional knowledge of indigenous peoples and local communities to better support policies and actions; </w:t>
      </w:r>
    </w:p>
    <w:p w14:paraId="69C162EB"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eastAsia="de-DE"/>
        </w:rPr>
      </w:pPr>
      <w:bookmarkStart w:id="358" w:name="_Hlk98427673"/>
      <w:r w:rsidRPr="00AA309E">
        <w:rPr>
          <w:rFonts w:asciiTheme="majorBidi" w:hAnsiTheme="majorBidi" w:cstheme="majorBidi"/>
          <w:b/>
          <w:bCs/>
          <w:snapToGrid w:val="0"/>
          <w:kern w:val="22"/>
          <w:szCs w:val="22"/>
        </w:rPr>
        <w:t>1.8</w:t>
      </w:r>
      <w:bookmarkEnd w:id="358"/>
      <w:r w:rsidRPr="00AA309E">
        <w:rPr>
          <w:rFonts w:asciiTheme="majorBidi" w:hAnsiTheme="majorBidi" w:cstheme="majorBidi"/>
          <w:snapToGrid w:val="0"/>
          <w:kern w:val="22"/>
          <w:szCs w:val="22"/>
        </w:rPr>
        <w:t xml:space="preserve"> Address linkages between soil biodiversity and human health, nutritious and healthy diets and pollutants exposure;</w:t>
      </w:r>
    </w:p>
    <w:p w14:paraId="3AFCBF84"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1.9</w:t>
      </w:r>
      <w:r w:rsidRPr="00AA309E">
        <w:rPr>
          <w:rFonts w:asciiTheme="majorBidi" w:hAnsiTheme="majorBidi" w:cstheme="majorBidi"/>
          <w:snapToGrid w:val="0"/>
          <w:kern w:val="22"/>
          <w:szCs w:val="22"/>
        </w:rPr>
        <w:t xml:space="preserve"> Promote ways and means to overcome obstacles to the adoption of good practices in sustainable soil management associated with land tenure, the rights of users of land and water, in particular women, the rights of indigenous peoples and local communities, and the rights of peasants and other people working in rural areas, in accordance with national legislation and international instruments, recognizing their important contributions through their knowledge and practices, gender equality, access to financial services, agricultural advisory services and educational programmes; </w:t>
      </w:r>
    </w:p>
    <w:p w14:paraId="0D4C053F" w14:textId="27074291"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bCs/>
          <w:snapToGrid w:val="0"/>
          <w:kern w:val="22"/>
          <w:szCs w:val="22"/>
        </w:rPr>
        <w:t>1.10</w:t>
      </w:r>
      <w:r w:rsidRPr="00AA309E">
        <w:rPr>
          <w:rFonts w:asciiTheme="majorBidi" w:hAnsiTheme="majorBidi" w:cstheme="majorBidi"/>
          <w:snapToGrid w:val="0"/>
          <w:kern w:val="22"/>
          <w:szCs w:val="22"/>
        </w:rPr>
        <w:t xml:space="preserve"> Consider the use and implementation of existing tools and guidance at the national, subnational, regional and global levels, such as the FAO agroecology knowledge hub, the FAO Voluntary Guidelines for Sustainable Soil Management,</w:t>
      </w:r>
      <w:r w:rsidRPr="00AA309E">
        <w:rPr>
          <w:rFonts w:asciiTheme="majorBidi" w:hAnsiTheme="majorBidi" w:cstheme="majorBidi"/>
          <w:snapToGrid w:val="0"/>
          <w:kern w:val="22"/>
          <w:szCs w:val="22"/>
          <w:vertAlign w:val="superscript"/>
        </w:rPr>
        <w:fldChar w:fldCharType="begin"/>
      </w:r>
      <w:r w:rsidRPr="00AA309E">
        <w:rPr>
          <w:rFonts w:asciiTheme="majorBidi" w:hAnsiTheme="majorBidi" w:cstheme="majorBidi"/>
          <w:snapToGrid w:val="0"/>
          <w:kern w:val="22"/>
          <w:szCs w:val="22"/>
          <w:vertAlign w:val="superscript"/>
        </w:rPr>
        <w:instrText xml:space="preserve"> NOTEREF _Ref125013023 \h </w:instrText>
      </w:r>
      <w:r w:rsidRPr="00EA56C5">
        <w:rPr>
          <w:rFonts w:asciiTheme="majorBidi" w:hAnsiTheme="majorBidi" w:cstheme="majorBidi"/>
          <w:snapToGrid w:val="0"/>
          <w:kern w:val="22"/>
          <w:szCs w:val="22"/>
          <w:vertAlign w:val="superscript"/>
        </w:rPr>
        <w:instrText xml:space="preserve"> \* MERGEFORMAT </w:instrText>
      </w:r>
      <w:r w:rsidRPr="00AA309E">
        <w:rPr>
          <w:rFonts w:asciiTheme="majorBidi" w:hAnsiTheme="majorBidi" w:cstheme="majorBidi"/>
          <w:snapToGrid w:val="0"/>
          <w:kern w:val="22"/>
          <w:szCs w:val="22"/>
          <w:vertAlign w:val="superscript"/>
        </w:rPr>
      </w:r>
      <w:r w:rsidRPr="00AA309E">
        <w:rPr>
          <w:rFonts w:asciiTheme="majorBidi" w:hAnsiTheme="majorBidi" w:cstheme="majorBidi"/>
          <w:snapToGrid w:val="0"/>
          <w:kern w:val="22"/>
          <w:szCs w:val="22"/>
          <w:vertAlign w:val="superscript"/>
        </w:rPr>
        <w:fldChar w:fldCharType="separate"/>
      </w:r>
      <w:r w:rsidR="00B54ED0">
        <w:rPr>
          <w:rFonts w:asciiTheme="majorBidi" w:hAnsiTheme="majorBidi" w:cstheme="majorBidi"/>
          <w:snapToGrid w:val="0"/>
          <w:kern w:val="22"/>
          <w:szCs w:val="22"/>
          <w:vertAlign w:val="superscript"/>
        </w:rPr>
        <w:t>17</w:t>
      </w:r>
      <w:r w:rsidRPr="00AA309E">
        <w:rPr>
          <w:rFonts w:asciiTheme="majorBidi" w:hAnsiTheme="majorBidi" w:cstheme="majorBidi"/>
          <w:snapToGrid w:val="0"/>
          <w:kern w:val="22"/>
          <w:szCs w:val="22"/>
          <w:vertAlign w:val="superscript"/>
        </w:rPr>
        <w:fldChar w:fldCharType="end"/>
      </w:r>
      <w:r w:rsidRPr="00AA309E">
        <w:rPr>
          <w:rFonts w:asciiTheme="majorBidi" w:hAnsiTheme="majorBidi" w:cstheme="majorBidi"/>
          <w:snapToGrid w:val="0"/>
          <w:kern w:val="22"/>
          <w:szCs w:val="22"/>
        </w:rPr>
        <w:t xml:space="preserve"> the FAO’s Revised World Soil Charter,</w:t>
      </w:r>
      <w:r w:rsidRPr="00610646">
        <w:rPr>
          <w:rStyle w:val="FootnoteReference"/>
        </w:rPr>
        <w:footnoteReference w:id="374"/>
      </w:r>
      <w:r w:rsidRPr="00AA309E">
        <w:rPr>
          <w:rFonts w:asciiTheme="majorBidi" w:hAnsiTheme="majorBidi" w:cstheme="majorBidi"/>
          <w:snapToGrid w:val="0"/>
          <w:kern w:val="22"/>
          <w:szCs w:val="22"/>
        </w:rPr>
        <w:t xml:space="preserve"> the Code of Conduct on Pesticide Management</w:t>
      </w:r>
      <w:r w:rsidRPr="00EA56C5">
        <w:rPr>
          <w:rFonts w:asciiTheme="majorBidi" w:hAnsiTheme="majorBidi" w:cstheme="majorBidi"/>
          <w:snapToGrid w:val="0"/>
          <w:kern w:val="22"/>
          <w:szCs w:val="22"/>
        </w:rPr>
        <w:t>,</w:t>
      </w:r>
      <w:r w:rsidRPr="00610646">
        <w:rPr>
          <w:rStyle w:val="FootnoteReference"/>
        </w:rPr>
        <w:footnoteReference w:id="375"/>
      </w:r>
      <w:r w:rsidRPr="00AA309E">
        <w:rPr>
          <w:rFonts w:asciiTheme="majorBidi" w:hAnsiTheme="majorBidi" w:cstheme="majorBidi"/>
          <w:snapToGrid w:val="0"/>
          <w:kern w:val="22"/>
          <w:szCs w:val="22"/>
        </w:rPr>
        <w:t xml:space="preserve"> the International Code of Conduct for the Sustainable Use and Management of Fertilizers</w:t>
      </w:r>
      <w:r>
        <w:rPr>
          <w:rFonts w:asciiTheme="majorBidi" w:hAnsiTheme="majorBidi" w:cstheme="majorBidi"/>
          <w:snapToGrid w:val="0"/>
          <w:kern w:val="22"/>
          <w:szCs w:val="22"/>
        </w:rPr>
        <w:t>,</w:t>
      </w:r>
      <w:r w:rsidRPr="00610646">
        <w:rPr>
          <w:rStyle w:val="FootnoteReference"/>
        </w:rPr>
        <w:footnoteReference w:id="376"/>
      </w:r>
      <w:r w:rsidRPr="00AA309E">
        <w:rPr>
          <w:rFonts w:asciiTheme="majorBidi" w:hAnsiTheme="majorBidi" w:cstheme="majorBidi"/>
          <w:snapToGrid w:val="0"/>
          <w:kern w:val="22"/>
          <w:szCs w:val="22"/>
        </w:rPr>
        <w:t xml:space="preserve"> </w:t>
      </w:r>
      <w:r w:rsidRPr="000A4656">
        <w:rPr>
          <w:rFonts w:asciiTheme="majorBidi" w:hAnsiTheme="majorBidi" w:cstheme="majorBidi"/>
          <w:snapToGrid w:val="0"/>
          <w:kern w:val="22"/>
          <w:szCs w:val="22"/>
        </w:rPr>
        <w:t xml:space="preserve">and </w:t>
      </w:r>
      <w:r w:rsidRPr="00AA309E">
        <w:rPr>
          <w:rFonts w:asciiTheme="majorBidi" w:hAnsiTheme="majorBidi" w:cstheme="majorBidi"/>
          <w:snapToGrid w:val="0"/>
          <w:kern w:val="22"/>
          <w:szCs w:val="22"/>
        </w:rPr>
        <w:t>the Committee on World Food Security’s Voluntary Guidelines on the Responsible Governance of Tenure of Land, Fisheries and Forest in the Context of National Food Security;</w:t>
      </w:r>
      <w:r w:rsidRPr="00610646">
        <w:rPr>
          <w:rStyle w:val="FootnoteReference"/>
        </w:rPr>
        <w:footnoteReference w:id="377"/>
      </w:r>
    </w:p>
    <w:p w14:paraId="3871F0A5"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bCs/>
          <w:snapToGrid w:val="0"/>
          <w:kern w:val="22"/>
          <w:szCs w:val="22"/>
        </w:rPr>
        <w:t>1.11</w:t>
      </w:r>
      <w:r w:rsidRPr="00AA309E">
        <w:rPr>
          <w:rFonts w:asciiTheme="majorBidi" w:hAnsiTheme="majorBidi" w:cstheme="majorBidi"/>
          <w:snapToGrid w:val="0"/>
          <w:kern w:val="22"/>
          <w:szCs w:val="22"/>
        </w:rPr>
        <w:t xml:space="preserve"> Encourage Parties to include soil biodiversity in national reports and national biodiversity strategies and action plans, and coordinate at the national and subnational levels, in order to increase and improve public and private actions that improve soil biodiversity;</w:t>
      </w:r>
    </w:p>
    <w:p w14:paraId="0629AA9C"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bCs/>
          <w:snapToGrid w:val="0"/>
          <w:kern w:val="22"/>
          <w:szCs w:val="22"/>
        </w:rPr>
        <w:t>1.12</w:t>
      </w:r>
      <w:r w:rsidRPr="00AA309E">
        <w:rPr>
          <w:rFonts w:asciiTheme="majorBidi" w:hAnsiTheme="majorBidi" w:cstheme="majorBidi"/>
          <w:snapToGrid w:val="0"/>
          <w:kern w:val="22"/>
          <w:szCs w:val="22"/>
        </w:rPr>
        <w:t xml:space="preserve"> Promote coordinated spatial planning and other approaches to reduce the loss of soil and soil biodiversity and implement adequate monitoring of soil sealing.</w:t>
      </w:r>
    </w:p>
    <w:p w14:paraId="0782CCC9"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i/>
          <w:snapToGrid w:val="0"/>
          <w:kern w:val="22"/>
          <w:szCs w:val="22"/>
        </w:rPr>
      </w:pPr>
      <w:r w:rsidRPr="00AA309E">
        <w:rPr>
          <w:rFonts w:asciiTheme="majorBidi" w:hAnsiTheme="majorBidi" w:cstheme="majorBidi"/>
          <w:b/>
          <w:snapToGrid w:val="0"/>
          <w:kern w:val="22"/>
          <w:szCs w:val="22"/>
        </w:rPr>
        <w:t>Element 2: Encouraging the use of sustainable soil management practices</w:t>
      </w:r>
    </w:p>
    <w:p w14:paraId="3FF6F1A5"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rPr>
      </w:pPr>
      <w:r w:rsidRPr="00AA309E">
        <w:rPr>
          <w:rFonts w:asciiTheme="majorBidi" w:hAnsiTheme="majorBidi" w:cstheme="majorBidi"/>
          <w:i/>
          <w:snapToGrid w:val="0"/>
          <w:kern w:val="22"/>
          <w:szCs w:val="22"/>
        </w:rPr>
        <w:t>Rationale</w:t>
      </w:r>
    </w:p>
    <w:p w14:paraId="7FA10A60"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Cs w:val="22"/>
        </w:rPr>
      </w:pPr>
      <w:r w:rsidRPr="00AA309E">
        <w:rPr>
          <w:rFonts w:asciiTheme="majorBidi" w:hAnsiTheme="majorBidi" w:cstheme="majorBidi"/>
          <w:snapToGrid w:val="0"/>
          <w:kern w:val="22"/>
          <w:szCs w:val="22"/>
        </w:rPr>
        <w:t>Management practices and land-use decisions undertaken by farmers, ranchers, landowners, land managers, foresters, indigenous peoples, local communities, women and youth and all relevant stakeholders</w:t>
      </w:r>
      <w:r w:rsidRPr="00AA309E" w:rsidDel="00192CEB">
        <w:rPr>
          <w:rFonts w:asciiTheme="majorBidi" w:hAnsiTheme="majorBidi" w:cstheme="majorBidi"/>
          <w:snapToGrid w:val="0"/>
          <w:kern w:val="22"/>
          <w:szCs w:val="22"/>
        </w:rPr>
        <w:t xml:space="preserve"> </w:t>
      </w:r>
      <w:r w:rsidRPr="00AA309E">
        <w:rPr>
          <w:rFonts w:asciiTheme="majorBidi" w:hAnsiTheme="majorBidi" w:cstheme="majorBidi"/>
          <w:snapToGrid w:val="0"/>
          <w:kern w:val="22"/>
          <w:szCs w:val="22"/>
        </w:rPr>
        <w:t>influence ecological processes, including soil-water-plant-atmosphere interactions with biodiversity. There is increasing recognition that the sustainability of agriculture and other managed systems depends on the optimal use of the available natural resources, biogeochemical cycles, biodiversity, including soil biodiversity, its functions and its contribution to ecosystem services. Improvement in sustainability requires the optimal use and management of soil fertility and soil physical properties and soil restoration, which rely, in part, on soil biological processes and soil biodiversity. Direct and indirect drivers of soil biodiversity loss need to be addressed at multiple scales, and special attention is needed at the farm and forestry level and across entire ecosystems.</w:t>
      </w:r>
    </w:p>
    <w:p w14:paraId="6017F0FF"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rPr>
      </w:pPr>
      <w:r w:rsidRPr="00AA309E">
        <w:rPr>
          <w:rFonts w:asciiTheme="majorBidi" w:hAnsiTheme="majorBidi" w:cstheme="majorBidi"/>
          <w:i/>
          <w:snapToGrid w:val="0"/>
          <w:kern w:val="22"/>
          <w:szCs w:val="22"/>
        </w:rPr>
        <w:t>Activities</w:t>
      </w:r>
    </w:p>
    <w:p w14:paraId="118544AD" w14:textId="77777777" w:rsidR="007A11A6" w:rsidRPr="00AA309E" w:rsidRDefault="007A11A6" w:rsidP="008B2808">
      <w:pPr>
        <w:suppressLineNumbers/>
        <w:tabs>
          <w:tab w:val="left" w:pos="426"/>
        </w:tab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bCs/>
          <w:snapToGrid w:val="0"/>
          <w:kern w:val="22"/>
          <w:szCs w:val="22"/>
        </w:rPr>
        <w:t>2.1</w:t>
      </w:r>
      <w:r w:rsidRPr="00AA309E">
        <w:rPr>
          <w:rFonts w:asciiTheme="majorBidi" w:hAnsiTheme="majorBidi" w:cstheme="majorBidi"/>
          <w:snapToGrid w:val="0"/>
          <w:kern w:val="22"/>
          <w:szCs w:val="22"/>
        </w:rPr>
        <w:tab/>
        <w:t>Promote the improvement of soil health and the enhancement of soil organism abundance and diversity, by improving their food, water and habitat conditions through sustainable agricultural practices, such as, inter alia, integrated pest and nutrient management, organic agriculture, agroecological practices, soil and water conservation practices, conservation agriculture, agroforestry, silvopastoral systems, irrigation management, small or patch systems and practices to improve animal welfare</w:t>
      </w:r>
      <w:r w:rsidRPr="00610646">
        <w:rPr>
          <w:rStyle w:val="FootnoteReference"/>
        </w:rPr>
        <w:footnoteReference w:id="378"/>
      </w:r>
      <w:r w:rsidRPr="00AA309E">
        <w:rPr>
          <w:rFonts w:asciiTheme="majorBidi" w:hAnsiTheme="majorBidi" w:cstheme="majorBidi"/>
          <w:snapToGrid w:val="0"/>
          <w:kern w:val="22"/>
          <w:szCs w:val="22"/>
        </w:rPr>
        <w:t xml:space="preserve"> and the restoration of degraded soils to increase ecosystem connectivity and restore production areas;</w:t>
      </w:r>
    </w:p>
    <w:p w14:paraId="40A852C0"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rPr>
      </w:pPr>
      <w:r w:rsidRPr="00AA309E">
        <w:rPr>
          <w:rFonts w:asciiTheme="majorBidi" w:hAnsiTheme="majorBidi" w:cstheme="majorBidi"/>
          <w:b/>
          <w:snapToGrid w:val="0"/>
          <w:kern w:val="22"/>
          <w:szCs w:val="22"/>
        </w:rPr>
        <w:t xml:space="preserve">2.2 </w:t>
      </w:r>
      <w:r w:rsidRPr="00AA309E">
        <w:rPr>
          <w:rFonts w:asciiTheme="majorBidi" w:hAnsiTheme="majorBidi" w:cstheme="majorBidi"/>
          <w:snapToGrid w:val="0"/>
          <w:kern w:val="22"/>
          <w:szCs w:val="22"/>
        </w:rPr>
        <w:t xml:space="preserve">Develop, enhance and implement science-based risk assessment procedures, in conformity with risk assessment techniques developed by relevant international organizations, on a regular basis, </w:t>
      </w:r>
      <w:r w:rsidRPr="00AA309E">
        <w:rPr>
          <w:rFonts w:asciiTheme="majorBidi" w:hAnsiTheme="majorBidi" w:cstheme="majorBidi"/>
          <w:snapToGrid w:val="0"/>
          <w:kern w:val="22"/>
          <w:szCs w:val="22"/>
          <w:lang w:eastAsia="de-DE"/>
        </w:rPr>
        <w:t xml:space="preserve">considering field-realistic exposures and longer-term effects of pollutants, </w:t>
      </w:r>
      <w:r w:rsidRPr="00AA309E">
        <w:rPr>
          <w:rFonts w:asciiTheme="majorBidi" w:hAnsiTheme="majorBidi" w:cstheme="majorBidi"/>
          <w:snapToGrid w:val="0"/>
          <w:kern w:val="22"/>
          <w:szCs w:val="22"/>
        </w:rPr>
        <w:t>to enhance the conservation, restoration and sustainable use of soil biodiversity and ecosystem services;</w:t>
      </w:r>
    </w:p>
    <w:p w14:paraId="147B688B"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2.3</w:t>
      </w:r>
      <w:r w:rsidRPr="00AA309E">
        <w:rPr>
          <w:rFonts w:asciiTheme="majorBidi" w:hAnsiTheme="majorBidi" w:cstheme="majorBidi"/>
          <w:bCs/>
          <w:snapToGrid w:val="0"/>
          <w:kern w:val="22"/>
          <w:szCs w:val="22"/>
        </w:rPr>
        <w:t xml:space="preserve"> </w:t>
      </w:r>
      <w:r w:rsidRPr="00AA309E">
        <w:rPr>
          <w:rFonts w:asciiTheme="majorBidi" w:hAnsiTheme="majorBidi" w:cstheme="majorBidi"/>
          <w:snapToGrid w:val="0"/>
          <w:kern w:val="22"/>
          <w:szCs w:val="22"/>
        </w:rPr>
        <w:t>Facilitate, for</w:t>
      </w:r>
      <w:r w:rsidRPr="00AA309E" w:rsidDel="00E917F7">
        <w:rPr>
          <w:rFonts w:asciiTheme="majorBidi" w:hAnsiTheme="majorBidi" w:cstheme="majorBidi"/>
          <w:snapToGrid w:val="0"/>
          <w:kern w:val="22"/>
          <w:szCs w:val="22"/>
        </w:rPr>
        <w:t xml:space="preserve"> </w:t>
      </w:r>
      <w:r w:rsidRPr="00AA309E">
        <w:rPr>
          <w:rFonts w:asciiTheme="majorBidi" w:hAnsiTheme="majorBidi" w:cstheme="majorBidi"/>
          <w:snapToGrid w:val="0"/>
          <w:kern w:val="22"/>
          <w:szCs w:val="22"/>
        </w:rPr>
        <w:t>all relevant stakeholders, access to information, policies, tools and enabling conditions, such as access to technologies</w:t>
      </w:r>
      <w:r w:rsidRPr="00AA309E" w:rsidDel="00AE2FC0">
        <w:rPr>
          <w:rFonts w:asciiTheme="majorBidi" w:hAnsiTheme="majorBidi" w:cstheme="majorBidi"/>
          <w:snapToGrid w:val="0"/>
          <w:kern w:val="22"/>
          <w:szCs w:val="22"/>
        </w:rPr>
        <w:t>,</w:t>
      </w:r>
      <w:r w:rsidRPr="00AA309E">
        <w:rPr>
          <w:rFonts w:asciiTheme="majorBidi" w:hAnsiTheme="majorBidi" w:cstheme="majorBidi"/>
          <w:snapToGrid w:val="0"/>
          <w:kern w:val="22"/>
          <w:szCs w:val="22"/>
        </w:rPr>
        <w:t xml:space="preserve"> innovation and funding, as well as to traditional practices that promote the conservation, restoration and sustainable use of soil biodiversity at the field level, taking into account the full and effective participation of indigenous peoples and local communities, women, youth, education, academia and research bodies, subnational governments and stakeholders in the implementation of this Initiative;</w:t>
      </w:r>
    </w:p>
    <w:p w14:paraId="5D665956"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rPr>
      </w:pPr>
      <w:r w:rsidRPr="00AA309E">
        <w:rPr>
          <w:rFonts w:asciiTheme="majorBidi" w:hAnsiTheme="majorBidi" w:cstheme="majorBidi"/>
          <w:b/>
          <w:snapToGrid w:val="0"/>
          <w:kern w:val="22"/>
          <w:szCs w:val="22"/>
        </w:rPr>
        <w:t>2.4</w:t>
      </w:r>
      <w:r w:rsidRPr="00AA309E">
        <w:rPr>
          <w:rFonts w:asciiTheme="majorBidi" w:hAnsiTheme="majorBidi" w:cstheme="majorBidi"/>
          <w:snapToGrid w:val="0"/>
          <w:kern w:val="22"/>
          <w:szCs w:val="22"/>
        </w:rPr>
        <w:t xml:space="preserve"> Encourage sustainable agricultural practices, recognizing the wide range of approaches to enhance the sustainability of agricultural systems;</w:t>
      </w:r>
    </w:p>
    <w:p w14:paraId="3A7E24F7"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rPr>
      </w:pPr>
      <w:r w:rsidRPr="00AA309E">
        <w:rPr>
          <w:rFonts w:asciiTheme="majorBidi" w:hAnsiTheme="majorBidi" w:cstheme="majorBidi"/>
          <w:b/>
          <w:snapToGrid w:val="0"/>
          <w:kern w:val="22"/>
          <w:szCs w:val="22"/>
        </w:rPr>
        <w:t>2.5</w:t>
      </w:r>
      <w:r w:rsidRPr="00AA309E">
        <w:rPr>
          <w:rFonts w:asciiTheme="majorBidi" w:hAnsiTheme="majorBidi" w:cstheme="majorBidi"/>
          <w:snapToGrid w:val="0"/>
          <w:kern w:val="22"/>
          <w:szCs w:val="22"/>
        </w:rPr>
        <w:t xml:space="preserve"> Facilitate site-specific remediation of contaminated soils,</w:t>
      </w:r>
      <w:r w:rsidRPr="00610646">
        <w:rPr>
          <w:rStyle w:val="FootnoteReference"/>
        </w:rPr>
        <w:footnoteReference w:id="379"/>
      </w:r>
      <w:r w:rsidRPr="00AA309E">
        <w:rPr>
          <w:rFonts w:asciiTheme="majorBidi" w:hAnsiTheme="majorBidi" w:cstheme="majorBidi"/>
          <w:snapToGrid w:val="0"/>
          <w:kern w:val="22"/>
          <w:szCs w:val="22"/>
        </w:rPr>
        <w:t xml:space="preserve"> preferring those alternatives that show minor risks to</w:t>
      </w:r>
      <w:r w:rsidRPr="00AA309E" w:rsidDel="00F90954">
        <w:rPr>
          <w:rFonts w:asciiTheme="majorBidi" w:hAnsiTheme="majorBidi" w:cstheme="majorBidi"/>
          <w:snapToGrid w:val="0"/>
          <w:kern w:val="22"/>
          <w:szCs w:val="22"/>
        </w:rPr>
        <w:t xml:space="preserve"> </w:t>
      </w:r>
      <w:r w:rsidRPr="00AA309E">
        <w:rPr>
          <w:rFonts w:asciiTheme="majorBidi" w:hAnsiTheme="majorBidi" w:cstheme="majorBidi"/>
          <w:snapToGrid w:val="0"/>
          <w:kern w:val="22"/>
          <w:szCs w:val="22"/>
        </w:rPr>
        <w:t>biodiversity, while exploring the implementation of bioremediation strategies that use native microorganisms;</w:t>
      </w:r>
    </w:p>
    <w:p w14:paraId="145CE0B7"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2.6</w:t>
      </w:r>
      <w:r w:rsidRPr="00AA309E">
        <w:rPr>
          <w:rFonts w:asciiTheme="majorBidi" w:hAnsiTheme="majorBidi" w:cstheme="majorBidi"/>
          <w:snapToGrid w:val="0"/>
          <w:kern w:val="22"/>
          <w:szCs w:val="22"/>
        </w:rPr>
        <w:t xml:space="preserve"> Prevent the introduction and spreading, and minimize the impact of invasive alien species that present a direct and indirect risk to soil biodiversity, and monitor the dispersion and eradicate, control or manage those already established;</w:t>
      </w:r>
    </w:p>
    <w:p w14:paraId="4A257CCF"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
          <w:snapToGrid w:val="0"/>
          <w:kern w:val="22"/>
          <w:szCs w:val="22"/>
        </w:rPr>
      </w:pPr>
      <w:r w:rsidRPr="00AA309E">
        <w:rPr>
          <w:rFonts w:asciiTheme="majorBidi" w:hAnsiTheme="majorBidi" w:cstheme="majorBidi"/>
          <w:b/>
          <w:snapToGrid w:val="0"/>
          <w:kern w:val="22"/>
          <w:szCs w:val="22"/>
        </w:rPr>
        <w:t>2.7</w:t>
      </w:r>
      <w:r w:rsidRPr="00AA309E">
        <w:rPr>
          <w:rFonts w:asciiTheme="majorBidi" w:hAnsiTheme="majorBidi" w:cstheme="majorBidi"/>
          <w:snapToGrid w:val="0"/>
          <w:kern w:val="22"/>
          <w:szCs w:val="22"/>
        </w:rPr>
        <w:t xml:space="preserve"> Protect, restore and conserve soils that provide significant ecosystem services, including through the use of sustainable soil management practices;</w:t>
      </w:r>
    </w:p>
    <w:p w14:paraId="1B31F11C"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2.8</w:t>
      </w:r>
      <w:r w:rsidRPr="00AA309E">
        <w:rPr>
          <w:rFonts w:asciiTheme="majorBidi" w:hAnsiTheme="majorBidi" w:cstheme="majorBidi"/>
          <w:snapToGrid w:val="0"/>
          <w:kern w:val="22"/>
          <w:szCs w:val="22"/>
        </w:rPr>
        <w:t xml:space="preserve"> Promote sustainable soil and associated water and land management practices that maintain, restore and promote the resilience of carbon-rich soils (such as peatlands, black soils, mangroves, coastal wetlands, seagrasses and permafrost);</w:t>
      </w:r>
    </w:p>
    <w:p w14:paraId="65FB85D4"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2.9</w:t>
      </w:r>
      <w:r w:rsidRPr="00AA309E">
        <w:rPr>
          <w:rFonts w:asciiTheme="majorBidi" w:hAnsiTheme="majorBidi" w:cstheme="majorBidi"/>
          <w:snapToGrid w:val="0"/>
          <w:kern w:val="22"/>
          <w:szCs w:val="22"/>
        </w:rPr>
        <w:t xml:space="preserve"> Promote sustainable soil and associated water and land management practices that support the achievement of land degradation neutrality;</w:t>
      </w:r>
    </w:p>
    <w:p w14:paraId="7D49FADE"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2.10</w:t>
      </w:r>
      <w:r w:rsidRPr="00AA309E">
        <w:rPr>
          <w:rFonts w:asciiTheme="majorBidi" w:hAnsiTheme="majorBidi" w:cstheme="majorBidi"/>
          <w:snapToGrid w:val="0"/>
          <w:kern w:val="22"/>
          <w:szCs w:val="22"/>
        </w:rPr>
        <w:t xml:space="preserve"> Promote ecosystem-based approaches to avoid land-use changes that cause soil erosion, the removal of surface cover and loss of soil moisture and carbon, and implement mitigation measures to alleviate degradation while considering </w:t>
      </w:r>
      <w:r w:rsidRPr="00AA309E">
        <w:rPr>
          <w:rFonts w:asciiTheme="majorBidi" w:hAnsiTheme="majorBidi" w:cstheme="majorBidi"/>
          <w:kern w:val="22"/>
          <w:szCs w:val="22"/>
        </w:rPr>
        <w:t xml:space="preserve">potential impacts </w:t>
      </w:r>
      <w:r w:rsidRPr="00AA309E">
        <w:rPr>
          <w:rFonts w:asciiTheme="majorBidi" w:hAnsiTheme="majorBidi" w:cstheme="majorBidi"/>
          <w:snapToGrid w:val="0"/>
          <w:kern w:val="22"/>
          <w:szCs w:val="22"/>
        </w:rPr>
        <w:t>on indigenous peoples and local communities, small-scale food producers and peasants;</w:t>
      </w:r>
    </w:p>
    <w:p w14:paraId="1A2A0339"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bCs/>
          <w:snapToGrid w:val="0"/>
          <w:kern w:val="22"/>
          <w:szCs w:val="22"/>
        </w:rPr>
        <w:t>2.11</w:t>
      </w:r>
      <w:r w:rsidRPr="00AA309E">
        <w:rPr>
          <w:rFonts w:asciiTheme="majorBidi" w:hAnsiTheme="majorBidi" w:cstheme="majorBidi"/>
          <w:snapToGrid w:val="0"/>
          <w:kern w:val="22"/>
          <w:szCs w:val="22"/>
        </w:rPr>
        <w:t xml:space="preserve"> Promote conservation, restoration and sustainable management of soil biodiversity, and implement where appropriate, ecosystem-based approaches for adaptation, mitigation and disaster risk reduction while considering </w:t>
      </w:r>
      <w:r w:rsidRPr="00AA309E">
        <w:rPr>
          <w:rFonts w:asciiTheme="majorBidi" w:hAnsiTheme="majorBidi" w:cstheme="majorBidi"/>
          <w:kern w:val="22"/>
          <w:szCs w:val="22"/>
        </w:rPr>
        <w:t xml:space="preserve">potential impacts </w:t>
      </w:r>
      <w:r w:rsidRPr="00AA309E">
        <w:rPr>
          <w:rFonts w:asciiTheme="majorBidi" w:hAnsiTheme="majorBidi" w:cstheme="majorBidi"/>
          <w:snapToGrid w:val="0"/>
          <w:kern w:val="22"/>
          <w:szCs w:val="22"/>
        </w:rPr>
        <w:t>on indigenous peoples and local communities, small-scale food producers and peasants;</w:t>
      </w:r>
    </w:p>
    <w:p w14:paraId="58CA5CD3"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kern w:val="22"/>
          <w:szCs w:val="22"/>
        </w:rPr>
      </w:pPr>
      <w:r w:rsidRPr="00AA309E">
        <w:rPr>
          <w:rFonts w:asciiTheme="majorBidi" w:hAnsiTheme="majorBidi" w:cstheme="majorBidi"/>
          <w:b/>
          <w:snapToGrid w:val="0"/>
          <w:kern w:val="22"/>
          <w:szCs w:val="22"/>
        </w:rPr>
        <w:t>Element 3: Awareness-raising, sharing of knowledge and capacity-building</w:t>
      </w:r>
    </w:p>
    <w:p w14:paraId="6657F08E"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rPr>
      </w:pPr>
      <w:r w:rsidRPr="00AA309E">
        <w:rPr>
          <w:rFonts w:asciiTheme="majorBidi" w:hAnsiTheme="majorBidi" w:cstheme="majorBidi"/>
          <w:i/>
          <w:snapToGrid w:val="0"/>
          <w:kern w:val="22"/>
          <w:szCs w:val="22"/>
        </w:rPr>
        <w:t>Rationale</w:t>
      </w:r>
    </w:p>
    <w:p w14:paraId="56B4529F"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Cs w:val="22"/>
        </w:rPr>
      </w:pPr>
      <w:r w:rsidRPr="00AA309E">
        <w:rPr>
          <w:rFonts w:asciiTheme="majorBidi" w:hAnsiTheme="majorBidi" w:cstheme="majorBidi"/>
          <w:snapToGrid w:val="0"/>
          <w:kern w:val="22"/>
          <w:szCs w:val="22"/>
        </w:rPr>
        <w:t>Increased awareness and understanding are critical for the development and promotion of improved practices for the conservation, restoration and sustainable use of soil biodiversity</w:t>
      </w:r>
      <w:r>
        <w:rPr>
          <w:rFonts w:asciiTheme="majorBidi" w:hAnsiTheme="majorBidi" w:cstheme="majorBidi"/>
          <w:snapToGrid w:val="0"/>
          <w:kern w:val="22"/>
          <w:szCs w:val="22"/>
        </w:rPr>
        <w:t>,</w:t>
      </w:r>
      <w:r w:rsidRPr="00AA309E">
        <w:rPr>
          <w:rFonts w:asciiTheme="majorBidi" w:hAnsiTheme="majorBidi" w:cstheme="majorBidi"/>
          <w:snapToGrid w:val="0"/>
          <w:kern w:val="22"/>
          <w:szCs w:val="22"/>
        </w:rPr>
        <w:t xml:space="preserve"> and ecosystem management. This requires collaboration that ensures the full and effective participation of, and feedback from</w:t>
      </w:r>
      <w:r w:rsidRPr="00F44DB3">
        <w:rPr>
          <w:rFonts w:asciiTheme="majorBidi" w:hAnsiTheme="majorBidi" w:cstheme="majorBidi"/>
          <w:snapToGrid w:val="0"/>
          <w:kern w:val="22"/>
          <w:szCs w:val="22"/>
        </w:rPr>
        <w:t>,</w:t>
      </w:r>
      <w:r w:rsidRPr="00AA309E">
        <w:rPr>
          <w:rFonts w:asciiTheme="majorBidi" w:hAnsiTheme="majorBidi" w:cstheme="majorBidi"/>
          <w:snapToGrid w:val="0"/>
          <w:kern w:val="22"/>
          <w:szCs w:val="22"/>
        </w:rPr>
        <w:t xml:space="preserve"> a broad range of stakeholders, including farmers, landowners, land managers, smallholders and small</w:t>
      </w:r>
      <w:r>
        <w:rPr>
          <w:rFonts w:asciiTheme="majorBidi" w:hAnsiTheme="majorBidi" w:cstheme="majorBidi"/>
          <w:snapToGrid w:val="0"/>
          <w:kern w:val="22"/>
          <w:szCs w:val="22"/>
        </w:rPr>
        <w:noBreakHyphen/>
      </w:r>
      <w:r w:rsidRPr="00AA309E">
        <w:rPr>
          <w:rFonts w:asciiTheme="majorBidi" w:hAnsiTheme="majorBidi" w:cstheme="majorBidi"/>
          <w:snapToGrid w:val="0"/>
          <w:kern w:val="22"/>
          <w:szCs w:val="22"/>
        </w:rPr>
        <w:t>scale food producers, indigenous peoples and local communities, women and youth, decision makers, education, academia and research bodies and relevant institutions and organizations to ensure effective actions and collaborative mechanisms. Strengthening capacities to promote integrated and multidisciplinary approaches is needed to ensure the conservation, restoration, sustainable use and enhancement of soil biodiversity. This will further improve information flows and cooperation among actors to identify best practices and foster the sharing of knowledge and information.</w:t>
      </w:r>
    </w:p>
    <w:p w14:paraId="5ED29233"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rPr>
      </w:pPr>
      <w:r w:rsidRPr="00AA309E">
        <w:rPr>
          <w:rFonts w:asciiTheme="majorBidi" w:hAnsiTheme="majorBidi" w:cstheme="majorBidi"/>
          <w:i/>
          <w:snapToGrid w:val="0"/>
          <w:kern w:val="22"/>
          <w:szCs w:val="22"/>
        </w:rPr>
        <w:t>Activities</w:t>
      </w:r>
    </w:p>
    <w:p w14:paraId="4F3F92B5"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 xml:space="preserve">3.1 </w:t>
      </w:r>
      <w:r w:rsidRPr="00AA309E">
        <w:rPr>
          <w:rFonts w:asciiTheme="majorBidi" w:hAnsiTheme="majorBidi" w:cstheme="majorBidi"/>
          <w:snapToGrid w:val="0"/>
          <w:kern w:val="22"/>
          <w:szCs w:val="22"/>
        </w:rPr>
        <w:t>Increase understanding and appreciation of the role of soil biodiversity and soil health in agroecosystems, forests, silvopastoral and other managed ecosystems, and of their effect on land management practices and ecosystem health;</w:t>
      </w:r>
    </w:p>
    <w:p w14:paraId="54EBFDF9"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 xml:space="preserve">3.2 </w:t>
      </w:r>
      <w:r w:rsidRPr="00AA309E">
        <w:rPr>
          <w:rFonts w:asciiTheme="majorBidi" w:hAnsiTheme="majorBidi" w:cstheme="majorBidi"/>
          <w:snapToGrid w:val="0"/>
          <w:kern w:val="22"/>
          <w:szCs w:val="22"/>
          <w:lang w:eastAsia="de-DE"/>
        </w:rPr>
        <w:t xml:space="preserve">Increase understanding and appreciation of the causes and consequences of soil biodiversity decline in specific agroecosystems, other managed ecosystems and natural environments and </w:t>
      </w:r>
      <w:r w:rsidRPr="00AA309E">
        <w:rPr>
          <w:rFonts w:asciiTheme="majorBidi" w:hAnsiTheme="majorBidi" w:cstheme="majorBidi"/>
          <w:snapToGrid w:val="0"/>
          <w:kern w:val="22"/>
          <w:szCs w:val="22"/>
        </w:rPr>
        <w:t>engage targeted key stakeholder groups, including farmers, ranchers, foresters, civil society, education, academia and research bodies, the mass media, and consumer organizations on the importance of soil biodiversity for health, well</w:t>
      </w:r>
      <w:r w:rsidRPr="00AA309E">
        <w:rPr>
          <w:rFonts w:asciiTheme="majorBidi" w:hAnsiTheme="majorBidi" w:cstheme="majorBidi"/>
          <w:snapToGrid w:val="0"/>
          <w:kern w:val="22"/>
          <w:szCs w:val="22"/>
        </w:rPr>
        <w:noBreakHyphen/>
        <w:t>being and livelihoods;</w:t>
      </w:r>
    </w:p>
    <w:p w14:paraId="7C7B1996"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
          <w:snapToGrid w:val="0"/>
          <w:kern w:val="22"/>
          <w:szCs w:val="22"/>
        </w:rPr>
      </w:pPr>
      <w:r w:rsidRPr="00AA309E">
        <w:rPr>
          <w:rFonts w:asciiTheme="majorBidi" w:hAnsiTheme="majorBidi" w:cstheme="majorBidi"/>
          <w:b/>
          <w:snapToGrid w:val="0"/>
          <w:kern w:val="22"/>
          <w:szCs w:val="22"/>
        </w:rPr>
        <w:t xml:space="preserve">3.3 </w:t>
      </w:r>
      <w:r w:rsidRPr="00AA309E">
        <w:rPr>
          <w:rFonts w:asciiTheme="majorBidi" w:hAnsiTheme="majorBidi" w:cstheme="majorBidi"/>
          <w:snapToGrid w:val="0"/>
          <w:kern w:val="22"/>
          <w:szCs w:val="22"/>
        </w:rPr>
        <w:t>Strengthen understanding and appreciation of the impacts of sustainable land-use and soil-management practices, as an integral part of agricultural and their importance for sustainable livelihoods</w:t>
      </w:r>
      <w:r w:rsidRPr="00AA309E">
        <w:rPr>
          <w:rFonts w:asciiTheme="majorBidi" w:hAnsiTheme="majorBidi" w:cstheme="majorBidi"/>
          <w:snapToGrid w:val="0"/>
          <w:kern w:val="22"/>
          <w:szCs w:val="22"/>
          <w:lang w:eastAsia="de-DE"/>
        </w:rPr>
        <w:t>;</w:t>
      </w:r>
    </w:p>
    <w:p w14:paraId="1991916C"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3.4</w:t>
      </w:r>
      <w:r w:rsidRPr="00AA309E">
        <w:rPr>
          <w:rFonts w:asciiTheme="majorBidi" w:hAnsiTheme="majorBidi" w:cstheme="majorBidi"/>
          <w:snapToGrid w:val="0"/>
          <w:kern w:val="22"/>
          <w:szCs w:val="22"/>
        </w:rPr>
        <w:t xml:space="preserve"> Promote awareness-raising and sharing of knowledge through tools and digital technology</w:t>
      </w:r>
      <w:r>
        <w:rPr>
          <w:rFonts w:asciiTheme="majorBidi" w:hAnsiTheme="majorBidi" w:cstheme="majorBidi"/>
          <w:snapToGrid w:val="0"/>
          <w:kern w:val="22"/>
          <w:szCs w:val="22"/>
        </w:rPr>
        <w:t>,</w:t>
      </w:r>
      <w:r w:rsidRPr="00AA309E">
        <w:rPr>
          <w:rFonts w:asciiTheme="majorBidi" w:hAnsiTheme="majorBidi" w:cstheme="majorBidi"/>
          <w:snapToGrid w:val="0"/>
          <w:kern w:val="22"/>
          <w:szCs w:val="22"/>
        </w:rPr>
        <w:t xml:space="preserve"> and promote capacity-building and mutual learning, including at the local and field levels by developing collaborative activities, such as peer-to-peer learning, for the promotion of best practices for soil biodiversity assessment, management and monitoring for all land management activities;</w:t>
      </w:r>
    </w:p>
    <w:p w14:paraId="00848E84"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3.5</w:t>
      </w:r>
      <w:r w:rsidRPr="00AA309E">
        <w:rPr>
          <w:rFonts w:asciiTheme="majorBidi" w:hAnsiTheme="majorBidi" w:cstheme="majorBidi"/>
          <w:snapToGrid w:val="0"/>
          <w:kern w:val="22"/>
          <w:szCs w:val="22"/>
        </w:rPr>
        <w:t xml:space="preserve"> Enhance education on, and knowledge of</w:t>
      </w:r>
      <w:r>
        <w:rPr>
          <w:rFonts w:asciiTheme="majorBidi" w:hAnsiTheme="majorBidi" w:cstheme="majorBidi"/>
          <w:snapToGrid w:val="0"/>
          <w:kern w:val="22"/>
          <w:szCs w:val="22"/>
        </w:rPr>
        <w:t>,</w:t>
      </w:r>
      <w:r w:rsidRPr="00AA309E">
        <w:rPr>
          <w:rFonts w:asciiTheme="majorBidi" w:hAnsiTheme="majorBidi" w:cstheme="majorBidi"/>
          <w:snapToGrid w:val="0"/>
          <w:kern w:val="22"/>
          <w:szCs w:val="22"/>
        </w:rPr>
        <w:t xml:space="preserve"> soil biodiversity, soil health and the ecosystem functions and services they provide, through the update of educational curricula for professionals, in such fields as economy, agronomy, veterinary, taxonomy, microbiology, zoology and biotechnology, and through the creation and dissemination of training and information materials on soil biodiversity;</w:t>
      </w:r>
    </w:p>
    <w:p w14:paraId="785C0CDB"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 xml:space="preserve">3.6 </w:t>
      </w:r>
      <w:r w:rsidRPr="00AA309E">
        <w:rPr>
          <w:rFonts w:asciiTheme="majorBidi" w:hAnsiTheme="majorBidi" w:cstheme="majorBidi"/>
          <w:snapToGrid w:val="0"/>
          <w:kern w:val="22"/>
          <w:szCs w:val="22"/>
          <w:lang w:eastAsia="de-DE"/>
        </w:rPr>
        <w:t>Support citizen science campaigns and awareness-raising activities to engage relevant stakeholders in the conservation, restoration and sustainable use of soil biodiversity, including celebrations on 5 December of World Soil Day, which was designated by the General Assembly of the United Nations in 2013;</w:t>
      </w:r>
      <w:r w:rsidRPr="00610646">
        <w:rPr>
          <w:rStyle w:val="FootnoteReference"/>
        </w:rPr>
        <w:footnoteReference w:id="380"/>
      </w:r>
    </w:p>
    <w:p w14:paraId="7E662285"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3.7</w:t>
      </w:r>
      <w:r w:rsidRPr="00AA309E">
        <w:rPr>
          <w:rFonts w:asciiTheme="majorBidi" w:hAnsiTheme="majorBidi" w:cstheme="majorBidi"/>
          <w:snapToGrid w:val="0"/>
          <w:kern w:val="22"/>
          <w:szCs w:val="22"/>
        </w:rPr>
        <w:t xml:space="preserve"> Build and strengthen the capacities of farmers, landowners, land managers, foresters, ranchers, the private sector, education, academia and research bodies, indigenous peoples and local communities, women and youth, and vulnerable communities, as appropriate, in designing and implementing sustainable soil management practices and the sustainable application of soil biodiversity and consider traditional knowledge and practices;</w:t>
      </w:r>
    </w:p>
    <w:p w14:paraId="2F474287"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lang w:eastAsia="de-DE"/>
        </w:rPr>
      </w:pPr>
      <w:r w:rsidRPr="00AA309E">
        <w:rPr>
          <w:rFonts w:asciiTheme="majorBidi" w:hAnsiTheme="majorBidi" w:cstheme="majorBidi"/>
          <w:b/>
          <w:snapToGrid w:val="0"/>
          <w:kern w:val="22"/>
          <w:szCs w:val="22"/>
        </w:rPr>
        <w:t xml:space="preserve">3.8 </w:t>
      </w:r>
      <w:r w:rsidRPr="00AA309E">
        <w:rPr>
          <w:rFonts w:asciiTheme="majorBidi" w:hAnsiTheme="majorBidi" w:cstheme="majorBidi"/>
          <w:bCs/>
          <w:snapToGrid w:val="0"/>
          <w:kern w:val="22"/>
          <w:szCs w:val="22"/>
        </w:rPr>
        <w:t>Compile, protect</w:t>
      </w:r>
      <w:r w:rsidRPr="00AA309E">
        <w:rPr>
          <w:rFonts w:asciiTheme="majorBidi" w:hAnsiTheme="majorBidi" w:cstheme="majorBidi"/>
          <w:snapToGrid w:val="0"/>
          <w:kern w:val="22"/>
          <w:szCs w:val="22"/>
        </w:rPr>
        <w:t xml:space="preserve">, maintain and promote traditional knowledge, innovations and sustainable practices of indigenous peoples and local communities, </w:t>
      </w:r>
      <w:r w:rsidRPr="00AA309E">
        <w:rPr>
          <w:rFonts w:asciiTheme="majorBidi" w:hAnsiTheme="majorBidi" w:cstheme="majorBidi"/>
          <w:szCs w:val="22"/>
          <w:lang w:val="en-US"/>
        </w:rPr>
        <w:t xml:space="preserve">with their free, prior and informed consent, as appropriate, </w:t>
      </w:r>
      <w:r w:rsidRPr="00AA309E">
        <w:rPr>
          <w:rFonts w:asciiTheme="majorBidi" w:hAnsiTheme="majorBidi" w:cstheme="majorBidi"/>
          <w:snapToGrid w:val="0"/>
          <w:kern w:val="22"/>
          <w:szCs w:val="22"/>
        </w:rPr>
        <w:t>related to soil biodiversity maintenance, soil fertility and sustainable soil management and promote work mechanisms between traditional agricultural knowledge and scientific knowledge that contribute to implementing sustainable agricultural practices in accordance with local agroecological and socioeconomic contexts and needs;</w:t>
      </w:r>
    </w:p>
    <w:p w14:paraId="5BCFF268"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3.9</w:t>
      </w:r>
      <w:r w:rsidRPr="00AA309E">
        <w:rPr>
          <w:rFonts w:asciiTheme="majorBidi" w:hAnsiTheme="majorBidi" w:cstheme="majorBidi"/>
          <w:snapToGrid w:val="0"/>
          <w:kern w:val="22"/>
          <w:szCs w:val="22"/>
        </w:rPr>
        <w:t xml:space="preserve"> Develop partnerships and alliances that support multi-disciplinary approaches, foster synergies and ensure multi-stakeholder participation with respect to sustainable soil management;</w:t>
      </w:r>
    </w:p>
    <w:p w14:paraId="539376EB"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bCs/>
          <w:snapToGrid w:val="0"/>
          <w:kern w:val="22"/>
          <w:szCs w:val="22"/>
        </w:rPr>
        <w:t>3.10</w:t>
      </w:r>
      <w:r w:rsidRPr="00AA309E">
        <w:rPr>
          <w:rFonts w:asciiTheme="majorBidi" w:hAnsiTheme="majorBidi" w:cstheme="majorBidi"/>
          <w:snapToGrid w:val="0"/>
          <w:kern w:val="22"/>
          <w:szCs w:val="22"/>
        </w:rPr>
        <w:t xml:space="preserve"> Foster scientific and technical cooperation and transfer of technology to promote access to the latest technologies and molecular tools for modern soilless agriculture, soil biodiversity assessment and monitoring in developing countries.</w:t>
      </w:r>
    </w:p>
    <w:p w14:paraId="5B45E7DE"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center"/>
        <w:rPr>
          <w:rFonts w:asciiTheme="majorBidi" w:hAnsiTheme="majorBidi" w:cstheme="majorBidi"/>
          <w:snapToGrid w:val="0"/>
          <w:kern w:val="22"/>
          <w:szCs w:val="22"/>
        </w:rPr>
      </w:pPr>
      <w:r w:rsidRPr="00AA309E">
        <w:rPr>
          <w:rFonts w:asciiTheme="majorBidi" w:hAnsiTheme="majorBidi" w:cstheme="majorBidi"/>
          <w:b/>
          <w:snapToGrid w:val="0"/>
          <w:kern w:val="22"/>
          <w:szCs w:val="22"/>
        </w:rPr>
        <w:t>Element 4: Research, monitoring</w:t>
      </w:r>
      <w:r w:rsidRPr="00AA309E" w:rsidDel="005579EA">
        <w:rPr>
          <w:rFonts w:asciiTheme="majorBidi" w:hAnsiTheme="majorBidi" w:cstheme="majorBidi"/>
          <w:b/>
          <w:snapToGrid w:val="0"/>
          <w:kern w:val="22"/>
          <w:szCs w:val="22"/>
        </w:rPr>
        <w:t xml:space="preserve"> </w:t>
      </w:r>
      <w:r w:rsidRPr="00AA309E">
        <w:rPr>
          <w:rFonts w:asciiTheme="majorBidi" w:hAnsiTheme="majorBidi" w:cstheme="majorBidi"/>
          <w:b/>
          <w:snapToGrid w:val="0"/>
          <w:kern w:val="22"/>
          <w:szCs w:val="22"/>
        </w:rPr>
        <w:t>and assessment</w:t>
      </w:r>
    </w:p>
    <w:p w14:paraId="23DD08F7"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rPr>
      </w:pPr>
      <w:r w:rsidRPr="00AA309E">
        <w:rPr>
          <w:rFonts w:asciiTheme="majorBidi" w:hAnsiTheme="majorBidi" w:cstheme="majorBidi"/>
          <w:i/>
          <w:snapToGrid w:val="0"/>
          <w:kern w:val="22"/>
          <w:szCs w:val="22"/>
        </w:rPr>
        <w:t>Rationale</w:t>
      </w:r>
    </w:p>
    <w:p w14:paraId="71ADB2FC"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snapToGrid w:val="0"/>
          <w:kern w:val="22"/>
          <w:szCs w:val="22"/>
        </w:rPr>
      </w:pPr>
      <w:r w:rsidRPr="00AA309E">
        <w:rPr>
          <w:rFonts w:asciiTheme="majorBidi" w:hAnsiTheme="majorBidi" w:cstheme="majorBidi"/>
          <w:snapToGrid w:val="0"/>
          <w:kern w:val="22"/>
          <w:szCs w:val="22"/>
        </w:rPr>
        <w:t>Assessing and monitoring the status and trends of soil biodiversity, of measures for the conservation, restoration and sustainable use of soil biodiversity and of the outcomes of such measures, is fundamental to inform adaptive management and to guarantee the functioning of all terrestrial ecosystems, including the long-term productivity of agricultural soils. Soil biodiversity data that can be globally aggregated is needed to guide the decision-making process, with particular focus on those regions and areas currently lacking data. Education, academia and research bodies and relevant international organizations and networks should be encouraged to undertake further research, taking into consideration soil biodiversity functions, regional pedodiversity,</w:t>
      </w:r>
      <w:r w:rsidRPr="00610646">
        <w:rPr>
          <w:rStyle w:val="FootnoteReference"/>
        </w:rPr>
        <w:footnoteReference w:id="381"/>
      </w:r>
      <w:r w:rsidRPr="00AA309E">
        <w:rPr>
          <w:rFonts w:asciiTheme="majorBidi" w:hAnsiTheme="majorBidi" w:cstheme="majorBidi"/>
          <w:snapToGrid w:val="0"/>
          <w:kern w:val="22"/>
          <w:szCs w:val="22"/>
        </w:rPr>
        <w:t xml:space="preserve"> and relevant traditional knowledge, free, prior and informed consent, as appropriate, to address gaps in knowledge, and to expand research and to support coordinated global, regional, national, subnational and local monitoring efforts.</w:t>
      </w:r>
    </w:p>
    <w:p w14:paraId="2FB863C9" w14:textId="77777777" w:rsidR="007A11A6" w:rsidRPr="00AA309E" w:rsidRDefault="007A11A6" w:rsidP="008B2808">
      <w:pPr>
        <w:keepNext/>
        <w:suppressLineNumbers/>
        <w:suppressAutoHyphens/>
        <w:kinsoku w:val="0"/>
        <w:overflowPunct w:val="0"/>
        <w:autoSpaceDE w:val="0"/>
        <w:autoSpaceDN w:val="0"/>
        <w:adjustRightInd w:val="0"/>
        <w:snapToGrid w:val="0"/>
        <w:spacing w:before="120" w:after="120"/>
        <w:jc w:val="left"/>
        <w:rPr>
          <w:rFonts w:asciiTheme="majorBidi" w:hAnsiTheme="majorBidi" w:cstheme="majorBidi"/>
          <w:i/>
          <w:snapToGrid w:val="0"/>
          <w:kern w:val="22"/>
          <w:szCs w:val="22"/>
        </w:rPr>
      </w:pPr>
      <w:r w:rsidRPr="00AA309E">
        <w:rPr>
          <w:rFonts w:asciiTheme="majorBidi" w:hAnsiTheme="majorBidi" w:cstheme="majorBidi"/>
          <w:i/>
          <w:snapToGrid w:val="0"/>
          <w:kern w:val="22"/>
          <w:szCs w:val="22"/>
        </w:rPr>
        <w:t>Activities</w:t>
      </w:r>
    </w:p>
    <w:p w14:paraId="4FD8E1C5"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rPr>
      </w:pPr>
      <w:r w:rsidRPr="00AA309E">
        <w:rPr>
          <w:rFonts w:asciiTheme="majorBidi" w:hAnsiTheme="majorBidi" w:cstheme="majorBidi"/>
          <w:b/>
          <w:snapToGrid w:val="0"/>
          <w:kern w:val="22"/>
          <w:szCs w:val="22"/>
        </w:rPr>
        <w:t xml:space="preserve">4.1 </w:t>
      </w:r>
      <w:r w:rsidRPr="00AA309E">
        <w:rPr>
          <w:rFonts w:asciiTheme="majorBidi" w:hAnsiTheme="majorBidi" w:cstheme="majorBidi"/>
          <w:bCs/>
          <w:snapToGrid w:val="0"/>
          <w:kern w:val="22"/>
          <w:szCs w:val="22"/>
        </w:rPr>
        <w:t>Increase national capacities on soil biodiversity taxonomy and address taxonomic assessment needs in different regions, and design targeted strategies to fill the existing gaps;</w:t>
      </w:r>
    </w:p>
    <w:p w14:paraId="4E5A34E8"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rPr>
      </w:pPr>
      <w:r w:rsidRPr="00AA309E">
        <w:rPr>
          <w:rFonts w:asciiTheme="majorBidi" w:hAnsiTheme="majorBidi" w:cstheme="majorBidi"/>
          <w:b/>
          <w:snapToGrid w:val="0"/>
          <w:kern w:val="22"/>
          <w:szCs w:val="22"/>
        </w:rPr>
        <w:t xml:space="preserve">4.2 </w:t>
      </w:r>
      <w:r w:rsidRPr="00AA309E">
        <w:rPr>
          <w:rFonts w:asciiTheme="majorBidi" w:hAnsiTheme="majorBidi" w:cstheme="majorBidi"/>
          <w:bCs/>
          <w:snapToGrid w:val="0"/>
          <w:kern w:val="22"/>
          <w:szCs w:val="22"/>
        </w:rPr>
        <w:t>Promote further research to identify ways to integrat</w:t>
      </w:r>
      <w:r w:rsidRPr="00AA309E">
        <w:rPr>
          <w:rFonts w:asciiTheme="majorBidi" w:hAnsiTheme="majorBidi" w:cstheme="majorBidi"/>
          <w:snapToGrid w:val="0"/>
          <w:kern w:val="22"/>
          <w:szCs w:val="22"/>
        </w:rPr>
        <w:t>e the application of soil biodiversity into farming systems as part of efforts to improve yield quantity and facilitate the harmonization of protocols for research, data collection, management and analysis, storage and curation of samples;</w:t>
      </w:r>
    </w:p>
    <w:p w14:paraId="75AC8929"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rPr>
      </w:pPr>
      <w:r w:rsidRPr="00AA309E">
        <w:rPr>
          <w:rFonts w:asciiTheme="majorBidi" w:hAnsiTheme="majorBidi" w:cstheme="majorBidi"/>
          <w:b/>
          <w:snapToGrid w:val="0"/>
          <w:kern w:val="22"/>
          <w:szCs w:val="22"/>
        </w:rPr>
        <w:t xml:space="preserve">4.3 </w:t>
      </w:r>
      <w:r w:rsidRPr="00AA309E">
        <w:rPr>
          <w:rFonts w:asciiTheme="majorBidi" w:hAnsiTheme="majorBidi" w:cstheme="majorBidi"/>
          <w:bCs/>
          <w:snapToGrid w:val="0"/>
          <w:kern w:val="22"/>
          <w:szCs w:val="22"/>
        </w:rPr>
        <w:t>Promote furt</w:t>
      </w:r>
      <w:r w:rsidRPr="00AA309E">
        <w:rPr>
          <w:rFonts w:asciiTheme="majorBidi" w:hAnsiTheme="majorBidi" w:cstheme="majorBidi"/>
          <w:snapToGrid w:val="0"/>
          <w:kern w:val="22"/>
          <w:szCs w:val="22"/>
        </w:rPr>
        <w:t>her research to identify risks to soil biodiversity under climate change and potential adaption measures and mitigation tools, as well as risks caused by the use of hazardous or toxic chemicals, including the potential loss of key species and their habitats, as well as the role of soil biota in wider ecosystem resilience and restoration that contributes, as appropriate, to the formulation of policy plans;</w:t>
      </w:r>
    </w:p>
    <w:p w14:paraId="7716E4C6"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rPr>
      </w:pPr>
      <w:r w:rsidRPr="00AA309E">
        <w:rPr>
          <w:rFonts w:asciiTheme="majorBidi" w:hAnsiTheme="majorBidi" w:cstheme="majorBidi"/>
          <w:b/>
          <w:snapToGrid w:val="0"/>
          <w:kern w:val="22"/>
          <w:szCs w:val="22"/>
        </w:rPr>
        <w:t xml:space="preserve">4.4 </w:t>
      </w:r>
      <w:r w:rsidRPr="00AA309E">
        <w:rPr>
          <w:rFonts w:asciiTheme="majorBidi" w:hAnsiTheme="majorBidi" w:cstheme="majorBidi"/>
          <w:bCs/>
          <w:snapToGrid w:val="0"/>
          <w:kern w:val="22"/>
          <w:szCs w:val="22"/>
        </w:rPr>
        <w:t xml:space="preserve">Promote research and implementation </w:t>
      </w:r>
      <w:r w:rsidRPr="00AA309E">
        <w:rPr>
          <w:rFonts w:asciiTheme="majorBidi" w:hAnsiTheme="majorBidi" w:cstheme="majorBidi"/>
          <w:snapToGrid w:val="0"/>
          <w:kern w:val="22"/>
          <w:szCs w:val="22"/>
        </w:rPr>
        <w:t>of integrated pest management practices that support functions and services provided by soil biodiversity;</w:t>
      </w:r>
    </w:p>
    <w:p w14:paraId="44537BF0"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 xml:space="preserve">4.5 </w:t>
      </w:r>
      <w:r w:rsidRPr="00AA309E">
        <w:rPr>
          <w:rFonts w:asciiTheme="majorBidi" w:hAnsiTheme="majorBidi" w:cstheme="majorBidi"/>
          <w:bCs/>
          <w:snapToGrid w:val="0"/>
          <w:kern w:val="22"/>
          <w:szCs w:val="22"/>
        </w:rPr>
        <w:t>Promote capacity</w:t>
      </w:r>
      <w:r w:rsidRPr="00AA309E">
        <w:rPr>
          <w:rFonts w:asciiTheme="majorBidi" w:hAnsiTheme="majorBidi" w:cstheme="majorBidi"/>
          <w:bCs/>
          <w:snapToGrid w:val="0"/>
          <w:kern w:val="22"/>
          <w:szCs w:val="22"/>
        </w:rPr>
        <w:noBreakHyphen/>
        <w:t>building and research in order to qualify and quantify soil biodiversity in agriculture and in other managed ecosystems and cultural landscapes, and to develop consistent and comparable protocols to monitor soil quality</w:t>
      </w:r>
      <w:r w:rsidRPr="00AA309E">
        <w:rPr>
          <w:rFonts w:asciiTheme="majorBidi" w:hAnsiTheme="majorBidi" w:cstheme="majorBidi"/>
          <w:snapToGrid w:val="0"/>
          <w:kern w:val="22"/>
          <w:szCs w:val="22"/>
        </w:rPr>
        <w:t>;</w:t>
      </w:r>
    </w:p>
    <w:p w14:paraId="51C67157"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4.6</w:t>
      </w:r>
      <w:r w:rsidRPr="00AA309E">
        <w:rPr>
          <w:rFonts w:asciiTheme="majorBidi" w:hAnsiTheme="majorBidi" w:cstheme="majorBidi"/>
          <w:snapToGrid w:val="0"/>
          <w:kern w:val="22"/>
          <w:szCs w:val="22"/>
        </w:rPr>
        <w:t xml:space="preserve"> Promote research, information management and dissemination, data collection and processing, community-based monitoring, transfer of knowledge and technologies and networking;</w:t>
      </w:r>
    </w:p>
    <w:p w14:paraId="44F6F790"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rPr>
      </w:pPr>
      <w:r w:rsidRPr="00AA309E">
        <w:rPr>
          <w:rFonts w:asciiTheme="majorBidi" w:hAnsiTheme="majorBidi" w:cstheme="majorBidi"/>
          <w:b/>
          <w:snapToGrid w:val="0"/>
          <w:kern w:val="22"/>
          <w:szCs w:val="22"/>
        </w:rPr>
        <w:t xml:space="preserve">4.7 </w:t>
      </w:r>
      <w:r w:rsidRPr="00AA309E">
        <w:rPr>
          <w:rFonts w:asciiTheme="majorBidi" w:hAnsiTheme="majorBidi" w:cstheme="majorBidi"/>
          <w:bCs/>
          <w:snapToGrid w:val="0"/>
          <w:kern w:val="22"/>
          <w:szCs w:val="22"/>
        </w:rPr>
        <w:t>Promote access to the fair and equitable sharing of the benefits arising out of the utilization of genetic resources in the soil, considering the potential to develop new products and medicines, in line with the third objective of the Convention and with the Nagoya Protocol on Access to Genetic Resources and the Fair and Equitable Sharing of Benefits Arising from their Utilization;</w:t>
      </w:r>
    </w:p>
    <w:p w14:paraId="51842ACD"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 xml:space="preserve">4.8 </w:t>
      </w:r>
      <w:r w:rsidRPr="00AA309E">
        <w:rPr>
          <w:rFonts w:asciiTheme="majorBidi" w:hAnsiTheme="majorBidi" w:cstheme="majorBidi"/>
          <w:snapToGrid w:val="0"/>
          <w:kern w:val="22"/>
          <w:szCs w:val="22"/>
        </w:rPr>
        <w:t>Mobilize targeted participatory research and development, promote gender-responsive approaches to ensure gender equality, women’s empowerment, youth engagement and the full and effective participation of indigenous peoples and local communities in all stages of research and development;</w:t>
      </w:r>
    </w:p>
    <w:p w14:paraId="566ACBFE"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 xml:space="preserve">4.9 </w:t>
      </w:r>
      <w:r w:rsidRPr="00AA309E">
        <w:rPr>
          <w:rFonts w:asciiTheme="majorBidi" w:hAnsiTheme="majorBidi" w:cstheme="majorBidi"/>
          <w:snapToGrid w:val="0"/>
          <w:kern w:val="22"/>
          <w:szCs w:val="22"/>
        </w:rPr>
        <w:t>Develop and apply tools to assess the status of soil biodiversity in all regions and to address gaps in knowledge in all levels, by using a range of available tools, from traditional macroorganism</w:t>
      </w:r>
      <w:r>
        <w:rPr>
          <w:rFonts w:asciiTheme="majorBidi" w:hAnsiTheme="majorBidi" w:cstheme="majorBidi"/>
          <w:snapToGrid w:val="0"/>
          <w:kern w:val="22"/>
          <w:szCs w:val="22"/>
        </w:rPr>
        <w:t>s</w:t>
      </w:r>
      <w:r w:rsidRPr="00AA309E">
        <w:rPr>
          <w:rFonts w:asciiTheme="majorBidi" w:hAnsiTheme="majorBidi" w:cstheme="majorBidi"/>
          <w:snapToGrid w:val="0"/>
          <w:kern w:val="22"/>
          <w:szCs w:val="22"/>
        </w:rPr>
        <w:t xml:space="preserve"> and soil fauna observation and analysis, national and subnational statistics, soil surveys, to cutting-edge approaches and new technologies, as appropriate;</w:t>
      </w:r>
    </w:p>
    <w:p w14:paraId="5A20C117" w14:textId="77777777" w:rsidR="007A11A6" w:rsidRPr="00AA309E" w:rsidRDefault="007A11A6" w:rsidP="008B2808">
      <w:pPr>
        <w:rPr>
          <w:rFonts w:asciiTheme="majorBidi" w:eastAsiaTheme="minorEastAsia" w:hAnsiTheme="majorBidi" w:cstheme="majorBidi"/>
          <w:szCs w:val="22"/>
          <w:lang w:val="en-US" w:eastAsia="zh-CN"/>
        </w:rPr>
      </w:pPr>
      <w:r w:rsidRPr="00AA309E">
        <w:rPr>
          <w:rFonts w:asciiTheme="majorBidi" w:hAnsiTheme="majorBidi" w:cstheme="majorBidi"/>
          <w:b/>
          <w:bCs/>
          <w:snapToGrid w:val="0"/>
          <w:kern w:val="22"/>
          <w:szCs w:val="22"/>
        </w:rPr>
        <w:t>4.10</w:t>
      </w:r>
      <w:r w:rsidRPr="00AA309E">
        <w:rPr>
          <w:rFonts w:asciiTheme="majorBidi" w:hAnsiTheme="majorBidi" w:cstheme="majorBidi"/>
          <w:snapToGrid w:val="0"/>
          <w:kern w:val="22"/>
          <w:szCs w:val="22"/>
        </w:rPr>
        <w:t xml:space="preserve"> Generate data sets on soil biodiversity, pedodiversity</w:t>
      </w:r>
      <w:r w:rsidRPr="00AA309E">
        <w:rPr>
          <w:rFonts w:asciiTheme="majorBidi" w:eastAsiaTheme="minorEastAsia" w:hAnsiTheme="majorBidi" w:cstheme="majorBidi"/>
          <w:szCs w:val="22"/>
          <w:lang w:val="en-US" w:eastAsia="zh-CN"/>
        </w:rPr>
        <w:t xml:space="preserve"> </w:t>
      </w:r>
      <w:r w:rsidRPr="00AA309E">
        <w:rPr>
          <w:rFonts w:asciiTheme="majorBidi" w:hAnsiTheme="majorBidi" w:cstheme="majorBidi"/>
          <w:snapToGrid w:val="0"/>
          <w:kern w:val="22"/>
          <w:szCs w:val="22"/>
        </w:rPr>
        <w:t>and on soil degradation at the national, subnational and regional levels through a standard monitoring process that allows the creation of regional, national, subnational and local visual maps, georeferenced information systems and databases to indicate the status and trends of soil biodiversity and crop-specific vulnerability to support informed decision</w:t>
      </w:r>
      <w:r>
        <w:rPr>
          <w:rFonts w:asciiTheme="majorBidi" w:hAnsiTheme="majorBidi" w:cstheme="majorBidi"/>
          <w:snapToGrid w:val="0"/>
          <w:kern w:val="22"/>
          <w:szCs w:val="22"/>
        </w:rPr>
        <w:noBreakHyphen/>
      </w:r>
      <w:r w:rsidRPr="00AA309E">
        <w:rPr>
          <w:rFonts w:asciiTheme="majorBidi" w:hAnsiTheme="majorBidi" w:cstheme="majorBidi"/>
          <w:snapToGrid w:val="0"/>
          <w:kern w:val="22"/>
          <w:szCs w:val="22"/>
        </w:rPr>
        <w:t>making and comparisons;</w:t>
      </w:r>
    </w:p>
    <w:p w14:paraId="359C65D3"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4.11</w:t>
      </w:r>
      <w:r w:rsidRPr="00AA309E">
        <w:rPr>
          <w:rFonts w:asciiTheme="majorBidi" w:hAnsiTheme="majorBidi" w:cstheme="majorBidi"/>
          <w:snapToGrid w:val="0"/>
          <w:kern w:val="22"/>
          <w:szCs w:val="22"/>
        </w:rPr>
        <w:t xml:space="preserve"> Promote dissemination, co-creation of knowledge and exchange of information and data, in line with Articles 8(j) and 8(h) of the Convention on Biological Diversity and, through transdisciplinary approaches, ensure that all decision makers and</w:t>
      </w:r>
      <w:r w:rsidRPr="00AA309E" w:rsidDel="00D46D88">
        <w:rPr>
          <w:rFonts w:asciiTheme="majorBidi" w:hAnsiTheme="majorBidi" w:cstheme="majorBidi"/>
          <w:snapToGrid w:val="0"/>
          <w:kern w:val="22"/>
          <w:szCs w:val="22"/>
        </w:rPr>
        <w:t xml:space="preserve"> </w:t>
      </w:r>
      <w:r w:rsidRPr="00AA309E">
        <w:rPr>
          <w:rFonts w:asciiTheme="majorBidi" w:hAnsiTheme="majorBidi" w:cstheme="majorBidi"/>
          <w:snapToGrid w:val="0"/>
          <w:kern w:val="22"/>
          <w:szCs w:val="22"/>
        </w:rPr>
        <w:t>stakeholders have access to reliable and up-to-date information;</w:t>
      </w:r>
    </w:p>
    <w:p w14:paraId="4BFB1AA8"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bCs/>
          <w:snapToGrid w:val="0"/>
          <w:kern w:val="22"/>
          <w:szCs w:val="22"/>
        </w:rPr>
      </w:pPr>
      <w:r w:rsidRPr="00AA309E">
        <w:rPr>
          <w:rFonts w:asciiTheme="majorBidi" w:hAnsiTheme="majorBidi" w:cstheme="majorBidi"/>
          <w:b/>
          <w:snapToGrid w:val="0"/>
          <w:kern w:val="22"/>
          <w:szCs w:val="22"/>
        </w:rPr>
        <w:t>4.12</w:t>
      </w:r>
      <w:r w:rsidRPr="00AA309E">
        <w:rPr>
          <w:rFonts w:asciiTheme="majorBidi" w:hAnsiTheme="majorBidi" w:cstheme="majorBidi"/>
          <w:snapToGrid w:val="0"/>
          <w:kern w:val="22"/>
          <w:szCs w:val="22"/>
        </w:rPr>
        <w:t xml:space="preserve"> Encourage the development of harmonized definitions, standard baselines, indicators and national and subnational-level monitoring activities of soil biodiversity with the inclusion of a vast range of soil organisms, from microorganisms to fauna, as well as monitoring the effectiveness of soil management interventions in the field;</w:t>
      </w:r>
    </w:p>
    <w:p w14:paraId="7B3A720C"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snapToGrid w:val="0"/>
          <w:kern w:val="22"/>
          <w:szCs w:val="22"/>
        </w:rPr>
        <w:t>4.13</w:t>
      </w:r>
      <w:r w:rsidRPr="00AA309E">
        <w:rPr>
          <w:rFonts w:asciiTheme="majorBidi" w:hAnsiTheme="majorBidi" w:cstheme="majorBidi"/>
          <w:snapToGrid w:val="0"/>
          <w:kern w:val="22"/>
          <w:szCs w:val="22"/>
        </w:rPr>
        <w:t xml:space="preserve"> Promote regional cooperation to compile, systematize and share data and lessons resulting from experiences or case studies on the implementation of sustainable soil management practices in the context of agricultural practices with positive impacts on soil biodiversity;</w:t>
      </w:r>
    </w:p>
    <w:p w14:paraId="0C364075"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bCs/>
          <w:snapToGrid w:val="0"/>
          <w:kern w:val="22"/>
          <w:szCs w:val="22"/>
        </w:rPr>
        <w:t>4.14</w:t>
      </w:r>
      <w:r w:rsidRPr="00AA309E">
        <w:rPr>
          <w:rFonts w:asciiTheme="majorBidi" w:hAnsiTheme="majorBidi" w:cstheme="majorBidi"/>
          <w:snapToGrid w:val="0"/>
          <w:kern w:val="22"/>
          <w:szCs w:val="22"/>
        </w:rPr>
        <w:t xml:space="preserve"> Encourage and support the development of community-based monitoring and other information systems or simplified assessment methodologies and tools for measuring soil biodiversity;</w:t>
      </w:r>
    </w:p>
    <w:p w14:paraId="185372FE"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zCs w:val="22"/>
        </w:rPr>
      </w:pPr>
      <w:r w:rsidRPr="00AA309E">
        <w:rPr>
          <w:rFonts w:asciiTheme="majorBidi" w:hAnsiTheme="majorBidi" w:cstheme="majorBidi"/>
          <w:b/>
          <w:bCs/>
          <w:snapToGrid w:val="0"/>
          <w:kern w:val="22"/>
          <w:szCs w:val="22"/>
        </w:rPr>
        <w:t>4.15</w:t>
      </w:r>
      <w:r w:rsidRPr="00AA309E">
        <w:rPr>
          <w:rFonts w:asciiTheme="majorBidi" w:hAnsiTheme="majorBidi" w:cstheme="majorBidi"/>
          <w:snapToGrid w:val="0"/>
          <w:kern w:val="22"/>
          <w:szCs w:val="22"/>
        </w:rPr>
        <w:t xml:space="preserve"> Promote research and capacity-building on sustainable soil management practices that ensure conservation, restoration and sustainable use of soil biodiversity;</w:t>
      </w:r>
      <w:r w:rsidRPr="00AA309E">
        <w:rPr>
          <w:rFonts w:asciiTheme="majorBidi" w:hAnsiTheme="majorBidi" w:cstheme="majorBidi"/>
          <w:szCs w:val="22"/>
        </w:rPr>
        <w:t xml:space="preserve"> </w:t>
      </w:r>
    </w:p>
    <w:p w14:paraId="546F2D60" w14:textId="77777777" w:rsidR="007A11A6" w:rsidRPr="00AA309E" w:rsidRDefault="007A11A6" w:rsidP="008B2808">
      <w:pPr>
        <w:suppressLineNumbers/>
        <w:suppressAutoHyphens/>
        <w:kinsoku w:val="0"/>
        <w:overflowPunct w:val="0"/>
        <w:autoSpaceDE w:val="0"/>
        <w:autoSpaceDN w:val="0"/>
        <w:adjustRightInd w:val="0"/>
        <w:snapToGrid w:val="0"/>
        <w:spacing w:before="120" w:after="120"/>
        <w:rPr>
          <w:rFonts w:asciiTheme="majorBidi" w:hAnsiTheme="majorBidi" w:cstheme="majorBidi"/>
          <w:snapToGrid w:val="0"/>
          <w:kern w:val="22"/>
          <w:szCs w:val="22"/>
        </w:rPr>
      </w:pPr>
      <w:r w:rsidRPr="00AA309E">
        <w:rPr>
          <w:rFonts w:asciiTheme="majorBidi" w:hAnsiTheme="majorBidi" w:cstheme="majorBidi"/>
          <w:b/>
          <w:bCs/>
          <w:snapToGrid w:val="0"/>
          <w:kern w:val="22"/>
          <w:szCs w:val="22"/>
        </w:rPr>
        <w:t>4.16</w:t>
      </w:r>
      <w:r w:rsidRPr="00AA309E">
        <w:rPr>
          <w:rFonts w:asciiTheme="majorBidi" w:hAnsiTheme="majorBidi" w:cstheme="majorBidi"/>
          <w:snapToGrid w:val="0"/>
          <w:kern w:val="22"/>
          <w:szCs w:val="22"/>
        </w:rPr>
        <w:tab/>
        <w:t xml:space="preserve">Promote development of commercial application, in a sustainable manner, of products based on soil biodiversity. </w:t>
      </w:r>
    </w:p>
    <w:p w14:paraId="482C9111" w14:textId="77777777" w:rsidR="007A11A6" w:rsidRPr="00AA309E" w:rsidRDefault="007A11A6" w:rsidP="0014390F">
      <w:pPr>
        <w:pStyle w:val="Heading1-compilation"/>
        <w:ind w:left="1418" w:hanging="709"/>
        <w:jc w:val="left"/>
        <w:rPr>
          <w:szCs w:val="22"/>
        </w:rPr>
      </w:pPr>
      <w:bookmarkStart w:id="359" w:name="_Toc118354936"/>
      <w:bookmarkStart w:id="360" w:name="_Toc150670315"/>
      <w:bookmarkStart w:id="361" w:name="_Toc150670532"/>
      <w:bookmarkStart w:id="362" w:name="_Toc150670642"/>
      <w:r w:rsidRPr="00AA309E">
        <w:rPr>
          <w:szCs w:val="22"/>
        </w:rPr>
        <w:t>VI.</w:t>
      </w:r>
      <w:r w:rsidRPr="00AA309E">
        <w:rPr>
          <w:szCs w:val="22"/>
        </w:rPr>
        <w:tab/>
        <w:t>Supporting voluntary guidance, tools, organizations and initiatives relating to the conservation and sustainable use of soil biodiversity</w:t>
      </w:r>
      <w:bookmarkEnd w:id="359"/>
      <w:bookmarkEnd w:id="360"/>
      <w:bookmarkEnd w:id="361"/>
      <w:bookmarkEnd w:id="362"/>
    </w:p>
    <w:p w14:paraId="70C6272B" w14:textId="77777777" w:rsidR="007A11A6" w:rsidRPr="00AA309E" w:rsidRDefault="007A11A6" w:rsidP="004219B9">
      <w:pPr>
        <w:pStyle w:val="Para1"/>
        <w:numPr>
          <w:ilvl w:val="0"/>
          <w:numId w:val="0"/>
        </w:numPr>
        <w:suppressLineNumbers/>
        <w:suppressAutoHyphens/>
        <w:kinsoku w:val="0"/>
        <w:adjustRightInd w:val="0"/>
        <w:rPr>
          <w:rFonts w:asciiTheme="majorBidi" w:hAnsiTheme="majorBidi" w:cstheme="majorBidi"/>
        </w:rPr>
      </w:pPr>
      <w:r w:rsidRPr="00AA309E">
        <w:rPr>
          <w:rFonts w:asciiTheme="majorBidi" w:hAnsiTheme="majorBidi" w:cstheme="majorBidi"/>
        </w:rPr>
        <w:t>22.</w:t>
      </w:r>
      <w:r w:rsidRPr="00AA309E">
        <w:rPr>
          <w:rFonts w:asciiTheme="majorBidi" w:hAnsiTheme="majorBidi" w:cstheme="majorBidi"/>
        </w:rPr>
        <w:tab/>
        <w:t>Relevant voluntary guidance and tools developed under the Convention, and those developed by partner and relevant organizations and initiatives, such as the Voluntary Guidelines for Sustainable Soil Management and the World Soil Charter, issued by FAO, will be made available in the clearing-house mechanisms.</w:t>
      </w:r>
    </w:p>
    <w:p w14:paraId="774B222F" w14:textId="77777777" w:rsidR="004678BE" w:rsidRDefault="004678BE" w:rsidP="004219B9">
      <w:pPr>
        <w:pStyle w:val="Para1"/>
        <w:numPr>
          <w:ilvl w:val="0"/>
          <w:numId w:val="0"/>
        </w:numPr>
        <w:jc w:val="center"/>
        <w:sectPr w:rsidR="004678BE" w:rsidSect="00441700">
          <w:footnotePr>
            <w:numRestart w:val="eachSect"/>
          </w:footnotePr>
          <w:pgSz w:w="12240" w:h="15840"/>
          <w:pgMar w:top="567" w:right="1440" w:bottom="1134" w:left="1440" w:header="709" w:footer="709" w:gutter="0"/>
          <w:cols w:space="708"/>
          <w:docGrid w:linePitch="360"/>
        </w:sectPr>
      </w:pPr>
    </w:p>
    <w:p w14:paraId="3233F172" w14:textId="77777777" w:rsidR="004678BE" w:rsidRPr="0014390F" w:rsidRDefault="004678BE" w:rsidP="0014390F">
      <w:pPr>
        <w:pStyle w:val="decision"/>
        <w:rPr>
          <w:b w:val="0"/>
          <w:bCs/>
          <w:caps/>
        </w:rPr>
      </w:pPr>
      <w:bookmarkStart w:id="363" w:name="_Toc150438827"/>
      <w:bookmarkStart w:id="364" w:name="_Toc150670533"/>
      <w:bookmarkStart w:id="365" w:name="_Toc150670643"/>
      <w:bookmarkStart w:id="366" w:name="_Toc150761139"/>
      <w:r w:rsidRPr="0014390F">
        <w:rPr>
          <w:rStyle w:val="Heading2Char"/>
          <w:rFonts w:eastAsia="Malgun Gothic"/>
          <w:b/>
          <w:bCs w:val="0"/>
        </w:rPr>
        <w:t>15/29.</w:t>
      </w:r>
      <w:r w:rsidRPr="0014390F">
        <w:rPr>
          <w:rStyle w:val="Heading2Char"/>
          <w:rFonts w:eastAsia="Malgun Gothic"/>
          <w:b/>
          <w:bCs w:val="0"/>
        </w:rPr>
        <w:tab/>
        <w:t>Biodiversity and health</w:t>
      </w:r>
      <w:bookmarkEnd w:id="363"/>
      <w:bookmarkEnd w:id="364"/>
      <w:bookmarkEnd w:id="365"/>
      <w:bookmarkEnd w:id="366"/>
      <w:r w:rsidRPr="0014390F">
        <w:rPr>
          <w:b w:val="0"/>
          <w:bCs/>
          <w:caps/>
        </w:rPr>
        <w:t xml:space="preserve"> </w:t>
      </w:r>
    </w:p>
    <w:p w14:paraId="0DC269F9" w14:textId="77777777" w:rsidR="004678BE" w:rsidRPr="00041908" w:rsidRDefault="004678BE" w:rsidP="00926DEB">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041908">
        <w:rPr>
          <w:i/>
          <w:iCs/>
          <w:snapToGrid w:val="0"/>
          <w:kern w:val="22"/>
          <w:szCs w:val="22"/>
        </w:rPr>
        <w:t>The Conference of the Parties,</w:t>
      </w:r>
    </w:p>
    <w:p w14:paraId="76683AD6" w14:textId="77777777" w:rsidR="004678BE" w:rsidRPr="00041908" w:rsidRDefault="004678BE" w:rsidP="00926DEB">
      <w:pPr>
        <w:suppressLineNumbers/>
        <w:suppressAutoHyphens/>
        <w:kinsoku w:val="0"/>
        <w:overflowPunct w:val="0"/>
        <w:autoSpaceDE w:val="0"/>
        <w:autoSpaceDN w:val="0"/>
        <w:adjustRightInd w:val="0"/>
        <w:snapToGrid w:val="0"/>
        <w:spacing w:before="120" w:after="120" w:line="235" w:lineRule="auto"/>
        <w:ind w:firstLine="720"/>
        <w:rPr>
          <w:snapToGrid w:val="0"/>
          <w:kern w:val="22"/>
          <w:szCs w:val="22"/>
        </w:rPr>
      </w:pPr>
      <w:r w:rsidRPr="00041908">
        <w:rPr>
          <w:i/>
          <w:iCs/>
          <w:kern w:val="22"/>
          <w:szCs w:val="22"/>
        </w:rPr>
        <w:t xml:space="preserve">Recalling </w:t>
      </w:r>
      <w:r w:rsidRPr="00041908">
        <w:rPr>
          <w:kern w:val="22"/>
          <w:szCs w:val="22"/>
        </w:rPr>
        <w:t xml:space="preserve">decisions XII/21, XIII/6 and </w:t>
      </w:r>
      <w:r w:rsidRPr="00041908">
        <w:rPr>
          <w:snapToGrid w:val="0"/>
          <w:kern w:val="22"/>
          <w:szCs w:val="22"/>
        </w:rPr>
        <w:t xml:space="preserve">14/4 </w:t>
      </w:r>
      <w:r w:rsidRPr="00041908">
        <w:rPr>
          <w:kern w:val="22"/>
          <w:szCs w:val="22"/>
        </w:rPr>
        <w:t>on biodiversity and health and decision XIII/3</w:t>
      </w:r>
      <w:r w:rsidRPr="00041908">
        <w:rPr>
          <w:snapToGrid w:val="0"/>
          <w:kern w:val="22"/>
          <w:szCs w:val="22"/>
        </w:rPr>
        <w:t xml:space="preserve"> </w:t>
      </w:r>
      <w:r w:rsidRPr="00041908">
        <w:rPr>
          <w:kern w:val="22"/>
          <w:szCs w:val="22"/>
        </w:rPr>
        <w:t>on the mainstreaming and integration of biodiversity within and across sectors</w:t>
      </w:r>
      <w:r w:rsidRPr="00041908">
        <w:rPr>
          <w:snapToGrid w:val="0"/>
          <w:kern w:val="22"/>
          <w:szCs w:val="22"/>
        </w:rPr>
        <w:t xml:space="preserve">, </w:t>
      </w:r>
    </w:p>
    <w:p w14:paraId="17A62B97" w14:textId="77777777" w:rsidR="004678BE" w:rsidRPr="00041908" w:rsidRDefault="004678BE" w:rsidP="00926DEB">
      <w:pPr>
        <w:suppressLineNumbers/>
        <w:suppressAutoHyphens/>
        <w:kinsoku w:val="0"/>
        <w:overflowPunct w:val="0"/>
        <w:autoSpaceDE w:val="0"/>
        <w:autoSpaceDN w:val="0"/>
        <w:adjustRightInd w:val="0"/>
        <w:snapToGrid w:val="0"/>
        <w:spacing w:before="120" w:after="120" w:line="235" w:lineRule="auto"/>
        <w:ind w:firstLine="720"/>
        <w:rPr>
          <w:szCs w:val="22"/>
        </w:rPr>
      </w:pPr>
      <w:r w:rsidRPr="00041908">
        <w:rPr>
          <w:i/>
          <w:iCs/>
          <w:snapToGrid w:val="0"/>
          <w:kern w:val="22"/>
          <w:szCs w:val="22"/>
        </w:rPr>
        <w:t>Recalling</w:t>
      </w:r>
      <w:r>
        <w:rPr>
          <w:i/>
          <w:iCs/>
          <w:snapToGrid w:val="0"/>
          <w:kern w:val="22"/>
          <w:szCs w:val="22"/>
        </w:rPr>
        <w:t xml:space="preserve"> also</w:t>
      </w:r>
      <w:r w:rsidRPr="00041908">
        <w:rPr>
          <w:snapToGrid w:val="0"/>
          <w:kern w:val="22"/>
          <w:szCs w:val="22"/>
        </w:rPr>
        <w:t xml:space="preserve"> </w:t>
      </w:r>
      <w:r w:rsidRPr="00041908">
        <w:rPr>
          <w:szCs w:val="22"/>
        </w:rPr>
        <w:t xml:space="preserve">the Sharm El-Sheikh declaration on the theme of </w:t>
      </w:r>
      <w:r>
        <w:rPr>
          <w:szCs w:val="22"/>
          <w:lang w:val="en-US"/>
        </w:rPr>
        <w:t>“</w:t>
      </w:r>
      <w:r w:rsidRPr="00041908">
        <w:rPr>
          <w:i/>
          <w:iCs/>
          <w:szCs w:val="22"/>
        </w:rPr>
        <w:t>Investing in biodiversity for people and planet</w:t>
      </w:r>
      <w:r>
        <w:rPr>
          <w:i/>
          <w:iCs/>
          <w:szCs w:val="22"/>
        </w:rPr>
        <w:t>”</w:t>
      </w:r>
      <w:r w:rsidRPr="00041908">
        <w:rPr>
          <w:i/>
          <w:iCs/>
          <w:snapToGrid w:val="0"/>
          <w:kern w:val="22"/>
          <w:szCs w:val="22"/>
        </w:rPr>
        <w:t xml:space="preserve"> </w:t>
      </w:r>
      <w:r w:rsidRPr="00041908">
        <w:rPr>
          <w:snapToGrid w:val="0"/>
          <w:kern w:val="22"/>
          <w:szCs w:val="22"/>
        </w:rPr>
        <w:t xml:space="preserve">and the </w:t>
      </w:r>
      <w:r w:rsidRPr="00041908">
        <w:rPr>
          <w:szCs w:val="22"/>
        </w:rPr>
        <w:t xml:space="preserve">Kunming declaration on the theme of </w:t>
      </w:r>
      <w:r w:rsidRPr="1E17E60F">
        <w:rPr>
          <w:snapToGrid w:val="0"/>
          <w:kern w:val="22"/>
        </w:rPr>
        <w:t>“</w:t>
      </w:r>
      <w:r w:rsidRPr="00041908">
        <w:rPr>
          <w:i/>
          <w:iCs/>
          <w:szCs w:val="22"/>
        </w:rPr>
        <w:t>Ecological civilization: building a shared future for all life on Earth</w:t>
      </w:r>
      <w:r w:rsidRPr="1E17E60F">
        <w:rPr>
          <w:snapToGrid w:val="0"/>
          <w:kern w:val="22"/>
        </w:rPr>
        <w:t>”</w:t>
      </w:r>
      <w:r w:rsidRPr="00041908">
        <w:rPr>
          <w:szCs w:val="22"/>
        </w:rPr>
        <w:t>,</w:t>
      </w:r>
      <w:r>
        <w:rPr>
          <w:szCs w:val="22"/>
        </w:rPr>
        <w:t xml:space="preserve"> </w:t>
      </w:r>
    </w:p>
    <w:p w14:paraId="5CE2FF78" w14:textId="77777777" w:rsidR="004678BE" w:rsidRDefault="004678BE" w:rsidP="00926DEB">
      <w:pPr>
        <w:spacing w:before="120" w:after="120"/>
        <w:ind w:firstLine="720"/>
      </w:pPr>
      <w:r w:rsidRPr="1E17E60F">
        <w:rPr>
          <w:i/>
          <w:iCs/>
          <w:snapToGrid w:val="0"/>
          <w:kern w:val="22"/>
        </w:rPr>
        <w:t>Noting</w:t>
      </w:r>
      <w:r>
        <w:rPr>
          <w:i/>
          <w:iCs/>
          <w:snapToGrid w:val="0"/>
          <w:kern w:val="22"/>
        </w:rPr>
        <w:t xml:space="preserve"> </w:t>
      </w:r>
      <w:r w:rsidRPr="1E17E60F">
        <w:rPr>
          <w:snapToGrid w:val="0"/>
          <w:kern w:val="22"/>
        </w:rPr>
        <w:t>resolution</w:t>
      </w:r>
      <w:r>
        <w:rPr>
          <w:snapToGrid w:val="0"/>
          <w:kern w:val="22"/>
          <w:szCs w:val="22"/>
        </w:rPr>
        <w:t xml:space="preserve"> </w:t>
      </w:r>
      <w:r w:rsidRPr="00901486">
        <w:rPr>
          <w:snapToGrid w:val="0"/>
          <w:kern w:val="22"/>
        </w:rPr>
        <w:t>76/300</w:t>
      </w:r>
      <w:r>
        <w:rPr>
          <w:snapToGrid w:val="0"/>
          <w:kern w:val="22"/>
          <w:szCs w:val="22"/>
        </w:rPr>
        <w:t xml:space="preserve"> </w:t>
      </w:r>
      <w:r w:rsidRPr="1E17E60F">
        <w:rPr>
          <w:snapToGrid w:val="0"/>
          <w:kern w:val="22"/>
        </w:rPr>
        <w:t xml:space="preserve">entitled “The human right to a clean, healthy and sustainable environment” adopted by </w:t>
      </w:r>
      <w:r>
        <w:rPr>
          <w:snapToGrid w:val="0"/>
          <w:kern w:val="22"/>
        </w:rPr>
        <w:t>the United Nations General Assembly</w:t>
      </w:r>
      <w:r w:rsidRPr="1E17E60F">
        <w:rPr>
          <w:snapToGrid w:val="0"/>
          <w:kern w:val="22"/>
        </w:rPr>
        <w:t>,</w:t>
      </w:r>
      <w:r>
        <w:rPr>
          <w:snapToGrid w:val="0"/>
          <w:kern w:val="22"/>
          <w:szCs w:val="22"/>
        </w:rPr>
        <w:t xml:space="preserve"> and resolution 50</w:t>
      </w:r>
      <w:r w:rsidRPr="00901486">
        <w:rPr>
          <w:snapToGrid w:val="0"/>
          <w:kern w:val="22"/>
        </w:rPr>
        <w:t>/</w:t>
      </w:r>
      <w:r>
        <w:rPr>
          <w:snapToGrid w:val="0"/>
          <w:kern w:val="22"/>
          <w:szCs w:val="22"/>
        </w:rPr>
        <w:t xml:space="preserve">13 entitled </w:t>
      </w:r>
      <w:r w:rsidRPr="1E17E60F">
        <w:rPr>
          <w:snapToGrid w:val="0"/>
          <w:kern w:val="22"/>
        </w:rPr>
        <w:t>“</w:t>
      </w:r>
      <w:r>
        <w:rPr>
          <w:snapToGrid w:val="0"/>
          <w:kern w:val="22"/>
          <w:szCs w:val="22"/>
        </w:rPr>
        <w:t xml:space="preserve">Access to medicines, vaccines and other health products in the context of the right of everyone to the enjoyment of the highest attainable standard of physical and mental health” adopted by the Human Rights Council, </w:t>
      </w:r>
    </w:p>
    <w:p w14:paraId="0B6F809A" w14:textId="77777777" w:rsidR="004678BE" w:rsidRDefault="004678BE" w:rsidP="00926DEB">
      <w:pPr>
        <w:spacing w:before="120" w:after="120"/>
        <w:ind w:firstLine="720"/>
        <w:rPr>
          <w:color w:val="000000" w:themeColor="text1"/>
          <w:szCs w:val="22"/>
        </w:rPr>
      </w:pPr>
      <w:r>
        <w:rPr>
          <w:i/>
          <w:iCs/>
          <w:color w:val="000000" w:themeColor="text1"/>
          <w:szCs w:val="22"/>
        </w:rPr>
        <w:t>N</w:t>
      </w:r>
      <w:r w:rsidRPr="00041908">
        <w:rPr>
          <w:i/>
          <w:iCs/>
          <w:color w:val="000000" w:themeColor="text1"/>
          <w:szCs w:val="22"/>
        </w:rPr>
        <w:t>oting</w:t>
      </w:r>
      <w:r>
        <w:rPr>
          <w:i/>
          <w:iCs/>
          <w:color w:val="000000" w:themeColor="text1"/>
          <w:szCs w:val="22"/>
        </w:rPr>
        <w:t xml:space="preserve"> also</w:t>
      </w:r>
      <w:r w:rsidRPr="00041908">
        <w:rPr>
          <w:color w:val="000000" w:themeColor="text1"/>
          <w:szCs w:val="22"/>
        </w:rPr>
        <w:t xml:space="preserve"> resolution 5/</w:t>
      </w:r>
      <w:r>
        <w:rPr>
          <w:color w:val="000000" w:themeColor="text1"/>
          <w:szCs w:val="22"/>
        </w:rPr>
        <w:t>6</w:t>
      </w:r>
      <w:r w:rsidRPr="00041908">
        <w:rPr>
          <w:color w:val="000000" w:themeColor="text1"/>
          <w:szCs w:val="22"/>
        </w:rPr>
        <w:t xml:space="preserve"> on biodiversity and health of the </w:t>
      </w:r>
      <w:r>
        <w:rPr>
          <w:color w:val="000000" w:themeColor="text1"/>
          <w:szCs w:val="22"/>
        </w:rPr>
        <w:t xml:space="preserve">fifth session of the </w:t>
      </w:r>
      <w:r w:rsidRPr="00041908">
        <w:rPr>
          <w:color w:val="000000" w:themeColor="text1"/>
          <w:szCs w:val="22"/>
        </w:rPr>
        <w:t>United Nations Environment Assembly</w:t>
      </w:r>
      <w:r>
        <w:rPr>
          <w:color w:val="000000" w:themeColor="text1"/>
          <w:szCs w:val="22"/>
        </w:rPr>
        <w:t xml:space="preserve"> of the</w:t>
      </w:r>
      <w:r>
        <w:t xml:space="preserve"> United Nations Environment Programme</w:t>
      </w:r>
      <w:r>
        <w:rPr>
          <w:color w:val="000000" w:themeColor="text1"/>
          <w:szCs w:val="22"/>
        </w:rPr>
        <w:t xml:space="preserve">, </w:t>
      </w:r>
    </w:p>
    <w:p w14:paraId="4FA55DE6" w14:textId="77777777" w:rsidR="004678BE" w:rsidRDefault="004678BE" w:rsidP="00926DEB">
      <w:pPr>
        <w:suppressLineNumbers/>
        <w:suppressAutoHyphens/>
        <w:kinsoku w:val="0"/>
        <w:overflowPunct w:val="0"/>
        <w:autoSpaceDE w:val="0"/>
        <w:autoSpaceDN w:val="0"/>
        <w:adjustRightInd w:val="0"/>
        <w:snapToGrid w:val="0"/>
        <w:spacing w:before="120" w:after="120"/>
        <w:ind w:firstLine="720"/>
        <w:rPr>
          <w:kern w:val="22"/>
          <w:szCs w:val="22"/>
        </w:rPr>
      </w:pPr>
      <w:r>
        <w:rPr>
          <w:i/>
          <w:iCs/>
          <w:kern w:val="22"/>
          <w:szCs w:val="22"/>
        </w:rPr>
        <w:t xml:space="preserve">Taking note </w:t>
      </w:r>
      <w:r w:rsidRPr="0053533E">
        <w:rPr>
          <w:kern w:val="22"/>
          <w:szCs w:val="22"/>
        </w:rPr>
        <w:t>of</w:t>
      </w:r>
      <w:r>
        <w:rPr>
          <w:i/>
          <w:iCs/>
          <w:kern w:val="22"/>
          <w:szCs w:val="22"/>
        </w:rPr>
        <w:t xml:space="preserve"> </w:t>
      </w:r>
      <w:r>
        <w:rPr>
          <w:kern w:val="22"/>
          <w:szCs w:val="22"/>
        </w:rPr>
        <w:t xml:space="preserve">the definition of One Health by the </w:t>
      </w:r>
      <w:r w:rsidRPr="00041908">
        <w:rPr>
          <w:kern w:val="22"/>
          <w:szCs w:val="22"/>
        </w:rPr>
        <w:t>One Health High-</w:t>
      </w:r>
      <w:r>
        <w:rPr>
          <w:kern w:val="22"/>
          <w:szCs w:val="22"/>
        </w:rPr>
        <w:t>L</w:t>
      </w:r>
      <w:r w:rsidRPr="00041908">
        <w:rPr>
          <w:kern w:val="22"/>
          <w:szCs w:val="22"/>
        </w:rPr>
        <w:t>evel Expert Panel</w:t>
      </w:r>
      <w:r>
        <w:rPr>
          <w:kern w:val="22"/>
          <w:szCs w:val="22"/>
          <w:lang w:val="en-US"/>
        </w:rPr>
        <w:t xml:space="preserve">: </w:t>
      </w:r>
    </w:p>
    <w:p w14:paraId="1610251D" w14:textId="77777777" w:rsidR="004678BE" w:rsidRDefault="004678BE" w:rsidP="007D6C03">
      <w:pPr>
        <w:suppressLineNumbers/>
        <w:suppressAutoHyphens/>
        <w:kinsoku w:val="0"/>
        <w:overflowPunct w:val="0"/>
        <w:autoSpaceDE w:val="0"/>
        <w:autoSpaceDN w:val="0"/>
        <w:adjustRightInd w:val="0"/>
        <w:snapToGrid w:val="0"/>
        <w:spacing w:before="120" w:after="120" w:line="235" w:lineRule="auto"/>
        <w:ind w:left="709"/>
        <w:rPr>
          <w:kern w:val="22"/>
          <w:szCs w:val="22"/>
        </w:rPr>
      </w:pPr>
      <w:r>
        <w:rPr>
          <w:kern w:val="22"/>
          <w:szCs w:val="22"/>
        </w:rPr>
        <w:t>“</w:t>
      </w:r>
      <w:r w:rsidRPr="00821ACC">
        <w:rPr>
          <w:kern w:val="22"/>
          <w:szCs w:val="22"/>
        </w:rPr>
        <w:t>One Health is an integrated, unifying approach that aims to sustainably balance and optimize the health of people, animals and ecosystems. It recognizes the health of humans, domestic and wild animals, plants, and the wider environment (including ecosystems) are closely linked and inter-dependent.</w:t>
      </w:r>
      <w:r>
        <w:rPr>
          <w:kern w:val="22"/>
          <w:szCs w:val="22"/>
        </w:rPr>
        <w:t xml:space="preserve"> </w:t>
      </w:r>
      <w:r w:rsidRPr="00821ACC">
        <w:rPr>
          <w:kern w:val="22"/>
          <w:szCs w:val="22"/>
        </w:rPr>
        <w:t>The approach mobilizes multiple sectors, disciplines and communities at varying levels of society to work together to foster well-being and tackle threats to health and ecosystems, while addressing the collective need for clean water, energy and air, safe and nutritious food, taking action on climate change, and contributing to sustainable development.</w:t>
      </w:r>
      <w:r>
        <w:rPr>
          <w:kern w:val="22"/>
          <w:szCs w:val="22"/>
        </w:rPr>
        <w:t xml:space="preserve">” </w:t>
      </w:r>
    </w:p>
    <w:p w14:paraId="046C73E0" w14:textId="77777777" w:rsidR="004678BE" w:rsidRDefault="004678BE" w:rsidP="00926DEB">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Pr>
          <w:i/>
          <w:iCs/>
          <w:kern w:val="22"/>
          <w:szCs w:val="22"/>
        </w:rPr>
        <w:t xml:space="preserve">Noting </w:t>
      </w:r>
      <w:r>
        <w:rPr>
          <w:kern w:val="22"/>
          <w:szCs w:val="22"/>
        </w:rPr>
        <w:t>that this definition has not been discussed or agree</w:t>
      </w:r>
      <w:r w:rsidRPr="00AF0FA9">
        <w:rPr>
          <w:kern w:val="22"/>
          <w:szCs w:val="22"/>
        </w:rPr>
        <w:t>d by</w:t>
      </w:r>
      <w:r>
        <w:rPr>
          <w:kern w:val="22"/>
          <w:szCs w:val="22"/>
        </w:rPr>
        <w:t xml:space="preserve"> the Conference of the Parties or by the Conference of the Parties serving as the meetings of the Parties to the Cartagena and Nagoya Protocols, </w:t>
      </w:r>
    </w:p>
    <w:p w14:paraId="4FA5FD8A" w14:textId="77777777" w:rsidR="004678BE" w:rsidRDefault="004678BE" w:rsidP="006F46A7">
      <w:pPr>
        <w:spacing w:before="120" w:after="120"/>
        <w:ind w:firstLine="720"/>
        <w:rPr>
          <w:i/>
          <w:iCs/>
          <w:kern w:val="22"/>
          <w:szCs w:val="22"/>
        </w:rPr>
      </w:pPr>
      <w:r>
        <w:rPr>
          <w:i/>
          <w:iCs/>
          <w:color w:val="000000" w:themeColor="text1"/>
          <w:szCs w:val="22"/>
        </w:rPr>
        <w:t>N</w:t>
      </w:r>
      <w:r w:rsidRPr="005D4DCF">
        <w:rPr>
          <w:i/>
          <w:iCs/>
          <w:color w:val="000000" w:themeColor="text1"/>
          <w:szCs w:val="22"/>
        </w:rPr>
        <w:t>oting</w:t>
      </w:r>
      <w:r>
        <w:rPr>
          <w:i/>
          <w:iCs/>
          <w:color w:val="000000" w:themeColor="text1"/>
          <w:szCs w:val="22"/>
        </w:rPr>
        <w:t xml:space="preserve"> also</w:t>
      </w:r>
      <w:r>
        <w:rPr>
          <w:color w:val="000000" w:themeColor="text1"/>
          <w:szCs w:val="22"/>
        </w:rPr>
        <w:t xml:space="preserve"> the One Health Joint Plan of Action by the Quadripartite for One Health (comprising the World Health Organization, the World Organisation for Animal Health, the Food and Agriculture Organization of the United Nations and the United Nations Environment Programme),</w:t>
      </w:r>
    </w:p>
    <w:p w14:paraId="2DFC7492" w14:textId="77777777" w:rsidR="004678BE" w:rsidRDefault="004678BE" w:rsidP="00926DEB">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sidRPr="00041908">
        <w:rPr>
          <w:i/>
          <w:iCs/>
          <w:kern w:val="22"/>
          <w:szCs w:val="22"/>
        </w:rPr>
        <w:t>Recognizing</w:t>
      </w:r>
      <w:r w:rsidRPr="00041908">
        <w:rPr>
          <w:kern w:val="22"/>
          <w:szCs w:val="22"/>
        </w:rPr>
        <w:t xml:space="preserve"> that the COVID-19 pandemic has further highlighted the importance of the relationship between </w:t>
      </w:r>
      <w:r>
        <w:rPr>
          <w:kern w:val="22"/>
          <w:szCs w:val="22"/>
        </w:rPr>
        <w:t xml:space="preserve">health and well-being, </w:t>
      </w:r>
      <w:r w:rsidRPr="00041908">
        <w:rPr>
          <w:kern w:val="22"/>
          <w:szCs w:val="22"/>
        </w:rPr>
        <w:t xml:space="preserve">and biodiversity, </w:t>
      </w:r>
      <w:r>
        <w:rPr>
          <w:kern w:val="22"/>
          <w:szCs w:val="22"/>
        </w:rPr>
        <w:t xml:space="preserve">including </w:t>
      </w:r>
      <w:r w:rsidRPr="00041908">
        <w:rPr>
          <w:kern w:val="22"/>
          <w:szCs w:val="22"/>
        </w:rPr>
        <w:t>the urgent need to reduce pressures on habitat</w:t>
      </w:r>
      <w:r>
        <w:rPr>
          <w:kern w:val="22"/>
          <w:szCs w:val="22"/>
        </w:rPr>
        <w:t>s,</w:t>
      </w:r>
      <w:r w:rsidRPr="00041908">
        <w:rPr>
          <w:kern w:val="22"/>
          <w:szCs w:val="22"/>
        </w:rPr>
        <w:t xml:space="preserve"> and </w:t>
      </w:r>
      <w:r>
        <w:rPr>
          <w:kern w:val="22"/>
          <w:szCs w:val="22"/>
        </w:rPr>
        <w:t xml:space="preserve">to decrease </w:t>
      </w:r>
      <w:r w:rsidRPr="00041908">
        <w:rPr>
          <w:kern w:val="22"/>
          <w:szCs w:val="22"/>
        </w:rPr>
        <w:t xml:space="preserve">ecosystem degradation and consequently reduce the risk </w:t>
      </w:r>
      <w:r>
        <w:rPr>
          <w:kern w:val="22"/>
          <w:szCs w:val="22"/>
        </w:rPr>
        <w:t>of pathogen</w:t>
      </w:r>
      <w:r w:rsidRPr="00041908">
        <w:rPr>
          <w:kern w:val="22"/>
          <w:szCs w:val="22"/>
        </w:rPr>
        <w:t xml:space="preserve"> spillover and </w:t>
      </w:r>
      <w:r w:rsidRPr="005A4669">
        <w:rPr>
          <w:kern w:val="22"/>
          <w:szCs w:val="22"/>
        </w:rPr>
        <w:t>outbreaks, the</w:t>
      </w:r>
      <w:r w:rsidRPr="00041908">
        <w:rPr>
          <w:kern w:val="22"/>
          <w:szCs w:val="22"/>
        </w:rPr>
        <w:t xml:space="preserve"> importance of early </w:t>
      </w:r>
      <w:r>
        <w:rPr>
          <w:kern w:val="22"/>
          <w:szCs w:val="22"/>
        </w:rPr>
        <w:t>warning, surveillance</w:t>
      </w:r>
      <w:r w:rsidRPr="00041908">
        <w:rPr>
          <w:kern w:val="22"/>
          <w:szCs w:val="22"/>
        </w:rPr>
        <w:t xml:space="preserve"> and</w:t>
      </w:r>
      <w:r>
        <w:rPr>
          <w:kern w:val="22"/>
          <w:szCs w:val="22"/>
        </w:rPr>
        <w:t xml:space="preserve"> prompt</w:t>
      </w:r>
      <w:r w:rsidRPr="00041908">
        <w:rPr>
          <w:kern w:val="22"/>
          <w:szCs w:val="22"/>
        </w:rPr>
        <w:t xml:space="preserve"> information-sharing for pandemic prevention, preparedness and response, and the need to address inequities in global health</w:t>
      </w:r>
      <w:r>
        <w:rPr>
          <w:kern w:val="22"/>
          <w:szCs w:val="22"/>
        </w:rPr>
        <w:t>, including with respect to equitable access to medicines, vaccines, diagnostics, and medical equipment</w:t>
      </w:r>
      <w:r w:rsidRPr="00041908">
        <w:rPr>
          <w:kern w:val="22"/>
          <w:szCs w:val="22"/>
        </w:rPr>
        <w:t xml:space="preserve">, </w:t>
      </w:r>
    </w:p>
    <w:p w14:paraId="4910CBEC" w14:textId="77777777" w:rsidR="004678BE" w:rsidRPr="00041908" w:rsidRDefault="004678BE" w:rsidP="00926DEB">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sidRPr="0022146D">
        <w:rPr>
          <w:i/>
          <w:iCs/>
          <w:kern w:val="22"/>
          <w:szCs w:val="22"/>
        </w:rPr>
        <w:t>Recognizing</w:t>
      </w:r>
      <w:r>
        <w:rPr>
          <w:i/>
          <w:iCs/>
          <w:kern w:val="22"/>
          <w:szCs w:val="22"/>
        </w:rPr>
        <w:t xml:space="preserve"> also</w:t>
      </w:r>
      <w:r>
        <w:rPr>
          <w:kern w:val="22"/>
          <w:szCs w:val="22"/>
        </w:rPr>
        <w:t xml:space="preserve"> the relevance of sustainable consumption and production patterns on biodiversity and health linkages, </w:t>
      </w:r>
    </w:p>
    <w:p w14:paraId="246BF022" w14:textId="77777777" w:rsidR="004678BE" w:rsidRPr="00041908" w:rsidRDefault="004678BE" w:rsidP="00757A9C">
      <w:pPr>
        <w:suppressLineNumbers/>
        <w:suppressAutoHyphens/>
        <w:kinsoku w:val="0"/>
        <w:overflowPunct w:val="0"/>
        <w:autoSpaceDE w:val="0"/>
        <w:autoSpaceDN w:val="0"/>
        <w:adjustRightInd w:val="0"/>
        <w:snapToGrid w:val="0"/>
        <w:spacing w:before="120" w:after="120" w:line="235" w:lineRule="auto"/>
        <w:ind w:firstLine="720"/>
        <w:rPr>
          <w:kern w:val="22"/>
          <w:szCs w:val="22"/>
        </w:rPr>
      </w:pPr>
      <w:r w:rsidRPr="00757A9C">
        <w:rPr>
          <w:i/>
          <w:iCs/>
          <w:kern w:val="22"/>
          <w:szCs w:val="22"/>
        </w:rPr>
        <w:t>Recogn</w:t>
      </w:r>
      <w:r w:rsidRPr="00041908">
        <w:rPr>
          <w:i/>
          <w:iCs/>
          <w:kern w:val="22"/>
          <w:szCs w:val="22"/>
        </w:rPr>
        <w:t>izing</w:t>
      </w:r>
      <w:r>
        <w:rPr>
          <w:i/>
          <w:iCs/>
          <w:kern w:val="22"/>
          <w:szCs w:val="22"/>
        </w:rPr>
        <w:t xml:space="preserve"> further</w:t>
      </w:r>
      <w:r w:rsidRPr="00041908">
        <w:rPr>
          <w:i/>
          <w:iCs/>
          <w:kern w:val="22"/>
          <w:szCs w:val="22"/>
        </w:rPr>
        <w:t xml:space="preserve"> </w:t>
      </w:r>
      <w:r w:rsidRPr="00041908">
        <w:rPr>
          <w:kern w:val="22"/>
          <w:szCs w:val="22"/>
        </w:rPr>
        <w:t xml:space="preserve">that </w:t>
      </w:r>
      <w:r>
        <w:rPr>
          <w:kern w:val="22"/>
          <w:szCs w:val="22"/>
        </w:rPr>
        <w:t xml:space="preserve">the </w:t>
      </w:r>
      <w:r w:rsidRPr="00041908">
        <w:rPr>
          <w:kern w:val="22"/>
          <w:szCs w:val="22"/>
        </w:rPr>
        <w:t>One Health approach</w:t>
      </w:r>
      <w:r>
        <w:rPr>
          <w:kern w:val="22"/>
          <w:szCs w:val="22"/>
        </w:rPr>
        <w:t>, among other holistic approaches,</w:t>
      </w:r>
      <w:r w:rsidRPr="00041908">
        <w:rPr>
          <w:kern w:val="22"/>
          <w:szCs w:val="22"/>
        </w:rPr>
        <w:t xml:space="preserve"> </w:t>
      </w:r>
      <w:r>
        <w:rPr>
          <w:kern w:val="22"/>
          <w:szCs w:val="22"/>
        </w:rPr>
        <w:t>could contribute to the reduction</w:t>
      </w:r>
      <w:r w:rsidRPr="00041908">
        <w:rPr>
          <w:kern w:val="22"/>
          <w:szCs w:val="22"/>
        </w:rPr>
        <w:t xml:space="preserve"> of </w:t>
      </w:r>
      <w:r>
        <w:rPr>
          <w:kern w:val="22"/>
          <w:szCs w:val="22"/>
        </w:rPr>
        <w:t>the risk of</w:t>
      </w:r>
      <w:r w:rsidRPr="00041908">
        <w:rPr>
          <w:kern w:val="22"/>
          <w:szCs w:val="22"/>
        </w:rPr>
        <w:t xml:space="preserve"> diseases of zoonotic origin, vector-borne and other</w:t>
      </w:r>
      <w:r>
        <w:rPr>
          <w:kern w:val="22"/>
          <w:szCs w:val="22"/>
        </w:rPr>
        <w:t xml:space="preserve"> </w:t>
      </w:r>
      <w:r w:rsidRPr="00041908">
        <w:rPr>
          <w:kern w:val="22"/>
          <w:szCs w:val="22"/>
        </w:rPr>
        <w:t xml:space="preserve">infectious diseases, and </w:t>
      </w:r>
      <w:r>
        <w:rPr>
          <w:kern w:val="22"/>
          <w:szCs w:val="22"/>
        </w:rPr>
        <w:t>to</w:t>
      </w:r>
      <w:r w:rsidRPr="00041908">
        <w:rPr>
          <w:kern w:val="22"/>
          <w:szCs w:val="22"/>
        </w:rPr>
        <w:t xml:space="preserve"> health and well-</w:t>
      </w:r>
      <w:r w:rsidRPr="002543CA">
        <w:rPr>
          <w:kern w:val="22"/>
          <w:szCs w:val="22"/>
        </w:rPr>
        <w:t>being for all, also recognizing the</w:t>
      </w:r>
      <w:r>
        <w:rPr>
          <w:kern w:val="22"/>
          <w:szCs w:val="22"/>
        </w:rPr>
        <w:t xml:space="preserve"> need for the equitable access to tools and technologies including medicines, vaccines and other health products required to implement the One Health approach and other holistic approaches,</w:t>
      </w:r>
    </w:p>
    <w:p w14:paraId="5BE80232" w14:textId="77777777" w:rsidR="004678BE" w:rsidRDefault="004678BE" w:rsidP="00926DEB">
      <w:pPr>
        <w:spacing w:before="120" w:after="120"/>
        <w:ind w:firstLine="720"/>
      </w:pPr>
      <w:r w:rsidRPr="1E17E60F">
        <w:rPr>
          <w:i/>
          <w:iCs/>
          <w:color w:val="000000" w:themeColor="text1"/>
        </w:rPr>
        <w:t>Taking note</w:t>
      </w:r>
      <w:r w:rsidRPr="1E17E60F">
        <w:rPr>
          <w:snapToGrid w:val="0"/>
          <w:kern w:val="22"/>
        </w:rPr>
        <w:t xml:space="preserve"> of the 2019 </w:t>
      </w:r>
      <w:r w:rsidRPr="007D6C03">
        <w:rPr>
          <w:i/>
          <w:iCs/>
          <w:snapToGrid w:val="0"/>
          <w:kern w:val="22"/>
        </w:rPr>
        <w:t>Global Assessment Report on Biodiversity and Ecosystem Services of the Intergovernmental Science-Policy Platform on Biodiversity and Ecosystem Services</w:t>
      </w:r>
      <w:r w:rsidRPr="00610646">
        <w:rPr>
          <w:rStyle w:val="FootnoteReference"/>
          <w:rFonts w:eastAsiaTheme="majorEastAsia"/>
        </w:rPr>
        <w:footnoteReference w:id="382"/>
      </w:r>
      <w:r w:rsidRPr="00041908">
        <w:rPr>
          <w:snapToGrid w:val="0"/>
          <w:kern w:val="22"/>
          <w:szCs w:val="22"/>
        </w:rPr>
        <w:t xml:space="preserve"> </w:t>
      </w:r>
      <w:r w:rsidRPr="1E17E60F">
        <w:rPr>
          <w:snapToGrid w:val="0"/>
          <w:kern w:val="22"/>
        </w:rPr>
        <w:t xml:space="preserve">stating that </w:t>
      </w:r>
      <w:r w:rsidRPr="1E17E60F">
        <w:t>zoonotic and vector-borne diseases are significant threats to human health</w:t>
      </w:r>
      <w:r>
        <w:rPr>
          <w:szCs w:val="22"/>
        </w:rPr>
        <w:t>,</w:t>
      </w:r>
      <w:r w:rsidRPr="1E17E60F">
        <w:t xml:space="preserve"> and that</w:t>
      </w:r>
      <w:r w:rsidRPr="1E17E60F">
        <w:rPr>
          <w:snapToGrid w:val="0"/>
          <w:kern w:val="22"/>
        </w:rPr>
        <w:t xml:space="preserve"> e</w:t>
      </w:r>
      <w:r w:rsidRPr="1E17E60F">
        <w:t>merging infectious diseases in wildlife, domestic animals, plants or people can be exacerbated by human activities,</w:t>
      </w:r>
    </w:p>
    <w:p w14:paraId="6EA91AB1" w14:textId="77777777" w:rsidR="004678BE" w:rsidRPr="00960ADD" w:rsidRDefault="004678BE" w:rsidP="00854C10">
      <w:pPr>
        <w:spacing w:before="120" w:after="120"/>
        <w:ind w:firstLine="720"/>
        <w:rPr>
          <w:color w:val="000000" w:themeColor="text1"/>
        </w:rPr>
      </w:pPr>
      <w:r w:rsidRPr="00757A9C">
        <w:rPr>
          <w:i/>
          <w:iCs/>
          <w:color w:val="000000" w:themeColor="text1"/>
        </w:rPr>
        <w:t>Emphasiz</w:t>
      </w:r>
      <w:r w:rsidRPr="4DFBEDFF">
        <w:rPr>
          <w:i/>
          <w:iCs/>
          <w:color w:val="000000" w:themeColor="text1"/>
        </w:rPr>
        <w:t xml:space="preserve">ing </w:t>
      </w:r>
      <w:r w:rsidRPr="4DFBEDFF">
        <w:rPr>
          <w:color w:val="000000" w:themeColor="text1"/>
        </w:rPr>
        <w:t>the critical role of genetic resources, digital sequence information</w:t>
      </w:r>
      <w:r>
        <w:rPr>
          <w:color w:val="000000" w:themeColor="text1"/>
        </w:rPr>
        <w:t xml:space="preserve"> on genetic resources</w:t>
      </w:r>
      <w:r w:rsidRPr="4DFBEDFF">
        <w:rPr>
          <w:color w:val="000000" w:themeColor="text1"/>
        </w:rPr>
        <w:t>, and traditional knowledge</w:t>
      </w:r>
      <w:r>
        <w:rPr>
          <w:color w:val="000000" w:themeColor="text1"/>
        </w:rPr>
        <w:t xml:space="preserve"> associated with genetic resources</w:t>
      </w:r>
      <w:r w:rsidRPr="4DFBEDFF">
        <w:rPr>
          <w:color w:val="000000" w:themeColor="text1"/>
        </w:rPr>
        <w:t>, in the research and development of health products and services,  and the importance of the fair and equitable sharing of benefits arising from their utilization in this regard, in line with the Convention</w:t>
      </w:r>
      <w:r>
        <w:rPr>
          <w:color w:val="000000" w:themeColor="text1"/>
        </w:rPr>
        <w:t xml:space="preserve"> and its Protocols, as applicable</w:t>
      </w:r>
      <w:r w:rsidRPr="4DFBEDFF">
        <w:rPr>
          <w:color w:val="000000" w:themeColor="text1"/>
        </w:rPr>
        <w:t xml:space="preserve"> and in a mutually</w:t>
      </w:r>
      <w:r>
        <w:rPr>
          <w:color w:val="000000" w:themeColor="text1"/>
        </w:rPr>
        <w:t xml:space="preserve"> </w:t>
      </w:r>
      <w:r w:rsidRPr="4DFBEDFF">
        <w:rPr>
          <w:color w:val="000000" w:themeColor="text1"/>
        </w:rPr>
        <w:t>supportive manner with other relevant international agreements and instruments,</w:t>
      </w:r>
      <w:r>
        <w:rPr>
          <w:color w:val="000000" w:themeColor="text1"/>
        </w:rPr>
        <w:t xml:space="preserve"> </w:t>
      </w:r>
    </w:p>
    <w:p w14:paraId="6871F308" w14:textId="77777777" w:rsidR="004678BE" w:rsidRDefault="004678BE" w:rsidP="00926DEB">
      <w:pPr>
        <w:suppressLineNumbers/>
        <w:suppressAutoHyphens/>
        <w:kinsoku w:val="0"/>
        <w:overflowPunct w:val="0"/>
        <w:autoSpaceDE w:val="0"/>
        <w:autoSpaceDN w:val="0"/>
        <w:adjustRightInd w:val="0"/>
        <w:snapToGrid w:val="0"/>
        <w:spacing w:before="120" w:after="120"/>
        <w:ind w:firstLine="720"/>
        <w:rPr>
          <w:color w:val="000000" w:themeColor="text1"/>
        </w:rPr>
      </w:pPr>
      <w:r w:rsidRPr="00D91F33">
        <w:rPr>
          <w:i/>
          <w:iCs/>
          <w:color w:val="000000" w:themeColor="text1"/>
        </w:rPr>
        <w:t>Noting</w:t>
      </w:r>
      <w:r w:rsidRPr="00D91F33">
        <w:rPr>
          <w:rStyle w:val="apple-converted-space"/>
          <w:color w:val="000000" w:themeColor="text1"/>
        </w:rPr>
        <w:t> </w:t>
      </w:r>
      <w:r w:rsidRPr="00D91F33">
        <w:rPr>
          <w:color w:val="000000" w:themeColor="text1"/>
        </w:rPr>
        <w:t xml:space="preserve">ongoing efforts to draft and negotiate a World Health Organization convention, agreement or other international instrument to strengthen pandemic prevention, preparedness and response, </w:t>
      </w:r>
      <w:r w:rsidRPr="00757A9C">
        <w:rPr>
          <w:color w:val="000000" w:themeColor="text1"/>
        </w:rPr>
        <w:t>as well as ongoing negotiations on potential amendments to the International Health Regulations (2005)</w:t>
      </w:r>
      <w:r w:rsidRPr="00D91F33">
        <w:rPr>
          <w:color w:val="000000" w:themeColor="text1"/>
        </w:rPr>
        <w:t>, and the need to be consistent with, and not run counter to</w:t>
      </w:r>
      <w:r>
        <w:rPr>
          <w:color w:val="000000" w:themeColor="text1"/>
        </w:rPr>
        <w:t>,</w:t>
      </w:r>
      <w:r w:rsidRPr="00D91F33">
        <w:rPr>
          <w:color w:val="000000" w:themeColor="text1"/>
        </w:rPr>
        <w:t xml:space="preserve"> the objectives of the Convention and its Protocols, </w:t>
      </w:r>
    </w:p>
    <w:p w14:paraId="7685681F" w14:textId="77777777" w:rsidR="004678BE" w:rsidRPr="00041908" w:rsidRDefault="004678BE" w:rsidP="00926DEB">
      <w:pPr>
        <w:suppressLineNumbers/>
        <w:suppressAutoHyphens/>
        <w:kinsoku w:val="0"/>
        <w:overflowPunct w:val="0"/>
        <w:autoSpaceDE w:val="0"/>
        <w:autoSpaceDN w:val="0"/>
        <w:adjustRightInd w:val="0"/>
        <w:snapToGrid w:val="0"/>
        <w:spacing w:before="120" w:after="120"/>
        <w:ind w:firstLine="720"/>
        <w:rPr>
          <w:kern w:val="22"/>
          <w:szCs w:val="22"/>
          <w:lang w:val="en-US"/>
        </w:rPr>
      </w:pPr>
      <w:r w:rsidRPr="00041908">
        <w:rPr>
          <w:kern w:val="22"/>
          <w:szCs w:val="22"/>
          <w:lang w:val="en-US"/>
        </w:rPr>
        <w:t>1.</w:t>
      </w:r>
      <w:r w:rsidRPr="00041908">
        <w:rPr>
          <w:i/>
          <w:iCs/>
          <w:kern w:val="22"/>
          <w:szCs w:val="22"/>
          <w:lang w:val="en-US"/>
        </w:rPr>
        <w:tab/>
        <w:t xml:space="preserve">Encourages </w:t>
      </w:r>
      <w:r w:rsidRPr="00041908">
        <w:rPr>
          <w:kern w:val="22"/>
          <w:szCs w:val="22"/>
          <w:lang w:val="en-US"/>
        </w:rPr>
        <w:t>Parties</w:t>
      </w:r>
      <w:r>
        <w:rPr>
          <w:kern w:val="22"/>
          <w:szCs w:val="22"/>
          <w:lang w:val="en-US"/>
        </w:rPr>
        <w:t xml:space="preserve"> and their </w:t>
      </w:r>
      <w:r w:rsidRPr="00041908">
        <w:rPr>
          <w:kern w:val="22"/>
          <w:szCs w:val="22"/>
          <w:lang w:val="en-US"/>
        </w:rPr>
        <w:t xml:space="preserve">subnational </w:t>
      </w:r>
      <w:r>
        <w:rPr>
          <w:kern w:val="22"/>
          <w:szCs w:val="22"/>
          <w:lang w:val="en-US"/>
        </w:rPr>
        <w:t xml:space="preserve">and local </w:t>
      </w:r>
      <w:r w:rsidRPr="00041908">
        <w:rPr>
          <w:kern w:val="22"/>
          <w:szCs w:val="22"/>
          <w:lang w:val="en-US"/>
        </w:rPr>
        <w:t xml:space="preserve">governments, and </w:t>
      </w:r>
      <w:r w:rsidRPr="00701D4A">
        <w:rPr>
          <w:kern w:val="22"/>
          <w:szCs w:val="22"/>
          <w:lang w:val="en-US"/>
        </w:rPr>
        <w:t>invites</w:t>
      </w:r>
      <w:r w:rsidRPr="00041908">
        <w:rPr>
          <w:kern w:val="22"/>
          <w:szCs w:val="22"/>
          <w:lang w:val="en-US"/>
        </w:rPr>
        <w:t xml:space="preserve"> </w:t>
      </w:r>
      <w:r>
        <w:rPr>
          <w:kern w:val="22"/>
          <w:szCs w:val="22"/>
          <w:lang w:val="en-US"/>
        </w:rPr>
        <w:t xml:space="preserve">other </w:t>
      </w:r>
      <w:r w:rsidRPr="00041908">
        <w:rPr>
          <w:kern w:val="22"/>
          <w:szCs w:val="22"/>
          <w:lang w:val="en-US"/>
        </w:rPr>
        <w:t>Governments,</w:t>
      </w:r>
      <w:r>
        <w:rPr>
          <w:kern w:val="22"/>
          <w:szCs w:val="22"/>
          <w:lang w:val="en-US"/>
        </w:rPr>
        <w:t xml:space="preserve"> in accordance with national circumstances and priorities, where appropriate,</w:t>
      </w:r>
      <w:r w:rsidRPr="00041908">
        <w:rPr>
          <w:kern w:val="22"/>
          <w:szCs w:val="22"/>
          <w:lang w:val="en-US"/>
        </w:rPr>
        <w:t xml:space="preserve"> and relevant stakeholders:</w:t>
      </w:r>
      <w:r>
        <w:rPr>
          <w:kern w:val="22"/>
          <w:szCs w:val="22"/>
          <w:lang w:val="en-US"/>
        </w:rPr>
        <w:t xml:space="preserve"> </w:t>
      </w:r>
    </w:p>
    <w:p w14:paraId="76F874E1" w14:textId="77777777" w:rsidR="004678BE" w:rsidRPr="00041908" w:rsidRDefault="004678BE" w:rsidP="00926DEB">
      <w:pPr>
        <w:suppressLineNumbers/>
        <w:suppressAutoHyphens/>
        <w:kinsoku w:val="0"/>
        <w:overflowPunct w:val="0"/>
        <w:autoSpaceDE w:val="0"/>
        <w:autoSpaceDN w:val="0"/>
        <w:adjustRightInd w:val="0"/>
        <w:snapToGrid w:val="0"/>
        <w:spacing w:before="120" w:after="120"/>
        <w:ind w:firstLine="720"/>
        <w:rPr>
          <w:kern w:val="22"/>
          <w:szCs w:val="22"/>
        </w:rPr>
      </w:pPr>
      <w:r w:rsidRPr="00041908">
        <w:rPr>
          <w:kern w:val="22"/>
          <w:szCs w:val="22"/>
          <w:lang w:val="en-US"/>
        </w:rPr>
        <w:t>(a)</w:t>
      </w:r>
      <w:r>
        <w:rPr>
          <w:kern w:val="22"/>
          <w:szCs w:val="22"/>
          <w:lang w:val="en-US"/>
        </w:rPr>
        <w:tab/>
        <w:t>T</w:t>
      </w:r>
      <w:r w:rsidRPr="00041908">
        <w:rPr>
          <w:kern w:val="22"/>
          <w:szCs w:val="22"/>
          <w:lang w:val="en-US"/>
        </w:rPr>
        <w:t xml:space="preserve">o take actions for a sustainable and inclusive recovery from </w:t>
      </w:r>
      <w:r>
        <w:rPr>
          <w:kern w:val="22"/>
          <w:szCs w:val="22"/>
          <w:lang w:val="en-US"/>
        </w:rPr>
        <w:t xml:space="preserve">the </w:t>
      </w:r>
      <w:r w:rsidRPr="00041908">
        <w:rPr>
          <w:kern w:val="22"/>
          <w:szCs w:val="22"/>
          <w:lang w:val="en-US"/>
        </w:rPr>
        <w:t>COVID-19 pandemic</w:t>
      </w:r>
      <w:r>
        <w:rPr>
          <w:kern w:val="22"/>
          <w:szCs w:val="22"/>
          <w:lang w:val="en-US"/>
        </w:rPr>
        <w:t>,</w:t>
      </w:r>
      <w:r w:rsidRPr="00041908">
        <w:rPr>
          <w:kern w:val="22"/>
          <w:szCs w:val="22"/>
          <w:lang w:val="en-US"/>
        </w:rPr>
        <w:t xml:space="preserve"> </w:t>
      </w:r>
      <w:r>
        <w:rPr>
          <w:kern w:val="22"/>
          <w:szCs w:val="22"/>
          <w:lang w:val="en-US"/>
        </w:rPr>
        <w:t>which</w:t>
      </w:r>
      <w:r w:rsidRPr="00041908">
        <w:rPr>
          <w:kern w:val="22"/>
          <w:szCs w:val="22"/>
          <w:lang w:val="en-US"/>
        </w:rPr>
        <w:t xml:space="preserve"> contribute to the conservation and sustainable use of biodiversity, and thereby contribute to minimizing the risk of future diseases of zoonotic origin,</w:t>
      </w:r>
      <w:r w:rsidRPr="00041908">
        <w:rPr>
          <w:kern w:val="22"/>
          <w:szCs w:val="22"/>
        </w:rPr>
        <w:t xml:space="preserve"> taking into account </w:t>
      </w:r>
      <w:r>
        <w:rPr>
          <w:kern w:val="22"/>
          <w:szCs w:val="22"/>
        </w:rPr>
        <w:t>the</w:t>
      </w:r>
      <w:r w:rsidRPr="00041908">
        <w:rPr>
          <w:kern w:val="22"/>
          <w:szCs w:val="22"/>
        </w:rPr>
        <w:t xml:space="preserve"> One Health approach</w:t>
      </w:r>
      <w:r>
        <w:rPr>
          <w:kern w:val="22"/>
          <w:szCs w:val="22"/>
        </w:rPr>
        <w:t>,</w:t>
      </w:r>
      <w:r w:rsidRPr="00041908">
        <w:rPr>
          <w:kern w:val="22"/>
          <w:szCs w:val="22"/>
        </w:rPr>
        <w:t xml:space="preserve"> among other </w:t>
      </w:r>
      <w:r>
        <w:rPr>
          <w:kern w:val="22"/>
          <w:szCs w:val="22"/>
        </w:rPr>
        <w:t>holistic</w:t>
      </w:r>
      <w:r w:rsidRPr="00041908">
        <w:rPr>
          <w:kern w:val="22"/>
          <w:szCs w:val="22"/>
        </w:rPr>
        <w:t xml:space="preserve"> approaches;</w:t>
      </w:r>
      <w:r>
        <w:rPr>
          <w:kern w:val="22"/>
          <w:szCs w:val="22"/>
        </w:rPr>
        <w:t xml:space="preserve"> </w:t>
      </w:r>
    </w:p>
    <w:p w14:paraId="34A8D340" w14:textId="77777777" w:rsidR="004678BE" w:rsidRPr="00041908" w:rsidRDefault="004678BE" w:rsidP="00926DEB">
      <w:pPr>
        <w:suppressLineNumbers/>
        <w:suppressAutoHyphens/>
        <w:kinsoku w:val="0"/>
        <w:overflowPunct w:val="0"/>
        <w:autoSpaceDE w:val="0"/>
        <w:autoSpaceDN w:val="0"/>
        <w:adjustRightInd w:val="0"/>
        <w:snapToGrid w:val="0"/>
        <w:spacing w:before="120" w:after="120"/>
        <w:ind w:firstLine="720"/>
        <w:rPr>
          <w:szCs w:val="22"/>
        </w:rPr>
      </w:pPr>
      <w:r w:rsidRPr="00041908">
        <w:rPr>
          <w:snapToGrid w:val="0"/>
          <w:kern w:val="22"/>
          <w:szCs w:val="22"/>
        </w:rPr>
        <w:t>(b)</w:t>
      </w:r>
      <w:r>
        <w:rPr>
          <w:snapToGrid w:val="0"/>
          <w:kern w:val="22"/>
          <w:szCs w:val="22"/>
        </w:rPr>
        <w:tab/>
        <w:t xml:space="preserve">To </w:t>
      </w:r>
      <w:r w:rsidRPr="00041908">
        <w:rPr>
          <w:szCs w:val="22"/>
        </w:rPr>
        <w:t xml:space="preserve">further integrate </w:t>
      </w:r>
      <w:r>
        <w:rPr>
          <w:szCs w:val="22"/>
        </w:rPr>
        <w:t xml:space="preserve">the </w:t>
      </w:r>
      <w:r w:rsidRPr="00041908">
        <w:rPr>
          <w:szCs w:val="22"/>
        </w:rPr>
        <w:t>One Health approach</w:t>
      </w:r>
      <w:r>
        <w:rPr>
          <w:szCs w:val="22"/>
        </w:rPr>
        <w:t>, among other holistic approaches,</w:t>
      </w:r>
      <w:r w:rsidRPr="00041908">
        <w:rPr>
          <w:szCs w:val="22"/>
        </w:rPr>
        <w:t xml:space="preserve"> in their national biodiversity strategies and action plans, </w:t>
      </w:r>
      <w:r>
        <w:rPr>
          <w:szCs w:val="22"/>
        </w:rPr>
        <w:t xml:space="preserve">and </w:t>
      </w:r>
      <w:r w:rsidRPr="00041908">
        <w:rPr>
          <w:szCs w:val="22"/>
        </w:rPr>
        <w:t xml:space="preserve">national health plans, as appropriate, to support the implementation of the </w:t>
      </w:r>
      <w:r>
        <w:rPr>
          <w:szCs w:val="22"/>
        </w:rPr>
        <w:t xml:space="preserve">Kunming-Montreal Global Biodiversity Framework; </w:t>
      </w:r>
    </w:p>
    <w:p w14:paraId="4BBD0D4D" w14:textId="77777777" w:rsidR="004678BE" w:rsidRDefault="004678BE" w:rsidP="00835334">
      <w:pPr>
        <w:suppressLineNumbers/>
        <w:suppressAutoHyphens/>
        <w:kinsoku w:val="0"/>
        <w:overflowPunct w:val="0"/>
        <w:autoSpaceDE w:val="0"/>
        <w:autoSpaceDN w:val="0"/>
        <w:adjustRightInd w:val="0"/>
        <w:snapToGrid w:val="0"/>
        <w:spacing w:before="120" w:after="120"/>
        <w:ind w:firstLine="720"/>
        <w:rPr>
          <w:szCs w:val="22"/>
        </w:rPr>
      </w:pPr>
      <w:r w:rsidRPr="00041908">
        <w:rPr>
          <w:snapToGrid w:val="0"/>
          <w:kern w:val="22"/>
          <w:szCs w:val="22"/>
        </w:rPr>
        <w:t>(c)</w:t>
      </w:r>
      <w:r>
        <w:rPr>
          <w:snapToGrid w:val="0"/>
          <w:kern w:val="22"/>
          <w:szCs w:val="22"/>
        </w:rPr>
        <w:tab/>
        <w:t xml:space="preserve">To </w:t>
      </w:r>
      <w:r w:rsidRPr="00041908">
        <w:rPr>
          <w:snapToGrid w:val="0"/>
          <w:kern w:val="22"/>
          <w:szCs w:val="22"/>
        </w:rPr>
        <w:t xml:space="preserve">further </w:t>
      </w:r>
      <w:r w:rsidRPr="006A3670">
        <w:rPr>
          <w:szCs w:val="22"/>
        </w:rPr>
        <w:t xml:space="preserve">support capacity-building </w:t>
      </w:r>
      <w:r w:rsidRPr="007D6C03">
        <w:rPr>
          <w:szCs w:val="22"/>
        </w:rPr>
        <w:t xml:space="preserve">and </w:t>
      </w:r>
      <w:r w:rsidRPr="006A3670">
        <w:rPr>
          <w:szCs w:val="22"/>
        </w:rPr>
        <w:t>development for mainstreaming</w:t>
      </w:r>
      <w:r w:rsidRPr="00041908">
        <w:rPr>
          <w:szCs w:val="22"/>
        </w:rPr>
        <w:t xml:space="preserve"> biodiversity and health linkages into </w:t>
      </w:r>
      <w:r>
        <w:rPr>
          <w:szCs w:val="22"/>
        </w:rPr>
        <w:t xml:space="preserve">the implementation of </w:t>
      </w:r>
      <w:r w:rsidRPr="00041908">
        <w:rPr>
          <w:szCs w:val="22"/>
        </w:rPr>
        <w:t xml:space="preserve">the </w:t>
      </w:r>
      <w:r>
        <w:rPr>
          <w:szCs w:val="22"/>
        </w:rPr>
        <w:t xml:space="preserve">Kunming-Montreal Global Biodiversity Framework; </w:t>
      </w:r>
    </w:p>
    <w:p w14:paraId="2EB40EA7" w14:textId="77777777" w:rsidR="004678BE" w:rsidRPr="00041908" w:rsidRDefault="004678BE" w:rsidP="007B17CC">
      <w:pPr>
        <w:suppressLineNumbers/>
        <w:suppressAutoHyphens/>
        <w:kinsoku w:val="0"/>
        <w:overflowPunct w:val="0"/>
        <w:autoSpaceDE w:val="0"/>
        <w:autoSpaceDN w:val="0"/>
        <w:adjustRightInd w:val="0"/>
        <w:snapToGrid w:val="0"/>
        <w:spacing w:before="120" w:after="120"/>
        <w:ind w:firstLine="720"/>
      </w:pPr>
      <w:r>
        <w:t>(d)</w:t>
      </w:r>
      <w:r>
        <w:tab/>
        <w:t>To strengthen compliance with international and national provisions on access and benefit</w:t>
      </w:r>
      <w:r>
        <w:noBreakHyphen/>
        <w:t xml:space="preserve">sharing, in order to enhance the fair and equitable sharing of benefits arising from the utilization of genetic resources, as well as the fair and equitable sharing of benefits arising from the use of digital sequence information on genetic resources, in the relevant health sectors; </w:t>
      </w:r>
    </w:p>
    <w:p w14:paraId="4CA2E1AD" w14:textId="77777777" w:rsidR="004678BE" w:rsidRDefault="004678BE" w:rsidP="00FF12AC">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041908">
        <w:rPr>
          <w:kern w:val="22"/>
          <w:szCs w:val="22"/>
        </w:rPr>
        <w:t>2.</w:t>
      </w:r>
      <w:r w:rsidRPr="00041908">
        <w:rPr>
          <w:kern w:val="22"/>
          <w:szCs w:val="22"/>
        </w:rPr>
        <w:tab/>
      </w:r>
      <w:r w:rsidRPr="00041908">
        <w:rPr>
          <w:i/>
          <w:iCs/>
          <w:kern w:val="22"/>
          <w:szCs w:val="22"/>
        </w:rPr>
        <w:t>Invites</w:t>
      </w:r>
      <w:r w:rsidRPr="00041908">
        <w:rPr>
          <w:i/>
          <w:iCs/>
          <w:szCs w:val="22"/>
        </w:rPr>
        <w:t xml:space="preserve"> </w:t>
      </w:r>
      <w:r w:rsidRPr="00041908">
        <w:rPr>
          <w:kern w:val="22"/>
          <w:szCs w:val="22"/>
        </w:rPr>
        <w:t xml:space="preserve">the Quadripartite </w:t>
      </w:r>
      <w:r>
        <w:rPr>
          <w:kern w:val="22"/>
          <w:szCs w:val="22"/>
        </w:rPr>
        <w:t>for One Health</w:t>
      </w:r>
      <w:r w:rsidRPr="00041908">
        <w:rPr>
          <w:kern w:val="22"/>
          <w:szCs w:val="22"/>
        </w:rPr>
        <w:t>, the One Health High-</w:t>
      </w:r>
      <w:r>
        <w:rPr>
          <w:kern w:val="22"/>
          <w:szCs w:val="22"/>
        </w:rPr>
        <w:t>L</w:t>
      </w:r>
      <w:r w:rsidRPr="00041908">
        <w:rPr>
          <w:kern w:val="22"/>
          <w:szCs w:val="22"/>
        </w:rPr>
        <w:t>evel Expert Panel, and other relevant expert groups and initiatives:</w:t>
      </w:r>
      <w:r>
        <w:rPr>
          <w:kern w:val="22"/>
          <w:szCs w:val="22"/>
        </w:rPr>
        <w:t xml:space="preserve"> </w:t>
      </w:r>
    </w:p>
    <w:p w14:paraId="1FB88EDA" w14:textId="77777777" w:rsidR="004678BE" w:rsidRPr="00757A9C" w:rsidRDefault="004678BE" w:rsidP="00FF12AC">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1E17E60F">
        <w:rPr>
          <w:kern w:val="22"/>
        </w:rPr>
        <w:t>(a)</w:t>
      </w:r>
      <w:r w:rsidRPr="00041908">
        <w:rPr>
          <w:kern w:val="22"/>
          <w:szCs w:val="22"/>
        </w:rPr>
        <w:tab/>
      </w:r>
      <w:r w:rsidRPr="1E17E60F">
        <w:rPr>
          <w:kern w:val="22"/>
        </w:rPr>
        <w:t>To take into account in their work the linkages between health and biodiversity, the need for the One Health approach, among other holistic approaches, pursuant to decisions XIII/6 and 14/4</w:t>
      </w:r>
      <w:r>
        <w:rPr>
          <w:kern w:val="22"/>
        </w:rPr>
        <w:t xml:space="preserve">, recognizing social determinants of health and </w:t>
      </w:r>
      <w:r w:rsidRPr="1E17E60F">
        <w:rPr>
          <w:kern w:val="22"/>
        </w:rPr>
        <w:t xml:space="preserve">socioeconomic inequities between developing and developed countries, particularly health inequalities, as well as </w:t>
      </w:r>
      <w:r w:rsidRPr="007D6C03">
        <w:rPr>
          <w:kern w:val="22"/>
        </w:rPr>
        <w:t>equity and solidarity</w:t>
      </w:r>
      <w:r w:rsidRPr="00041908">
        <w:rPr>
          <w:kern w:val="22"/>
          <w:szCs w:val="22"/>
        </w:rPr>
        <w:t>;</w:t>
      </w:r>
      <w:r>
        <w:rPr>
          <w:kern w:val="22"/>
          <w:szCs w:val="22"/>
        </w:rPr>
        <w:t xml:space="preserve"> </w:t>
      </w:r>
    </w:p>
    <w:p w14:paraId="064D1558" w14:textId="77777777" w:rsidR="004678BE" w:rsidRPr="00041908" w:rsidRDefault="004678BE" w:rsidP="00926DEB">
      <w:pPr>
        <w:suppressLineNumbers/>
        <w:suppressAutoHyphens/>
        <w:kinsoku w:val="0"/>
        <w:overflowPunct w:val="0"/>
        <w:autoSpaceDE w:val="0"/>
        <w:autoSpaceDN w:val="0"/>
        <w:adjustRightInd w:val="0"/>
        <w:snapToGrid w:val="0"/>
        <w:spacing w:before="120" w:after="120"/>
        <w:ind w:firstLine="720"/>
        <w:rPr>
          <w:kern w:val="22"/>
          <w:szCs w:val="22"/>
        </w:rPr>
      </w:pPr>
      <w:r w:rsidRPr="00041908">
        <w:rPr>
          <w:kern w:val="22"/>
          <w:szCs w:val="22"/>
        </w:rPr>
        <w:t>(b)</w:t>
      </w:r>
      <w:r w:rsidRPr="00041908">
        <w:rPr>
          <w:kern w:val="22"/>
          <w:szCs w:val="22"/>
        </w:rPr>
        <w:tab/>
      </w:r>
      <w:r>
        <w:rPr>
          <w:kern w:val="22"/>
          <w:szCs w:val="22"/>
        </w:rPr>
        <w:t>To c</w:t>
      </w:r>
      <w:r w:rsidRPr="00041908">
        <w:rPr>
          <w:kern w:val="22"/>
          <w:szCs w:val="22"/>
        </w:rPr>
        <w:t xml:space="preserve">ontribute </w:t>
      </w:r>
      <w:r>
        <w:rPr>
          <w:kern w:val="22"/>
          <w:szCs w:val="22"/>
        </w:rPr>
        <w:t xml:space="preserve">with guidance, interdisciplinary education and training, </w:t>
      </w:r>
      <w:r w:rsidRPr="00041908">
        <w:rPr>
          <w:kern w:val="22"/>
          <w:szCs w:val="22"/>
        </w:rPr>
        <w:t xml:space="preserve">to the implementation of health-related elements </w:t>
      </w:r>
      <w:r>
        <w:rPr>
          <w:kern w:val="22"/>
          <w:szCs w:val="22"/>
        </w:rPr>
        <w:t xml:space="preserve">and the application of the One Health approach, among other holistic approaches, in </w:t>
      </w:r>
      <w:r w:rsidRPr="00041908">
        <w:rPr>
          <w:kern w:val="22"/>
          <w:szCs w:val="22"/>
        </w:rPr>
        <w:t xml:space="preserve">the </w:t>
      </w:r>
      <w:r>
        <w:rPr>
          <w:szCs w:val="22"/>
        </w:rPr>
        <w:t>Kunming-Montreal Global Biodiversity Framework</w:t>
      </w:r>
      <w:r w:rsidRPr="00041908">
        <w:rPr>
          <w:kern w:val="22"/>
          <w:szCs w:val="22"/>
        </w:rPr>
        <w:t>;</w:t>
      </w:r>
      <w:r>
        <w:rPr>
          <w:kern w:val="22"/>
          <w:szCs w:val="22"/>
        </w:rPr>
        <w:t xml:space="preserve"> </w:t>
      </w:r>
    </w:p>
    <w:p w14:paraId="563883C5" w14:textId="77777777" w:rsidR="004678BE" w:rsidRPr="00041908" w:rsidRDefault="004678BE" w:rsidP="00926DEB">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041908">
        <w:rPr>
          <w:kern w:val="22"/>
          <w:szCs w:val="22"/>
        </w:rPr>
        <w:t>(c)</w:t>
      </w:r>
      <w:r w:rsidRPr="00041908">
        <w:rPr>
          <w:kern w:val="22"/>
          <w:szCs w:val="22"/>
        </w:rPr>
        <w:tab/>
      </w:r>
      <w:r>
        <w:rPr>
          <w:kern w:val="22"/>
          <w:szCs w:val="22"/>
        </w:rPr>
        <w:t>To c</w:t>
      </w:r>
      <w:r w:rsidRPr="00041908">
        <w:rPr>
          <w:kern w:val="22"/>
          <w:szCs w:val="22"/>
        </w:rPr>
        <w:t xml:space="preserve">ontribute to the development of, and reporting on, health-related indicators of the monitoring framework for the </w:t>
      </w:r>
      <w:r>
        <w:rPr>
          <w:szCs w:val="22"/>
        </w:rPr>
        <w:t>Kunming-Montreal Global Biodiversity Framework</w:t>
      </w:r>
      <w:r w:rsidRPr="00041908">
        <w:rPr>
          <w:kern w:val="22"/>
          <w:szCs w:val="22"/>
        </w:rPr>
        <w:t>;</w:t>
      </w:r>
      <w:r>
        <w:rPr>
          <w:kern w:val="22"/>
          <w:szCs w:val="22"/>
        </w:rPr>
        <w:t xml:space="preserve"> </w:t>
      </w:r>
    </w:p>
    <w:p w14:paraId="5123FC40" w14:textId="77777777" w:rsidR="004678BE" w:rsidRPr="00041908" w:rsidRDefault="004678BE" w:rsidP="00926DEB">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rPr>
      </w:pPr>
      <w:r w:rsidRPr="00041908">
        <w:rPr>
          <w:kern w:val="22"/>
          <w:szCs w:val="22"/>
        </w:rPr>
        <w:t>(d)</w:t>
      </w:r>
      <w:r w:rsidRPr="00041908">
        <w:rPr>
          <w:kern w:val="22"/>
          <w:szCs w:val="22"/>
        </w:rPr>
        <w:tab/>
      </w:r>
      <w:r>
        <w:rPr>
          <w:kern w:val="22"/>
          <w:szCs w:val="22"/>
        </w:rPr>
        <w:t>To c</w:t>
      </w:r>
      <w:r w:rsidRPr="00041908">
        <w:rPr>
          <w:kern w:val="22"/>
          <w:szCs w:val="22"/>
        </w:rPr>
        <w:t>ollaborate with the Executive Secretary in providing Parties with capacity</w:t>
      </w:r>
      <w:r>
        <w:rPr>
          <w:kern w:val="22"/>
          <w:szCs w:val="22"/>
        </w:rPr>
        <w:noBreakHyphen/>
        <w:t xml:space="preserve">building, technology transfer, and resource mobilization </w:t>
      </w:r>
      <w:r w:rsidRPr="00041908">
        <w:rPr>
          <w:kern w:val="22"/>
          <w:szCs w:val="22"/>
        </w:rPr>
        <w:t>opportunities for mainstreaming biodiversity and health linkages</w:t>
      </w:r>
      <w:r>
        <w:rPr>
          <w:kern w:val="22"/>
          <w:szCs w:val="22"/>
        </w:rPr>
        <w:t>;</w:t>
      </w:r>
      <w:r w:rsidRPr="00041908">
        <w:rPr>
          <w:kern w:val="22"/>
          <w:szCs w:val="22"/>
        </w:rPr>
        <w:t xml:space="preserve"> </w:t>
      </w:r>
    </w:p>
    <w:p w14:paraId="6C90FB5D" w14:textId="77777777" w:rsidR="004678BE" w:rsidRDefault="004678BE" w:rsidP="1E17E60F">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lang w:val="en-US"/>
        </w:rPr>
      </w:pPr>
      <w:r w:rsidRPr="1E17E60F">
        <w:rPr>
          <w:kern w:val="22"/>
        </w:rPr>
        <w:t>3.</w:t>
      </w:r>
      <w:r w:rsidRPr="00041908">
        <w:rPr>
          <w:kern w:val="22"/>
          <w:szCs w:val="22"/>
        </w:rPr>
        <w:tab/>
      </w:r>
      <w:r w:rsidRPr="1E17E60F">
        <w:rPr>
          <w:i/>
          <w:iCs/>
          <w:kern w:val="22"/>
        </w:rPr>
        <w:t>I</w:t>
      </w:r>
      <w:r w:rsidRPr="1E17E60F">
        <w:rPr>
          <w:i/>
          <w:iCs/>
          <w:kern w:val="22"/>
          <w:lang w:val="en-US"/>
        </w:rPr>
        <w:t>nvites</w:t>
      </w:r>
      <w:r w:rsidRPr="1E17E60F">
        <w:rPr>
          <w:kern w:val="22"/>
          <w:lang w:val="en-US"/>
        </w:rPr>
        <w:t xml:space="preserve"> the Global Environment Facility, in accordance with its mandate, as appropriate, to consider providing technical and financial support for mainstreaming biodiversity and health linkages;</w:t>
      </w:r>
      <w:r>
        <w:rPr>
          <w:kern w:val="22"/>
          <w:lang w:val="en-US"/>
        </w:rPr>
        <w:t xml:space="preserve"> </w:t>
      </w:r>
    </w:p>
    <w:p w14:paraId="11081001" w14:textId="77777777" w:rsidR="004678BE" w:rsidRPr="00C11365" w:rsidRDefault="004678BE" w:rsidP="00926DEB">
      <w:pPr>
        <w:pStyle w:val="ListParagraph"/>
        <w:suppressLineNumbers/>
        <w:suppressAutoHyphens/>
        <w:kinsoku w:val="0"/>
        <w:overflowPunct w:val="0"/>
        <w:autoSpaceDE w:val="0"/>
        <w:autoSpaceDN w:val="0"/>
        <w:adjustRightInd w:val="0"/>
        <w:snapToGrid w:val="0"/>
        <w:spacing w:before="120" w:after="120"/>
        <w:ind w:left="0" w:firstLine="720"/>
        <w:contextualSpacing w:val="0"/>
        <w:rPr>
          <w:kern w:val="22"/>
          <w:szCs w:val="22"/>
          <w:lang w:val="en-US"/>
        </w:rPr>
      </w:pPr>
      <w:r>
        <w:rPr>
          <w:kern w:val="22"/>
          <w:szCs w:val="22"/>
          <w:lang w:val="en-US"/>
        </w:rPr>
        <w:t xml:space="preserve">4. </w:t>
      </w:r>
      <w:r>
        <w:rPr>
          <w:kern w:val="22"/>
          <w:szCs w:val="22"/>
          <w:lang w:val="en-US"/>
        </w:rPr>
        <w:tab/>
      </w:r>
      <w:r>
        <w:rPr>
          <w:i/>
          <w:iCs/>
          <w:kern w:val="22"/>
          <w:szCs w:val="22"/>
          <w:lang w:val="en-US"/>
        </w:rPr>
        <w:t>I</w:t>
      </w:r>
      <w:r w:rsidRPr="00C11365">
        <w:rPr>
          <w:i/>
          <w:iCs/>
          <w:kern w:val="22"/>
          <w:szCs w:val="22"/>
          <w:lang w:val="en-US"/>
        </w:rPr>
        <w:t>nvites</w:t>
      </w:r>
      <w:r>
        <w:rPr>
          <w:i/>
          <w:iCs/>
          <w:kern w:val="22"/>
          <w:szCs w:val="22"/>
          <w:lang w:val="en-US"/>
        </w:rPr>
        <w:t xml:space="preserve"> </w:t>
      </w:r>
      <w:r>
        <w:rPr>
          <w:kern w:val="22"/>
          <w:szCs w:val="22"/>
          <w:lang w:val="en-US"/>
        </w:rPr>
        <w:t xml:space="preserve">Parties, other Governments, and all relevant donors and funding organizations in a position to do so, to consider providing </w:t>
      </w:r>
      <w:r w:rsidRPr="00594FDF">
        <w:rPr>
          <w:kern w:val="22"/>
          <w:szCs w:val="22"/>
          <w:lang w:val="en-US"/>
        </w:rPr>
        <w:t>technical</w:t>
      </w:r>
      <w:r w:rsidRPr="00041908">
        <w:rPr>
          <w:kern w:val="22"/>
          <w:szCs w:val="22"/>
          <w:lang w:val="en-US"/>
        </w:rPr>
        <w:t xml:space="preserve"> </w:t>
      </w:r>
      <w:r>
        <w:rPr>
          <w:kern w:val="22"/>
          <w:szCs w:val="22"/>
          <w:lang w:val="en-US"/>
        </w:rPr>
        <w:t>support and mobilizing resources</w:t>
      </w:r>
      <w:r w:rsidRPr="00041908">
        <w:rPr>
          <w:kern w:val="22"/>
          <w:szCs w:val="22"/>
          <w:lang w:val="en-US"/>
        </w:rPr>
        <w:t xml:space="preserve"> for mainstreaming biodiversity and health linkages</w:t>
      </w:r>
      <w:r>
        <w:rPr>
          <w:kern w:val="22"/>
          <w:szCs w:val="22"/>
          <w:lang w:val="en-US"/>
        </w:rPr>
        <w:t xml:space="preserve">; </w:t>
      </w:r>
    </w:p>
    <w:p w14:paraId="7D5ABB85" w14:textId="77777777" w:rsidR="004678BE" w:rsidRPr="00041908" w:rsidRDefault="004678BE" w:rsidP="00757A9C">
      <w:pPr>
        <w:suppressLineNumbers/>
        <w:suppressAutoHyphens/>
        <w:kinsoku w:val="0"/>
        <w:overflowPunct w:val="0"/>
        <w:autoSpaceDE w:val="0"/>
        <w:autoSpaceDN w:val="0"/>
        <w:adjustRightInd w:val="0"/>
        <w:snapToGrid w:val="0"/>
        <w:spacing w:before="120" w:after="120"/>
        <w:ind w:firstLine="720"/>
      </w:pPr>
      <w:r w:rsidRPr="1E17E60F">
        <w:rPr>
          <w:kern w:val="22"/>
        </w:rPr>
        <w:t>5</w:t>
      </w:r>
      <w:r w:rsidRPr="00041908">
        <w:rPr>
          <w:kern w:val="22"/>
          <w:szCs w:val="22"/>
        </w:rPr>
        <w:t>.</w:t>
      </w:r>
      <w:r w:rsidRPr="00041908">
        <w:rPr>
          <w:kern w:val="22"/>
          <w:szCs w:val="22"/>
        </w:rPr>
        <w:tab/>
      </w:r>
      <w:r w:rsidRPr="1E17E60F">
        <w:rPr>
          <w:i/>
          <w:iCs/>
          <w:kern w:val="22"/>
        </w:rPr>
        <w:t>Requests</w:t>
      </w:r>
      <w:r w:rsidRPr="1E17E60F">
        <w:rPr>
          <w:kern w:val="22"/>
        </w:rPr>
        <w:t xml:space="preserve"> the Executive Secretary, subject to the availability of resources, in consultation with the Bureau of the Subsidiary Body on Scientific, </w:t>
      </w:r>
      <w:r w:rsidRPr="1E17E60F">
        <w:rPr>
          <w:snapToGrid w:val="0"/>
          <w:kern w:val="22"/>
        </w:rPr>
        <w:t>Technical and Technological Advice</w:t>
      </w:r>
      <w:r>
        <w:rPr>
          <w:snapToGrid w:val="0"/>
          <w:kern w:val="22"/>
          <w:szCs w:val="22"/>
        </w:rPr>
        <w:t>,</w:t>
      </w:r>
      <w:r w:rsidRPr="00041908">
        <w:rPr>
          <w:snapToGrid w:val="0"/>
          <w:kern w:val="22"/>
          <w:szCs w:val="22"/>
        </w:rPr>
        <w:t xml:space="preserve"> </w:t>
      </w:r>
      <w:r w:rsidRPr="1E17E60F">
        <w:rPr>
          <w:kern w:val="22"/>
        </w:rPr>
        <w:t>and in collaboration with</w:t>
      </w:r>
      <w:r>
        <w:rPr>
          <w:kern w:val="22"/>
        </w:rPr>
        <w:t xml:space="preserve"> the World Health Organization and </w:t>
      </w:r>
      <w:r w:rsidRPr="1E17E60F">
        <w:rPr>
          <w:kern w:val="22"/>
        </w:rPr>
        <w:t>the Quadripartite for One Health</w:t>
      </w:r>
      <w:r w:rsidRPr="00041908">
        <w:rPr>
          <w:kern w:val="22"/>
          <w:szCs w:val="22"/>
        </w:rPr>
        <w:t xml:space="preserve">, </w:t>
      </w:r>
      <w:r w:rsidRPr="1E17E60F">
        <w:rPr>
          <w:kern w:val="22"/>
        </w:rPr>
        <w:t>to</w:t>
      </w:r>
      <w:r w:rsidRPr="00D07C78">
        <w:rPr>
          <w:kern w:val="22"/>
          <w:szCs w:val="22"/>
        </w:rPr>
        <w:t xml:space="preserve"> </w:t>
      </w:r>
      <w:r w:rsidRPr="1E17E60F">
        <w:rPr>
          <w:kern w:val="22"/>
        </w:rPr>
        <w:t>complete the work pursuant to decision 14/4, paragraph 13 (b)</w:t>
      </w:r>
      <w:r>
        <w:rPr>
          <w:kern w:val="22"/>
        </w:rPr>
        <w:t xml:space="preserve"> and </w:t>
      </w:r>
      <w:r w:rsidRPr="1E17E60F">
        <w:rPr>
          <w:kern w:val="22"/>
        </w:rPr>
        <w:t xml:space="preserve">(c) on targeted messages and a draft global action plan, drawing on the deliberations of the resumed session of the twenty-fourth meeting of the Subsidiary Body on Scientific, </w:t>
      </w:r>
      <w:r w:rsidRPr="1E17E60F">
        <w:rPr>
          <w:snapToGrid w:val="0"/>
          <w:kern w:val="22"/>
        </w:rPr>
        <w:t>Technical and Technological Advice</w:t>
      </w:r>
      <w:r w:rsidRPr="1E17E60F">
        <w:rPr>
          <w:kern w:val="22"/>
        </w:rPr>
        <w:t>, as follows:</w:t>
      </w:r>
      <w:r w:rsidRPr="00041908">
        <w:rPr>
          <w:kern w:val="22"/>
          <w:szCs w:val="22"/>
        </w:rPr>
        <w:t xml:space="preserve"> </w:t>
      </w:r>
    </w:p>
    <w:p w14:paraId="1CD8D042" w14:textId="77777777" w:rsidR="004678BE" w:rsidRDefault="004678BE" w:rsidP="00586AA3">
      <w:pPr>
        <w:suppressLineNumbers/>
        <w:suppressAutoHyphens/>
        <w:kinsoku w:val="0"/>
        <w:overflowPunct w:val="0"/>
        <w:autoSpaceDE w:val="0"/>
        <w:autoSpaceDN w:val="0"/>
        <w:adjustRightInd w:val="0"/>
        <w:snapToGrid w:val="0"/>
        <w:spacing w:before="120" w:after="120"/>
        <w:ind w:firstLine="720"/>
        <w:rPr>
          <w:kern w:val="22"/>
        </w:rPr>
      </w:pPr>
      <w:r w:rsidRPr="1E17E60F">
        <w:rPr>
          <w:kern w:val="22"/>
        </w:rPr>
        <w:t>(a)</w:t>
      </w:r>
      <w:r w:rsidRPr="00041908">
        <w:rPr>
          <w:kern w:val="22"/>
          <w:szCs w:val="22"/>
        </w:rPr>
        <w:tab/>
      </w:r>
      <w:r w:rsidRPr="1E17E60F">
        <w:rPr>
          <w:kern w:val="22"/>
        </w:rPr>
        <w:t>To produce an updated version of the draft global action plan and targeted messages based on the inputs received from Parties,</w:t>
      </w:r>
      <w:r w:rsidRPr="0082281C">
        <w:rPr>
          <w:kern w:val="22"/>
          <w:szCs w:val="22"/>
        </w:rPr>
        <w:t xml:space="preserve"> </w:t>
      </w:r>
      <w:r w:rsidRPr="1E17E60F">
        <w:rPr>
          <w:kern w:val="22"/>
        </w:rPr>
        <w:t>other Governments, indigenous peoples and local communities, women, youth, and other relevant stakeholders</w:t>
      </w:r>
      <w:r>
        <w:rPr>
          <w:kern w:val="22"/>
        </w:rPr>
        <w:t>,</w:t>
      </w:r>
      <w:r w:rsidRPr="1E17E60F">
        <w:rPr>
          <w:kern w:val="22"/>
        </w:rPr>
        <w:t xml:space="preserve"> </w:t>
      </w:r>
      <w:r>
        <w:rPr>
          <w:kern w:val="22"/>
        </w:rPr>
        <w:t>recognizing</w:t>
      </w:r>
      <w:r w:rsidRPr="1E17E60F">
        <w:rPr>
          <w:kern w:val="22"/>
        </w:rPr>
        <w:t xml:space="preserve"> the issues of equity, </w:t>
      </w:r>
      <w:r>
        <w:rPr>
          <w:kern w:val="22"/>
        </w:rPr>
        <w:t xml:space="preserve">including </w:t>
      </w:r>
      <w:r w:rsidRPr="1E17E60F">
        <w:rPr>
          <w:kern w:val="22"/>
        </w:rPr>
        <w:t xml:space="preserve">through the fair and equitable sharing of benefits arising from the utilization of genetic resources </w:t>
      </w:r>
      <w:r>
        <w:rPr>
          <w:kern w:val="22"/>
        </w:rPr>
        <w:t xml:space="preserve">as well as the fair and equitable sharing of benefits arising from the use of </w:t>
      </w:r>
      <w:r w:rsidRPr="1E17E60F">
        <w:rPr>
          <w:kern w:val="22"/>
        </w:rPr>
        <w:t xml:space="preserve">digital sequence information </w:t>
      </w:r>
      <w:r>
        <w:rPr>
          <w:kern w:val="22"/>
        </w:rPr>
        <w:t xml:space="preserve">on genetic resources </w:t>
      </w:r>
      <w:r w:rsidRPr="1E17E60F">
        <w:rPr>
          <w:kern w:val="22"/>
        </w:rPr>
        <w:t xml:space="preserve">and traditional </w:t>
      </w:r>
      <w:r>
        <w:t>knowledge associated with genetic resources</w:t>
      </w:r>
      <w:r w:rsidRPr="1E17E60F">
        <w:rPr>
          <w:kern w:val="22"/>
        </w:rPr>
        <w:t xml:space="preserve">; </w:t>
      </w:r>
    </w:p>
    <w:p w14:paraId="44BA4007" w14:textId="77777777" w:rsidR="004678BE" w:rsidRDefault="004678BE" w:rsidP="00926DEB">
      <w:pPr>
        <w:suppressLineNumbers/>
        <w:suppressAutoHyphens/>
        <w:kinsoku w:val="0"/>
        <w:overflowPunct w:val="0"/>
        <w:autoSpaceDE w:val="0"/>
        <w:autoSpaceDN w:val="0"/>
        <w:adjustRightInd w:val="0"/>
        <w:snapToGrid w:val="0"/>
        <w:spacing w:before="120" w:after="120"/>
        <w:ind w:firstLine="720"/>
        <w:rPr>
          <w:kern w:val="22"/>
          <w:szCs w:val="22"/>
        </w:rPr>
      </w:pPr>
      <w:r>
        <w:rPr>
          <w:kern w:val="22"/>
          <w:szCs w:val="22"/>
        </w:rPr>
        <w:t xml:space="preserve">(b) </w:t>
      </w:r>
      <w:r>
        <w:rPr>
          <w:kern w:val="22"/>
          <w:szCs w:val="22"/>
        </w:rPr>
        <w:tab/>
        <w:t xml:space="preserve">To invite Parties, other Governments, </w:t>
      </w:r>
      <w:r w:rsidRPr="00041908">
        <w:rPr>
          <w:kern w:val="22"/>
          <w:szCs w:val="22"/>
        </w:rPr>
        <w:t xml:space="preserve">indigenous peoples and local communities, </w:t>
      </w:r>
      <w:r>
        <w:rPr>
          <w:kern w:val="22"/>
          <w:szCs w:val="22"/>
        </w:rPr>
        <w:t xml:space="preserve">women, youth, </w:t>
      </w:r>
      <w:r w:rsidRPr="00041908">
        <w:rPr>
          <w:kern w:val="22"/>
          <w:szCs w:val="22"/>
        </w:rPr>
        <w:t>and other relevant stakeholders</w:t>
      </w:r>
      <w:r>
        <w:rPr>
          <w:kern w:val="22"/>
          <w:szCs w:val="22"/>
        </w:rPr>
        <w:t xml:space="preserve"> to review the updated version of the draft global action plan; </w:t>
      </w:r>
    </w:p>
    <w:p w14:paraId="38373465" w14:textId="77777777" w:rsidR="004678BE" w:rsidRDefault="004678BE" w:rsidP="00926DEB">
      <w:pPr>
        <w:suppressLineNumbers/>
        <w:suppressAutoHyphens/>
        <w:kinsoku w:val="0"/>
        <w:overflowPunct w:val="0"/>
        <w:autoSpaceDE w:val="0"/>
        <w:autoSpaceDN w:val="0"/>
        <w:adjustRightInd w:val="0"/>
        <w:snapToGrid w:val="0"/>
        <w:spacing w:before="120" w:after="120"/>
        <w:ind w:firstLine="720"/>
        <w:rPr>
          <w:kern w:val="22"/>
        </w:rPr>
      </w:pPr>
      <w:r w:rsidRPr="1E17E60F">
        <w:rPr>
          <w:kern w:val="22"/>
        </w:rPr>
        <w:t>(c)</w:t>
      </w:r>
      <w:r>
        <w:rPr>
          <w:kern w:val="22"/>
          <w:szCs w:val="22"/>
        </w:rPr>
        <w:tab/>
      </w:r>
      <w:r w:rsidRPr="1E17E60F">
        <w:rPr>
          <w:kern w:val="22"/>
        </w:rPr>
        <w:t>To make the outcomes</w:t>
      </w:r>
      <w:r w:rsidRPr="00041908">
        <w:rPr>
          <w:kern w:val="22"/>
          <w:szCs w:val="22"/>
        </w:rPr>
        <w:t xml:space="preserve"> </w:t>
      </w:r>
      <w:r w:rsidRPr="1E17E60F">
        <w:rPr>
          <w:kern w:val="22"/>
        </w:rPr>
        <w:t>of this work available for consideration by the Subsidiary Body on Scientific, Technical and Technological Adv</w:t>
      </w:r>
      <w:r>
        <w:rPr>
          <w:kern w:val="22"/>
        </w:rPr>
        <w:t>ice</w:t>
      </w:r>
      <w:r w:rsidRPr="1E17E60F">
        <w:rPr>
          <w:kern w:val="22"/>
        </w:rPr>
        <w:t xml:space="preserve"> at a future meeting, with a view to making recommendations to the Conference of the Parties at its sixteenth meeting.</w:t>
      </w:r>
      <w:r>
        <w:rPr>
          <w:kern w:val="22"/>
        </w:rPr>
        <w:t xml:space="preserve"> </w:t>
      </w:r>
    </w:p>
    <w:p w14:paraId="5B82B85D" w14:textId="77777777" w:rsidR="004678BE" w:rsidRDefault="004678BE" w:rsidP="00926DEB">
      <w:pPr>
        <w:pStyle w:val="Para1"/>
        <w:numPr>
          <w:ilvl w:val="0"/>
          <w:numId w:val="0"/>
        </w:numPr>
        <w:jc w:val="center"/>
        <w:sectPr w:rsidR="004678BE" w:rsidSect="00441700">
          <w:footnotePr>
            <w:numRestart w:val="eachSect"/>
          </w:footnotePr>
          <w:pgSz w:w="12240" w:h="15840"/>
          <w:pgMar w:top="567" w:right="1440" w:bottom="1134" w:left="1440" w:header="709" w:footer="709" w:gutter="0"/>
          <w:cols w:space="708"/>
          <w:docGrid w:linePitch="360"/>
        </w:sectPr>
      </w:pPr>
    </w:p>
    <w:p w14:paraId="68E0FD3C" w14:textId="77777777" w:rsidR="004678BE" w:rsidRDefault="004678BE" w:rsidP="006147CE">
      <w:pPr>
        <w:pStyle w:val="decision"/>
        <w:rPr>
          <w:caps/>
        </w:rPr>
      </w:pPr>
      <w:bookmarkStart w:id="367" w:name="_Toc150438828"/>
      <w:bookmarkStart w:id="368" w:name="_Toc150670534"/>
      <w:bookmarkStart w:id="369" w:name="_Toc150670644"/>
      <w:bookmarkStart w:id="370" w:name="_Toc150761140"/>
      <w:r>
        <w:t>15/30.</w:t>
      </w:r>
      <w:r>
        <w:tab/>
        <w:t>Biodiversity and climate change</w:t>
      </w:r>
      <w:bookmarkEnd w:id="367"/>
      <w:bookmarkEnd w:id="368"/>
      <w:bookmarkEnd w:id="369"/>
      <w:bookmarkEnd w:id="370"/>
      <w:r w:rsidRPr="00105372">
        <w:rPr>
          <w:caps/>
        </w:rPr>
        <w:t xml:space="preserve"> </w:t>
      </w:r>
    </w:p>
    <w:p w14:paraId="1A5FCB94" w14:textId="77777777" w:rsidR="004678BE" w:rsidRPr="00EB41E2" w:rsidRDefault="004678BE" w:rsidP="000C5B0A">
      <w:pPr>
        <w:pStyle w:val="Para11"/>
        <w:suppressLineNumbers/>
        <w:suppressAutoHyphens/>
        <w:kinsoku w:val="0"/>
        <w:overflowPunct w:val="0"/>
        <w:autoSpaceDE w:val="0"/>
        <w:autoSpaceDN w:val="0"/>
        <w:adjustRightInd w:val="0"/>
        <w:snapToGrid w:val="0"/>
        <w:ind w:firstLine="720"/>
        <w:rPr>
          <w:i/>
          <w:snapToGrid w:val="0"/>
          <w:kern w:val="22"/>
          <w:sz w:val="22"/>
        </w:rPr>
      </w:pPr>
      <w:bookmarkStart w:id="371" w:name="_Hlk122111226"/>
      <w:r w:rsidRPr="00EB41E2">
        <w:rPr>
          <w:i/>
          <w:snapToGrid w:val="0"/>
          <w:kern w:val="22"/>
          <w:sz w:val="22"/>
        </w:rPr>
        <w:t>The Conference of the Parties,</w:t>
      </w:r>
    </w:p>
    <w:p w14:paraId="6811BA64" w14:textId="33760155" w:rsidR="004678BE" w:rsidRPr="00EB41E2" w:rsidRDefault="004678BE" w:rsidP="00674EC5">
      <w:pPr>
        <w:pStyle w:val="Para11"/>
        <w:suppressLineNumbers/>
        <w:suppressAutoHyphens/>
        <w:kinsoku w:val="0"/>
        <w:overflowPunct w:val="0"/>
        <w:autoSpaceDE w:val="0"/>
        <w:autoSpaceDN w:val="0"/>
        <w:adjustRightInd w:val="0"/>
        <w:snapToGrid w:val="0"/>
        <w:ind w:firstLine="720"/>
        <w:jc w:val="both"/>
        <w:rPr>
          <w:kern w:val="22"/>
          <w:sz w:val="22"/>
        </w:rPr>
      </w:pPr>
      <w:r w:rsidRPr="00EB41E2">
        <w:rPr>
          <w:i/>
          <w:kern w:val="22"/>
          <w:sz w:val="22"/>
        </w:rPr>
        <w:t xml:space="preserve">Recalling </w:t>
      </w:r>
      <w:r w:rsidRPr="00EB41E2">
        <w:rPr>
          <w:kern w:val="22"/>
          <w:sz w:val="22"/>
        </w:rPr>
        <w:t xml:space="preserve">decisions </w:t>
      </w:r>
      <w:hyperlink r:id="rId61" w:history="1">
        <w:r w:rsidRPr="00EB41E2">
          <w:rPr>
            <w:rStyle w:val="Hyperlink"/>
            <w:kern w:val="22"/>
            <w:sz w:val="22"/>
          </w:rPr>
          <w:t>VII/15</w:t>
        </w:r>
      </w:hyperlink>
      <w:r w:rsidRPr="00EB41E2">
        <w:rPr>
          <w:kern w:val="22"/>
          <w:sz w:val="22"/>
        </w:rPr>
        <w:t xml:space="preserve">, </w:t>
      </w:r>
      <w:hyperlink r:id="rId62" w:history="1">
        <w:r w:rsidRPr="00EB41E2">
          <w:rPr>
            <w:rStyle w:val="Hyperlink"/>
            <w:kern w:val="22"/>
            <w:sz w:val="22"/>
          </w:rPr>
          <w:t>IX/16</w:t>
        </w:r>
      </w:hyperlink>
      <w:r w:rsidRPr="00EB41E2">
        <w:rPr>
          <w:kern w:val="22"/>
          <w:sz w:val="22"/>
        </w:rPr>
        <w:t xml:space="preserve">, </w:t>
      </w:r>
      <w:hyperlink r:id="rId63" w:history="1">
        <w:r w:rsidRPr="00EB41E2">
          <w:rPr>
            <w:rStyle w:val="Hyperlink"/>
            <w:kern w:val="22"/>
            <w:sz w:val="22"/>
          </w:rPr>
          <w:t>X/33</w:t>
        </w:r>
      </w:hyperlink>
      <w:r w:rsidRPr="00EB41E2">
        <w:rPr>
          <w:kern w:val="22"/>
          <w:sz w:val="22"/>
        </w:rPr>
        <w:t>,</w:t>
      </w:r>
      <w:r>
        <w:rPr>
          <w:kern w:val="22"/>
          <w:sz w:val="22"/>
        </w:rPr>
        <w:t xml:space="preserve"> </w:t>
      </w:r>
      <w:hyperlink r:id="rId64" w:history="1">
        <w:r w:rsidRPr="000462BF">
          <w:rPr>
            <w:rStyle w:val="Hyperlink"/>
            <w:kern w:val="22"/>
            <w:sz w:val="22"/>
          </w:rPr>
          <w:t>XI/19</w:t>
        </w:r>
      </w:hyperlink>
      <w:r>
        <w:rPr>
          <w:kern w:val="22"/>
          <w:sz w:val="22"/>
        </w:rPr>
        <w:t xml:space="preserve">, </w:t>
      </w:r>
      <w:hyperlink r:id="rId65" w:history="1">
        <w:r w:rsidRPr="002063D8">
          <w:rPr>
            <w:rStyle w:val="Hyperlink"/>
            <w:kern w:val="22"/>
            <w:sz w:val="22"/>
          </w:rPr>
          <w:t>XII/20</w:t>
        </w:r>
      </w:hyperlink>
      <w:r>
        <w:rPr>
          <w:kern w:val="22"/>
          <w:sz w:val="22"/>
        </w:rPr>
        <w:t>,</w:t>
      </w:r>
      <w:hyperlink r:id="rId66" w:history="1">
        <w:r w:rsidRPr="00EB41E2">
          <w:rPr>
            <w:rStyle w:val="Hyperlink"/>
            <w:kern w:val="22"/>
            <w:sz w:val="22"/>
          </w:rPr>
          <w:t xml:space="preserve"> XIII/4</w:t>
        </w:r>
      </w:hyperlink>
      <w:r w:rsidRPr="00EB41E2">
        <w:rPr>
          <w:kern w:val="22"/>
          <w:sz w:val="22"/>
        </w:rPr>
        <w:t>, and</w:t>
      </w:r>
      <w:r w:rsidRPr="00EB41E2">
        <w:rPr>
          <w:rStyle w:val="Hyperlink"/>
          <w:kern w:val="22"/>
          <w:sz w:val="22"/>
        </w:rPr>
        <w:t xml:space="preserve"> </w:t>
      </w:r>
      <w:hyperlink r:id="rId67" w:history="1">
        <w:r w:rsidRPr="00EB41E2">
          <w:rPr>
            <w:rStyle w:val="Hyperlink"/>
            <w:kern w:val="22"/>
            <w:sz w:val="22"/>
          </w:rPr>
          <w:t>14/5</w:t>
        </w:r>
      </w:hyperlink>
      <w:r w:rsidRPr="002B0252">
        <w:rPr>
          <w:rStyle w:val="Hyperlink"/>
          <w:color w:val="auto"/>
          <w:kern w:val="22"/>
          <w:sz w:val="22"/>
          <w:u w:val="none"/>
        </w:rPr>
        <w:t>,</w:t>
      </w:r>
      <w:r w:rsidRPr="00EB41E2">
        <w:rPr>
          <w:kern w:val="22"/>
          <w:sz w:val="22"/>
        </w:rPr>
        <w:t xml:space="preserve"> and, in particular, the critical role of biodiversity and ecosystem functions and services for climate change adaptation, mitigation and disaster risk reduction,</w:t>
      </w:r>
    </w:p>
    <w:bookmarkEnd w:id="371"/>
    <w:p w14:paraId="0B286F10" w14:textId="77777777" w:rsidR="004678BE" w:rsidRPr="004B09B1" w:rsidRDefault="004678BE" w:rsidP="004B09B1">
      <w:pPr>
        <w:spacing w:before="120" w:after="120" w:line="252" w:lineRule="auto"/>
        <w:ind w:firstLine="709"/>
        <w:rPr>
          <w:snapToGrid w:val="0"/>
          <w:lang w:val="en-US"/>
        </w:rPr>
      </w:pPr>
      <w:r w:rsidRPr="004B09B1">
        <w:rPr>
          <w:lang w:val="en-US"/>
        </w:rPr>
        <w:t>1.</w:t>
      </w:r>
      <w:r>
        <w:rPr>
          <w:i/>
          <w:iCs/>
          <w:lang w:val="en-US"/>
        </w:rPr>
        <w:tab/>
      </w:r>
      <w:r w:rsidRPr="00144AC4">
        <w:rPr>
          <w:i/>
          <w:iCs/>
          <w:lang w:val="en-US"/>
        </w:rPr>
        <w:t>Requests</w:t>
      </w:r>
      <w:r w:rsidRPr="00144AC4">
        <w:rPr>
          <w:lang w:val="en-US"/>
        </w:rPr>
        <w:t xml:space="preserve"> Parties, and invites </w:t>
      </w:r>
      <w:r w:rsidRPr="00144AC4">
        <w:rPr>
          <w:color w:val="242424"/>
          <w:shd w:val="clear" w:color="auto" w:fill="FFFFFF"/>
          <w:lang w:val="en-US"/>
        </w:rPr>
        <w:t xml:space="preserve">other Governments and international organizations, </w:t>
      </w:r>
      <w:r w:rsidRPr="00144AC4">
        <w:rPr>
          <w:lang w:val="en-US"/>
        </w:rPr>
        <w:t>to submit their views and information on biodiversity and climate change</w:t>
      </w:r>
      <w:r>
        <w:rPr>
          <w:lang w:val="en-US"/>
        </w:rPr>
        <w:t>;</w:t>
      </w:r>
    </w:p>
    <w:p w14:paraId="29397F66" w14:textId="77777777" w:rsidR="004678BE" w:rsidRPr="00144AC4" w:rsidRDefault="004678BE" w:rsidP="004B09B1">
      <w:pPr>
        <w:spacing w:before="120" w:after="120" w:line="252" w:lineRule="auto"/>
        <w:ind w:firstLine="709"/>
        <w:rPr>
          <w:snapToGrid w:val="0"/>
          <w:lang w:val="en-US"/>
        </w:rPr>
      </w:pPr>
      <w:r>
        <w:rPr>
          <w:lang w:val="en-US"/>
        </w:rPr>
        <w:t>2.</w:t>
      </w:r>
      <w:r>
        <w:rPr>
          <w:lang w:val="en-US"/>
        </w:rPr>
        <w:tab/>
      </w:r>
      <w:r w:rsidRPr="004B09B1">
        <w:rPr>
          <w:i/>
          <w:iCs/>
          <w:lang w:val="en-US"/>
        </w:rPr>
        <w:t>R</w:t>
      </w:r>
      <w:r w:rsidRPr="007D2DF3">
        <w:rPr>
          <w:i/>
          <w:iCs/>
          <w:lang w:val="en-US"/>
        </w:rPr>
        <w:t>equests</w:t>
      </w:r>
      <w:r w:rsidRPr="007D2DF3">
        <w:rPr>
          <w:lang w:val="en-US"/>
        </w:rPr>
        <w:t xml:space="preserve"> the Executive Secretary to compile these views and information and to make the compilation available to </w:t>
      </w:r>
      <w:r w:rsidRPr="007D2DF3">
        <w:rPr>
          <w:color w:val="242424"/>
          <w:shd w:val="clear" w:color="auto" w:fill="FFFFFF"/>
          <w:lang w:val="en-US"/>
        </w:rPr>
        <w:t>the</w:t>
      </w:r>
      <w:r w:rsidRPr="00144AC4">
        <w:rPr>
          <w:color w:val="242424"/>
          <w:shd w:val="clear" w:color="auto" w:fill="FFFFFF"/>
          <w:lang w:val="en-US"/>
        </w:rPr>
        <w:t xml:space="preserve"> Subsidiary Body on Scientific, Technical and Technological Advice</w:t>
      </w:r>
      <w:r w:rsidRPr="00144AC4">
        <w:rPr>
          <w:lang w:val="en-US"/>
        </w:rPr>
        <w:t>;</w:t>
      </w:r>
    </w:p>
    <w:p w14:paraId="1DD92394" w14:textId="77777777" w:rsidR="004678BE" w:rsidRPr="00144AC4" w:rsidRDefault="004678BE" w:rsidP="004B09B1">
      <w:pPr>
        <w:spacing w:before="120" w:after="120" w:line="252" w:lineRule="auto"/>
        <w:ind w:firstLine="709"/>
        <w:rPr>
          <w:snapToGrid w:val="0"/>
          <w:lang w:val="en-US"/>
        </w:rPr>
      </w:pPr>
      <w:r w:rsidRPr="004B09B1">
        <w:rPr>
          <w:color w:val="242424"/>
          <w:shd w:val="clear" w:color="auto" w:fill="FFFFFF"/>
          <w:lang w:val="en-US"/>
        </w:rPr>
        <w:t>3.</w:t>
      </w:r>
      <w:r>
        <w:rPr>
          <w:i/>
          <w:iCs/>
          <w:color w:val="242424"/>
          <w:shd w:val="clear" w:color="auto" w:fill="FFFFFF"/>
          <w:lang w:val="en-US"/>
        </w:rPr>
        <w:tab/>
      </w:r>
      <w:r w:rsidRPr="004B09B1">
        <w:rPr>
          <w:i/>
          <w:iCs/>
          <w:color w:val="242424"/>
          <w:shd w:val="clear" w:color="auto" w:fill="FFFFFF"/>
          <w:lang w:val="en-US"/>
        </w:rPr>
        <w:t>Requests </w:t>
      </w:r>
      <w:r w:rsidRPr="004B09B1">
        <w:rPr>
          <w:color w:val="242424"/>
          <w:shd w:val="clear" w:color="auto" w:fill="FFFFFF"/>
          <w:lang w:val="en-US"/>
        </w:rPr>
        <w:t>the Subsidiary Body on Scientific, Technical and Technological Advice to</w:t>
      </w:r>
      <w:r w:rsidRPr="004B09B1">
        <w:rPr>
          <w:i/>
          <w:iCs/>
          <w:color w:val="242424"/>
          <w:shd w:val="clear" w:color="auto" w:fill="FFFFFF"/>
          <w:lang w:val="en-US"/>
        </w:rPr>
        <w:t> </w:t>
      </w:r>
      <w:r w:rsidRPr="004B09B1">
        <w:rPr>
          <w:color w:val="242424"/>
          <w:shd w:val="clear" w:color="auto" w:fill="FFFFFF"/>
          <w:lang w:val="en-US"/>
        </w:rPr>
        <w:t xml:space="preserve">further review the item on biodiversity and climate change on the basis of views and information from Parties, other Governments and international organizations, as referred to in paragraph 1 above, </w:t>
      </w:r>
      <w:r>
        <w:rPr>
          <w:color w:val="242424"/>
          <w:shd w:val="clear" w:color="auto" w:fill="FFFFFF"/>
          <w:lang w:val="en-US"/>
        </w:rPr>
        <w:t>as well as</w:t>
      </w:r>
      <w:r w:rsidRPr="004B09B1">
        <w:rPr>
          <w:color w:val="242424"/>
          <w:shd w:val="clear" w:color="auto" w:fill="FFFFFF"/>
          <w:lang w:val="en-US"/>
        </w:rPr>
        <w:t xml:space="preserve"> relevant scientific and technical information on biodiversity and climate change, at its meeting to be held prior to the sixteenth meeting of the Conference of the Parties.</w:t>
      </w:r>
    </w:p>
    <w:p w14:paraId="39AC26EE" w14:textId="77777777" w:rsidR="004678BE" w:rsidRDefault="004678BE" w:rsidP="004678BE">
      <w:pPr>
        <w:jc w:val="center"/>
        <w:sectPr w:rsidR="004678BE" w:rsidSect="00441700">
          <w:pgSz w:w="12240" w:h="15840"/>
          <w:pgMar w:top="567" w:right="1440" w:bottom="1134" w:left="1440" w:header="709" w:footer="709" w:gutter="0"/>
          <w:cols w:space="708"/>
          <w:docGrid w:linePitch="360"/>
        </w:sectPr>
      </w:pPr>
    </w:p>
    <w:p w14:paraId="57698335" w14:textId="77777777" w:rsidR="004678BE" w:rsidRDefault="004678BE" w:rsidP="006147CE">
      <w:pPr>
        <w:pStyle w:val="decision"/>
        <w:rPr>
          <w:caps/>
        </w:rPr>
      </w:pPr>
      <w:bookmarkStart w:id="372" w:name="_Toc150438829"/>
      <w:bookmarkStart w:id="373" w:name="_Toc150670535"/>
      <w:bookmarkStart w:id="374" w:name="_Toc150670645"/>
      <w:bookmarkStart w:id="375" w:name="_Toc150761141"/>
      <w:r>
        <w:t>15/31.</w:t>
      </w:r>
      <w:r>
        <w:tab/>
      </w:r>
      <w:r w:rsidRPr="000D2852">
        <w:t xml:space="preserve">Synthetic </w:t>
      </w:r>
      <w:r>
        <w:t>b</w:t>
      </w:r>
      <w:r w:rsidRPr="000D2852">
        <w:t>iology</w:t>
      </w:r>
      <w:bookmarkEnd w:id="372"/>
      <w:bookmarkEnd w:id="373"/>
      <w:bookmarkEnd w:id="374"/>
      <w:bookmarkEnd w:id="375"/>
    </w:p>
    <w:p w14:paraId="05DB6FBC" w14:textId="77777777" w:rsidR="004678BE" w:rsidRDefault="004678BE" w:rsidP="00F973A3">
      <w:pPr>
        <w:spacing w:before="120" w:after="120"/>
        <w:ind w:firstLine="720"/>
      </w:pPr>
      <w:r>
        <w:rPr>
          <w:i/>
          <w:iCs/>
        </w:rPr>
        <w:t>The Conference of the Parties</w:t>
      </w:r>
      <w:r>
        <w:t>,</w:t>
      </w:r>
    </w:p>
    <w:p w14:paraId="4E5A2CDA" w14:textId="77777777" w:rsidR="004678BE" w:rsidRDefault="004678BE" w:rsidP="00F973A3">
      <w:pPr>
        <w:tabs>
          <w:tab w:val="left" w:pos="360"/>
        </w:tabs>
        <w:spacing w:before="120" w:after="120"/>
        <w:ind w:firstLine="720"/>
        <w:rPr>
          <w:i/>
          <w:iCs/>
        </w:rPr>
      </w:pPr>
      <w:r>
        <w:rPr>
          <w:i/>
          <w:iCs/>
        </w:rPr>
        <w:t xml:space="preserve">Recalling </w:t>
      </w:r>
      <w:r>
        <w:t>decisions XII/24, XIII/17 and 14/19 of the Conference of the Parties which provided guidance and mandated work on synthetic biology in relation to the three objectives of the Convention,</w:t>
      </w:r>
    </w:p>
    <w:p w14:paraId="747791D1" w14:textId="77777777" w:rsidR="004678BE" w:rsidRDefault="004678BE" w:rsidP="00F973A3">
      <w:pPr>
        <w:tabs>
          <w:tab w:val="left" w:pos="360"/>
        </w:tabs>
        <w:spacing w:before="120" w:after="120"/>
        <w:ind w:firstLine="720"/>
        <w:rPr>
          <w:i/>
          <w:iCs/>
        </w:rPr>
      </w:pPr>
      <w:r>
        <w:rPr>
          <w:i/>
          <w:iCs/>
        </w:rPr>
        <w:t xml:space="preserve">Recalling also </w:t>
      </w:r>
      <w:r>
        <w:t>Subsidiary Body on Scientific, Technical and Technological Advice recommendation 23/7, paragraph 2, by which the Subsidiary Body deferred consideration of the submission that synthetic biology should be classified as a new and emerging issue to its twenty-fourth meeting,</w:t>
      </w:r>
    </w:p>
    <w:p w14:paraId="2A21EAF9" w14:textId="77777777" w:rsidR="004678BE" w:rsidRDefault="004678BE" w:rsidP="00F973A3">
      <w:pPr>
        <w:tabs>
          <w:tab w:val="left" w:pos="360"/>
        </w:tabs>
        <w:spacing w:before="120" w:after="120"/>
        <w:ind w:firstLine="720"/>
        <w:rPr>
          <w:i/>
          <w:iCs/>
        </w:rPr>
      </w:pPr>
      <w:r>
        <w:rPr>
          <w:i/>
          <w:iCs/>
        </w:rPr>
        <w:t xml:space="preserve">Noting </w:t>
      </w:r>
      <w:r>
        <w:t>the analysis on the relationship between synthetic biology and the criteria for new and emerging issues established in decision IX/29 performed by the Ad Hoc Technical Expert Group on Synthetic Biology,</w:t>
      </w:r>
      <w:r w:rsidRPr="00610646">
        <w:rPr>
          <w:rStyle w:val="FootnoteReference"/>
        </w:rPr>
        <w:footnoteReference w:id="383"/>
      </w:r>
    </w:p>
    <w:p w14:paraId="72402999" w14:textId="77777777" w:rsidR="004678BE" w:rsidRDefault="004678BE" w:rsidP="00F973A3">
      <w:pPr>
        <w:tabs>
          <w:tab w:val="left" w:pos="360"/>
        </w:tabs>
        <w:spacing w:before="120" w:after="120"/>
        <w:ind w:firstLine="720"/>
      </w:pPr>
      <w:r>
        <w:rPr>
          <w:i/>
          <w:iCs/>
        </w:rPr>
        <w:t>Recalling</w:t>
      </w:r>
      <w:r>
        <w:t xml:space="preserve"> decision 14/19, in which it agreed that broad and regular horizon scanning, monitoring and assessing of the most recent technological developments is needed for reviewing new information regarding the potential positive and potential negative impacts of synthetic biology vis-à-vis the three objectives of the Convention and those of the Cartagena Protocol on Biosafety and the Nagoya Protocol on Access and Benefit-sharing,</w:t>
      </w:r>
    </w:p>
    <w:p w14:paraId="2288B5F0" w14:textId="77777777" w:rsidR="004678BE" w:rsidRDefault="004678BE" w:rsidP="00F973A3">
      <w:pPr>
        <w:tabs>
          <w:tab w:val="left" w:pos="360"/>
        </w:tabs>
        <w:spacing w:before="120" w:after="120"/>
        <w:ind w:firstLine="720"/>
      </w:pPr>
      <w:r>
        <w:rPr>
          <w:i/>
          <w:iCs/>
        </w:rPr>
        <w:t>Recalling also</w:t>
      </w:r>
      <w:r>
        <w:t xml:space="preserve"> paragraph 7 of decision 14/19, emphasizing the need for a coordinated, complementary and non-duplicative approach on issues related to synthetic biology under the Convention and its protocols, as well as among other conventions and relevant organizations and initiatives,</w:t>
      </w:r>
    </w:p>
    <w:p w14:paraId="71B88CA1" w14:textId="77777777" w:rsidR="004678BE" w:rsidRDefault="004678BE" w:rsidP="00F973A3">
      <w:pPr>
        <w:tabs>
          <w:tab w:val="left" w:pos="360"/>
        </w:tabs>
        <w:spacing w:before="120" w:after="120"/>
        <w:ind w:firstLine="720"/>
      </w:pPr>
      <w:r>
        <w:rPr>
          <w:i/>
          <w:iCs/>
        </w:rPr>
        <w:t>Noting</w:t>
      </w:r>
      <w:r>
        <w:t xml:space="preserve"> the relevance of digital sequence information for synthetic biology, recalling decision 14/20 on digital sequence information on genetic resources and ongoing discussions and noting also the need for a coordinated, complementary and non-duplicative approach on issues related to digital sequence information on genetic resources,</w:t>
      </w:r>
    </w:p>
    <w:p w14:paraId="4FF7F187" w14:textId="77777777" w:rsidR="004678BE" w:rsidRDefault="004678BE" w:rsidP="00F973A3">
      <w:pPr>
        <w:tabs>
          <w:tab w:val="left" w:pos="360"/>
        </w:tabs>
        <w:spacing w:before="120" w:after="120"/>
        <w:ind w:firstLine="720"/>
      </w:pPr>
      <w:r>
        <w:rPr>
          <w:i/>
          <w:iCs/>
        </w:rPr>
        <w:t>Recalling</w:t>
      </w:r>
      <w:r>
        <w:t xml:space="preserve"> paragraphs 9 to 11 of decision 14/19, and calling upon Parties and other Governments, taking into account the current uncertainties regarding engineered gene drives, to apply a precautionary approach, in accordance with the objectives of the Convention,</w:t>
      </w:r>
    </w:p>
    <w:p w14:paraId="75F99764" w14:textId="77777777" w:rsidR="004678BE" w:rsidRDefault="004678BE" w:rsidP="00F973A3">
      <w:pPr>
        <w:tabs>
          <w:tab w:val="left" w:pos="360"/>
        </w:tabs>
        <w:spacing w:before="120" w:after="120"/>
        <w:ind w:firstLine="720"/>
        <w:rPr>
          <w:i/>
          <w:iCs/>
        </w:rPr>
      </w:pPr>
      <w:r>
        <w:rPr>
          <w:i/>
          <w:iCs/>
        </w:rPr>
        <w:t>Recognizing</w:t>
      </w:r>
      <w:r>
        <w:t xml:space="preserve"> the importance of capacity-building, knowledge-sharing, technology transfer and financial resources for addressing issues related to synthetic biology,</w:t>
      </w:r>
    </w:p>
    <w:p w14:paraId="0331BEE2" w14:textId="77777777" w:rsidR="004678BE" w:rsidRDefault="004678BE" w:rsidP="00F973A3">
      <w:pPr>
        <w:tabs>
          <w:tab w:val="left" w:pos="360"/>
        </w:tabs>
        <w:spacing w:before="120" w:after="120"/>
        <w:ind w:firstLine="720"/>
        <w:rPr>
          <w:i/>
          <w:iCs/>
        </w:rPr>
      </w:pPr>
      <w:r>
        <w:rPr>
          <w:i/>
          <w:iCs/>
        </w:rPr>
        <w:t>Welcoming</w:t>
      </w:r>
      <w:r>
        <w:t xml:space="preserve"> the outcomes of the meeting of the Ad Hoc Technical Expert Group on Synthetic Biology held in Montreal, Canada, from 4 to 7 June 2019,</w:t>
      </w:r>
      <w:r w:rsidRPr="00610646">
        <w:rPr>
          <w:rStyle w:val="FootnoteReference"/>
        </w:rPr>
        <w:footnoteReference w:id="384"/>
      </w:r>
    </w:p>
    <w:p w14:paraId="267498C7" w14:textId="77777777" w:rsidR="004678BE" w:rsidRDefault="004678BE" w:rsidP="00816D54">
      <w:pPr>
        <w:pStyle w:val="Para1"/>
        <w:keepNext/>
        <w:numPr>
          <w:ilvl w:val="0"/>
          <w:numId w:val="0"/>
        </w:numPr>
        <w:tabs>
          <w:tab w:val="left" w:pos="567"/>
        </w:tabs>
        <w:jc w:val="center"/>
      </w:pPr>
      <w:r>
        <w:rPr>
          <w:b/>
          <w:bCs/>
        </w:rPr>
        <w:t>A.</w:t>
      </w:r>
      <w:r>
        <w:rPr>
          <w:b/>
          <w:bCs/>
        </w:rPr>
        <w:tab/>
        <w:t>Considerations for new and emerging issues and associated criteria</w:t>
      </w:r>
    </w:p>
    <w:p w14:paraId="6215D85E" w14:textId="77777777" w:rsidR="004678BE" w:rsidRPr="003727EF" w:rsidRDefault="004678BE" w:rsidP="0093376E">
      <w:pPr>
        <w:tabs>
          <w:tab w:val="left" w:pos="360"/>
        </w:tabs>
        <w:spacing w:before="120" w:after="120"/>
        <w:ind w:firstLine="720"/>
      </w:pPr>
      <w:r>
        <w:t>1.</w:t>
      </w:r>
      <w:r>
        <w:tab/>
      </w:r>
      <w:r>
        <w:rPr>
          <w:i/>
          <w:iCs/>
        </w:rPr>
        <w:t xml:space="preserve">Recognizes </w:t>
      </w:r>
      <w:r>
        <w:t xml:space="preserve">the various challenges experienced by the Ad Hoc Technical Expert Group on Synthetic Biology in performing analysis on the relationship between synthetic biology and the criteria for new and emerging issues; </w:t>
      </w:r>
    </w:p>
    <w:p w14:paraId="7B1A8954" w14:textId="77777777" w:rsidR="004678BE" w:rsidRPr="0086249D" w:rsidRDefault="004678BE" w:rsidP="000B5054">
      <w:pPr>
        <w:tabs>
          <w:tab w:val="left" w:pos="360"/>
        </w:tabs>
        <w:spacing w:before="120" w:after="120"/>
        <w:ind w:firstLine="720"/>
        <w:rPr>
          <w:strike/>
        </w:rPr>
      </w:pPr>
      <w:r>
        <w:t>2.</w:t>
      </w:r>
      <w:r>
        <w:tab/>
      </w:r>
      <w:r>
        <w:rPr>
          <w:i/>
          <w:iCs/>
        </w:rPr>
        <w:t>Also recognizes</w:t>
      </w:r>
      <w:r>
        <w:t xml:space="preserve"> that decisions X/13, XI/11, XII/24, XIII/17 and 14/19 mandated work on synthetic biology under the Convention, and that the results of the application of the criteria as set out in decision IX/29 to the issue of synthetic </w:t>
      </w:r>
      <w:r w:rsidRPr="00754375">
        <w:t>biology have been inconclusive in determining whether synthetic biology is a new and emerging issue or not and decides not to require further analysis</w:t>
      </w:r>
      <w:r>
        <w:t xml:space="preserve"> on whether synthetic biology is a new and emerging issue;</w:t>
      </w:r>
    </w:p>
    <w:p w14:paraId="44134D08" w14:textId="25770B53" w:rsidR="004678BE" w:rsidRPr="003727EF" w:rsidRDefault="004678BE" w:rsidP="003727EF">
      <w:pPr>
        <w:tabs>
          <w:tab w:val="left" w:pos="360"/>
        </w:tabs>
        <w:spacing w:before="120" w:after="120"/>
        <w:ind w:firstLine="720"/>
      </w:pPr>
      <w:r>
        <w:t>3.</w:t>
      </w:r>
      <w:r>
        <w:tab/>
      </w:r>
      <w:r w:rsidRPr="0086249D">
        <w:rPr>
          <w:i/>
          <w:iCs/>
        </w:rPr>
        <w:t>Notes</w:t>
      </w:r>
      <w:r w:rsidRPr="007611E1">
        <w:t xml:space="preserve"> that </w:t>
      </w:r>
      <w:r>
        <w:t xml:space="preserve">this </w:t>
      </w:r>
      <w:r w:rsidRPr="007611E1">
        <w:t>should not be seen as setting a precedent regarding synthetic biology as a permanent item under the Convention, nor on the permanent</w:t>
      </w:r>
      <w:r>
        <w:t xml:space="preserve"> adoption of procedures established in this decision, such as horizon scanning, nor on future processes to consider any proposed new and emerging issues;</w:t>
      </w:r>
    </w:p>
    <w:p w14:paraId="337F0CF1" w14:textId="77777777" w:rsidR="004678BE" w:rsidRDefault="004678BE" w:rsidP="000027C9">
      <w:pPr>
        <w:pStyle w:val="Para1"/>
        <w:keepNext/>
        <w:numPr>
          <w:ilvl w:val="0"/>
          <w:numId w:val="0"/>
        </w:numPr>
        <w:tabs>
          <w:tab w:val="left" w:pos="567"/>
        </w:tabs>
        <w:jc w:val="center"/>
        <w:rPr>
          <w:b/>
          <w:bCs/>
        </w:rPr>
      </w:pPr>
      <w:r>
        <w:rPr>
          <w:b/>
          <w:bCs/>
        </w:rPr>
        <w:t>B.</w:t>
      </w:r>
      <w:r>
        <w:rPr>
          <w:b/>
          <w:bCs/>
        </w:rPr>
        <w:tab/>
        <w:t>Process for broad and regular horizon scanning monitoring and assessment</w:t>
      </w:r>
    </w:p>
    <w:p w14:paraId="2C2035A5" w14:textId="62FA2C38" w:rsidR="004678BE" w:rsidRPr="00C40F3E" w:rsidRDefault="004678BE" w:rsidP="00C40F3E">
      <w:pPr>
        <w:tabs>
          <w:tab w:val="left" w:pos="360"/>
        </w:tabs>
        <w:spacing w:before="120" w:after="120"/>
        <w:ind w:firstLine="720"/>
        <w:rPr>
          <w:i/>
          <w:iCs/>
        </w:rPr>
      </w:pPr>
      <w:r w:rsidRPr="0086249D">
        <w:t>4</w:t>
      </w:r>
      <w:r>
        <w:rPr>
          <w:i/>
          <w:iCs/>
        </w:rPr>
        <w:t>.</w:t>
      </w:r>
      <w:r>
        <w:rPr>
          <w:i/>
          <w:iCs/>
        </w:rPr>
        <w:tab/>
      </w:r>
      <w:r w:rsidRPr="00C40F3E">
        <w:rPr>
          <w:i/>
          <w:iCs/>
        </w:rPr>
        <w:t>Establishes</w:t>
      </w:r>
      <w:r>
        <w:t xml:space="preserve"> a process for broad and regular horizon scanning, monitoring and assessment of the most recent technological developments in synthetic biology as set out in section A of the annex to the </w:t>
      </w:r>
      <w:r w:rsidRPr="006F17DE">
        <w:t xml:space="preserve">present decision and </w:t>
      </w:r>
      <w:r w:rsidRPr="0086249D">
        <w:t xml:space="preserve">agrees to </w:t>
      </w:r>
      <w:r w:rsidRPr="006F17DE">
        <w:t xml:space="preserve">start its work for </w:t>
      </w:r>
      <w:r w:rsidRPr="0086249D">
        <w:t>one</w:t>
      </w:r>
      <w:r w:rsidRPr="006F17DE">
        <w:t xml:space="preserve"> intersessional period;</w:t>
      </w:r>
    </w:p>
    <w:p w14:paraId="6AB6C857" w14:textId="77777777" w:rsidR="004678BE" w:rsidRDefault="004678BE" w:rsidP="00C40F3E">
      <w:pPr>
        <w:tabs>
          <w:tab w:val="left" w:pos="360"/>
        </w:tabs>
        <w:spacing w:before="120" w:after="120"/>
        <w:ind w:firstLine="720"/>
      </w:pPr>
      <w:r>
        <w:t>5.</w:t>
      </w:r>
      <w:r>
        <w:tab/>
      </w:r>
      <w:r w:rsidRPr="00C40F3E">
        <w:rPr>
          <w:i/>
          <w:iCs/>
        </w:rPr>
        <w:t>Establishes</w:t>
      </w:r>
      <w:r>
        <w:t xml:space="preserve"> a multidisciplinary ad hoc technical expert group on synthetic biology to support the process for broad and regular horizon scanning, monitoring and assessment, in accordance with the terms of reference contained in section B of the annex;</w:t>
      </w:r>
    </w:p>
    <w:p w14:paraId="0130A3CD" w14:textId="77777777" w:rsidR="004678BE" w:rsidRPr="008F043D" w:rsidRDefault="004678BE" w:rsidP="00C40F3E">
      <w:pPr>
        <w:tabs>
          <w:tab w:val="left" w:pos="360"/>
        </w:tabs>
        <w:spacing w:before="120" w:after="120"/>
        <w:ind w:firstLine="720"/>
        <w:rPr>
          <w:i/>
          <w:iCs/>
        </w:rPr>
      </w:pPr>
      <w:r w:rsidRPr="00550A26">
        <w:t>6.</w:t>
      </w:r>
      <w:r w:rsidRPr="00550A26">
        <w:tab/>
      </w:r>
      <w:r w:rsidRPr="00C40F3E">
        <w:rPr>
          <w:i/>
          <w:iCs/>
        </w:rPr>
        <w:t>Decides</w:t>
      </w:r>
      <w:r>
        <w:t xml:space="preserve"> that the trends in new technological developments in synthetic biology identified by the Ad Hoc </w:t>
      </w:r>
      <w:r w:rsidRPr="008F043D">
        <w:t>Technical Expert Group on Synthetic Biology</w:t>
      </w:r>
      <w:r w:rsidRPr="00610646">
        <w:rPr>
          <w:rStyle w:val="FootnoteReference"/>
        </w:rPr>
        <w:footnoteReference w:id="385"/>
      </w:r>
      <w:r w:rsidRPr="008F043D">
        <w:t xml:space="preserve"> and by the multidisciplinary Ad Hoc Technical Expert Group on Synthetic Biology to Support the Process for Broad and Regular Horizon Scanning, Monitoring and Assessment, will inform the horizon scanning, monitoring and assessment of the following intersessional period;</w:t>
      </w:r>
    </w:p>
    <w:p w14:paraId="42089C0E" w14:textId="77777777" w:rsidR="004678BE" w:rsidRPr="00C40F3E" w:rsidRDefault="004678BE" w:rsidP="00C40F3E">
      <w:pPr>
        <w:tabs>
          <w:tab w:val="left" w:pos="360"/>
        </w:tabs>
        <w:spacing w:before="120" w:after="120"/>
        <w:ind w:firstLine="720"/>
        <w:rPr>
          <w:i/>
          <w:iCs/>
        </w:rPr>
      </w:pPr>
      <w:r w:rsidRPr="008F043D">
        <w:t>7.</w:t>
      </w:r>
      <w:r w:rsidRPr="008F043D">
        <w:tab/>
      </w:r>
      <w:r w:rsidRPr="008F043D">
        <w:rPr>
          <w:i/>
          <w:iCs/>
        </w:rPr>
        <w:t>Invites</w:t>
      </w:r>
      <w:r w:rsidRPr="008F043D">
        <w:t xml:space="preserve"> Parties</w:t>
      </w:r>
      <w:r>
        <w:t>, other Governments, indigenous peoples and local communities, and relevant organizations to submit to the Executive Secretary information relevant to the trends referred to in paragraph 6 above to inform the horizon scanning, monitoring and assessment;</w:t>
      </w:r>
    </w:p>
    <w:p w14:paraId="5F57A1D9" w14:textId="77777777" w:rsidR="004678BE" w:rsidRDefault="004678BE" w:rsidP="00C40F3E">
      <w:pPr>
        <w:tabs>
          <w:tab w:val="left" w:pos="360"/>
        </w:tabs>
        <w:spacing w:before="120" w:after="120"/>
        <w:ind w:firstLine="720"/>
      </w:pPr>
      <w:r>
        <w:t>8.</w:t>
      </w:r>
      <w:r>
        <w:tab/>
      </w:r>
      <w:r w:rsidRPr="00C40F3E">
        <w:rPr>
          <w:i/>
          <w:iCs/>
        </w:rPr>
        <w:t>Calls upon</w:t>
      </w:r>
      <w:r>
        <w:t xml:space="preserve"> Parties and other stakeholders to facilitate broad international cooperation, technology transfer, knowledge-sharing, including through the Biosafety Clearing-House, for products of synthetic biology that are considered to be living modified organisms, and capacity-building on synthetic biology, taking into account the needs of Parties and of indigenous peoples and local communities;</w:t>
      </w:r>
    </w:p>
    <w:p w14:paraId="3FE8E231" w14:textId="77777777" w:rsidR="004678BE" w:rsidRDefault="004678BE" w:rsidP="00C40F3E">
      <w:pPr>
        <w:tabs>
          <w:tab w:val="left" w:pos="360"/>
        </w:tabs>
        <w:spacing w:before="120" w:after="120"/>
        <w:ind w:firstLine="720"/>
      </w:pPr>
      <w:r>
        <w:t>9.</w:t>
      </w:r>
      <w:r>
        <w:tab/>
      </w:r>
      <w:r w:rsidRPr="00C40F3E">
        <w:rPr>
          <w:i/>
          <w:iCs/>
        </w:rPr>
        <w:t>Requests</w:t>
      </w:r>
      <w:r>
        <w:t xml:space="preserve"> the Executive Secretary, subject to the availability of resources:</w:t>
      </w:r>
    </w:p>
    <w:p w14:paraId="643A3BE7" w14:textId="77777777" w:rsidR="004678BE" w:rsidRDefault="004678BE" w:rsidP="00F973A3">
      <w:pPr>
        <w:tabs>
          <w:tab w:val="left" w:pos="360"/>
        </w:tabs>
        <w:spacing w:before="120" w:after="120"/>
        <w:ind w:firstLine="720"/>
      </w:pPr>
      <w:r>
        <w:t>(a)</w:t>
      </w:r>
      <w:r>
        <w:tab/>
        <w:t>To convene online discussions of the Open-ended Online Forum on Synthetic Biology to support the work of the multidisciplinary Ad Hoc Technical Expert Group, as well as the overall process outlined in paragraph 4 above;</w:t>
      </w:r>
    </w:p>
    <w:p w14:paraId="2918FF69" w14:textId="77777777" w:rsidR="004678BE" w:rsidRDefault="004678BE" w:rsidP="00F973A3">
      <w:pPr>
        <w:tabs>
          <w:tab w:val="left" w:pos="360"/>
        </w:tabs>
        <w:spacing w:before="120" w:after="120"/>
        <w:ind w:firstLine="720"/>
      </w:pPr>
      <w:r>
        <w:t>(b)</w:t>
      </w:r>
      <w:r>
        <w:tab/>
        <w:t>To synthesize the information submitted in response to paragraph 7 above as well as the information provided through the online discussions of the Open-ended Online Forum on Synthetic Biology to inform the deliberations of the multidisciplinary Ad Hoc Technical Expert Group;</w:t>
      </w:r>
    </w:p>
    <w:p w14:paraId="3F0B279A" w14:textId="77777777" w:rsidR="004678BE" w:rsidRDefault="004678BE" w:rsidP="00F973A3">
      <w:pPr>
        <w:tabs>
          <w:tab w:val="left" w:pos="360"/>
        </w:tabs>
        <w:spacing w:before="120" w:after="120"/>
        <w:ind w:firstLine="720"/>
      </w:pPr>
      <w:r>
        <w:t>(c)</w:t>
      </w:r>
      <w:r>
        <w:tab/>
        <w:t xml:space="preserve">To convene at least one meeting of the multidisciplinary Ad Hoc Technical Expert Group to work according to the terms of reference as set out in </w:t>
      </w:r>
      <w:r w:rsidRPr="006E3EE1">
        <w:t>section B of the annex;</w:t>
      </w:r>
    </w:p>
    <w:p w14:paraId="29FB0B39" w14:textId="77777777" w:rsidR="004678BE" w:rsidRDefault="004678BE" w:rsidP="00F973A3">
      <w:pPr>
        <w:tabs>
          <w:tab w:val="left" w:pos="360"/>
        </w:tabs>
        <w:spacing w:before="120" w:after="120"/>
        <w:ind w:firstLine="720"/>
      </w:pPr>
      <w:r>
        <w:t>(d)</w:t>
      </w:r>
      <w:r>
        <w:tab/>
        <w:t>To prepare reports on the outcomes and operation of the horizon scanning process referred to in paragraph 4 above and to submit those reports for peer review to support the review of the effectiveness of the process by the Subsidiary Body on Scientific, Technical and Technological Advice a</w:t>
      </w:r>
      <w:r w:rsidRPr="000D5FAB">
        <w:t>t its meeting</w:t>
      </w:r>
      <w:r>
        <w:t xml:space="preserve"> prior to the sixteenth meeting of the Conference of the Parties;</w:t>
      </w:r>
    </w:p>
    <w:p w14:paraId="1EEA601A" w14:textId="77777777" w:rsidR="004678BE" w:rsidRDefault="004678BE" w:rsidP="00F973A3">
      <w:pPr>
        <w:tabs>
          <w:tab w:val="left" w:pos="360"/>
        </w:tabs>
        <w:spacing w:before="120" w:after="120"/>
        <w:ind w:firstLine="720"/>
      </w:pPr>
      <w:r>
        <w:t>(e)</w:t>
      </w:r>
      <w:r>
        <w:tab/>
        <w:t>To facilitate international cooperation</w:t>
      </w:r>
      <w:r w:rsidRPr="00517BA3">
        <w:t>, and promote</w:t>
      </w:r>
      <w:r>
        <w:t xml:space="preserve"> and support capacity-building, technology transfer and knowledge-sharing, regarding synthetic biology, taking into account the needs of Parties and of indigenous peoples and local communities;</w:t>
      </w:r>
    </w:p>
    <w:p w14:paraId="2075897C" w14:textId="77777777" w:rsidR="004678BE" w:rsidRDefault="004678BE" w:rsidP="00F973A3">
      <w:pPr>
        <w:tabs>
          <w:tab w:val="left" w:pos="360"/>
        </w:tabs>
        <w:spacing w:before="120" w:after="120"/>
        <w:ind w:firstLine="720"/>
      </w:pPr>
      <w:r>
        <w:t>(f)</w:t>
      </w:r>
      <w:r>
        <w:tab/>
        <w:t>To continue to ensure the full and effective participation of indigenous peoples and local communities in the discussions and in the work on synthetic biology under the Convention, in accordance with decision X/40;</w:t>
      </w:r>
    </w:p>
    <w:p w14:paraId="58280AD3" w14:textId="77777777" w:rsidR="004678BE" w:rsidRDefault="004678BE" w:rsidP="00C40F3E">
      <w:pPr>
        <w:tabs>
          <w:tab w:val="left" w:pos="360"/>
        </w:tabs>
        <w:spacing w:before="120" w:after="120"/>
        <w:ind w:firstLine="720"/>
      </w:pPr>
      <w:r>
        <w:t>10.</w:t>
      </w:r>
      <w:r>
        <w:tab/>
      </w:r>
      <w:r w:rsidRPr="00C40F3E">
        <w:rPr>
          <w:i/>
          <w:iCs/>
        </w:rPr>
        <w:t>Requests</w:t>
      </w:r>
      <w:r>
        <w:t xml:space="preserve"> the </w:t>
      </w:r>
      <w:bookmarkStart w:id="376" w:name="_Hlk74121251"/>
      <w:r>
        <w:t xml:space="preserve">Subsidiary Body on Scientific, Technical and Technological Advice </w:t>
      </w:r>
      <w:bookmarkEnd w:id="376"/>
      <w:r>
        <w:t>to consider the outcomes of the horizon scanning process contained in the report of the multidisciplinary Ad Hoc Technical Expert Group, and to make recommendations for consideration by the Conference of the Parties at its sixteenth meeting and, as appropriate, by the Conference of the Parties serving as the meeting of the Parties to the Cartagena Protocol at its eleventh meeting and by the Conference of the Parties serving as the meeting of the Parties to the Nagoya Protocol at its fifth meeting;</w:t>
      </w:r>
    </w:p>
    <w:p w14:paraId="13342403" w14:textId="77777777" w:rsidR="004678BE" w:rsidRDefault="004678BE" w:rsidP="00C40F3E">
      <w:pPr>
        <w:tabs>
          <w:tab w:val="left" w:pos="360"/>
        </w:tabs>
        <w:spacing w:before="120" w:after="120"/>
        <w:ind w:firstLine="720"/>
      </w:pPr>
      <w:r>
        <w:t>11.</w:t>
      </w:r>
      <w:r>
        <w:tab/>
      </w:r>
      <w:r w:rsidRPr="00C40F3E">
        <w:rPr>
          <w:i/>
          <w:iCs/>
        </w:rPr>
        <w:t>Also requests</w:t>
      </w:r>
      <w:r>
        <w:t xml:space="preserve"> the Subsidiary Body on Scientific, Technical and Technological Advice to consider the report on effectiveness of the horizon scanning process established in paragraph 4 above, at its meeting prior to the sixteenth meeting of the Conference of the Parties, and to make a recommendation on the need to extend that process;</w:t>
      </w:r>
    </w:p>
    <w:p w14:paraId="52563505" w14:textId="77777777" w:rsidR="004678BE" w:rsidRDefault="004678BE" w:rsidP="00C40F3E">
      <w:pPr>
        <w:tabs>
          <w:tab w:val="left" w:pos="360"/>
        </w:tabs>
        <w:spacing w:before="120" w:after="120"/>
        <w:ind w:firstLine="720"/>
      </w:pPr>
      <w:r>
        <w:t>12.</w:t>
      </w:r>
      <w:r>
        <w:tab/>
      </w:r>
      <w:r w:rsidRPr="00C40F3E">
        <w:rPr>
          <w:i/>
          <w:iCs/>
        </w:rPr>
        <w:t>Requests</w:t>
      </w:r>
      <w:r>
        <w:t xml:space="preserve"> the Executive Secretary to continue pursuing cooperation with other regional and international organizations, conventions and initiatives, including academic and research institutions, on issues related to synthetic biology.</w:t>
      </w:r>
    </w:p>
    <w:p w14:paraId="4B99F9D0" w14:textId="77777777" w:rsidR="004678BE" w:rsidRPr="000027C9" w:rsidRDefault="004678BE" w:rsidP="006147CE">
      <w:pPr>
        <w:keepNext/>
        <w:tabs>
          <w:tab w:val="left" w:pos="360"/>
        </w:tabs>
        <w:spacing w:before="120" w:after="120"/>
        <w:jc w:val="center"/>
        <w:rPr>
          <w:rFonts w:asciiTheme="majorBidi" w:hAnsiTheme="majorBidi" w:cstheme="majorBidi"/>
          <w:szCs w:val="22"/>
        </w:rPr>
      </w:pPr>
      <w:bookmarkStart w:id="377" w:name="_Toc118355067"/>
      <w:r w:rsidRPr="000027C9">
        <w:rPr>
          <w:rFonts w:asciiTheme="majorBidi" w:hAnsiTheme="majorBidi" w:cstheme="majorBidi"/>
          <w:i/>
          <w:iCs/>
          <w:szCs w:val="22"/>
        </w:rPr>
        <w:t>Annex</w:t>
      </w:r>
      <w:bookmarkEnd w:id="377"/>
    </w:p>
    <w:p w14:paraId="6D11796D" w14:textId="77777777" w:rsidR="004678BE" w:rsidRPr="000027C9" w:rsidRDefault="004678BE" w:rsidP="006147CE">
      <w:pPr>
        <w:pStyle w:val="Heading1-compilation"/>
        <w:rPr>
          <w:szCs w:val="22"/>
        </w:rPr>
      </w:pPr>
      <w:bookmarkStart w:id="378" w:name="_Toc118355068"/>
      <w:bookmarkStart w:id="379" w:name="_Toc118354938"/>
      <w:bookmarkStart w:id="380" w:name="_Toc150670319"/>
      <w:bookmarkStart w:id="381" w:name="_Toc150670536"/>
      <w:bookmarkStart w:id="382" w:name="_Toc150670646"/>
      <w:r w:rsidRPr="000027C9">
        <w:rPr>
          <w:szCs w:val="22"/>
        </w:rPr>
        <w:t xml:space="preserve">Broad and regular horizon scanning, monitoring and assessment </w:t>
      </w:r>
      <w:bookmarkStart w:id="383" w:name="_Hlk34578218"/>
      <w:r w:rsidRPr="000027C9">
        <w:rPr>
          <w:szCs w:val="22"/>
        </w:rPr>
        <w:t>of the most recent technological developments in synthetic biology</w:t>
      </w:r>
      <w:bookmarkEnd w:id="378"/>
      <w:bookmarkEnd w:id="379"/>
      <w:bookmarkEnd w:id="380"/>
      <w:bookmarkEnd w:id="381"/>
      <w:bookmarkEnd w:id="382"/>
      <w:bookmarkEnd w:id="383"/>
    </w:p>
    <w:p w14:paraId="526C34C5" w14:textId="77777777" w:rsidR="004678BE" w:rsidRPr="000027C9" w:rsidRDefault="004678BE" w:rsidP="000027C9">
      <w:pPr>
        <w:keepNext/>
        <w:tabs>
          <w:tab w:val="left" w:pos="360"/>
        </w:tabs>
        <w:spacing w:before="240" w:after="120"/>
        <w:ind w:left="714" w:hanging="357"/>
        <w:jc w:val="center"/>
        <w:rPr>
          <w:rFonts w:asciiTheme="majorBidi" w:hAnsiTheme="majorBidi" w:cstheme="majorBidi"/>
          <w:b/>
          <w:bCs/>
          <w:szCs w:val="22"/>
        </w:rPr>
      </w:pPr>
      <w:r w:rsidRPr="000027C9">
        <w:rPr>
          <w:rFonts w:asciiTheme="majorBidi" w:hAnsiTheme="majorBidi" w:cstheme="majorBidi"/>
          <w:b/>
          <w:bCs/>
          <w:szCs w:val="22"/>
        </w:rPr>
        <w:t>A.</w:t>
      </w:r>
      <w:r w:rsidRPr="000027C9">
        <w:rPr>
          <w:rFonts w:asciiTheme="majorBidi" w:hAnsiTheme="majorBidi" w:cstheme="majorBidi"/>
          <w:b/>
          <w:bCs/>
          <w:szCs w:val="22"/>
        </w:rPr>
        <w:tab/>
        <w:t>Process for the horizon scanning, monitoring and assessment</w:t>
      </w:r>
    </w:p>
    <w:p w14:paraId="1C31523E" w14:textId="77777777" w:rsidR="004678BE" w:rsidRPr="000027C9" w:rsidRDefault="004678BE" w:rsidP="00C40F3E">
      <w:pPr>
        <w:spacing w:before="120" w:after="120"/>
        <w:ind w:hanging="11"/>
        <w:rPr>
          <w:rFonts w:asciiTheme="majorBidi" w:hAnsiTheme="majorBidi" w:cstheme="majorBidi"/>
          <w:szCs w:val="22"/>
        </w:rPr>
      </w:pPr>
      <w:r w:rsidRPr="000027C9">
        <w:rPr>
          <w:rFonts w:asciiTheme="majorBidi" w:hAnsiTheme="majorBidi" w:cstheme="majorBidi"/>
          <w:szCs w:val="22"/>
        </w:rPr>
        <w:t>1.</w:t>
      </w:r>
      <w:r w:rsidRPr="000027C9">
        <w:rPr>
          <w:rFonts w:asciiTheme="majorBidi" w:hAnsiTheme="majorBidi" w:cstheme="majorBidi"/>
          <w:szCs w:val="22"/>
        </w:rPr>
        <w:tab/>
        <w:t>The process for broad and regular horizon scanning, monitoring and assessment (hereinafter “the process”) consists of the following steps:</w:t>
      </w:r>
    </w:p>
    <w:p w14:paraId="2B2CE4D9" w14:textId="77777777" w:rsidR="004678BE" w:rsidRPr="000027C9" w:rsidRDefault="004678BE" w:rsidP="00C40F3E">
      <w:pPr>
        <w:tabs>
          <w:tab w:val="left" w:pos="360"/>
        </w:tabs>
        <w:spacing w:before="120" w:after="120"/>
        <w:ind w:firstLine="704"/>
        <w:rPr>
          <w:rFonts w:asciiTheme="majorBidi" w:hAnsiTheme="majorBidi" w:cstheme="majorBidi"/>
          <w:szCs w:val="22"/>
        </w:rPr>
      </w:pPr>
      <w:r w:rsidRPr="000027C9">
        <w:rPr>
          <w:rFonts w:asciiTheme="majorBidi" w:hAnsiTheme="majorBidi" w:cstheme="majorBidi"/>
          <w:szCs w:val="22"/>
        </w:rPr>
        <w:t>(a)</w:t>
      </w:r>
      <w:r w:rsidRPr="000027C9">
        <w:rPr>
          <w:rFonts w:asciiTheme="majorBidi" w:hAnsiTheme="majorBidi" w:cstheme="majorBidi"/>
          <w:szCs w:val="22"/>
        </w:rPr>
        <w:tab/>
        <w:t>Information gathering;</w:t>
      </w:r>
    </w:p>
    <w:p w14:paraId="745427E1" w14:textId="77777777" w:rsidR="004678BE" w:rsidRPr="000027C9" w:rsidRDefault="004678BE" w:rsidP="00C40F3E">
      <w:pPr>
        <w:tabs>
          <w:tab w:val="left" w:pos="360"/>
        </w:tabs>
        <w:spacing w:before="120" w:after="120"/>
        <w:ind w:firstLine="704"/>
        <w:rPr>
          <w:rFonts w:asciiTheme="majorBidi" w:hAnsiTheme="majorBidi" w:cstheme="majorBidi"/>
          <w:szCs w:val="22"/>
        </w:rPr>
      </w:pPr>
      <w:r w:rsidRPr="000027C9">
        <w:rPr>
          <w:rFonts w:asciiTheme="majorBidi" w:hAnsiTheme="majorBidi" w:cstheme="majorBidi"/>
          <w:szCs w:val="22"/>
        </w:rPr>
        <w:t>(b)</w:t>
      </w:r>
      <w:r w:rsidRPr="000027C9">
        <w:rPr>
          <w:rFonts w:asciiTheme="majorBidi" w:hAnsiTheme="majorBidi" w:cstheme="majorBidi"/>
          <w:szCs w:val="22"/>
        </w:rPr>
        <w:tab/>
        <w:t>Compilation, organization and synthesis of information;</w:t>
      </w:r>
    </w:p>
    <w:p w14:paraId="5B8AD4C7" w14:textId="77777777" w:rsidR="004678BE" w:rsidRPr="000027C9" w:rsidRDefault="004678BE" w:rsidP="00C40F3E">
      <w:pPr>
        <w:tabs>
          <w:tab w:val="left" w:pos="360"/>
        </w:tabs>
        <w:spacing w:before="120" w:after="120"/>
        <w:ind w:firstLine="704"/>
        <w:rPr>
          <w:rFonts w:asciiTheme="majorBidi" w:hAnsiTheme="majorBidi" w:cstheme="majorBidi"/>
          <w:szCs w:val="22"/>
        </w:rPr>
      </w:pPr>
      <w:r w:rsidRPr="000027C9">
        <w:rPr>
          <w:rFonts w:asciiTheme="majorBidi" w:hAnsiTheme="majorBidi" w:cstheme="majorBidi"/>
          <w:szCs w:val="22"/>
        </w:rPr>
        <w:t>(c)</w:t>
      </w:r>
      <w:r w:rsidRPr="000027C9">
        <w:rPr>
          <w:rFonts w:asciiTheme="majorBidi" w:hAnsiTheme="majorBidi" w:cstheme="majorBidi"/>
          <w:szCs w:val="22"/>
        </w:rPr>
        <w:tab/>
        <w:t>Assessment;</w:t>
      </w:r>
    </w:p>
    <w:p w14:paraId="7811C1D0" w14:textId="77777777" w:rsidR="004678BE" w:rsidRPr="000027C9" w:rsidRDefault="004678BE" w:rsidP="00C40F3E">
      <w:pPr>
        <w:tabs>
          <w:tab w:val="left" w:pos="360"/>
        </w:tabs>
        <w:spacing w:before="120" w:after="120"/>
        <w:ind w:firstLine="704"/>
        <w:rPr>
          <w:rFonts w:asciiTheme="majorBidi" w:hAnsiTheme="majorBidi" w:cstheme="majorBidi"/>
          <w:szCs w:val="22"/>
        </w:rPr>
      </w:pPr>
      <w:r w:rsidRPr="000027C9">
        <w:rPr>
          <w:rFonts w:asciiTheme="majorBidi" w:hAnsiTheme="majorBidi" w:cstheme="majorBidi"/>
          <w:szCs w:val="22"/>
        </w:rPr>
        <w:t>(d)</w:t>
      </w:r>
      <w:r w:rsidRPr="000027C9">
        <w:rPr>
          <w:rFonts w:asciiTheme="majorBidi" w:hAnsiTheme="majorBidi" w:cstheme="majorBidi"/>
          <w:szCs w:val="22"/>
        </w:rPr>
        <w:tab/>
        <w:t>Reporting on outcomes.</w:t>
      </w:r>
    </w:p>
    <w:p w14:paraId="5C453B80" w14:textId="77777777" w:rsidR="004678BE" w:rsidRPr="000027C9" w:rsidRDefault="004678BE" w:rsidP="00C40F3E">
      <w:pPr>
        <w:spacing w:before="120" w:after="120"/>
        <w:ind w:hanging="11"/>
        <w:rPr>
          <w:rFonts w:asciiTheme="majorBidi" w:hAnsiTheme="majorBidi" w:cstheme="majorBidi"/>
          <w:szCs w:val="22"/>
          <w:lang w:val="en-US"/>
        </w:rPr>
      </w:pPr>
      <w:r w:rsidRPr="000027C9">
        <w:rPr>
          <w:rFonts w:asciiTheme="majorBidi" w:hAnsiTheme="majorBidi" w:cstheme="majorBidi"/>
          <w:szCs w:val="22"/>
        </w:rPr>
        <w:t xml:space="preserve">2. </w:t>
      </w:r>
      <w:r w:rsidRPr="000027C9">
        <w:rPr>
          <w:rFonts w:asciiTheme="majorBidi" w:hAnsiTheme="majorBidi" w:cstheme="majorBidi"/>
          <w:szCs w:val="22"/>
        </w:rPr>
        <w:tab/>
        <w:t xml:space="preserve">The coordinating actors for the steps 1(a) and 1(b) of the process will be the Secretariat with the support of consultants, as appropriate; for 1(c) the </w:t>
      </w:r>
      <w:r w:rsidRPr="000027C9">
        <w:rPr>
          <w:rFonts w:asciiTheme="majorBidi" w:hAnsiTheme="majorBidi" w:cstheme="majorBidi"/>
          <w:szCs w:val="22"/>
          <w:lang w:val="en-US"/>
        </w:rPr>
        <w:t>multidisciplinary Ad Hoc Technical Expert Group and the Subsidiary Body on Scientific, Technical and Technological Advice; for 1(d) the multidisciplinary Ad Hoc Technical Expert Group, the Subsidiary Body on Scientific, Technical and Technological Advice, Conference of Parties, and the Conference of Parties serving as a meeting of the Parties to the Cartagena Protocol on Biosafety and the Conference of Parties serving as a meeting of the Parties to the Nagoya Protocol. The actors involved in the process will, when possible, make use of digital tools for disseminating and collecting information, including among others, submissions of information; outreach to relevant institutions and organizations; online fora; and collaborative activities, as appropriate.</w:t>
      </w:r>
    </w:p>
    <w:p w14:paraId="67088FEA" w14:textId="77777777" w:rsidR="004678BE" w:rsidRPr="000027C9" w:rsidRDefault="004678BE" w:rsidP="00FC43BE">
      <w:pPr>
        <w:spacing w:before="120" w:after="120"/>
        <w:ind w:hanging="11"/>
        <w:rPr>
          <w:rFonts w:asciiTheme="majorBidi" w:hAnsiTheme="majorBidi" w:cstheme="majorBidi"/>
          <w:szCs w:val="22"/>
        </w:rPr>
      </w:pPr>
      <w:r w:rsidRPr="000027C9">
        <w:rPr>
          <w:rFonts w:asciiTheme="majorBidi" w:hAnsiTheme="majorBidi" w:cstheme="majorBidi"/>
          <w:szCs w:val="22"/>
        </w:rPr>
        <w:t>3.</w:t>
      </w:r>
      <w:r w:rsidRPr="000027C9">
        <w:rPr>
          <w:rFonts w:asciiTheme="majorBidi" w:hAnsiTheme="majorBidi" w:cstheme="majorBidi"/>
          <w:szCs w:val="22"/>
        </w:rPr>
        <w:tab/>
        <w:t xml:space="preserve">The Subsidiary Body on Scientific, Technical and Technological Advice shall review the outcomes of the process </w:t>
      </w:r>
      <w:r w:rsidRPr="000027C9">
        <w:rPr>
          <w:rFonts w:asciiTheme="majorBidi" w:hAnsiTheme="majorBidi" w:cstheme="majorBidi"/>
          <w:iCs/>
          <w:szCs w:val="22"/>
        </w:rPr>
        <w:t xml:space="preserve">and make recommendations on technological developments in synthetic biology and their potential positive and negative impacts for the objectives of the Convention. </w:t>
      </w:r>
    </w:p>
    <w:p w14:paraId="4E85EBDC" w14:textId="77777777" w:rsidR="004678BE" w:rsidRPr="000027C9" w:rsidRDefault="004678BE" w:rsidP="00C40F3E">
      <w:pPr>
        <w:spacing w:before="120" w:after="120"/>
        <w:ind w:hanging="11"/>
        <w:rPr>
          <w:rFonts w:asciiTheme="majorBidi" w:hAnsiTheme="majorBidi" w:cstheme="majorBidi"/>
          <w:szCs w:val="22"/>
        </w:rPr>
      </w:pPr>
      <w:r w:rsidRPr="000027C9">
        <w:rPr>
          <w:rFonts w:asciiTheme="majorBidi" w:hAnsiTheme="majorBidi" w:cstheme="majorBidi"/>
          <w:szCs w:val="22"/>
        </w:rPr>
        <w:t>4.</w:t>
      </w:r>
      <w:r w:rsidRPr="000027C9">
        <w:rPr>
          <w:rFonts w:asciiTheme="majorBidi" w:hAnsiTheme="majorBidi" w:cstheme="majorBidi"/>
          <w:szCs w:val="22"/>
        </w:rPr>
        <w:tab/>
        <w:t>The effectiveness of the process shall be considered by the Conference of the Parties.</w:t>
      </w:r>
    </w:p>
    <w:p w14:paraId="02B62753" w14:textId="77777777" w:rsidR="004678BE" w:rsidRPr="000027C9" w:rsidRDefault="004678BE" w:rsidP="000027C9">
      <w:pPr>
        <w:keepNext/>
        <w:tabs>
          <w:tab w:val="left" w:pos="360"/>
        </w:tabs>
        <w:spacing w:before="240" w:after="120"/>
        <w:ind w:left="1134" w:hanging="567"/>
        <w:jc w:val="left"/>
        <w:rPr>
          <w:rFonts w:asciiTheme="majorBidi" w:hAnsiTheme="majorBidi" w:cstheme="majorBidi"/>
          <w:b/>
          <w:bCs/>
          <w:szCs w:val="22"/>
        </w:rPr>
      </w:pPr>
      <w:r w:rsidRPr="000027C9">
        <w:rPr>
          <w:rFonts w:asciiTheme="majorBidi" w:hAnsiTheme="majorBidi" w:cstheme="majorBidi"/>
          <w:b/>
          <w:bCs/>
          <w:szCs w:val="22"/>
        </w:rPr>
        <w:t>B.</w:t>
      </w:r>
      <w:r w:rsidRPr="000027C9">
        <w:rPr>
          <w:rFonts w:asciiTheme="majorBidi" w:hAnsiTheme="majorBidi" w:cstheme="majorBidi"/>
          <w:b/>
          <w:bCs/>
          <w:szCs w:val="22"/>
        </w:rPr>
        <w:tab/>
        <w:t>Terms of reference for the multidisciplinary Ad Hoc Technical Expert Group on Synthetic Biology to Support the Process for Broad and Regular Horizon Scanning, Monitoring and Assessment</w:t>
      </w:r>
    </w:p>
    <w:p w14:paraId="210F4ACF" w14:textId="77777777" w:rsidR="004678BE" w:rsidRPr="000027C9" w:rsidRDefault="004678BE" w:rsidP="00C40F3E">
      <w:pPr>
        <w:spacing w:before="120" w:after="120"/>
        <w:rPr>
          <w:rFonts w:asciiTheme="majorBidi" w:hAnsiTheme="majorBidi" w:cstheme="majorBidi"/>
          <w:szCs w:val="22"/>
        </w:rPr>
      </w:pPr>
      <w:r w:rsidRPr="000027C9">
        <w:rPr>
          <w:rFonts w:asciiTheme="majorBidi" w:hAnsiTheme="majorBidi" w:cstheme="majorBidi"/>
          <w:szCs w:val="22"/>
        </w:rPr>
        <w:t>1.</w:t>
      </w:r>
      <w:r w:rsidRPr="000027C9">
        <w:rPr>
          <w:rFonts w:asciiTheme="majorBidi" w:hAnsiTheme="majorBidi" w:cstheme="majorBidi"/>
          <w:szCs w:val="22"/>
        </w:rPr>
        <w:tab/>
        <w:t>The multidisciplinary Ad Hoc Technical Expert Group, building on the previous relevant work under the Convention and its Protocols, including the work of the previous Ad Hoc Technical Expert Groups on Synthetic Biology, shall:</w:t>
      </w:r>
    </w:p>
    <w:p w14:paraId="62B5AEC2" w14:textId="77777777" w:rsidR="004678BE" w:rsidRPr="000027C9" w:rsidRDefault="004678BE" w:rsidP="00C40F3E">
      <w:pPr>
        <w:tabs>
          <w:tab w:val="left" w:pos="360"/>
        </w:tabs>
        <w:spacing w:before="120" w:after="120"/>
        <w:ind w:firstLine="720"/>
        <w:rPr>
          <w:rFonts w:asciiTheme="majorBidi" w:hAnsiTheme="majorBidi" w:cstheme="majorBidi"/>
          <w:szCs w:val="22"/>
        </w:rPr>
      </w:pPr>
      <w:r w:rsidRPr="000027C9">
        <w:rPr>
          <w:rFonts w:asciiTheme="majorBidi" w:hAnsiTheme="majorBidi" w:cstheme="majorBidi"/>
          <w:szCs w:val="22"/>
        </w:rPr>
        <w:t>(a)</w:t>
      </w:r>
      <w:r w:rsidRPr="000027C9">
        <w:rPr>
          <w:rFonts w:asciiTheme="majorBidi" w:hAnsiTheme="majorBidi" w:cstheme="majorBidi"/>
          <w:szCs w:val="22"/>
        </w:rPr>
        <w:tab/>
        <w:t xml:space="preserve">Make use of existing tools and approaches to enable a participatory process </w:t>
      </w:r>
      <w:r w:rsidRPr="000027C9">
        <w:rPr>
          <w:rFonts w:asciiTheme="majorBidi" w:hAnsiTheme="majorBidi" w:cstheme="majorBidi"/>
          <w:szCs w:val="22"/>
          <w:lang w:val="en-US"/>
        </w:rPr>
        <w:t>t</w:t>
      </w:r>
      <w:r w:rsidRPr="000027C9">
        <w:rPr>
          <w:rFonts w:asciiTheme="majorBidi" w:hAnsiTheme="majorBidi" w:cstheme="majorBidi"/>
          <w:szCs w:val="22"/>
        </w:rPr>
        <w:t xml:space="preserve">o review and assess the information gathered through the process for broad and regular horizon scanning, monitoring and assessment and, on this basis, consider technological developments in synthetic biology and their potential positive and negative impacts vis-à-vis the objectives of the Convention, taking into account the 2019 report of the </w:t>
      </w:r>
      <w:r>
        <w:rPr>
          <w:rFonts w:asciiTheme="majorBidi" w:hAnsiTheme="majorBidi" w:cstheme="majorBidi"/>
          <w:szCs w:val="22"/>
        </w:rPr>
        <w:t>Ad Hoc Technical Expert Group</w:t>
      </w:r>
      <w:r w:rsidRPr="000027C9">
        <w:rPr>
          <w:rFonts w:asciiTheme="majorBidi" w:hAnsiTheme="majorBidi" w:cstheme="majorBidi"/>
          <w:szCs w:val="22"/>
        </w:rPr>
        <w:t xml:space="preserve"> on </w:t>
      </w:r>
      <w:r>
        <w:rPr>
          <w:rFonts w:asciiTheme="majorBidi" w:hAnsiTheme="majorBidi" w:cstheme="majorBidi"/>
          <w:szCs w:val="22"/>
        </w:rPr>
        <w:t>S</w:t>
      </w:r>
      <w:r w:rsidRPr="000027C9">
        <w:rPr>
          <w:rFonts w:asciiTheme="majorBidi" w:hAnsiTheme="majorBidi" w:cstheme="majorBidi"/>
          <w:szCs w:val="22"/>
        </w:rPr>
        <w:t xml:space="preserve">ynthetic </w:t>
      </w:r>
      <w:r>
        <w:rPr>
          <w:rFonts w:asciiTheme="majorBidi" w:hAnsiTheme="majorBidi" w:cstheme="majorBidi"/>
          <w:szCs w:val="22"/>
        </w:rPr>
        <w:t>B</w:t>
      </w:r>
      <w:r w:rsidRPr="000027C9">
        <w:rPr>
          <w:rFonts w:asciiTheme="majorBidi" w:hAnsiTheme="majorBidi" w:cstheme="majorBidi"/>
          <w:szCs w:val="22"/>
        </w:rPr>
        <w:t>iology</w:t>
      </w:r>
      <w:r>
        <w:rPr>
          <w:rFonts w:asciiTheme="majorBidi" w:hAnsiTheme="majorBidi" w:cstheme="majorBidi"/>
          <w:szCs w:val="22"/>
        </w:rPr>
        <w:t>,</w:t>
      </w:r>
      <w:r w:rsidRPr="00610646">
        <w:rPr>
          <w:rStyle w:val="FootnoteReference"/>
        </w:rPr>
        <w:footnoteReference w:id="386"/>
      </w:r>
      <w:r w:rsidRPr="000027C9">
        <w:rPr>
          <w:rFonts w:asciiTheme="majorBidi" w:hAnsiTheme="majorBidi" w:cstheme="majorBidi"/>
          <w:szCs w:val="22"/>
        </w:rPr>
        <w:t xml:space="preserve"> as appropriate;</w:t>
      </w:r>
    </w:p>
    <w:p w14:paraId="6EFE24DC" w14:textId="77777777" w:rsidR="004678BE" w:rsidRPr="000027C9" w:rsidRDefault="004678BE" w:rsidP="00F973A3">
      <w:pPr>
        <w:tabs>
          <w:tab w:val="left" w:pos="360"/>
        </w:tabs>
        <w:spacing w:before="120" w:after="120"/>
        <w:ind w:firstLine="720"/>
        <w:rPr>
          <w:rFonts w:asciiTheme="majorBidi" w:hAnsiTheme="majorBidi" w:cstheme="majorBidi"/>
          <w:szCs w:val="22"/>
        </w:rPr>
      </w:pPr>
      <w:r w:rsidRPr="000027C9">
        <w:rPr>
          <w:rFonts w:asciiTheme="majorBidi" w:hAnsiTheme="majorBidi" w:cstheme="majorBidi"/>
          <w:szCs w:val="22"/>
        </w:rPr>
        <w:t>(b)</w:t>
      </w:r>
      <w:r w:rsidRPr="000027C9">
        <w:rPr>
          <w:rFonts w:asciiTheme="majorBidi" w:hAnsiTheme="majorBidi" w:cstheme="majorBidi"/>
          <w:szCs w:val="22"/>
        </w:rPr>
        <w:tab/>
        <w:t xml:space="preserve">Identify and prioritize trends and issues regarding developments of synthetic biology that need to be considered vis-à-vis the three objectives of the Convention; </w:t>
      </w:r>
    </w:p>
    <w:p w14:paraId="26D90AB4" w14:textId="77777777" w:rsidR="004678BE" w:rsidRPr="000027C9" w:rsidRDefault="004678BE" w:rsidP="00F973A3">
      <w:pPr>
        <w:tabs>
          <w:tab w:val="left" w:pos="360"/>
        </w:tabs>
        <w:spacing w:before="120" w:after="120"/>
        <w:ind w:firstLine="720"/>
        <w:rPr>
          <w:rFonts w:asciiTheme="majorBidi" w:hAnsiTheme="majorBidi" w:cstheme="majorBidi"/>
          <w:szCs w:val="22"/>
        </w:rPr>
      </w:pPr>
      <w:r w:rsidRPr="000027C9">
        <w:rPr>
          <w:rFonts w:asciiTheme="majorBidi" w:hAnsiTheme="majorBidi" w:cstheme="majorBidi"/>
          <w:szCs w:val="22"/>
        </w:rPr>
        <w:t>(c)</w:t>
      </w:r>
      <w:r w:rsidRPr="000027C9">
        <w:rPr>
          <w:rFonts w:asciiTheme="majorBidi" w:hAnsiTheme="majorBidi" w:cstheme="majorBidi"/>
          <w:szCs w:val="22"/>
        </w:rPr>
        <w:tab/>
        <w:t>Identify capacity-building, technology transfer and knowledge-sharing needs based on priorities determined by Parties on issues related to synthetic biology and in the light of the outcomes of the horizon scanning process;</w:t>
      </w:r>
    </w:p>
    <w:p w14:paraId="6F7C5BC0" w14:textId="77777777" w:rsidR="004678BE" w:rsidRPr="000027C9" w:rsidRDefault="004678BE" w:rsidP="00C40F3E">
      <w:pPr>
        <w:tabs>
          <w:tab w:val="left" w:pos="360"/>
        </w:tabs>
        <w:spacing w:before="120" w:after="120"/>
        <w:ind w:firstLine="720"/>
        <w:rPr>
          <w:rFonts w:asciiTheme="majorBidi" w:hAnsiTheme="majorBidi" w:cstheme="majorBidi"/>
          <w:szCs w:val="22"/>
        </w:rPr>
      </w:pPr>
      <w:r w:rsidRPr="000027C9">
        <w:rPr>
          <w:rFonts w:asciiTheme="majorBidi" w:hAnsiTheme="majorBidi" w:cstheme="majorBidi"/>
          <w:szCs w:val="22"/>
        </w:rPr>
        <w:t>(d)</w:t>
      </w:r>
      <w:r w:rsidRPr="000027C9">
        <w:rPr>
          <w:rFonts w:asciiTheme="majorBidi" w:hAnsiTheme="majorBidi" w:cstheme="majorBidi"/>
          <w:szCs w:val="22"/>
        </w:rPr>
        <w:tab/>
        <w:t>Prepare a report on the outcomes of its assessment to be submitted to the Subsidiary Body on Scientific, Technical and Technological Advice;</w:t>
      </w:r>
    </w:p>
    <w:p w14:paraId="10D8D614" w14:textId="77777777" w:rsidR="004678BE" w:rsidRPr="000027C9" w:rsidRDefault="004678BE" w:rsidP="00C40F3E">
      <w:pPr>
        <w:tabs>
          <w:tab w:val="left" w:pos="360"/>
        </w:tabs>
        <w:spacing w:before="120" w:after="120"/>
        <w:ind w:firstLine="720"/>
        <w:rPr>
          <w:rFonts w:asciiTheme="majorBidi" w:hAnsiTheme="majorBidi" w:cstheme="majorBidi"/>
          <w:szCs w:val="22"/>
        </w:rPr>
      </w:pPr>
      <w:r w:rsidRPr="000027C9">
        <w:rPr>
          <w:rFonts w:asciiTheme="majorBidi" w:hAnsiTheme="majorBidi" w:cstheme="majorBidi"/>
          <w:szCs w:val="22"/>
        </w:rPr>
        <w:t>(e)</w:t>
      </w:r>
      <w:r w:rsidRPr="000027C9">
        <w:rPr>
          <w:rFonts w:asciiTheme="majorBidi" w:hAnsiTheme="majorBidi" w:cstheme="majorBidi"/>
          <w:szCs w:val="22"/>
        </w:rPr>
        <w:tab/>
        <w:t>Make recommendations to the Subsidiary Body on Scientific, Technical and Technological Advice on specific issues that may require further consideration by the Conference of the Parties and/or Conference of Parties serving as a meeting of the Parties to the Cartagena Protocol and Conference of Parties serving as a meeting of the Parties to the Nagoya Protocol.</w:t>
      </w:r>
    </w:p>
    <w:p w14:paraId="69998485" w14:textId="77777777" w:rsidR="004678BE" w:rsidRPr="000027C9" w:rsidRDefault="004678BE" w:rsidP="00C40F3E">
      <w:pPr>
        <w:spacing w:before="120" w:after="120"/>
        <w:rPr>
          <w:rFonts w:asciiTheme="majorBidi" w:hAnsiTheme="majorBidi" w:cstheme="majorBidi"/>
          <w:strike/>
          <w:szCs w:val="22"/>
        </w:rPr>
      </w:pPr>
      <w:r w:rsidRPr="000027C9">
        <w:rPr>
          <w:rFonts w:asciiTheme="majorBidi" w:hAnsiTheme="majorBidi" w:cstheme="majorBidi"/>
          <w:szCs w:val="22"/>
        </w:rPr>
        <w:t>2.</w:t>
      </w:r>
      <w:r w:rsidRPr="000027C9">
        <w:rPr>
          <w:rFonts w:asciiTheme="majorBidi" w:hAnsiTheme="majorBidi" w:cstheme="majorBidi"/>
          <w:szCs w:val="22"/>
        </w:rPr>
        <w:tab/>
        <w:t>The multidisciplinary Ad Hoc Technical Expert Group on Synthetic Biology will be convened to start its work for one intersessional period and according to section H of the consolidated modus operandi of the Subsidiary Body on Scientific, Technical and Technological Advice, including, whenever possible, expertise from a broad range of scientific disciplines, as well as interdisciplinary and intercultural expertise, indigenous peoples and local communities.</w:t>
      </w:r>
    </w:p>
    <w:p w14:paraId="417DD88E" w14:textId="77777777" w:rsidR="004678BE" w:rsidRPr="000027C9" w:rsidRDefault="004678BE" w:rsidP="00C40F3E">
      <w:pPr>
        <w:spacing w:before="120" w:after="120"/>
        <w:rPr>
          <w:rFonts w:asciiTheme="majorBidi" w:hAnsiTheme="majorBidi" w:cstheme="majorBidi"/>
          <w:bCs/>
          <w:iCs/>
          <w:szCs w:val="22"/>
        </w:rPr>
      </w:pPr>
      <w:r w:rsidRPr="000027C9">
        <w:rPr>
          <w:rFonts w:asciiTheme="majorBidi" w:hAnsiTheme="majorBidi" w:cstheme="majorBidi"/>
          <w:bCs/>
          <w:iCs/>
          <w:szCs w:val="22"/>
        </w:rPr>
        <w:t>3.</w:t>
      </w:r>
      <w:r w:rsidRPr="000027C9">
        <w:rPr>
          <w:rFonts w:asciiTheme="majorBidi" w:hAnsiTheme="majorBidi" w:cstheme="majorBidi"/>
          <w:bCs/>
          <w:iCs/>
          <w:szCs w:val="22"/>
        </w:rPr>
        <w:tab/>
      </w:r>
      <w:r w:rsidRPr="000027C9">
        <w:rPr>
          <w:rFonts w:asciiTheme="majorBidi" w:hAnsiTheme="majorBidi" w:cstheme="majorBidi"/>
          <w:szCs w:val="22"/>
        </w:rPr>
        <w:t>The procedure for avoiding or managing conflicts of interest in expert groups set out in the annex to decision 14/33 shall apply to the multidisciplinary Ad Hoc Technical Expert Group.</w:t>
      </w:r>
    </w:p>
    <w:p w14:paraId="13E98B31" w14:textId="77777777" w:rsidR="004678BE" w:rsidRPr="000027C9" w:rsidRDefault="004678BE" w:rsidP="00C40F3E">
      <w:pPr>
        <w:spacing w:before="120" w:after="120"/>
        <w:rPr>
          <w:rFonts w:asciiTheme="majorBidi" w:hAnsiTheme="majorBidi" w:cstheme="majorBidi"/>
          <w:bCs/>
          <w:iCs/>
          <w:szCs w:val="22"/>
        </w:rPr>
      </w:pPr>
      <w:r w:rsidRPr="000027C9">
        <w:rPr>
          <w:rFonts w:asciiTheme="majorBidi" w:hAnsiTheme="majorBidi" w:cstheme="majorBidi"/>
          <w:bCs/>
          <w:iCs/>
          <w:szCs w:val="22"/>
        </w:rPr>
        <w:t>4.</w:t>
      </w:r>
      <w:r w:rsidRPr="000027C9">
        <w:rPr>
          <w:rFonts w:asciiTheme="majorBidi" w:hAnsiTheme="majorBidi" w:cstheme="majorBidi"/>
          <w:bCs/>
          <w:iCs/>
          <w:szCs w:val="22"/>
        </w:rPr>
        <w:tab/>
      </w:r>
      <w:r w:rsidRPr="000027C9">
        <w:rPr>
          <w:rFonts w:asciiTheme="majorBidi" w:hAnsiTheme="majorBidi" w:cstheme="majorBidi"/>
          <w:bCs/>
          <w:szCs w:val="22"/>
        </w:rPr>
        <w:t>The multidisciplinary Ad Hoc Technical Expert Group on Synthetic Biology will work through a combination of face-to-face meetings, held physically and/or online, supported, as needed by online discussions.</w:t>
      </w:r>
    </w:p>
    <w:p w14:paraId="71FD1394" w14:textId="77777777" w:rsidR="005B203B" w:rsidRDefault="005B203B" w:rsidP="005B203B">
      <w:pPr>
        <w:jc w:val="center"/>
        <w:rPr>
          <w:szCs w:val="22"/>
        </w:rPr>
        <w:sectPr w:rsidR="005B203B" w:rsidSect="00441700">
          <w:footnotePr>
            <w:numRestart w:val="eachSect"/>
          </w:footnotePr>
          <w:pgSz w:w="12240" w:h="15840"/>
          <w:pgMar w:top="567" w:right="1440" w:bottom="1134" w:left="1440" w:header="709" w:footer="709" w:gutter="0"/>
          <w:cols w:space="708"/>
          <w:docGrid w:linePitch="360"/>
        </w:sectPr>
      </w:pPr>
    </w:p>
    <w:p w14:paraId="487BAC3F" w14:textId="77777777" w:rsidR="005B203B" w:rsidRPr="00890579" w:rsidRDefault="005B203B" w:rsidP="00186485">
      <w:pPr>
        <w:pStyle w:val="decision"/>
        <w:rPr>
          <w:caps/>
        </w:rPr>
      </w:pPr>
      <w:bookmarkStart w:id="384" w:name="_Toc150438830"/>
      <w:bookmarkStart w:id="385" w:name="_Toc150670537"/>
      <w:bookmarkStart w:id="386" w:name="_Toc150670647"/>
      <w:bookmarkStart w:id="387" w:name="_Toc150761142"/>
      <w:r>
        <w:t>15/32.</w:t>
      </w:r>
      <w:r>
        <w:tab/>
        <w:t>Date and venue of future meetings of the Conference of the Parties</w:t>
      </w:r>
      <w:bookmarkEnd w:id="384"/>
      <w:bookmarkEnd w:id="385"/>
      <w:bookmarkEnd w:id="386"/>
      <w:bookmarkEnd w:id="387"/>
    </w:p>
    <w:p w14:paraId="4B8BCD78" w14:textId="77777777" w:rsidR="005B203B" w:rsidRPr="00857488" w:rsidRDefault="005B203B" w:rsidP="00857488">
      <w:pPr>
        <w:snapToGrid w:val="0"/>
        <w:spacing w:before="120" w:after="120"/>
        <w:ind w:firstLine="720"/>
        <w:rPr>
          <w:i/>
          <w:kern w:val="22"/>
          <w:szCs w:val="18"/>
        </w:rPr>
      </w:pPr>
      <w:r w:rsidRPr="00857488">
        <w:rPr>
          <w:i/>
          <w:kern w:val="22"/>
          <w:szCs w:val="18"/>
        </w:rPr>
        <w:t>The Conference of the Parties,</w:t>
      </w:r>
    </w:p>
    <w:p w14:paraId="4D56539A" w14:textId="77777777" w:rsidR="005B203B" w:rsidRPr="00857488" w:rsidRDefault="005B203B" w:rsidP="00857488">
      <w:pPr>
        <w:snapToGrid w:val="0"/>
        <w:spacing w:before="120" w:after="120"/>
        <w:ind w:firstLine="720"/>
        <w:rPr>
          <w:kern w:val="22"/>
          <w:szCs w:val="18"/>
        </w:rPr>
      </w:pPr>
      <w:r w:rsidRPr="00857488">
        <w:rPr>
          <w:i/>
          <w:kern w:val="22"/>
          <w:szCs w:val="18"/>
        </w:rPr>
        <w:t>Recalling</w:t>
      </w:r>
      <w:r w:rsidRPr="00857488">
        <w:rPr>
          <w:kern w:val="22"/>
          <w:szCs w:val="18"/>
        </w:rPr>
        <w:t xml:space="preserve"> </w:t>
      </w:r>
      <w:r>
        <w:rPr>
          <w:kern w:val="22"/>
          <w:szCs w:val="18"/>
        </w:rPr>
        <w:t xml:space="preserve">its </w:t>
      </w:r>
      <w:r w:rsidRPr="00857488">
        <w:rPr>
          <w:kern w:val="22"/>
          <w:szCs w:val="18"/>
        </w:rPr>
        <w:t>decision</w:t>
      </w:r>
      <w:r>
        <w:rPr>
          <w:kern w:val="22"/>
          <w:szCs w:val="18"/>
        </w:rPr>
        <w:t xml:space="preserve"> XIII/33 and </w:t>
      </w:r>
      <w:r w:rsidRPr="00857488">
        <w:rPr>
          <w:kern w:val="22"/>
          <w:szCs w:val="18"/>
        </w:rPr>
        <w:t>X</w:t>
      </w:r>
      <w:r>
        <w:rPr>
          <w:kern w:val="22"/>
          <w:szCs w:val="18"/>
        </w:rPr>
        <w:t>IV</w:t>
      </w:r>
      <w:r w:rsidRPr="00857488">
        <w:rPr>
          <w:kern w:val="22"/>
          <w:szCs w:val="18"/>
        </w:rPr>
        <w:t>/3</w:t>
      </w:r>
      <w:r>
        <w:rPr>
          <w:kern w:val="22"/>
          <w:szCs w:val="18"/>
        </w:rPr>
        <w:t>8</w:t>
      </w:r>
      <w:r w:rsidRPr="00857488">
        <w:rPr>
          <w:kern w:val="22"/>
          <w:szCs w:val="18"/>
        </w:rPr>
        <w:t xml:space="preserve">, </w:t>
      </w:r>
    </w:p>
    <w:p w14:paraId="03D22114" w14:textId="77777777" w:rsidR="005B203B" w:rsidRDefault="005B203B" w:rsidP="00DC5DEF">
      <w:pPr>
        <w:tabs>
          <w:tab w:val="num" w:pos="360"/>
        </w:tabs>
        <w:snapToGrid w:val="0"/>
        <w:spacing w:before="120" w:after="120"/>
        <w:ind w:firstLine="720"/>
        <w:rPr>
          <w:i/>
          <w:kern w:val="22"/>
          <w:szCs w:val="18"/>
        </w:rPr>
      </w:pPr>
      <w:r w:rsidRPr="00857488">
        <w:rPr>
          <w:iCs/>
          <w:kern w:val="22"/>
          <w:szCs w:val="18"/>
        </w:rPr>
        <w:t>1.</w:t>
      </w:r>
      <w:r>
        <w:rPr>
          <w:i/>
          <w:kern w:val="22"/>
          <w:szCs w:val="18"/>
        </w:rPr>
        <w:tab/>
      </w:r>
      <w:r w:rsidRPr="00857488">
        <w:rPr>
          <w:i/>
          <w:kern w:val="22"/>
          <w:szCs w:val="18"/>
        </w:rPr>
        <w:t>Decides</w:t>
      </w:r>
      <w:r>
        <w:rPr>
          <w:i/>
          <w:iCs/>
          <w:kern w:val="22"/>
          <w:szCs w:val="22"/>
        </w:rPr>
        <w:t xml:space="preserve"> </w:t>
      </w:r>
      <w:r>
        <w:rPr>
          <w:kern w:val="22"/>
          <w:szCs w:val="22"/>
        </w:rPr>
        <w:t>that, following the fifteenth meeting of the Conference of the Parties, meetings of the Conference of the Parties will be held every two years unless otherwise decided by the Conference of the Parties;</w:t>
      </w:r>
    </w:p>
    <w:p w14:paraId="2F4B9F7C" w14:textId="77777777" w:rsidR="005B203B" w:rsidRDefault="005B203B" w:rsidP="00DC5DEF">
      <w:pPr>
        <w:tabs>
          <w:tab w:val="num" w:pos="360"/>
        </w:tabs>
        <w:snapToGrid w:val="0"/>
        <w:spacing w:before="120" w:after="120"/>
        <w:ind w:firstLine="720"/>
        <w:rPr>
          <w:i/>
          <w:kern w:val="22"/>
          <w:szCs w:val="18"/>
        </w:rPr>
      </w:pPr>
      <w:r w:rsidRPr="00DC5DEF">
        <w:rPr>
          <w:iCs/>
          <w:kern w:val="22"/>
          <w:szCs w:val="18"/>
        </w:rPr>
        <w:t>2.</w:t>
      </w:r>
      <w:r>
        <w:rPr>
          <w:i/>
          <w:kern w:val="22"/>
          <w:szCs w:val="18"/>
        </w:rPr>
        <w:tab/>
        <w:t xml:space="preserve">Also decides </w:t>
      </w:r>
      <w:r w:rsidRPr="00857488">
        <w:rPr>
          <w:kern w:val="22"/>
          <w:szCs w:val="18"/>
        </w:rPr>
        <w:t>that the sixteenth meeting of the Conference of the Parties</w:t>
      </w:r>
      <w:r>
        <w:rPr>
          <w:kern w:val="22"/>
          <w:szCs w:val="18"/>
        </w:rPr>
        <w:t xml:space="preserve">, </w:t>
      </w:r>
      <w:r w:rsidRPr="00DC5DEF">
        <w:rPr>
          <w:kern w:val="22"/>
          <w:szCs w:val="18"/>
        </w:rPr>
        <w:t xml:space="preserve">the eleventh meeting of the Conference of the Parties serving as the meeting of the Parties to the Cartagena Protocol and the fifth meeting of the Conference of the Parties </w:t>
      </w:r>
      <w:r>
        <w:rPr>
          <w:kern w:val="22"/>
          <w:szCs w:val="18"/>
        </w:rPr>
        <w:t xml:space="preserve">serving as the meeting of the Parties </w:t>
      </w:r>
      <w:r w:rsidRPr="00DC5DEF">
        <w:rPr>
          <w:kern w:val="22"/>
          <w:szCs w:val="18"/>
        </w:rPr>
        <w:t>to the Nagoya Protocol</w:t>
      </w:r>
      <w:r>
        <w:rPr>
          <w:kern w:val="22"/>
          <w:szCs w:val="18"/>
        </w:rPr>
        <w:t>,</w:t>
      </w:r>
      <w:r w:rsidRPr="00857488">
        <w:rPr>
          <w:kern w:val="22"/>
          <w:szCs w:val="18"/>
        </w:rPr>
        <w:t xml:space="preserve"> should be held in Türkiye in the last </w:t>
      </w:r>
      <w:r>
        <w:rPr>
          <w:kern w:val="22"/>
          <w:szCs w:val="18"/>
        </w:rPr>
        <w:t>half of 2024</w:t>
      </w:r>
      <w:r w:rsidRPr="00857488">
        <w:rPr>
          <w:kern w:val="22"/>
          <w:szCs w:val="18"/>
        </w:rPr>
        <w:t>;</w:t>
      </w:r>
    </w:p>
    <w:p w14:paraId="033219C3" w14:textId="77777777" w:rsidR="005B203B" w:rsidRPr="00C7483C" w:rsidRDefault="005B203B" w:rsidP="00DC5DEF">
      <w:pPr>
        <w:tabs>
          <w:tab w:val="num" w:pos="360"/>
        </w:tabs>
        <w:snapToGrid w:val="0"/>
        <w:spacing w:before="120" w:after="120"/>
        <w:ind w:firstLine="720"/>
        <w:rPr>
          <w:kern w:val="22"/>
          <w:szCs w:val="18"/>
        </w:rPr>
      </w:pPr>
      <w:r w:rsidRPr="00B4009F">
        <w:rPr>
          <w:iCs/>
          <w:kern w:val="22"/>
          <w:szCs w:val="18"/>
        </w:rPr>
        <w:t>3.</w:t>
      </w:r>
      <w:r w:rsidRPr="00B4009F">
        <w:rPr>
          <w:i/>
          <w:kern w:val="22"/>
          <w:szCs w:val="18"/>
        </w:rPr>
        <w:tab/>
        <w:t xml:space="preserve">Reiterates </w:t>
      </w:r>
      <w:r w:rsidRPr="00B4009F">
        <w:rPr>
          <w:iCs/>
          <w:kern w:val="22"/>
          <w:szCs w:val="18"/>
        </w:rPr>
        <w:t>its invitation to</w:t>
      </w:r>
      <w:r w:rsidRPr="00B4009F">
        <w:rPr>
          <w:i/>
          <w:kern w:val="22"/>
          <w:szCs w:val="18"/>
        </w:rPr>
        <w:t xml:space="preserve"> </w:t>
      </w:r>
      <w:r w:rsidRPr="00B4009F">
        <w:rPr>
          <w:kern w:val="22"/>
          <w:szCs w:val="18"/>
        </w:rPr>
        <w:t xml:space="preserve">Parties from the </w:t>
      </w:r>
      <w:r>
        <w:rPr>
          <w:kern w:val="22"/>
          <w:szCs w:val="18"/>
        </w:rPr>
        <w:t xml:space="preserve">regional group </w:t>
      </w:r>
      <w:r w:rsidRPr="00C7483C">
        <w:rPr>
          <w:kern w:val="22"/>
          <w:szCs w:val="18"/>
        </w:rPr>
        <w:t>of Eastern European States to notify the Executive Secretary of their offers to host the seventeenth meeting of the Conference of the Parties, as well as the twelfth meeting of the Conference of the Parties serving as the meeting of the Parties to the Cartagena Protocol and the sixth meeting of the Conference of the Parties serving as the meeting of the Parties to the Nagoya Protocol;</w:t>
      </w:r>
    </w:p>
    <w:p w14:paraId="34130CC8" w14:textId="77777777" w:rsidR="005B203B" w:rsidRPr="004400AA" w:rsidRDefault="005B203B" w:rsidP="004400AA">
      <w:pPr>
        <w:tabs>
          <w:tab w:val="num" w:pos="360"/>
        </w:tabs>
        <w:snapToGrid w:val="0"/>
        <w:spacing w:before="120" w:after="120"/>
        <w:ind w:firstLine="720"/>
        <w:rPr>
          <w:kern w:val="22"/>
          <w:szCs w:val="18"/>
        </w:rPr>
      </w:pPr>
      <w:r w:rsidRPr="00C7483C">
        <w:rPr>
          <w:kern w:val="22"/>
          <w:szCs w:val="18"/>
        </w:rPr>
        <w:t>4.</w:t>
      </w:r>
      <w:r w:rsidRPr="00C7483C">
        <w:rPr>
          <w:kern w:val="22"/>
          <w:szCs w:val="18"/>
        </w:rPr>
        <w:tab/>
      </w:r>
      <w:r w:rsidRPr="00C7483C">
        <w:rPr>
          <w:i/>
          <w:iCs/>
          <w:kern w:val="22"/>
          <w:szCs w:val="18"/>
        </w:rPr>
        <w:t>Invites</w:t>
      </w:r>
      <w:r w:rsidRPr="00C7483C">
        <w:rPr>
          <w:kern w:val="22"/>
          <w:szCs w:val="18"/>
        </w:rPr>
        <w:t xml:space="preserve"> Parties from the </w:t>
      </w:r>
      <w:r>
        <w:rPr>
          <w:kern w:val="22"/>
          <w:szCs w:val="18"/>
        </w:rPr>
        <w:t xml:space="preserve">regional group of </w:t>
      </w:r>
      <w:r w:rsidRPr="00C7483C">
        <w:rPr>
          <w:kern w:val="22"/>
          <w:szCs w:val="18"/>
        </w:rPr>
        <w:t>Latin America</w:t>
      </w:r>
      <w:r w:rsidRPr="00BD2C02">
        <w:rPr>
          <w:kern w:val="22"/>
          <w:szCs w:val="18"/>
        </w:rPr>
        <w:t>n</w:t>
      </w:r>
      <w:r w:rsidRPr="00C7483C">
        <w:rPr>
          <w:kern w:val="22"/>
          <w:szCs w:val="18"/>
        </w:rPr>
        <w:t xml:space="preserve"> and Caribbean </w:t>
      </w:r>
      <w:r>
        <w:rPr>
          <w:kern w:val="22"/>
          <w:szCs w:val="18"/>
        </w:rPr>
        <w:t>States</w:t>
      </w:r>
      <w:r w:rsidRPr="00C7483C">
        <w:rPr>
          <w:kern w:val="22"/>
          <w:szCs w:val="18"/>
        </w:rPr>
        <w:t xml:space="preserve"> to</w:t>
      </w:r>
      <w:r w:rsidRPr="00B4009F">
        <w:rPr>
          <w:kern w:val="22"/>
          <w:szCs w:val="18"/>
        </w:rPr>
        <w:t xml:space="preserve"> notify</w:t>
      </w:r>
      <w:r>
        <w:rPr>
          <w:kern w:val="22"/>
          <w:szCs w:val="18"/>
        </w:rPr>
        <w:t xml:space="preserve"> the Executive Secretary of their offers to host the eighteenth meetings of the Conference of the Parties to the Convention, as well as the thirteenth meeting of the Conference of the Parties serving as the meeting of the Parties to the Cartagena Protocol on Biosafety and the seventh meeting of the Conference of the Parties serving as the meeting of the Parties to the Nagoya Protocol.</w:t>
      </w:r>
    </w:p>
    <w:p w14:paraId="64B184C2" w14:textId="77777777" w:rsidR="005B203B" w:rsidRDefault="005B203B" w:rsidP="00C9161D">
      <w:pPr>
        <w:jc w:val="center"/>
        <w:sectPr w:rsidR="005B203B" w:rsidSect="00441700">
          <w:pgSz w:w="12240" w:h="15840"/>
          <w:pgMar w:top="567" w:right="1440" w:bottom="1134" w:left="1440" w:header="709" w:footer="709" w:gutter="0"/>
          <w:cols w:space="708"/>
          <w:docGrid w:linePitch="360"/>
        </w:sectPr>
      </w:pPr>
    </w:p>
    <w:p w14:paraId="2F0ABC1A" w14:textId="77777777" w:rsidR="005B203B" w:rsidRDefault="005B203B" w:rsidP="007A23C3">
      <w:pPr>
        <w:pStyle w:val="decision"/>
      </w:pPr>
      <w:bookmarkStart w:id="388" w:name="_Toc150438831"/>
      <w:bookmarkStart w:id="389" w:name="_Toc150670538"/>
      <w:bookmarkStart w:id="390" w:name="_Toc150670648"/>
      <w:bookmarkStart w:id="391" w:name="_Toc150761143"/>
      <w:r>
        <w:t>15/33.</w:t>
      </w:r>
      <w:r>
        <w:tab/>
      </w:r>
      <w:r w:rsidRPr="00C944F4">
        <w:t>Multi-year programme of work of the Conference of the Parties</w:t>
      </w:r>
      <w:bookmarkEnd w:id="388"/>
      <w:bookmarkEnd w:id="389"/>
      <w:bookmarkEnd w:id="390"/>
      <w:bookmarkEnd w:id="391"/>
      <w:r w:rsidRPr="00105372">
        <w:rPr>
          <w:caps/>
        </w:rPr>
        <w:t xml:space="preserve"> </w:t>
      </w:r>
    </w:p>
    <w:p w14:paraId="49DF1001" w14:textId="77777777" w:rsidR="005B203B" w:rsidRDefault="005B203B" w:rsidP="00986359">
      <w:pPr>
        <w:pStyle w:val="Para1"/>
        <w:numPr>
          <w:ilvl w:val="0"/>
          <w:numId w:val="0"/>
        </w:numPr>
        <w:shd w:val="clear" w:color="auto" w:fill="FFFFFF" w:themeFill="background1"/>
        <w:ind w:firstLine="709"/>
        <w:rPr>
          <w:i/>
        </w:rPr>
      </w:pPr>
      <w:r w:rsidRPr="00656A16">
        <w:rPr>
          <w:i/>
          <w:lang w:val="en-US"/>
        </w:rPr>
        <w:t>The Conference of the Parties,</w:t>
      </w:r>
      <w:r w:rsidRPr="00656A16">
        <w:rPr>
          <w:i/>
        </w:rPr>
        <w:t xml:space="preserve"> </w:t>
      </w:r>
    </w:p>
    <w:p w14:paraId="0D75D90C" w14:textId="77777777" w:rsidR="005B203B" w:rsidRDefault="005B203B" w:rsidP="00986359">
      <w:pPr>
        <w:shd w:val="clear" w:color="auto" w:fill="FFFFFF" w:themeFill="background1"/>
        <w:spacing w:before="120" w:after="120"/>
        <w:ind w:firstLine="709"/>
        <w:rPr>
          <w:snapToGrid w:val="0"/>
          <w:szCs w:val="18"/>
        </w:rPr>
      </w:pPr>
      <w:r w:rsidRPr="00087FB2">
        <w:rPr>
          <w:i/>
        </w:rPr>
        <w:t xml:space="preserve">Taking into </w:t>
      </w:r>
      <w:r w:rsidRPr="00E71889">
        <w:rPr>
          <w:i/>
          <w:iCs/>
          <w:snapToGrid w:val="0"/>
          <w:szCs w:val="18"/>
        </w:rPr>
        <w:t>account</w:t>
      </w:r>
      <w:r w:rsidRPr="00087FB2">
        <w:rPr>
          <w:snapToGrid w:val="0"/>
          <w:szCs w:val="18"/>
        </w:rPr>
        <w:t xml:space="preserve"> the </w:t>
      </w:r>
      <w:r>
        <w:rPr>
          <w:snapToGrid w:val="0"/>
          <w:szCs w:val="18"/>
        </w:rPr>
        <w:t xml:space="preserve">Kunming-Montreal Global Biodiversity Framework and other relevant </w:t>
      </w:r>
      <w:r w:rsidRPr="00601728">
        <w:rPr>
          <w:snapToGrid w:val="0"/>
          <w:szCs w:val="18"/>
        </w:rPr>
        <w:t>decisions,</w:t>
      </w:r>
      <w:r w:rsidRPr="00087FB2">
        <w:rPr>
          <w:snapToGrid w:val="0"/>
          <w:szCs w:val="18"/>
        </w:rPr>
        <w:t xml:space="preserve"> </w:t>
      </w:r>
    </w:p>
    <w:p w14:paraId="7D145D4C" w14:textId="77777777" w:rsidR="005B203B" w:rsidRDefault="005B203B" w:rsidP="00986359">
      <w:pPr>
        <w:shd w:val="clear" w:color="auto" w:fill="FFFFFF" w:themeFill="background1"/>
        <w:spacing w:before="120" w:after="120"/>
        <w:ind w:firstLine="567"/>
      </w:pPr>
      <w:r>
        <w:t>1.</w:t>
      </w:r>
      <w:r>
        <w:tab/>
      </w:r>
      <w:r>
        <w:rPr>
          <w:i/>
        </w:rPr>
        <w:t xml:space="preserve">Notes </w:t>
      </w:r>
      <w:r>
        <w:t xml:space="preserve">that the Conference of the Parties will </w:t>
      </w:r>
      <w:r w:rsidRPr="006569E3">
        <w:t xml:space="preserve">review progress in the implementation of the Convention and the </w:t>
      </w:r>
      <w:r>
        <w:t>Kunming-Montreal</w:t>
      </w:r>
      <w:r w:rsidRPr="006569E3">
        <w:t xml:space="preserve"> </w:t>
      </w:r>
      <w:r>
        <w:t>G</w:t>
      </w:r>
      <w:r w:rsidRPr="006569E3">
        <w:t xml:space="preserve">lobal </w:t>
      </w:r>
      <w:r>
        <w:t>B</w:t>
      </w:r>
      <w:r w:rsidRPr="006569E3">
        <w:t xml:space="preserve">iodiversity </w:t>
      </w:r>
      <w:r>
        <w:t>F</w:t>
      </w:r>
      <w:r w:rsidRPr="006569E3">
        <w:t>ramework at each of its meetings to 2030</w:t>
      </w:r>
      <w:r>
        <w:t xml:space="preserve">; </w:t>
      </w:r>
    </w:p>
    <w:p w14:paraId="114C38CE" w14:textId="77777777" w:rsidR="005B203B" w:rsidRDefault="005B203B" w:rsidP="00986359">
      <w:pPr>
        <w:shd w:val="clear" w:color="auto" w:fill="FFFFFF" w:themeFill="background1"/>
        <w:spacing w:before="120" w:after="120"/>
        <w:ind w:firstLine="567"/>
      </w:pPr>
      <w:r>
        <w:t>2</w:t>
      </w:r>
      <w:r>
        <w:rPr>
          <w:i/>
          <w:iCs/>
        </w:rPr>
        <w:t>.</w:t>
      </w:r>
      <w:r>
        <w:rPr>
          <w:i/>
          <w:iCs/>
        </w:rPr>
        <w:tab/>
        <w:t>D</w:t>
      </w:r>
      <w:r w:rsidRPr="000D62E2">
        <w:rPr>
          <w:i/>
          <w:iCs/>
        </w:rPr>
        <w:t>ecides</w:t>
      </w:r>
      <w:r>
        <w:rPr>
          <w:i/>
          <w:iCs/>
        </w:rPr>
        <w:t xml:space="preserve"> </w:t>
      </w:r>
      <w:r>
        <w:t xml:space="preserve">that the development of further guidance for policy development and implementation should support achievement of the goals and targets </w:t>
      </w:r>
      <w:r w:rsidRPr="008A679A">
        <w:t xml:space="preserve">set out in the </w:t>
      </w:r>
      <w:r>
        <w:t>Kunming-Montreal</w:t>
      </w:r>
      <w:r w:rsidRPr="008A679A">
        <w:t xml:space="preserve"> </w:t>
      </w:r>
      <w:r>
        <w:t>G</w:t>
      </w:r>
      <w:r w:rsidRPr="008A679A">
        <w:t xml:space="preserve">lobal </w:t>
      </w:r>
      <w:r>
        <w:t>B</w:t>
      </w:r>
      <w:r w:rsidRPr="008A679A">
        <w:t xml:space="preserve">iodiversity </w:t>
      </w:r>
      <w:r>
        <w:t>F</w:t>
      </w:r>
      <w:r w:rsidRPr="008A679A">
        <w:t>ramework, the outcome of the</w:t>
      </w:r>
      <w:r>
        <w:t xml:space="preserve"> global analysis of information in national biodiversity strategies and action plans, including the national targets, and global </w:t>
      </w:r>
      <w:r w:rsidRPr="008A679A">
        <w:t xml:space="preserve">review of </w:t>
      </w:r>
      <w:r>
        <w:t xml:space="preserve">collective progress in </w:t>
      </w:r>
      <w:r w:rsidRPr="008A679A">
        <w:t>implementation, as well as new information that may become available, including through scientific</w:t>
      </w:r>
      <w:r>
        <w:t xml:space="preserve"> assessments;</w:t>
      </w:r>
    </w:p>
    <w:p w14:paraId="342BE49E" w14:textId="77777777" w:rsidR="005B203B" w:rsidRDefault="005B203B" w:rsidP="00986359">
      <w:pPr>
        <w:shd w:val="clear" w:color="auto" w:fill="FFFFFF" w:themeFill="background1"/>
        <w:spacing w:before="120" w:after="120"/>
        <w:ind w:firstLine="567"/>
      </w:pPr>
      <w:r>
        <w:t>3.</w:t>
      </w:r>
      <w:r>
        <w:tab/>
      </w:r>
      <w:r w:rsidRPr="00227B39">
        <w:rPr>
          <w:i/>
        </w:rPr>
        <w:t>Takes note</w:t>
      </w:r>
      <w:r>
        <w:rPr>
          <w:iCs/>
        </w:rPr>
        <w:t xml:space="preserve"> of</w:t>
      </w:r>
      <w:r w:rsidRPr="008C291C">
        <w:rPr>
          <w:iCs/>
        </w:rPr>
        <w:t xml:space="preserve"> the </w:t>
      </w:r>
      <w:r>
        <w:rPr>
          <w:iCs/>
        </w:rPr>
        <w:t>preliminary</w:t>
      </w:r>
      <w:r w:rsidRPr="008C291C">
        <w:rPr>
          <w:iCs/>
        </w:rPr>
        <w:t xml:space="preserve"> list of issues to be addressed by meetings of the Conference of the Parties during the period</w:t>
      </w:r>
      <w:r>
        <w:rPr>
          <w:iCs/>
        </w:rPr>
        <w:t xml:space="preserve"> </w:t>
      </w:r>
      <w:r w:rsidRPr="008C291C">
        <w:rPr>
          <w:iCs/>
        </w:rPr>
        <w:t>202</w:t>
      </w:r>
      <w:r>
        <w:rPr>
          <w:iCs/>
        </w:rPr>
        <w:t>3–</w:t>
      </w:r>
      <w:r w:rsidRPr="00E503FF">
        <w:rPr>
          <w:iCs/>
        </w:rPr>
        <w:t>2030 contained in</w:t>
      </w:r>
      <w:r>
        <w:rPr>
          <w:iCs/>
        </w:rPr>
        <w:t xml:space="preserve"> the annex to the present decision;</w:t>
      </w:r>
    </w:p>
    <w:p w14:paraId="12EE5A91" w14:textId="77777777" w:rsidR="005B203B" w:rsidRDefault="005B203B" w:rsidP="00986359">
      <w:pPr>
        <w:shd w:val="clear" w:color="auto" w:fill="FFFFFF" w:themeFill="background1"/>
        <w:spacing w:before="120" w:after="120"/>
        <w:ind w:firstLine="567"/>
        <w:rPr>
          <w:snapToGrid w:val="0"/>
          <w:szCs w:val="18"/>
        </w:rPr>
      </w:pPr>
      <w:r>
        <w:t>4</w:t>
      </w:r>
      <w:r w:rsidRPr="005A2BB2">
        <w:t>.</w:t>
      </w:r>
      <w:r w:rsidRPr="005A2BB2">
        <w:tab/>
      </w:r>
      <w:r w:rsidRPr="008C291C">
        <w:rPr>
          <w:i/>
          <w:iCs/>
          <w:snapToGrid w:val="0"/>
          <w:szCs w:val="18"/>
        </w:rPr>
        <w:t>Requests</w:t>
      </w:r>
      <w:r w:rsidRPr="008C291C">
        <w:rPr>
          <w:snapToGrid w:val="0"/>
          <w:szCs w:val="18"/>
        </w:rPr>
        <w:t xml:space="preserve"> the Executive </w:t>
      </w:r>
      <w:r>
        <w:rPr>
          <w:iCs/>
        </w:rPr>
        <w:t xml:space="preserve">Secretary, </w:t>
      </w:r>
      <w:r>
        <w:rPr>
          <w:snapToGrid w:val="0"/>
          <w:szCs w:val="18"/>
        </w:rPr>
        <w:t>in consultation with the Bureau of the Conference of the Parties,</w:t>
      </w:r>
      <w:r>
        <w:rPr>
          <w:iCs/>
        </w:rPr>
        <w:t xml:space="preserve"> </w:t>
      </w:r>
      <w:r w:rsidRPr="008C291C">
        <w:rPr>
          <w:snapToGrid w:val="0"/>
          <w:szCs w:val="18"/>
        </w:rPr>
        <w:t xml:space="preserve">to </w:t>
      </w:r>
      <w:r>
        <w:rPr>
          <w:snapToGrid w:val="0"/>
          <w:szCs w:val="18"/>
        </w:rPr>
        <w:t>complete the list of issues to be considered by the Conference of the Parties at its sixteenth meeting, as specified in the annex, in the light of the decisions adopted by the Conference of the Parties at its fifteenth meeting</w:t>
      </w:r>
      <w:r w:rsidRPr="00D45DB3">
        <w:rPr>
          <w:snapToGrid w:val="0"/>
          <w:szCs w:val="18"/>
        </w:rPr>
        <w:t>, to make the list available</w:t>
      </w:r>
      <w:r>
        <w:rPr>
          <w:snapToGrid w:val="0"/>
          <w:szCs w:val="18"/>
        </w:rPr>
        <w:t xml:space="preserve"> on the Convention’s website, and to </w:t>
      </w:r>
      <w:r w:rsidRPr="008C291C">
        <w:rPr>
          <w:snapToGrid w:val="0"/>
          <w:szCs w:val="18"/>
        </w:rPr>
        <w:t xml:space="preserve">take into account the issues </w:t>
      </w:r>
      <w:r>
        <w:rPr>
          <w:snapToGrid w:val="0"/>
          <w:szCs w:val="18"/>
        </w:rPr>
        <w:t>listed</w:t>
      </w:r>
      <w:r w:rsidRPr="008C291C">
        <w:rPr>
          <w:snapToGrid w:val="0"/>
          <w:szCs w:val="18"/>
        </w:rPr>
        <w:t xml:space="preserve"> when preparing </w:t>
      </w:r>
      <w:r>
        <w:rPr>
          <w:snapToGrid w:val="0"/>
          <w:szCs w:val="18"/>
        </w:rPr>
        <w:t xml:space="preserve">the agendas for </w:t>
      </w:r>
      <w:r w:rsidRPr="008C291C">
        <w:rPr>
          <w:snapToGrid w:val="0"/>
          <w:szCs w:val="18"/>
        </w:rPr>
        <w:t>relevant meetings under the Convention</w:t>
      </w:r>
      <w:r>
        <w:rPr>
          <w:snapToGrid w:val="0"/>
          <w:szCs w:val="18"/>
        </w:rPr>
        <w:t xml:space="preserve">; </w:t>
      </w:r>
    </w:p>
    <w:p w14:paraId="5D1525FF" w14:textId="77777777" w:rsidR="005B203B" w:rsidRPr="00B71251" w:rsidRDefault="005B203B" w:rsidP="00986359">
      <w:pPr>
        <w:shd w:val="clear" w:color="auto" w:fill="FFFFFF" w:themeFill="background1"/>
        <w:spacing w:before="120" w:after="120"/>
        <w:ind w:firstLine="567"/>
        <w:rPr>
          <w:snapToGrid w:val="0"/>
          <w:szCs w:val="18"/>
          <w:lang w:val="en-CA"/>
        </w:rPr>
      </w:pPr>
      <w:r w:rsidRPr="00B71251">
        <w:rPr>
          <w:snapToGrid w:val="0"/>
          <w:szCs w:val="18"/>
          <w:lang w:val="en-CA"/>
        </w:rPr>
        <w:t>5.</w:t>
      </w:r>
      <w:r w:rsidRPr="00B71251">
        <w:rPr>
          <w:snapToGrid w:val="0"/>
          <w:szCs w:val="18"/>
          <w:lang w:val="en-CA"/>
        </w:rPr>
        <w:tab/>
      </w:r>
      <w:r w:rsidRPr="00B71251">
        <w:rPr>
          <w:i/>
          <w:iCs/>
          <w:snapToGrid w:val="0"/>
          <w:szCs w:val="18"/>
          <w:lang w:val="en-CA"/>
        </w:rPr>
        <w:t xml:space="preserve">Also </w:t>
      </w:r>
      <w:r w:rsidRPr="000D62E2">
        <w:rPr>
          <w:i/>
          <w:iCs/>
          <w:snapToGrid w:val="0"/>
          <w:szCs w:val="18"/>
          <w:lang w:val="en-CA"/>
        </w:rPr>
        <w:t>requests</w:t>
      </w:r>
      <w:r w:rsidRPr="000D62E2">
        <w:rPr>
          <w:snapToGrid w:val="0"/>
          <w:szCs w:val="18"/>
          <w:lang w:val="en-CA"/>
        </w:rPr>
        <w:t xml:space="preserve"> the Executive Secretary to propose specific elements that are aligned with the implementation of the </w:t>
      </w:r>
      <w:r>
        <w:rPr>
          <w:snapToGrid w:val="0"/>
          <w:szCs w:val="18"/>
          <w:lang w:val="en-CA"/>
        </w:rPr>
        <w:t>Kunming-Montreal</w:t>
      </w:r>
      <w:r w:rsidRPr="000D62E2">
        <w:rPr>
          <w:snapToGrid w:val="0"/>
          <w:szCs w:val="18"/>
          <w:lang w:val="en-CA"/>
        </w:rPr>
        <w:t xml:space="preserve"> </w:t>
      </w:r>
      <w:r>
        <w:rPr>
          <w:snapToGrid w:val="0"/>
          <w:szCs w:val="18"/>
          <w:lang w:val="en-CA"/>
        </w:rPr>
        <w:t>G</w:t>
      </w:r>
      <w:r w:rsidRPr="000D62E2">
        <w:rPr>
          <w:snapToGrid w:val="0"/>
          <w:szCs w:val="18"/>
          <w:lang w:val="en-CA"/>
        </w:rPr>
        <w:t xml:space="preserve">lobal </w:t>
      </w:r>
      <w:r>
        <w:rPr>
          <w:snapToGrid w:val="0"/>
          <w:szCs w:val="18"/>
          <w:lang w:val="en-CA"/>
        </w:rPr>
        <w:t>B</w:t>
      </w:r>
      <w:r w:rsidRPr="000D62E2">
        <w:rPr>
          <w:snapToGrid w:val="0"/>
          <w:szCs w:val="18"/>
          <w:lang w:val="en-CA"/>
        </w:rPr>
        <w:t xml:space="preserve">iodiversity </w:t>
      </w:r>
      <w:r>
        <w:rPr>
          <w:snapToGrid w:val="0"/>
          <w:szCs w:val="18"/>
          <w:lang w:val="en-CA"/>
        </w:rPr>
        <w:t>F</w:t>
      </w:r>
      <w:r w:rsidRPr="000D62E2">
        <w:rPr>
          <w:snapToGrid w:val="0"/>
          <w:szCs w:val="18"/>
          <w:lang w:val="en-CA"/>
        </w:rPr>
        <w:t>ramework, as well as other closely related themes, for consideration by the Subsidiary Body on Implementation at its fourth meeting, with a view to complet</w:t>
      </w:r>
      <w:r>
        <w:rPr>
          <w:snapToGrid w:val="0"/>
          <w:szCs w:val="18"/>
          <w:lang w:val="en-CA"/>
        </w:rPr>
        <w:t>ing</w:t>
      </w:r>
      <w:r w:rsidRPr="000D62E2">
        <w:rPr>
          <w:snapToGrid w:val="0"/>
          <w:szCs w:val="18"/>
          <w:lang w:val="en-CA"/>
        </w:rPr>
        <w:t xml:space="preserve"> the list of issues to be considered at the seventeenth, eighteenth and nineteenth meetings of the Conference of the Parties</w:t>
      </w:r>
      <w:r>
        <w:rPr>
          <w:snapToGrid w:val="0"/>
          <w:szCs w:val="18"/>
          <w:lang w:val="en-CA"/>
        </w:rPr>
        <w:t>,</w:t>
      </w:r>
      <w:r w:rsidRPr="000D62E2">
        <w:rPr>
          <w:snapToGrid w:val="0"/>
          <w:szCs w:val="18"/>
          <w:lang w:val="en-CA"/>
        </w:rPr>
        <w:t xml:space="preserve"> as s</w:t>
      </w:r>
      <w:r>
        <w:rPr>
          <w:snapToGrid w:val="0"/>
          <w:szCs w:val="18"/>
          <w:lang w:val="en-CA"/>
        </w:rPr>
        <w:t>uggested</w:t>
      </w:r>
      <w:r w:rsidRPr="000D62E2">
        <w:rPr>
          <w:snapToGrid w:val="0"/>
          <w:szCs w:val="18"/>
          <w:lang w:val="en-CA"/>
        </w:rPr>
        <w:t xml:space="preserve"> in the annex to </w:t>
      </w:r>
      <w:r>
        <w:rPr>
          <w:snapToGrid w:val="0"/>
          <w:szCs w:val="18"/>
          <w:lang w:val="en-CA"/>
        </w:rPr>
        <w:t>the present</w:t>
      </w:r>
      <w:r w:rsidRPr="000D62E2">
        <w:rPr>
          <w:snapToGrid w:val="0"/>
          <w:szCs w:val="18"/>
          <w:lang w:val="en-CA"/>
        </w:rPr>
        <w:t xml:space="preserve"> decision;</w:t>
      </w:r>
    </w:p>
    <w:p w14:paraId="0F5F7FC1" w14:textId="77777777" w:rsidR="005B203B" w:rsidRDefault="005B203B" w:rsidP="00986359">
      <w:pPr>
        <w:shd w:val="clear" w:color="auto" w:fill="FFFFFF" w:themeFill="background1"/>
        <w:spacing w:before="120" w:after="120"/>
        <w:ind w:firstLine="567"/>
      </w:pPr>
      <w:r>
        <w:rPr>
          <w:snapToGrid w:val="0"/>
          <w:szCs w:val="18"/>
          <w:lang w:val="en-CA"/>
        </w:rPr>
        <w:t>6</w:t>
      </w:r>
      <w:r w:rsidRPr="00B71251">
        <w:rPr>
          <w:snapToGrid w:val="0"/>
          <w:szCs w:val="18"/>
          <w:lang w:val="en-CA"/>
        </w:rPr>
        <w:t xml:space="preserve">. </w:t>
      </w:r>
      <w:r w:rsidRPr="00B71251">
        <w:rPr>
          <w:snapToGrid w:val="0"/>
          <w:szCs w:val="18"/>
          <w:lang w:val="en-CA"/>
        </w:rPr>
        <w:tab/>
      </w:r>
      <w:r w:rsidRPr="00B71251">
        <w:rPr>
          <w:i/>
          <w:iCs/>
          <w:snapToGrid w:val="0"/>
          <w:szCs w:val="18"/>
          <w:lang w:val="en-CA"/>
        </w:rPr>
        <w:t>D</w:t>
      </w:r>
      <w:r w:rsidRPr="000D62E2">
        <w:rPr>
          <w:i/>
          <w:snapToGrid w:val="0"/>
          <w:szCs w:val="18"/>
          <w:lang w:val="en-CA"/>
        </w:rPr>
        <w:t>ecides</w:t>
      </w:r>
      <w:r w:rsidRPr="000D62E2">
        <w:rPr>
          <w:snapToGrid w:val="0"/>
          <w:szCs w:val="18"/>
          <w:lang w:val="en-CA"/>
        </w:rPr>
        <w:t xml:space="preserve"> to address, at each of its meetings, standing items consistent with previous decisions</w:t>
      </w:r>
      <w:r>
        <w:rPr>
          <w:snapToGrid w:val="0"/>
          <w:szCs w:val="18"/>
          <w:lang w:val="en-CA"/>
        </w:rPr>
        <w:t>,</w:t>
      </w:r>
      <w:r w:rsidRPr="000D62E2">
        <w:rPr>
          <w:snapToGrid w:val="0"/>
          <w:szCs w:val="18"/>
          <w:lang w:val="en-CA"/>
        </w:rPr>
        <w:t xml:space="preserve"> as well as other issues arising from the decisions of the Conference of the Parties in relation to particular programmes of work and cross-cutting issues, and to maintain sufficient flexibility in the multiyear programme of work in order to accommodate emerging issues or opportunities as may be identified by the Conference of the Parties.</w:t>
      </w:r>
    </w:p>
    <w:p w14:paraId="5DB4D9F7" w14:textId="77777777" w:rsidR="005B203B" w:rsidRPr="00852583" w:rsidRDefault="005B203B" w:rsidP="00986359">
      <w:pPr>
        <w:keepNext/>
        <w:spacing w:before="140" w:after="140"/>
        <w:ind w:left="720" w:hanging="720"/>
        <w:jc w:val="center"/>
        <w:rPr>
          <w:i/>
          <w:lang w:val="en-US"/>
        </w:rPr>
      </w:pPr>
      <w:r w:rsidRPr="00852583">
        <w:rPr>
          <w:i/>
          <w:lang w:val="en-US"/>
        </w:rPr>
        <w:t xml:space="preserve">Annex </w:t>
      </w:r>
    </w:p>
    <w:p w14:paraId="7E1AC42D" w14:textId="77777777" w:rsidR="005B203B" w:rsidRPr="00852583" w:rsidRDefault="005B203B" w:rsidP="00986359">
      <w:pPr>
        <w:keepNext/>
        <w:spacing w:before="140"/>
        <w:ind w:left="720" w:hanging="720"/>
        <w:jc w:val="center"/>
      </w:pPr>
      <w:r w:rsidRPr="00852583">
        <w:rPr>
          <w:b/>
          <w:caps/>
        </w:rPr>
        <w:t>preliminary list of the</w:t>
      </w:r>
      <w:r>
        <w:rPr>
          <w:b/>
          <w:caps/>
        </w:rPr>
        <w:t xml:space="preserve"> </w:t>
      </w:r>
      <w:r w:rsidRPr="00852583">
        <w:rPr>
          <w:b/>
          <w:caps/>
        </w:rPr>
        <w:t>main issues to be addressed by meetings of the Conference of the Parties during the period 202</w:t>
      </w:r>
      <w:r>
        <w:rPr>
          <w:b/>
          <w:caps/>
        </w:rPr>
        <w:t>3–</w:t>
      </w:r>
      <w:r w:rsidRPr="00852583">
        <w:rPr>
          <w:b/>
          <w:caps/>
        </w:rPr>
        <w:t>2030</w:t>
      </w:r>
      <w:r w:rsidRPr="00610646">
        <w:rPr>
          <w:rStyle w:val="FootnoteReference"/>
        </w:rPr>
        <w:footnoteReference w:id="387"/>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7836"/>
      </w:tblGrid>
      <w:tr w:rsidR="005B203B" w:rsidRPr="00852583" w14:paraId="359B47F9" w14:textId="77777777" w:rsidTr="00FB1CE6">
        <w:tc>
          <w:tcPr>
            <w:tcW w:w="1548" w:type="dxa"/>
            <w:tcBorders>
              <w:top w:val="single" w:sz="4" w:space="0" w:color="auto"/>
              <w:left w:val="single" w:sz="4" w:space="0" w:color="auto"/>
              <w:bottom w:val="single" w:sz="4" w:space="0" w:color="auto"/>
              <w:right w:val="single" w:sz="4" w:space="0" w:color="auto"/>
            </w:tcBorders>
            <w:hideMark/>
          </w:tcPr>
          <w:p w14:paraId="63E4DE51" w14:textId="77777777" w:rsidR="005B203B" w:rsidRPr="00852583" w:rsidRDefault="005B203B" w:rsidP="00FB1CE6">
            <w:pPr>
              <w:keepNext/>
              <w:spacing w:before="60" w:after="60"/>
              <w:jc w:val="left"/>
              <w:rPr>
                <w:b/>
                <w:szCs w:val="22"/>
              </w:rPr>
            </w:pPr>
            <w:r w:rsidRPr="00852583">
              <w:rPr>
                <w:b/>
                <w:szCs w:val="22"/>
              </w:rPr>
              <w:t>Meeting</w:t>
            </w:r>
          </w:p>
        </w:tc>
        <w:tc>
          <w:tcPr>
            <w:tcW w:w="8199" w:type="dxa"/>
            <w:tcBorders>
              <w:top w:val="single" w:sz="4" w:space="0" w:color="auto"/>
              <w:left w:val="single" w:sz="4" w:space="0" w:color="auto"/>
              <w:bottom w:val="single" w:sz="4" w:space="0" w:color="auto"/>
              <w:right w:val="single" w:sz="4" w:space="0" w:color="auto"/>
            </w:tcBorders>
            <w:hideMark/>
          </w:tcPr>
          <w:p w14:paraId="5E31BFE3" w14:textId="77777777" w:rsidR="005B203B" w:rsidRPr="00852583" w:rsidRDefault="005B203B" w:rsidP="00FB1CE6">
            <w:pPr>
              <w:keepNext/>
              <w:spacing w:before="60" w:after="60"/>
              <w:jc w:val="left"/>
              <w:rPr>
                <w:b/>
                <w:szCs w:val="22"/>
              </w:rPr>
            </w:pPr>
            <w:r w:rsidRPr="00852583">
              <w:rPr>
                <w:b/>
                <w:szCs w:val="22"/>
              </w:rPr>
              <w:t>Strategic issues</w:t>
            </w:r>
          </w:p>
        </w:tc>
      </w:tr>
      <w:tr w:rsidR="005B203B" w:rsidRPr="00852583" w14:paraId="42328A90" w14:textId="77777777" w:rsidTr="00FB1CE6">
        <w:tc>
          <w:tcPr>
            <w:tcW w:w="1548" w:type="dxa"/>
            <w:tcBorders>
              <w:top w:val="single" w:sz="4" w:space="0" w:color="auto"/>
              <w:left w:val="single" w:sz="4" w:space="0" w:color="auto"/>
              <w:bottom w:val="single" w:sz="4" w:space="0" w:color="auto"/>
              <w:right w:val="single" w:sz="4" w:space="0" w:color="auto"/>
            </w:tcBorders>
            <w:hideMark/>
          </w:tcPr>
          <w:p w14:paraId="2124F380" w14:textId="77777777" w:rsidR="005B203B" w:rsidRPr="00852583" w:rsidRDefault="005B203B" w:rsidP="00FB1CE6">
            <w:pPr>
              <w:keepNext/>
              <w:spacing w:before="60" w:after="60"/>
              <w:jc w:val="left"/>
              <w:rPr>
                <w:szCs w:val="22"/>
              </w:rPr>
            </w:pPr>
            <w:r w:rsidRPr="00852583">
              <w:rPr>
                <w:szCs w:val="22"/>
              </w:rPr>
              <w:t>COP 16 (2024)</w:t>
            </w:r>
          </w:p>
        </w:tc>
        <w:tc>
          <w:tcPr>
            <w:tcW w:w="8199" w:type="dxa"/>
            <w:tcBorders>
              <w:top w:val="single" w:sz="4" w:space="0" w:color="auto"/>
              <w:left w:val="single" w:sz="4" w:space="0" w:color="auto"/>
              <w:bottom w:val="single" w:sz="4" w:space="0" w:color="auto"/>
              <w:right w:val="single" w:sz="4" w:space="0" w:color="auto"/>
            </w:tcBorders>
            <w:hideMark/>
          </w:tcPr>
          <w:p w14:paraId="219E3963" w14:textId="77777777" w:rsidR="005B203B" w:rsidRPr="00852583" w:rsidRDefault="005B203B" w:rsidP="00FB1CE6">
            <w:pPr>
              <w:keepNext/>
              <w:spacing w:before="60" w:after="60"/>
              <w:ind w:left="360" w:hanging="360"/>
              <w:jc w:val="left"/>
              <w:rPr>
                <w:snapToGrid w:val="0"/>
                <w:szCs w:val="22"/>
              </w:rPr>
            </w:pPr>
            <w:r w:rsidRPr="00852583">
              <w:rPr>
                <w:rFonts w:ascii="Symbol" w:hAnsi="Symbol"/>
                <w:snapToGrid w:val="0"/>
                <w:szCs w:val="22"/>
              </w:rPr>
              <w:t>·</w:t>
            </w:r>
            <w:r w:rsidRPr="00852583">
              <w:rPr>
                <w:rFonts w:ascii="Symbol" w:hAnsi="Symbol"/>
                <w:snapToGrid w:val="0"/>
                <w:szCs w:val="22"/>
              </w:rPr>
              <w:tab/>
            </w:r>
            <w:r>
              <w:rPr>
                <w:snapToGrid w:val="0"/>
                <w:szCs w:val="22"/>
              </w:rPr>
              <w:t xml:space="preserve">Global analysis of information </w:t>
            </w:r>
            <w:r w:rsidRPr="00B76977">
              <w:rPr>
                <w:snapToGrid w:val="0"/>
                <w:szCs w:val="22"/>
              </w:rPr>
              <w:t xml:space="preserve">in national biodiversity strategies and action plans, including the </w:t>
            </w:r>
            <w:r w:rsidRPr="00852583">
              <w:rPr>
                <w:snapToGrid w:val="0"/>
                <w:szCs w:val="22"/>
              </w:rPr>
              <w:t>national targets</w:t>
            </w:r>
            <w:r>
              <w:rPr>
                <w:snapToGrid w:val="0"/>
                <w:szCs w:val="22"/>
              </w:rPr>
              <w:t>.</w:t>
            </w:r>
          </w:p>
          <w:p w14:paraId="4E0C542B" w14:textId="77777777" w:rsidR="005B203B" w:rsidRPr="005B07F0" w:rsidRDefault="005B203B" w:rsidP="00FB1CE6">
            <w:pPr>
              <w:keepNext/>
              <w:spacing w:before="60" w:after="60"/>
              <w:ind w:left="360" w:hanging="360"/>
              <w:jc w:val="left"/>
              <w:rPr>
                <w:snapToGrid w:val="0"/>
                <w:szCs w:val="22"/>
                <w:lang w:val="en-CA"/>
              </w:rPr>
            </w:pPr>
            <w:r w:rsidRPr="00852583">
              <w:rPr>
                <w:rFonts w:ascii="Symbol" w:hAnsi="Symbol"/>
                <w:snapToGrid w:val="0"/>
                <w:szCs w:val="22"/>
              </w:rPr>
              <w:t>·</w:t>
            </w:r>
            <w:r w:rsidRPr="00852583">
              <w:rPr>
                <w:rFonts w:ascii="Symbol" w:hAnsi="Symbol"/>
                <w:snapToGrid w:val="0"/>
                <w:szCs w:val="22"/>
              </w:rPr>
              <w:tab/>
            </w:r>
            <w:r w:rsidRPr="00852583">
              <w:rPr>
                <w:snapToGrid w:val="0"/>
                <w:szCs w:val="22"/>
              </w:rPr>
              <w:t xml:space="preserve">Strategic </w:t>
            </w:r>
            <w:r w:rsidRPr="000D62E2">
              <w:rPr>
                <w:szCs w:val="22"/>
              </w:rPr>
              <w:t>actions</w:t>
            </w:r>
            <w:r w:rsidRPr="00852583">
              <w:rPr>
                <w:snapToGrid w:val="0"/>
                <w:szCs w:val="22"/>
              </w:rPr>
              <w:t xml:space="preserve"> to enhance implementation of the Convention and the </w:t>
            </w:r>
            <w:r>
              <w:rPr>
                <w:snapToGrid w:val="0"/>
                <w:szCs w:val="22"/>
              </w:rPr>
              <w:t>Kunming-Montreal</w:t>
            </w:r>
            <w:r w:rsidRPr="00852583">
              <w:rPr>
                <w:snapToGrid w:val="0"/>
                <w:szCs w:val="22"/>
              </w:rPr>
              <w:t xml:space="preserve"> </w:t>
            </w:r>
            <w:r>
              <w:rPr>
                <w:snapToGrid w:val="0"/>
                <w:szCs w:val="22"/>
              </w:rPr>
              <w:t>G</w:t>
            </w:r>
            <w:r w:rsidRPr="00852583">
              <w:rPr>
                <w:snapToGrid w:val="0"/>
                <w:szCs w:val="22"/>
              </w:rPr>
              <w:t xml:space="preserve">lobal </w:t>
            </w:r>
            <w:r>
              <w:rPr>
                <w:snapToGrid w:val="0"/>
                <w:szCs w:val="22"/>
              </w:rPr>
              <w:t>B</w:t>
            </w:r>
            <w:r w:rsidRPr="00852583">
              <w:rPr>
                <w:snapToGrid w:val="0"/>
                <w:szCs w:val="22"/>
              </w:rPr>
              <w:t xml:space="preserve">iodiversity </w:t>
            </w:r>
            <w:r>
              <w:rPr>
                <w:snapToGrid w:val="0"/>
                <w:szCs w:val="22"/>
              </w:rPr>
              <w:t>F</w:t>
            </w:r>
            <w:r w:rsidRPr="00852583">
              <w:rPr>
                <w:snapToGrid w:val="0"/>
                <w:szCs w:val="22"/>
              </w:rPr>
              <w:t>ramework</w:t>
            </w:r>
            <w:r>
              <w:rPr>
                <w:snapToGrid w:val="0"/>
                <w:szCs w:val="22"/>
              </w:rPr>
              <w:t>.</w:t>
            </w:r>
          </w:p>
          <w:p w14:paraId="4A05E138" w14:textId="77777777" w:rsidR="005B203B" w:rsidRPr="00852583" w:rsidRDefault="005B203B" w:rsidP="00FB1CE6">
            <w:pPr>
              <w:keepNext/>
              <w:spacing w:before="60" w:after="60"/>
              <w:ind w:left="360" w:hanging="360"/>
              <w:jc w:val="left"/>
              <w:rPr>
                <w:szCs w:val="22"/>
              </w:rPr>
            </w:pPr>
            <w:r w:rsidRPr="00852583">
              <w:rPr>
                <w:rFonts w:ascii="Symbol" w:hAnsi="Symbol"/>
                <w:szCs w:val="22"/>
              </w:rPr>
              <w:t>·</w:t>
            </w:r>
            <w:r w:rsidRPr="00852583">
              <w:rPr>
                <w:rFonts w:ascii="Symbol" w:hAnsi="Symbol"/>
                <w:szCs w:val="22"/>
              </w:rPr>
              <w:tab/>
            </w:r>
            <w:r w:rsidRPr="00852583">
              <w:rPr>
                <w:szCs w:val="22"/>
              </w:rPr>
              <w:t>Four-year framework for outcome-oriented programme priorities and assessment of funding needs to inform the replenishment process for GEF-9 (2026</w:t>
            </w:r>
            <w:r>
              <w:rPr>
                <w:iCs/>
              </w:rPr>
              <w:t>–</w:t>
            </w:r>
            <w:r w:rsidRPr="00852583">
              <w:rPr>
                <w:szCs w:val="22"/>
              </w:rPr>
              <w:t>2030).</w:t>
            </w:r>
          </w:p>
          <w:p w14:paraId="5E9DF4E3" w14:textId="77777777" w:rsidR="005B203B" w:rsidRPr="00852583" w:rsidRDefault="005B203B" w:rsidP="00FB1CE6">
            <w:pPr>
              <w:keepNext/>
              <w:spacing w:before="60" w:after="60"/>
              <w:ind w:left="360" w:hanging="360"/>
              <w:jc w:val="left"/>
              <w:rPr>
                <w:szCs w:val="22"/>
              </w:rPr>
            </w:pPr>
            <w:r w:rsidRPr="00852583">
              <w:rPr>
                <w:rFonts w:ascii="Symbol" w:hAnsi="Symbol"/>
                <w:szCs w:val="22"/>
              </w:rPr>
              <w:t>·</w:t>
            </w:r>
            <w:r w:rsidRPr="00852583">
              <w:rPr>
                <w:rFonts w:ascii="Symbol" w:hAnsi="Symbol"/>
                <w:szCs w:val="22"/>
              </w:rPr>
              <w:tab/>
            </w:r>
            <w:r w:rsidRPr="00852583">
              <w:rPr>
                <w:szCs w:val="22"/>
              </w:rPr>
              <w:t xml:space="preserve">Development of a new programme of work and institutional arrangements on Article 8(j) and related provisions. </w:t>
            </w:r>
          </w:p>
          <w:p w14:paraId="6CC8969B" w14:textId="77777777" w:rsidR="005B203B" w:rsidRPr="00852583" w:rsidRDefault="005B203B" w:rsidP="00FB1CE6">
            <w:pPr>
              <w:keepNext/>
              <w:spacing w:before="60" w:after="60"/>
              <w:ind w:left="360" w:hanging="360"/>
              <w:jc w:val="left"/>
              <w:rPr>
                <w:szCs w:val="22"/>
              </w:rPr>
            </w:pPr>
            <w:r w:rsidRPr="00852583">
              <w:rPr>
                <w:rFonts w:ascii="Symbol" w:hAnsi="Symbol"/>
                <w:szCs w:val="22"/>
              </w:rPr>
              <w:t>·</w:t>
            </w:r>
            <w:r w:rsidRPr="00852583">
              <w:rPr>
                <w:rFonts w:ascii="Symbol" w:hAnsi="Symbol"/>
                <w:szCs w:val="22"/>
              </w:rPr>
              <w:tab/>
            </w:r>
            <w:r w:rsidRPr="00852583">
              <w:rPr>
                <w:szCs w:val="22"/>
              </w:rPr>
              <w:t xml:space="preserve">Implications for the work of the Convention of the IPBES assessments on values, sustainable use and invasive alien species. </w:t>
            </w:r>
          </w:p>
          <w:p w14:paraId="6646B8F5" w14:textId="77777777" w:rsidR="005B203B" w:rsidRPr="00852583" w:rsidRDefault="005B203B" w:rsidP="00FB1CE6">
            <w:pPr>
              <w:keepNext/>
              <w:spacing w:before="60" w:after="120"/>
              <w:ind w:left="360" w:hanging="357"/>
              <w:jc w:val="left"/>
              <w:rPr>
                <w:szCs w:val="22"/>
              </w:rPr>
            </w:pPr>
            <w:r w:rsidRPr="00852583">
              <w:rPr>
                <w:rFonts w:ascii="Symbol" w:hAnsi="Symbol"/>
                <w:szCs w:val="22"/>
              </w:rPr>
              <w:t>·</w:t>
            </w:r>
            <w:r w:rsidRPr="00852583">
              <w:rPr>
                <w:rFonts w:ascii="Symbol" w:hAnsi="Symbol"/>
                <w:szCs w:val="22"/>
              </w:rPr>
              <w:tab/>
            </w:r>
            <w:r w:rsidRPr="00852583">
              <w:rPr>
                <w:szCs w:val="22"/>
              </w:rPr>
              <w:t>[</w:t>
            </w:r>
            <w:r w:rsidRPr="00852583">
              <w:rPr>
                <w:i/>
                <w:iCs/>
                <w:szCs w:val="22"/>
              </w:rPr>
              <w:t>to be completed</w:t>
            </w:r>
            <w:r w:rsidRPr="00852583">
              <w:rPr>
                <w:szCs w:val="22"/>
              </w:rPr>
              <w:t>]</w:t>
            </w:r>
          </w:p>
        </w:tc>
      </w:tr>
      <w:tr w:rsidR="005B203B" w:rsidRPr="00852583" w14:paraId="099740E0" w14:textId="77777777" w:rsidTr="00FB1CE6">
        <w:tc>
          <w:tcPr>
            <w:tcW w:w="1548" w:type="dxa"/>
            <w:tcBorders>
              <w:top w:val="single" w:sz="4" w:space="0" w:color="auto"/>
              <w:left w:val="single" w:sz="4" w:space="0" w:color="auto"/>
              <w:bottom w:val="single" w:sz="4" w:space="0" w:color="auto"/>
              <w:right w:val="single" w:sz="4" w:space="0" w:color="auto"/>
            </w:tcBorders>
          </w:tcPr>
          <w:p w14:paraId="27FA7DF2" w14:textId="77777777" w:rsidR="005B203B" w:rsidRPr="00852583" w:rsidRDefault="005B203B" w:rsidP="00FB1CE6">
            <w:pPr>
              <w:keepNext/>
              <w:spacing w:before="60" w:after="60"/>
              <w:jc w:val="left"/>
              <w:rPr>
                <w:szCs w:val="22"/>
              </w:rPr>
            </w:pPr>
            <w:r w:rsidRPr="00852583">
              <w:rPr>
                <w:szCs w:val="22"/>
              </w:rPr>
              <w:t>COP 17 (2026)</w:t>
            </w:r>
          </w:p>
        </w:tc>
        <w:tc>
          <w:tcPr>
            <w:tcW w:w="8199" w:type="dxa"/>
            <w:tcBorders>
              <w:top w:val="single" w:sz="4" w:space="0" w:color="auto"/>
              <w:left w:val="single" w:sz="4" w:space="0" w:color="auto"/>
              <w:bottom w:val="single" w:sz="4" w:space="0" w:color="auto"/>
              <w:right w:val="single" w:sz="4" w:space="0" w:color="auto"/>
            </w:tcBorders>
          </w:tcPr>
          <w:p w14:paraId="4FBE7944" w14:textId="77777777" w:rsidR="005B203B" w:rsidRPr="00852583" w:rsidRDefault="005B203B" w:rsidP="00FB1CE6">
            <w:pPr>
              <w:keepNext/>
              <w:spacing w:before="60" w:after="60"/>
              <w:ind w:left="360" w:hanging="360"/>
              <w:jc w:val="left"/>
              <w:rPr>
                <w:szCs w:val="22"/>
              </w:rPr>
            </w:pPr>
            <w:r w:rsidRPr="00852583">
              <w:rPr>
                <w:rFonts w:ascii="Symbol" w:hAnsi="Symbol"/>
                <w:szCs w:val="22"/>
              </w:rPr>
              <w:t>·</w:t>
            </w:r>
            <w:r w:rsidRPr="00852583">
              <w:rPr>
                <w:rFonts w:ascii="Symbol" w:hAnsi="Symbol"/>
                <w:szCs w:val="22"/>
              </w:rPr>
              <w:tab/>
            </w:r>
            <w:r>
              <w:rPr>
                <w:szCs w:val="22"/>
              </w:rPr>
              <w:t xml:space="preserve">Global review of </w:t>
            </w:r>
            <w:r w:rsidRPr="00852583">
              <w:rPr>
                <w:szCs w:val="22"/>
              </w:rPr>
              <w:t xml:space="preserve">the </w:t>
            </w:r>
            <w:r w:rsidRPr="00852583">
              <w:rPr>
                <w:snapToGrid w:val="0"/>
                <w:szCs w:val="22"/>
              </w:rPr>
              <w:t xml:space="preserve">implementation of the </w:t>
            </w:r>
            <w:r>
              <w:rPr>
                <w:snapToGrid w:val="0"/>
                <w:szCs w:val="22"/>
              </w:rPr>
              <w:t>Kunming-Montreal</w:t>
            </w:r>
            <w:r w:rsidRPr="00852583">
              <w:rPr>
                <w:snapToGrid w:val="0"/>
                <w:szCs w:val="22"/>
              </w:rPr>
              <w:t xml:space="preserve"> </w:t>
            </w:r>
            <w:r>
              <w:rPr>
                <w:snapToGrid w:val="0"/>
                <w:szCs w:val="22"/>
              </w:rPr>
              <w:t>G</w:t>
            </w:r>
            <w:r w:rsidRPr="00852583">
              <w:rPr>
                <w:snapToGrid w:val="0"/>
                <w:szCs w:val="22"/>
              </w:rPr>
              <w:t xml:space="preserve">lobal </w:t>
            </w:r>
            <w:r>
              <w:rPr>
                <w:snapToGrid w:val="0"/>
                <w:szCs w:val="22"/>
              </w:rPr>
              <w:t>B</w:t>
            </w:r>
            <w:r w:rsidRPr="00852583">
              <w:rPr>
                <w:snapToGrid w:val="0"/>
                <w:szCs w:val="22"/>
              </w:rPr>
              <w:t xml:space="preserve">iodiversity </w:t>
            </w:r>
            <w:r>
              <w:rPr>
                <w:snapToGrid w:val="0"/>
                <w:szCs w:val="22"/>
              </w:rPr>
              <w:t>F</w:t>
            </w:r>
            <w:r w:rsidRPr="00852583">
              <w:rPr>
                <w:snapToGrid w:val="0"/>
                <w:szCs w:val="22"/>
              </w:rPr>
              <w:t>ramework and related means of implementation on the basis of</w:t>
            </w:r>
            <w:r>
              <w:rPr>
                <w:snapToGrid w:val="0"/>
                <w:szCs w:val="22"/>
              </w:rPr>
              <w:t xml:space="preserve">, </w:t>
            </w:r>
            <w:r w:rsidRPr="00115E38">
              <w:rPr>
                <w:snapToGrid w:val="0"/>
                <w:szCs w:val="22"/>
              </w:rPr>
              <w:t>inter alia, the</w:t>
            </w:r>
            <w:r w:rsidRPr="00852583">
              <w:rPr>
                <w:snapToGrid w:val="0"/>
                <w:szCs w:val="22"/>
              </w:rPr>
              <w:t xml:space="preserve"> seventh national reports.</w:t>
            </w:r>
          </w:p>
          <w:p w14:paraId="593F0310" w14:textId="77777777" w:rsidR="005B203B" w:rsidRPr="00115E38" w:rsidRDefault="005B203B" w:rsidP="00115E38">
            <w:pPr>
              <w:keepNext/>
              <w:spacing w:before="60" w:after="60"/>
              <w:ind w:left="360" w:hanging="360"/>
              <w:jc w:val="left"/>
              <w:rPr>
                <w:snapToGrid w:val="0"/>
                <w:szCs w:val="22"/>
              </w:rPr>
            </w:pPr>
            <w:r w:rsidRPr="00852583">
              <w:rPr>
                <w:rFonts w:ascii="Symbol" w:hAnsi="Symbol"/>
                <w:snapToGrid w:val="0"/>
                <w:szCs w:val="22"/>
              </w:rPr>
              <w:t>·</w:t>
            </w:r>
            <w:r w:rsidRPr="00852583">
              <w:rPr>
                <w:rFonts w:ascii="Symbol" w:hAnsi="Symbol"/>
                <w:snapToGrid w:val="0"/>
                <w:szCs w:val="22"/>
              </w:rPr>
              <w:tab/>
            </w:r>
            <w:r w:rsidRPr="00852583">
              <w:rPr>
                <w:snapToGrid w:val="0"/>
                <w:szCs w:val="22"/>
              </w:rPr>
              <w:t xml:space="preserve">Strategic actions to enhance implementation of the Convention and the </w:t>
            </w:r>
            <w:r>
              <w:rPr>
                <w:snapToGrid w:val="0"/>
                <w:szCs w:val="22"/>
              </w:rPr>
              <w:t>Kunming</w:t>
            </w:r>
            <w:r>
              <w:rPr>
                <w:snapToGrid w:val="0"/>
                <w:szCs w:val="22"/>
              </w:rPr>
              <w:noBreakHyphen/>
              <w:t>Montreal</w:t>
            </w:r>
            <w:r w:rsidRPr="00852583">
              <w:rPr>
                <w:snapToGrid w:val="0"/>
                <w:szCs w:val="22"/>
              </w:rPr>
              <w:t xml:space="preserve"> </w:t>
            </w:r>
            <w:r>
              <w:rPr>
                <w:snapToGrid w:val="0"/>
                <w:szCs w:val="22"/>
              </w:rPr>
              <w:t>G</w:t>
            </w:r>
            <w:r w:rsidRPr="00852583">
              <w:rPr>
                <w:snapToGrid w:val="0"/>
                <w:szCs w:val="22"/>
              </w:rPr>
              <w:t xml:space="preserve">lobal </w:t>
            </w:r>
            <w:r>
              <w:rPr>
                <w:snapToGrid w:val="0"/>
                <w:szCs w:val="22"/>
              </w:rPr>
              <w:t>B</w:t>
            </w:r>
            <w:r w:rsidRPr="00852583">
              <w:rPr>
                <w:snapToGrid w:val="0"/>
                <w:szCs w:val="22"/>
              </w:rPr>
              <w:t xml:space="preserve">iodiversity </w:t>
            </w:r>
            <w:r>
              <w:rPr>
                <w:snapToGrid w:val="0"/>
                <w:szCs w:val="22"/>
              </w:rPr>
              <w:t>F</w:t>
            </w:r>
            <w:r w:rsidRPr="00852583">
              <w:rPr>
                <w:snapToGrid w:val="0"/>
                <w:szCs w:val="22"/>
              </w:rPr>
              <w:t>ramework.</w:t>
            </w:r>
          </w:p>
          <w:p w14:paraId="61656317" w14:textId="77777777" w:rsidR="005B203B" w:rsidRPr="00852583" w:rsidRDefault="005B203B" w:rsidP="00FB1CE6">
            <w:pPr>
              <w:keepNext/>
              <w:spacing w:before="60" w:after="120"/>
              <w:ind w:left="360" w:hanging="360"/>
              <w:jc w:val="left"/>
              <w:rPr>
                <w:snapToGrid w:val="0"/>
                <w:szCs w:val="22"/>
              </w:rPr>
            </w:pPr>
            <w:r w:rsidRPr="00852583">
              <w:rPr>
                <w:rFonts w:ascii="Symbol" w:hAnsi="Symbol"/>
                <w:snapToGrid w:val="0"/>
                <w:szCs w:val="22"/>
              </w:rPr>
              <w:t>·</w:t>
            </w:r>
            <w:r w:rsidRPr="00852583">
              <w:rPr>
                <w:rFonts w:ascii="Symbol" w:hAnsi="Symbol"/>
                <w:snapToGrid w:val="0"/>
                <w:szCs w:val="22"/>
              </w:rPr>
              <w:tab/>
            </w:r>
            <w:r w:rsidRPr="00852583">
              <w:rPr>
                <w:szCs w:val="22"/>
              </w:rPr>
              <w:t>[</w:t>
            </w:r>
            <w:r w:rsidRPr="00852583">
              <w:rPr>
                <w:i/>
                <w:iCs/>
                <w:szCs w:val="22"/>
              </w:rPr>
              <w:t>to be completed</w:t>
            </w:r>
            <w:r w:rsidRPr="00852583">
              <w:rPr>
                <w:szCs w:val="22"/>
              </w:rPr>
              <w:t>]</w:t>
            </w:r>
          </w:p>
        </w:tc>
      </w:tr>
      <w:tr w:rsidR="005B203B" w:rsidRPr="00852583" w14:paraId="552F2E0A" w14:textId="77777777" w:rsidTr="00FB1CE6">
        <w:tc>
          <w:tcPr>
            <w:tcW w:w="1548" w:type="dxa"/>
            <w:tcBorders>
              <w:top w:val="single" w:sz="4" w:space="0" w:color="auto"/>
              <w:left w:val="single" w:sz="4" w:space="0" w:color="auto"/>
              <w:bottom w:val="single" w:sz="4" w:space="0" w:color="auto"/>
              <w:right w:val="single" w:sz="4" w:space="0" w:color="auto"/>
            </w:tcBorders>
          </w:tcPr>
          <w:p w14:paraId="0AA08AD9" w14:textId="77777777" w:rsidR="005B203B" w:rsidRPr="00852583" w:rsidRDefault="005B203B" w:rsidP="00FB1CE6">
            <w:pPr>
              <w:keepNext/>
              <w:spacing w:before="60" w:after="60"/>
              <w:jc w:val="left"/>
              <w:rPr>
                <w:szCs w:val="22"/>
              </w:rPr>
            </w:pPr>
            <w:r w:rsidRPr="00852583">
              <w:rPr>
                <w:szCs w:val="22"/>
              </w:rPr>
              <w:t>COP 18 (2028)</w:t>
            </w:r>
          </w:p>
        </w:tc>
        <w:tc>
          <w:tcPr>
            <w:tcW w:w="8199" w:type="dxa"/>
            <w:tcBorders>
              <w:top w:val="single" w:sz="4" w:space="0" w:color="auto"/>
              <w:left w:val="single" w:sz="4" w:space="0" w:color="auto"/>
              <w:bottom w:val="single" w:sz="4" w:space="0" w:color="auto"/>
              <w:right w:val="single" w:sz="4" w:space="0" w:color="auto"/>
            </w:tcBorders>
          </w:tcPr>
          <w:p w14:paraId="4BFB6685" w14:textId="77777777" w:rsidR="005B203B" w:rsidRPr="00C03A9A" w:rsidRDefault="005B203B" w:rsidP="00950BE4">
            <w:pPr>
              <w:pStyle w:val="ListParagraph"/>
              <w:keepNext/>
              <w:numPr>
                <w:ilvl w:val="0"/>
                <w:numId w:val="81"/>
              </w:numPr>
              <w:spacing w:before="60" w:after="60"/>
              <w:ind w:left="360"/>
              <w:jc w:val="left"/>
              <w:rPr>
                <w:snapToGrid w:val="0"/>
                <w:szCs w:val="22"/>
              </w:rPr>
            </w:pPr>
            <w:r w:rsidRPr="00C03A9A">
              <w:rPr>
                <w:szCs w:val="22"/>
              </w:rPr>
              <w:t xml:space="preserve">Review of the </w:t>
            </w:r>
            <w:r w:rsidRPr="00C03A9A">
              <w:rPr>
                <w:snapToGrid w:val="0"/>
                <w:szCs w:val="22"/>
              </w:rPr>
              <w:t xml:space="preserve">implementation of the </w:t>
            </w:r>
            <w:r>
              <w:rPr>
                <w:snapToGrid w:val="0"/>
                <w:szCs w:val="22"/>
              </w:rPr>
              <w:t>Kunming-Montreal</w:t>
            </w:r>
            <w:r w:rsidRPr="00C03A9A" w:rsidDel="008A5388">
              <w:rPr>
                <w:snapToGrid w:val="0"/>
                <w:szCs w:val="22"/>
              </w:rPr>
              <w:t xml:space="preserve"> </w:t>
            </w:r>
            <w:r>
              <w:rPr>
                <w:snapToGrid w:val="0"/>
                <w:szCs w:val="22"/>
              </w:rPr>
              <w:t>G</w:t>
            </w:r>
            <w:r w:rsidRPr="00C03A9A">
              <w:rPr>
                <w:snapToGrid w:val="0"/>
                <w:szCs w:val="22"/>
              </w:rPr>
              <w:t xml:space="preserve">lobal </w:t>
            </w:r>
            <w:r>
              <w:rPr>
                <w:snapToGrid w:val="0"/>
                <w:szCs w:val="22"/>
              </w:rPr>
              <w:t>B</w:t>
            </w:r>
            <w:r w:rsidRPr="00C03A9A">
              <w:rPr>
                <w:snapToGrid w:val="0"/>
                <w:szCs w:val="22"/>
              </w:rPr>
              <w:t xml:space="preserve">iodiversity </w:t>
            </w:r>
            <w:r>
              <w:rPr>
                <w:snapToGrid w:val="0"/>
                <w:szCs w:val="22"/>
              </w:rPr>
              <w:t>F</w:t>
            </w:r>
            <w:r w:rsidRPr="00C03A9A">
              <w:rPr>
                <w:snapToGrid w:val="0"/>
                <w:szCs w:val="22"/>
              </w:rPr>
              <w:t>ramework and related means of implementation.</w:t>
            </w:r>
          </w:p>
          <w:p w14:paraId="0698E54B" w14:textId="77777777" w:rsidR="005B203B" w:rsidRPr="00852583" w:rsidRDefault="005B203B" w:rsidP="00FB1CE6">
            <w:pPr>
              <w:keepNext/>
              <w:spacing w:before="60" w:after="60"/>
              <w:ind w:left="360" w:hanging="360"/>
              <w:jc w:val="left"/>
              <w:rPr>
                <w:snapToGrid w:val="0"/>
                <w:szCs w:val="22"/>
              </w:rPr>
            </w:pPr>
            <w:r w:rsidRPr="00852583">
              <w:rPr>
                <w:rFonts w:ascii="Symbol" w:hAnsi="Symbol"/>
                <w:snapToGrid w:val="0"/>
                <w:szCs w:val="22"/>
              </w:rPr>
              <w:t>·</w:t>
            </w:r>
            <w:r w:rsidRPr="00852583">
              <w:rPr>
                <w:rFonts w:ascii="Symbol" w:hAnsi="Symbol"/>
                <w:snapToGrid w:val="0"/>
                <w:szCs w:val="22"/>
              </w:rPr>
              <w:tab/>
            </w:r>
            <w:r w:rsidRPr="00852583">
              <w:rPr>
                <w:snapToGrid w:val="0"/>
                <w:szCs w:val="22"/>
              </w:rPr>
              <w:t xml:space="preserve">Strategic actions to enhance implementation of the Convention and the </w:t>
            </w:r>
            <w:r>
              <w:rPr>
                <w:snapToGrid w:val="0"/>
                <w:szCs w:val="22"/>
              </w:rPr>
              <w:t>Kunming</w:t>
            </w:r>
            <w:r>
              <w:rPr>
                <w:snapToGrid w:val="0"/>
                <w:szCs w:val="22"/>
              </w:rPr>
              <w:noBreakHyphen/>
              <w:t>Montreal</w:t>
            </w:r>
            <w:r w:rsidRPr="00852583" w:rsidDel="008A5388">
              <w:rPr>
                <w:snapToGrid w:val="0"/>
                <w:szCs w:val="22"/>
              </w:rPr>
              <w:t xml:space="preserve"> </w:t>
            </w:r>
            <w:r>
              <w:rPr>
                <w:snapToGrid w:val="0"/>
                <w:szCs w:val="22"/>
              </w:rPr>
              <w:t>G</w:t>
            </w:r>
            <w:r w:rsidRPr="00852583">
              <w:rPr>
                <w:snapToGrid w:val="0"/>
                <w:szCs w:val="22"/>
              </w:rPr>
              <w:t xml:space="preserve">lobal </w:t>
            </w:r>
            <w:r>
              <w:rPr>
                <w:snapToGrid w:val="0"/>
                <w:szCs w:val="22"/>
              </w:rPr>
              <w:t>B</w:t>
            </w:r>
            <w:r w:rsidRPr="00852583">
              <w:rPr>
                <w:snapToGrid w:val="0"/>
                <w:szCs w:val="22"/>
              </w:rPr>
              <w:t xml:space="preserve">iodiversity </w:t>
            </w:r>
            <w:r>
              <w:rPr>
                <w:snapToGrid w:val="0"/>
                <w:szCs w:val="22"/>
              </w:rPr>
              <w:t>F</w:t>
            </w:r>
            <w:r w:rsidRPr="00852583">
              <w:rPr>
                <w:snapToGrid w:val="0"/>
                <w:szCs w:val="22"/>
              </w:rPr>
              <w:t>ramework.</w:t>
            </w:r>
          </w:p>
          <w:p w14:paraId="32A13415" w14:textId="77777777" w:rsidR="005B203B" w:rsidRDefault="005B203B" w:rsidP="00FB1CE6">
            <w:pPr>
              <w:keepNext/>
              <w:spacing w:before="60" w:after="60"/>
              <w:ind w:left="360" w:hanging="360"/>
              <w:jc w:val="left"/>
              <w:rPr>
                <w:szCs w:val="22"/>
              </w:rPr>
            </w:pPr>
            <w:r w:rsidRPr="00852583">
              <w:rPr>
                <w:rFonts w:ascii="Symbol" w:hAnsi="Symbol"/>
                <w:szCs w:val="22"/>
              </w:rPr>
              <w:t>·</w:t>
            </w:r>
            <w:r w:rsidRPr="00852583">
              <w:rPr>
                <w:rFonts w:ascii="Symbol" w:hAnsi="Symbol"/>
                <w:szCs w:val="22"/>
              </w:rPr>
              <w:tab/>
            </w:r>
            <w:r w:rsidRPr="00852583">
              <w:rPr>
                <w:szCs w:val="22"/>
              </w:rPr>
              <w:t>Four-year framework for outcome-oriented programme priorities and assessment of funding needs to inform the replenishment process for GEF-10 (2030</w:t>
            </w:r>
            <w:r>
              <w:rPr>
                <w:iCs/>
              </w:rPr>
              <w:t>–</w:t>
            </w:r>
            <w:r w:rsidRPr="00852583">
              <w:rPr>
                <w:szCs w:val="22"/>
              </w:rPr>
              <w:t>2034).</w:t>
            </w:r>
          </w:p>
          <w:p w14:paraId="6D57C831" w14:textId="77777777" w:rsidR="005B203B" w:rsidRDefault="005B203B" w:rsidP="00DF03CA">
            <w:pPr>
              <w:keepNext/>
              <w:spacing w:before="60" w:after="60"/>
              <w:ind w:left="360" w:hanging="360"/>
              <w:jc w:val="left"/>
              <w:rPr>
                <w:rFonts w:ascii="Symbol" w:hAnsi="Symbol"/>
                <w:szCs w:val="22"/>
              </w:rPr>
            </w:pPr>
            <w:r w:rsidRPr="00852583">
              <w:rPr>
                <w:rFonts w:ascii="Symbol" w:hAnsi="Symbol"/>
                <w:szCs w:val="22"/>
              </w:rPr>
              <w:t>·</w:t>
            </w:r>
            <w:r w:rsidRPr="00852583">
              <w:rPr>
                <w:rFonts w:ascii="Symbol" w:hAnsi="Symbol"/>
                <w:szCs w:val="22"/>
              </w:rPr>
              <w:tab/>
            </w:r>
            <w:r w:rsidRPr="00852583">
              <w:rPr>
                <w:snapToGrid w:val="0"/>
                <w:szCs w:val="22"/>
              </w:rPr>
              <w:t xml:space="preserve">Considerations for a follow-up to the </w:t>
            </w:r>
            <w:r>
              <w:rPr>
                <w:snapToGrid w:val="0"/>
                <w:szCs w:val="22"/>
              </w:rPr>
              <w:t>Kunming-Montreal</w:t>
            </w:r>
            <w:r w:rsidRPr="00852583" w:rsidDel="008A5388">
              <w:rPr>
                <w:snapToGrid w:val="0"/>
                <w:szCs w:val="22"/>
              </w:rPr>
              <w:t xml:space="preserve"> </w:t>
            </w:r>
            <w:r>
              <w:rPr>
                <w:snapToGrid w:val="0"/>
                <w:szCs w:val="22"/>
              </w:rPr>
              <w:t>G</w:t>
            </w:r>
            <w:r w:rsidRPr="00852583">
              <w:rPr>
                <w:snapToGrid w:val="0"/>
                <w:szCs w:val="22"/>
              </w:rPr>
              <w:t xml:space="preserve">lobal </w:t>
            </w:r>
            <w:r>
              <w:rPr>
                <w:snapToGrid w:val="0"/>
                <w:szCs w:val="22"/>
              </w:rPr>
              <w:t>B</w:t>
            </w:r>
            <w:r w:rsidRPr="00852583">
              <w:rPr>
                <w:snapToGrid w:val="0"/>
                <w:szCs w:val="22"/>
              </w:rPr>
              <w:t xml:space="preserve">iodiversity </w:t>
            </w:r>
            <w:r>
              <w:rPr>
                <w:snapToGrid w:val="0"/>
                <w:szCs w:val="22"/>
              </w:rPr>
              <w:t>F</w:t>
            </w:r>
            <w:r w:rsidRPr="00852583">
              <w:rPr>
                <w:snapToGrid w:val="0"/>
                <w:szCs w:val="22"/>
              </w:rPr>
              <w:t>ramework.</w:t>
            </w:r>
          </w:p>
          <w:p w14:paraId="5BA7F357" w14:textId="77777777" w:rsidR="005B203B" w:rsidRPr="00852583" w:rsidRDefault="005B203B" w:rsidP="00950BE4">
            <w:pPr>
              <w:pStyle w:val="ListParagraph"/>
              <w:keepNext/>
              <w:numPr>
                <w:ilvl w:val="0"/>
                <w:numId w:val="82"/>
              </w:numPr>
              <w:spacing w:before="60" w:after="120"/>
              <w:ind w:left="366"/>
              <w:jc w:val="left"/>
            </w:pPr>
            <w:r w:rsidRPr="00852583">
              <w:rPr>
                <w:szCs w:val="22"/>
              </w:rPr>
              <w:t>[</w:t>
            </w:r>
            <w:r w:rsidRPr="00852583">
              <w:rPr>
                <w:i/>
                <w:iCs/>
                <w:szCs w:val="22"/>
              </w:rPr>
              <w:t>to be completed</w:t>
            </w:r>
            <w:r w:rsidRPr="00852583">
              <w:rPr>
                <w:szCs w:val="22"/>
              </w:rPr>
              <w:t>]</w:t>
            </w:r>
          </w:p>
        </w:tc>
      </w:tr>
      <w:tr w:rsidR="005B203B" w:rsidRPr="00852583" w14:paraId="1B52357C" w14:textId="77777777" w:rsidTr="00FB1CE6">
        <w:tc>
          <w:tcPr>
            <w:tcW w:w="1548" w:type="dxa"/>
            <w:tcBorders>
              <w:top w:val="single" w:sz="4" w:space="0" w:color="auto"/>
              <w:left w:val="single" w:sz="4" w:space="0" w:color="auto"/>
              <w:bottom w:val="single" w:sz="4" w:space="0" w:color="auto"/>
              <w:right w:val="single" w:sz="4" w:space="0" w:color="auto"/>
            </w:tcBorders>
          </w:tcPr>
          <w:p w14:paraId="0E0622E2" w14:textId="77777777" w:rsidR="005B203B" w:rsidRPr="00852583" w:rsidRDefault="005B203B" w:rsidP="00FB1CE6">
            <w:pPr>
              <w:keepNext/>
              <w:spacing w:before="60" w:after="60"/>
              <w:jc w:val="left"/>
              <w:rPr>
                <w:szCs w:val="22"/>
              </w:rPr>
            </w:pPr>
            <w:r w:rsidRPr="00852583">
              <w:rPr>
                <w:szCs w:val="22"/>
              </w:rPr>
              <w:t>COP 19 (2030)</w:t>
            </w:r>
          </w:p>
        </w:tc>
        <w:tc>
          <w:tcPr>
            <w:tcW w:w="8199" w:type="dxa"/>
            <w:tcBorders>
              <w:top w:val="single" w:sz="4" w:space="0" w:color="auto"/>
              <w:left w:val="single" w:sz="4" w:space="0" w:color="auto"/>
              <w:bottom w:val="single" w:sz="4" w:space="0" w:color="auto"/>
              <w:right w:val="single" w:sz="4" w:space="0" w:color="auto"/>
            </w:tcBorders>
          </w:tcPr>
          <w:p w14:paraId="1C74E523" w14:textId="77777777" w:rsidR="005B203B" w:rsidRPr="00115E38" w:rsidRDefault="005B203B" w:rsidP="00950BE4">
            <w:pPr>
              <w:pStyle w:val="ListParagraph"/>
              <w:keepNext/>
              <w:numPr>
                <w:ilvl w:val="0"/>
                <w:numId w:val="81"/>
              </w:numPr>
              <w:spacing w:before="60" w:after="60"/>
              <w:ind w:left="360"/>
              <w:jc w:val="left"/>
              <w:rPr>
                <w:snapToGrid w:val="0"/>
                <w:szCs w:val="22"/>
              </w:rPr>
            </w:pPr>
            <w:r w:rsidRPr="00C03A9A">
              <w:rPr>
                <w:snapToGrid w:val="0"/>
                <w:szCs w:val="22"/>
              </w:rPr>
              <w:t xml:space="preserve">Final assessment of the implementation of the </w:t>
            </w:r>
            <w:r>
              <w:rPr>
                <w:snapToGrid w:val="0"/>
                <w:szCs w:val="22"/>
              </w:rPr>
              <w:t>Kunming</w:t>
            </w:r>
            <w:r>
              <w:rPr>
                <w:snapToGrid w:val="0"/>
                <w:szCs w:val="22"/>
              </w:rPr>
              <w:noBreakHyphen/>
              <w:t>Montreal</w:t>
            </w:r>
            <w:r w:rsidRPr="00C03A9A" w:rsidDel="008A5388">
              <w:rPr>
                <w:snapToGrid w:val="0"/>
                <w:szCs w:val="22"/>
              </w:rPr>
              <w:t xml:space="preserve"> </w:t>
            </w:r>
            <w:r>
              <w:rPr>
                <w:snapToGrid w:val="0"/>
                <w:szCs w:val="22"/>
              </w:rPr>
              <w:t>G</w:t>
            </w:r>
            <w:r w:rsidRPr="00C03A9A">
              <w:rPr>
                <w:snapToGrid w:val="0"/>
                <w:szCs w:val="22"/>
              </w:rPr>
              <w:t xml:space="preserve">lobal </w:t>
            </w:r>
            <w:r>
              <w:rPr>
                <w:snapToGrid w:val="0"/>
                <w:szCs w:val="22"/>
              </w:rPr>
              <w:t>B</w:t>
            </w:r>
            <w:r w:rsidRPr="00C03A9A">
              <w:rPr>
                <w:snapToGrid w:val="0"/>
                <w:szCs w:val="22"/>
              </w:rPr>
              <w:t xml:space="preserve">iodiversity </w:t>
            </w:r>
            <w:r>
              <w:rPr>
                <w:snapToGrid w:val="0"/>
                <w:szCs w:val="22"/>
              </w:rPr>
              <w:t>F</w:t>
            </w:r>
            <w:r w:rsidRPr="00C03A9A">
              <w:rPr>
                <w:snapToGrid w:val="0"/>
                <w:szCs w:val="22"/>
              </w:rPr>
              <w:t xml:space="preserve">ramework on the basis of the </w:t>
            </w:r>
            <w:r w:rsidRPr="00C03A9A">
              <w:rPr>
                <w:szCs w:val="22"/>
              </w:rPr>
              <w:t>eighth national report.</w:t>
            </w:r>
          </w:p>
          <w:p w14:paraId="4B87298F" w14:textId="77777777" w:rsidR="005B203B" w:rsidRPr="00852583" w:rsidRDefault="005B203B" w:rsidP="00FB1CE6">
            <w:pPr>
              <w:keepNext/>
              <w:spacing w:before="60" w:after="120"/>
              <w:ind w:left="360" w:hanging="360"/>
              <w:jc w:val="left"/>
              <w:rPr>
                <w:snapToGrid w:val="0"/>
                <w:szCs w:val="22"/>
              </w:rPr>
            </w:pPr>
            <w:r w:rsidRPr="00852583">
              <w:rPr>
                <w:rFonts w:ascii="Symbol" w:hAnsi="Symbol"/>
                <w:snapToGrid w:val="0"/>
                <w:szCs w:val="22"/>
              </w:rPr>
              <w:t>·</w:t>
            </w:r>
            <w:r w:rsidRPr="00852583">
              <w:rPr>
                <w:rFonts w:ascii="Symbol" w:hAnsi="Symbol"/>
                <w:snapToGrid w:val="0"/>
                <w:szCs w:val="22"/>
              </w:rPr>
              <w:tab/>
            </w:r>
            <w:r w:rsidRPr="00852583">
              <w:rPr>
                <w:szCs w:val="22"/>
              </w:rPr>
              <w:t>[</w:t>
            </w:r>
            <w:r w:rsidRPr="00852583">
              <w:rPr>
                <w:i/>
                <w:iCs/>
                <w:szCs w:val="22"/>
              </w:rPr>
              <w:t>to be completed</w:t>
            </w:r>
            <w:r w:rsidRPr="00852583">
              <w:rPr>
                <w:szCs w:val="22"/>
              </w:rPr>
              <w:t>]</w:t>
            </w:r>
          </w:p>
        </w:tc>
      </w:tr>
    </w:tbl>
    <w:p w14:paraId="3BDA840E" w14:textId="10AC1208" w:rsidR="005B203B" w:rsidRPr="00C9161D" w:rsidRDefault="005B203B" w:rsidP="00DC5ED5">
      <w:pPr>
        <w:pStyle w:val="Para1"/>
        <w:numPr>
          <w:ilvl w:val="0"/>
          <w:numId w:val="0"/>
        </w:numPr>
        <w:shd w:val="clear" w:color="auto" w:fill="FFFFFF" w:themeFill="background1"/>
        <w:jc w:val="center"/>
      </w:pPr>
    </w:p>
    <w:p w14:paraId="343C813E" w14:textId="77777777" w:rsidR="00FC752D" w:rsidRDefault="00FC752D" w:rsidP="00C9161D">
      <w:pPr>
        <w:jc w:val="center"/>
        <w:sectPr w:rsidR="00FC752D" w:rsidSect="00441700">
          <w:footnotePr>
            <w:numRestart w:val="eachSect"/>
          </w:footnotePr>
          <w:pgSz w:w="12240" w:h="15840"/>
          <w:pgMar w:top="567" w:right="1440" w:bottom="1134" w:left="1440" w:header="709" w:footer="709" w:gutter="0"/>
          <w:cols w:space="708"/>
          <w:docGrid w:linePitch="360"/>
        </w:sectPr>
      </w:pPr>
    </w:p>
    <w:p w14:paraId="230803DB" w14:textId="77777777" w:rsidR="00720D5C" w:rsidRDefault="00720D5C" w:rsidP="007A23C3">
      <w:pPr>
        <w:pStyle w:val="decision"/>
        <w:sectPr w:rsidR="00720D5C" w:rsidSect="002F7B48">
          <w:type w:val="continuous"/>
          <w:pgSz w:w="12240" w:h="15840"/>
          <w:pgMar w:top="567" w:right="1440" w:bottom="1134" w:left="1440" w:header="709" w:footer="709" w:gutter="0"/>
          <w:cols w:space="708"/>
          <w:titlePg/>
          <w:docGrid w:linePitch="360"/>
        </w:sectPr>
      </w:pPr>
      <w:bookmarkStart w:id="392" w:name="_Toc150438832"/>
      <w:bookmarkStart w:id="393" w:name="_Toc150670539"/>
      <w:bookmarkStart w:id="394" w:name="_Toc150670649"/>
      <w:bookmarkStart w:id="395" w:name="_Hlk122343954"/>
    </w:p>
    <w:p w14:paraId="3117F96B" w14:textId="77777777" w:rsidR="00FC752D" w:rsidRPr="00BC4AFE" w:rsidRDefault="00FC752D" w:rsidP="007A23C3">
      <w:pPr>
        <w:pStyle w:val="decision"/>
        <w:rPr>
          <w:caps/>
        </w:rPr>
      </w:pPr>
      <w:bookmarkStart w:id="396" w:name="_Toc150761144"/>
      <w:r w:rsidRPr="00BC4AFE">
        <w:t>15/34.</w:t>
      </w:r>
      <w:r w:rsidRPr="00BC4AFE">
        <w:tab/>
        <w:t>Budget for the integrated programme of work of the Secretariat</w:t>
      </w:r>
      <w:bookmarkEnd w:id="392"/>
      <w:bookmarkEnd w:id="393"/>
      <w:bookmarkEnd w:id="394"/>
      <w:bookmarkEnd w:id="396"/>
      <w:r w:rsidRPr="00BC4AFE">
        <w:rPr>
          <w:caps/>
        </w:rPr>
        <w:t xml:space="preserve"> </w:t>
      </w:r>
    </w:p>
    <w:bookmarkEnd w:id="395"/>
    <w:p w14:paraId="7FC85C21" w14:textId="77777777" w:rsidR="00FC752D" w:rsidRPr="00BC4AFE" w:rsidRDefault="00FC752D" w:rsidP="00AA0E75">
      <w:pPr>
        <w:pStyle w:val="NormalWeb"/>
        <w:spacing w:before="120" w:after="120"/>
        <w:ind w:firstLine="720"/>
        <w:rPr>
          <w:rFonts w:asciiTheme="majorBidi" w:hAnsiTheme="majorBidi" w:cstheme="majorBidi"/>
          <w:i/>
          <w:iCs/>
          <w:sz w:val="22"/>
          <w:szCs w:val="22"/>
        </w:rPr>
      </w:pPr>
      <w:r w:rsidRPr="00BC4AFE">
        <w:rPr>
          <w:rFonts w:asciiTheme="majorBidi" w:hAnsiTheme="majorBidi" w:cstheme="majorBidi"/>
          <w:i/>
          <w:iCs/>
          <w:sz w:val="22"/>
          <w:szCs w:val="22"/>
        </w:rPr>
        <w:t>The Conference of the Parties,</w:t>
      </w:r>
    </w:p>
    <w:p w14:paraId="44834B29" w14:textId="77777777" w:rsidR="00FC752D" w:rsidRPr="00BC4AFE" w:rsidRDefault="00FC752D" w:rsidP="00AA0E75">
      <w:pPr>
        <w:pStyle w:val="NormalWeb"/>
        <w:spacing w:before="120" w:after="120"/>
        <w:ind w:firstLine="720"/>
        <w:rPr>
          <w:rFonts w:asciiTheme="majorBidi" w:hAnsiTheme="majorBidi" w:cstheme="majorBidi"/>
          <w:sz w:val="22"/>
          <w:szCs w:val="22"/>
        </w:rPr>
      </w:pPr>
      <w:r w:rsidRPr="00BC4AFE">
        <w:rPr>
          <w:rFonts w:asciiTheme="majorBidi" w:hAnsiTheme="majorBidi" w:cstheme="majorBidi"/>
          <w:i/>
          <w:iCs/>
          <w:sz w:val="22"/>
          <w:szCs w:val="22"/>
        </w:rPr>
        <w:t>Recalling</w:t>
      </w:r>
      <w:r w:rsidRPr="00BC4AFE">
        <w:rPr>
          <w:rFonts w:asciiTheme="majorBidi" w:hAnsiTheme="majorBidi" w:cstheme="majorBidi"/>
          <w:sz w:val="22"/>
          <w:szCs w:val="22"/>
        </w:rPr>
        <w:t xml:space="preserve"> its decision 14/37, decision CP-9/16 of the Conference of the Parties serving as the meeting of the Parties to the Cartagena Protocol on Biosafety, and decision 3/16 of the Conference of the Parties serving as the meeting of the Parties to the Nagoya Protocol on Access and Benefit-sharing,</w:t>
      </w:r>
    </w:p>
    <w:p w14:paraId="7BE73065" w14:textId="77777777" w:rsidR="00FC752D" w:rsidRPr="00BC4AFE" w:rsidRDefault="00FC752D" w:rsidP="00AA0E75">
      <w:pPr>
        <w:pStyle w:val="NormalWeb"/>
        <w:spacing w:before="120" w:after="120"/>
        <w:ind w:firstLine="720"/>
        <w:rPr>
          <w:rFonts w:asciiTheme="majorBidi" w:hAnsiTheme="majorBidi" w:cstheme="majorBidi"/>
          <w:sz w:val="22"/>
          <w:szCs w:val="22"/>
        </w:rPr>
      </w:pPr>
      <w:r w:rsidRPr="00BC4AFE">
        <w:rPr>
          <w:rFonts w:asciiTheme="majorBidi" w:hAnsiTheme="majorBidi" w:cstheme="majorBidi"/>
          <w:i/>
          <w:iCs/>
          <w:sz w:val="22"/>
          <w:szCs w:val="22"/>
        </w:rPr>
        <w:t>Recalling also</w:t>
      </w:r>
      <w:r w:rsidRPr="00BC4AFE">
        <w:rPr>
          <w:rFonts w:asciiTheme="majorBidi" w:hAnsiTheme="majorBidi" w:cstheme="majorBidi"/>
          <w:sz w:val="22"/>
          <w:szCs w:val="22"/>
        </w:rPr>
        <w:t xml:space="preserve"> its decision EM-2/1, in which it approved the extension of the budget for the biennium 2019–2020 and, on an exceptional basis, a core interim budget for 2021,</w:t>
      </w:r>
    </w:p>
    <w:p w14:paraId="6F387DFC" w14:textId="77777777" w:rsidR="00FC752D" w:rsidRPr="00BC4AFE" w:rsidRDefault="00FC752D" w:rsidP="00AA0E75">
      <w:pPr>
        <w:pStyle w:val="NormalWeb"/>
        <w:spacing w:before="120" w:after="120"/>
        <w:ind w:firstLine="720"/>
        <w:rPr>
          <w:rFonts w:asciiTheme="majorBidi" w:hAnsiTheme="majorBidi" w:cstheme="majorBidi"/>
          <w:sz w:val="22"/>
          <w:szCs w:val="22"/>
        </w:rPr>
      </w:pPr>
      <w:r w:rsidRPr="00BC4AFE">
        <w:rPr>
          <w:rFonts w:asciiTheme="majorBidi" w:hAnsiTheme="majorBidi" w:cstheme="majorBidi"/>
          <w:i/>
          <w:iCs/>
          <w:sz w:val="22"/>
          <w:szCs w:val="22"/>
        </w:rPr>
        <w:t>Recalling further</w:t>
      </w:r>
      <w:r w:rsidRPr="00BC4AFE">
        <w:rPr>
          <w:rFonts w:asciiTheme="majorBidi" w:hAnsiTheme="majorBidi" w:cstheme="majorBidi"/>
          <w:sz w:val="22"/>
          <w:szCs w:val="22"/>
        </w:rPr>
        <w:t xml:space="preserve"> its decision 15/1, in which it approved the extension of the budget for the biennium 2019–2020 and, on an exceptional basis, a core interim budget for 2022,</w:t>
      </w:r>
    </w:p>
    <w:p w14:paraId="654630F1" w14:textId="77777777" w:rsidR="00FC752D" w:rsidRPr="00BC4AFE" w:rsidRDefault="00FC752D" w:rsidP="00C10F84">
      <w:pPr>
        <w:pStyle w:val="Para1"/>
        <w:numPr>
          <w:ilvl w:val="0"/>
          <w:numId w:val="86"/>
        </w:numPr>
        <w:overflowPunct/>
        <w:autoSpaceDE/>
        <w:autoSpaceDN/>
        <w:snapToGrid/>
        <w:spacing w:before="120"/>
        <w:ind w:firstLine="709"/>
      </w:pPr>
      <w:r w:rsidRPr="00BC4AFE">
        <w:rPr>
          <w:i/>
          <w:iCs/>
        </w:rPr>
        <w:t>Decides</w:t>
      </w:r>
      <w:r w:rsidRPr="00BC4AFE">
        <w:t xml:space="preserve"> to adopt an integrated programme of work and budget for the Convention on Biological Diversity, the Cartagena Protocol on Biosafety and the Nagoya Protocol on Access and Benefit-sharing;</w:t>
      </w:r>
    </w:p>
    <w:p w14:paraId="50D08C41"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Also decides</w:t>
      </w:r>
      <w:r w:rsidRPr="00BC4AFE">
        <w:rPr>
          <w:rFonts w:asciiTheme="majorBidi" w:hAnsiTheme="majorBidi" w:cstheme="majorBidi"/>
        </w:rPr>
        <w:t xml:space="preserve"> to share </w:t>
      </w:r>
      <w:r w:rsidRPr="00BC4AFE">
        <w:t>all</w:t>
      </w:r>
      <w:r w:rsidRPr="00BC4AFE">
        <w:rPr>
          <w:rFonts w:asciiTheme="majorBidi" w:hAnsiTheme="majorBidi" w:cstheme="majorBidi"/>
        </w:rPr>
        <w:t xml:space="preserve"> costs for secretariat services among the Convention, the Cartagena Protocol and the Nagoya Protocol on a ratio of 72:15:13 for the biennium 2023–2024;</w:t>
      </w:r>
    </w:p>
    <w:p w14:paraId="6BA1795F"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Approves</w:t>
      </w:r>
      <w:r w:rsidRPr="00BC4AFE">
        <w:rPr>
          <w:rFonts w:asciiTheme="majorBidi" w:hAnsiTheme="majorBidi" w:cstheme="majorBidi"/>
        </w:rPr>
        <w:t xml:space="preserve"> a core (BY) programme budget for the Convention of 14,350,752 United States dollars for the year 2023 and of </w:t>
      </w:r>
      <w:r w:rsidRPr="00BC4AFE">
        <w:t>15</w:t>
      </w:r>
      <w:r w:rsidRPr="00BC4AFE">
        <w:rPr>
          <w:rFonts w:asciiTheme="majorBidi" w:hAnsiTheme="majorBidi" w:cstheme="majorBidi"/>
        </w:rPr>
        <w:t>,634,440 United States dollars for the year 2024, representing 72 per cent of the integrated budget of 19,931,600 United States dollars for the year 2023 and 21,714,500 United States dollars for the year 2024 for the Convention and the Protocols, for the purposes listed in the tables 1a and 1b below;</w:t>
      </w:r>
    </w:p>
    <w:p w14:paraId="2CBA1099"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Also approves</w:t>
      </w:r>
      <w:r w:rsidRPr="00BC4AFE">
        <w:rPr>
          <w:rFonts w:asciiTheme="majorBidi" w:hAnsiTheme="majorBidi" w:cstheme="majorBidi"/>
        </w:rPr>
        <w:t xml:space="preserve"> the use of unspent balance of the BY, BG and BB trust funds for the biennium 2021–2022 of 410,000 United States dollars to offset contributions from the Parties to the Convention, the Cartagena Protocol and the Nagoya Protocol for the </w:t>
      </w:r>
      <w:r w:rsidRPr="00BC4AFE">
        <w:t>biennium</w:t>
      </w:r>
      <w:r w:rsidRPr="00BC4AFE">
        <w:rPr>
          <w:rFonts w:asciiTheme="majorBidi" w:hAnsiTheme="majorBidi" w:cstheme="majorBidi"/>
        </w:rPr>
        <w:t xml:space="preserve"> 2023–2024 for the following areas: 160,000 United States dollars to support the work of the Advisory Committee on Resource Mobilization and the Ad Hoc Technical Expert Group on Indicators for the Kunming-Montreal Global Biodiversity Framework, established, respectively, in decisions 15/7 and 15/5; and 250,000 United States dollars for the functional review requested in paragraph 35 below;</w:t>
      </w:r>
    </w:p>
    <w:p w14:paraId="791B8463"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Expresses its appreciation</w:t>
      </w:r>
      <w:r w:rsidRPr="00BC4AFE">
        <w:rPr>
          <w:rFonts w:asciiTheme="majorBidi" w:hAnsiTheme="majorBidi" w:cstheme="majorBidi"/>
        </w:rPr>
        <w:t xml:space="preserve"> to Canada as the host country for its renewed support to the Secretariat and welcomes the contribution of 2,112,</w:t>
      </w:r>
      <w:r w:rsidRPr="00F95386">
        <w:rPr>
          <w:rFonts w:asciiTheme="majorBidi" w:hAnsiTheme="majorBidi" w:cstheme="majorBidi"/>
        </w:rPr>
        <w:t>535</w:t>
      </w:r>
      <w:r w:rsidRPr="003E7DB9">
        <w:rPr>
          <w:rFonts w:asciiTheme="majorBidi" w:hAnsiTheme="majorBidi" w:cstheme="majorBidi"/>
        </w:rPr>
        <w:t xml:space="preserve"> </w:t>
      </w:r>
      <w:r w:rsidRPr="00F95386">
        <w:rPr>
          <w:rFonts w:asciiTheme="majorBidi" w:hAnsiTheme="majorBidi" w:cstheme="majorBidi"/>
        </w:rPr>
        <w:t xml:space="preserve">Canadian </w:t>
      </w:r>
      <w:r w:rsidRPr="00BC4AFE">
        <w:rPr>
          <w:rFonts w:asciiTheme="majorBidi" w:hAnsiTheme="majorBidi" w:cstheme="majorBidi"/>
        </w:rPr>
        <w:t>dollars for the year 2023 and 2,153,</w:t>
      </w:r>
      <w:r w:rsidRPr="00F95386">
        <w:rPr>
          <w:rFonts w:asciiTheme="majorBidi" w:hAnsiTheme="majorBidi" w:cstheme="majorBidi"/>
        </w:rPr>
        <w:t>215</w:t>
      </w:r>
      <w:r w:rsidRPr="003E7DB9">
        <w:rPr>
          <w:rFonts w:asciiTheme="majorBidi" w:hAnsiTheme="majorBidi" w:cstheme="majorBidi"/>
        </w:rPr>
        <w:t> </w:t>
      </w:r>
      <w:r w:rsidRPr="00F95386">
        <w:rPr>
          <w:rFonts w:asciiTheme="majorBidi" w:hAnsiTheme="majorBidi" w:cstheme="majorBidi"/>
        </w:rPr>
        <w:t xml:space="preserve">Canadian </w:t>
      </w:r>
      <w:r w:rsidRPr="00BC4AFE">
        <w:rPr>
          <w:rFonts w:asciiTheme="majorBidi" w:hAnsiTheme="majorBidi" w:cstheme="majorBidi"/>
        </w:rPr>
        <w:t xml:space="preserve">dollars for the year 2024, </w:t>
      </w:r>
      <w:r w:rsidRPr="00BC4AFE">
        <w:t>from</w:t>
      </w:r>
      <w:r w:rsidRPr="00BC4AFE">
        <w:rPr>
          <w:rFonts w:asciiTheme="majorBidi" w:hAnsiTheme="majorBidi" w:cstheme="majorBidi"/>
        </w:rPr>
        <w:t xml:space="preserve"> the host country, Canada, and the Province of Quebec, to the rental and associated costs of the Secretariat, which will be allocated on a ratio of 72:15:13 to offset contributions from the Parties to the Convention, the Cartagena Protocol and the Nagoya Protocol, respectively, for the biennium 2023–2024;</w:t>
      </w:r>
    </w:p>
    <w:p w14:paraId="2FB2BCC2"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Notes with concern</w:t>
      </w:r>
      <w:r w:rsidRPr="00BC4AFE">
        <w:rPr>
          <w:rFonts w:asciiTheme="majorBidi" w:hAnsiTheme="majorBidi" w:cstheme="majorBidi"/>
        </w:rPr>
        <w:t xml:space="preserve"> the ongoing renovations at the conference centre of the International Civil Aviation Organization and that on an exceptional basis, meetings might have to be moved to an alternative venue with cost implications attached to that, within the current adopted framework of the budget, and invites Parties that may be in a position to do so to express interest in hosting such meetings;</w:t>
      </w:r>
    </w:p>
    <w:p w14:paraId="77001C70"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Adopts</w:t>
      </w:r>
      <w:r w:rsidRPr="00BC4AFE">
        <w:rPr>
          <w:rFonts w:asciiTheme="majorBidi" w:hAnsiTheme="majorBidi" w:cstheme="majorBidi"/>
        </w:rPr>
        <w:t xml:space="preserve"> the scale of assessments for the apportionment of expenses for 2023 and 2024, in accordance with the current scale of </w:t>
      </w:r>
      <w:r w:rsidRPr="00BC4AFE">
        <w:t>assessments</w:t>
      </w:r>
      <w:r w:rsidRPr="00BC4AFE">
        <w:rPr>
          <w:rFonts w:asciiTheme="majorBidi" w:hAnsiTheme="majorBidi" w:cstheme="majorBidi"/>
        </w:rPr>
        <w:t xml:space="preserve"> of the United Nations,</w:t>
      </w:r>
      <w:r w:rsidRPr="00610646">
        <w:rPr>
          <w:rStyle w:val="FootnoteReference"/>
        </w:rPr>
        <w:footnoteReference w:id="388"/>
      </w:r>
      <w:r w:rsidRPr="00BC4AFE">
        <w:rPr>
          <w:rFonts w:asciiTheme="majorBidi" w:hAnsiTheme="majorBidi" w:cstheme="majorBidi"/>
        </w:rPr>
        <w:t xml:space="preserve"> as contained in table 6 of the present decision;</w:t>
      </w:r>
    </w:p>
    <w:p w14:paraId="5A4FFD35"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Also adopts</w:t>
      </w:r>
      <w:r w:rsidRPr="00BC4AFE">
        <w:rPr>
          <w:rFonts w:asciiTheme="majorBidi" w:hAnsiTheme="majorBidi" w:cstheme="majorBidi"/>
        </w:rPr>
        <w:t xml:space="preserve"> the staffing table of the Secretariat for the biennium 2023–2024 (table 2 below) used for costing purposes to set the overall budget;</w:t>
      </w:r>
    </w:p>
    <w:p w14:paraId="49B1B24B"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Recalls</w:t>
      </w:r>
      <w:r w:rsidRPr="00BC4AFE">
        <w:rPr>
          <w:rFonts w:asciiTheme="majorBidi" w:hAnsiTheme="majorBidi" w:cstheme="majorBidi"/>
        </w:rPr>
        <w:t xml:space="preserve"> that the staffing arrangement of the Secretariat should ensure that the legal obligations under the Convention and its Protocols are met;</w:t>
      </w:r>
    </w:p>
    <w:p w14:paraId="4111D17F"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Requests</w:t>
      </w:r>
      <w:r w:rsidRPr="00BC4AFE">
        <w:rPr>
          <w:rFonts w:asciiTheme="majorBidi" w:hAnsiTheme="majorBidi" w:cstheme="majorBidi"/>
        </w:rPr>
        <w:t xml:space="preserve"> the Executive Secretary to report to the Bureau and provide it with all necessary information, including with regard to the application of the administrative arrangements between the United Nations Environment Programme and the Secretariat of the Convention on Biological Diversity, in order to ensure the guiding role of the Bureau with regard to preparations for and conduct of meetings of the Conference of the Parties;</w:t>
      </w:r>
    </w:p>
    <w:p w14:paraId="639EBE57"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Authorizes</w:t>
      </w:r>
      <w:r w:rsidRPr="00BC4AFE">
        <w:rPr>
          <w:rFonts w:asciiTheme="majorBidi" w:hAnsiTheme="majorBidi" w:cstheme="majorBidi"/>
        </w:rPr>
        <w:t xml:space="preserve"> the Executive Secretary to enter into commitments up to the level of the approved budget, drawing on available cash resources, including unspent balances, contributions from previous financial periods and miscellaneous income, in accordance with the decisions of the Conference of the Parties and with the Financial Rules and Regulations of the United Nations Environment Programme; and requests the Executive Secretary to make these disclosures in a timely manner;</w:t>
      </w:r>
    </w:p>
    <w:p w14:paraId="5BF8FB33"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Also authorizes</w:t>
      </w:r>
      <w:r w:rsidRPr="00BC4AFE">
        <w:rPr>
          <w:rFonts w:asciiTheme="majorBidi" w:hAnsiTheme="majorBidi" w:cstheme="majorBidi"/>
        </w:rPr>
        <w:t xml:space="preserve"> the Executive Secretary to transfer resources among the programmes between each of the main appropriation lines set out in table 1b below up to an aggregate of 15 per cent of the total programme budget, provided that a further limitation of up to a maximum of 25 per cent of each such appropriation line shall apply;</w:t>
      </w:r>
    </w:p>
    <w:p w14:paraId="79C9CD6F"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Urges</w:t>
      </w:r>
      <w:r w:rsidRPr="00BC4AFE">
        <w:rPr>
          <w:rFonts w:asciiTheme="majorBidi" w:hAnsiTheme="majorBidi" w:cstheme="majorBidi"/>
        </w:rPr>
        <w:t xml:space="preserve"> the Executive Secretary to further reduce the environmental impact of the operations of the Secretariat and to report on the actions taken to the Conference of the Parties;</w:t>
      </w:r>
    </w:p>
    <w:p w14:paraId="4DDB0978"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Requests</w:t>
      </w:r>
      <w:r w:rsidRPr="00BC4AFE">
        <w:rPr>
          <w:rFonts w:asciiTheme="majorBidi" w:hAnsiTheme="majorBidi" w:cstheme="majorBidi"/>
        </w:rPr>
        <w:t xml:space="preserve"> the Executive Secretary, as a means to further enhance efforts to foster transparency and accountability, to maintain the section on the website of the Convention that provides links to up-to-date information relevant to the governance of the Convention, including, inter alia, completed and accepted audit reports, applicable financial rules and regulations, and any other relevant budgetary and financial information to facilitate due diligence and financing decisions by Parties and other potential donors;</w:t>
      </w:r>
    </w:p>
    <w:p w14:paraId="67071B08"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color w:val="000000" w:themeColor="text1"/>
        </w:rPr>
      </w:pPr>
      <w:r w:rsidRPr="00BC4AFE">
        <w:rPr>
          <w:rFonts w:asciiTheme="majorBidi" w:hAnsiTheme="majorBidi" w:cstheme="majorBidi"/>
          <w:i/>
          <w:iCs/>
        </w:rPr>
        <w:t>Also requests</w:t>
      </w:r>
      <w:r w:rsidRPr="00BC4AFE">
        <w:rPr>
          <w:rFonts w:asciiTheme="majorBidi" w:hAnsiTheme="majorBidi" w:cstheme="majorBidi"/>
        </w:rPr>
        <w:t xml:space="preserve"> the Executive Secretary, in accordance with Article 14 of the Financial Rules, to have an audit undertaken on a </w:t>
      </w:r>
      <w:r w:rsidRPr="00BC4AFE">
        <w:t>regular</w:t>
      </w:r>
      <w:r w:rsidRPr="00BC4AFE">
        <w:rPr>
          <w:rFonts w:asciiTheme="majorBidi" w:hAnsiTheme="majorBidi" w:cstheme="majorBidi"/>
          <w:color w:val="000000" w:themeColor="text1"/>
        </w:rPr>
        <w:t xml:space="preserve"> basis by the Office of Internal Oversight Services and to ask for reports on the United Nations Environment Programme from the United Nations Board of Auditors, and to have the reports submitted as part of the documentation for the next meeting of the Conference of the Parties, together with the management response;</w:t>
      </w:r>
    </w:p>
    <w:p w14:paraId="16A4E4F7"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Further requests</w:t>
      </w:r>
      <w:r w:rsidRPr="00BC4AFE">
        <w:rPr>
          <w:rFonts w:asciiTheme="majorBidi" w:hAnsiTheme="majorBidi" w:cstheme="majorBidi"/>
        </w:rPr>
        <w:t xml:space="preserve"> the Executive Secretary, in collaboration with the United Nations Environment Programme, to expeditiously respond to the outstanding audit </w:t>
      </w:r>
      <w:r w:rsidRPr="00BC4AFE">
        <w:t>observations</w:t>
      </w:r>
      <w:r w:rsidRPr="00BC4AFE">
        <w:rPr>
          <w:rFonts w:asciiTheme="majorBidi" w:hAnsiTheme="majorBidi" w:cstheme="majorBidi"/>
        </w:rPr>
        <w:t xml:space="preserve"> and recommendations, included in annex II to document CBD/COP/15/7, and to those recommendations made by the </w:t>
      </w:r>
      <w:r w:rsidRPr="00BC4AFE">
        <w:rPr>
          <w:color w:val="000000" w:themeColor="text1"/>
          <w:kern w:val="20"/>
        </w:rPr>
        <w:t>Office of Internal Oversight Services</w:t>
      </w:r>
      <w:r w:rsidRPr="00BC4AFE">
        <w:rPr>
          <w:rFonts w:asciiTheme="majorBidi" w:hAnsiTheme="majorBidi" w:cstheme="majorBidi"/>
        </w:rPr>
        <w:t xml:space="preserve"> in 2019 that have not yet been addressed, and to submit a report to the Conference of the Parties at its sixteenth meeting on actions undertaken;</w:t>
      </w:r>
    </w:p>
    <w:p w14:paraId="4EF09027"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Invites</w:t>
      </w:r>
      <w:r w:rsidRPr="00BC4AFE">
        <w:rPr>
          <w:rFonts w:asciiTheme="majorBidi" w:hAnsiTheme="majorBidi" w:cstheme="majorBidi"/>
        </w:rPr>
        <w:t xml:space="preserve"> all Parties to the Convention to note that contributions to the core programme budgets (BY, BG and BB) are due on 1 January of the year for which those contributions have been budgeted and to pay them promptly, and requests that Parties be notified of the amount of their contributions as early as possible in the year preceding the year in which the contributions are due;</w:t>
      </w:r>
    </w:p>
    <w:p w14:paraId="7DD6F963"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Notes</w:t>
      </w:r>
      <w:r w:rsidRPr="00BC4AFE">
        <w:rPr>
          <w:rFonts w:asciiTheme="majorBidi" w:hAnsiTheme="majorBidi" w:cstheme="majorBidi"/>
        </w:rPr>
        <w:t xml:space="preserve"> </w:t>
      </w:r>
      <w:r w:rsidRPr="00BC4AFE">
        <w:rPr>
          <w:rFonts w:asciiTheme="majorBidi" w:hAnsiTheme="majorBidi" w:cstheme="majorBidi"/>
          <w:i/>
          <w:iCs/>
        </w:rPr>
        <w:t>with concern</w:t>
      </w:r>
      <w:r w:rsidRPr="00BC4AFE">
        <w:rPr>
          <w:rFonts w:asciiTheme="majorBidi" w:hAnsiTheme="majorBidi" w:cstheme="majorBidi"/>
        </w:rPr>
        <w:t xml:space="preserve"> that a number of Parties to the Convention and its Protocols have not paid their contributions to the core budgets (BY, BG and BB Trust Funds) for 2022 and prior years, including Parties that have never paid their contributions, and also notes that, in accordance with the International Public Sector Accounting Standards adopted by the United Nations,</w:t>
      </w:r>
      <w:r w:rsidRPr="00610646">
        <w:rPr>
          <w:rStyle w:val="FootnoteReference"/>
        </w:rPr>
        <w:footnoteReference w:id="389"/>
      </w:r>
      <w:r w:rsidRPr="00BC4AFE">
        <w:rPr>
          <w:rFonts w:asciiTheme="majorBidi" w:hAnsiTheme="majorBidi" w:cstheme="majorBidi"/>
        </w:rPr>
        <w:t xml:space="preserve"> arrears estimated at 1,918,753 United States dollars for the Convention, 556,128 United States dollars for the Cartagena Protocol and 275,653 United States dollars for the Nagoya Protocol are outstanding at the end of 2021 and are deducted from the fund balance to cover </w:t>
      </w:r>
      <w:r w:rsidRPr="00BC4AFE">
        <w:t>doubtful</w:t>
      </w:r>
      <w:r w:rsidRPr="00BC4AFE">
        <w:rPr>
          <w:rFonts w:asciiTheme="majorBidi" w:hAnsiTheme="majorBidi" w:cstheme="majorBidi"/>
        </w:rPr>
        <w:t xml:space="preserve"> debt and so cannot be used for the benefit of all the respective Parties, and requests the United Nations Environment Programme to accept contributions from all Parties to the Convention in a timely manner; </w:t>
      </w:r>
    </w:p>
    <w:p w14:paraId="3B2A4746"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Urges</w:t>
      </w:r>
      <w:r w:rsidRPr="00BC4AFE">
        <w:rPr>
          <w:rFonts w:asciiTheme="majorBidi" w:hAnsiTheme="majorBidi" w:cstheme="majorBidi"/>
        </w:rPr>
        <w:t xml:space="preserve"> Parties that have still not paid their contributions to the core budgets (BY, BG, BB Trust Funds) for 2022 and prior years to do so without delay or conditionalities, and requests the Executive Secretary to publish and keep up-to-date the information on the status of contributions to the trust funds of the Convention (BY, BG, BB, BE, BZ and VB) and to keep the members of the Bureaux of the Convention and its Protocols updated so that they can provide information on unpaid contributions and their consequences to the respective regions as indicated in paragraph 21 below;</w:t>
      </w:r>
    </w:p>
    <w:p w14:paraId="5FFD0917"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Requests</w:t>
      </w:r>
      <w:r w:rsidRPr="00BC4AFE">
        <w:rPr>
          <w:rFonts w:asciiTheme="majorBidi" w:hAnsiTheme="majorBidi" w:cstheme="majorBidi"/>
        </w:rPr>
        <w:t xml:space="preserve"> the United Nations Environment Programme, in its capacity as Trustee, to utilize all available diplomatic channels to communicate to the relevant Parties the arrears in their contributions to the trust funds of the Convention on Biological Diversity (BY, BG and BB) from 2022 and prior years with a view to the payment of such arrears in full for the benefit of all Parties to the Convention and its Protocols, and requests the Executive Secretary to report to the Bureau and the Conference of the Parties at its sixteenth meeting on the status of these arrears;</w:t>
      </w:r>
    </w:p>
    <w:p w14:paraId="0952AE32"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Confirms</w:t>
      </w:r>
      <w:r w:rsidRPr="00BC4AFE">
        <w:rPr>
          <w:rFonts w:asciiTheme="majorBidi" w:hAnsiTheme="majorBidi" w:cstheme="majorBidi"/>
        </w:rPr>
        <w:t xml:space="preserve"> that, with regard to contributions due from 1 January 2005 onwards, Parties whose contributions are in arrears for two (2) or more years will not be eligible to become a member of the Bureaux of the Convention, its Protocols or the Subsidiary Body on Scientific, Technical and Technological Advice or to nominate a member of a compliance committee, and decides that this will only apply in the case of Parties that are not least developed countries or small island developing States;</w:t>
      </w:r>
    </w:p>
    <w:p w14:paraId="43F16AC9"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Authorizes</w:t>
      </w:r>
      <w:r w:rsidRPr="00BC4AFE">
        <w:rPr>
          <w:rFonts w:asciiTheme="majorBidi" w:hAnsiTheme="majorBidi" w:cstheme="majorBidi"/>
        </w:rPr>
        <w:t xml:space="preserve"> the Executive Secretary to enter into arrangements with any Party whose contributions are in arrears for two or more years to mutually agree on a “schedule of payments” for such a Party to clear all outstanding arrears within six years depending on the financial circumstances of the Party in arrears and pay future contributions by the due date, and report on the implementation of any such arrangement to the Bureau at its next meeting and to the Conference of the Parties;</w:t>
      </w:r>
    </w:p>
    <w:p w14:paraId="1F9A8AD2"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Decides</w:t>
      </w:r>
      <w:r w:rsidRPr="00BC4AFE">
        <w:rPr>
          <w:rFonts w:asciiTheme="majorBidi" w:hAnsiTheme="majorBidi" w:cstheme="majorBidi"/>
        </w:rPr>
        <w:t xml:space="preserve"> that a Party with an agreed arrangement in accordance with paragraph 22 above and that is fully respecting the provisions of that arrangement will not be subject to the provisions of paragraph 21 above;</w:t>
      </w:r>
    </w:p>
    <w:p w14:paraId="06CC600D"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Requests</w:t>
      </w:r>
      <w:r w:rsidRPr="00BC4AFE">
        <w:rPr>
          <w:rFonts w:asciiTheme="majorBidi" w:hAnsiTheme="majorBidi" w:cstheme="majorBidi"/>
        </w:rPr>
        <w:t xml:space="preserve"> the Executive Secretary and invites the President of the Conference of the Parties, through a jointly signed letter, to notify Parties whose contributions are in arrears inviting them to take timely action and to thank those Parties that have responded in a positive manner in paying their outstanding contributions;</w:t>
      </w:r>
    </w:p>
    <w:p w14:paraId="698D8A51"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Notes</w:t>
      </w:r>
      <w:r w:rsidRPr="00BC4AFE">
        <w:rPr>
          <w:rFonts w:asciiTheme="majorBidi" w:hAnsiTheme="majorBidi" w:cstheme="majorBidi"/>
        </w:rPr>
        <w:t xml:space="preserve"> that the trust funds for the Convention and its Protocols (BY, BG and BB) should be extended for a period of two years beginning 1 January 2024 and ending 31 December 2025, and requests the Executive Director of the United Nations Environment Programme to seek the approval of the United Nations Environment Assembly for their extension;</w:t>
      </w:r>
    </w:p>
    <w:p w14:paraId="76003D15"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Acknowledges</w:t>
      </w:r>
      <w:r w:rsidRPr="00BC4AFE">
        <w:rPr>
          <w:rFonts w:asciiTheme="majorBidi" w:hAnsiTheme="majorBidi" w:cstheme="majorBidi"/>
        </w:rPr>
        <w:t xml:space="preserve"> the funding estimates for:</w:t>
      </w:r>
    </w:p>
    <w:p w14:paraId="023451E8" w14:textId="77777777" w:rsidR="00FC752D" w:rsidRPr="00BC4AFE" w:rsidRDefault="00FC752D" w:rsidP="00AA0E75">
      <w:pPr>
        <w:pStyle w:val="NormalWeb"/>
        <w:spacing w:before="120" w:after="120"/>
        <w:ind w:firstLine="720"/>
        <w:rPr>
          <w:rFonts w:asciiTheme="majorBidi" w:hAnsiTheme="majorBidi" w:cstheme="majorBidi"/>
          <w:sz w:val="22"/>
          <w:szCs w:val="22"/>
        </w:rPr>
      </w:pPr>
      <w:r w:rsidRPr="00BC4AFE">
        <w:rPr>
          <w:rFonts w:asciiTheme="majorBidi" w:hAnsiTheme="majorBidi" w:cstheme="majorBidi"/>
          <w:sz w:val="22"/>
          <w:szCs w:val="22"/>
        </w:rPr>
        <w:t xml:space="preserve">(a) </w:t>
      </w:r>
      <w:r w:rsidRPr="00BC4AFE">
        <w:rPr>
          <w:rFonts w:asciiTheme="majorBidi" w:hAnsiTheme="majorBidi" w:cstheme="majorBidi"/>
          <w:sz w:val="22"/>
          <w:szCs w:val="22"/>
        </w:rPr>
        <w:tab/>
        <w:t>The Special Voluntary Trust Fund (BE) for Contributions in Support of Additional Approved Activities under the Convention on Biological Diversity and its Protocols for the period 2023–2024, included in table 3 below;</w:t>
      </w:r>
    </w:p>
    <w:p w14:paraId="2C36EDC0" w14:textId="77777777" w:rsidR="00FC752D" w:rsidRPr="00BC4AFE" w:rsidRDefault="00FC752D" w:rsidP="00AA0E75">
      <w:pPr>
        <w:pStyle w:val="NormalWeb"/>
        <w:spacing w:before="120" w:after="120"/>
        <w:ind w:firstLine="720"/>
        <w:rPr>
          <w:rFonts w:asciiTheme="majorBidi" w:hAnsiTheme="majorBidi" w:cstheme="majorBidi"/>
          <w:sz w:val="22"/>
          <w:szCs w:val="22"/>
        </w:rPr>
      </w:pPr>
      <w:r w:rsidRPr="00BC4AFE">
        <w:rPr>
          <w:rFonts w:asciiTheme="majorBidi" w:hAnsiTheme="majorBidi" w:cstheme="majorBidi"/>
          <w:sz w:val="22"/>
          <w:szCs w:val="22"/>
        </w:rPr>
        <w:t xml:space="preserve">(b) </w:t>
      </w:r>
      <w:r w:rsidRPr="00BC4AFE">
        <w:rPr>
          <w:rFonts w:asciiTheme="majorBidi" w:hAnsiTheme="majorBidi" w:cstheme="majorBidi"/>
          <w:sz w:val="22"/>
          <w:szCs w:val="22"/>
        </w:rPr>
        <w:tab/>
        <w:t>The Special Trust Fund (BZ) for Voluntary Contributions to Facilitate the Participation of Parties in the Process of the Convention on Biological Diversity) for the period 2023–2024, contained in table 4 below;</w:t>
      </w:r>
    </w:p>
    <w:p w14:paraId="524BA8A1" w14:textId="77777777" w:rsidR="00FC752D" w:rsidRPr="00BC4AFE" w:rsidRDefault="00FC752D" w:rsidP="00AA0E75">
      <w:pPr>
        <w:pStyle w:val="NormalWeb"/>
        <w:spacing w:before="120" w:after="120"/>
        <w:ind w:firstLine="720"/>
        <w:rPr>
          <w:rFonts w:asciiTheme="majorBidi" w:hAnsiTheme="majorBidi" w:cstheme="majorBidi"/>
          <w:sz w:val="22"/>
          <w:szCs w:val="22"/>
        </w:rPr>
      </w:pPr>
      <w:r w:rsidRPr="00BC4AFE">
        <w:rPr>
          <w:rFonts w:asciiTheme="majorBidi" w:hAnsiTheme="majorBidi" w:cstheme="majorBidi"/>
          <w:sz w:val="22"/>
          <w:szCs w:val="22"/>
        </w:rPr>
        <w:t xml:space="preserve">(c) </w:t>
      </w:r>
      <w:r w:rsidRPr="00BC4AFE">
        <w:rPr>
          <w:rFonts w:asciiTheme="majorBidi" w:hAnsiTheme="majorBidi" w:cstheme="majorBidi"/>
          <w:sz w:val="22"/>
          <w:szCs w:val="22"/>
        </w:rPr>
        <w:tab/>
        <w:t>The Special Voluntary Trust Fund (VB) for Contributions to Facilitate the Participation of Indigenous Peoples and Local Communities for the period 2023–2024, contained in table 5 below;</w:t>
      </w:r>
    </w:p>
    <w:p w14:paraId="3B911D14"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Recalls</w:t>
      </w:r>
      <w:r w:rsidRPr="00BC4AFE">
        <w:rPr>
          <w:rFonts w:asciiTheme="majorBidi" w:hAnsiTheme="majorBidi" w:cstheme="majorBidi"/>
        </w:rPr>
        <w:t xml:space="preserve"> rule 30 of the rules of procedure of the Convention, and stresses the need to have a wide range of Parties attending meetings of the Parties to the Convention and its Protocols, especially in order to reach the level of two thirds of Parties present needed to provide a quorum for the meeting allowing decisions to be taken;</w:t>
      </w:r>
    </w:p>
    <w:p w14:paraId="49155405"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Reaffirms</w:t>
      </w:r>
      <w:r w:rsidRPr="00BC4AFE">
        <w:rPr>
          <w:rFonts w:asciiTheme="majorBidi" w:hAnsiTheme="majorBidi" w:cstheme="majorBidi"/>
        </w:rPr>
        <w:t xml:space="preserve"> the importance of full and effective participation of the developing country Parties, in particular the least developed countries and small island developing States, as well as Parties with economies in transition, in the meetings of the Parties to the Convention and its Protocols and, in this context, requests the Executive Secretary to take into account the relevant decisions of the Conference of the Parties and the meetings of the Parties to its Protocols on concurrent meetings and on improving the efficiencies of the structures and processes of the Convention and its Protocols;</w:t>
      </w:r>
    </w:p>
    <w:p w14:paraId="52450FCB"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Strongly encourages</w:t>
      </w:r>
      <w:r w:rsidRPr="00BC4AFE">
        <w:rPr>
          <w:rFonts w:asciiTheme="majorBidi" w:hAnsiTheme="majorBidi" w:cstheme="majorBidi"/>
        </w:rPr>
        <w:t xml:space="preserve"> developed country Parties and other Parties in a position to do so, including in the context of South-South cooperation, to provide the necessary financial resources to the BZ Trust Fund in order to enable the full and effective participation of representatives of developing country Parties, in particular the least developed countries and small island developing States, as well as countries with economies in transition, at meetings of the Conference of the Parties, the Conference of the Parties serving as the meetings of the Parties to the Protocols, the Subsidiary Body on Scientific, Technical and Technological Advice, the Ad Hoc Open-ended Working Group on Article 8(j) and Related Provisions, and the Subsidiary Body on Implementation;</w:t>
      </w:r>
    </w:p>
    <w:p w14:paraId="3E7BBFA1"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Recalls</w:t>
      </w:r>
      <w:r w:rsidRPr="00BC4AFE">
        <w:rPr>
          <w:rFonts w:asciiTheme="majorBidi" w:hAnsiTheme="majorBidi" w:cstheme="majorBidi"/>
        </w:rPr>
        <w:t xml:space="preserve"> paragraph 31 of decision IX/34, and requests the Executive Secretary, when allocating the funding from the BZ Trust Fund, to continue to accord first priority to funding for least developed countries and small island developing States;</w:t>
      </w:r>
    </w:p>
    <w:p w14:paraId="2C735802"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Encourages</w:t>
      </w:r>
      <w:r w:rsidRPr="00BC4AFE">
        <w:rPr>
          <w:rFonts w:asciiTheme="majorBidi" w:hAnsiTheme="majorBidi" w:cstheme="majorBidi"/>
        </w:rPr>
        <w:t xml:space="preserve"> developed country Parties and other Parties in a position to do so, to facilitate engagement by the Secretariat with potential alternative donors to the BZ Trust Fund, including private and philanthropic bodies, to assist in funding the participation of eligible developing countries in meetings of the Parties to the Convention and its Protocols;</w:t>
      </w:r>
    </w:p>
    <w:p w14:paraId="60041A5E"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Requests</w:t>
      </w:r>
      <w:r w:rsidRPr="00BC4AFE">
        <w:rPr>
          <w:rFonts w:asciiTheme="majorBidi" w:hAnsiTheme="majorBidi" w:cstheme="majorBidi"/>
        </w:rPr>
        <w:t xml:space="preserve"> the Executive Secretary to remind Parties in January of each fiscal year of the need to contribute to the BZ Trust Fund at least six months prior to the ordinary meetings of the Parties to the Convention and its Protocols, to issue requests in December of each year covering the needs of all relevant meetings in the subsequent year, and to issue early invitations to other donors to make contributions;</w:t>
      </w:r>
    </w:p>
    <w:p w14:paraId="18747998"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Also requests</w:t>
      </w:r>
      <w:r w:rsidRPr="00BC4AFE">
        <w:rPr>
          <w:rFonts w:asciiTheme="majorBidi" w:hAnsiTheme="majorBidi" w:cstheme="majorBidi"/>
        </w:rPr>
        <w:t xml:space="preserve"> the Executive Secretary, in consultation with the Bureaux, to continue to monitor the availability of voluntary contributions to the BZ Trust Fund, with a view to allowing members of those Bureaux to bring any shortfalls in contributions to the attention of member Parties, and potential donors, as appropriate, in their regions;</w:t>
      </w:r>
    </w:p>
    <w:p w14:paraId="47696FD8"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Further requests</w:t>
      </w:r>
      <w:r w:rsidRPr="00BC4AFE">
        <w:rPr>
          <w:rFonts w:asciiTheme="majorBidi" w:hAnsiTheme="majorBidi" w:cstheme="majorBidi"/>
        </w:rPr>
        <w:t xml:space="preserve"> the Executive Secretary, in preparation for the meetings of the Conference of the Parties and its Protocols, to provide a list of work addressed to the Executive Secretary in draft recommendations and decisions and its implications where applicable, and as appropriate, in order to inform Parties and without prejudice to decisions of the Conference of the Parties;</w:t>
      </w:r>
    </w:p>
    <w:p w14:paraId="32F49114"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Requests</w:t>
      </w:r>
      <w:r w:rsidRPr="00BC4AFE">
        <w:rPr>
          <w:rFonts w:asciiTheme="majorBidi" w:hAnsiTheme="majorBidi" w:cstheme="majorBidi"/>
        </w:rPr>
        <w:t xml:space="preserve"> the Executive Secretary, in preparation for the meetings of the Conference of the Parties and its Protocols, the Subsidiary Body on Scientific, Technical and Technological Advice, the Ad Hoc Open-ended Working Group on Article 8(j) and Related Provisions, and the Subsidiary Body on Implementation, to undertake an external in-depth functional review of the structure of the Secretariat, in consultation with the Executive Director of the United Nations Environment Programme, and of the implementation of the programme of work of the Secretariat, taking into account the results-based budgeting framework and the preliminary risk assessment included in document CBD/COP/15/7/Add.1, the recommendations of the audit report of the </w:t>
      </w:r>
      <w:r w:rsidRPr="00BC4AFE">
        <w:rPr>
          <w:color w:val="000000" w:themeColor="text1"/>
          <w:kern w:val="20"/>
        </w:rPr>
        <w:t>Office of Internal Oversight Services</w:t>
      </w:r>
      <w:r w:rsidRPr="00BC4AFE">
        <w:rPr>
          <w:rFonts w:asciiTheme="majorBidi" w:hAnsiTheme="majorBidi" w:cstheme="majorBidi"/>
        </w:rPr>
        <w:t xml:space="preserve"> and the risks identified</w:t>
      </w:r>
      <w:r w:rsidRPr="00BC4AFE">
        <w:rPr>
          <w:color w:val="000000" w:themeColor="text1"/>
          <w:kern w:val="20"/>
        </w:rPr>
        <w:t>,</w:t>
      </w:r>
      <w:r w:rsidRPr="00BC4AFE">
        <w:rPr>
          <w:rFonts w:asciiTheme="majorBidi" w:hAnsiTheme="majorBidi" w:cstheme="majorBidi"/>
        </w:rPr>
        <w:t xml:space="preserve"> with a view to updating its structure and the grading of posts in the light of the Kunming-Montreal Global Biodiversity Framework</w:t>
      </w:r>
      <w:r w:rsidRPr="00610646">
        <w:rPr>
          <w:rStyle w:val="FootnoteReference"/>
        </w:rPr>
        <w:footnoteReference w:id="390"/>
      </w:r>
      <w:r w:rsidRPr="00BC4AFE">
        <w:rPr>
          <w:rFonts w:asciiTheme="majorBidi" w:hAnsiTheme="majorBidi" w:cstheme="majorBidi"/>
        </w:rPr>
        <w:t xml:space="preserve"> and a focus on implementation by Parties, to be submitted for consideration and action by the Conference of the Parties at its sixteenth meeting;</w:t>
      </w:r>
    </w:p>
    <w:p w14:paraId="6B6E7D69"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Also requests</w:t>
      </w:r>
      <w:r w:rsidRPr="00BC4AFE">
        <w:rPr>
          <w:rFonts w:asciiTheme="majorBidi" w:hAnsiTheme="majorBidi" w:cstheme="majorBidi"/>
        </w:rPr>
        <w:t xml:space="preserve"> the Executive Secretary to prepare and submit an updated, detailed and integrated programme of work for the period 2025–2026, which sets out the objectives, tasks to be completed by the Secretariat, and results expected in regard to each budget item, for the Convention and its Protocols, for the consideration of the Conference of the Parties to the Convention and the Parties to its Protocols at their next meetings, and a corresponding programme budget following the format of the proposed programme budget for the United Nations Environment Programme, including the supplementary information statement, for the biennium with two alternatives, taking into account the list requested in paragraph 34 above:</w:t>
      </w:r>
    </w:p>
    <w:p w14:paraId="08CE1A7C" w14:textId="77777777" w:rsidR="00FC752D" w:rsidRPr="00BC4AFE" w:rsidRDefault="00FC752D" w:rsidP="00950BE4">
      <w:pPr>
        <w:pStyle w:val="NormalWeb"/>
        <w:numPr>
          <w:ilvl w:val="1"/>
          <w:numId w:val="83"/>
        </w:numPr>
        <w:spacing w:before="120" w:after="120"/>
        <w:ind w:left="0" w:firstLine="720"/>
        <w:rPr>
          <w:rFonts w:asciiTheme="majorBidi" w:hAnsiTheme="majorBidi" w:cstheme="majorBidi"/>
          <w:sz w:val="22"/>
          <w:szCs w:val="22"/>
        </w:rPr>
      </w:pPr>
      <w:r w:rsidRPr="00BC4AFE">
        <w:rPr>
          <w:rFonts w:asciiTheme="majorBidi" w:hAnsiTheme="majorBidi" w:cstheme="majorBidi"/>
          <w:sz w:val="22"/>
          <w:szCs w:val="22"/>
          <w:lang w:eastAsia="ja-JP"/>
        </w:rPr>
        <w:t>Maintaining the programme budget (BY, BG and BB trust funds) at the total 2023</w:t>
      </w:r>
      <w:r w:rsidRPr="00BC4AFE">
        <w:rPr>
          <w:rFonts w:asciiTheme="majorBidi" w:hAnsiTheme="majorBidi" w:cstheme="majorBidi"/>
          <w:sz w:val="22"/>
          <w:szCs w:val="22"/>
        </w:rPr>
        <w:t>–</w:t>
      </w:r>
      <w:r w:rsidRPr="00BC4AFE">
        <w:rPr>
          <w:rFonts w:asciiTheme="majorBidi" w:hAnsiTheme="majorBidi" w:cstheme="majorBidi"/>
          <w:sz w:val="22"/>
          <w:szCs w:val="22"/>
          <w:lang w:eastAsia="ja-JP"/>
        </w:rPr>
        <w:t>2024 level in real terms minus the amount of the unspent balances used for the biennium 2023</w:t>
      </w:r>
      <w:r w:rsidRPr="00BC4AFE">
        <w:rPr>
          <w:rFonts w:asciiTheme="majorBidi" w:hAnsiTheme="majorBidi" w:cstheme="majorBidi"/>
          <w:sz w:val="22"/>
          <w:szCs w:val="22"/>
        </w:rPr>
        <w:t>–</w:t>
      </w:r>
      <w:r w:rsidRPr="00BC4AFE">
        <w:rPr>
          <w:rFonts w:asciiTheme="majorBidi" w:hAnsiTheme="majorBidi" w:cstheme="majorBidi"/>
          <w:sz w:val="22"/>
          <w:szCs w:val="22"/>
          <w:lang w:eastAsia="ja-JP"/>
        </w:rPr>
        <w:t>2024;</w:t>
      </w:r>
    </w:p>
    <w:p w14:paraId="65DACBE7" w14:textId="77777777" w:rsidR="00FC752D" w:rsidRPr="00BC4AFE" w:rsidRDefault="00FC752D" w:rsidP="00950BE4">
      <w:pPr>
        <w:pStyle w:val="NormalWeb"/>
        <w:numPr>
          <w:ilvl w:val="1"/>
          <w:numId w:val="83"/>
        </w:numPr>
        <w:spacing w:before="120" w:after="120"/>
        <w:ind w:left="0" w:firstLine="720"/>
        <w:rPr>
          <w:rFonts w:asciiTheme="majorBidi" w:hAnsiTheme="majorBidi" w:cstheme="majorBidi"/>
          <w:sz w:val="22"/>
          <w:szCs w:val="22"/>
        </w:rPr>
      </w:pPr>
      <w:r w:rsidRPr="00BC4AFE">
        <w:rPr>
          <w:rFonts w:asciiTheme="majorBidi" w:hAnsiTheme="majorBidi" w:cstheme="majorBidi"/>
          <w:sz w:val="22"/>
          <w:szCs w:val="22"/>
          <w:lang w:eastAsia="ja-JP"/>
        </w:rPr>
        <w:t>Maintaining the programme budget (BY, BG and BB trust funds) at the total 2023</w:t>
      </w:r>
      <w:r w:rsidRPr="00BC4AFE">
        <w:rPr>
          <w:rFonts w:asciiTheme="majorBidi" w:hAnsiTheme="majorBidi" w:cstheme="majorBidi"/>
          <w:sz w:val="22"/>
          <w:szCs w:val="22"/>
        </w:rPr>
        <w:t>–</w:t>
      </w:r>
      <w:r w:rsidRPr="00BC4AFE">
        <w:rPr>
          <w:rFonts w:asciiTheme="majorBidi" w:hAnsiTheme="majorBidi" w:cstheme="majorBidi"/>
          <w:sz w:val="22"/>
          <w:szCs w:val="22"/>
          <w:lang w:eastAsia="ja-JP"/>
        </w:rPr>
        <w:t>2024 level in nominal terms minus the amount of the unspent balances used for the biennium 2023</w:t>
      </w:r>
      <w:r w:rsidRPr="00BC4AFE">
        <w:rPr>
          <w:rFonts w:asciiTheme="majorBidi" w:hAnsiTheme="majorBidi" w:cstheme="majorBidi"/>
          <w:sz w:val="22"/>
          <w:szCs w:val="22"/>
        </w:rPr>
        <w:t>–</w:t>
      </w:r>
      <w:r w:rsidRPr="00BC4AFE">
        <w:rPr>
          <w:rFonts w:asciiTheme="majorBidi" w:hAnsiTheme="majorBidi" w:cstheme="majorBidi"/>
          <w:sz w:val="22"/>
          <w:szCs w:val="22"/>
          <w:lang w:eastAsia="ja-JP"/>
        </w:rPr>
        <w:t>2024;</w:t>
      </w:r>
    </w:p>
    <w:p w14:paraId="15CD5A5A"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i/>
          <w:iCs/>
          <w:shd w:val="clear" w:color="auto" w:fill="FFFFFF"/>
        </w:rPr>
        <w:t>Further requests</w:t>
      </w:r>
      <w:r w:rsidRPr="00BC4AFE">
        <w:rPr>
          <w:shd w:val="clear" w:color="auto" w:fill="FFFFFF"/>
        </w:rPr>
        <w:t xml:space="preserve"> the </w:t>
      </w:r>
      <w:r w:rsidRPr="00BC4AFE">
        <w:rPr>
          <w:rFonts w:asciiTheme="majorBidi" w:hAnsiTheme="majorBidi" w:cstheme="majorBidi"/>
        </w:rPr>
        <w:t>Executive</w:t>
      </w:r>
      <w:r w:rsidRPr="00BC4AFE">
        <w:rPr>
          <w:shd w:val="clear" w:color="auto" w:fill="FFFFFF"/>
        </w:rPr>
        <w:t xml:space="preserve"> Secretary to introduce all possible measures to improve the effectiveness and efficiency of the Secretariat, and to reflect these measures in the two scenarios above; </w:t>
      </w:r>
    </w:p>
    <w:p w14:paraId="020FE4B9" w14:textId="77777777" w:rsidR="00FC752D" w:rsidRPr="00BC4AFE" w:rsidRDefault="00FC752D" w:rsidP="00C10F84">
      <w:pPr>
        <w:pStyle w:val="Para1"/>
        <w:numPr>
          <w:ilvl w:val="0"/>
          <w:numId w:val="86"/>
        </w:numPr>
        <w:overflowPunct/>
        <w:autoSpaceDE/>
        <w:autoSpaceDN/>
        <w:snapToGrid/>
        <w:spacing w:before="120"/>
        <w:ind w:firstLine="720"/>
        <w:rPr>
          <w:rFonts w:asciiTheme="majorBidi" w:hAnsiTheme="majorBidi" w:cstheme="majorBidi"/>
        </w:rPr>
      </w:pPr>
      <w:r w:rsidRPr="00BC4AFE">
        <w:rPr>
          <w:rFonts w:asciiTheme="majorBidi" w:hAnsiTheme="majorBidi" w:cstheme="majorBidi"/>
          <w:i/>
          <w:iCs/>
        </w:rPr>
        <w:t>Requests</w:t>
      </w:r>
      <w:r w:rsidRPr="00BC4AFE">
        <w:rPr>
          <w:rFonts w:asciiTheme="majorBidi" w:hAnsiTheme="majorBidi" w:cstheme="majorBidi"/>
        </w:rPr>
        <w:t xml:space="preserve"> the Executive Secretary to report to the Conference of the Parties to the Convention and the Conference of the Parties serving as the meeting of the Parties to its Protocols at their next meetings on income and budget performance, unspent balances, and the status of surplus and carry-overs as well as any adjustments made to the budget for the biennium 2023–2024;</w:t>
      </w:r>
    </w:p>
    <w:p w14:paraId="6E75ADB4" w14:textId="40187C11" w:rsidR="00FC752D" w:rsidRPr="00150221" w:rsidRDefault="00FC752D" w:rsidP="00C10F84">
      <w:pPr>
        <w:pStyle w:val="Para1"/>
        <w:numPr>
          <w:ilvl w:val="0"/>
          <w:numId w:val="86"/>
        </w:numPr>
        <w:overflowPunct/>
        <w:autoSpaceDE/>
        <w:autoSpaceDN/>
        <w:snapToGrid/>
        <w:spacing w:before="120"/>
        <w:ind w:firstLine="720"/>
        <w:rPr>
          <w:rFonts w:asciiTheme="majorBidi" w:hAnsiTheme="majorBidi" w:cstheme="majorBidi"/>
          <w:color w:val="000000" w:themeColor="text1"/>
        </w:rPr>
      </w:pPr>
      <w:r w:rsidRPr="00BC4AFE">
        <w:rPr>
          <w:rFonts w:asciiTheme="majorBidi" w:hAnsiTheme="majorBidi" w:cstheme="majorBidi"/>
          <w:i/>
          <w:iCs/>
          <w:color w:val="000000" w:themeColor="text1"/>
        </w:rPr>
        <w:t>Notes with concern</w:t>
      </w:r>
      <w:r w:rsidRPr="00BC4AFE">
        <w:rPr>
          <w:rFonts w:asciiTheme="majorBidi" w:hAnsiTheme="majorBidi" w:cstheme="majorBidi"/>
          <w:color w:val="000000" w:themeColor="text1"/>
        </w:rPr>
        <w:t xml:space="preserve"> the late delivery of budgetary documents in advance of the fifteenth meeting of the Conference of the </w:t>
      </w:r>
      <w:r w:rsidRPr="00BC4AFE">
        <w:rPr>
          <w:rFonts w:asciiTheme="majorBidi" w:hAnsiTheme="majorBidi" w:cstheme="majorBidi"/>
        </w:rPr>
        <w:t>Parties</w:t>
      </w:r>
      <w:r w:rsidRPr="00BC4AFE">
        <w:rPr>
          <w:rFonts w:asciiTheme="majorBidi" w:hAnsiTheme="majorBidi" w:cstheme="majorBidi"/>
          <w:color w:val="000000" w:themeColor="text1"/>
        </w:rPr>
        <w:t>, and urges the Executive Secretary to take the measures necessary to ensure that documents for the sixteenth meeting of the Conference of the Parties are circulated in full respect of the rules in force and to keep the Bureau informed on the progress of budget preparation.</w:t>
      </w:r>
    </w:p>
    <w:p w14:paraId="3395C45C" w14:textId="77777777" w:rsidR="00FC752D" w:rsidRPr="00BC4AFE" w:rsidRDefault="00FC752D" w:rsidP="005079B3">
      <w:pPr>
        <w:keepNext/>
        <w:spacing w:before="240" w:after="60"/>
        <w:ind w:left="950" w:hanging="950"/>
        <w:rPr>
          <w:rFonts w:asciiTheme="majorBidi" w:hAnsiTheme="majorBidi" w:cstheme="majorBidi"/>
          <w:b/>
          <w:bCs/>
        </w:rPr>
      </w:pPr>
      <w:r w:rsidRPr="00BC4AFE">
        <w:rPr>
          <w:rFonts w:asciiTheme="majorBidi" w:hAnsiTheme="majorBidi" w:cstheme="majorBidi"/>
          <w:b/>
          <w:bCs/>
        </w:rPr>
        <w:t xml:space="preserve">Table 1a. Biennial budget for the trust fund of the Convention on Biological Diversity for the period 2023-2024 (by object of expenditure) </w:t>
      </w:r>
    </w:p>
    <w:tbl>
      <w:tblPr>
        <w:tblW w:w="8560" w:type="dxa"/>
        <w:tblLook w:val="04A0" w:firstRow="1" w:lastRow="0" w:firstColumn="1" w:lastColumn="0" w:noHBand="0" w:noVBand="1"/>
      </w:tblPr>
      <w:tblGrid>
        <w:gridCol w:w="4360"/>
        <w:gridCol w:w="1400"/>
        <w:gridCol w:w="1400"/>
        <w:gridCol w:w="1400"/>
      </w:tblGrid>
      <w:tr w:rsidR="00FC752D" w:rsidRPr="00BC4AFE" w14:paraId="2BC2BADF" w14:textId="77777777" w:rsidTr="0034642E">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139ABB8A" w14:textId="77777777" w:rsidR="00FC752D" w:rsidRPr="00BC4AFE" w:rsidRDefault="00FC752D" w:rsidP="0034642E">
            <w:pPr>
              <w:jc w:val="center"/>
              <w:rPr>
                <w:i/>
                <w:iCs/>
                <w:color w:val="000000"/>
                <w:sz w:val="17"/>
                <w:szCs w:val="17"/>
              </w:rPr>
            </w:pPr>
            <w:r w:rsidRPr="00BC4AFE">
              <w:rPr>
                <w:i/>
                <w:iCs/>
                <w:color w:val="000000"/>
                <w:sz w:val="17"/>
                <w:szCs w:val="17"/>
              </w:rPr>
              <w:t>Object of expenditure</w:t>
            </w:r>
          </w:p>
        </w:tc>
        <w:tc>
          <w:tcPr>
            <w:tcW w:w="1400" w:type="dxa"/>
            <w:tcBorders>
              <w:top w:val="single" w:sz="8" w:space="0" w:color="auto"/>
              <w:left w:val="nil"/>
              <w:bottom w:val="nil"/>
              <w:right w:val="nil"/>
            </w:tcBorders>
            <w:shd w:val="clear" w:color="auto" w:fill="auto"/>
            <w:vAlign w:val="center"/>
            <w:hideMark/>
          </w:tcPr>
          <w:p w14:paraId="321966DD" w14:textId="77777777" w:rsidR="00FC752D" w:rsidRPr="00BC4AFE" w:rsidRDefault="00FC752D" w:rsidP="0034642E">
            <w:pPr>
              <w:jc w:val="center"/>
              <w:rPr>
                <w:i/>
                <w:iCs/>
                <w:color w:val="000000"/>
                <w:sz w:val="17"/>
                <w:szCs w:val="17"/>
              </w:rPr>
            </w:pPr>
            <w:r w:rsidRPr="00BC4AFE">
              <w:rPr>
                <w:i/>
                <w:iCs/>
                <w:color w:val="000000"/>
                <w:sz w:val="17"/>
                <w:szCs w:val="17"/>
              </w:rPr>
              <w:t xml:space="preserve">2023 </w:t>
            </w:r>
          </w:p>
        </w:tc>
        <w:tc>
          <w:tcPr>
            <w:tcW w:w="1400" w:type="dxa"/>
            <w:tcBorders>
              <w:top w:val="single" w:sz="8" w:space="0" w:color="auto"/>
              <w:left w:val="nil"/>
              <w:bottom w:val="nil"/>
              <w:right w:val="nil"/>
            </w:tcBorders>
            <w:shd w:val="clear" w:color="auto" w:fill="auto"/>
            <w:vAlign w:val="center"/>
            <w:hideMark/>
          </w:tcPr>
          <w:p w14:paraId="138BFBF0" w14:textId="77777777" w:rsidR="00FC752D" w:rsidRPr="00BC4AFE" w:rsidRDefault="00FC752D" w:rsidP="0034642E">
            <w:pPr>
              <w:jc w:val="center"/>
              <w:rPr>
                <w:i/>
                <w:iCs/>
                <w:color w:val="000000"/>
                <w:sz w:val="17"/>
                <w:szCs w:val="17"/>
              </w:rPr>
            </w:pPr>
            <w:r w:rsidRPr="00BC4AFE">
              <w:rPr>
                <w:i/>
                <w:iCs/>
                <w:color w:val="000000"/>
                <w:sz w:val="17"/>
                <w:szCs w:val="17"/>
              </w:rPr>
              <w:t xml:space="preserve">2024 </w:t>
            </w:r>
          </w:p>
        </w:tc>
        <w:tc>
          <w:tcPr>
            <w:tcW w:w="1400" w:type="dxa"/>
            <w:tcBorders>
              <w:top w:val="single" w:sz="8" w:space="0" w:color="auto"/>
              <w:left w:val="nil"/>
              <w:bottom w:val="nil"/>
              <w:right w:val="nil"/>
            </w:tcBorders>
            <w:shd w:val="clear" w:color="auto" w:fill="auto"/>
            <w:vAlign w:val="center"/>
            <w:hideMark/>
          </w:tcPr>
          <w:p w14:paraId="7C4CDCE2" w14:textId="77777777" w:rsidR="00FC752D" w:rsidRPr="00BC4AFE" w:rsidRDefault="00FC752D" w:rsidP="0034642E">
            <w:pPr>
              <w:jc w:val="center"/>
              <w:rPr>
                <w:b/>
                <w:bCs/>
                <w:i/>
                <w:iCs/>
                <w:color w:val="000000"/>
                <w:sz w:val="17"/>
                <w:szCs w:val="17"/>
              </w:rPr>
            </w:pPr>
            <w:r w:rsidRPr="00BC4AFE">
              <w:rPr>
                <w:b/>
                <w:bCs/>
                <w:i/>
                <w:iCs/>
                <w:color w:val="000000"/>
                <w:sz w:val="17"/>
                <w:szCs w:val="17"/>
              </w:rPr>
              <w:t>Total</w:t>
            </w:r>
          </w:p>
        </w:tc>
      </w:tr>
      <w:tr w:rsidR="00FC752D" w:rsidRPr="00BC4AFE" w14:paraId="0C2FFF3F" w14:textId="77777777" w:rsidTr="0034642E">
        <w:trPr>
          <w:trHeight w:val="290"/>
        </w:trPr>
        <w:tc>
          <w:tcPr>
            <w:tcW w:w="4360" w:type="dxa"/>
            <w:vMerge/>
            <w:tcBorders>
              <w:top w:val="single" w:sz="8" w:space="0" w:color="auto"/>
              <w:left w:val="nil"/>
              <w:bottom w:val="single" w:sz="8" w:space="0" w:color="000000"/>
              <w:right w:val="nil"/>
            </w:tcBorders>
            <w:vAlign w:val="center"/>
            <w:hideMark/>
          </w:tcPr>
          <w:p w14:paraId="6887BEB9" w14:textId="77777777" w:rsidR="00FC752D" w:rsidRPr="00BC4AFE" w:rsidRDefault="00FC752D" w:rsidP="0034642E">
            <w:pPr>
              <w:rPr>
                <w:i/>
                <w:iCs/>
                <w:color w:val="000000"/>
                <w:sz w:val="17"/>
                <w:szCs w:val="17"/>
              </w:rPr>
            </w:pPr>
          </w:p>
        </w:tc>
        <w:tc>
          <w:tcPr>
            <w:tcW w:w="4200" w:type="dxa"/>
            <w:gridSpan w:val="3"/>
            <w:tcBorders>
              <w:top w:val="nil"/>
              <w:left w:val="nil"/>
              <w:bottom w:val="single" w:sz="8" w:space="0" w:color="auto"/>
              <w:right w:val="nil"/>
            </w:tcBorders>
            <w:shd w:val="clear" w:color="auto" w:fill="auto"/>
            <w:vAlign w:val="center"/>
            <w:hideMark/>
          </w:tcPr>
          <w:p w14:paraId="3AACA483" w14:textId="77777777" w:rsidR="00FC752D" w:rsidRPr="00BC4AFE" w:rsidRDefault="00FC752D" w:rsidP="0034642E">
            <w:pPr>
              <w:jc w:val="center"/>
              <w:rPr>
                <w:i/>
                <w:iCs/>
                <w:color w:val="000000"/>
                <w:sz w:val="17"/>
                <w:szCs w:val="17"/>
              </w:rPr>
            </w:pPr>
            <w:r w:rsidRPr="00BC4AFE">
              <w:rPr>
                <w:i/>
                <w:iCs/>
                <w:color w:val="000000" w:themeColor="text1"/>
                <w:kern w:val="20"/>
                <w:sz w:val="17"/>
                <w:szCs w:val="17"/>
              </w:rPr>
              <w:t>(Thousands of United States dollars)</w:t>
            </w:r>
          </w:p>
        </w:tc>
      </w:tr>
      <w:tr w:rsidR="00FC752D" w:rsidRPr="00BC4AFE" w14:paraId="45AA9D83" w14:textId="77777777" w:rsidTr="0034642E">
        <w:trPr>
          <w:trHeight w:val="280"/>
        </w:trPr>
        <w:tc>
          <w:tcPr>
            <w:tcW w:w="4360" w:type="dxa"/>
            <w:tcBorders>
              <w:top w:val="nil"/>
              <w:left w:val="nil"/>
              <w:bottom w:val="nil"/>
              <w:right w:val="nil"/>
            </w:tcBorders>
            <w:shd w:val="clear" w:color="auto" w:fill="auto"/>
            <w:vAlign w:val="center"/>
            <w:hideMark/>
          </w:tcPr>
          <w:p w14:paraId="285FDC92" w14:textId="77777777" w:rsidR="00FC752D" w:rsidRPr="00BC4AFE" w:rsidRDefault="00FC752D" w:rsidP="0034642E">
            <w:pPr>
              <w:rPr>
                <w:color w:val="000000"/>
                <w:sz w:val="17"/>
                <w:szCs w:val="17"/>
              </w:rPr>
            </w:pPr>
            <w:r w:rsidRPr="00BC4AFE">
              <w:rPr>
                <w:color w:val="000000" w:themeColor="text1"/>
                <w:kern w:val="20"/>
                <w:sz w:val="17"/>
                <w:szCs w:val="17"/>
              </w:rPr>
              <w:t>A. Staff costs</w:t>
            </w:r>
          </w:p>
        </w:tc>
        <w:tc>
          <w:tcPr>
            <w:tcW w:w="1400" w:type="dxa"/>
            <w:tcBorders>
              <w:top w:val="nil"/>
              <w:left w:val="nil"/>
              <w:bottom w:val="nil"/>
              <w:right w:val="nil"/>
            </w:tcBorders>
            <w:shd w:val="clear" w:color="auto" w:fill="auto"/>
            <w:vAlign w:val="center"/>
            <w:hideMark/>
          </w:tcPr>
          <w:p w14:paraId="009D87DD" w14:textId="77777777" w:rsidR="00FC752D" w:rsidRPr="00BC4AFE" w:rsidRDefault="00FC752D" w:rsidP="0034642E">
            <w:pPr>
              <w:jc w:val="right"/>
              <w:rPr>
                <w:color w:val="000000"/>
                <w:sz w:val="17"/>
                <w:szCs w:val="17"/>
              </w:rPr>
            </w:pPr>
            <w:r w:rsidRPr="00BC4AFE">
              <w:rPr>
                <w:color w:val="000000" w:themeColor="text1"/>
                <w:kern w:val="20"/>
                <w:sz w:val="17"/>
                <w:szCs w:val="17"/>
              </w:rPr>
              <w:t>11,890.2</w:t>
            </w:r>
          </w:p>
        </w:tc>
        <w:tc>
          <w:tcPr>
            <w:tcW w:w="1400" w:type="dxa"/>
            <w:tcBorders>
              <w:top w:val="nil"/>
              <w:left w:val="nil"/>
              <w:bottom w:val="nil"/>
              <w:right w:val="nil"/>
            </w:tcBorders>
            <w:shd w:val="clear" w:color="auto" w:fill="auto"/>
            <w:vAlign w:val="center"/>
            <w:hideMark/>
          </w:tcPr>
          <w:p w14:paraId="3671CCF4" w14:textId="77777777" w:rsidR="00FC752D" w:rsidRPr="00BC4AFE" w:rsidRDefault="00FC752D" w:rsidP="0034642E">
            <w:pPr>
              <w:jc w:val="right"/>
              <w:rPr>
                <w:color w:val="000000"/>
                <w:sz w:val="17"/>
                <w:szCs w:val="17"/>
              </w:rPr>
            </w:pPr>
            <w:r w:rsidRPr="00BC4AFE">
              <w:rPr>
                <w:color w:val="000000" w:themeColor="text1"/>
                <w:kern w:val="20"/>
                <w:sz w:val="17"/>
                <w:szCs w:val="17"/>
              </w:rPr>
              <w:t>12,267.1</w:t>
            </w:r>
          </w:p>
        </w:tc>
        <w:tc>
          <w:tcPr>
            <w:tcW w:w="1400" w:type="dxa"/>
            <w:tcBorders>
              <w:top w:val="nil"/>
              <w:left w:val="nil"/>
              <w:bottom w:val="nil"/>
              <w:right w:val="nil"/>
            </w:tcBorders>
            <w:shd w:val="clear" w:color="auto" w:fill="auto"/>
            <w:vAlign w:val="center"/>
            <w:hideMark/>
          </w:tcPr>
          <w:p w14:paraId="46D071CD"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24,157.3</w:t>
            </w:r>
          </w:p>
        </w:tc>
      </w:tr>
      <w:tr w:rsidR="00FC752D" w:rsidRPr="00BC4AFE" w14:paraId="7819EC4F" w14:textId="77777777" w:rsidTr="0034642E">
        <w:trPr>
          <w:trHeight w:val="280"/>
        </w:trPr>
        <w:tc>
          <w:tcPr>
            <w:tcW w:w="4360" w:type="dxa"/>
            <w:tcBorders>
              <w:top w:val="nil"/>
              <w:left w:val="nil"/>
              <w:bottom w:val="nil"/>
              <w:right w:val="nil"/>
            </w:tcBorders>
            <w:shd w:val="clear" w:color="auto" w:fill="auto"/>
            <w:vAlign w:val="center"/>
            <w:hideMark/>
          </w:tcPr>
          <w:p w14:paraId="3D6994D7" w14:textId="77777777" w:rsidR="00FC752D" w:rsidRPr="00BC4AFE" w:rsidRDefault="00FC752D" w:rsidP="0034642E">
            <w:pPr>
              <w:rPr>
                <w:color w:val="000000"/>
                <w:sz w:val="17"/>
                <w:szCs w:val="17"/>
              </w:rPr>
            </w:pPr>
            <w:r w:rsidRPr="00BC4AFE">
              <w:rPr>
                <w:color w:val="000000" w:themeColor="text1"/>
                <w:kern w:val="20"/>
                <w:sz w:val="17"/>
                <w:szCs w:val="17"/>
              </w:rPr>
              <w:t>B. Temporary assistance/overtime</w:t>
            </w:r>
          </w:p>
        </w:tc>
        <w:tc>
          <w:tcPr>
            <w:tcW w:w="1400" w:type="dxa"/>
            <w:tcBorders>
              <w:top w:val="nil"/>
              <w:left w:val="nil"/>
              <w:bottom w:val="nil"/>
              <w:right w:val="nil"/>
            </w:tcBorders>
            <w:shd w:val="clear" w:color="auto" w:fill="auto"/>
            <w:vAlign w:val="center"/>
            <w:hideMark/>
          </w:tcPr>
          <w:p w14:paraId="167FC550" w14:textId="77777777" w:rsidR="00FC752D" w:rsidRPr="00BC4AFE" w:rsidRDefault="00FC752D" w:rsidP="0034642E">
            <w:pPr>
              <w:jc w:val="right"/>
              <w:rPr>
                <w:color w:val="000000"/>
                <w:sz w:val="17"/>
                <w:szCs w:val="17"/>
              </w:rPr>
            </w:pPr>
            <w:r w:rsidRPr="00BC4AFE">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3EC1534C" w14:textId="77777777" w:rsidR="00FC752D" w:rsidRPr="00BC4AFE" w:rsidRDefault="00FC752D" w:rsidP="0034642E">
            <w:pPr>
              <w:jc w:val="right"/>
              <w:rPr>
                <w:color w:val="000000"/>
                <w:sz w:val="17"/>
                <w:szCs w:val="17"/>
              </w:rPr>
            </w:pPr>
            <w:r w:rsidRPr="00BC4AFE">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19A55E28"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200.0</w:t>
            </w:r>
          </w:p>
        </w:tc>
      </w:tr>
      <w:tr w:rsidR="00FC752D" w:rsidRPr="00BC4AFE" w14:paraId="02D38AC9" w14:textId="77777777" w:rsidTr="0034642E">
        <w:trPr>
          <w:trHeight w:val="280"/>
        </w:trPr>
        <w:tc>
          <w:tcPr>
            <w:tcW w:w="4360" w:type="dxa"/>
            <w:tcBorders>
              <w:top w:val="nil"/>
              <w:left w:val="nil"/>
              <w:bottom w:val="nil"/>
              <w:right w:val="nil"/>
            </w:tcBorders>
            <w:shd w:val="clear" w:color="auto" w:fill="auto"/>
            <w:vAlign w:val="center"/>
            <w:hideMark/>
          </w:tcPr>
          <w:p w14:paraId="158B935B" w14:textId="77777777" w:rsidR="00FC752D" w:rsidRPr="00BC4AFE" w:rsidRDefault="00FC752D" w:rsidP="0034642E">
            <w:pPr>
              <w:rPr>
                <w:color w:val="000000"/>
                <w:sz w:val="17"/>
                <w:szCs w:val="17"/>
              </w:rPr>
            </w:pPr>
            <w:r w:rsidRPr="00BC4AFE">
              <w:rPr>
                <w:color w:val="000000" w:themeColor="text1"/>
                <w:kern w:val="20"/>
                <w:sz w:val="17"/>
                <w:szCs w:val="17"/>
              </w:rPr>
              <w:t>C. Consultants/subcontractors</w:t>
            </w:r>
          </w:p>
        </w:tc>
        <w:tc>
          <w:tcPr>
            <w:tcW w:w="1400" w:type="dxa"/>
            <w:tcBorders>
              <w:top w:val="nil"/>
              <w:left w:val="nil"/>
              <w:bottom w:val="nil"/>
              <w:right w:val="nil"/>
            </w:tcBorders>
            <w:shd w:val="clear" w:color="auto" w:fill="auto"/>
            <w:vAlign w:val="center"/>
            <w:hideMark/>
          </w:tcPr>
          <w:p w14:paraId="26A0B8E4" w14:textId="77777777" w:rsidR="00FC752D" w:rsidRPr="00BC4AFE" w:rsidRDefault="00FC752D" w:rsidP="0034642E">
            <w:pPr>
              <w:jc w:val="right"/>
              <w:rPr>
                <w:color w:val="000000"/>
                <w:sz w:val="17"/>
                <w:szCs w:val="17"/>
              </w:rPr>
            </w:pPr>
            <w:r w:rsidRPr="00BC4AFE">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7EE1CA75" w14:textId="77777777" w:rsidR="00FC752D" w:rsidRPr="00BC4AFE" w:rsidRDefault="00FC752D" w:rsidP="0034642E">
            <w:pPr>
              <w:jc w:val="right"/>
              <w:rPr>
                <w:color w:val="000000"/>
                <w:sz w:val="17"/>
                <w:szCs w:val="17"/>
              </w:rPr>
            </w:pPr>
            <w:r w:rsidRPr="00BC4AFE">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3720DD38"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100.0</w:t>
            </w:r>
          </w:p>
        </w:tc>
      </w:tr>
      <w:tr w:rsidR="00FC752D" w:rsidRPr="00BC4AFE" w14:paraId="673DB63E" w14:textId="77777777" w:rsidTr="0034642E">
        <w:trPr>
          <w:trHeight w:val="280"/>
        </w:trPr>
        <w:tc>
          <w:tcPr>
            <w:tcW w:w="4360" w:type="dxa"/>
            <w:tcBorders>
              <w:top w:val="nil"/>
              <w:left w:val="nil"/>
              <w:bottom w:val="nil"/>
              <w:right w:val="nil"/>
            </w:tcBorders>
            <w:shd w:val="clear" w:color="auto" w:fill="auto"/>
            <w:vAlign w:val="center"/>
            <w:hideMark/>
          </w:tcPr>
          <w:p w14:paraId="087FE18B" w14:textId="77777777" w:rsidR="00FC752D" w:rsidRPr="00BC4AFE" w:rsidRDefault="00FC752D" w:rsidP="0034642E">
            <w:pPr>
              <w:rPr>
                <w:color w:val="000000"/>
                <w:sz w:val="17"/>
                <w:szCs w:val="17"/>
              </w:rPr>
            </w:pPr>
            <w:r w:rsidRPr="00BC4AFE">
              <w:rPr>
                <w:color w:val="000000" w:themeColor="text1"/>
                <w:kern w:val="20"/>
                <w:sz w:val="17"/>
                <w:szCs w:val="17"/>
              </w:rPr>
              <w:t>D. Training</w:t>
            </w:r>
          </w:p>
        </w:tc>
        <w:tc>
          <w:tcPr>
            <w:tcW w:w="1400" w:type="dxa"/>
            <w:tcBorders>
              <w:top w:val="nil"/>
              <w:left w:val="nil"/>
              <w:bottom w:val="nil"/>
              <w:right w:val="nil"/>
            </w:tcBorders>
            <w:shd w:val="clear" w:color="auto" w:fill="auto"/>
            <w:vAlign w:val="center"/>
            <w:hideMark/>
          </w:tcPr>
          <w:p w14:paraId="2CFC3E88" w14:textId="77777777" w:rsidR="00FC752D" w:rsidRPr="00BC4AFE" w:rsidRDefault="00FC752D" w:rsidP="0034642E">
            <w:pPr>
              <w:jc w:val="right"/>
              <w:rPr>
                <w:color w:val="000000"/>
                <w:sz w:val="17"/>
                <w:szCs w:val="17"/>
              </w:rPr>
            </w:pPr>
            <w:r w:rsidRPr="00BC4AFE">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63F7B83E" w14:textId="77777777" w:rsidR="00FC752D" w:rsidRPr="00BC4AFE" w:rsidRDefault="00FC752D" w:rsidP="0034642E">
            <w:pPr>
              <w:jc w:val="right"/>
              <w:rPr>
                <w:color w:val="000000"/>
                <w:sz w:val="17"/>
                <w:szCs w:val="17"/>
              </w:rPr>
            </w:pPr>
            <w:r w:rsidRPr="00BC4AFE">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3164131B"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10.0</w:t>
            </w:r>
          </w:p>
        </w:tc>
      </w:tr>
      <w:tr w:rsidR="00FC752D" w:rsidRPr="00BC4AFE" w14:paraId="03402DAA" w14:textId="77777777" w:rsidTr="0034642E">
        <w:trPr>
          <w:trHeight w:val="280"/>
        </w:trPr>
        <w:tc>
          <w:tcPr>
            <w:tcW w:w="4360" w:type="dxa"/>
            <w:tcBorders>
              <w:top w:val="nil"/>
              <w:left w:val="nil"/>
              <w:bottom w:val="nil"/>
              <w:right w:val="nil"/>
            </w:tcBorders>
            <w:shd w:val="clear" w:color="auto" w:fill="auto"/>
            <w:vAlign w:val="center"/>
            <w:hideMark/>
          </w:tcPr>
          <w:p w14:paraId="458554A5" w14:textId="77777777" w:rsidR="00FC752D" w:rsidRPr="00BC4AFE" w:rsidRDefault="00FC752D" w:rsidP="0034642E">
            <w:pPr>
              <w:rPr>
                <w:color w:val="000000"/>
                <w:sz w:val="17"/>
                <w:szCs w:val="17"/>
              </w:rPr>
            </w:pPr>
            <w:r w:rsidRPr="00BC4AFE">
              <w:rPr>
                <w:color w:val="000000" w:themeColor="text1"/>
                <w:kern w:val="20"/>
                <w:sz w:val="17"/>
                <w:szCs w:val="17"/>
              </w:rPr>
              <w:t>E. Structural review</w:t>
            </w:r>
          </w:p>
        </w:tc>
        <w:tc>
          <w:tcPr>
            <w:tcW w:w="1400" w:type="dxa"/>
            <w:tcBorders>
              <w:top w:val="nil"/>
              <w:left w:val="nil"/>
              <w:bottom w:val="nil"/>
              <w:right w:val="nil"/>
            </w:tcBorders>
            <w:shd w:val="clear" w:color="auto" w:fill="auto"/>
            <w:vAlign w:val="center"/>
            <w:hideMark/>
          </w:tcPr>
          <w:p w14:paraId="270D1BE7" w14:textId="77777777" w:rsidR="00FC752D" w:rsidRPr="00BC4AFE" w:rsidRDefault="00FC752D" w:rsidP="0034642E">
            <w:pPr>
              <w:jc w:val="right"/>
              <w:rPr>
                <w:color w:val="000000"/>
                <w:sz w:val="17"/>
                <w:szCs w:val="17"/>
              </w:rPr>
            </w:pPr>
            <w:r w:rsidRPr="00BC4AFE">
              <w:rPr>
                <w:color w:val="000000" w:themeColor="text1"/>
                <w:kern w:val="20"/>
                <w:sz w:val="17"/>
                <w:szCs w:val="17"/>
              </w:rPr>
              <w:t>250.0</w:t>
            </w:r>
          </w:p>
        </w:tc>
        <w:tc>
          <w:tcPr>
            <w:tcW w:w="1400" w:type="dxa"/>
            <w:tcBorders>
              <w:top w:val="nil"/>
              <w:left w:val="nil"/>
              <w:bottom w:val="nil"/>
              <w:right w:val="nil"/>
            </w:tcBorders>
            <w:shd w:val="clear" w:color="auto" w:fill="auto"/>
            <w:vAlign w:val="center"/>
            <w:hideMark/>
          </w:tcPr>
          <w:p w14:paraId="3CF43E37" w14:textId="77777777" w:rsidR="00FC752D" w:rsidRPr="00BC4AFE" w:rsidRDefault="00FC752D" w:rsidP="0034642E">
            <w:pPr>
              <w:jc w:val="right"/>
              <w:rPr>
                <w:color w:val="000000"/>
                <w:sz w:val="17"/>
                <w:szCs w:val="17"/>
              </w:rPr>
            </w:pPr>
            <w:r w:rsidRPr="00BC4AFE">
              <w:rPr>
                <w:color w:val="000000" w:themeColor="text1"/>
                <w:kern w:val="20"/>
                <w:sz w:val="17"/>
                <w:szCs w:val="17"/>
              </w:rPr>
              <w:t>0.0</w:t>
            </w:r>
          </w:p>
        </w:tc>
        <w:tc>
          <w:tcPr>
            <w:tcW w:w="1400" w:type="dxa"/>
            <w:tcBorders>
              <w:top w:val="nil"/>
              <w:left w:val="nil"/>
              <w:bottom w:val="nil"/>
              <w:right w:val="nil"/>
            </w:tcBorders>
            <w:shd w:val="clear" w:color="auto" w:fill="auto"/>
            <w:vAlign w:val="center"/>
            <w:hideMark/>
          </w:tcPr>
          <w:p w14:paraId="0103A0E5"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250.0</w:t>
            </w:r>
          </w:p>
        </w:tc>
      </w:tr>
      <w:tr w:rsidR="00FC752D" w:rsidRPr="00BC4AFE" w14:paraId="74C927B8" w14:textId="77777777" w:rsidTr="0034642E">
        <w:trPr>
          <w:trHeight w:val="280"/>
        </w:trPr>
        <w:tc>
          <w:tcPr>
            <w:tcW w:w="4360" w:type="dxa"/>
            <w:tcBorders>
              <w:top w:val="nil"/>
              <w:left w:val="nil"/>
              <w:bottom w:val="nil"/>
              <w:right w:val="nil"/>
            </w:tcBorders>
            <w:shd w:val="clear" w:color="auto" w:fill="auto"/>
            <w:vAlign w:val="center"/>
            <w:hideMark/>
          </w:tcPr>
          <w:p w14:paraId="50247646" w14:textId="77777777" w:rsidR="00FC752D" w:rsidRPr="00BC4AFE" w:rsidRDefault="00FC752D" w:rsidP="0034642E">
            <w:pPr>
              <w:rPr>
                <w:color w:val="000000"/>
                <w:sz w:val="17"/>
                <w:szCs w:val="17"/>
              </w:rPr>
            </w:pPr>
            <w:r w:rsidRPr="00BC4AFE">
              <w:rPr>
                <w:color w:val="000000" w:themeColor="text1"/>
                <w:kern w:val="20"/>
                <w:sz w:val="17"/>
                <w:szCs w:val="17"/>
              </w:rPr>
              <w:t>F. Bureau meetings</w:t>
            </w:r>
          </w:p>
        </w:tc>
        <w:tc>
          <w:tcPr>
            <w:tcW w:w="1400" w:type="dxa"/>
            <w:tcBorders>
              <w:top w:val="nil"/>
              <w:left w:val="nil"/>
              <w:bottom w:val="nil"/>
              <w:right w:val="nil"/>
            </w:tcBorders>
            <w:shd w:val="clear" w:color="auto" w:fill="auto"/>
            <w:vAlign w:val="center"/>
            <w:hideMark/>
          </w:tcPr>
          <w:p w14:paraId="21DA4484" w14:textId="77777777" w:rsidR="00FC752D" w:rsidRPr="00BC4AFE" w:rsidRDefault="00FC752D" w:rsidP="0034642E">
            <w:pPr>
              <w:jc w:val="right"/>
              <w:rPr>
                <w:color w:val="000000"/>
                <w:sz w:val="17"/>
                <w:szCs w:val="17"/>
              </w:rPr>
            </w:pPr>
            <w:r w:rsidRPr="00BC4AFE">
              <w:rPr>
                <w:color w:val="000000" w:themeColor="text1"/>
                <w:kern w:val="20"/>
                <w:sz w:val="17"/>
                <w:szCs w:val="17"/>
              </w:rPr>
              <w:t>108.0</w:t>
            </w:r>
          </w:p>
        </w:tc>
        <w:tc>
          <w:tcPr>
            <w:tcW w:w="1400" w:type="dxa"/>
            <w:tcBorders>
              <w:top w:val="nil"/>
              <w:left w:val="nil"/>
              <w:bottom w:val="nil"/>
              <w:right w:val="nil"/>
            </w:tcBorders>
            <w:shd w:val="clear" w:color="auto" w:fill="auto"/>
            <w:vAlign w:val="center"/>
            <w:hideMark/>
          </w:tcPr>
          <w:p w14:paraId="4D834874" w14:textId="77777777" w:rsidR="00FC752D" w:rsidRPr="00BC4AFE" w:rsidRDefault="00FC752D" w:rsidP="0034642E">
            <w:pPr>
              <w:jc w:val="right"/>
              <w:rPr>
                <w:color w:val="000000"/>
                <w:sz w:val="17"/>
                <w:szCs w:val="17"/>
              </w:rPr>
            </w:pPr>
            <w:r w:rsidRPr="00BC4AFE">
              <w:rPr>
                <w:color w:val="000000" w:themeColor="text1"/>
                <w:kern w:val="20"/>
                <w:sz w:val="17"/>
                <w:szCs w:val="17"/>
              </w:rPr>
              <w:t>170.9</w:t>
            </w:r>
          </w:p>
        </w:tc>
        <w:tc>
          <w:tcPr>
            <w:tcW w:w="1400" w:type="dxa"/>
            <w:tcBorders>
              <w:top w:val="nil"/>
              <w:left w:val="nil"/>
              <w:bottom w:val="nil"/>
              <w:right w:val="nil"/>
            </w:tcBorders>
            <w:shd w:val="clear" w:color="auto" w:fill="auto"/>
            <w:vAlign w:val="center"/>
            <w:hideMark/>
          </w:tcPr>
          <w:p w14:paraId="407F7570"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278.9</w:t>
            </w:r>
          </w:p>
        </w:tc>
      </w:tr>
      <w:tr w:rsidR="00FC752D" w:rsidRPr="00BC4AFE" w14:paraId="7B624026" w14:textId="77777777" w:rsidTr="0034642E">
        <w:trPr>
          <w:trHeight w:val="280"/>
        </w:trPr>
        <w:tc>
          <w:tcPr>
            <w:tcW w:w="4360" w:type="dxa"/>
            <w:tcBorders>
              <w:top w:val="nil"/>
              <w:left w:val="nil"/>
              <w:bottom w:val="nil"/>
              <w:right w:val="nil"/>
            </w:tcBorders>
            <w:shd w:val="clear" w:color="auto" w:fill="auto"/>
            <w:vAlign w:val="center"/>
            <w:hideMark/>
          </w:tcPr>
          <w:p w14:paraId="6405BC78" w14:textId="77777777" w:rsidR="00FC752D" w:rsidRPr="00BC4AFE" w:rsidRDefault="00FC752D" w:rsidP="0034642E">
            <w:pPr>
              <w:rPr>
                <w:color w:val="000000"/>
                <w:sz w:val="17"/>
                <w:szCs w:val="17"/>
              </w:rPr>
            </w:pPr>
            <w:r w:rsidRPr="00BC4AFE">
              <w:rPr>
                <w:color w:val="000000" w:themeColor="text1"/>
                <w:kern w:val="20"/>
                <w:sz w:val="17"/>
                <w:szCs w:val="17"/>
              </w:rPr>
              <w:t>G. Expert meetings</w:t>
            </w:r>
          </w:p>
        </w:tc>
        <w:tc>
          <w:tcPr>
            <w:tcW w:w="1400" w:type="dxa"/>
            <w:tcBorders>
              <w:top w:val="nil"/>
              <w:left w:val="nil"/>
              <w:bottom w:val="nil"/>
              <w:right w:val="nil"/>
            </w:tcBorders>
            <w:shd w:val="clear" w:color="auto" w:fill="auto"/>
            <w:vAlign w:val="center"/>
            <w:hideMark/>
          </w:tcPr>
          <w:p w14:paraId="4B1C46E6" w14:textId="77777777" w:rsidR="00FC752D" w:rsidRPr="00BC4AFE" w:rsidRDefault="00FC752D" w:rsidP="0034642E">
            <w:pPr>
              <w:jc w:val="right"/>
              <w:rPr>
                <w:color w:val="000000"/>
                <w:sz w:val="17"/>
                <w:szCs w:val="17"/>
              </w:rPr>
            </w:pPr>
            <w:r w:rsidRPr="00BC4AFE">
              <w:rPr>
                <w:color w:val="000000" w:themeColor="text1"/>
                <w:kern w:val="20"/>
                <w:sz w:val="17"/>
                <w:szCs w:val="17"/>
              </w:rPr>
              <w:t>130.0</w:t>
            </w:r>
          </w:p>
        </w:tc>
        <w:tc>
          <w:tcPr>
            <w:tcW w:w="1400" w:type="dxa"/>
            <w:tcBorders>
              <w:top w:val="nil"/>
              <w:left w:val="nil"/>
              <w:bottom w:val="nil"/>
              <w:right w:val="nil"/>
            </w:tcBorders>
            <w:shd w:val="clear" w:color="auto" w:fill="auto"/>
            <w:vAlign w:val="center"/>
            <w:hideMark/>
          </w:tcPr>
          <w:p w14:paraId="16D8B056" w14:textId="77777777" w:rsidR="00FC752D" w:rsidRPr="00BC4AFE" w:rsidRDefault="00FC752D" w:rsidP="0034642E">
            <w:pPr>
              <w:jc w:val="right"/>
              <w:rPr>
                <w:color w:val="000000"/>
                <w:sz w:val="17"/>
                <w:szCs w:val="17"/>
              </w:rPr>
            </w:pPr>
            <w:r w:rsidRPr="00BC4AFE">
              <w:rPr>
                <w:color w:val="000000" w:themeColor="text1"/>
                <w:kern w:val="20"/>
                <w:sz w:val="17"/>
                <w:szCs w:val="17"/>
              </w:rPr>
              <w:t>350.0</w:t>
            </w:r>
          </w:p>
        </w:tc>
        <w:tc>
          <w:tcPr>
            <w:tcW w:w="1400" w:type="dxa"/>
            <w:tcBorders>
              <w:top w:val="nil"/>
              <w:left w:val="nil"/>
              <w:bottom w:val="nil"/>
              <w:right w:val="nil"/>
            </w:tcBorders>
            <w:shd w:val="clear" w:color="auto" w:fill="auto"/>
            <w:vAlign w:val="center"/>
            <w:hideMark/>
          </w:tcPr>
          <w:p w14:paraId="11F1915C"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480.0</w:t>
            </w:r>
          </w:p>
        </w:tc>
      </w:tr>
      <w:tr w:rsidR="00FC752D" w:rsidRPr="00BC4AFE" w14:paraId="13B80EA6" w14:textId="77777777" w:rsidTr="0034642E">
        <w:trPr>
          <w:trHeight w:val="280"/>
        </w:trPr>
        <w:tc>
          <w:tcPr>
            <w:tcW w:w="4360" w:type="dxa"/>
            <w:tcBorders>
              <w:top w:val="nil"/>
              <w:left w:val="nil"/>
              <w:bottom w:val="nil"/>
              <w:right w:val="nil"/>
            </w:tcBorders>
            <w:shd w:val="clear" w:color="auto" w:fill="auto"/>
            <w:vAlign w:val="center"/>
            <w:hideMark/>
          </w:tcPr>
          <w:p w14:paraId="0343E7D2" w14:textId="77777777" w:rsidR="00FC752D" w:rsidRPr="00BC4AFE" w:rsidRDefault="00FC752D" w:rsidP="0034642E">
            <w:pPr>
              <w:rPr>
                <w:color w:val="000000"/>
                <w:sz w:val="17"/>
                <w:szCs w:val="17"/>
              </w:rPr>
            </w:pPr>
            <w:r w:rsidRPr="00BC4AFE">
              <w:rPr>
                <w:color w:val="000000" w:themeColor="text1"/>
                <w:kern w:val="20"/>
                <w:sz w:val="17"/>
                <w:szCs w:val="17"/>
              </w:rPr>
              <w:t>H. Meetings of intergovernmental bodies*</w:t>
            </w:r>
          </w:p>
        </w:tc>
        <w:tc>
          <w:tcPr>
            <w:tcW w:w="1400" w:type="dxa"/>
            <w:tcBorders>
              <w:top w:val="nil"/>
              <w:left w:val="nil"/>
              <w:bottom w:val="nil"/>
              <w:right w:val="nil"/>
            </w:tcBorders>
            <w:shd w:val="clear" w:color="auto" w:fill="auto"/>
            <w:vAlign w:val="center"/>
            <w:hideMark/>
          </w:tcPr>
          <w:p w14:paraId="5F211A0F" w14:textId="77777777" w:rsidR="00FC752D" w:rsidRPr="00BC4AFE" w:rsidRDefault="00FC752D" w:rsidP="0034642E">
            <w:pPr>
              <w:jc w:val="right"/>
              <w:rPr>
                <w:color w:val="000000"/>
                <w:sz w:val="17"/>
                <w:szCs w:val="17"/>
              </w:rPr>
            </w:pPr>
            <w:r w:rsidRPr="00BC4AFE">
              <w:rPr>
                <w:color w:val="000000" w:themeColor="text1"/>
                <w:kern w:val="20"/>
                <w:sz w:val="17"/>
                <w:szCs w:val="17"/>
              </w:rPr>
              <w:t>2,241.6</w:t>
            </w:r>
          </w:p>
        </w:tc>
        <w:tc>
          <w:tcPr>
            <w:tcW w:w="1400" w:type="dxa"/>
            <w:tcBorders>
              <w:top w:val="nil"/>
              <w:left w:val="nil"/>
              <w:bottom w:val="nil"/>
              <w:right w:val="nil"/>
            </w:tcBorders>
            <w:shd w:val="clear" w:color="auto" w:fill="auto"/>
            <w:vAlign w:val="center"/>
            <w:hideMark/>
          </w:tcPr>
          <w:p w14:paraId="13F1A931" w14:textId="77777777" w:rsidR="00FC752D" w:rsidRPr="00BC4AFE" w:rsidRDefault="00FC752D" w:rsidP="0034642E">
            <w:pPr>
              <w:jc w:val="right"/>
              <w:rPr>
                <w:color w:val="000000"/>
                <w:sz w:val="17"/>
                <w:szCs w:val="17"/>
              </w:rPr>
            </w:pPr>
            <w:r w:rsidRPr="00BC4AFE">
              <w:rPr>
                <w:color w:val="000000" w:themeColor="text1"/>
                <w:kern w:val="20"/>
                <w:sz w:val="17"/>
                <w:szCs w:val="17"/>
              </w:rPr>
              <w:t>3,343.0</w:t>
            </w:r>
          </w:p>
        </w:tc>
        <w:tc>
          <w:tcPr>
            <w:tcW w:w="1400" w:type="dxa"/>
            <w:tcBorders>
              <w:top w:val="nil"/>
              <w:left w:val="nil"/>
              <w:bottom w:val="nil"/>
              <w:right w:val="nil"/>
            </w:tcBorders>
            <w:shd w:val="clear" w:color="auto" w:fill="auto"/>
            <w:vAlign w:val="center"/>
            <w:hideMark/>
          </w:tcPr>
          <w:p w14:paraId="38F46AF5"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5,584.6</w:t>
            </w:r>
          </w:p>
        </w:tc>
      </w:tr>
      <w:tr w:rsidR="00FC752D" w:rsidRPr="00BC4AFE" w14:paraId="1D0D644A" w14:textId="77777777" w:rsidTr="0034642E">
        <w:trPr>
          <w:trHeight w:val="280"/>
        </w:trPr>
        <w:tc>
          <w:tcPr>
            <w:tcW w:w="4360" w:type="dxa"/>
            <w:tcBorders>
              <w:top w:val="nil"/>
              <w:left w:val="nil"/>
              <w:bottom w:val="nil"/>
              <w:right w:val="nil"/>
            </w:tcBorders>
            <w:shd w:val="clear" w:color="auto" w:fill="auto"/>
            <w:vAlign w:val="center"/>
            <w:hideMark/>
          </w:tcPr>
          <w:p w14:paraId="1716C163" w14:textId="77777777" w:rsidR="00FC752D" w:rsidRPr="00BC4AFE" w:rsidRDefault="00FC752D" w:rsidP="0034642E">
            <w:pPr>
              <w:rPr>
                <w:color w:val="000000"/>
                <w:sz w:val="17"/>
                <w:szCs w:val="17"/>
              </w:rPr>
            </w:pPr>
            <w:r w:rsidRPr="00BC4AFE">
              <w:rPr>
                <w:color w:val="000000" w:themeColor="text1"/>
                <w:kern w:val="20"/>
                <w:sz w:val="17"/>
                <w:szCs w:val="17"/>
              </w:rPr>
              <w:t>I. Public awareness material/communications</w:t>
            </w:r>
          </w:p>
        </w:tc>
        <w:tc>
          <w:tcPr>
            <w:tcW w:w="1400" w:type="dxa"/>
            <w:tcBorders>
              <w:top w:val="nil"/>
              <w:left w:val="nil"/>
              <w:bottom w:val="nil"/>
              <w:right w:val="nil"/>
            </w:tcBorders>
            <w:shd w:val="clear" w:color="auto" w:fill="auto"/>
            <w:vAlign w:val="center"/>
            <w:hideMark/>
          </w:tcPr>
          <w:p w14:paraId="5F05A697" w14:textId="77777777" w:rsidR="00FC752D" w:rsidRPr="00BC4AFE" w:rsidRDefault="00FC752D" w:rsidP="0034642E">
            <w:pPr>
              <w:jc w:val="right"/>
              <w:rPr>
                <w:color w:val="000000"/>
                <w:sz w:val="17"/>
                <w:szCs w:val="17"/>
              </w:rPr>
            </w:pPr>
            <w:r w:rsidRPr="00BC4AFE">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76D4CE76" w14:textId="77777777" w:rsidR="00FC752D" w:rsidRPr="00BC4AFE" w:rsidRDefault="00FC752D" w:rsidP="0034642E">
            <w:pPr>
              <w:jc w:val="right"/>
              <w:rPr>
                <w:color w:val="000000"/>
                <w:sz w:val="17"/>
                <w:szCs w:val="17"/>
              </w:rPr>
            </w:pPr>
            <w:r w:rsidRPr="00BC4AFE">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5D017C60"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100.0</w:t>
            </w:r>
          </w:p>
        </w:tc>
      </w:tr>
      <w:tr w:rsidR="00FC752D" w:rsidRPr="00BC4AFE" w14:paraId="7A70D7FD" w14:textId="77777777" w:rsidTr="0034642E">
        <w:trPr>
          <w:trHeight w:val="280"/>
        </w:trPr>
        <w:tc>
          <w:tcPr>
            <w:tcW w:w="4360" w:type="dxa"/>
            <w:tcBorders>
              <w:top w:val="nil"/>
              <w:left w:val="nil"/>
              <w:bottom w:val="nil"/>
              <w:right w:val="nil"/>
            </w:tcBorders>
            <w:shd w:val="clear" w:color="auto" w:fill="auto"/>
            <w:vAlign w:val="center"/>
            <w:hideMark/>
          </w:tcPr>
          <w:p w14:paraId="25CD3690" w14:textId="77777777" w:rsidR="00FC752D" w:rsidRPr="00BC4AFE" w:rsidRDefault="00FC752D" w:rsidP="0034642E">
            <w:pPr>
              <w:rPr>
                <w:color w:val="000000"/>
                <w:sz w:val="17"/>
                <w:szCs w:val="17"/>
              </w:rPr>
            </w:pPr>
            <w:r w:rsidRPr="00BC4AFE">
              <w:rPr>
                <w:color w:val="000000" w:themeColor="text1"/>
                <w:kern w:val="20"/>
                <w:sz w:val="17"/>
                <w:szCs w:val="17"/>
              </w:rPr>
              <w:t>J. Translation of CHM website/website projects</w:t>
            </w:r>
          </w:p>
        </w:tc>
        <w:tc>
          <w:tcPr>
            <w:tcW w:w="1400" w:type="dxa"/>
            <w:tcBorders>
              <w:top w:val="nil"/>
              <w:left w:val="nil"/>
              <w:bottom w:val="nil"/>
              <w:right w:val="nil"/>
            </w:tcBorders>
            <w:shd w:val="clear" w:color="auto" w:fill="auto"/>
            <w:vAlign w:val="center"/>
            <w:hideMark/>
          </w:tcPr>
          <w:p w14:paraId="4CB2F752" w14:textId="77777777" w:rsidR="00FC752D" w:rsidRPr="00BC4AFE" w:rsidRDefault="00FC752D" w:rsidP="0034642E">
            <w:pPr>
              <w:jc w:val="right"/>
              <w:rPr>
                <w:color w:val="000000"/>
                <w:sz w:val="17"/>
                <w:szCs w:val="17"/>
              </w:rPr>
            </w:pPr>
            <w:r w:rsidRPr="00BC4AFE">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08C6E9CC" w14:textId="77777777" w:rsidR="00FC752D" w:rsidRPr="00BC4AFE" w:rsidRDefault="00FC752D" w:rsidP="0034642E">
            <w:pPr>
              <w:jc w:val="right"/>
              <w:rPr>
                <w:color w:val="000000"/>
                <w:sz w:val="17"/>
                <w:szCs w:val="17"/>
              </w:rPr>
            </w:pPr>
            <w:r w:rsidRPr="00BC4AFE">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5203E4E4"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130.0</w:t>
            </w:r>
          </w:p>
        </w:tc>
      </w:tr>
      <w:tr w:rsidR="00FC752D" w:rsidRPr="00BC4AFE" w14:paraId="3DE0155C" w14:textId="77777777" w:rsidTr="0034642E">
        <w:trPr>
          <w:trHeight w:val="280"/>
        </w:trPr>
        <w:tc>
          <w:tcPr>
            <w:tcW w:w="4360" w:type="dxa"/>
            <w:tcBorders>
              <w:top w:val="nil"/>
              <w:left w:val="nil"/>
              <w:bottom w:val="nil"/>
              <w:right w:val="nil"/>
            </w:tcBorders>
            <w:shd w:val="clear" w:color="auto" w:fill="auto"/>
            <w:vAlign w:val="center"/>
            <w:hideMark/>
          </w:tcPr>
          <w:p w14:paraId="561B0AF5" w14:textId="77777777" w:rsidR="00FC752D" w:rsidRPr="00BC4AFE" w:rsidRDefault="00FC752D" w:rsidP="0034642E">
            <w:pPr>
              <w:rPr>
                <w:color w:val="000000"/>
                <w:sz w:val="17"/>
                <w:szCs w:val="17"/>
              </w:rPr>
            </w:pPr>
            <w:r w:rsidRPr="00BC4AFE">
              <w:rPr>
                <w:color w:val="000000" w:themeColor="text1"/>
                <w:kern w:val="20"/>
                <w:sz w:val="17"/>
                <w:szCs w:val="17"/>
              </w:rPr>
              <w:t>K. Travel on official business</w:t>
            </w:r>
          </w:p>
        </w:tc>
        <w:tc>
          <w:tcPr>
            <w:tcW w:w="1400" w:type="dxa"/>
            <w:tcBorders>
              <w:top w:val="nil"/>
              <w:left w:val="nil"/>
              <w:bottom w:val="nil"/>
              <w:right w:val="nil"/>
            </w:tcBorders>
            <w:shd w:val="clear" w:color="auto" w:fill="auto"/>
            <w:vAlign w:val="center"/>
            <w:hideMark/>
          </w:tcPr>
          <w:p w14:paraId="66803131" w14:textId="77777777" w:rsidR="00FC752D" w:rsidRPr="00BC4AFE" w:rsidRDefault="00FC752D" w:rsidP="0034642E">
            <w:pPr>
              <w:jc w:val="right"/>
              <w:rPr>
                <w:color w:val="000000"/>
                <w:sz w:val="17"/>
                <w:szCs w:val="17"/>
              </w:rPr>
            </w:pPr>
            <w:r w:rsidRPr="00BC4AFE">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5EEC1CFC" w14:textId="77777777" w:rsidR="00FC752D" w:rsidRPr="00BC4AFE" w:rsidRDefault="00FC752D" w:rsidP="0034642E">
            <w:pPr>
              <w:jc w:val="right"/>
              <w:rPr>
                <w:color w:val="000000"/>
                <w:sz w:val="17"/>
                <w:szCs w:val="17"/>
              </w:rPr>
            </w:pPr>
            <w:r w:rsidRPr="00BC4AFE">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2320D6E0"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640.0</w:t>
            </w:r>
          </w:p>
        </w:tc>
      </w:tr>
      <w:tr w:rsidR="00FC752D" w:rsidRPr="00BC4AFE" w14:paraId="4CAD3EB7" w14:textId="77777777" w:rsidTr="0034642E">
        <w:trPr>
          <w:trHeight w:val="280"/>
        </w:trPr>
        <w:tc>
          <w:tcPr>
            <w:tcW w:w="4360" w:type="dxa"/>
            <w:tcBorders>
              <w:top w:val="nil"/>
              <w:left w:val="nil"/>
              <w:bottom w:val="nil"/>
              <w:right w:val="nil"/>
            </w:tcBorders>
            <w:shd w:val="clear" w:color="auto" w:fill="auto"/>
            <w:vAlign w:val="center"/>
            <w:hideMark/>
          </w:tcPr>
          <w:p w14:paraId="58A036EC" w14:textId="77777777" w:rsidR="00FC752D" w:rsidRPr="00BC4AFE" w:rsidRDefault="00FC752D" w:rsidP="0034642E">
            <w:pPr>
              <w:rPr>
                <w:color w:val="000000"/>
                <w:sz w:val="17"/>
                <w:szCs w:val="17"/>
              </w:rPr>
            </w:pPr>
            <w:r w:rsidRPr="00BC4AFE">
              <w:rPr>
                <w:color w:val="000000" w:themeColor="text1"/>
                <w:kern w:val="20"/>
                <w:sz w:val="17"/>
                <w:szCs w:val="17"/>
              </w:rPr>
              <w:t>L. Rent and associated costs</w:t>
            </w:r>
          </w:p>
        </w:tc>
        <w:tc>
          <w:tcPr>
            <w:tcW w:w="1400" w:type="dxa"/>
            <w:tcBorders>
              <w:top w:val="nil"/>
              <w:left w:val="nil"/>
              <w:bottom w:val="nil"/>
              <w:right w:val="nil"/>
            </w:tcBorders>
            <w:shd w:val="clear" w:color="auto" w:fill="auto"/>
            <w:vAlign w:val="center"/>
            <w:hideMark/>
          </w:tcPr>
          <w:p w14:paraId="1567E709" w14:textId="77777777" w:rsidR="00FC752D" w:rsidRPr="00BC4AFE" w:rsidRDefault="00FC752D" w:rsidP="0034642E">
            <w:pPr>
              <w:jc w:val="right"/>
              <w:rPr>
                <w:color w:val="000000"/>
                <w:sz w:val="17"/>
                <w:szCs w:val="17"/>
              </w:rPr>
            </w:pPr>
            <w:r w:rsidRPr="00BC4AFE">
              <w:rPr>
                <w:color w:val="000000" w:themeColor="text1"/>
                <w:kern w:val="20"/>
                <w:sz w:val="17"/>
                <w:szCs w:val="17"/>
              </w:rPr>
              <w:t>1,445.7</w:t>
            </w:r>
          </w:p>
        </w:tc>
        <w:tc>
          <w:tcPr>
            <w:tcW w:w="1400" w:type="dxa"/>
            <w:tcBorders>
              <w:top w:val="nil"/>
              <w:left w:val="nil"/>
              <w:bottom w:val="nil"/>
              <w:right w:val="nil"/>
            </w:tcBorders>
            <w:shd w:val="clear" w:color="auto" w:fill="auto"/>
            <w:vAlign w:val="center"/>
            <w:hideMark/>
          </w:tcPr>
          <w:p w14:paraId="4E16FBF1" w14:textId="77777777" w:rsidR="00FC752D" w:rsidRPr="00BC4AFE" w:rsidRDefault="00FC752D" w:rsidP="0034642E">
            <w:pPr>
              <w:jc w:val="right"/>
              <w:rPr>
                <w:color w:val="000000"/>
                <w:sz w:val="17"/>
                <w:szCs w:val="17"/>
              </w:rPr>
            </w:pPr>
            <w:r w:rsidRPr="00BC4AFE">
              <w:rPr>
                <w:color w:val="000000" w:themeColor="text1"/>
                <w:kern w:val="20"/>
                <w:sz w:val="17"/>
                <w:szCs w:val="17"/>
              </w:rPr>
              <w:t>1,473.0</w:t>
            </w:r>
          </w:p>
        </w:tc>
        <w:tc>
          <w:tcPr>
            <w:tcW w:w="1400" w:type="dxa"/>
            <w:tcBorders>
              <w:top w:val="nil"/>
              <w:left w:val="nil"/>
              <w:bottom w:val="nil"/>
              <w:right w:val="nil"/>
            </w:tcBorders>
            <w:shd w:val="clear" w:color="auto" w:fill="auto"/>
            <w:vAlign w:val="center"/>
            <w:hideMark/>
          </w:tcPr>
          <w:p w14:paraId="62CC24D1"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2,918.7</w:t>
            </w:r>
          </w:p>
        </w:tc>
      </w:tr>
      <w:tr w:rsidR="00FC752D" w:rsidRPr="00BC4AFE" w14:paraId="3A3444C5" w14:textId="77777777" w:rsidTr="0034642E">
        <w:trPr>
          <w:trHeight w:val="280"/>
        </w:trPr>
        <w:tc>
          <w:tcPr>
            <w:tcW w:w="4360" w:type="dxa"/>
            <w:tcBorders>
              <w:top w:val="nil"/>
              <w:left w:val="nil"/>
              <w:bottom w:val="nil"/>
              <w:right w:val="nil"/>
            </w:tcBorders>
            <w:shd w:val="clear" w:color="auto" w:fill="auto"/>
            <w:vAlign w:val="center"/>
            <w:hideMark/>
          </w:tcPr>
          <w:p w14:paraId="2D4BD5B0" w14:textId="77777777" w:rsidR="00FC752D" w:rsidRPr="00BC4AFE" w:rsidRDefault="00FC752D" w:rsidP="0034642E">
            <w:pPr>
              <w:rPr>
                <w:color w:val="000000"/>
                <w:sz w:val="17"/>
                <w:szCs w:val="17"/>
              </w:rPr>
            </w:pPr>
            <w:r w:rsidRPr="00BC4AFE">
              <w:rPr>
                <w:color w:val="000000"/>
                <w:sz w:val="17"/>
                <w:szCs w:val="17"/>
              </w:rPr>
              <w:t>M. Information technology</w:t>
            </w:r>
          </w:p>
        </w:tc>
        <w:tc>
          <w:tcPr>
            <w:tcW w:w="1400" w:type="dxa"/>
            <w:tcBorders>
              <w:top w:val="nil"/>
              <w:left w:val="nil"/>
              <w:bottom w:val="nil"/>
              <w:right w:val="nil"/>
            </w:tcBorders>
            <w:shd w:val="clear" w:color="auto" w:fill="auto"/>
            <w:vAlign w:val="center"/>
            <w:hideMark/>
          </w:tcPr>
          <w:p w14:paraId="5151874B" w14:textId="77777777" w:rsidR="00FC752D" w:rsidRPr="00BC4AFE" w:rsidRDefault="00FC752D" w:rsidP="0034642E">
            <w:pPr>
              <w:jc w:val="right"/>
              <w:rPr>
                <w:color w:val="000000"/>
                <w:sz w:val="17"/>
                <w:szCs w:val="17"/>
              </w:rPr>
            </w:pPr>
            <w:r w:rsidRPr="00BC4AFE">
              <w:rPr>
                <w:color w:val="000000"/>
                <w:sz w:val="17"/>
                <w:szCs w:val="17"/>
              </w:rPr>
              <w:t>65.0</w:t>
            </w:r>
          </w:p>
        </w:tc>
        <w:tc>
          <w:tcPr>
            <w:tcW w:w="1400" w:type="dxa"/>
            <w:tcBorders>
              <w:top w:val="nil"/>
              <w:left w:val="nil"/>
              <w:bottom w:val="nil"/>
              <w:right w:val="nil"/>
            </w:tcBorders>
            <w:shd w:val="clear" w:color="auto" w:fill="auto"/>
            <w:vAlign w:val="center"/>
            <w:hideMark/>
          </w:tcPr>
          <w:p w14:paraId="3FC03797" w14:textId="77777777" w:rsidR="00FC752D" w:rsidRPr="00BC4AFE" w:rsidRDefault="00FC752D" w:rsidP="0034642E">
            <w:pPr>
              <w:jc w:val="right"/>
              <w:rPr>
                <w:color w:val="000000"/>
                <w:sz w:val="17"/>
                <w:szCs w:val="17"/>
              </w:rPr>
            </w:pPr>
            <w:r w:rsidRPr="00BC4AFE">
              <w:rPr>
                <w:color w:val="000000"/>
                <w:sz w:val="17"/>
                <w:szCs w:val="17"/>
              </w:rPr>
              <w:t>65.0</w:t>
            </w:r>
          </w:p>
        </w:tc>
        <w:tc>
          <w:tcPr>
            <w:tcW w:w="1400" w:type="dxa"/>
            <w:tcBorders>
              <w:top w:val="nil"/>
              <w:left w:val="nil"/>
              <w:bottom w:val="nil"/>
              <w:right w:val="nil"/>
            </w:tcBorders>
            <w:shd w:val="clear" w:color="auto" w:fill="auto"/>
            <w:vAlign w:val="center"/>
            <w:hideMark/>
          </w:tcPr>
          <w:p w14:paraId="4C21728C" w14:textId="77777777" w:rsidR="00FC752D" w:rsidRPr="00BC4AFE" w:rsidRDefault="00FC752D" w:rsidP="0034642E">
            <w:pPr>
              <w:jc w:val="right"/>
              <w:rPr>
                <w:b/>
                <w:bCs/>
                <w:color w:val="000000"/>
                <w:sz w:val="17"/>
                <w:szCs w:val="17"/>
              </w:rPr>
            </w:pPr>
            <w:r w:rsidRPr="00BC4AFE">
              <w:rPr>
                <w:b/>
                <w:bCs/>
                <w:color w:val="000000"/>
                <w:sz w:val="17"/>
                <w:szCs w:val="17"/>
              </w:rPr>
              <w:t>130.0</w:t>
            </w:r>
          </w:p>
        </w:tc>
      </w:tr>
      <w:tr w:rsidR="00FC752D" w:rsidRPr="00BC4AFE" w14:paraId="1A3D1871"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023F003A" w14:textId="77777777" w:rsidR="00FC752D" w:rsidRPr="00BC4AFE" w:rsidRDefault="00FC752D" w:rsidP="0034642E">
            <w:pPr>
              <w:rPr>
                <w:color w:val="000000"/>
                <w:sz w:val="17"/>
                <w:szCs w:val="17"/>
              </w:rPr>
            </w:pPr>
            <w:r w:rsidRPr="00BC4AFE">
              <w:rPr>
                <w:color w:val="000000" w:themeColor="text1"/>
                <w:kern w:val="20"/>
                <w:sz w:val="17"/>
                <w:szCs w:val="17"/>
              </w:rPr>
              <w:t>N. General operating expenses</w:t>
            </w:r>
          </w:p>
        </w:tc>
        <w:tc>
          <w:tcPr>
            <w:tcW w:w="1400" w:type="dxa"/>
            <w:tcBorders>
              <w:top w:val="nil"/>
              <w:left w:val="nil"/>
              <w:bottom w:val="single" w:sz="8" w:space="0" w:color="auto"/>
              <w:right w:val="nil"/>
            </w:tcBorders>
            <w:shd w:val="clear" w:color="auto" w:fill="auto"/>
            <w:vAlign w:val="center"/>
            <w:hideMark/>
          </w:tcPr>
          <w:p w14:paraId="45F86F8F" w14:textId="77777777" w:rsidR="00FC752D" w:rsidRPr="00BC4AFE" w:rsidRDefault="00FC752D" w:rsidP="0034642E">
            <w:pPr>
              <w:jc w:val="right"/>
              <w:rPr>
                <w:color w:val="000000"/>
                <w:sz w:val="17"/>
                <w:szCs w:val="17"/>
              </w:rPr>
            </w:pPr>
            <w:r w:rsidRPr="00BC4AFE">
              <w:rPr>
                <w:color w:val="000000" w:themeColor="text1"/>
                <w:kern w:val="20"/>
                <w:sz w:val="17"/>
                <w:szCs w:val="17"/>
              </w:rPr>
              <w:t>726.6</w:t>
            </w:r>
          </w:p>
        </w:tc>
        <w:tc>
          <w:tcPr>
            <w:tcW w:w="1400" w:type="dxa"/>
            <w:tcBorders>
              <w:top w:val="nil"/>
              <w:left w:val="nil"/>
              <w:bottom w:val="single" w:sz="8" w:space="0" w:color="auto"/>
              <w:right w:val="nil"/>
            </w:tcBorders>
            <w:shd w:val="clear" w:color="auto" w:fill="auto"/>
            <w:vAlign w:val="center"/>
            <w:hideMark/>
          </w:tcPr>
          <w:p w14:paraId="66DCAD85" w14:textId="77777777" w:rsidR="00FC752D" w:rsidRPr="00BC4AFE" w:rsidRDefault="00FC752D" w:rsidP="0034642E">
            <w:pPr>
              <w:jc w:val="right"/>
              <w:rPr>
                <w:color w:val="000000"/>
                <w:sz w:val="17"/>
                <w:szCs w:val="17"/>
              </w:rPr>
            </w:pPr>
            <w:r w:rsidRPr="00BC4AFE">
              <w:rPr>
                <w:color w:val="000000" w:themeColor="text1"/>
                <w:kern w:val="20"/>
                <w:sz w:val="17"/>
                <w:szCs w:val="17"/>
              </w:rPr>
              <w:t>726.6</w:t>
            </w:r>
          </w:p>
        </w:tc>
        <w:tc>
          <w:tcPr>
            <w:tcW w:w="1400" w:type="dxa"/>
            <w:tcBorders>
              <w:top w:val="nil"/>
              <w:left w:val="nil"/>
              <w:bottom w:val="nil"/>
              <w:right w:val="nil"/>
            </w:tcBorders>
            <w:shd w:val="clear" w:color="auto" w:fill="auto"/>
            <w:vAlign w:val="center"/>
            <w:hideMark/>
          </w:tcPr>
          <w:p w14:paraId="3AF9BFBA"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1,453.2</w:t>
            </w:r>
          </w:p>
        </w:tc>
      </w:tr>
      <w:tr w:rsidR="00FC752D" w:rsidRPr="00BC4AFE" w14:paraId="0401640C"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4DF60AC" w14:textId="77777777" w:rsidR="00FC752D" w:rsidRPr="00BC4AFE" w:rsidRDefault="00FC752D" w:rsidP="0034642E">
            <w:pPr>
              <w:rPr>
                <w:b/>
                <w:bCs/>
                <w:color w:val="000000"/>
                <w:sz w:val="17"/>
                <w:szCs w:val="17"/>
              </w:rPr>
            </w:pPr>
            <w:r w:rsidRPr="00BC4AFE">
              <w:rPr>
                <w:b/>
                <w:bCs/>
                <w:color w:val="000000" w:themeColor="text1"/>
                <w:kern w:val="20"/>
                <w:sz w:val="17"/>
                <w:szCs w:val="17"/>
              </w:rPr>
              <w:t>Subtotal (I)</w:t>
            </w:r>
          </w:p>
        </w:tc>
        <w:tc>
          <w:tcPr>
            <w:tcW w:w="1400" w:type="dxa"/>
            <w:tcBorders>
              <w:top w:val="nil"/>
              <w:left w:val="nil"/>
              <w:bottom w:val="single" w:sz="8" w:space="0" w:color="auto"/>
              <w:right w:val="nil"/>
            </w:tcBorders>
            <w:shd w:val="clear" w:color="auto" w:fill="auto"/>
            <w:vAlign w:val="center"/>
            <w:hideMark/>
          </w:tcPr>
          <w:p w14:paraId="788C741B"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17,447.1</w:t>
            </w:r>
          </w:p>
        </w:tc>
        <w:tc>
          <w:tcPr>
            <w:tcW w:w="1400" w:type="dxa"/>
            <w:tcBorders>
              <w:top w:val="nil"/>
              <w:left w:val="nil"/>
              <w:bottom w:val="single" w:sz="8" w:space="0" w:color="auto"/>
              <w:right w:val="nil"/>
            </w:tcBorders>
            <w:shd w:val="clear" w:color="auto" w:fill="auto"/>
            <w:vAlign w:val="center"/>
            <w:hideMark/>
          </w:tcPr>
          <w:p w14:paraId="3F4F36E8"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18,985.6</w:t>
            </w:r>
          </w:p>
        </w:tc>
        <w:tc>
          <w:tcPr>
            <w:tcW w:w="1400" w:type="dxa"/>
            <w:tcBorders>
              <w:top w:val="single" w:sz="8" w:space="0" w:color="auto"/>
              <w:left w:val="nil"/>
              <w:bottom w:val="single" w:sz="8" w:space="0" w:color="auto"/>
              <w:right w:val="nil"/>
            </w:tcBorders>
            <w:shd w:val="clear" w:color="auto" w:fill="auto"/>
            <w:vAlign w:val="center"/>
            <w:hideMark/>
          </w:tcPr>
          <w:p w14:paraId="5CFA28F0"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36,432.7</w:t>
            </w:r>
          </w:p>
        </w:tc>
      </w:tr>
      <w:tr w:rsidR="00FC752D" w:rsidRPr="00BC4AFE" w14:paraId="6C76EFBB" w14:textId="77777777" w:rsidTr="0034642E">
        <w:trPr>
          <w:trHeight w:val="280"/>
        </w:trPr>
        <w:tc>
          <w:tcPr>
            <w:tcW w:w="4360" w:type="dxa"/>
            <w:tcBorders>
              <w:top w:val="single" w:sz="4" w:space="0" w:color="auto"/>
              <w:left w:val="nil"/>
              <w:bottom w:val="nil"/>
              <w:right w:val="nil"/>
            </w:tcBorders>
            <w:shd w:val="clear" w:color="auto" w:fill="auto"/>
            <w:vAlign w:val="center"/>
            <w:hideMark/>
          </w:tcPr>
          <w:p w14:paraId="4467C034" w14:textId="77777777" w:rsidR="00FC752D" w:rsidRPr="00BC4AFE" w:rsidRDefault="00FC752D" w:rsidP="0034642E">
            <w:pPr>
              <w:rPr>
                <w:b/>
                <w:bCs/>
                <w:color w:val="000000"/>
                <w:sz w:val="17"/>
                <w:szCs w:val="17"/>
              </w:rPr>
            </w:pPr>
            <w:r w:rsidRPr="00BC4AFE">
              <w:rPr>
                <w:b/>
                <w:bCs/>
                <w:color w:val="000000" w:themeColor="text1"/>
                <w:kern w:val="20"/>
                <w:sz w:val="17"/>
                <w:szCs w:val="17"/>
              </w:rPr>
              <w:t>II. Programme support costs (13%)</w:t>
            </w:r>
          </w:p>
        </w:tc>
        <w:tc>
          <w:tcPr>
            <w:tcW w:w="1400" w:type="dxa"/>
            <w:tcBorders>
              <w:top w:val="nil"/>
              <w:left w:val="nil"/>
              <w:bottom w:val="nil"/>
              <w:right w:val="nil"/>
            </w:tcBorders>
            <w:shd w:val="clear" w:color="auto" w:fill="auto"/>
            <w:vAlign w:val="center"/>
            <w:hideMark/>
          </w:tcPr>
          <w:p w14:paraId="5B456C4C" w14:textId="77777777" w:rsidR="00FC752D" w:rsidRPr="00BC4AFE" w:rsidRDefault="00FC752D" w:rsidP="0034642E">
            <w:pPr>
              <w:jc w:val="right"/>
              <w:rPr>
                <w:color w:val="000000"/>
                <w:sz w:val="17"/>
                <w:szCs w:val="17"/>
              </w:rPr>
            </w:pPr>
            <w:r w:rsidRPr="00BC4AFE">
              <w:rPr>
                <w:color w:val="000000" w:themeColor="text1"/>
                <w:kern w:val="20"/>
                <w:sz w:val="17"/>
                <w:szCs w:val="17"/>
              </w:rPr>
              <w:t>2,268.1</w:t>
            </w:r>
          </w:p>
        </w:tc>
        <w:tc>
          <w:tcPr>
            <w:tcW w:w="1400" w:type="dxa"/>
            <w:tcBorders>
              <w:top w:val="nil"/>
              <w:left w:val="nil"/>
              <w:bottom w:val="nil"/>
              <w:right w:val="nil"/>
            </w:tcBorders>
            <w:shd w:val="clear" w:color="auto" w:fill="auto"/>
            <w:vAlign w:val="center"/>
            <w:hideMark/>
          </w:tcPr>
          <w:p w14:paraId="11587E8C" w14:textId="77777777" w:rsidR="00FC752D" w:rsidRPr="00BC4AFE" w:rsidRDefault="00FC752D" w:rsidP="0034642E">
            <w:pPr>
              <w:jc w:val="right"/>
              <w:rPr>
                <w:color w:val="000000"/>
                <w:sz w:val="17"/>
                <w:szCs w:val="17"/>
              </w:rPr>
            </w:pPr>
            <w:r w:rsidRPr="00BC4AFE">
              <w:rPr>
                <w:color w:val="000000" w:themeColor="text1"/>
                <w:kern w:val="20"/>
                <w:sz w:val="17"/>
                <w:szCs w:val="17"/>
              </w:rPr>
              <w:t>2,468.1</w:t>
            </w:r>
          </w:p>
        </w:tc>
        <w:tc>
          <w:tcPr>
            <w:tcW w:w="1400" w:type="dxa"/>
            <w:tcBorders>
              <w:top w:val="nil"/>
              <w:left w:val="nil"/>
              <w:bottom w:val="nil"/>
              <w:right w:val="nil"/>
            </w:tcBorders>
            <w:shd w:val="clear" w:color="auto" w:fill="auto"/>
            <w:vAlign w:val="center"/>
            <w:hideMark/>
          </w:tcPr>
          <w:p w14:paraId="0AFB79A9"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4,736.2</w:t>
            </w:r>
          </w:p>
        </w:tc>
      </w:tr>
      <w:tr w:rsidR="00FC752D" w:rsidRPr="00BC4AFE" w14:paraId="28568F9D"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29D7C0A3" w14:textId="77777777" w:rsidR="00FC752D" w:rsidRPr="00BC4AFE" w:rsidRDefault="00FC752D" w:rsidP="0034642E">
            <w:pPr>
              <w:rPr>
                <w:b/>
                <w:bCs/>
                <w:color w:val="000000"/>
                <w:sz w:val="17"/>
                <w:szCs w:val="17"/>
              </w:rPr>
            </w:pPr>
            <w:r w:rsidRPr="00BC4AFE">
              <w:rPr>
                <w:b/>
                <w:bCs/>
                <w:color w:val="000000" w:themeColor="text1"/>
                <w:kern w:val="20"/>
                <w:sz w:val="17"/>
                <w:szCs w:val="17"/>
              </w:rPr>
              <w:t>Subtotal (I + II)</w:t>
            </w:r>
          </w:p>
        </w:tc>
        <w:tc>
          <w:tcPr>
            <w:tcW w:w="1400" w:type="dxa"/>
            <w:tcBorders>
              <w:top w:val="nil"/>
              <w:left w:val="nil"/>
              <w:bottom w:val="single" w:sz="8" w:space="0" w:color="auto"/>
              <w:right w:val="nil"/>
            </w:tcBorders>
            <w:shd w:val="clear" w:color="auto" w:fill="auto"/>
            <w:vAlign w:val="center"/>
            <w:hideMark/>
          </w:tcPr>
          <w:p w14:paraId="5505EFAD"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19,715.2</w:t>
            </w:r>
          </w:p>
        </w:tc>
        <w:tc>
          <w:tcPr>
            <w:tcW w:w="1400" w:type="dxa"/>
            <w:tcBorders>
              <w:top w:val="nil"/>
              <w:left w:val="nil"/>
              <w:bottom w:val="single" w:sz="8" w:space="0" w:color="auto"/>
              <w:right w:val="nil"/>
            </w:tcBorders>
            <w:shd w:val="clear" w:color="auto" w:fill="auto"/>
            <w:vAlign w:val="center"/>
            <w:hideMark/>
          </w:tcPr>
          <w:p w14:paraId="5FC89E1B"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21,453.7</w:t>
            </w:r>
          </w:p>
        </w:tc>
        <w:tc>
          <w:tcPr>
            <w:tcW w:w="1400" w:type="dxa"/>
            <w:tcBorders>
              <w:top w:val="nil"/>
              <w:left w:val="nil"/>
              <w:bottom w:val="single" w:sz="8" w:space="0" w:color="auto"/>
              <w:right w:val="nil"/>
            </w:tcBorders>
            <w:shd w:val="clear" w:color="auto" w:fill="auto"/>
            <w:vAlign w:val="center"/>
            <w:hideMark/>
          </w:tcPr>
          <w:p w14:paraId="2E665EFB"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41,168.9</w:t>
            </w:r>
          </w:p>
        </w:tc>
      </w:tr>
      <w:tr w:rsidR="00FC752D" w:rsidRPr="00BC4AFE" w14:paraId="716EF34E" w14:textId="77777777" w:rsidTr="0034642E">
        <w:trPr>
          <w:trHeight w:val="280"/>
        </w:trPr>
        <w:tc>
          <w:tcPr>
            <w:tcW w:w="4360" w:type="dxa"/>
            <w:tcBorders>
              <w:top w:val="single" w:sz="4" w:space="0" w:color="auto"/>
              <w:left w:val="nil"/>
              <w:bottom w:val="nil"/>
              <w:right w:val="nil"/>
            </w:tcBorders>
            <w:shd w:val="clear" w:color="auto" w:fill="auto"/>
            <w:vAlign w:val="center"/>
            <w:hideMark/>
          </w:tcPr>
          <w:p w14:paraId="1BD03801" w14:textId="77777777" w:rsidR="00FC752D" w:rsidRPr="00BC4AFE" w:rsidRDefault="00FC752D" w:rsidP="0034642E">
            <w:pPr>
              <w:rPr>
                <w:b/>
                <w:bCs/>
                <w:color w:val="000000"/>
                <w:sz w:val="17"/>
                <w:szCs w:val="17"/>
              </w:rPr>
            </w:pPr>
            <w:r w:rsidRPr="00BC4AFE">
              <w:rPr>
                <w:b/>
                <w:bCs/>
                <w:color w:val="000000" w:themeColor="text1"/>
                <w:kern w:val="20"/>
                <w:sz w:val="17"/>
                <w:szCs w:val="17"/>
              </w:rPr>
              <w:t>III. Working Capital Reserve</w:t>
            </w:r>
          </w:p>
        </w:tc>
        <w:tc>
          <w:tcPr>
            <w:tcW w:w="1400" w:type="dxa"/>
            <w:tcBorders>
              <w:top w:val="nil"/>
              <w:left w:val="nil"/>
              <w:bottom w:val="nil"/>
              <w:right w:val="nil"/>
            </w:tcBorders>
            <w:shd w:val="clear" w:color="auto" w:fill="auto"/>
            <w:vAlign w:val="center"/>
            <w:hideMark/>
          </w:tcPr>
          <w:p w14:paraId="1E013A29" w14:textId="77777777" w:rsidR="00FC752D" w:rsidRPr="00BC4AFE" w:rsidRDefault="00FC752D" w:rsidP="0034642E">
            <w:pPr>
              <w:jc w:val="right"/>
              <w:rPr>
                <w:color w:val="000000"/>
                <w:sz w:val="17"/>
                <w:szCs w:val="17"/>
              </w:rPr>
            </w:pPr>
            <w:r w:rsidRPr="00BC4AFE">
              <w:rPr>
                <w:color w:val="000000" w:themeColor="text1"/>
                <w:kern w:val="20"/>
                <w:sz w:val="17"/>
                <w:szCs w:val="17"/>
              </w:rPr>
              <w:t>216.4</w:t>
            </w:r>
          </w:p>
        </w:tc>
        <w:tc>
          <w:tcPr>
            <w:tcW w:w="1400" w:type="dxa"/>
            <w:tcBorders>
              <w:top w:val="nil"/>
              <w:left w:val="nil"/>
              <w:bottom w:val="nil"/>
              <w:right w:val="nil"/>
            </w:tcBorders>
            <w:shd w:val="clear" w:color="auto" w:fill="auto"/>
            <w:vAlign w:val="center"/>
            <w:hideMark/>
          </w:tcPr>
          <w:p w14:paraId="3020E86C" w14:textId="77777777" w:rsidR="00FC752D" w:rsidRPr="00BC4AFE" w:rsidRDefault="00FC752D" w:rsidP="0034642E">
            <w:pPr>
              <w:jc w:val="right"/>
              <w:rPr>
                <w:color w:val="000000"/>
                <w:sz w:val="17"/>
                <w:szCs w:val="17"/>
              </w:rPr>
            </w:pPr>
            <w:r w:rsidRPr="00BC4AFE">
              <w:rPr>
                <w:color w:val="000000" w:themeColor="text1"/>
                <w:kern w:val="20"/>
                <w:sz w:val="17"/>
                <w:szCs w:val="17"/>
              </w:rPr>
              <w:t>260.8</w:t>
            </w:r>
          </w:p>
        </w:tc>
        <w:tc>
          <w:tcPr>
            <w:tcW w:w="1400" w:type="dxa"/>
            <w:tcBorders>
              <w:top w:val="nil"/>
              <w:left w:val="nil"/>
              <w:bottom w:val="nil"/>
              <w:right w:val="nil"/>
            </w:tcBorders>
            <w:shd w:val="clear" w:color="auto" w:fill="auto"/>
            <w:vAlign w:val="center"/>
            <w:hideMark/>
          </w:tcPr>
          <w:p w14:paraId="7981538B"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477.2</w:t>
            </w:r>
          </w:p>
        </w:tc>
      </w:tr>
      <w:tr w:rsidR="00FC752D" w:rsidRPr="00BC4AFE" w14:paraId="45CC4FC5" w14:textId="77777777" w:rsidTr="0034642E">
        <w:trPr>
          <w:trHeight w:val="290"/>
        </w:trPr>
        <w:tc>
          <w:tcPr>
            <w:tcW w:w="4360" w:type="dxa"/>
            <w:tcBorders>
              <w:top w:val="nil"/>
              <w:left w:val="nil"/>
              <w:bottom w:val="single" w:sz="8" w:space="0" w:color="auto"/>
              <w:right w:val="nil"/>
            </w:tcBorders>
            <w:shd w:val="clear" w:color="auto" w:fill="auto"/>
            <w:vAlign w:val="center"/>
            <w:hideMark/>
          </w:tcPr>
          <w:p w14:paraId="4878E242" w14:textId="77777777" w:rsidR="00FC752D" w:rsidRPr="00BC4AFE" w:rsidRDefault="00FC752D" w:rsidP="0034642E">
            <w:pPr>
              <w:rPr>
                <w:b/>
                <w:bCs/>
                <w:color w:val="000000"/>
                <w:sz w:val="17"/>
                <w:szCs w:val="17"/>
              </w:rPr>
            </w:pPr>
            <w:r w:rsidRPr="00BC4AFE">
              <w:rPr>
                <w:b/>
                <w:bCs/>
                <w:color w:val="000000" w:themeColor="text1"/>
                <w:kern w:val="20"/>
                <w:sz w:val="17"/>
                <w:szCs w:val="17"/>
              </w:rPr>
              <w:t>Grand total (I+II + III)</w:t>
            </w:r>
          </w:p>
        </w:tc>
        <w:tc>
          <w:tcPr>
            <w:tcW w:w="1400" w:type="dxa"/>
            <w:tcBorders>
              <w:top w:val="nil"/>
              <w:left w:val="nil"/>
              <w:bottom w:val="single" w:sz="8" w:space="0" w:color="auto"/>
              <w:right w:val="nil"/>
            </w:tcBorders>
            <w:shd w:val="clear" w:color="auto" w:fill="auto"/>
            <w:vAlign w:val="center"/>
            <w:hideMark/>
          </w:tcPr>
          <w:p w14:paraId="608CDF9B"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19,931.6</w:t>
            </w:r>
          </w:p>
        </w:tc>
        <w:tc>
          <w:tcPr>
            <w:tcW w:w="1400" w:type="dxa"/>
            <w:tcBorders>
              <w:top w:val="nil"/>
              <w:left w:val="nil"/>
              <w:bottom w:val="single" w:sz="8" w:space="0" w:color="auto"/>
              <w:right w:val="nil"/>
            </w:tcBorders>
            <w:shd w:val="clear" w:color="auto" w:fill="auto"/>
            <w:vAlign w:val="center"/>
            <w:hideMark/>
          </w:tcPr>
          <w:p w14:paraId="176B3127"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21,714.5</w:t>
            </w:r>
          </w:p>
        </w:tc>
        <w:tc>
          <w:tcPr>
            <w:tcW w:w="1400" w:type="dxa"/>
            <w:tcBorders>
              <w:top w:val="nil"/>
              <w:left w:val="nil"/>
              <w:bottom w:val="single" w:sz="8" w:space="0" w:color="auto"/>
              <w:right w:val="nil"/>
            </w:tcBorders>
            <w:shd w:val="clear" w:color="auto" w:fill="auto"/>
            <w:vAlign w:val="center"/>
            <w:hideMark/>
          </w:tcPr>
          <w:p w14:paraId="0649519B"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41,646.1</w:t>
            </w:r>
          </w:p>
        </w:tc>
      </w:tr>
      <w:tr w:rsidR="00FC752D" w:rsidRPr="00BC4AFE" w14:paraId="391D31D7"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A1D15B4" w14:textId="77777777" w:rsidR="00FC752D" w:rsidRPr="00BC4AFE" w:rsidRDefault="00FC752D" w:rsidP="0034642E">
            <w:pPr>
              <w:rPr>
                <w:b/>
                <w:bCs/>
                <w:color w:val="000000"/>
                <w:sz w:val="17"/>
                <w:szCs w:val="17"/>
              </w:rPr>
            </w:pPr>
            <w:r w:rsidRPr="00BC4AFE">
              <w:rPr>
                <w:b/>
                <w:bCs/>
                <w:color w:val="000000" w:themeColor="text1"/>
                <w:kern w:val="20"/>
                <w:sz w:val="17"/>
                <w:szCs w:val="17"/>
              </w:rPr>
              <w:t>Convention share of the integrated budget (72%)</w:t>
            </w:r>
          </w:p>
        </w:tc>
        <w:tc>
          <w:tcPr>
            <w:tcW w:w="1400" w:type="dxa"/>
            <w:tcBorders>
              <w:top w:val="nil"/>
              <w:left w:val="nil"/>
              <w:bottom w:val="single" w:sz="8" w:space="0" w:color="auto"/>
              <w:right w:val="nil"/>
            </w:tcBorders>
            <w:shd w:val="clear" w:color="auto" w:fill="auto"/>
            <w:vAlign w:val="center"/>
            <w:hideMark/>
          </w:tcPr>
          <w:p w14:paraId="58D66BC3"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14,350.8</w:t>
            </w:r>
          </w:p>
        </w:tc>
        <w:tc>
          <w:tcPr>
            <w:tcW w:w="1400" w:type="dxa"/>
            <w:tcBorders>
              <w:top w:val="nil"/>
              <w:left w:val="nil"/>
              <w:bottom w:val="single" w:sz="8" w:space="0" w:color="auto"/>
              <w:right w:val="nil"/>
            </w:tcBorders>
            <w:shd w:val="clear" w:color="auto" w:fill="auto"/>
            <w:vAlign w:val="center"/>
            <w:hideMark/>
          </w:tcPr>
          <w:p w14:paraId="34F0FBB8"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15,634.4</w:t>
            </w:r>
          </w:p>
        </w:tc>
        <w:tc>
          <w:tcPr>
            <w:tcW w:w="1400" w:type="dxa"/>
            <w:tcBorders>
              <w:top w:val="nil"/>
              <w:left w:val="nil"/>
              <w:bottom w:val="single" w:sz="8" w:space="0" w:color="auto"/>
              <w:right w:val="nil"/>
            </w:tcBorders>
            <w:shd w:val="clear" w:color="auto" w:fill="auto"/>
            <w:vAlign w:val="center"/>
            <w:hideMark/>
          </w:tcPr>
          <w:p w14:paraId="1BF5A08E"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29,985.2</w:t>
            </w:r>
          </w:p>
        </w:tc>
      </w:tr>
      <w:tr w:rsidR="00FC752D" w:rsidRPr="00BC4AFE" w14:paraId="0B7D3661"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00DDF2C" w14:textId="77777777" w:rsidR="00FC752D" w:rsidRPr="00BC4AFE" w:rsidRDefault="00FC752D" w:rsidP="0034642E">
            <w:pPr>
              <w:rPr>
                <w:color w:val="000000"/>
                <w:sz w:val="17"/>
                <w:szCs w:val="17"/>
              </w:rPr>
            </w:pPr>
            <w:r w:rsidRPr="00BC4AFE">
              <w:rPr>
                <w:color w:val="000000" w:themeColor="text1"/>
                <w:kern w:val="20"/>
                <w:sz w:val="17"/>
                <w:szCs w:val="17"/>
              </w:rPr>
              <w:t>Less contributions from host country</w:t>
            </w:r>
          </w:p>
        </w:tc>
        <w:tc>
          <w:tcPr>
            <w:tcW w:w="1400" w:type="dxa"/>
            <w:tcBorders>
              <w:top w:val="nil"/>
              <w:left w:val="nil"/>
              <w:bottom w:val="single" w:sz="8" w:space="0" w:color="auto"/>
              <w:right w:val="nil"/>
            </w:tcBorders>
            <w:shd w:val="clear" w:color="auto" w:fill="auto"/>
            <w:vAlign w:val="center"/>
            <w:hideMark/>
          </w:tcPr>
          <w:p w14:paraId="1F375B33" w14:textId="77777777" w:rsidR="00FC752D" w:rsidRPr="00BC4AFE" w:rsidRDefault="00FC752D" w:rsidP="0034642E">
            <w:pPr>
              <w:jc w:val="right"/>
              <w:rPr>
                <w:color w:val="000000"/>
                <w:sz w:val="17"/>
                <w:szCs w:val="17"/>
              </w:rPr>
            </w:pPr>
            <w:r w:rsidRPr="00BC4AFE">
              <w:rPr>
                <w:color w:val="000000"/>
                <w:sz w:val="17"/>
                <w:szCs w:val="17"/>
              </w:rPr>
              <w:t>-1,176.2</w:t>
            </w:r>
          </w:p>
        </w:tc>
        <w:tc>
          <w:tcPr>
            <w:tcW w:w="1400" w:type="dxa"/>
            <w:tcBorders>
              <w:top w:val="nil"/>
              <w:left w:val="nil"/>
              <w:bottom w:val="single" w:sz="8" w:space="0" w:color="auto"/>
              <w:right w:val="nil"/>
            </w:tcBorders>
            <w:shd w:val="clear" w:color="auto" w:fill="auto"/>
            <w:vAlign w:val="center"/>
            <w:hideMark/>
          </w:tcPr>
          <w:p w14:paraId="29B2808E" w14:textId="77777777" w:rsidR="00FC752D" w:rsidRPr="00BC4AFE" w:rsidRDefault="00FC752D" w:rsidP="0034642E">
            <w:pPr>
              <w:jc w:val="right"/>
              <w:rPr>
                <w:color w:val="000000"/>
                <w:sz w:val="17"/>
                <w:szCs w:val="17"/>
              </w:rPr>
            </w:pPr>
            <w:r w:rsidRPr="00BC4AFE">
              <w:rPr>
                <w:color w:val="000000"/>
                <w:sz w:val="17"/>
                <w:szCs w:val="17"/>
              </w:rPr>
              <w:t>-1,198.4</w:t>
            </w:r>
          </w:p>
        </w:tc>
        <w:tc>
          <w:tcPr>
            <w:tcW w:w="1400" w:type="dxa"/>
            <w:tcBorders>
              <w:top w:val="nil"/>
              <w:left w:val="nil"/>
              <w:bottom w:val="single" w:sz="8" w:space="0" w:color="auto"/>
              <w:right w:val="nil"/>
            </w:tcBorders>
            <w:shd w:val="clear" w:color="auto" w:fill="auto"/>
            <w:vAlign w:val="center"/>
            <w:hideMark/>
          </w:tcPr>
          <w:p w14:paraId="3FFA96EF"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-2,374.6</w:t>
            </w:r>
          </w:p>
        </w:tc>
      </w:tr>
      <w:tr w:rsidR="00FC752D" w:rsidRPr="00BC4AFE" w14:paraId="78BD4643"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5D9BDBC3" w14:textId="77777777" w:rsidR="00FC752D" w:rsidRPr="00BC4AFE" w:rsidRDefault="00FC752D" w:rsidP="0034642E">
            <w:pPr>
              <w:rPr>
                <w:color w:val="000000"/>
                <w:sz w:val="17"/>
                <w:szCs w:val="17"/>
              </w:rPr>
            </w:pPr>
            <w:r w:rsidRPr="00BC4AFE">
              <w:rPr>
                <w:color w:val="000000" w:themeColor="text1"/>
                <w:kern w:val="20"/>
                <w:sz w:val="17"/>
                <w:szCs w:val="17"/>
              </w:rPr>
              <w:t xml:space="preserve">Less use of reserve </w:t>
            </w:r>
          </w:p>
        </w:tc>
        <w:tc>
          <w:tcPr>
            <w:tcW w:w="1400" w:type="dxa"/>
            <w:tcBorders>
              <w:top w:val="nil"/>
              <w:left w:val="nil"/>
              <w:bottom w:val="single" w:sz="8" w:space="0" w:color="auto"/>
              <w:right w:val="nil"/>
            </w:tcBorders>
            <w:shd w:val="clear" w:color="auto" w:fill="auto"/>
            <w:vAlign w:val="center"/>
            <w:hideMark/>
          </w:tcPr>
          <w:p w14:paraId="3F4AAE58" w14:textId="77777777" w:rsidR="00FC752D" w:rsidRPr="00BC4AFE" w:rsidRDefault="00FC752D" w:rsidP="0034642E">
            <w:pPr>
              <w:jc w:val="right"/>
              <w:rPr>
                <w:color w:val="000000"/>
                <w:sz w:val="17"/>
                <w:szCs w:val="17"/>
              </w:rPr>
            </w:pPr>
            <w:r w:rsidRPr="00BC4AFE">
              <w:rPr>
                <w:color w:val="000000"/>
                <w:sz w:val="17"/>
                <w:szCs w:val="17"/>
              </w:rPr>
              <w:t>-147.6</w:t>
            </w:r>
          </w:p>
        </w:tc>
        <w:tc>
          <w:tcPr>
            <w:tcW w:w="1400" w:type="dxa"/>
            <w:tcBorders>
              <w:top w:val="nil"/>
              <w:left w:val="nil"/>
              <w:bottom w:val="single" w:sz="8" w:space="0" w:color="auto"/>
              <w:right w:val="nil"/>
            </w:tcBorders>
            <w:shd w:val="clear" w:color="auto" w:fill="auto"/>
            <w:vAlign w:val="center"/>
            <w:hideMark/>
          </w:tcPr>
          <w:p w14:paraId="2F0F2C07" w14:textId="77777777" w:rsidR="00FC752D" w:rsidRPr="00BC4AFE" w:rsidRDefault="00FC752D" w:rsidP="0034642E">
            <w:pPr>
              <w:jc w:val="right"/>
              <w:rPr>
                <w:color w:val="000000"/>
                <w:sz w:val="17"/>
                <w:szCs w:val="17"/>
              </w:rPr>
            </w:pPr>
            <w:r w:rsidRPr="00BC4AFE">
              <w:rPr>
                <w:color w:val="000000"/>
                <w:sz w:val="17"/>
                <w:szCs w:val="17"/>
              </w:rPr>
              <w:t>-147.6</w:t>
            </w:r>
          </w:p>
        </w:tc>
        <w:tc>
          <w:tcPr>
            <w:tcW w:w="1400" w:type="dxa"/>
            <w:tcBorders>
              <w:top w:val="nil"/>
              <w:left w:val="nil"/>
              <w:bottom w:val="single" w:sz="8" w:space="0" w:color="auto"/>
              <w:right w:val="nil"/>
            </w:tcBorders>
            <w:shd w:val="clear" w:color="auto" w:fill="auto"/>
            <w:vAlign w:val="center"/>
            <w:hideMark/>
          </w:tcPr>
          <w:p w14:paraId="7418DC03" w14:textId="77777777" w:rsidR="00FC752D" w:rsidRPr="00BC4AFE" w:rsidRDefault="00FC752D" w:rsidP="0034642E">
            <w:pPr>
              <w:jc w:val="right"/>
              <w:rPr>
                <w:b/>
                <w:bCs/>
                <w:color w:val="000000"/>
                <w:sz w:val="17"/>
                <w:szCs w:val="17"/>
              </w:rPr>
            </w:pPr>
            <w:r w:rsidRPr="00BC4AFE">
              <w:rPr>
                <w:b/>
                <w:bCs/>
                <w:color w:val="000000" w:themeColor="text1"/>
                <w:kern w:val="20"/>
                <w:sz w:val="17"/>
                <w:szCs w:val="17"/>
              </w:rPr>
              <w:t>-295.2</w:t>
            </w:r>
          </w:p>
        </w:tc>
      </w:tr>
      <w:tr w:rsidR="00FC752D" w:rsidRPr="00BC4AFE" w14:paraId="1B241E43" w14:textId="77777777" w:rsidTr="0034642E">
        <w:trPr>
          <w:trHeight w:val="290"/>
        </w:trPr>
        <w:tc>
          <w:tcPr>
            <w:tcW w:w="4360" w:type="dxa"/>
            <w:tcBorders>
              <w:top w:val="single" w:sz="8" w:space="0" w:color="auto"/>
              <w:left w:val="nil"/>
              <w:bottom w:val="single" w:sz="8" w:space="0" w:color="auto"/>
              <w:right w:val="nil"/>
            </w:tcBorders>
            <w:shd w:val="clear" w:color="auto" w:fill="auto"/>
            <w:vAlign w:val="center"/>
            <w:hideMark/>
          </w:tcPr>
          <w:p w14:paraId="103D7D31" w14:textId="77777777" w:rsidR="00FC752D" w:rsidRPr="00BC4AFE" w:rsidRDefault="00FC752D" w:rsidP="0034642E">
            <w:pPr>
              <w:rPr>
                <w:b/>
                <w:bCs/>
                <w:i/>
                <w:iCs/>
                <w:color w:val="000000"/>
                <w:sz w:val="17"/>
                <w:szCs w:val="17"/>
              </w:rPr>
            </w:pPr>
            <w:r w:rsidRPr="00BC4AFE">
              <w:rPr>
                <w:b/>
                <w:bCs/>
                <w:i/>
                <w:iCs/>
                <w:color w:val="000000" w:themeColor="text1"/>
                <w:kern w:val="20"/>
                <w:sz w:val="17"/>
                <w:szCs w:val="17"/>
              </w:rPr>
              <w:t>Net total (to be shared by Parties)</w:t>
            </w:r>
          </w:p>
        </w:tc>
        <w:tc>
          <w:tcPr>
            <w:tcW w:w="1400" w:type="dxa"/>
            <w:tcBorders>
              <w:top w:val="nil"/>
              <w:left w:val="nil"/>
              <w:bottom w:val="single" w:sz="8" w:space="0" w:color="auto"/>
              <w:right w:val="nil"/>
            </w:tcBorders>
            <w:shd w:val="clear" w:color="auto" w:fill="auto"/>
            <w:vAlign w:val="center"/>
            <w:hideMark/>
          </w:tcPr>
          <w:p w14:paraId="21F8763A" w14:textId="77777777" w:rsidR="00FC752D" w:rsidRPr="00BC4AFE" w:rsidRDefault="00FC752D" w:rsidP="0034642E">
            <w:pPr>
              <w:jc w:val="right"/>
              <w:rPr>
                <w:b/>
                <w:bCs/>
                <w:i/>
                <w:iCs/>
                <w:color w:val="000000"/>
                <w:sz w:val="17"/>
                <w:szCs w:val="17"/>
              </w:rPr>
            </w:pPr>
            <w:r w:rsidRPr="00BC4AFE">
              <w:rPr>
                <w:b/>
                <w:bCs/>
                <w:i/>
                <w:iCs/>
                <w:color w:val="000000"/>
                <w:sz w:val="17"/>
                <w:szCs w:val="17"/>
              </w:rPr>
              <w:t>13,026.9</w:t>
            </w:r>
          </w:p>
        </w:tc>
        <w:tc>
          <w:tcPr>
            <w:tcW w:w="1400" w:type="dxa"/>
            <w:tcBorders>
              <w:top w:val="nil"/>
              <w:left w:val="nil"/>
              <w:bottom w:val="single" w:sz="8" w:space="0" w:color="auto"/>
              <w:right w:val="nil"/>
            </w:tcBorders>
            <w:shd w:val="clear" w:color="auto" w:fill="auto"/>
            <w:vAlign w:val="center"/>
            <w:hideMark/>
          </w:tcPr>
          <w:p w14:paraId="53DC561A" w14:textId="77777777" w:rsidR="00FC752D" w:rsidRPr="00BC4AFE" w:rsidRDefault="00FC752D" w:rsidP="0034642E">
            <w:pPr>
              <w:jc w:val="right"/>
              <w:rPr>
                <w:b/>
                <w:bCs/>
                <w:i/>
                <w:iCs/>
                <w:color w:val="000000"/>
                <w:sz w:val="17"/>
                <w:szCs w:val="17"/>
              </w:rPr>
            </w:pPr>
            <w:r w:rsidRPr="00BC4AFE">
              <w:rPr>
                <w:b/>
                <w:bCs/>
                <w:i/>
                <w:iCs/>
                <w:color w:val="000000"/>
                <w:sz w:val="17"/>
                <w:szCs w:val="17"/>
              </w:rPr>
              <w:t>14,288.4</w:t>
            </w:r>
          </w:p>
        </w:tc>
        <w:tc>
          <w:tcPr>
            <w:tcW w:w="1400" w:type="dxa"/>
            <w:tcBorders>
              <w:top w:val="nil"/>
              <w:left w:val="nil"/>
              <w:bottom w:val="single" w:sz="8" w:space="0" w:color="auto"/>
              <w:right w:val="nil"/>
            </w:tcBorders>
            <w:shd w:val="clear" w:color="auto" w:fill="auto"/>
            <w:vAlign w:val="center"/>
            <w:hideMark/>
          </w:tcPr>
          <w:p w14:paraId="46E004C7" w14:textId="77777777" w:rsidR="00FC752D" w:rsidRPr="00BC4AFE" w:rsidRDefault="00FC752D" w:rsidP="0034642E">
            <w:pPr>
              <w:jc w:val="right"/>
              <w:rPr>
                <w:b/>
                <w:bCs/>
                <w:i/>
                <w:iCs/>
                <w:color w:val="000000"/>
                <w:sz w:val="17"/>
                <w:szCs w:val="17"/>
              </w:rPr>
            </w:pPr>
            <w:r w:rsidRPr="00BC4AFE">
              <w:rPr>
                <w:b/>
                <w:bCs/>
                <w:i/>
                <w:iCs/>
                <w:color w:val="000000"/>
                <w:sz w:val="17"/>
                <w:szCs w:val="17"/>
              </w:rPr>
              <w:t>27,315.4</w:t>
            </w:r>
          </w:p>
        </w:tc>
      </w:tr>
      <w:tr w:rsidR="00FC752D" w:rsidRPr="00BC4AFE" w14:paraId="2F688A4E" w14:textId="77777777" w:rsidTr="0034642E">
        <w:trPr>
          <w:trHeight w:val="280"/>
        </w:trPr>
        <w:tc>
          <w:tcPr>
            <w:tcW w:w="8560" w:type="dxa"/>
            <w:gridSpan w:val="4"/>
            <w:tcBorders>
              <w:top w:val="single" w:sz="8" w:space="0" w:color="auto"/>
              <w:left w:val="nil"/>
              <w:bottom w:val="nil"/>
              <w:right w:val="nil"/>
            </w:tcBorders>
            <w:shd w:val="clear" w:color="auto" w:fill="auto"/>
            <w:vAlign w:val="bottom"/>
            <w:hideMark/>
          </w:tcPr>
          <w:p w14:paraId="53A9AD41" w14:textId="77777777" w:rsidR="00FC752D" w:rsidRPr="00BC4AFE" w:rsidRDefault="00FC752D" w:rsidP="005079B3">
            <w:pPr>
              <w:spacing w:after="60"/>
              <w:rPr>
                <w:color w:val="000000"/>
                <w:sz w:val="18"/>
                <w:szCs w:val="18"/>
              </w:rPr>
            </w:pPr>
            <w:r w:rsidRPr="00BC4AFE">
              <w:rPr>
                <w:color w:val="000000"/>
                <w:sz w:val="18"/>
                <w:szCs w:val="18"/>
              </w:rPr>
              <w:t>* Meetings funded from the core budget:</w:t>
            </w:r>
          </w:p>
        </w:tc>
      </w:tr>
      <w:tr w:rsidR="00FC752D" w:rsidRPr="00BC4AFE" w14:paraId="714B303A" w14:textId="77777777" w:rsidTr="0034642E">
        <w:trPr>
          <w:trHeight w:val="280"/>
        </w:trPr>
        <w:tc>
          <w:tcPr>
            <w:tcW w:w="8560" w:type="dxa"/>
            <w:gridSpan w:val="4"/>
            <w:tcBorders>
              <w:top w:val="nil"/>
              <w:left w:val="nil"/>
              <w:bottom w:val="nil"/>
              <w:right w:val="nil"/>
            </w:tcBorders>
            <w:shd w:val="clear" w:color="auto" w:fill="auto"/>
            <w:vAlign w:val="bottom"/>
            <w:hideMark/>
          </w:tcPr>
          <w:p w14:paraId="588E9732" w14:textId="77777777" w:rsidR="00FC752D" w:rsidRPr="00BC4AFE" w:rsidRDefault="00FC752D" w:rsidP="00AA0E75">
            <w:pPr>
              <w:spacing w:after="60"/>
              <w:rPr>
                <w:color w:val="000000"/>
                <w:sz w:val="18"/>
                <w:szCs w:val="18"/>
              </w:rPr>
            </w:pPr>
            <w:r w:rsidRPr="00BC4AFE">
              <w:rPr>
                <w:color w:val="000000"/>
                <w:sz w:val="18"/>
                <w:szCs w:val="18"/>
              </w:rPr>
              <w:t>Twelfth meeting of the Ad Hoc Open-ended Working Group on Article 8(j) and Related Provisions.</w:t>
            </w:r>
          </w:p>
        </w:tc>
      </w:tr>
      <w:tr w:rsidR="00FC752D" w:rsidRPr="00BC4AFE" w14:paraId="711907C7" w14:textId="77777777" w:rsidTr="0034642E">
        <w:trPr>
          <w:trHeight w:val="280"/>
        </w:trPr>
        <w:tc>
          <w:tcPr>
            <w:tcW w:w="8560" w:type="dxa"/>
            <w:gridSpan w:val="4"/>
            <w:tcBorders>
              <w:top w:val="nil"/>
              <w:left w:val="nil"/>
              <w:bottom w:val="nil"/>
              <w:right w:val="nil"/>
            </w:tcBorders>
            <w:shd w:val="clear" w:color="auto" w:fill="auto"/>
            <w:vAlign w:val="bottom"/>
            <w:hideMark/>
          </w:tcPr>
          <w:p w14:paraId="6C8623D1" w14:textId="77777777" w:rsidR="00FC752D" w:rsidRPr="00BC4AFE" w:rsidRDefault="00FC752D" w:rsidP="00AA0E75">
            <w:pPr>
              <w:spacing w:after="60"/>
              <w:rPr>
                <w:color w:val="000000"/>
                <w:sz w:val="18"/>
                <w:szCs w:val="18"/>
              </w:rPr>
            </w:pPr>
            <w:r w:rsidRPr="00BC4AFE">
              <w:rPr>
                <w:color w:val="000000"/>
                <w:sz w:val="18"/>
                <w:szCs w:val="18"/>
              </w:rPr>
              <w:t>Twenty-fifth and twenty-sixth meetings of the Subsidiary Body on Scientific Technical and Technological Advice.</w:t>
            </w:r>
          </w:p>
        </w:tc>
      </w:tr>
      <w:tr w:rsidR="00FC752D" w:rsidRPr="00BC4AFE" w14:paraId="51E882B2" w14:textId="77777777" w:rsidTr="0034642E">
        <w:trPr>
          <w:trHeight w:val="280"/>
        </w:trPr>
        <w:tc>
          <w:tcPr>
            <w:tcW w:w="8560" w:type="dxa"/>
            <w:gridSpan w:val="4"/>
            <w:tcBorders>
              <w:top w:val="nil"/>
              <w:left w:val="nil"/>
              <w:bottom w:val="nil"/>
              <w:right w:val="nil"/>
            </w:tcBorders>
            <w:shd w:val="clear" w:color="auto" w:fill="auto"/>
            <w:vAlign w:val="bottom"/>
            <w:hideMark/>
          </w:tcPr>
          <w:p w14:paraId="684C4B10" w14:textId="77777777" w:rsidR="00FC752D" w:rsidRPr="00BC4AFE" w:rsidRDefault="00FC752D" w:rsidP="00AA0E75">
            <w:pPr>
              <w:spacing w:after="60"/>
              <w:rPr>
                <w:color w:val="000000"/>
                <w:sz w:val="18"/>
                <w:szCs w:val="18"/>
              </w:rPr>
            </w:pPr>
            <w:r w:rsidRPr="00BC4AFE">
              <w:rPr>
                <w:color w:val="000000"/>
                <w:sz w:val="18"/>
                <w:szCs w:val="18"/>
              </w:rPr>
              <w:t>Fourth and fifth meetings of the Subsidiary Body on Implementation.</w:t>
            </w:r>
          </w:p>
        </w:tc>
      </w:tr>
      <w:tr w:rsidR="00FC752D" w:rsidRPr="00BC4AFE" w14:paraId="4F549F17" w14:textId="77777777" w:rsidTr="0034642E">
        <w:trPr>
          <w:trHeight w:val="280"/>
        </w:trPr>
        <w:tc>
          <w:tcPr>
            <w:tcW w:w="8560" w:type="dxa"/>
            <w:gridSpan w:val="4"/>
            <w:tcBorders>
              <w:top w:val="nil"/>
              <w:left w:val="nil"/>
              <w:bottom w:val="nil"/>
              <w:right w:val="nil"/>
            </w:tcBorders>
            <w:shd w:val="clear" w:color="auto" w:fill="auto"/>
            <w:vAlign w:val="bottom"/>
            <w:hideMark/>
          </w:tcPr>
          <w:p w14:paraId="5FEAD75B" w14:textId="77777777" w:rsidR="00FC752D" w:rsidRPr="00BC4AFE" w:rsidRDefault="00FC752D" w:rsidP="005079B3">
            <w:pPr>
              <w:spacing w:after="60"/>
              <w:rPr>
                <w:color w:val="000000"/>
                <w:sz w:val="18"/>
                <w:szCs w:val="18"/>
              </w:rPr>
            </w:pPr>
            <w:r w:rsidRPr="00BC4AFE">
              <w:rPr>
                <w:color w:val="000000"/>
                <w:sz w:val="18"/>
                <w:szCs w:val="18"/>
              </w:rPr>
              <w:t>Sixteenth meeting of the Conference of the Parties to the Convention / Eleventh meeting of the Parties to the Cartagena Protocol / Fifth meeting of the Parties to the Nagoya Protocol held concurrently.</w:t>
            </w:r>
          </w:p>
        </w:tc>
      </w:tr>
    </w:tbl>
    <w:p w14:paraId="406653F7" w14:textId="77777777" w:rsidR="00FC752D" w:rsidRPr="00BC4AFE" w:rsidRDefault="00FC752D" w:rsidP="00AA0E75">
      <w:pPr>
        <w:keepNext/>
        <w:pBdr>
          <w:bottom w:val="single" w:sz="4" w:space="1" w:color="auto"/>
        </w:pBdr>
        <w:spacing w:before="240" w:after="60"/>
        <w:ind w:left="950" w:hanging="950"/>
        <w:rPr>
          <w:rFonts w:asciiTheme="majorBidi" w:hAnsiTheme="majorBidi" w:cstheme="majorBidi"/>
          <w:b/>
          <w:bCs/>
        </w:rPr>
      </w:pPr>
      <w:r w:rsidRPr="00BC4AFE">
        <w:rPr>
          <w:rFonts w:asciiTheme="majorBidi" w:hAnsiTheme="majorBidi" w:cstheme="majorBidi"/>
          <w:b/>
          <w:bCs/>
        </w:rPr>
        <w:t>Table 1b. Integrated biennial budget for the trust funds of the Convention on Biological Diversity for the period 2023-2024</w:t>
      </w:r>
    </w:p>
    <w:tbl>
      <w:tblPr>
        <w:tblW w:w="8700" w:type="dxa"/>
        <w:tblLook w:val="04A0" w:firstRow="1" w:lastRow="0" w:firstColumn="1" w:lastColumn="0" w:noHBand="0" w:noVBand="1"/>
      </w:tblPr>
      <w:tblGrid>
        <w:gridCol w:w="5160"/>
        <w:gridCol w:w="1180"/>
        <w:gridCol w:w="1180"/>
        <w:gridCol w:w="1180"/>
      </w:tblGrid>
      <w:tr w:rsidR="00FC752D" w:rsidRPr="00BC4AFE" w14:paraId="6C424D42" w14:textId="77777777" w:rsidTr="002D6FE5">
        <w:trPr>
          <w:trHeight w:val="290"/>
        </w:trPr>
        <w:tc>
          <w:tcPr>
            <w:tcW w:w="5160" w:type="dxa"/>
            <w:tcBorders>
              <w:top w:val="nil"/>
              <w:left w:val="nil"/>
              <w:bottom w:val="nil"/>
              <w:right w:val="nil"/>
            </w:tcBorders>
            <w:shd w:val="clear" w:color="auto" w:fill="auto"/>
            <w:vAlign w:val="center"/>
          </w:tcPr>
          <w:p w14:paraId="30AFF6A2" w14:textId="77777777" w:rsidR="00FC752D" w:rsidRPr="00BC4AFE" w:rsidRDefault="00FC752D" w:rsidP="00F86AA9">
            <w:pPr>
              <w:keepNext/>
              <w:keepLines/>
              <w:rPr>
                <w:color w:val="000000"/>
                <w:sz w:val="18"/>
                <w:szCs w:val="18"/>
              </w:rPr>
            </w:pPr>
          </w:p>
        </w:tc>
        <w:tc>
          <w:tcPr>
            <w:tcW w:w="1180" w:type="dxa"/>
            <w:tcBorders>
              <w:top w:val="nil"/>
              <w:left w:val="nil"/>
              <w:bottom w:val="nil"/>
              <w:right w:val="nil"/>
            </w:tcBorders>
            <w:shd w:val="clear" w:color="auto" w:fill="auto"/>
            <w:vAlign w:val="center"/>
          </w:tcPr>
          <w:p w14:paraId="69957EC3" w14:textId="77777777" w:rsidR="00FC752D" w:rsidRPr="00BC4AFE" w:rsidRDefault="00FC752D" w:rsidP="00AA0E75">
            <w:pPr>
              <w:keepNext/>
              <w:keepLines/>
              <w:jc w:val="center"/>
              <w:rPr>
                <w:color w:val="000000"/>
                <w:sz w:val="18"/>
                <w:szCs w:val="18"/>
              </w:rPr>
            </w:pPr>
            <w:r w:rsidRPr="00BC4AFE">
              <w:rPr>
                <w:i/>
                <w:iCs/>
                <w:color w:val="000000"/>
                <w:sz w:val="18"/>
                <w:szCs w:val="18"/>
              </w:rPr>
              <w:t>2023</w:t>
            </w:r>
          </w:p>
        </w:tc>
        <w:tc>
          <w:tcPr>
            <w:tcW w:w="1180" w:type="dxa"/>
            <w:tcBorders>
              <w:top w:val="nil"/>
              <w:left w:val="nil"/>
              <w:bottom w:val="nil"/>
              <w:right w:val="nil"/>
            </w:tcBorders>
            <w:shd w:val="clear" w:color="auto" w:fill="auto"/>
            <w:vAlign w:val="center"/>
          </w:tcPr>
          <w:p w14:paraId="272CFDD8" w14:textId="77777777" w:rsidR="00FC752D" w:rsidRPr="00BC4AFE" w:rsidRDefault="00FC752D" w:rsidP="00AA0E75">
            <w:pPr>
              <w:keepNext/>
              <w:keepLines/>
              <w:jc w:val="center"/>
              <w:rPr>
                <w:color w:val="000000"/>
                <w:sz w:val="18"/>
                <w:szCs w:val="18"/>
              </w:rPr>
            </w:pPr>
            <w:r w:rsidRPr="00BC4AFE">
              <w:rPr>
                <w:i/>
                <w:iCs/>
                <w:color w:val="000000"/>
                <w:sz w:val="18"/>
                <w:szCs w:val="18"/>
              </w:rPr>
              <w:t>2024</w:t>
            </w:r>
          </w:p>
        </w:tc>
        <w:tc>
          <w:tcPr>
            <w:tcW w:w="1180" w:type="dxa"/>
            <w:tcBorders>
              <w:top w:val="nil"/>
              <w:left w:val="nil"/>
              <w:bottom w:val="nil"/>
              <w:right w:val="nil"/>
            </w:tcBorders>
            <w:shd w:val="clear" w:color="auto" w:fill="auto"/>
            <w:vAlign w:val="center"/>
          </w:tcPr>
          <w:p w14:paraId="04131CBE" w14:textId="77777777" w:rsidR="00FC752D" w:rsidRPr="00BC4AFE" w:rsidRDefault="00FC752D" w:rsidP="00AA0E75">
            <w:pPr>
              <w:keepNext/>
              <w:keepLines/>
              <w:jc w:val="center"/>
              <w:rPr>
                <w:b/>
                <w:bCs/>
                <w:color w:val="000000"/>
                <w:sz w:val="18"/>
                <w:szCs w:val="18"/>
              </w:rPr>
            </w:pPr>
            <w:r w:rsidRPr="00BC4AFE">
              <w:rPr>
                <w:i/>
                <w:iCs/>
                <w:color w:val="000000"/>
                <w:sz w:val="18"/>
                <w:szCs w:val="18"/>
              </w:rPr>
              <w:t>2023-2024</w:t>
            </w:r>
          </w:p>
        </w:tc>
      </w:tr>
      <w:tr w:rsidR="00FC752D" w:rsidRPr="00BC4AFE" w14:paraId="4B65F7AF" w14:textId="77777777" w:rsidTr="00BD0043">
        <w:trPr>
          <w:trHeight w:val="290"/>
        </w:trPr>
        <w:tc>
          <w:tcPr>
            <w:tcW w:w="5160" w:type="dxa"/>
            <w:tcBorders>
              <w:top w:val="nil"/>
              <w:left w:val="nil"/>
              <w:bottom w:val="single" w:sz="4" w:space="0" w:color="auto"/>
              <w:right w:val="nil"/>
            </w:tcBorders>
            <w:shd w:val="clear" w:color="auto" w:fill="auto"/>
            <w:vAlign w:val="center"/>
          </w:tcPr>
          <w:p w14:paraId="469ACB92" w14:textId="77777777" w:rsidR="00FC752D" w:rsidRPr="00BC4AFE" w:rsidRDefault="00FC752D" w:rsidP="00F86AA9">
            <w:pPr>
              <w:keepNext/>
              <w:keepLines/>
              <w:rPr>
                <w:color w:val="000000"/>
                <w:sz w:val="18"/>
                <w:szCs w:val="18"/>
              </w:rPr>
            </w:pPr>
          </w:p>
        </w:tc>
        <w:tc>
          <w:tcPr>
            <w:tcW w:w="3540" w:type="dxa"/>
            <w:gridSpan w:val="3"/>
            <w:tcBorders>
              <w:top w:val="nil"/>
              <w:left w:val="nil"/>
              <w:bottom w:val="single" w:sz="4" w:space="0" w:color="auto"/>
              <w:right w:val="nil"/>
            </w:tcBorders>
            <w:shd w:val="clear" w:color="auto" w:fill="auto"/>
            <w:vAlign w:val="center"/>
          </w:tcPr>
          <w:p w14:paraId="3B807DC6" w14:textId="77777777" w:rsidR="00FC752D" w:rsidRPr="00BC4AFE" w:rsidRDefault="00FC752D" w:rsidP="00AA0E75">
            <w:pPr>
              <w:keepNext/>
              <w:keepLines/>
              <w:jc w:val="center"/>
              <w:rPr>
                <w:b/>
                <w:bCs/>
                <w:color w:val="000000"/>
                <w:sz w:val="18"/>
                <w:szCs w:val="18"/>
              </w:rPr>
            </w:pPr>
            <w:r w:rsidRPr="00BC4AFE">
              <w:rPr>
                <w:i/>
                <w:iCs/>
                <w:color w:val="000000" w:themeColor="text1"/>
                <w:kern w:val="20"/>
                <w:sz w:val="17"/>
                <w:szCs w:val="17"/>
              </w:rPr>
              <w:t>(Thousands of United States dollars)</w:t>
            </w:r>
          </w:p>
        </w:tc>
      </w:tr>
      <w:tr w:rsidR="00FC752D" w:rsidRPr="00BC4AFE" w14:paraId="7C81C740" w14:textId="77777777" w:rsidTr="00AA0E75">
        <w:trPr>
          <w:trHeight w:val="290"/>
        </w:trPr>
        <w:tc>
          <w:tcPr>
            <w:tcW w:w="5160" w:type="dxa"/>
            <w:tcBorders>
              <w:top w:val="single" w:sz="4" w:space="0" w:color="auto"/>
              <w:left w:val="nil"/>
              <w:bottom w:val="nil"/>
              <w:right w:val="nil"/>
            </w:tcBorders>
            <w:shd w:val="clear" w:color="auto" w:fill="auto"/>
            <w:vAlign w:val="center"/>
            <w:hideMark/>
          </w:tcPr>
          <w:p w14:paraId="21DBDDDA" w14:textId="77777777" w:rsidR="00FC752D" w:rsidRPr="00BC4AFE" w:rsidRDefault="00FC752D" w:rsidP="00F86AA9">
            <w:pPr>
              <w:keepNext/>
              <w:keepLines/>
              <w:rPr>
                <w:color w:val="000000"/>
                <w:sz w:val="18"/>
                <w:szCs w:val="18"/>
              </w:rPr>
            </w:pPr>
            <w:r w:rsidRPr="00BC4AFE">
              <w:rPr>
                <w:color w:val="000000"/>
                <w:sz w:val="18"/>
                <w:szCs w:val="18"/>
              </w:rPr>
              <w:t>A. Governing and Subsidiary bodies</w:t>
            </w:r>
          </w:p>
        </w:tc>
        <w:tc>
          <w:tcPr>
            <w:tcW w:w="1180" w:type="dxa"/>
            <w:tcBorders>
              <w:top w:val="single" w:sz="4" w:space="0" w:color="auto"/>
              <w:left w:val="nil"/>
              <w:bottom w:val="nil"/>
              <w:right w:val="nil"/>
            </w:tcBorders>
            <w:shd w:val="clear" w:color="auto" w:fill="auto"/>
            <w:vAlign w:val="center"/>
            <w:hideMark/>
          </w:tcPr>
          <w:p w14:paraId="0ADAAF8B" w14:textId="77777777" w:rsidR="00FC752D" w:rsidRPr="00BC4AFE" w:rsidRDefault="00FC752D" w:rsidP="00F86AA9">
            <w:pPr>
              <w:keepNext/>
              <w:keepLines/>
              <w:jc w:val="right"/>
              <w:rPr>
                <w:color w:val="000000"/>
                <w:sz w:val="18"/>
                <w:szCs w:val="18"/>
              </w:rPr>
            </w:pPr>
            <w:r w:rsidRPr="00BC4AFE">
              <w:rPr>
                <w:color w:val="000000"/>
                <w:sz w:val="18"/>
                <w:szCs w:val="18"/>
              </w:rPr>
              <w:t>2,479.6</w:t>
            </w:r>
          </w:p>
        </w:tc>
        <w:tc>
          <w:tcPr>
            <w:tcW w:w="1180" w:type="dxa"/>
            <w:tcBorders>
              <w:top w:val="single" w:sz="4" w:space="0" w:color="auto"/>
              <w:left w:val="nil"/>
              <w:bottom w:val="nil"/>
              <w:right w:val="nil"/>
            </w:tcBorders>
            <w:shd w:val="clear" w:color="auto" w:fill="auto"/>
            <w:vAlign w:val="center"/>
            <w:hideMark/>
          </w:tcPr>
          <w:p w14:paraId="028D1595" w14:textId="77777777" w:rsidR="00FC752D" w:rsidRPr="00BC4AFE" w:rsidRDefault="00FC752D" w:rsidP="00F86AA9">
            <w:pPr>
              <w:keepNext/>
              <w:keepLines/>
              <w:jc w:val="right"/>
              <w:rPr>
                <w:color w:val="000000"/>
                <w:sz w:val="18"/>
                <w:szCs w:val="18"/>
              </w:rPr>
            </w:pPr>
            <w:r w:rsidRPr="00BC4AFE">
              <w:rPr>
                <w:color w:val="000000"/>
                <w:sz w:val="18"/>
                <w:szCs w:val="18"/>
              </w:rPr>
              <w:t>3,863.9</w:t>
            </w:r>
          </w:p>
        </w:tc>
        <w:tc>
          <w:tcPr>
            <w:tcW w:w="1180" w:type="dxa"/>
            <w:tcBorders>
              <w:top w:val="single" w:sz="4" w:space="0" w:color="auto"/>
              <w:left w:val="nil"/>
              <w:bottom w:val="nil"/>
              <w:right w:val="nil"/>
            </w:tcBorders>
            <w:shd w:val="clear" w:color="auto" w:fill="auto"/>
            <w:vAlign w:val="center"/>
            <w:hideMark/>
          </w:tcPr>
          <w:p w14:paraId="79819D70" w14:textId="77777777" w:rsidR="00FC752D" w:rsidRPr="00BC4AFE" w:rsidRDefault="00FC752D" w:rsidP="00F86AA9">
            <w:pPr>
              <w:keepNext/>
              <w:keepLines/>
              <w:jc w:val="right"/>
              <w:rPr>
                <w:b/>
                <w:bCs/>
                <w:color w:val="000000"/>
                <w:sz w:val="18"/>
                <w:szCs w:val="18"/>
              </w:rPr>
            </w:pPr>
            <w:r w:rsidRPr="00BC4AFE">
              <w:rPr>
                <w:b/>
                <w:bCs/>
                <w:color w:val="000000"/>
                <w:sz w:val="18"/>
                <w:szCs w:val="18"/>
              </w:rPr>
              <w:t>6,343.5</w:t>
            </w:r>
          </w:p>
        </w:tc>
      </w:tr>
      <w:tr w:rsidR="00FC752D" w:rsidRPr="00BC4AFE" w14:paraId="521C2EDA" w14:textId="77777777" w:rsidTr="002D6FE5">
        <w:trPr>
          <w:trHeight w:val="290"/>
        </w:trPr>
        <w:tc>
          <w:tcPr>
            <w:tcW w:w="5160" w:type="dxa"/>
            <w:tcBorders>
              <w:top w:val="nil"/>
              <w:left w:val="nil"/>
              <w:bottom w:val="nil"/>
              <w:right w:val="nil"/>
            </w:tcBorders>
            <w:shd w:val="clear" w:color="auto" w:fill="auto"/>
            <w:vAlign w:val="center"/>
            <w:hideMark/>
          </w:tcPr>
          <w:p w14:paraId="19C5D2DF" w14:textId="77777777" w:rsidR="00FC752D" w:rsidRPr="00BC4AFE" w:rsidRDefault="00FC752D" w:rsidP="00F86AA9">
            <w:pPr>
              <w:keepNext/>
              <w:keepLines/>
              <w:rPr>
                <w:color w:val="000000"/>
                <w:sz w:val="18"/>
                <w:szCs w:val="18"/>
              </w:rPr>
            </w:pPr>
            <w:r w:rsidRPr="00BC4AFE">
              <w:rPr>
                <w:color w:val="000000"/>
                <w:sz w:val="18"/>
                <w:szCs w:val="18"/>
              </w:rPr>
              <w:t>B. Executive direction and management</w:t>
            </w:r>
          </w:p>
        </w:tc>
        <w:tc>
          <w:tcPr>
            <w:tcW w:w="1180" w:type="dxa"/>
            <w:tcBorders>
              <w:top w:val="nil"/>
              <w:left w:val="nil"/>
              <w:bottom w:val="nil"/>
              <w:right w:val="nil"/>
            </w:tcBorders>
            <w:shd w:val="clear" w:color="auto" w:fill="auto"/>
            <w:vAlign w:val="center"/>
            <w:hideMark/>
          </w:tcPr>
          <w:p w14:paraId="553768C9" w14:textId="77777777" w:rsidR="00FC752D" w:rsidRPr="00BC4AFE" w:rsidRDefault="00FC752D" w:rsidP="00F86AA9">
            <w:pPr>
              <w:keepNext/>
              <w:keepLines/>
              <w:jc w:val="right"/>
              <w:rPr>
                <w:color w:val="000000"/>
                <w:sz w:val="18"/>
                <w:szCs w:val="18"/>
              </w:rPr>
            </w:pPr>
            <w:r w:rsidRPr="00BC4AFE">
              <w:rPr>
                <w:color w:val="000000"/>
                <w:sz w:val="18"/>
                <w:szCs w:val="18"/>
              </w:rPr>
              <w:t>2,909.8</w:t>
            </w:r>
          </w:p>
        </w:tc>
        <w:tc>
          <w:tcPr>
            <w:tcW w:w="1180" w:type="dxa"/>
            <w:tcBorders>
              <w:top w:val="nil"/>
              <w:left w:val="nil"/>
              <w:bottom w:val="nil"/>
              <w:right w:val="nil"/>
            </w:tcBorders>
            <w:shd w:val="clear" w:color="auto" w:fill="auto"/>
            <w:vAlign w:val="center"/>
            <w:hideMark/>
          </w:tcPr>
          <w:p w14:paraId="49BBD490" w14:textId="77777777" w:rsidR="00FC752D" w:rsidRPr="00BC4AFE" w:rsidRDefault="00FC752D" w:rsidP="00F86AA9">
            <w:pPr>
              <w:keepNext/>
              <w:keepLines/>
              <w:jc w:val="right"/>
              <w:rPr>
                <w:color w:val="000000"/>
                <w:sz w:val="18"/>
                <w:szCs w:val="18"/>
              </w:rPr>
            </w:pPr>
            <w:r w:rsidRPr="00BC4AFE">
              <w:rPr>
                <w:color w:val="000000"/>
                <w:sz w:val="18"/>
                <w:szCs w:val="18"/>
              </w:rPr>
              <w:t>3,028.0</w:t>
            </w:r>
          </w:p>
        </w:tc>
        <w:tc>
          <w:tcPr>
            <w:tcW w:w="1180" w:type="dxa"/>
            <w:tcBorders>
              <w:top w:val="nil"/>
              <w:left w:val="nil"/>
              <w:bottom w:val="nil"/>
              <w:right w:val="nil"/>
            </w:tcBorders>
            <w:shd w:val="clear" w:color="auto" w:fill="auto"/>
            <w:vAlign w:val="center"/>
            <w:hideMark/>
          </w:tcPr>
          <w:p w14:paraId="45D68795" w14:textId="77777777" w:rsidR="00FC752D" w:rsidRPr="00BC4AFE" w:rsidRDefault="00FC752D" w:rsidP="00F86AA9">
            <w:pPr>
              <w:keepNext/>
              <w:keepLines/>
              <w:jc w:val="right"/>
              <w:rPr>
                <w:b/>
                <w:bCs/>
                <w:color w:val="000000"/>
                <w:sz w:val="18"/>
                <w:szCs w:val="18"/>
              </w:rPr>
            </w:pPr>
            <w:r w:rsidRPr="00BC4AFE">
              <w:rPr>
                <w:b/>
                <w:bCs/>
                <w:color w:val="000000"/>
                <w:sz w:val="18"/>
                <w:szCs w:val="18"/>
              </w:rPr>
              <w:t>5,937.8</w:t>
            </w:r>
          </w:p>
        </w:tc>
      </w:tr>
      <w:tr w:rsidR="00FC752D" w:rsidRPr="00BC4AFE" w14:paraId="1DF58A3B" w14:textId="77777777" w:rsidTr="002D6FE5">
        <w:trPr>
          <w:trHeight w:val="290"/>
        </w:trPr>
        <w:tc>
          <w:tcPr>
            <w:tcW w:w="5160" w:type="dxa"/>
            <w:tcBorders>
              <w:top w:val="nil"/>
              <w:left w:val="nil"/>
              <w:bottom w:val="nil"/>
              <w:right w:val="nil"/>
            </w:tcBorders>
            <w:shd w:val="clear" w:color="auto" w:fill="auto"/>
            <w:vAlign w:val="center"/>
            <w:hideMark/>
          </w:tcPr>
          <w:p w14:paraId="1E3E453A" w14:textId="77777777" w:rsidR="00FC752D" w:rsidRPr="00BC4AFE" w:rsidRDefault="00FC752D" w:rsidP="00F86AA9">
            <w:pPr>
              <w:keepNext/>
              <w:keepLines/>
              <w:rPr>
                <w:color w:val="000000"/>
                <w:sz w:val="18"/>
                <w:szCs w:val="18"/>
              </w:rPr>
            </w:pPr>
            <w:r w:rsidRPr="00BC4AFE">
              <w:rPr>
                <w:color w:val="000000"/>
                <w:sz w:val="18"/>
                <w:szCs w:val="18"/>
              </w:rPr>
              <w:t>C. Programme of work</w:t>
            </w:r>
          </w:p>
        </w:tc>
        <w:tc>
          <w:tcPr>
            <w:tcW w:w="1180" w:type="dxa"/>
            <w:tcBorders>
              <w:top w:val="nil"/>
              <w:left w:val="nil"/>
              <w:bottom w:val="nil"/>
              <w:right w:val="nil"/>
            </w:tcBorders>
            <w:shd w:val="clear" w:color="auto" w:fill="auto"/>
            <w:vAlign w:val="center"/>
            <w:hideMark/>
          </w:tcPr>
          <w:p w14:paraId="55F2885A" w14:textId="77777777" w:rsidR="00FC752D" w:rsidRPr="00BC4AFE" w:rsidRDefault="00FC752D" w:rsidP="00F86AA9">
            <w:pPr>
              <w:keepNext/>
              <w:keepLines/>
              <w:jc w:val="right"/>
              <w:rPr>
                <w:color w:val="000000"/>
                <w:sz w:val="18"/>
                <w:szCs w:val="18"/>
              </w:rPr>
            </w:pPr>
            <w:r w:rsidRPr="00BC4AFE">
              <w:rPr>
                <w:color w:val="000000"/>
                <w:sz w:val="18"/>
                <w:szCs w:val="18"/>
              </w:rPr>
              <w:t>8,909.1</w:t>
            </w:r>
          </w:p>
        </w:tc>
        <w:tc>
          <w:tcPr>
            <w:tcW w:w="1180" w:type="dxa"/>
            <w:tcBorders>
              <w:top w:val="nil"/>
              <w:left w:val="nil"/>
              <w:bottom w:val="nil"/>
              <w:right w:val="nil"/>
            </w:tcBorders>
            <w:shd w:val="clear" w:color="auto" w:fill="auto"/>
            <w:vAlign w:val="center"/>
            <w:hideMark/>
          </w:tcPr>
          <w:p w14:paraId="5465CD12" w14:textId="77777777" w:rsidR="00FC752D" w:rsidRPr="00BC4AFE" w:rsidRDefault="00FC752D" w:rsidP="00F86AA9">
            <w:pPr>
              <w:keepNext/>
              <w:keepLines/>
              <w:jc w:val="right"/>
              <w:rPr>
                <w:color w:val="000000"/>
                <w:sz w:val="18"/>
                <w:szCs w:val="18"/>
              </w:rPr>
            </w:pPr>
            <w:r w:rsidRPr="00BC4AFE">
              <w:rPr>
                <w:color w:val="000000"/>
                <w:sz w:val="18"/>
                <w:szCs w:val="18"/>
              </w:rPr>
              <w:t>9,094.9</w:t>
            </w:r>
          </w:p>
        </w:tc>
        <w:tc>
          <w:tcPr>
            <w:tcW w:w="1180" w:type="dxa"/>
            <w:tcBorders>
              <w:top w:val="nil"/>
              <w:left w:val="nil"/>
              <w:bottom w:val="nil"/>
              <w:right w:val="nil"/>
            </w:tcBorders>
            <w:shd w:val="clear" w:color="auto" w:fill="auto"/>
            <w:vAlign w:val="center"/>
            <w:hideMark/>
          </w:tcPr>
          <w:p w14:paraId="6079065A" w14:textId="77777777" w:rsidR="00FC752D" w:rsidRPr="00BC4AFE" w:rsidRDefault="00FC752D" w:rsidP="00F86AA9">
            <w:pPr>
              <w:keepNext/>
              <w:keepLines/>
              <w:jc w:val="right"/>
              <w:rPr>
                <w:b/>
                <w:bCs/>
                <w:color w:val="000000"/>
                <w:sz w:val="18"/>
                <w:szCs w:val="18"/>
              </w:rPr>
            </w:pPr>
            <w:r w:rsidRPr="00BC4AFE">
              <w:rPr>
                <w:b/>
                <w:bCs/>
                <w:color w:val="000000"/>
                <w:sz w:val="18"/>
                <w:szCs w:val="18"/>
              </w:rPr>
              <w:t>18,004.0</w:t>
            </w:r>
          </w:p>
        </w:tc>
      </w:tr>
      <w:tr w:rsidR="00FC752D" w:rsidRPr="00BC4AFE" w14:paraId="31BC8A9E" w14:textId="77777777" w:rsidTr="002D6FE5">
        <w:trPr>
          <w:trHeight w:val="300"/>
        </w:trPr>
        <w:tc>
          <w:tcPr>
            <w:tcW w:w="5160" w:type="dxa"/>
            <w:tcBorders>
              <w:top w:val="nil"/>
              <w:left w:val="nil"/>
              <w:bottom w:val="nil"/>
              <w:right w:val="nil"/>
            </w:tcBorders>
            <w:shd w:val="clear" w:color="auto" w:fill="auto"/>
            <w:vAlign w:val="center"/>
            <w:hideMark/>
          </w:tcPr>
          <w:p w14:paraId="6FC4C39C" w14:textId="77777777" w:rsidR="00FC752D" w:rsidRPr="00BC4AFE" w:rsidRDefault="00FC752D" w:rsidP="00F86AA9">
            <w:pPr>
              <w:keepNext/>
              <w:keepLines/>
              <w:rPr>
                <w:color w:val="000000"/>
                <w:sz w:val="18"/>
                <w:szCs w:val="18"/>
              </w:rPr>
            </w:pPr>
            <w:r w:rsidRPr="00BC4AFE">
              <w:rPr>
                <w:color w:val="000000"/>
                <w:sz w:val="18"/>
                <w:szCs w:val="18"/>
              </w:rPr>
              <w:t>D. Administrative support</w:t>
            </w:r>
          </w:p>
        </w:tc>
        <w:tc>
          <w:tcPr>
            <w:tcW w:w="1180" w:type="dxa"/>
            <w:tcBorders>
              <w:top w:val="nil"/>
              <w:left w:val="nil"/>
              <w:bottom w:val="nil"/>
              <w:right w:val="nil"/>
            </w:tcBorders>
            <w:shd w:val="clear" w:color="auto" w:fill="auto"/>
            <w:vAlign w:val="center"/>
            <w:hideMark/>
          </w:tcPr>
          <w:p w14:paraId="6A913121" w14:textId="77777777" w:rsidR="00FC752D" w:rsidRPr="00BC4AFE" w:rsidRDefault="00FC752D" w:rsidP="00F86AA9">
            <w:pPr>
              <w:keepNext/>
              <w:keepLines/>
              <w:jc w:val="right"/>
              <w:rPr>
                <w:color w:val="000000"/>
                <w:sz w:val="18"/>
                <w:szCs w:val="18"/>
              </w:rPr>
            </w:pPr>
            <w:r w:rsidRPr="00BC4AFE">
              <w:rPr>
                <w:color w:val="000000"/>
                <w:sz w:val="18"/>
                <w:szCs w:val="18"/>
              </w:rPr>
              <w:t>3,148.6</w:t>
            </w:r>
          </w:p>
        </w:tc>
        <w:tc>
          <w:tcPr>
            <w:tcW w:w="1180" w:type="dxa"/>
            <w:tcBorders>
              <w:top w:val="nil"/>
              <w:left w:val="nil"/>
              <w:bottom w:val="nil"/>
              <w:right w:val="nil"/>
            </w:tcBorders>
            <w:shd w:val="clear" w:color="auto" w:fill="auto"/>
            <w:vAlign w:val="center"/>
            <w:hideMark/>
          </w:tcPr>
          <w:p w14:paraId="5F16A9C2" w14:textId="77777777" w:rsidR="00FC752D" w:rsidRPr="00BC4AFE" w:rsidRDefault="00FC752D" w:rsidP="00F86AA9">
            <w:pPr>
              <w:keepNext/>
              <w:keepLines/>
              <w:jc w:val="right"/>
              <w:rPr>
                <w:color w:val="000000"/>
                <w:sz w:val="18"/>
                <w:szCs w:val="18"/>
              </w:rPr>
            </w:pPr>
            <w:r w:rsidRPr="00BC4AFE">
              <w:rPr>
                <w:color w:val="000000"/>
                <w:sz w:val="18"/>
                <w:szCs w:val="18"/>
              </w:rPr>
              <w:t>2,998.8</w:t>
            </w:r>
          </w:p>
        </w:tc>
        <w:tc>
          <w:tcPr>
            <w:tcW w:w="1180" w:type="dxa"/>
            <w:tcBorders>
              <w:top w:val="nil"/>
              <w:left w:val="nil"/>
              <w:bottom w:val="nil"/>
              <w:right w:val="nil"/>
            </w:tcBorders>
            <w:shd w:val="clear" w:color="auto" w:fill="auto"/>
            <w:vAlign w:val="center"/>
            <w:hideMark/>
          </w:tcPr>
          <w:p w14:paraId="037B7177" w14:textId="77777777" w:rsidR="00FC752D" w:rsidRPr="00BC4AFE" w:rsidRDefault="00FC752D" w:rsidP="00F86AA9">
            <w:pPr>
              <w:keepNext/>
              <w:keepLines/>
              <w:jc w:val="right"/>
              <w:rPr>
                <w:b/>
                <w:bCs/>
                <w:color w:val="000000"/>
                <w:sz w:val="18"/>
                <w:szCs w:val="18"/>
              </w:rPr>
            </w:pPr>
            <w:r w:rsidRPr="00BC4AFE">
              <w:rPr>
                <w:b/>
                <w:bCs/>
                <w:color w:val="000000"/>
                <w:sz w:val="18"/>
                <w:szCs w:val="18"/>
              </w:rPr>
              <w:t>6,147.4</w:t>
            </w:r>
          </w:p>
        </w:tc>
      </w:tr>
      <w:tr w:rsidR="00FC752D" w:rsidRPr="00BC4AFE" w14:paraId="41CACB6B" w14:textId="77777777" w:rsidTr="002D6FE5">
        <w:trPr>
          <w:trHeight w:val="400"/>
        </w:trPr>
        <w:tc>
          <w:tcPr>
            <w:tcW w:w="5160" w:type="dxa"/>
            <w:tcBorders>
              <w:top w:val="single" w:sz="8" w:space="0" w:color="auto"/>
              <w:left w:val="nil"/>
              <w:bottom w:val="single" w:sz="8" w:space="0" w:color="auto"/>
              <w:right w:val="nil"/>
            </w:tcBorders>
            <w:shd w:val="clear" w:color="auto" w:fill="auto"/>
            <w:vAlign w:val="center"/>
            <w:hideMark/>
          </w:tcPr>
          <w:p w14:paraId="291EA591" w14:textId="77777777" w:rsidR="00FC752D" w:rsidRPr="00BC4AFE" w:rsidRDefault="00FC752D" w:rsidP="00F86AA9">
            <w:pPr>
              <w:rPr>
                <w:b/>
                <w:bCs/>
                <w:color w:val="000000"/>
                <w:sz w:val="18"/>
                <w:szCs w:val="18"/>
              </w:rPr>
            </w:pPr>
            <w:r w:rsidRPr="00BC4AFE">
              <w:rPr>
                <w:b/>
                <w:bCs/>
                <w:color w:val="000000"/>
                <w:sz w:val="18"/>
                <w:szCs w:val="18"/>
              </w:rPr>
              <w:t>Subtotal</w:t>
            </w:r>
          </w:p>
        </w:tc>
        <w:tc>
          <w:tcPr>
            <w:tcW w:w="1180" w:type="dxa"/>
            <w:tcBorders>
              <w:top w:val="single" w:sz="8" w:space="0" w:color="auto"/>
              <w:left w:val="nil"/>
              <w:bottom w:val="single" w:sz="8" w:space="0" w:color="auto"/>
              <w:right w:val="nil"/>
            </w:tcBorders>
            <w:shd w:val="clear" w:color="auto" w:fill="auto"/>
            <w:vAlign w:val="center"/>
            <w:hideMark/>
          </w:tcPr>
          <w:p w14:paraId="17C2812C" w14:textId="77777777" w:rsidR="00FC752D" w:rsidRPr="00BC4AFE" w:rsidRDefault="00FC752D" w:rsidP="00F86AA9">
            <w:pPr>
              <w:jc w:val="right"/>
              <w:rPr>
                <w:b/>
                <w:bCs/>
                <w:color w:val="000000"/>
                <w:sz w:val="18"/>
                <w:szCs w:val="18"/>
              </w:rPr>
            </w:pPr>
            <w:r w:rsidRPr="00BC4AFE">
              <w:rPr>
                <w:b/>
                <w:bCs/>
                <w:color w:val="000000"/>
                <w:sz w:val="18"/>
                <w:szCs w:val="18"/>
              </w:rPr>
              <w:t>17,447.1</w:t>
            </w:r>
          </w:p>
        </w:tc>
        <w:tc>
          <w:tcPr>
            <w:tcW w:w="1180" w:type="dxa"/>
            <w:tcBorders>
              <w:top w:val="single" w:sz="8" w:space="0" w:color="auto"/>
              <w:left w:val="nil"/>
              <w:bottom w:val="single" w:sz="8" w:space="0" w:color="auto"/>
              <w:right w:val="nil"/>
            </w:tcBorders>
            <w:shd w:val="clear" w:color="auto" w:fill="auto"/>
            <w:vAlign w:val="center"/>
            <w:hideMark/>
          </w:tcPr>
          <w:p w14:paraId="1BE23221" w14:textId="77777777" w:rsidR="00FC752D" w:rsidRPr="00BC4AFE" w:rsidRDefault="00FC752D" w:rsidP="00F86AA9">
            <w:pPr>
              <w:jc w:val="right"/>
              <w:rPr>
                <w:b/>
                <w:bCs/>
                <w:color w:val="000000"/>
                <w:sz w:val="18"/>
                <w:szCs w:val="18"/>
              </w:rPr>
            </w:pPr>
            <w:r w:rsidRPr="00BC4AFE">
              <w:rPr>
                <w:b/>
                <w:bCs/>
                <w:color w:val="000000"/>
                <w:sz w:val="18"/>
                <w:szCs w:val="18"/>
              </w:rPr>
              <w:t>18,985.6</w:t>
            </w:r>
          </w:p>
        </w:tc>
        <w:tc>
          <w:tcPr>
            <w:tcW w:w="1180" w:type="dxa"/>
            <w:tcBorders>
              <w:top w:val="single" w:sz="8" w:space="0" w:color="auto"/>
              <w:left w:val="nil"/>
              <w:bottom w:val="single" w:sz="8" w:space="0" w:color="auto"/>
              <w:right w:val="nil"/>
            </w:tcBorders>
            <w:shd w:val="clear" w:color="auto" w:fill="auto"/>
            <w:vAlign w:val="center"/>
            <w:hideMark/>
          </w:tcPr>
          <w:p w14:paraId="4FA9D7DB" w14:textId="77777777" w:rsidR="00FC752D" w:rsidRPr="00BC4AFE" w:rsidRDefault="00FC752D" w:rsidP="00F86AA9">
            <w:pPr>
              <w:jc w:val="right"/>
              <w:rPr>
                <w:b/>
                <w:bCs/>
                <w:color w:val="000000"/>
                <w:sz w:val="18"/>
                <w:szCs w:val="18"/>
              </w:rPr>
            </w:pPr>
            <w:r w:rsidRPr="00BC4AFE">
              <w:rPr>
                <w:b/>
                <w:bCs/>
                <w:color w:val="000000"/>
                <w:sz w:val="18"/>
                <w:szCs w:val="18"/>
              </w:rPr>
              <w:t>36,432.7</w:t>
            </w:r>
          </w:p>
        </w:tc>
      </w:tr>
      <w:tr w:rsidR="00FC752D" w:rsidRPr="00BC4AFE" w14:paraId="61E00C2A" w14:textId="77777777" w:rsidTr="002D6FE5">
        <w:trPr>
          <w:trHeight w:val="290"/>
        </w:trPr>
        <w:tc>
          <w:tcPr>
            <w:tcW w:w="5160" w:type="dxa"/>
            <w:tcBorders>
              <w:top w:val="nil"/>
              <w:left w:val="nil"/>
              <w:bottom w:val="nil"/>
              <w:right w:val="nil"/>
            </w:tcBorders>
            <w:shd w:val="clear" w:color="auto" w:fill="auto"/>
            <w:vAlign w:val="center"/>
            <w:hideMark/>
          </w:tcPr>
          <w:p w14:paraId="1BEAA010" w14:textId="77777777" w:rsidR="00FC752D" w:rsidRPr="00BC4AFE" w:rsidRDefault="00FC752D" w:rsidP="00F86AA9">
            <w:pPr>
              <w:rPr>
                <w:color w:val="000000"/>
                <w:sz w:val="18"/>
                <w:szCs w:val="18"/>
              </w:rPr>
            </w:pPr>
            <w:r w:rsidRPr="00BC4AFE">
              <w:rPr>
                <w:color w:val="000000"/>
                <w:sz w:val="18"/>
                <w:szCs w:val="18"/>
              </w:rPr>
              <w:t>Programme support costs</w:t>
            </w:r>
          </w:p>
        </w:tc>
        <w:tc>
          <w:tcPr>
            <w:tcW w:w="1180" w:type="dxa"/>
            <w:tcBorders>
              <w:top w:val="nil"/>
              <w:left w:val="nil"/>
              <w:bottom w:val="nil"/>
              <w:right w:val="nil"/>
            </w:tcBorders>
            <w:shd w:val="clear" w:color="auto" w:fill="auto"/>
            <w:vAlign w:val="center"/>
            <w:hideMark/>
          </w:tcPr>
          <w:p w14:paraId="130B57A3" w14:textId="77777777" w:rsidR="00FC752D" w:rsidRPr="00BC4AFE" w:rsidRDefault="00FC752D" w:rsidP="00F86AA9">
            <w:pPr>
              <w:jc w:val="right"/>
              <w:rPr>
                <w:color w:val="000000"/>
                <w:sz w:val="18"/>
                <w:szCs w:val="18"/>
              </w:rPr>
            </w:pPr>
            <w:r w:rsidRPr="00BC4AFE">
              <w:rPr>
                <w:color w:val="000000"/>
                <w:sz w:val="18"/>
                <w:szCs w:val="18"/>
              </w:rPr>
              <w:t>2,268.1</w:t>
            </w:r>
          </w:p>
        </w:tc>
        <w:tc>
          <w:tcPr>
            <w:tcW w:w="1180" w:type="dxa"/>
            <w:tcBorders>
              <w:top w:val="nil"/>
              <w:left w:val="nil"/>
              <w:bottom w:val="nil"/>
              <w:right w:val="nil"/>
            </w:tcBorders>
            <w:shd w:val="clear" w:color="auto" w:fill="auto"/>
            <w:vAlign w:val="center"/>
            <w:hideMark/>
          </w:tcPr>
          <w:p w14:paraId="352DC92E" w14:textId="77777777" w:rsidR="00FC752D" w:rsidRPr="00BC4AFE" w:rsidRDefault="00FC752D" w:rsidP="00F86AA9">
            <w:pPr>
              <w:jc w:val="right"/>
              <w:rPr>
                <w:color w:val="000000"/>
                <w:sz w:val="18"/>
                <w:szCs w:val="18"/>
              </w:rPr>
            </w:pPr>
            <w:r w:rsidRPr="00BC4AFE">
              <w:rPr>
                <w:color w:val="000000"/>
                <w:sz w:val="18"/>
                <w:szCs w:val="18"/>
              </w:rPr>
              <w:t>2,468.1</w:t>
            </w:r>
          </w:p>
        </w:tc>
        <w:tc>
          <w:tcPr>
            <w:tcW w:w="1180" w:type="dxa"/>
            <w:tcBorders>
              <w:top w:val="nil"/>
              <w:left w:val="nil"/>
              <w:bottom w:val="nil"/>
              <w:right w:val="nil"/>
            </w:tcBorders>
            <w:shd w:val="clear" w:color="auto" w:fill="auto"/>
            <w:vAlign w:val="center"/>
            <w:hideMark/>
          </w:tcPr>
          <w:p w14:paraId="388BAFB2" w14:textId="77777777" w:rsidR="00FC752D" w:rsidRPr="00BC4AFE" w:rsidRDefault="00FC752D" w:rsidP="00F86AA9">
            <w:pPr>
              <w:jc w:val="right"/>
              <w:rPr>
                <w:b/>
                <w:bCs/>
                <w:color w:val="000000"/>
                <w:sz w:val="18"/>
                <w:szCs w:val="18"/>
              </w:rPr>
            </w:pPr>
            <w:r w:rsidRPr="00BC4AFE">
              <w:rPr>
                <w:b/>
                <w:bCs/>
                <w:color w:val="000000"/>
                <w:sz w:val="18"/>
                <w:szCs w:val="18"/>
              </w:rPr>
              <w:t>4,736.2</w:t>
            </w:r>
          </w:p>
        </w:tc>
      </w:tr>
      <w:tr w:rsidR="00FC752D" w:rsidRPr="00BC4AFE" w14:paraId="3A683D7A" w14:textId="77777777" w:rsidTr="002D6FE5">
        <w:trPr>
          <w:trHeight w:val="300"/>
        </w:trPr>
        <w:tc>
          <w:tcPr>
            <w:tcW w:w="5160" w:type="dxa"/>
            <w:tcBorders>
              <w:top w:val="nil"/>
              <w:left w:val="nil"/>
              <w:bottom w:val="nil"/>
              <w:right w:val="nil"/>
            </w:tcBorders>
            <w:shd w:val="clear" w:color="auto" w:fill="auto"/>
            <w:vAlign w:val="center"/>
            <w:hideMark/>
          </w:tcPr>
          <w:p w14:paraId="6B3F928E" w14:textId="77777777" w:rsidR="00FC752D" w:rsidRPr="00BC4AFE" w:rsidRDefault="00FC752D" w:rsidP="00F86AA9">
            <w:pPr>
              <w:rPr>
                <w:color w:val="000000"/>
                <w:sz w:val="18"/>
                <w:szCs w:val="18"/>
              </w:rPr>
            </w:pPr>
            <w:r w:rsidRPr="00BC4AFE">
              <w:rPr>
                <w:color w:val="000000"/>
                <w:sz w:val="18"/>
                <w:szCs w:val="18"/>
              </w:rPr>
              <w:t>Working Capital Reserve</w:t>
            </w:r>
          </w:p>
        </w:tc>
        <w:tc>
          <w:tcPr>
            <w:tcW w:w="1180" w:type="dxa"/>
            <w:tcBorders>
              <w:top w:val="nil"/>
              <w:left w:val="nil"/>
              <w:bottom w:val="nil"/>
              <w:right w:val="nil"/>
            </w:tcBorders>
            <w:shd w:val="clear" w:color="auto" w:fill="auto"/>
            <w:vAlign w:val="center"/>
            <w:hideMark/>
          </w:tcPr>
          <w:p w14:paraId="00E62FA0" w14:textId="77777777" w:rsidR="00FC752D" w:rsidRPr="00BC4AFE" w:rsidRDefault="00FC752D" w:rsidP="00F86AA9">
            <w:pPr>
              <w:jc w:val="right"/>
              <w:rPr>
                <w:color w:val="000000"/>
                <w:sz w:val="18"/>
                <w:szCs w:val="18"/>
              </w:rPr>
            </w:pPr>
            <w:r w:rsidRPr="00BC4AFE">
              <w:rPr>
                <w:color w:val="000000"/>
                <w:sz w:val="18"/>
                <w:szCs w:val="18"/>
              </w:rPr>
              <w:t>216.4</w:t>
            </w:r>
          </w:p>
        </w:tc>
        <w:tc>
          <w:tcPr>
            <w:tcW w:w="1180" w:type="dxa"/>
            <w:tcBorders>
              <w:top w:val="nil"/>
              <w:left w:val="nil"/>
              <w:bottom w:val="nil"/>
              <w:right w:val="nil"/>
            </w:tcBorders>
            <w:shd w:val="clear" w:color="auto" w:fill="auto"/>
            <w:vAlign w:val="center"/>
            <w:hideMark/>
          </w:tcPr>
          <w:p w14:paraId="19BDBF1B" w14:textId="77777777" w:rsidR="00FC752D" w:rsidRPr="00BC4AFE" w:rsidRDefault="00FC752D" w:rsidP="00F86AA9">
            <w:pPr>
              <w:jc w:val="right"/>
              <w:rPr>
                <w:color w:val="000000"/>
                <w:sz w:val="18"/>
                <w:szCs w:val="18"/>
              </w:rPr>
            </w:pPr>
            <w:r w:rsidRPr="00BC4AFE">
              <w:rPr>
                <w:color w:val="000000"/>
                <w:sz w:val="18"/>
                <w:szCs w:val="18"/>
              </w:rPr>
              <w:t>260.8</w:t>
            </w:r>
          </w:p>
        </w:tc>
        <w:tc>
          <w:tcPr>
            <w:tcW w:w="1180" w:type="dxa"/>
            <w:tcBorders>
              <w:top w:val="nil"/>
              <w:left w:val="nil"/>
              <w:bottom w:val="nil"/>
              <w:right w:val="nil"/>
            </w:tcBorders>
            <w:shd w:val="clear" w:color="auto" w:fill="auto"/>
            <w:noWrap/>
            <w:vAlign w:val="center"/>
            <w:hideMark/>
          </w:tcPr>
          <w:p w14:paraId="1F592835" w14:textId="77777777" w:rsidR="00FC752D" w:rsidRPr="00BC4AFE" w:rsidRDefault="00FC752D" w:rsidP="00F86AA9">
            <w:pPr>
              <w:jc w:val="right"/>
              <w:rPr>
                <w:b/>
                <w:bCs/>
                <w:color w:val="000000"/>
                <w:sz w:val="18"/>
                <w:szCs w:val="18"/>
              </w:rPr>
            </w:pPr>
            <w:r w:rsidRPr="00BC4AFE">
              <w:rPr>
                <w:b/>
                <w:bCs/>
                <w:color w:val="000000"/>
                <w:sz w:val="18"/>
                <w:szCs w:val="18"/>
              </w:rPr>
              <w:t>477.2</w:t>
            </w:r>
          </w:p>
        </w:tc>
      </w:tr>
      <w:tr w:rsidR="00FC752D" w:rsidRPr="00BC4AFE" w14:paraId="4661F39D" w14:textId="77777777" w:rsidTr="002D6FE5">
        <w:trPr>
          <w:trHeight w:val="400"/>
        </w:trPr>
        <w:tc>
          <w:tcPr>
            <w:tcW w:w="5160" w:type="dxa"/>
            <w:tcBorders>
              <w:top w:val="single" w:sz="8" w:space="0" w:color="auto"/>
              <w:left w:val="nil"/>
              <w:bottom w:val="single" w:sz="8" w:space="0" w:color="auto"/>
              <w:right w:val="nil"/>
            </w:tcBorders>
            <w:shd w:val="clear" w:color="auto" w:fill="auto"/>
            <w:vAlign w:val="center"/>
            <w:hideMark/>
          </w:tcPr>
          <w:p w14:paraId="4C0B46B3" w14:textId="77777777" w:rsidR="00FC752D" w:rsidRPr="00BC4AFE" w:rsidRDefault="00FC752D" w:rsidP="00F86AA9">
            <w:pPr>
              <w:rPr>
                <w:b/>
                <w:bCs/>
                <w:color w:val="000000"/>
                <w:sz w:val="18"/>
                <w:szCs w:val="18"/>
              </w:rPr>
            </w:pPr>
            <w:r w:rsidRPr="00BC4AFE">
              <w:rPr>
                <w:b/>
                <w:bCs/>
                <w:color w:val="000000"/>
                <w:sz w:val="18"/>
                <w:szCs w:val="18"/>
              </w:rPr>
              <w:t>Total requirements</w:t>
            </w:r>
          </w:p>
        </w:tc>
        <w:tc>
          <w:tcPr>
            <w:tcW w:w="1180" w:type="dxa"/>
            <w:tcBorders>
              <w:top w:val="single" w:sz="8" w:space="0" w:color="auto"/>
              <w:left w:val="nil"/>
              <w:bottom w:val="single" w:sz="8" w:space="0" w:color="auto"/>
              <w:right w:val="nil"/>
            </w:tcBorders>
            <w:shd w:val="clear" w:color="auto" w:fill="auto"/>
            <w:vAlign w:val="center"/>
            <w:hideMark/>
          </w:tcPr>
          <w:p w14:paraId="67A42D39" w14:textId="77777777" w:rsidR="00FC752D" w:rsidRPr="00BC4AFE" w:rsidRDefault="00FC752D" w:rsidP="00F86AA9">
            <w:pPr>
              <w:jc w:val="right"/>
              <w:rPr>
                <w:b/>
                <w:bCs/>
                <w:color w:val="000000"/>
                <w:sz w:val="18"/>
                <w:szCs w:val="18"/>
              </w:rPr>
            </w:pPr>
            <w:r w:rsidRPr="00BC4AFE">
              <w:rPr>
                <w:b/>
                <w:bCs/>
                <w:color w:val="000000"/>
                <w:sz w:val="18"/>
                <w:szCs w:val="18"/>
              </w:rPr>
              <w:t>19,931.6</w:t>
            </w:r>
          </w:p>
        </w:tc>
        <w:tc>
          <w:tcPr>
            <w:tcW w:w="1180" w:type="dxa"/>
            <w:tcBorders>
              <w:top w:val="single" w:sz="8" w:space="0" w:color="auto"/>
              <w:left w:val="nil"/>
              <w:bottom w:val="single" w:sz="8" w:space="0" w:color="auto"/>
              <w:right w:val="nil"/>
            </w:tcBorders>
            <w:shd w:val="clear" w:color="auto" w:fill="auto"/>
            <w:vAlign w:val="center"/>
            <w:hideMark/>
          </w:tcPr>
          <w:p w14:paraId="2067C8A3" w14:textId="77777777" w:rsidR="00FC752D" w:rsidRPr="00BC4AFE" w:rsidRDefault="00FC752D" w:rsidP="00F86AA9">
            <w:pPr>
              <w:jc w:val="right"/>
              <w:rPr>
                <w:b/>
                <w:bCs/>
                <w:color w:val="000000"/>
                <w:sz w:val="18"/>
                <w:szCs w:val="18"/>
              </w:rPr>
            </w:pPr>
            <w:r w:rsidRPr="00BC4AFE">
              <w:rPr>
                <w:b/>
                <w:bCs/>
                <w:color w:val="000000"/>
                <w:sz w:val="18"/>
                <w:szCs w:val="18"/>
              </w:rPr>
              <w:t>21,714.5</w:t>
            </w:r>
          </w:p>
        </w:tc>
        <w:tc>
          <w:tcPr>
            <w:tcW w:w="1180" w:type="dxa"/>
            <w:tcBorders>
              <w:top w:val="single" w:sz="8" w:space="0" w:color="auto"/>
              <w:left w:val="nil"/>
              <w:bottom w:val="single" w:sz="8" w:space="0" w:color="auto"/>
              <w:right w:val="nil"/>
            </w:tcBorders>
            <w:shd w:val="clear" w:color="auto" w:fill="auto"/>
            <w:vAlign w:val="center"/>
            <w:hideMark/>
          </w:tcPr>
          <w:p w14:paraId="4888E264" w14:textId="77777777" w:rsidR="00FC752D" w:rsidRPr="00BC4AFE" w:rsidRDefault="00FC752D" w:rsidP="00F86AA9">
            <w:pPr>
              <w:jc w:val="right"/>
              <w:rPr>
                <w:b/>
                <w:bCs/>
                <w:color w:val="000000"/>
                <w:sz w:val="18"/>
                <w:szCs w:val="18"/>
              </w:rPr>
            </w:pPr>
            <w:r w:rsidRPr="00BC4AFE">
              <w:rPr>
                <w:b/>
                <w:bCs/>
                <w:color w:val="000000"/>
                <w:sz w:val="18"/>
                <w:szCs w:val="18"/>
              </w:rPr>
              <w:t>41,646.1</w:t>
            </w:r>
          </w:p>
        </w:tc>
      </w:tr>
      <w:tr w:rsidR="00FC752D" w:rsidRPr="00BC4AFE" w14:paraId="1D00E683" w14:textId="77777777" w:rsidTr="002D6FE5">
        <w:trPr>
          <w:trHeight w:val="470"/>
        </w:trPr>
        <w:tc>
          <w:tcPr>
            <w:tcW w:w="5160" w:type="dxa"/>
            <w:tcBorders>
              <w:top w:val="nil"/>
              <w:left w:val="nil"/>
              <w:bottom w:val="single" w:sz="8" w:space="0" w:color="auto"/>
              <w:right w:val="nil"/>
            </w:tcBorders>
            <w:shd w:val="clear" w:color="auto" w:fill="auto"/>
            <w:vAlign w:val="center"/>
            <w:hideMark/>
          </w:tcPr>
          <w:p w14:paraId="36CBAD58" w14:textId="77777777" w:rsidR="00FC752D" w:rsidRPr="00BC4AFE" w:rsidRDefault="00FC752D" w:rsidP="00F86AA9">
            <w:pPr>
              <w:rPr>
                <w:b/>
                <w:bCs/>
                <w:color w:val="000000"/>
                <w:sz w:val="18"/>
                <w:szCs w:val="18"/>
              </w:rPr>
            </w:pPr>
            <w:r w:rsidRPr="00BC4AFE">
              <w:rPr>
                <w:b/>
                <w:bCs/>
                <w:color w:val="000000"/>
                <w:sz w:val="18"/>
                <w:szCs w:val="18"/>
              </w:rPr>
              <w:t>Convention share of the integrated budget (72%)</w:t>
            </w:r>
          </w:p>
        </w:tc>
        <w:tc>
          <w:tcPr>
            <w:tcW w:w="1180" w:type="dxa"/>
            <w:tcBorders>
              <w:top w:val="nil"/>
              <w:left w:val="nil"/>
              <w:bottom w:val="single" w:sz="8" w:space="0" w:color="auto"/>
              <w:right w:val="nil"/>
            </w:tcBorders>
            <w:shd w:val="clear" w:color="auto" w:fill="auto"/>
            <w:vAlign w:val="center"/>
            <w:hideMark/>
          </w:tcPr>
          <w:p w14:paraId="3EC5E49B" w14:textId="77777777" w:rsidR="00FC752D" w:rsidRPr="00BC4AFE" w:rsidRDefault="00FC752D" w:rsidP="00F86AA9">
            <w:pPr>
              <w:jc w:val="right"/>
              <w:rPr>
                <w:b/>
                <w:bCs/>
                <w:color w:val="000000"/>
                <w:sz w:val="18"/>
                <w:szCs w:val="18"/>
              </w:rPr>
            </w:pPr>
            <w:r w:rsidRPr="00BC4AFE">
              <w:rPr>
                <w:b/>
                <w:bCs/>
                <w:color w:val="000000"/>
                <w:sz w:val="18"/>
                <w:szCs w:val="18"/>
              </w:rPr>
              <w:t>14,350.8</w:t>
            </w:r>
          </w:p>
        </w:tc>
        <w:tc>
          <w:tcPr>
            <w:tcW w:w="1180" w:type="dxa"/>
            <w:tcBorders>
              <w:top w:val="nil"/>
              <w:left w:val="nil"/>
              <w:bottom w:val="single" w:sz="8" w:space="0" w:color="auto"/>
              <w:right w:val="nil"/>
            </w:tcBorders>
            <w:shd w:val="clear" w:color="auto" w:fill="auto"/>
            <w:vAlign w:val="center"/>
            <w:hideMark/>
          </w:tcPr>
          <w:p w14:paraId="48DFEDC4" w14:textId="77777777" w:rsidR="00FC752D" w:rsidRPr="00BC4AFE" w:rsidRDefault="00FC752D" w:rsidP="00F86AA9">
            <w:pPr>
              <w:jc w:val="right"/>
              <w:rPr>
                <w:b/>
                <w:bCs/>
                <w:color w:val="000000"/>
                <w:sz w:val="18"/>
                <w:szCs w:val="18"/>
              </w:rPr>
            </w:pPr>
            <w:r w:rsidRPr="00BC4AFE">
              <w:rPr>
                <w:b/>
                <w:bCs/>
                <w:color w:val="000000"/>
                <w:sz w:val="18"/>
                <w:szCs w:val="18"/>
              </w:rPr>
              <w:t>15,634.4</w:t>
            </w:r>
          </w:p>
        </w:tc>
        <w:tc>
          <w:tcPr>
            <w:tcW w:w="1180" w:type="dxa"/>
            <w:tcBorders>
              <w:top w:val="nil"/>
              <w:left w:val="nil"/>
              <w:bottom w:val="single" w:sz="8" w:space="0" w:color="auto"/>
              <w:right w:val="nil"/>
            </w:tcBorders>
            <w:shd w:val="clear" w:color="auto" w:fill="auto"/>
            <w:vAlign w:val="center"/>
            <w:hideMark/>
          </w:tcPr>
          <w:p w14:paraId="51B161C7" w14:textId="77777777" w:rsidR="00FC752D" w:rsidRPr="00BC4AFE" w:rsidRDefault="00FC752D" w:rsidP="00F86AA9">
            <w:pPr>
              <w:jc w:val="right"/>
              <w:rPr>
                <w:b/>
                <w:bCs/>
                <w:color w:val="000000"/>
                <w:sz w:val="18"/>
                <w:szCs w:val="18"/>
              </w:rPr>
            </w:pPr>
            <w:r w:rsidRPr="00BC4AFE">
              <w:rPr>
                <w:b/>
                <w:bCs/>
                <w:color w:val="000000"/>
                <w:sz w:val="18"/>
                <w:szCs w:val="18"/>
              </w:rPr>
              <w:t>29,985.2</w:t>
            </w:r>
          </w:p>
        </w:tc>
      </w:tr>
      <w:tr w:rsidR="00FC752D" w:rsidRPr="00BC4AFE" w14:paraId="13899BC2" w14:textId="77777777" w:rsidTr="002D6FE5">
        <w:trPr>
          <w:trHeight w:val="290"/>
        </w:trPr>
        <w:tc>
          <w:tcPr>
            <w:tcW w:w="5160" w:type="dxa"/>
            <w:tcBorders>
              <w:top w:val="nil"/>
              <w:left w:val="nil"/>
              <w:bottom w:val="nil"/>
              <w:right w:val="nil"/>
            </w:tcBorders>
            <w:shd w:val="clear" w:color="auto" w:fill="auto"/>
            <w:vAlign w:val="center"/>
            <w:hideMark/>
          </w:tcPr>
          <w:p w14:paraId="4697F38D" w14:textId="77777777" w:rsidR="00FC752D" w:rsidRPr="00BC4AFE" w:rsidRDefault="00FC752D" w:rsidP="00F86AA9">
            <w:pPr>
              <w:rPr>
                <w:color w:val="000000"/>
                <w:sz w:val="18"/>
                <w:szCs w:val="18"/>
              </w:rPr>
            </w:pPr>
            <w:r w:rsidRPr="00BC4AFE">
              <w:rPr>
                <w:color w:val="000000"/>
                <w:sz w:val="18"/>
                <w:szCs w:val="18"/>
              </w:rPr>
              <w:t>Less contributions from host country</w:t>
            </w:r>
          </w:p>
        </w:tc>
        <w:tc>
          <w:tcPr>
            <w:tcW w:w="1180" w:type="dxa"/>
            <w:tcBorders>
              <w:top w:val="nil"/>
              <w:left w:val="nil"/>
              <w:bottom w:val="nil"/>
              <w:right w:val="nil"/>
            </w:tcBorders>
            <w:shd w:val="clear" w:color="auto" w:fill="auto"/>
            <w:vAlign w:val="center"/>
            <w:hideMark/>
          </w:tcPr>
          <w:p w14:paraId="4E673865" w14:textId="77777777" w:rsidR="00FC752D" w:rsidRPr="00BC4AFE" w:rsidRDefault="00FC752D" w:rsidP="00F86AA9">
            <w:pPr>
              <w:jc w:val="right"/>
              <w:rPr>
                <w:color w:val="000000"/>
                <w:sz w:val="18"/>
                <w:szCs w:val="18"/>
              </w:rPr>
            </w:pPr>
            <w:r w:rsidRPr="00BC4AFE">
              <w:rPr>
                <w:color w:val="000000"/>
                <w:sz w:val="18"/>
                <w:szCs w:val="18"/>
              </w:rPr>
              <w:t>-1,176.2</w:t>
            </w:r>
          </w:p>
        </w:tc>
        <w:tc>
          <w:tcPr>
            <w:tcW w:w="1180" w:type="dxa"/>
            <w:tcBorders>
              <w:top w:val="nil"/>
              <w:left w:val="nil"/>
              <w:bottom w:val="nil"/>
              <w:right w:val="nil"/>
            </w:tcBorders>
            <w:shd w:val="clear" w:color="auto" w:fill="auto"/>
            <w:vAlign w:val="center"/>
            <w:hideMark/>
          </w:tcPr>
          <w:p w14:paraId="68EB622A" w14:textId="77777777" w:rsidR="00FC752D" w:rsidRPr="00BC4AFE" w:rsidRDefault="00FC752D" w:rsidP="00F86AA9">
            <w:pPr>
              <w:jc w:val="right"/>
              <w:rPr>
                <w:color w:val="000000"/>
                <w:sz w:val="18"/>
                <w:szCs w:val="18"/>
              </w:rPr>
            </w:pPr>
            <w:r w:rsidRPr="00BC4AFE">
              <w:rPr>
                <w:color w:val="000000"/>
                <w:sz w:val="18"/>
                <w:szCs w:val="18"/>
              </w:rPr>
              <w:t>-1,198.4</w:t>
            </w:r>
          </w:p>
        </w:tc>
        <w:tc>
          <w:tcPr>
            <w:tcW w:w="1180" w:type="dxa"/>
            <w:tcBorders>
              <w:top w:val="nil"/>
              <w:left w:val="nil"/>
              <w:bottom w:val="nil"/>
              <w:right w:val="nil"/>
            </w:tcBorders>
            <w:shd w:val="clear" w:color="auto" w:fill="auto"/>
            <w:vAlign w:val="center"/>
            <w:hideMark/>
          </w:tcPr>
          <w:p w14:paraId="2921DF8B" w14:textId="77777777" w:rsidR="00FC752D" w:rsidRPr="00BC4AFE" w:rsidRDefault="00FC752D" w:rsidP="00F86AA9">
            <w:pPr>
              <w:jc w:val="right"/>
              <w:rPr>
                <w:b/>
                <w:bCs/>
                <w:color w:val="000000"/>
                <w:sz w:val="18"/>
                <w:szCs w:val="18"/>
              </w:rPr>
            </w:pPr>
            <w:r w:rsidRPr="00BC4AFE">
              <w:rPr>
                <w:b/>
                <w:bCs/>
                <w:color w:val="000000"/>
                <w:sz w:val="18"/>
                <w:szCs w:val="18"/>
              </w:rPr>
              <w:t>-2,374.6</w:t>
            </w:r>
          </w:p>
        </w:tc>
      </w:tr>
      <w:tr w:rsidR="00FC752D" w:rsidRPr="00BC4AFE" w14:paraId="7D790490" w14:textId="77777777" w:rsidTr="002D6FE5">
        <w:trPr>
          <w:trHeight w:val="300"/>
        </w:trPr>
        <w:tc>
          <w:tcPr>
            <w:tcW w:w="5160" w:type="dxa"/>
            <w:tcBorders>
              <w:top w:val="nil"/>
              <w:left w:val="nil"/>
              <w:bottom w:val="single" w:sz="8" w:space="0" w:color="auto"/>
              <w:right w:val="nil"/>
            </w:tcBorders>
            <w:shd w:val="clear" w:color="auto" w:fill="auto"/>
            <w:vAlign w:val="center"/>
            <w:hideMark/>
          </w:tcPr>
          <w:p w14:paraId="21292729" w14:textId="77777777" w:rsidR="00FC752D" w:rsidRPr="00BC4AFE" w:rsidRDefault="00FC752D" w:rsidP="00F86AA9">
            <w:pPr>
              <w:rPr>
                <w:color w:val="000000"/>
                <w:sz w:val="18"/>
                <w:szCs w:val="18"/>
              </w:rPr>
            </w:pPr>
            <w:r w:rsidRPr="00BC4AFE">
              <w:rPr>
                <w:color w:val="000000"/>
                <w:sz w:val="18"/>
                <w:szCs w:val="18"/>
              </w:rPr>
              <w:t xml:space="preserve">Less reserve </w:t>
            </w:r>
          </w:p>
        </w:tc>
        <w:tc>
          <w:tcPr>
            <w:tcW w:w="1180" w:type="dxa"/>
            <w:tcBorders>
              <w:top w:val="nil"/>
              <w:left w:val="nil"/>
              <w:bottom w:val="single" w:sz="8" w:space="0" w:color="auto"/>
              <w:right w:val="nil"/>
            </w:tcBorders>
            <w:shd w:val="clear" w:color="auto" w:fill="auto"/>
            <w:vAlign w:val="center"/>
            <w:hideMark/>
          </w:tcPr>
          <w:p w14:paraId="42D026E3" w14:textId="77777777" w:rsidR="00FC752D" w:rsidRPr="00BC4AFE" w:rsidRDefault="00FC752D" w:rsidP="00F86AA9">
            <w:pPr>
              <w:jc w:val="right"/>
              <w:rPr>
                <w:color w:val="000000"/>
                <w:sz w:val="18"/>
                <w:szCs w:val="18"/>
              </w:rPr>
            </w:pPr>
            <w:r w:rsidRPr="00BC4AFE">
              <w:rPr>
                <w:color w:val="000000"/>
                <w:sz w:val="18"/>
                <w:szCs w:val="18"/>
              </w:rPr>
              <w:t>-147.6</w:t>
            </w:r>
          </w:p>
        </w:tc>
        <w:tc>
          <w:tcPr>
            <w:tcW w:w="1180" w:type="dxa"/>
            <w:tcBorders>
              <w:top w:val="nil"/>
              <w:left w:val="nil"/>
              <w:bottom w:val="single" w:sz="8" w:space="0" w:color="auto"/>
              <w:right w:val="nil"/>
            </w:tcBorders>
            <w:shd w:val="clear" w:color="auto" w:fill="auto"/>
            <w:vAlign w:val="center"/>
            <w:hideMark/>
          </w:tcPr>
          <w:p w14:paraId="4670A7E2" w14:textId="77777777" w:rsidR="00FC752D" w:rsidRPr="00BC4AFE" w:rsidRDefault="00FC752D" w:rsidP="00F86AA9">
            <w:pPr>
              <w:jc w:val="right"/>
              <w:rPr>
                <w:color w:val="000000"/>
                <w:sz w:val="18"/>
                <w:szCs w:val="18"/>
              </w:rPr>
            </w:pPr>
            <w:r w:rsidRPr="00BC4AFE">
              <w:rPr>
                <w:color w:val="000000"/>
                <w:sz w:val="18"/>
                <w:szCs w:val="18"/>
              </w:rPr>
              <w:t>-147.6</w:t>
            </w:r>
          </w:p>
        </w:tc>
        <w:tc>
          <w:tcPr>
            <w:tcW w:w="1180" w:type="dxa"/>
            <w:tcBorders>
              <w:top w:val="nil"/>
              <w:left w:val="nil"/>
              <w:bottom w:val="nil"/>
              <w:right w:val="nil"/>
            </w:tcBorders>
            <w:shd w:val="clear" w:color="auto" w:fill="auto"/>
            <w:vAlign w:val="center"/>
            <w:hideMark/>
          </w:tcPr>
          <w:p w14:paraId="6AE565A3" w14:textId="77777777" w:rsidR="00FC752D" w:rsidRPr="00BC4AFE" w:rsidRDefault="00FC752D" w:rsidP="00F86AA9">
            <w:pPr>
              <w:jc w:val="right"/>
              <w:rPr>
                <w:b/>
                <w:bCs/>
                <w:color w:val="000000"/>
                <w:sz w:val="18"/>
                <w:szCs w:val="18"/>
              </w:rPr>
            </w:pPr>
            <w:r w:rsidRPr="00BC4AFE">
              <w:rPr>
                <w:b/>
                <w:bCs/>
                <w:color w:val="000000"/>
                <w:sz w:val="18"/>
                <w:szCs w:val="18"/>
              </w:rPr>
              <w:t>-295.2</w:t>
            </w:r>
          </w:p>
        </w:tc>
      </w:tr>
      <w:tr w:rsidR="00FC752D" w:rsidRPr="00BC4AFE" w14:paraId="4F514606" w14:textId="77777777" w:rsidTr="002D6FE5">
        <w:trPr>
          <w:trHeight w:val="470"/>
        </w:trPr>
        <w:tc>
          <w:tcPr>
            <w:tcW w:w="5160" w:type="dxa"/>
            <w:tcBorders>
              <w:top w:val="nil"/>
              <w:left w:val="nil"/>
              <w:bottom w:val="single" w:sz="8" w:space="0" w:color="auto"/>
              <w:right w:val="nil"/>
            </w:tcBorders>
            <w:shd w:val="clear" w:color="auto" w:fill="auto"/>
            <w:vAlign w:val="center"/>
            <w:hideMark/>
          </w:tcPr>
          <w:p w14:paraId="26B10D50" w14:textId="77777777" w:rsidR="00FC752D" w:rsidRPr="00BC4AFE" w:rsidRDefault="00FC752D" w:rsidP="00F86AA9">
            <w:pPr>
              <w:rPr>
                <w:b/>
                <w:bCs/>
                <w:i/>
                <w:iCs/>
                <w:color w:val="000000"/>
                <w:sz w:val="18"/>
                <w:szCs w:val="18"/>
              </w:rPr>
            </w:pPr>
            <w:r w:rsidRPr="00BC4AFE">
              <w:rPr>
                <w:b/>
                <w:bCs/>
                <w:i/>
                <w:iCs/>
                <w:color w:val="000000"/>
                <w:sz w:val="18"/>
                <w:szCs w:val="18"/>
              </w:rPr>
              <w:t>Net total (to be shared by Parties)</w:t>
            </w:r>
          </w:p>
        </w:tc>
        <w:tc>
          <w:tcPr>
            <w:tcW w:w="1180" w:type="dxa"/>
            <w:tcBorders>
              <w:top w:val="nil"/>
              <w:left w:val="nil"/>
              <w:bottom w:val="single" w:sz="8" w:space="0" w:color="auto"/>
              <w:right w:val="nil"/>
            </w:tcBorders>
            <w:shd w:val="clear" w:color="auto" w:fill="auto"/>
            <w:vAlign w:val="center"/>
            <w:hideMark/>
          </w:tcPr>
          <w:p w14:paraId="7158796C" w14:textId="77777777" w:rsidR="00FC752D" w:rsidRPr="00BC4AFE" w:rsidRDefault="00FC752D" w:rsidP="00F86AA9">
            <w:pPr>
              <w:jc w:val="right"/>
              <w:rPr>
                <w:b/>
                <w:bCs/>
                <w:i/>
                <w:iCs/>
                <w:color w:val="000000"/>
                <w:sz w:val="18"/>
                <w:szCs w:val="18"/>
              </w:rPr>
            </w:pPr>
            <w:r w:rsidRPr="00BC4AFE">
              <w:rPr>
                <w:b/>
                <w:bCs/>
                <w:i/>
                <w:iCs/>
                <w:color w:val="000000"/>
                <w:sz w:val="18"/>
                <w:szCs w:val="18"/>
              </w:rPr>
              <w:t>13,027.0</w:t>
            </w:r>
          </w:p>
        </w:tc>
        <w:tc>
          <w:tcPr>
            <w:tcW w:w="1180" w:type="dxa"/>
            <w:tcBorders>
              <w:top w:val="nil"/>
              <w:left w:val="nil"/>
              <w:bottom w:val="single" w:sz="8" w:space="0" w:color="auto"/>
              <w:right w:val="nil"/>
            </w:tcBorders>
            <w:shd w:val="clear" w:color="auto" w:fill="auto"/>
            <w:vAlign w:val="center"/>
            <w:hideMark/>
          </w:tcPr>
          <w:p w14:paraId="6A370963" w14:textId="77777777" w:rsidR="00FC752D" w:rsidRPr="00BC4AFE" w:rsidRDefault="00FC752D" w:rsidP="00F86AA9">
            <w:pPr>
              <w:jc w:val="right"/>
              <w:rPr>
                <w:b/>
                <w:bCs/>
                <w:i/>
                <w:iCs/>
                <w:color w:val="000000"/>
                <w:sz w:val="18"/>
                <w:szCs w:val="18"/>
              </w:rPr>
            </w:pPr>
            <w:r w:rsidRPr="00BC4AFE">
              <w:rPr>
                <w:b/>
                <w:bCs/>
                <w:i/>
                <w:iCs/>
                <w:color w:val="000000"/>
                <w:sz w:val="18"/>
                <w:szCs w:val="18"/>
              </w:rPr>
              <w:t>14,288.4</w:t>
            </w:r>
          </w:p>
        </w:tc>
        <w:tc>
          <w:tcPr>
            <w:tcW w:w="1180" w:type="dxa"/>
            <w:tcBorders>
              <w:top w:val="single" w:sz="8" w:space="0" w:color="auto"/>
              <w:left w:val="nil"/>
              <w:bottom w:val="single" w:sz="8" w:space="0" w:color="auto"/>
              <w:right w:val="nil"/>
            </w:tcBorders>
            <w:shd w:val="clear" w:color="auto" w:fill="auto"/>
            <w:vAlign w:val="center"/>
            <w:hideMark/>
          </w:tcPr>
          <w:p w14:paraId="5C6FFD32" w14:textId="77777777" w:rsidR="00FC752D" w:rsidRPr="00BC4AFE" w:rsidRDefault="00FC752D" w:rsidP="00F86AA9">
            <w:pPr>
              <w:jc w:val="right"/>
              <w:rPr>
                <w:b/>
                <w:bCs/>
                <w:i/>
                <w:iCs/>
                <w:color w:val="000000"/>
                <w:sz w:val="18"/>
                <w:szCs w:val="18"/>
              </w:rPr>
            </w:pPr>
            <w:r w:rsidRPr="00BC4AFE">
              <w:rPr>
                <w:b/>
                <w:bCs/>
                <w:i/>
                <w:iCs/>
                <w:color w:val="000000"/>
                <w:sz w:val="18"/>
                <w:szCs w:val="18"/>
              </w:rPr>
              <w:t>27,315.4</w:t>
            </w:r>
          </w:p>
        </w:tc>
      </w:tr>
    </w:tbl>
    <w:p w14:paraId="7BF82C5E" w14:textId="77777777" w:rsidR="00FC752D" w:rsidRPr="00BC4AFE" w:rsidRDefault="00FC752D" w:rsidP="00EF0C04">
      <w:pPr>
        <w:pStyle w:val="NormalWeb"/>
        <w:spacing w:before="120" w:after="120" w:line="480" w:lineRule="auto"/>
        <w:rPr>
          <w:rFonts w:asciiTheme="majorBidi" w:hAnsiTheme="majorBidi" w:cstheme="majorBidi"/>
          <w:color w:val="000000"/>
          <w:sz w:val="22"/>
          <w:szCs w:val="22"/>
        </w:rPr>
      </w:pPr>
    </w:p>
    <w:p w14:paraId="7ACB0A55" w14:textId="77777777" w:rsidR="00FC752D" w:rsidRPr="00BC4AFE" w:rsidRDefault="00FC752D" w:rsidP="00AA0E75">
      <w:pPr>
        <w:keepNext/>
        <w:spacing w:before="240" w:after="60"/>
        <w:ind w:left="792" w:right="360" w:hanging="792"/>
        <w:rPr>
          <w:rFonts w:asciiTheme="majorBidi" w:hAnsiTheme="majorBidi" w:cstheme="majorBidi"/>
          <w:b/>
          <w:bCs/>
        </w:rPr>
      </w:pPr>
      <w:r w:rsidRPr="00BC4AFE">
        <w:rPr>
          <w:rFonts w:asciiTheme="majorBidi" w:hAnsiTheme="majorBidi" w:cstheme="majorBidi"/>
          <w:b/>
          <w:bCs/>
        </w:rPr>
        <w:t>Table 2. Secretariat staffing requirements from the core budgets of the Convention and its Protocols for 2023-2024</w:t>
      </w:r>
    </w:p>
    <w:tbl>
      <w:tblPr>
        <w:tblW w:w="8550" w:type="dxa"/>
        <w:tblLook w:val="04A0" w:firstRow="1" w:lastRow="0" w:firstColumn="1" w:lastColumn="0" w:noHBand="0" w:noVBand="1"/>
      </w:tblPr>
      <w:tblGrid>
        <w:gridCol w:w="3651"/>
        <w:gridCol w:w="2289"/>
        <w:gridCol w:w="2610"/>
      </w:tblGrid>
      <w:tr w:rsidR="00FC752D" w:rsidRPr="00BC4AFE" w14:paraId="25CCE596" w14:textId="77777777" w:rsidTr="00AA0E75">
        <w:trPr>
          <w:cantSplit/>
          <w:tblHeader/>
        </w:trPr>
        <w:tc>
          <w:tcPr>
            <w:tcW w:w="3651" w:type="dxa"/>
            <w:tcBorders>
              <w:top w:val="single" w:sz="4"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5A584634" w14:textId="77777777" w:rsidR="00FC752D" w:rsidRPr="00BC4AFE" w:rsidRDefault="00FC752D" w:rsidP="007B3ECE">
            <w:pPr>
              <w:keepNext/>
              <w:keepLines/>
              <w:suppressLineNumbers/>
              <w:suppressAutoHyphens/>
              <w:spacing w:after="120"/>
              <w:jc w:val="center"/>
              <w:rPr>
                <w:rFonts w:asciiTheme="majorBidi" w:hAnsiTheme="majorBidi" w:cstheme="majorBidi"/>
                <w:b/>
                <w:kern w:val="22"/>
              </w:rPr>
            </w:pPr>
            <w:r w:rsidRPr="00BC4AFE">
              <w:rPr>
                <w:rFonts w:asciiTheme="majorBidi" w:hAnsiTheme="majorBidi" w:cstheme="majorBidi"/>
                <w:b/>
                <w:kern w:val="22"/>
              </w:rPr>
              <w:t>Category and level</w:t>
            </w:r>
          </w:p>
        </w:tc>
        <w:tc>
          <w:tcPr>
            <w:tcW w:w="2289" w:type="dxa"/>
            <w:tcBorders>
              <w:top w:val="single" w:sz="4" w:space="0" w:color="auto"/>
              <w:left w:val="nil"/>
              <w:bottom w:val="single" w:sz="8" w:space="0" w:color="auto"/>
              <w:right w:val="nil"/>
            </w:tcBorders>
            <w:shd w:val="clear" w:color="auto" w:fill="auto"/>
          </w:tcPr>
          <w:p w14:paraId="078A2551" w14:textId="77777777" w:rsidR="00FC752D" w:rsidRPr="00BC4AFE" w:rsidRDefault="00FC752D">
            <w:pPr>
              <w:keepNext/>
              <w:keepLines/>
              <w:suppressLineNumbers/>
              <w:suppressAutoHyphens/>
              <w:spacing w:after="120"/>
              <w:jc w:val="center"/>
              <w:rPr>
                <w:rFonts w:asciiTheme="majorBidi" w:hAnsiTheme="majorBidi" w:cstheme="majorBidi"/>
                <w:b/>
                <w:kern w:val="22"/>
              </w:rPr>
            </w:pPr>
            <w:r w:rsidRPr="00BC4AFE">
              <w:rPr>
                <w:rFonts w:asciiTheme="majorBidi" w:hAnsiTheme="majorBidi" w:cstheme="majorBidi"/>
                <w:b/>
                <w:kern w:val="22"/>
              </w:rPr>
              <w:t>Approved 2022</w:t>
            </w:r>
          </w:p>
        </w:tc>
        <w:tc>
          <w:tcPr>
            <w:tcW w:w="2610"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59C64188" w14:textId="77777777" w:rsidR="00FC752D" w:rsidRPr="00BC4AFE" w:rsidRDefault="00FC752D" w:rsidP="007B3ECE">
            <w:pPr>
              <w:keepNext/>
              <w:keepLines/>
              <w:suppressLineNumbers/>
              <w:suppressAutoHyphens/>
              <w:spacing w:after="120"/>
              <w:jc w:val="center"/>
              <w:rPr>
                <w:rFonts w:asciiTheme="majorBidi" w:hAnsiTheme="majorBidi" w:cstheme="majorBidi"/>
                <w:b/>
                <w:kern w:val="22"/>
              </w:rPr>
            </w:pPr>
            <w:r w:rsidRPr="00BC4AFE">
              <w:rPr>
                <w:rFonts w:asciiTheme="majorBidi" w:hAnsiTheme="majorBidi" w:cstheme="majorBidi"/>
                <w:b/>
                <w:kern w:val="22"/>
              </w:rPr>
              <w:t>Approved 2023-2024*</w:t>
            </w:r>
          </w:p>
        </w:tc>
      </w:tr>
      <w:tr w:rsidR="00FC752D" w:rsidRPr="00BC4AFE" w14:paraId="12C7F2F7" w14:textId="77777777" w:rsidTr="00AA0E75">
        <w:trPr>
          <w:cantSplit/>
        </w:trPr>
        <w:tc>
          <w:tcPr>
            <w:tcW w:w="3651" w:type="dxa"/>
            <w:tcBorders>
              <w:top w:val="nil"/>
              <w:left w:val="nil"/>
              <w:bottom w:val="nil"/>
              <w:right w:val="nil"/>
            </w:tcBorders>
            <w:shd w:val="clear" w:color="auto" w:fill="auto"/>
            <w:noWrap/>
            <w:tcMar>
              <w:top w:w="14" w:type="dxa"/>
              <w:left w:w="115" w:type="dxa"/>
              <w:bottom w:w="14" w:type="dxa"/>
              <w:right w:w="115" w:type="dxa"/>
            </w:tcMar>
            <w:vAlign w:val="center"/>
            <w:hideMark/>
          </w:tcPr>
          <w:p w14:paraId="4090638A" w14:textId="77777777" w:rsidR="00FC752D" w:rsidRPr="00BC4AFE" w:rsidRDefault="00FC752D" w:rsidP="00AA0E75">
            <w:pPr>
              <w:keepNext/>
              <w:keepLines/>
              <w:suppressLineNumbers/>
              <w:suppressAutoHyphens/>
              <w:spacing w:before="60" w:after="60"/>
              <w:rPr>
                <w:rFonts w:asciiTheme="majorBidi" w:hAnsiTheme="majorBidi" w:cstheme="majorBidi"/>
                <w:b/>
                <w:kern w:val="22"/>
                <w:sz w:val="20"/>
                <w:szCs w:val="20"/>
              </w:rPr>
            </w:pPr>
            <w:r w:rsidRPr="00BC4AFE">
              <w:rPr>
                <w:rFonts w:asciiTheme="majorBidi" w:hAnsiTheme="majorBidi" w:cstheme="majorBidi"/>
                <w:b/>
                <w:kern w:val="22"/>
                <w:sz w:val="20"/>
                <w:szCs w:val="20"/>
              </w:rPr>
              <w:t>Professional and higher</w:t>
            </w:r>
          </w:p>
        </w:tc>
        <w:tc>
          <w:tcPr>
            <w:tcW w:w="2289" w:type="dxa"/>
            <w:tcBorders>
              <w:top w:val="nil"/>
              <w:left w:val="nil"/>
              <w:bottom w:val="nil"/>
              <w:right w:val="nil"/>
            </w:tcBorders>
            <w:shd w:val="clear" w:color="auto" w:fill="auto"/>
          </w:tcPr>
          <w:p w14:paraId="7E4779E0"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p>
        </w:tc>
        <w:tc>
          <w:tcPr>
            <w:tcW w:w="2610" w:type="dxa"/>
            <w:tcBorders>
              <w:top w:val="nil"/>
              <w:left w:val="nil"/>
              <w:bottom w:val="nil"/>
              <w:right w:val="nil"/>
            </w:tcBorders>
            <w:tcMar>
              <w:top w:w="14" w:type="dxa"/>
              <w:left w:w="115" w:type="dxa"/>
              <w:bottom w:w="14" w:type="dxa"/>
              <w:right w:w="115" w:type="dxa"/>
            </w:tcMar>
            <w:vAlign w:val="center"/>
            <w:hideMark/>
          </w:tcPr>
          <w:p w14:paraId="171B70ED"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p>
        </w:tc>
      </w:tr>
      <w:tr w:rsidR="00FC752D" w:rsidRPr="00BC4AFE" w14:paraId="571462CC" w14:textId="77777777" w:rsidTr="00AA0E75">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1BC0B06B" w14:textId="77777777" w:rsidR="00FC752D" w:rsidRPr="00BC4AFE" w:rsidRDefault="00FC752D" w:rsidP="00AA0E75">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ASG</w:t>
            </w:r>
          </w:p>
        </w:tc>
        <w:tc>
          <w:tcPr>
            <w:tcW w:w="2289" w:type="dxa"/>
            <w:tcBorders>
              <w:top w:val="nil"/>
              <w:left w:val="nil"/>
              <w:bottom w:val="nil"/>
              <w:right w:val="nil"/>
            </w:tcBorders>
            <w:shd w:val="clear" w:color="auto" w:fill="auto"/>
          </w:tcPr>
          <w:p w14:paraId="4A3CC5AC"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w:t>
            </w:r>
          </w:p>
        </w:tc>
        <w:tc>
          <w:tcPr>
            <w:tcW w:w="2610" w:type="dxa"/>
            <w:tcBorders>
              <w:top w:val="nil"/>
              <w:left w:val="nil"/>
              <w:bottom w:val="nil"/>
              <w:right w:val="nil"/>
            </w:tcBorders>
            <w:tcMar>
              <w:top w:w="14" w:type="dxa"/>
              <w:left w:w="115" w:type="dxa"/>
              <w:bottom w:w="14" w:type="dxa"/>
              <w:right w:w="115" w:type="dxa"/>
            </w:tcMar>
            <w:vAlign w:val="center"/>
            <w:hideMark/>
          </w:tcPr>
          <w:p w14:paraId="1878384B"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w:t>
            </w:r>
          </w:p>
        </w:tc>
      </w:tr>
      <w:tr w:rsidR="00FC752D" w:rsidRPr="00BC4AFE" w14:paraId="2F6AE125" w14:textId="77777777" w:rsidTr="00AA0E75">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441F05E0" w14:textId="77777777" w:rsidR="00FC752D" w:rsidRPr="00BC4AFE" w:rsidRDefault="00FC752D" w:rsidP="00AA0E75">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D-1</w:t>
            </w:r>
          </w:p>
        </w:tc>
        <w:tc>
          <w:tcPr>
            <w:tcW w:w="2289" w:type="dxa"/>
            <w:tcBorders>
              <w:top w:val="nil"/>
              <w:left w:val="nil"/>
              <w:bottom w:val="nil"/>
              <w:right w:val="nil"/>
            </w:tcBorders>
            <w:shd w:val="clear" w:color="auto" w:fill="auto"/>
          </w:tcPr>
          <w:p w14:paraId="75312D13"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3</w:t>
            </w:r>
          </w:p>
        </w:tc>
        <w:tc>
          <w:tcPr>
            <w:tcW w:w="2610" w:type="dxa"/>
            <w:tcBorders>
              <w:top w:val="nil"/>
              <w:left w:val="nil"/>
              <w:bottom w:val="nil"/>
              <w:right w:val="nil"/>
            </w:tcBorders>
            <w:tcMar>
              <w:top w:w="14" w:type="dxa"/>
              <w:left w:w="115" w:type="dxa"/>
              <w:bottom w:w="14" w:type="dxa"/>
              <w:right w:w="115" w:type="dxa"/>
            </w:tcMar>
            <w:vAlign w:val="center"/>
            <w:hideMark/>
          </w:tcPr>
          <w:p w14:paraId="7A9B35C6"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3</w:t>
            </w:r>
          </w:p>
        </w:tc>
      </w:tr>
      <w:tr w:rsidR="00FC752D" w:rsidRPr="00BC4AFE" w14:paraId="200E4A9F" w14:textId="77777777" w:rsidTr="00AA0E75">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324C17CB" w14:textId="77777777" w:rsidR="00FC752D" w:rsidRPr="00BC4AFE" w:rsidRDefault="00FC752D" w:rsidP="00AA0E75">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P-5</w:t>
            </w:r>
          </w:p>
        </w:tc>
        <w:tc>
          <w:tcPr>
            <w:tcW w:w="2289" w:type="dxa"/>
            <w:tcBorders>
              <w:top w:val="nil"/>
              <w:left w:val="nil"/>
              <w:bottom w:val="nil"/>
              <w:right w:val="nil"/>
            </w:tcBorders>
            <w:shd w:val="clear" w:color="auto" w:fill="auto"/>
          </w:tcPr>
          <w:p w14:paraId="2C3987EF"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10</w:t>
            </w:r>
          </w:p>
        </w:tc>
        <w:tc>
          <w:tcPr>
            <w:tcW w:w="2610" w:type="dxa"/>
            <w:tcBorders>
              <w:top w:val="nil"/>
              <w:left w:val="nil"/>
              <w:bottom w:val="nil"/>
              <w:right w:val="nil"/>
            </w:tcBorders>
            <w:tcMar>
              <w:top w:w="14" w:type="dxa"/>
              <w:left w:w="115" w:type="dxa"/>
              <w:bottom w:w="14" w:type="dxa"/>
              <w:right w:w="115" w:type="dxa"/>
            </w:tcMar>
            <w:vAlign w:val="center"/>
            <w:hideMark/>
          </w:tcPr>
          <w:p w14:paraId="3620B6B7"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10</w:t>
            </w:r>
          </w:p>
        </w:tc>
      </w:tr>
      <w:tr w:rsidR="00FC752D" w:rsidRPr="00BC4AFE" w14:paraId="1830A415" w14:textId="77777777" w:rsidTr="00AA0E75">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5F517BD1" w14:textId="77777777" w:rsidR="00FC752D" w:rsidRPr="00BC4AFE" w:rsidRDefault="00FC752D" w:rsidP="00AA0E75">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P-4</w:t>
            </w:r>
          </w:p>
        </w:tc>
        <w:tc>
          <w:tcPr>
            <w:tcW w:w="2289" w:type="dxa"/>
            <w:tcBorders>
              <w:top w:val="nil"/>
              <w:left w:val="nil"/>
              <w:bottom w:val="nil"/>
              <w:right w:val="nil"/>
            </w:tcBorders>
            <w:shd w:val="clear" w:color="auto" w:fill="auto"/>
          </w:tcPr>
          <w:p w14:paraId="5407FAC2"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13</w:t>
            </w:r>
          </w:p>
        </w:tc>
        <w:tc>
          <w:tcPr>
            <w:tcW w:w="2610" w:type="dxa"/>
            <w:tcBorders>
              <w:top w:val="nil"/>
              <w:left w:val="nil"/>
              <w:bottom w:val="nil"/>
              <w:right w:val="nil"/>
            </w:tcBorders>
            <w:tcMar>
              <w:top w:w="14" w:type="dxa"/>
              <w:left w:w="115" w:type="dxa"/>
              <w:bottom w:w="14" w:type="dxa"/>
              <w:right w:w="115" w:type="dxa"/>
            </w:tcMar>
            <w:vAlign w:val="center"/>
            <w:hideMark/>
          </w:tcPr>
          <w:p w14:paraId="512BCBA7"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14</w:t>
            </w:r>
          </w:p>
        </w:tc>
      </w:tr>
      <w:tr w:rsidR="00FC752D" w:rsidRPr="00BC4AFE" w14:paraId="65C72756" w14:textId="77777777" w:rsidTr="00AA0E75">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1D136803" w14:textId="77777777" w:rsidR="00FC752D" w:rsidRPr="00BC4AFE" w:rsidRDefault="00FC752D" w:rsidP="00AA0E75">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P-3</w:t>
            </w:r>
          </w:p>
        </w:tc>
        <w:tc>
          <w:tcPr>
            <w:tcW w:w="2289" w:type="dxa"/>
            <w:tcBorders>
              <w:top w:val="nil"/>
              <w:left w:val="nil"/>
              <w:bottom w:val="nil"/>
              <w:right w:val="nil"/>
            </w:tcBorders>
            <w:shd w:val="clear" w:color="auto" w:fill="auto"/>
          </w:tcPr>
          <w:p w14:paraId="0C89FF47"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13</w:t>
            </w:r>
          </w:p>
        </w:tc>
        <w:tc>
          <w:tcPr>
            <w:tcW w:w="2610" w:type="dxa"/>
            <w:tcBorders>
              <w:top w:val="nil"/>
              <w:left w:val="nil"/>
              <w:bottom w:val="nil"/>
              <w:right w:val="nil"/>
            </w:tcBorders>
            <w:tcMar>
              <w:top w:w="14" w:type="dxa"/>
              <w:left w:w="115" w:type="dxa"/>
              <w:bottom w:w="14" w:type="dxa"/>
              <w:right w:w="115" w:type="dxa"/>
            </w:tcMar>
            <w:vAlign w:val="center"/>
            <w:hideMark/>
          </w:tcPr>
          <w:p w14:paraId="25130583"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15</w:t>
            </w:r>
          </w:p>
        </w:tc>
      </w:tr>
      <w:tr w:rsidR="00FC752D" w:rsidRPr="00BC4AFE" w14:paraId="2B8986DA" w14:textId="77777777" w:rsidTr="00AA0E75">
        <w:trPr>
          <w:cantSplit/>
        </w:trPr>
        <w:tc>
          <w:tcPr>
            <w:tcW w:w="3651" w:type="dxa"/>
            <w:tcBorders>
              <w:top w:val="nil"/>
              <w:left w:val="nil"/>
              <w:bottom w:val="nil"/>
              <w:right w:val="nil"/>
            </w:tcBorders>
            <w:shd w:val="clear" w:color="auto" w:fill="auto"/>
            <w:tcMar>
              <w:top w:w="14" w:type="dxa"/>
              <w:left w:w="115" w:type="dxa"/>
              <w:bottom w:w="14" w:type="dxa"/>
              <w:right w:w="115" w:type="dxa"/>
            </w:tcMar>
            <w:vAlign w:val="center"/>
            <w:hideMark/>
          </w:tcPr>
          <w:p w14:paraId="243D09A7" w14:textId="77777777" w:rsidR="00FC752D" w:rsidRPr="00BC4AFE" w:rsidRDefault="00FC752D" w:rsidP="00AA0E75">
            <w:pPr>
              <w:keepNext/>
              <w:keepLines/>
              <w:suppressLineNumbers/>
              <w:suppressAutoHyphens/>
              <w:spacing w:before="60" w:after="60"/>
              <w:rPr>
                <w:rFonts w:asciiTheme="majorBidi" w:hAnsiTheme="majorBidi" w:cstheme="majorBidi"/>
                <w:kern w:val="22"/>
                <w:sz w:val="20"/>
                <w:szCs w:val="20"/>
              </w:rPr>
            </w:pPr>
            <w:r w:rsidRPr="00BC4AFE">
              <w:rPr>
                <w:rFonts w:asciiTheme="majorBidi" w:hAnsiTheme="majorBidi" w:cstheme="majorBidi"/>
                <w:kern w:val="22"/>
                <w:sz w:val="20"/>
                <w:szCs w:val="20"/>
              </w:rPr>
              <w:t>P-2/1</w:t>
            </w:r>
          </w:p>
        </w:tc>
        <w:tc>
          <w:tcPr>
            <w:tcW w:w="2289" w:type="dxa"/>
            <w:tcBorders>
              <w:top w:val="nil"/>
              <w:left w:val="nil"/>
              <w:bottom w:val="nil"/>
              <w:right w:val="nil"/>
            </w:tcBorders>
            <w:shd w:val="clear" w:color="auto" w:fill="auto"/>
          </w:tcPr>
          <w:p w14:paraId="54A8055D"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9</w:t>
            </w:r>
          </w:p>
        </w:tc>
        <w:tc>
          <w:tcPr>
            <w:tcW w:w="2610" w:type="dxa"/>
            <w:tcBorders>
              <w:top w:val="nil"/>
              <w:left w:val="nil"/>
              <w:bottom w:val="nil"/>
              <w:right w:val="nil"/>
            </w:tcBorders>
            <w:tcMar>
              <w:top w:w="14" w:type="dxa"/>
              <w:left w:w="115" w:type="dxa"/>
              <w:bottom w:w="14" w:type="dxa"/>
              <w:right w:w="115" w:type="dxa"/>
            </w:tcMar>
            <w:vAlign w:val="center"/>
            <w:hideMark/>
          </w:tcPr>
          <w:p w14:paraId="4CE29561"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10</w:t>
            </w:r>
          </w:p>
        </w:tc>
      </w:tr>
      <w:tr w:rsidR="00FC752D" w:rsidRPr="00BC4AFE" w14:paraId="617C4FAD" w14:textId="77777777" w:rsidTr="00AA0E75">
        <w:trPr>
          <w:cantSplit/>
        </w:trPr>
        <w:tc>
          <w:tcPr>
            <w:tcW w:w="3651"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56072027" w14:textId="77777777" w:rsidR="00FC752D" w:rsidRPr="00BC4AFE" w:rsidRDefault="00FC752D" w:rsidP="00AA0E75">
            <w:pPr>
              <w:keepNext/>
              <w:keepLines/>
              <w:suppressLineNumbers/>
              <w:suppressAutoHyphens/>
              <w:spacing w:before="60" w:after="60"/>
              <w:rPr>
                <w:rFonts w:asciiTheme="majorBidi" w:hAnsiTheme="majorBidi" w:cstheme="majorBidi"/>
                <w:b/>
                <w:kern w:val="22"/>
                <w:sz w:val="20"/>
                <w:szCs w:val="20"/>
              </w:rPr>
            </w:pPr>
            <w:r w:rsidRPr="00BC4AFE">
              <w:rPr>
                <w:rFonts w:asciiTheme="majorBidi" w:hAnsiTheme="majorBidi" w:cstheme="majorBidi"/>
                <w:b/>
                <w:kern w:val="22"/>
                <w:sz w:val="20"/>
                <w:szCs w:val="20"/>
              </w:rPr>
              <w:t>Subtotal</w:t>
            </w:r>
          </w:p>
        </w:tc>
        <w:tc>
          <w:tcPr>
            <w:tcW w:w="2289" w:type="dxa"/>
            <w:tcBorders>
              <w:top w:val="single" w:sz="8" w:space="0" w:color="auto"/>
              <w:left w:val="nil"/>
              <w:bottom w:val="single" w:sz="8" w:space="0" w:color="auto"/>
              <w:right w:val="nil"/>
            </w:tcBorders>
            <w:shd w:val="clear" w:color="auto" w:fill="auto"/>
          </w:tcPr>
          <w:p w14:paraId="6A695287"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b/>
                <w:kern w:val="22"/>
                <w:sz w:val="20"/>
                <w:szCs w:val="20"/>
              </w:rPr>
            </w:pPr>
            <w:r w:rsidRPr="00BC4AFE">
              <w:rPr>
                <w:rFonts w:asciiTheme="majorBidi" w:hAnsiTheme="majorBidi" w:cstheme="majorBidi"/>
                <w:b/>
                <w:kern w:val="22"/>
                <w:sz w:val="20"/>
                <w:szCs w:val="20"/>
              </w:rPr>
              <w:t>49</w:t>
            </w:r>
          </w:p>
        </w:tc>
        <w:tc>
          <w:tcPr>
            <w:tcW w:w="2610"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6590077E"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b/>
                <w:kern w:val="22"/>
                <w:sz w:val="20"/>
                <w:szCs w:val="20"/>
              </w:rPr>
            </w:pPr>
            <w:r w:rsidRPr="00BC4AFE">
              <w:rPr>
                <w:rFonts w:asciiTheme="majorBidi" w:hAnsiTheme="majorBidi" w:cstheme="majorBidi"/>
                <w:b/>
                <w:kern w:val="22"/>
                <w:sz w:val="20"/>
                <w:szCs w:val="20"/>
              </w:rPr>
              <w:t>53</w:t>
            </w:r>
          </w:p>
        </w:tc>
      </w:tr>
      <w:tr w:rsidR="00FC752D" w:rsidRPr="00BC4AFE" w14:paraId="335EAB57" w14:textId="77777777" w:rsidTr="00AA0E75">
        <w:trPr>
          <w:cantSplit/>
        </w:trPr>
        <w:tc>
          <w:tcPr>
            <w:tcW w:w="3651"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7909970E" w14:textId="77777777" w:rsidR="00FC752D" w:rsidRPr="00BC4AFE" w:rsidRDefault="00FC752D" w:rsidP="00AA0E75">
            <w:pPr>
              <w:keepNext/>
              <w:keepLines/>
              <w:suppressLineNumbers/>
              <w:suppressAutoHyphens/>
              <w:spacing w:before="60" w:after="60"/>
              <w:rPr>
                <w:rFonts w:asciiTheme="majorBidi" w:hAnsiTheme="majorBidi" w:cstheme="majorBidi"/>
                <w:b/>
                <w:kern w:val="22"/>
                <w:sz w:val="20"/>
                <w:szCs w:val="20"/>
              </w:rPr>
            </w:pPr>
            <w:r w:rsidRPr="00BC4AFE">
              <w:rPr>
                <w:rFonts w:asciiTheme="majorBidi" w:hAnsiTheme="majorBidi" w:cstheme="majorBidi"/>
                <w:b/>
                <w:kern w:val="22"/>
                <w:sz w:val="20"/>
                <w:szCs w:val="20"/>
              </w:rPr>
              <w:t>General Service</w:t>
            </w:r>
          </w:p>
        </w:tc>
        <w:tc>
          <w:tcPr>
            <w:tcW w:w="2289" w:type="dxa"/>
            <w:tcBorders>
              <w:top w:val="nil"/>
              <w:left w:val="nil"/>
              <w:bottom w:val="single" w:sz="8" w:space="0" w:color="auto"/>
              <w:right w:val="nil"/>
            </w:tcBorders>
            <w:shd w:val="clear" w:color="auto" w:fill="auto"/>
          </w:tcPr>
          <w:p w14:paraId="7FF4F3E9"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29</w:t>
            </w:r>
          </w:p>
        </w:tc>
        <w:tc>
          <w:tcPr>
            <w:tcW w:w="2610" w:type="dxa"/>
            <w:tcBorders>
              <w:top w:val="nil"/>
              <w:left w:val="nil"/>
              <w:bottom w:val="single" w:sz="8" w:space="0" w:color="auto"/>
              <w:right w:val="nil"/>
            </w:tcBorders>
            <w:tcMar>
              <w:top w:w="14" w:type="dxa"/>
              <w:left w:w="115" w:type="dxa"/>
              <w:bottom w:w="14" w:type="dxa"/>
              <w:right w:w="115" w:type="dxa"/>
            </w:tcMar>
            <w:vAlign w:val="center"/>
            <w:hideMark/>
          </w:tcPr>
          <w:p w14:paraId="733E2D59"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kern w:val="22"/>
                <w:sz w:val="20"/>
                <w:szCs w:val="20"/>
              </w:rPr>
            </w:pPr>
            <w:r w:rsidRPr="00BC4AFE">
              <w:rPr>
                <w:rFonts w:asciiTheme="majorBidi" w:hAnsiTheme="majorBidi" w:cstheme="majorBidi"/>
                <w:kern w:val="22"/>
                <w:sz w:val="20"/>
                <w:szCs w:val="20"/>
              </w:rPr>
              <w:t>29</w:t>
            </w:r>
          </w:p>
        </w:tc>
      </w:tr>
      <w:tr w:rsidR="00FC752D" w:rsidRPr="00BC4AFE" w14:paraId="46FEF016" w14:textId="77777777" w:rsidTr="00AA0E75">
        <w:trPr>
          <w:cantSplit/>
        </w:trPr>
        <w:tc>
          <w:tcPr>
            <w:tcW w:w="3651" w:type="dxa"/>
            <w:tcBorders>
              <w:top w:val="single" w:sz="8" w:space="0" w:color="auto"/>
              <w:left w:val="nil"/>
              <w:bottom w:val="single" w:sz="4" w:space="0" w:color="auto"/>
              <w:right w:val="nil"/>
            </w:tcBorders>
            <w:shd w:val="clear" w:color="auto" w:fill="auto"/>
            <w:tcMar>
              <w:top w:w="14" w:type="dxa"/>
              <w:left w:w="115" w:type="dxa"/>
              <w:bottom w:w="14" w:type="dxa"/>
              <w:right w:w="115" w:type="dxa"/>
            </w:tcMar>
            <w:vAlign w:val="center"/>
            <w:hideMark/>
          </w:tcPr>
          <w:p w14:paraId="51DFF3C2" w14:textId="77777777" w:rsidR="00FC752D" w:rsidRPr="00BC4AFE" w:rsidRDefault="00FC752D" w:rsidP="00AA0E75">
            <w:pPr>
              <w:keepNext/>
              <w:keepLines/>
              <w:suppressLineNumbers/>
              <w:suppressAutoHyphens/>
              <w:spacing w:before="60" w:after="60"/>
              <w:rPr>
                <w:rFonts w:asciiTheme="majorBidi" w:hAnsiTheme="majorBidi" w:cstheme="majorBidi"/>
                <w:b/>
                <w:kern w:val="22"/>
                <w:sz w:val="20"/>
                <w:szCs w:val="20"/>
              </w:rPr>
            </w:pPr>
            <w:r w:rsidRPr="00BC4AFE">
              <w:rPr>
                <w:rFonts w:asciiTheme="majorBidi" w:hAnsiTheme="majorBidi" w:cstheme="majorBidi"/>
                <w:b/>
                <w:kern w:val="22"/>
                <w:sz w:val="20"/>
                <w:szCs w:val="20"/>
              </w:rPr>
              <w:t>Total</w:t>
            </w:r>
          </w:p>
        </w:tc>
        <w:tc>
          <w:tcPr>
            <w:tcW w:w="2289" w:type="dxa"/>
            <w:tcBorders>
              <w:top w:val="single" w:sz="8" w:space="0" w:color="auto"/>
              <w:left w:val="nil"/>
              <w:bottom w:val="single" w:sz="4" w:space="0" w:color="auto"/>
              <w:right w:val="nil"/>
            </w:tcBorders>
            <w:shd w:val="clear" w:color="auto" w:fill="auto"/>
          </w:tcPr>
          <w:p w14:paraId="17973A70"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b/>
                <w:kern w:val="22"/>
                <w:sz w:val="20"/>
                <w:szCs w:val="20"/>
              </w:rPr>
            </w:pPr>
            <w:r w:rsidRPr="00BC4AFE">
              <w:rPr>
                <w:rFonts w:asciiTheme="majorBidi" w:hAnsiTheme="majorBidi" w:cstheme="majorBidi"/>
                <w:b/>
                <w:kern w:val="22"/>
                <w:sz w:val="20"/>
                <w:szCs w:val="20"/>
              </w:rPr>
              <w:t>78</w:t>
            </w:r>
          </w:p>
        </w:tc>
        <w:tc>
          <w:tcPr>
            <w:tcW w:w="2610"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1FA98FD0" w14:textId="77777777" w:rsidR="00FC752D" w:rsidRPr="00BC4AFE" w:rsidRDefault="00FC752D" w:rsidP="00AA0E75">
            <w:pPr>
              <w:keepNext/>
              <w:keepLines/>
              <w:suppressLineNumbers/>
              <w:suppressAutoHyphens/>
              <w:spacing w:before="60" w:after="60"/>
              <w:ind w:right="432"/>
              <w:jc w:val="right"/>
              <w:rPr>
                <w:rFonts w:asciiTheme="majorBidi" w:hAnsiTheme="majorBidi" w:cstheme="majorBidi"/>
                <w:b/>
                <w:kern w:val="22"/>
                <w:sz w:val="20"/>
                <w:szCs w:val="20"/>
              </w:rPr>
            </w:pPr>
            <w:r w:rsidRPr="00BC4AFE">
              <w:rPr>
                <w:rFonts w:asciiTheme="majorBidi" w:hAnsiTheme="majorBidi" w:cstheme="majorBidi"/>
                <w:b/>
                <w:kern w:val="22"/>
                <w:sz w:val="20"/>
                <w:szCs w:val="20"/>
              </w:rPr>
              <w:t>82</w:t>
            </w:r>
          </w:p>
        </w:tc>
      </w:tr>
      <w:tr w:rsidR="00FC752D" w:rsidRPr="00BC4AFE" w14:paraId="58BAB6E1" w14:textId="77777777" w:rsidTr="00AA0E75">
        <w:trPr>
          <w:cantSplit/>
        </w:trPr>
        <w:tc>
          <w:tcPr>
            <w:tcW w:w="8550" w:type="dxa"/>
            <w:gridSpan w:val="3"/>
            <w:tcBorders>
              <w:top w:val="single" w:sz="4" w:space="0" w:color="auto"/>
              <w:left w:val="nil"/>
              <w:right w:val="nil"/>
            </w:tcBorders>
            <w:shd w:val="clear" w:color="auto" w:fill="auto"/>
            <w:tcMar>
              <w:top w:w="14" w:type="dxa"/>
              <w:left w:w="115" w:type="dxa"/>
              <w:bottom w:w="14" w:type="dxa"/>
              <w:right w:w="115" w:type="dxa"/>
            </w:tcMar>
            <w:vAlign w:val="center"/>
          </w:tcPr>
          <w:p w14:paraId="3D4D4772" w14:textId="77777777" w:rsidR="00FC752D" w:rsidRPr="00BC4AFE" w:rsidRDefault="00FC752D" w:rsidP="00AA0E75">
            <w:pPr>
              <w:keepNext/>
              <w:keepLines/>
              <w:suppressLineNumbers/>
              <w:suppressAutoHyphens/>
              <w:ind w:right="432"/>
              <w:rPr>
                <w:rFonts w:asciiTheme="majorBidi" w:hAnsiTheme="majorBidi" w:cstheme="majorBidi"/>
                <w:bCs/>
                <w:kern w:val="22"/>
                <w:sz w:val="18"/>
                <w:szCs w:val="18"/>
              </w:rPr>
            </w:pPr>
            <w:r w:rsidRPr="00BC4AFE">
              <w:rPr>
                <w:rFonts w:asciiTheme="majorBidi" w:hAnsiTheme="majorBidi" w:cstheme="majorBidi"/>
                <w:bCs/>
                <w:kern w:val="22"/>
                <w:sz w:val="18"/>
                <w:szCs w:val="18"/>
              </w:rPr>
              <w:t>* New posts approved by COP 15: Programme Management Officer - Results-based budgeting (P-4); Programme Management Officer – Monitoring (P-3); Programme Officer Biosafety Clearing-House (P-3); Associate Finance Officer (P-2)</w:t>
            </w:r>
          </w:p>
        </w:tc>
      </w:tr>
    </w:tbl>
    <w:p w14:paraId="351129D5" w14:textId="77777777" w:rsidR="00FC752D" w:rsidRPr="00BC4AFE" w:rsidRDefault="00FC752D" w:rsidP="0028225A">
      <w:pPr>
        <w:keepNext/>
        <w:spacing w:before="240" w:after="60"/>
        <w:ind w:left="806" w:hanging="806"/>
        <w:rPr>
          <w:rFonts w:asciiTheme="majorBidi" w:hAnsiTheme="majorBidi" w:cstheme="majorBidi"/>
          <w:b/>
          <w:bCs/>
        </w:rPr>
      </w:pPr>
      <w:r w:rsidRPr="00BC4AFE">
        <w:rPr>
          <w:rFonts w:asciiTheme="majorBidi" w:hAnsiTheme="majorBidi" w:cstheme="majorBidi"/>
          <w:b/>
          <w:bCs/>
        </w:rPr>
        <w:t>Table 3. Resource requirements from the Special Voluntary Trust Fund (BE) for Contributions in Support of Additional Approved Activities of the Convention on Biological Diversity and its Protocols for the period 2023-2024</w:t>
      </w:r>
    </w:p>
    <w:tbl>
      <w:tblPr>
        <w:tblW w:w="9445" w:type="dxa"/>
        <w:jc w:val="center"/>
        <w:tblLook w:val="04A0" w:firstRow="1" w:lastRow="0" w:firstColumn="1" w:lastColumn="0" w:noHBand="0" w:noVBand="1"/>
      </w:tblPr>
      <w:tblGrid>
        <w:gridCol w:w="6565"/>
        <w:gridCol w:w="2880"/>
      </w:tblGrid>
      <w:tr w:rsidR="00FC752D" w:rsidRPr="00BC4AFE" w14:paraId="02365C8B" w14:textId="77777777" w:rsidTr="00A60395">
        <w:trPr>
          <w:trHeight w:val="255"/>
          <w:jc w:val="center"/>
        </w:trPr>
        <w:tc>
          <w:tcPr>
            <w:tcW w:w="9445" w:type="dxa"/>
            <w:gridSpan w:val="2"/>
            <w:shd w:val="clear" w:color="auto" w:fill="auto"/>
            <w:noWrap/>
            <w:vAlign w:val="bottom"/>
          </w:tcPr>
          <w:p w14:paraId="6E7E8DBE" w14:textId="77777777" w:rsidR="00FC752D" w:rsidRPr="00BC4AFE" w:rsidRDefault="00FC752D" w:rsidP="0004777E">
            <w:pPr>
              <w:keepNext/>
              <w:spacing w:before="120" w:after="120"/>
              <w:jc w:val="center"/>
              <w:rPr>
                <w:b/>
                <w:bCs/>
                <w:color w:val="000000"/>
                <w:lang w:eastAsia="en-CA"/>
              </w:rPr>
            </w:pPr>
            <w:r w:rsidRPr="00BC4AFE">
              <w:rPr>
                <w:b/>
                <w:bCs/>
                <w:color w:val="000000"/>
                <w:lang w:eastAsia="en-CA"/>
              </w:rPr>
              <w:t>A.</w:t>
            </w:r>
            <w:r w:rsidRPr="00BC4AFE">
              <w:rPr>
                <w:b/>
                <w:color w:val="000000" w:themeColor="text1"/>
                <w:kern w:val="20"/>
                <w:sz w:val="24"/>
                <w:szCs w:val="28"/>
                <w:lang w:eastAsia="en-CA"/>
              </w:rPr>
              <w:tab/>
            </w:r>
            <w:r w:rsidRPr="00BC4AFE">
              <w:rPr>
                <w:b/>
                <w:bCs/>
                <w:color w:val="000000"/>
                <w:lang w:eastAsia="en-CA"/>
              </w:rPr>
              <w:t>Convention on Biological Diversity</w:t>
            </w:r>
          </w:p>
          <w:p w14:paraId="0810A92A" w14:textId="77777777" w:rsidR="00FC752D" w:rsidRPr="00BC4AFE" w:rsidRDefault="00FC752D" w:rsidP="00E01BB0">
            <w:pPr>
              <w:keepNext/>
              <w:spacing w:after="120"/>
              <w:jc w:val="center"/>
              <w:rPr>
                <w:b/>
                <w:bCs/>
                <w:color w:val="000000"/>
                <w:sz w:val="20"/>
                <w:szCs w:val="20"/>
                <w:lang w:eastAsia="en-CA"/>
              </w:rPr>
            </w:pPr>
            <w:r w:rsidRPr="00BC4AFE">
              <w:rPr>
                <w:color w:val="000000" w:themeColor="text1"/>
                <w:kern w:val="20"/>
                <w:sz w:val="20"/>
                <w:szCs w:val="20"/>
                <w:lang w:eastAsia="en-CA"/>
              </w:rPr>
              <w:t>(</w:t>
            </w:r>
            <w:r w:rsidRPr="00BC4AFE">
              <w:rPr>
                <w:i/>
                <w:color w:val="000000" w:themeColor="text1"/>
                <w:kern w:val="20"/>
                <w:sz w:val="20"/>
                <w:szCs w:val="20"/>
                <w:lang w:eastAsia="en-CA"/>
              </w:rPr>
              <w:t>United States dollars</w:t>
            </w:r>
            <w:r w:rsidRPr="00BC4AFE">
              <w:rPr>
                <w:color w:val="000000" w:themeColor="text1"/>
                <w:kern w:val="20"/>
                <w:sz w:val="20"/>
                <w:szCs w:val="20"/>
                <w:lang w:eastAsia="en-CA"/>
              </w:rPr>
              <w:t>)</w:t>
            </w:r>
          </w:p>
        </w:tc>
      </w:tr>
      <w:tr w:rsidR="00FC752D" w:rsidRPr="00BC4AFE" w14:paraId="267E11D0" w14:textId="77777777" w:rsidTr="00A60395">
        <w:trPr>
          <w:trHeight w:val="255"/>
          <w:jc w:val="center"/>
        </w:trPr>
        <w:tc>
          <w:tcPr>
            <w:tcW w:w="6565" w:type="dxa"/>
            <w:tcBorders>
              <w:top w:val="single" w:sz="4" w:space="0" w:color="auto"/>
            </w:tcBorders>
            <w:shd w:val="clear" w:color="auto" w:fill="auto"/>
            <w:noWrap/>
            <w:vAlign w:val="bottom"/>
            <w:hideMark/>
          </w:tcPr>
          <w:p w14:paraId="7A890161"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Consultancy and other contracts</w:t>
            </w:r>
          </w:p>
        </w:tc>
        <w:tc>
          <w:tcPr>
            <w:tcW w:w="2880" w:type="dxa"/>
            <w:tcBorders>
              <w:top w:val="single" w:sz="4" w:space="0" w:color="auto"/>
            </w:tcBorders>
            <w:shd w:val="clear" w:color="auto" w:fill="auto"/>
            <w:noWrap/>
            <w:vAlign w:val="bottom"/>
            <w:hideMark/>
          </w:tcPr>
          <w:p w14:paraId="7506F1FB" w14:textId="77777777" w:rsidR="00FC752D" w:rsidRPr="00BC4AFE" w:rsidRDefault="00FC752D" w:rsidP="00E01BB0">
            <w:pPr>
              <w:jc w:val="right"/>
              <w:rPr>
                <w:b/>
                <w:bCs/>
                <w:color w:val="000000"/>
                <w:sz w:val="20"/>
                <w:szCs w:val="20"/>
                <w:lang w:val="en-CA" w:eastAsia="en-CA"/>
              </w:rPr>
            </w:pPr>
          </w:p>
        </w:tc>
      </w:tr>
      <w:tr w:rsidR="00FC752D" w:rsidRPr="00BC4AFE" w14:paraId="6FDA0EEA" w14:textId="77777777" w:rsidTr="00A60395">
        <w:trPr>
          <w:trHeight w:val="255"/>
          <w:jc w:val="center"/>
        </w:trPr>
        <w:tc>
          <w:tcPr>
            <w:tcW w:w="6565" w:type="dxa"/>
            <w:shd w:val="clear" w:color="auto" w:fill="auto"/>
            <w:noWrap/>
            <w:vAlign w:val="bottom"/>
            <w:hideMark/>
          </w:tcPr>
          <w:p w14:paraId="4D7E1421"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Article 8(j)</w:t>
            </w:r>
          </w:p>
        </w:tc>
        <w:tc>
          <w:tcPr>
            <w:tcW w:w="2880" w:type="dxa"/>
            <w:shd w:val="clear" w:color="auto" w:fill="auto"/>
            <w:noWrap/>
            <w:vAlign w:val="bottom"/>
            <w:hideMark/>
          </w:tcPr>
          <w:p w14:paraId="78D71F56"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100,000</w:t>
            </w:r>
          </w:p>
        </w:tc>
      </w:tr>
      <w:tr w:rsidR="00FC752D" w:rsidRPr="00BC4AFE" w14:paraId="5E1DF5EB" w14:textId="77777777" w:rsidTr="00A60395">
        <w:trPr>
          <w:trHeight w:val="255"/>
          <w:jc w:val="center"/>
        </w:trPr>
        <w:tc>
          <w:tcPr>
            <w:tcW w:w="6565" w:type="dxa"/>
            <w:shd w:val="clear" w:color="auto" w:fill="auto"/>
            <w:noWrap/>
            <w:vAlign w:val="bottom"/>
            <w:hideMark/>
          </w:tcPr>
          <w:p w14:paraId="1B7B1DC6"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Business and mainstreaming</w:t>
            </w:r>
          </w:p>
        </w:tc>
        <w:tc>
          <w:tcPr>
            <w:tcW w:w="2880" w:type="dxa"/>
            <w:shd w:val="clear" w:color="auto" w:fill="auto"/>
            <w:noWrap/>
            <w:vAlign w:val="bottom"/>
            <w:hideMark/>
          </w:tcPr>
          <w:p w14:paraId="5D31E4A8"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100,000</w:t>
            </w:r>
          </w:p>
        </w:tc>
      </w:tr>
      <w:tr w:rsidR="00FC752D" w:rsidRPr="00BC4AFE" w14:paraId="002AD329" w14:textId="77777777" w:rsidTr="00A60395">
        <w:trPr>
          <w:trHeight w:val="255"/>
          <w:jc w:val="center"/>
        </w:trPr>
        <w:tc>
          <w:tcPr>
            <w:tcW w:w="6565" w:type="dxa"/>
            <w:shd w:val="clear" w:color="auto" w:fill="auto"/>
            <w:noWrap/>
            <w:vAlign w:val="bottom"/>
            <w:hideMark/>
          </w:tcPr>
          <w:p w14:paraId="3E701FFF"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Capacity-building and technical and scientific cooperation</w:t>
            </w:r>
          </w:p>
        </w:tc>
        <w:tc>
          <w:tcPr>
            <w:tcW w:w="2880" w:type="dxa"/>
            <w:shd w:val="clear" w:color="auto" w:fill="auto"/>
            <w:noWrap/>
            <w:vAlign w:val="bottom"/>
            <w:hideMark/>
          </w:tcPr>
          <w:p w14:paraId="6E885B7E"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486,000</w:t>
            </w:r>
          </w:p>
        </w:tc>
      </w:tr>
      <w:tr w:rsidR="00FC752D" w:rsidRPr="00BC4AFE" w14:paraId="06F7080C" w14:textId="77777777" w:rsidTr="00A60395">
        <w:trPr>
          <w:trHeight w:val="255"/>
          <w:jc w:val="center"/>
        </w:trPr>
        <w:tc>
          <w:tcPr>
            <w:tcW w:w="6565" w:type="dxa"/>
            <w:shd w:val="clear" w:color="auto" w:fill="auto"/>
            <w:noWrap/>
            <w:vAlign w:val="bottom"/>
            <w:hideMark/>
          </w:tcPr>
          <w:p w14:paraId="05F36C0B"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Communication</w:t>
            </w:r>
          </w:p>
        </w:tc>
        <w:tc>
          <w:tcPr>
            <w:tcW w:w="2880" w:type="dxa"/>
            <w:shd w:val="clear" w:color="auto" w:fill="auto"/>
            <w:noWrap/>
            <w:vAlign w:val="bottom"/>
            <w:hideMark/>
          </w:tcPr>
          <w:p w14:paraId="6684928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420,000</w:t>
            </w:r>
          </w:p>
        </w:tc>
      </w:tr>
      <w:tr w:rsidR="00FC752D" w:rsidRPr="00BC4AFE" w14:paraId="5CB1DC50" w14:textId="77777777" w:rsidTr="00A60395">
        <w:trPr>
          <w:trHeight w:val="255"/>
          <w:jc w:val="center"/>
        </w:trPr>
        <w:tc>
          <w:tcPr>
            <w:tcW w:w="6565" w:type="dxa"/>
            <w:shd w:val="clear" w:color="auto" w:fill="auto"/>
            <w:noWrap/>
            <w:vAlign w:val="bottom"/>
            <w:hideMark/>
          </w:tcPr>
          <w:p w14:paraId="4DFC795E"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Conservation and sustainable use of marine and coastal biodiversity</w:t>
            </w:r>
          </w:p>
        </w:tc>
        <w:tc>
          <w:tcPr>
            <w:tcW w:w="2880" w:type="dxa"/>
            <w:shd w:val="clear" w:color="auto" w:fill="auto"/>
            <w:noWrap/>
            <w:vAlign w:val="bottom"/>
            <w:hideMark/>
          </w:tcPr>
          <w:p w14:paraId="69C8F026"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52,000</w:t>
            </w:r>
          </w:p>
        </w:tc>
      </w:tr>
      <w:tr w:rsidR="00FC752D" w:rsidRPr="00BC4AFE" w14:paraId="0336663C" w14:textId="77777777" w:rsidTr="00A60395">
        <w:trPr>
          <w:trHeight w:val="255"/>
          <w:jc w:val="center"/>
        </w:trPr>
        <w:tc>
          <w:tcPr>
            <w:tcW w:w="6565" w:type="dxa"/>
            <w:shd w:val="clear" w:color="auto" w:fill="auto"/>
            <w:noWrap/>
            <w:vAlign w:val="bottom"/>
            <w:hideMark/>
          </w:tcPr>
          <w:p w14:paraId="2E5DC23B"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Cooperation with other conventions and international organizations</w:t>
            </w:r>
          </w:p>
        </w:tc>
        <w:tc>
          <w:tcPr>
            <w:tcW w:w="2880" w:type="dxa"/>
            <w:shd w:val="clear" w:color="auto" w:fill="auto"/>
            <w:noWrap/>
            <w:vAlign w:val="bottom"/>
            <w:hideMark/>
          </w:tcPr>
          <w:p w14:paraId="5DF10AC1"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50,000</w:t>
            </w:r>
          </w:p>
        </w:tc>
      </w:tr>
      <w:tr w:rsidR="00FC752D" w:rsidRPr="00BC4AFE" w14:paraId="39B4C5B5" w14:textId="77777777" w:rsidTr="00A60395">
        <w:trPr>
          <w:trHeight w:val="255"/>
          <w:jc w:val="center"/>
        </w:trPr>
        <w:tc>
          <w:tcPr>
            <w:tcW w:w="6565" w:type="dxa"/>
            <w:shd w:val="clear" w:color="auto" w:fill="auto"/>
            <w:noWrap/>
            <w:vAlign w:val="bottom"/>
            <w:hideMark/>
          </w:tcPr>
          <w:p w14:paraId="58FCB049"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Digital sequence information on genetic resources</w:t>
            </w:r>
            <w:r>
              <w:rPr>
                <w:color w:val="000000"/>
                <w:sz w:val="20"/>
                <w:szCs w:val="20"/>
                <w:lang w:val="en-CA" w:eastAsia="en-CA"/>
              </w:rPr>
              <w:t xml:space="preserve"> (Studies)</w:t>
            </w:r>
          </w:p>
        </w:tc>
        <w:tc>
          <w:tcPr>
            <w:tcW w:w="2880" w:type="dxa"/>
            <w:shd w:val="clear" w:color="auto" w:fill="auto"/>
            <w:noWrap/>
            <w:vAlign w:val="bottom"/>
            <w:hideMark/>
          </w:tcPr>
          <w:p w14:paraId="7103CBF7"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405,000</w:t>
            </w:r>
          </w:p>
        </w:tc>
      </w:tr>
      <w:tr w:rsidR="00FC752D" w:rsidRPr="00BC4AFE" w14:paraId="080459C6" w14:textId="77777777" w:rsidTr="0063480F">
        <w:trPr>
          <w:trHeight w:val="255"/>
          <w:jc w:val="center"/>
        </w:trPr>
        <w:tc>
          <w:tcPr>
            <w:tcW w:w="6565" w:type="dxa"/>
            <w:shd w:val="clear" w:color="auto" w:fill="auto"/>
            <w:noWrap/>
            <w:vAlign w:val="bottom"/>
            <w:hideMark/>
          </w:tcPr>
          <w:p w14:paraId="671177B5" w14:textId="77777777" w:rsidR="00FC752D" w:rsidRPr="00BC4AFE" w:rsidRDefault="00FC752D" w:rsidP="0063480F">
            <w:pPr>
              <w:rPr>
                <w:color w:val="000000"/>
                <w:sz w:val="20"/>
                <w:szCs w:val="20"/>
                <w:lang w:val="en-CA" w:eastAsia="en-CA"/>
              </w:rPr>
            </w:pPr>
            <w:r w:rsidRPr="00BC4AFE">
              <w:rPr>
                <w:color w:val="000000"/>
                <w:sz w:val="20"/>
                <w:szCs w:val="20"/>
                <w:lang w:val="en-CA" w:eastAsia="en-CA"/>
              </w:rPr>
              <w:t>Digital sequence information on genetic resources</w:t>
            </w:r>
            <w:r>
              <w:rPr>
                <w:color w:val="000000"/>
                <w:sz w:val="20"/>
                <w:szCs w:val="20"/>
                <w:lang w:val="en-CA" w:eastAsia="en-CA"/>
              </w:rPr>
              <w:t xml:space="preserve"> (General support)</w:t>
            </w:r>
          </w:p>
        </w:tc>
        <w:tc>
          <w:tcPr>
            <w:tcW w:w="2880" w:type="dxa"/>
            <w:shd w:val="clear" w:color="auto" w:fill="auto"/>
            <w:noWrap/>
            <w:vAlign w:val="bottom"/>
            <w:hideMark/>
          </w:tcPr>
          <w:p w14:paraId="242A5B7C" w14:textId="77777777" w:rsidR="00FC752D" w:rsidRPr="00BC4AFE" w:rsidRDefault="00FC752D" w:rsidP="0063480F">
            <w:pPr>
              <w:jc w:val="right"/>
              <w:rPr>
                <w:color w:val="000000"/>
                <w:sz w:val="20"/>
                <w:szCs w:val="20"/>
                <w:lang w:val="en-CA" w:eastAsia="en-CA"/>
              </w:rPr>
            </w:pPr>
            <w:r w:rsidRPr="00BC4AFE">
              <w:rPr>
                <w:color w:val="000000"/>
                <w:sz w:val="20"/>
                <w:szCs w:val="20"/>
                <w:lang w:val="en-CA" w:eastAsia="en-CA"/>
              </w:rPr>
              <w:t>5</w:t>
            </w:r>
            <w:r>
              <w:rPr>
                <w:color w:val="000000"/>
                <w:sz w:val="20"/>
                <w:szCs w:val="20"/>
                <w:lang w:val="en-CA" w:eastAsia="en-CA"/>
              </w:rPr>
              <w:t>2</w:t>
            </w:r>
            <w:r w:rsidRPr="00BC4AFE">
              <w:rPr>
                <w:color w:val="000000"/>
                <w:sz w:val="20"/>
                <w:szCs w:val="20"/>
                <w:lang w:val="en-CA" w:eastAsia="en-CA"/>
              </w:rPr>
              <w:t>,000</w:t>
            </w:r>
          </w:p>
        </w:tc>
      </w:tr>
      <w:tr w:rsidR="00FC752D" w:rsidRPr="00BC4AFE" w14:paraId="3107074D" w14:textId="77777777" w:rsidTr="00A60395">
        <w:trPr>
          <w:trHeight w:val="255"/>
          <w:jc w:val="center"/>
        </w:trPr>
        <w:tc>
          <w:tcPr>
            <w:tcW w:w="6565" w:type="dxa"/>
            <w:shd w:val="clear" w:color="auto" w:fill="auto"/>
            <w:noWrap/>
            <w:vAlign w:val="bottom"/>
            <w:hideMark/>
          </w:tcPr>
          <w:p w14:paraId="29F4BD79"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Ecologically or biologically significant marine areas</w:t>
            </w:r>
          </w:p>
        </w:tc>
        <w:tc>
          <w:tcPr>
            <w:tcW w:w="2880" w:type="dxa"/>
            <w:shd w:val="clear" w:color="auto" w:fill="auto"/>
            <w:noWrap/>
            <w:vAlign w:val="bottom"/>
            <w:hideMark/>
          </w:tcPr>
          <w:p w14:paraId="2D159BCE"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26,000</w:t>
            </w:r>
          </w:p>
        </w:tc>
      </w:tr>
      <w:tr w:rsidR="00FC752D" w:rsidRPr="00BC4AFE" w14:paraId="2868F8F8" w14:textId="77777777" w:rsidTr="00A60395">
        <w:trPr>
          <w:trHeight w:val="255"/>
          <w:jc w:val="center"/>
        </w:trPr>
        <w:tc>
          <w:tcPr>
            <w:tcW w:w="6565" w:type="dxa"/>
            <w:shd w:val="clear" w:color="auto" w:fill="auto"/>
            <w:noWrap/>
            <w:vAlign w:val="bottom"/>
            <w:hideMark/>
          </w:tcPr>
          <w:p w14:paraId="75AFEA2A"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Effectiveness of the process</w:t>
            </w:r>
          </w:p>
        </w:tc>
        <w:tc>
          <w:tcPr>
            <w:tcW w:w="2880" w:type="dxa"/>
            <w:shd w:val="clear" w:color="auto" w:fill="auto"/>
            <w:noWrap/>
            <w:vAlign w:val="bottom"/>
            <w:hideMark/>
          </w:tcPr>
          <w:p w14:paraId="78B73B40"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180,000</w:t>
            </w:r>
          </w:p>
        </w:tc>
      </w:tr>
      <w:tr w:rsidR="00FC752D" w:rsidRPr="00BC4AFE" w14:paraId="0B7F0143" w14:textId="77777777" w:rsidTr="00A60395">
        <w:trPr>
          <w:trHeight w:val="255"/>
          <w:jc w:val="center"/>
        </w:trPr>
        <w:tc>
          <w:tcPr>
            <w:tcW w:w="6565" w:type="dxa"/>
            <w:shd w:val="clear" w:color="auto" w:fill="auto"/>
            <w:noWrap/>
            <w:vAlign w:val="bottom"/>
            <w:hideMark/>
          </w:tcPr>
          <w:p w14:paraId="5E23F92A"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 xml:space="preserve">Engagement with subnational governments, cities </w:t>
            </w:r>
          </w:p>
        </w:tc>
        <w:tc>
          <w:tcPr>
            <w:tcW w:w="2880" w:type="dxa"/>
            <w:shd w:val="clear" w:color="auto" w:fill="auto"/>
            <w:noWrap/>
            <w:vAlign w:val="bottom"/>
            <w:hideMark/>
          </w:tcPr>
          <w:p w14:paraId="251AAD81"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215,000</w:t>
            </w:r>
          </w:p>
        </w:tc>
      </w:tr>
      <w:tr w:rsidR="00FC752D" w:rsidRPr="00BC4AFE" w14:paraId="7B6610AD" w14:textId="77777777" w:rsidTr="00A60395">
        <w:trPr>
          <w:trHeight w:val="255"/>
          <w:jc w:val="center"/>
        </w:trPr>
        <w:tc>
          <w:tcPr>
            <w:tcW w:w="6565" w:type="dxa"/>
            <w:shd w:val="clear" w:color="auto" w:fill="auto"/>
            <w:noWrap/>
            <w:vAlign w:val="bottom"/>
            <w:hideMark/>
          </w:tcPr>
          <w:p w14:paraId="22602130"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Financial mechanism</w:t>
            </w:r>
          </w:p>
        </w:tc>
        <w:tc>
          <w:tcPr>
            <w:tcW w:w="2880" w:type="dxa"/>
            <w:shd w:val="clear" w:color="auto" w:fill="auto"/>
            <w:noWrap/>
            <w:vAlign w:val="bottom"/>
            <w:hideMark/>
          </w:tcPr>
          <w:p w14:paraId="5CE5EA9A"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350,000</w:t>
            </w:r>
          </w:p>
        </w:tc>
      </w:tr>
      <w:tr w:rsidR="00FC752D" w:rsidRPr="00BC4AFE" w14:paraId="190B5B6A" w14:textId="77777777" w:rsidTr="00A60395">
        <w:trPr>
          <w:trHeight w:val="255"/>
          <w:jc w:val="center"/>
        </w:trPr>
        <w:tc>
          <w:tcPr>
            <w:tcW w:w="6565" w:type="dxa"/>
            <w:shd w:val="clear" w:color="auto" w:fill="auto"/>
            <w:noWrap/>
            <w:vAlign w:val="bottom"/>
            <w:hideMark/>
          </w:tcPr>
          <w:p w14:paraId="159AAAEC"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Global Biodiversity Framework - implementation facilitation/engagement</w:t>
            </w:r>
          </w:p>
        </w:tc>
        <w:tc>
          <w:tcPr>
            <w:tcW w:w="2880" w:type="dxa"/>
            <w:shd w:val="clear" w:color="auto" w:fill="auto"/>
            <w:noWrap/>
            <w:vAlign w:val="bottom"/>
            <w:hideMark/>
          </w:tcPr>
          <w:p w14:paraId="699BCCC4"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100,000</w:t>
            </w:r>
          </w:p>
        </w:tc>
      </w:tr>
      <w:tr w:rsidR="00FC752D" w:rsidRPr="00BC4AFE" w14:paraId="623E1E0C" w14:textId="77777777" w:rsidTr="00A60395">
        <w:trPr>
          <w:trHeight w:val="255"/>
          <w:jc w:val="center"/>
        </w:trPr>
        <w:tc>
          <w:tcPr>
            <w:tcW w:w="6565" w:type="dxa"/>
            <w:shd w:val="clear" w:color="auto" w:fill="auto"/>
            <w:noWrap/>
            <w:vAlign w:val="bottom"/>
            <w:hideMark/>
          </w:tcPr>
          <w:p w14:paraId="63BEADAC"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Gender Plan of Action</w:t>
            </w:r>
          </w:p>
        </w:tc>
        <w:tc>
          <w:tcPr>
            <w:tcW w:w="2880" w:type="dxa"/>
            <w:shd w:val="clear" w:color="auto" w:fill="auto"/>
            <w:noWrap/>
            <w:vAlign w:val="bottom"/>
            <w:hideMark/>
          </w:tcPr>
          <w:p w14:paraId="25199A38"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50,000</w:t>
            </w:r>
          </w:p>
        </w:tc>
      </w:tr>
      <w:tr w:rsidR="00FC752D" w:rsidRPr="00BC4AFE" w14:paraId="23A21373" w14:textId="77777777" w:rsidTr="00A60395">
        <w:trPr>
          <w:trHeight w:val="255"/>
          <w:jc w:val="center"/>
        </w:trPr>
        <w:tc>
          <w:tcPr>
            <w:tcW w:w="6565" w:type="dxa"/>
            <w:shd w:val="clear" w:color="auto" w:fill="auto"/>
            <w:noWrap/>
            <w:vAlign w:val="bottom"/>
            <w:hideMark/>
          </w:tcPr>
          <w:p w14:paraId="0413AC0C"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Health</w:t>
            </w:r>
          </w:p>
        </w:tc>
        <w:tc>
          <w:tcPr>
            <w:tcW w:w="2880" w:type="dxa"/>
            <w:shd w:val="clear" w:color="auto" w:fill="auto"/>
            <w:noWrap/>
            <w:vAlign w:val="bottom"/>
            <w:hideMark/>
          </w:tcPr>
          <w:p w14:paraId="01BBFB3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60,000</w:t>
            </w:r>
          </w:p>
        </w:tc>
      </w:tr>
      <w:tr w:rsidR="00FC752D" w:rsidRPr="00BC4AFE" w14:paraId="714BBFC0" w14:textId="77777777" w:rsidTr="00A60395">
        <w:trPr>
          <w:trHeight w:val="255"/>
          <w:jc w:val="center"/>
        </w:trPr>
        <w:tc>
          <w:tcPr>
            <w:tcW w:w="6565" w:type="dxa"/>
            <w:shd w:val="clear" w:color="auto" w:fill="auto"/>
            <w:noWrap/>
            <w:vAlign w:val="bottom"/>
            <w:hideMark/>
          </w:tcPr>
          <w:p w14:paraId="1BD0F6C7"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Invasive alien species</w:t>
            </w:r>
          </w:p>
        </w:tc>
        <w:tc>
          <w:tcPr>
            <w:tcW w:w="2880" w:type="dxa"/>
            <w:shd w:val="clear" w:color="auto" w:fill="auto"/>
            <w:noWrap/>
            <w:vAlign w:val="bottom"/>
            <w:hideMark/>
          </w:tcPr>
          <w:p w14:paraId="3A97EC29"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81,000</w:t>
            </w:r>
          </w:p>
        </w:tc>
      </w:tr>
      <w:tr w:rsidR="00FC752D" w:rsidRPr="00BC4AFE" w14:paraId="4C7A9EBB" w14:textId="77777777" w:rsidTr="00A60395">
        <w:trPr>
          <w:trHeight w:val="255"/>
          <w:jc w:val="center"/>
        </w:trPr>
        <w:tc>
          <w:tcPr>
            <w:tcW w:w="6565" w:type="dxa"/>
            <w:shd w:val="clear" w:color="auto" w:fill="auto"/>
            <w:noWrap/>
            <w:vAlign w:val="bottom"/>
            <w:hideMark/>
          </w:tcPr>
          <w:p w14:paraId="0208274F"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Indigenous peoples and local communities</w:t>
            </w:r>
          </w:p>
        </w:tc>
        <w:tc>
          <w:tcPr>
            <w:tcW w:w="2880" w:type="dxa"/>
            <w:shd w:val="clear" w:color="auto" w:fill="auto"/>
            <w:noWrap/>
            <w:vAlign w:val="bottom"/>
            <w:hideMark/>
          </w:tcPr>
          <w:p w14:paraId="0DD8AD3C"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20,000</w:t>
            </w:r>
          </w:p>
        </w:tc>
      </w:tr>
      <w:tr w:rsidR="00FC752D" w:rsidRPr="00BC4AFE" w14:paraId="131D22C2" w14:textId="77777777" w:rsidTr="00A60395">
        <w:trPr>
          <w:trHeight w:val="255"/>
          <w:jc w:val="center"/>
        </w:trPr>
        <w:tc>
          <w:tcPr>
            <w:tcW w:w="6565" w:type="dxa"/>
            <w:shd w:val="clear" w:color="auto" w:fill="auto"/>
            <w:noWrap/>
            <w:vAlign w:val="bottom"/>
            <w:hideMark/>
          </w:tcPr>
          <w:p w14:paraId="172844CD"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Knowledge management and the clearing-house mechanism</w:t>
            </w:r>
          </w:p>
        </w:tc>
        <w:tc>
          <w:tcPr>
            <w:tcW w:w="2880" w:type="dxa"/>
            <w:shd w:val="clear" w:color="auto" w:fill="auto"/>
            <w:noWrap/>
            <w:vAlign w:val="bottom"/>
            <w:hideMark/>
          </w:tcPr>
          <w:p w14:paraId="7EE43047"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720,000</w:t>
            </w:r>
          </w:p>
        </w:tc>
      </w:tr>
      <w:tr w:rsidR="00FC752D" w:rsidRPr="00BC4AFE" w14:paraId="66448F86" w14:textId="77777777" w:rsidTr="00A60395">
        <w:trPr>
          <w:trHeight w:val="255"/>
          <w:jc w:val="center"/>
        </w:trPr>
        <w:tc>
          <w:tcPr>
            <w:tcW w:w="6565" w:type="dxa"/>
            <w:shd w:val="clear" w:color="auto" w:fill="auto"/>
            <w:noWrap/>
            <w:vAlign w:val="bottom"/>
            <w:hideMark/>
          </w:tcPr>
          <w:p w14:paraId="5FCB35D4"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 xml:space="preserve">Monitoring - </w:t>
            </w:r>
            <w:r>
              <w:rPr>
                <w:color w:val="000000"/>
                <w:sz w:val="20"/>
                <w:szCs w:val="20"/>
                <w:lang w:val="en-CA" w:eastAsia="en-CA"/>
              </w:rPr>
              <w:t xml:space="preserve">Kunming-Montreal </w:t>
            </w:r>
            <w:r w:rsidRPr="00BC4AFE">
              <w:rPr>
                <w:color w:val="000000"/>
                <w:sz w:val="20"/>
                <w:szCs w:val="20"/>
                <w:lang w:val="en-CA" w:eastAsia="en-CA"/>
              </w:rPr>
              <w:t>Global Biodiversity Framework</w:t>
            </w:r>
          </w:p>
        </w:tc>
        <w:tc>
          <w:tcPr>
            <w:tcW w:w="2880" w:type="dxa"/>
            <w:shd w:val="clear" w:color="auto" w:fill="auto"/>
            <w:noWrap/>
            <w:vAlign w:val="bottom"/>
            <w:hideMark/>
          </w:tcPr>
          <w:p w14:paraId="11DCFF8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60,000</w:t>
            </w:r>
          </w:p>
        </w:tc>
      </w:tr>
      <w:tr w:rsidR="00FC752D" w:rsidRPr="00BC4AFE" w14:paraId="785C0AA6" w14:textId="77777777" w:rsidTr="00A60395">
        <w:trPr>
          <w:trHeight w:val="255"/>
          <w:jc w:val="center"/>
        </w:trPr>
        <w:tc>
          <w:tcPr>
            <w:tcW w:w="6565" w:type="dxa"/>
            <w:shd w:val="clear" w:color="auto" w:fill="auto"/>
            <w:noWrap/>
            <w:vAlign w:val="bottom"/>
            <w:hideMark/>
          </w:tcPr>
          <w:p w14:paraId="6F42F692"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Planning, monitoring, reporting and review</w:t>
            </w:r>
          </w:p>
        </w:tc>
        <w:tc>
          <w:tcPr>
            <w:tcW w:w="2880" w:type="dxa"/>
            <w:shd w:val="clear" w:color="auto" w:fill="auto"/>
            <w:noWrap/>
            <w:vAlign w:val="bottom"/>
            <w:hideMark/>
          </w:tcPr>
          <w:p w14:paraId="76FA38A5" w14:textId="77777777" w:rsidR="00FC752D" w:rsidRPr="00BC4AFE" w:rsidRDefault="00FC752D" w:rsidP="00E01BB0">
            <w:pPr>
              <w:jc w:val="right"/>
              <w:rPr>
                <w:sz w:val="20"/>
                <w:szCs w:val="20"/>
                <w:lang w:val="en-CA" w:eastAsia="en-CA"/>
              </w:rPr>
            </w:pPr>
            <w:r w:rsidRPr="00BC4AFE">
              <w:rPr>
                <w:sz w:val="20"/>
                <w:szCs w:val="20"/>
                <w:lang w:val="en-CA" w:eastAsia="en-CA"/>
              </w:rPr>
              <w:t>100,000</w:t>
            </w:r>
          </w:p>
        </w:tc>
      </w:tr>
      <w:tr w:rsidR="00FC752D" w:rsidRPr="00BC4AFE" w14:paraId="731F73E1" w14:textId="77777777" w:rsidTr="00A60395">
        <w:trPr>
          <w:trHeight w:val="255"/>
          <w:jc w:val="center"/>
        </w:trPr>
        <w:tc>
          <w:tcPr>
            <w:tcW w:w="6565" w:type="dxa"/>
            <w:shd w:val="clear" w:color="auto" w:fill="auto"/>
            <w:noWrap/>
            <w:vAlign w:val="bottom"/>
            <w:hideMark/>
          </w:tcPr>
          <w:p w14:paraId="7E11741E"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Resource mobilization</w:t>
            </w:r>
          </w:p>
        </w:tc>
        <w:tc>
          <w:tcPr>
            <w:tcW w:w="2880" w:type="dxa"/>
            <w:shd w:val="clear" w:color="auto" w:fill="auto"/>
            <w:noWrap/>
            <w:vAlign w:val="bottom"/>
            <w:hideMark/>
          </w:tcPr>
          <w:p w14:paraId="7EA09FC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330,000</w:t>
            </w:r>
          </w:p>
        </w:tc>
      </w:tr>
      <w:tr w:rsidR="00FC752D" w:rsidRPr="00BC4AFE" w14:paraId="514982A7" w14:textId="77777777" w:rsidTr="00A60395">
        <w:trPr>
          <w:trHeight w:val="255"/>
          <w:jc w:val="center"/>
        </w:trPr>
        <w:tc>
          <w:tcPr>
            <w:tcW w:w="6565" w:type="dxa"/>
            <w:shd w:val="clear" w:color="auto" w:fill="auto"/>
            <w:noWrap/>
            <w:vAlign w:val="bottom"/>
            <w:hideMark/>
          </w:tcPr>
          <w:p w14:paraId="18AD7B0C"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Sustainable wildlife</w:t>
            </w:r>
          </w:p>
        </w:tc>
        <w:tc>
          <w:tcPr>
            <w:tcW w:w="2880" w:type="dxa"/>
            <w:shd w:val="clear" w:color="auto" w:fill="auto"/>
            <w:noWrap/>
            <w:vAlign w:val="bottom"/>
            <w:hideMark/>
          </w:tcPr>
          <w:p w14:paraId="52563C06"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10,000</w:t>
            </w:r>
          </w:p>
        </w:tc>
      </w:tr>
      <w:tr w:rsidR="00FC752D" w:rsidRPr="00BC4AFE" w14:paraId="69DCB65A" w14:textId="77777777" w:rsidTr="00A60395">
        <w:trPr>
          <w:trHeight w:val="255"/>
          <w:jc w:val="center"/>
        </w:trPr>
        <w:tc>
          <w:tcPr>
            <w:tcW w:w="6565" w:type="dxa"/>
            <w:tcBorders>
              <w:bottom w:val="single" w:sz="4" w:space="0" w:color="auto"/>
            </w:tcBorders>
            <w:shd w:val="clear" w:color="auto" w:fill="auto"/>
            <w:noWrap/>
            <w:vAlign w:val="bottom"/>
            <w:hideMark/>
          </w:tcPr>
          <w:p w14:paraId="0C261DA8"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Synthetic biology</w:t>
            </w:r>
          </w:p>
        </w:tc>
        <w:tc>
          <w:tcPr>
            <w:tcW w:w="2880" w:type="dxa"/>
            <w:tcBorders>
              <w:bottom w:val="single" w:sz="4" w:space="0" w:color="auto"/>
            </w:tcBorders>
            <w:shd w:val="clear" w:color="auto" w:fill="auto"/>
            <w:noWrap/>
            <w:vAlign w:val="bottom"/>
            <w:hideMark/>
          </w:tcPr>
          <w:p w14:paraId="2D4C7978"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60,000</w:t>
            </w:r>
          </w:p>
        </w:tc>
      </w:tr>
      <w:tr w:rsidR="00FC752D" w:rsidRPr="00BC4AFE" w14:paraId="7F3CF16C" w14:textId="77777777" w:rsidTr="00A60395">
        <w:trPr>
          <w:trHeight w:val="255"/>
          <w:jc w:val="center"/>
        </w:trPr>
        <w:tc>
          <w:tcPr>
            <w:tcW w:w="6565" w:type="dxa"/>
            <w:tcBorders>
              <w:top w:val="single" w:sz="4" w:space="0" w:color="auto"/>
              <w:bottom w:val="single" w:sz="4" w:space="0" w:color="auto"/>
            </w:tcBorders>
            <w:shd w:val="clear" w:color="auto" w:fill="auto"/>
            <w:noWrap/>
            <w:vAlign w:val="bottom"/>
            <w:hideMark/>
          </w:tcPr>
          <w:p w14:paraId="534C78A8"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4" w:space="0" w:color="auto"/>
              <w:bottom w:val="single" w:sz="4" w:space="0" w:color="auto"/>
            </w:tcBorders>
            <w:shd w:val="clear" w:color="auto" w:fill="auto"/>
            <w:noWrap/>
            <w:vAlign w:val="bottom"/>
            <w:hideMark/>
          </w:tcPr>
          <w:p w14:paraId="37BD9654" w14:textId="77777777" w:rsidR="00FC752D" w:rsidRPr="00BC4AFE" w:rsidRDefault="00FC752D" w:rsidP="00E01BB0">
            <w:pPr>
              <w:jc w:val="right"/>
              <w:rPr>
                <w:color w:val="000000"/>
                <w:sz w:val="20"/>
                <w:szCs w:val="20"/>
                <w:lang w:val="en-CA" w:eastAsia="en-CA"/>
              </w:rPr>
            </w:pPr>
            <w:r>
              <w:rPr>
                <w:color w:val="000000"/>
                <w:sz w:val="20"/>
                <w:szCs w:val="20"/>
                <w:lang w:val="en-CA" w:eastAsia="en-CA"/>
              </w:rPr>
              <w:t>4,027</w:t>
            </w:r>
            <w:r w:rsidRPr="00BC4AFE">
              <w:rPr>
                <w:color w:val="000000"/>
                <w:sz w:val="20"/>
                <w:szCs w:val="20"/>
                <w:lang w:val="en-CA" w:eastAsia="en-CA"/>
              </w:rPr>
              <w:t>,000</w:t>
            </w:r>
          </w:p>
        </w:tc>
      </w:tr>
      <w:tr w:rsidR="00FC752D" w:rsidRPr="00BC4AFE" w14:paraId="2CD1B390" w14:textId="77777777" w:rsidTr="00A60395">
        <w:trPr>
          <w:trHeight w:val="255"/>
          <w:jc w:val="center"/>
        </w:trPr>
        <w:tc>
          <w:tcPr>
            <w:tcW w:w="6565" w:type="dxa"/>
            <w:tcBorders>
              <w:top w:val="single" w:sz="4" w:space="0" w:color="auto"/>
            </w:tcBorders>
            <w:shd w:val="clear" w:color="auto" w:fill="auto"/>
            <w:noWrap/>
            <w:vAlign w:val="bottom"/>
            <w:hideMark/>
          </w:tcPr>
          <w:p w14:paraId="6006C56D"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Staff travel</w:t>
            </w:r>
          </w:p>
        </w:tc>
        <w:tc>
          <w:tcPr>
            <w:tcW w:w="2880" w:type="dxa"/>
            <w:tcBorders>
              <w:top w:val="single" w:sz="4" w:space="0" w:color="auto"/>
            </w:tcBorders>
            <w:shd w:val="clear" w:color="auto" w:fill="auto"/>
            <w:noWrap/>
            <w:vAlign w:val="bottom"/>
          </w:tcPr>
          <w:p w14:paraId="7ED0D6E9" w14:textId="77777777" w:rsidR="00FC752D" w:rsidRPr="00BC4AFE" w:rsidRDefault="00FC752D" w:rsidP="00E01BB0">
            <w:pPr>
              <w:keepNext/>
              <w:jc w:val="right"/>
              <w:rPr>
                <w:b/>
                <w:bCs/>
                <w:color w:val="000000"/>
                <w:sz w:val="20"/>
                <w:szCs w:val="20"/>
                <w:lang w:val="en-CA" w:eastAsia="en-CA"/>
              </w:rPr>
            </w:pPr>
          </w:p>
        </w:tc>
      </w:tr>
      <w:tr w:rsidR="00FC752D" w:rsidRPr="00BC4AFE" w14:paraId="0D37B09E" w14:textId="77777777" w:rsidTr="00A60395">
        <w:trPr>
          <w:trHeight w:val="255"/>
          <w:jc w:val="center"/>
        </w:trPr>
        <w:tc>
          <w:tcPr>
            <w:tcW w:w="6565" w:type="dxa"/>
            <w:shd w:val="clear" w:color="auto" w:fill="auto"/>
            <w:noWrap/>
            <w:vAlign w:val="bottom"/>
            <w:hideMark/>
          </w:tcPr>
          <w:p w14:paraId="03E26C2A"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Biodiversity and agriculture</w:t>
            </w:r>
          </w:p>
        </w:tc>
        <w:tc>
          <w:tcPr>
            <w:tcW w:w="2880" w:type="dxa"/>
            <w:shd w:val="clear" w:color="auto" w:fill="auto"/>
            <w:noWrap/>
            <w:vAlign w:val="bottom"/>
            <w:hideMark/>
          </w:tcPr>
          <w:p w14:paraId="205C3A5C"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20,000</w:t>
            </w:r>
          </w:p>
        </w:tc>
      </w:tr>
      <w:tr w:rsidR="00FC752D" w:rsidRPr="00BC4AFE" w14:paraId="5B9DB156" w14:textId="77777777" w:rsidTr="0063480F">
        <w:trPr>
          <w:trHeight w:val="255"/>
          <w:jc w:val="center"/>
        </w:trPr>
        <w:tc>
          <w:tcPr>
            <w:tcW w:w="6565" w:type="dxa"/>
            <w:shd w:val="clear" w:color="auto" w:fill="auto"/>
            <w:noWrap/>
            <w:vAlign w:val="bottom"/>
            <w:hideMark/>
          </w:tcPr>
          <w:p w14:paraId="2C7F6508" w14:textId="77777777" w:rsidR="00FC752D" w:rsidRPr="0047773A" w:rsidRDefault="00FC752D" w:rsidP="0063480F">
            <w:pPr>
              <w:keepNext/>
              <w:rPr>
                <w:color w:val="000000"/>
                <w:sz w:val="20"/>
                <w:szCs w:val="20"/>
                <w:lang w:val="en-CA" w:eastAsia="en-CA"/>
              </w:rPr>
            </w:pPr>
            <w:r w:rsidRPr="0047773A">
              <w:rPr>
                <w:color w:val="000000"/>
                <w:sz w:val="20"/>
                <w:szCs w:val="20"/>
                <w:lang w:val="en-CA" w:eastAsia="en-CA"/>
              </w:rPr>
              <w:t>Biodiversity and climate change</w:t>
            </w:r>
          </w:p>
        </w:tc>
        <w:tc>
          <w:tcPr>
            <w:tcW w:w="2880" w:type="dxa"/>
            <w:shd w:val="clear" w:color="auto" w:fill="auto"/>
            <w:noWrap/>
            <w:vAlign w:val="bottom"/>
            <w:hideMark/>
          </w:tcPr>
          <w:p w14:paraId="2E53B042" w14:textId="77777777" w:rsidR="00FC752D" w:rsidRPr="0047773A" w:rsidRDefault="00FC752D" w:rsidP="0063480F">
            <w:pPr>
              <w:jc w:val="right"/>
              <w:rPr>
                <w:color w:val="000000"/>
                <w:sz w:val="20"/>
                <w:szCs w:val="20"/>
                <w:lang w:val="en-CA" w:eastAsia="en-CA"/>
              </w:rPr>
            </w:pPr>
            <w:r w:rsidRPr="0047773A">
              <w:rPr>
                <w:color w:val="000000"/>
                <w:sz w:val="20"/>
                <w:szCs w:val="20"/>
                <w:lang w:val="en-CA" w:eastAsia="en-CA"/>
              </w:rPr>
              <w:t>20,000</w:t>
            </w:r>
          </w:p>
        </w:tc>
      </w:tr>
      <w:tr w:rsidR="00FC752D" w:rsidRPr="00BC4AFE" w14:paraId="7A52A235" w14:textId="77777777" w:rsidTr="0063480F">
        <w:trPr>
          <w:trHeight w:val="255"/>
          <w:jc w:val="center"/>
        </w:trPr>
        <w:tc>
          <w:tcPr>
            <w:tcW w:w="6565" w:type="dxa"/>
            <w:shd w:val="clear" w:color="auto" w:fill="auto"/>
            <w:noWrap/>
            <w:vAlign w:val="bottom"/>
            <w:hideMark/>
          </w:tcPr>
          <w:p w14:paraId="4BA91685" w14:textId="77777777" w:rsidR="00FC752D" w:rsidRPr="0047773A" w:rsidRDefault="00FC752D" w:rsidP="0063480F">
            <w:pPr>
              <w:keepNext/>
              <w:rPr>
                <w:color w:val="000000"/>
                <w:sz w:val="20"/>
                <w:szCs w:val="20"/>
                <w:lang w:val="en-CA" w:eastAsia="en-CA"/>
              </w:rPr>
            </w:pPr>
            <w:r w:rsidRPr="0047773A">
              <w:rPr>
                <w:color w:val="000000"/>
                <w:sz w:val="20"/>
                <w:szCs w:val="20"/>
                <w:lang w:val="en-CA" w:eastAsia="en-CA"/>
              </w:rPr>
              <w:t>Biodiversity and health</w:t>
            </w:r>
          </w:p>
        </w:tc>
        <w:tc>
          <w:tcPr>
            <w:tcW w:w="2880" w:type="dxa"/>
            <w:shd w:val="clear" w:color="auto" w:fill="auto"/>
            <w:noWrap/>
            <w:vAlign w:val="bottom"/>
            <w:hideMark/>
          </w:tcPr>
          <w:p w14:paraId="30D1C3D5" w14:textId="77777777" w:rsidR="00FC752D" w:rsidRPr="0047773A" w:rsidRDefault="00FC752D" w:rsidP="0063480F">
            <w:pPr>
              <w:jc w:val="right"/>
              <w:rPr>
                <w:color w:val="000000"/>
                <w:sz w:val="20"/>
                <w:szCs w:val="20"/>
                <w:lang w:val="en-CA" w:eastAsia="en-CA"/>
              </w:rPr>
            </w:pPr>
            <w:r w:rsidRPr="0047773A">
              <w:rPr>
                <w:color w:val="000000"/>
                <w:sz w:val="20"/>
                <w:szCs w:val="20"/>
                <w:lang w:val="en-CA" w:eastAsia="en-CA"/>
              </w:rPr>
              <w:t>20,000</w:t>
            </w:r>
          </w:p>
        </w:tc>
      </w:tr>
      <w:tr w:rsidR="00FC752D" w:rsidRPr="00BC4AFE" w14:paraId="2DDCD8A8" w14:textId="77777777" w:rsidTr="00A60395">
        <w:trPr>
          <w:trHeight w:val="255"/>
          <w:jc w:val="center"/>
        </w:trPr>
        <w:tc>
          <w:tcPr>
            <w:tcW w:w="6565" w:type="dxa"/>
            <w:shd w:val="clear" w:color="auto" w:fill="auto"/>
            <w:noWrap/>
            <w:vAlign w:val="bottom"/>
            <w:hideMark/>
          </w:tcPr>
          <w:p w14:paraId="4F25D7AB"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Business engagement</w:t>
            </w:r>
          </w:p>
        </w:tc>
        <w:tc>
          <w:tcPr>
            <w:tcW w:w="2880" w:type="dxa"/>
            <w:shd w:val="clear" w:color="auto" w:fill="auto"/>
            <w:noWrap/>
            <w:vAlign w:val="bottom"/>
            <w:hideMark/>
          </w:tcPr>
          <w:p w14:paraId="79CFA43E"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30,000</w:t>
            </w:r>
          </w:p>
        </w:tc>
      </w:tr>
      <w:tr w:rsidR="00FC752D" w:rsidRPr="00BC4AFE" w14:paraId="66345897" w14:textId="77777777" w:rsidTr="00A60395">
        <w:trPr>
          <w:trHeight w:val="255"/>
          <w:jc w:val="center"/>
        </w:trPr>
        <w:tc>
          <w:tcPr>
            <w:tcW w:w="6565" w:type="dxa"/>
            <w:shd w:val="clear" w:color="auto" w:fill="auto"/>
            <w:noWrap/>
            <w:vAlign w:val="bottom"/>
            <w:hideMark/>
          </w:tcPr>
          <w:p w14:paraId="0C7081DF"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Capacity-building and technical and scientific cooperation</w:t>
            </w:r>
          </w:p>
        </w:tc>
        <w:tc>
          <w:tcPr>
            <w:tcW w:w="2880" w:type="dxa"/>
            <w:shd w:val="clear" w:color="auto" w:fill="auto"/>
            <w:noWrap/>
            <w:vAlign w:val="bottom"/>
            <w:hideMark/>
          </w:tcPr>
          <w:p w14:paraId="5332FD82"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60,000</w:t>
            </w:r>
          </w:p>
        </w:tc>
      </w:tr>
      <w:tr w:rsidR="00FC752D" w:rsidRPr="00BC4AFE" w14:paraId="2939A1B7" w14:textId="77777777" w:rsidTr="00A60395">
        <w:trPr>
          <w:trHeight w:val="255"/>
          <w:jc w:val="center"/>
        </w:trPr>
        <w:tc>
          <w:tcPr>
            <w:tcW w:w="6565" w:type="dxa"/>
            <w:shd w:val="clear" w:color="auto" w:fill="auto"/>
            <w:noWrap/>
            <w:vAlign w:val="bottom"/>
            <w:hideMark/>
          </w:tcPr>
          <w:p w14:paraId="01377612"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Communication</w:t>
            </w:r>
          </w:p>
        </w:tc>
        <w:tc>
          <w:tcPr>
            <w:tcW w:w="2880" w:type="dxa"/>
            <w:shd w:val="clear" w:color="auto" w:fill="auto"/>
            <w:noWrap/>
            <w:vAlign w:val="bottom"/>
            <w:hideMark/>
          </w:tcPr>
          <w:p w14:paraId="47B94284"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50,000</w:t>
            </w:r>
          </w:p>
        </w:tc>
      </w:tr>
      <w:tr w:rsidR="00FC752D" w:rsidRPr="00BC4AFE" w14:paraId="7EF6E7DA" w14:textId="77777777" w:rsidTr="00A60395">
        <w:trPr>
          <w:trHeight w:val="255"/>
          <w:jc w:val="center"/>
        </w:trPr>
        <w:tc>
          <w:tcPr>
            <w:tcW w:w="6565" w:type="dxa"/>
            <w:shd w:val="clear" w:color="auto" w:fill="auto"/>
            <w:noWrap/>
            <w:vAlign w:val="bottom"/>
            <w:hideMark/>
          </w:tcPr>
          <w:p w14:paraId="22FDADAB"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Conservation and sustainable use of marine and coastal biodiversity</w:t>
            </w:r>
          </w:p>
        </w:tc>
        <w:tc>
          <w:tcPr>
            <w:tcW w:w="2880" w:type="dxa"/>
            <w:shd w:val="clear" w:color="auto" w:fill="auto"/>
            <w:noWrap/>
            <w:vAlign w:val="bottom"/>
            <w:hideMark/>
          </w:tcPr>
          <w:p w14:paraId="78FC37D5"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18,000</w:t>
            </w:r>
          </w:p>
        </w:tc>
      </w:tr>
      <w:tr w:rsidR="00FC752D" w:rsidRPr="00BC4AFE" w14:paraId="760757D3" w14:textId="77777777" w:rsidTr="00A60395">
        <w:trPr>
          <w:trHeight w:val="255"/>
          <w:jc w:val="center"/>
        </w:trPr>
        <w:tc>
          <w:tcPr>
            <w:tcW w:w="6565" w:type="dxa"/>
            <w:shd w:val="clear" w:color="auto" w:fill="auto"/>
            <w:noWrap/>
            <w:vAlign w:val="bottom"/>
            <w:hideMark/>
          </w:tcPr>
          <w:p w14:paraId="6129919A"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Cooperation with other conventions and international organizations</w:t>
            </w:r>
          </w:p>
        </w:tc>
        <w:tc>
          <w:tcPr>
            <w:tcW w:w="2880" w:type="dxa"/>
            <w:shd w:val="clear" w:color="auto" w:fill="auto"/>
            <w:noWrap/>
            <w:vAlign w:val="bottom"/>
            <w:hideMark/>
          </w:tcPr>
          <w:p w14:paraId="12C3A115"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50,000</w:t>
            </w:r>
          </w:p>
        </w:tc>
      </w:tr>
      <w:tr w:rsidR="00FC752D" w:rsidRPr="00BC4AFE" w14:paraId="67B616A9" w14:textId="77777777" w:rsidTr="00A60395">
        <w:trPr>
          <w:trHeight w:val="255"/>
          <w:jc w:val="center"/>
        </w:trPr>
        <w:tc>
          <w:tcPr>
            <w:tcW w:w="6565" w:type="dxa"/>
            <w:shd w:val="clear" w:color="auto" w:fill="auto"/>
            <w:noWrap/>
            <w:vAlign w:val="bottom"/>
            <w:hideMark/>
          </w:tcPr>
          <w:p w14:paraId="12C13882"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Effectiveness of the process</w:t>
            </w:r>
          </w:p>
        </w:tc>
        <w:tc>
          <w:tcPr>
            <w:tcW w:w="2880" w:type="dxa"/>
            <w:shd w:val="clear" w:color="auto" w:fill="auto"/>
            <w:noWrap/>
            <w:vAlign w:val="bottom"/>
            <w:hideMark/>
          </w:tcPr>
          <w:p w14:paraId="19A19AA3"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15,000</w:t>
            </w:r>
          </w:p>
        </w:tc>
      </w:tr>
      <w:tr w:rsidR="00FC752D" w:rsidRPr="00BC4AFE" w14:paraId="7E057BCD" w14:textId="77777777" w:rsidTr="00A60395">
        <w:trPr>
          <w:trHeight w:val="255"/>
          <w:jc w:val="center"/>
        </w:trPr>
        <w:tc>
          <w:tcPr>
            <w:tcW w:w="6565" w:type="dxa"/>
            <w:shd w:val="clear" w:color="auto" w:fill="auto"/>
            <w:noWrap/>
            <w:vAlign w:val="bottom"/>
            <w:hideMark/>
          </w:tcPr>
          <w:p w14:paraId="4F903B1E"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 xml:space="preserve">Engagement with subnational governments, cities </w:t>
            </w:r>
          </w:p>
        </w:tc>
        <w:tc>
          <w:tcPr>
            <w:tcW w:w="2880" w:type="dxa"/>
            <w:shd w:val="clear" w:color="auto" w:fill="auto"/>
            <w:noWrap/>
            <w:vAlign w:val="bottom"/>
            <w:hideMark/>
          </w:tcPr>
          <w:p w14:paraId="6B38D30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55,000</w:t>
            </w:r>
          </w:p>
        </w:tc>
      </w:tr>
      <w:tr w:rsidR="00FC752D" w:rsidRPr="00BC4AFE" w14:paraId="6754BD7A" w14:textId="77777777" w:rsidTr="00A60395">
        <w:trPr>
          <w:trHeight w:val="255"/>
          <w:jc w:val="center"/>
        </w:trPr>
        <w:tc>
          <w:tcPr>
            <w:tcW w:w="6565" w:type="dxa"/>
            <w:shd w:val="clear" w:color="auto" w:fill="auto"/>
            <w:noWrap/>
            <w:vAlign w:val="bottom"/>
            <w:hideMark/>
          </w:tcPr>
          <w:p w14:paraId="336B5ED6"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Global Biodiversity Framework - implementation facilitation/engagement</w:t>
            </w:r>
          </w:p>
        </w:tc>
        <w:tc>
          <w:tcPr>
            <w:tcW w:w="2880" w:type="dxa"/>
            <w:shd w:val="clear" w:color="auto" w:fill="auto"/>
            <w:noWrap/>
            <w:vAlign w:val="bottom"/>
            <w:hideMark/>
          </w:tcPr>
          <w:p w14:paraId="3921F8DB"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50,000</w:t>
            </w:r>
          </w:p>
        </w:tc>
      </w:tr>
      <w:tr w:rsidR="00FC752D" w:rsidRPr="00BC4AFE" w14:paraId="6401FC92" w14:textId="77777777" w:rsidTr="00A60395">
        <w:trPr>
          <w:trHeight w:val="255"/>
          <w:jc w:val="center"/>
        </w:trPr>
        <w:tc>
          <w:tcPr>
            <w:tcW w:w="6565" w:type="dxa"/>
            <w:shd w:val="clear" w:color="auto" w:fill="auto"/>
            <w:noWrap/>
            <w:vAlign w:val="bottom"/>
            <w:hideMark/>
          </w:tcPr>
          <w:p w14:paraId="38F5DBF2"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Gender Plan of Action</w:t>
            </w:r>
          </w:p>
        </w:tc>
        <w:tc>
          <w:tcPr>
            <w:tcW w:w="2880" w:type="dxa"/>
            <w:shd w:val="clear" w:color="auto" w:fill="auto"/>
            <w:noWrap/>
            <w:vAlign w:val="bottom"/>
            <w:hideMark/>
          </w:tcPr>
          <w:p w14:paraId="4B039899"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20,000</w:t>
            </w:r>
          </w:p>
        </w:tc>
      </w:tr>
      <w:tr w:rsidR="00FC752D" w:rsidRPr="00BC4AFE" w14:paraId="7273B100" w14:textId="77777777" w:rsidTr="00A60395">
        <w:trPr>
          <w:trHeight w:val="255"/>
          <w:jc w:val="center"/>
        </w:trPr>
        <w:tc>
          <w:tcPr>
            <w:tcW w:w="6565" w:type="dxa"/>
            <w:shd w:val="clear" w:color="auto" w:fill="auto"/>
            <w:noWrap/>
            <w:vAlign w:val="bottom"/>
            <w:hideMark/>
          </w:tcPr>
          <w:p w14:paraId="3B4368D2"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Invasive alien species</w:t>
            </w:r>
          </w:p>
        </w:tc>
        <w:tc>
          <w:tcPr>
            <w:tcW w:w="2880" w:type="dxa"/>
            <w:shd w:val="clear" w:color="auto" w:fill="auto"/>
            <w:noWrap/>
            <w:vAlign w:val="bottom"/>
            <w:hideMark/>
          </w:tcPr>
          <w:p w14:paraId="24191CD4"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20,000</w:t>
            </w:r>
          </w:p>
        </w:tc>
      </w:tr>
      <w:tr w:rsidR="00FC752D" w:rsidRPr="00BC4AFE" w14:paraId="0D9713CC" w14:textId="77777777" w:rsidTr="00A60395">
        <w:trPr>
          <w:trHeight w:val="255"/>
          <w:jc w:val="center"/>
        </w:trPr>
        <w:tc>
          <w:tcPr>
            <w:tcW w:w="6565" w:type="dxa"/>
            <w:shd w:val="clear" w:color="auto" w:fill="auto"/>
            <w:noWrap/>
            <w:vAlign w:val="bottom"/>
            <w:hideMark/>
          </w:tcPr>
          <w:p w14:paraId="5B5A51D9"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IPBES</w:t>
            </w:r>
          </w:p>
        </w:tc>
        <w:tc>
          <w:tcPr>
            <w:tcW w:w="2880" w:type="dxa"/>
            <w:shd w:val="clear" w:color="auto" w:fill="auto"/>
            <w:noWrap/>
            <w:vAlign w:val="bottom"/>
            <w:hideMark/>
          </w:tcPr>
          <w:p w14:paraId="3302CD9F"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20,000</w:t>
            </w:r>
          </w:p>
        </w:tc>
      </w:tr>
      <w:tr w:rsidR="00FC752D" w:rsidRPr="00BC4AFE" w14:paraId="7D64A9DC" w14:textId="77777777" w:rsidTr="00A60395">
        <w:trPr>
          <w:trHeight w:val="255"/>
          <w:jc w:val="center"/>
        </w:trPr>
        <w:tc>
          <w:tcPr>
            <w:tcW w:w="6565" w:type="dxa"/>
            <w:shd w:val="clear" w:color="auto" w:fill="auto"/>
            <w:noWrap/>
            <w:vAlign w:val="bottom"/>
            <w:hideMark/>
          </w:tcPr>
          <w:p w14:paraId="77DF3413"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Indigenous peoples and local communities</w:t>
            </w:r>
          </w:p>
        </w:tc>
        <w:tc>
          <w:tcPr>
            <w:tcW w:w="2880" w:type="dxa"/>
            <w:shd w:val="clear" w:color="auto" w:fill="auto"/>
            <w:noWrap/>
            <w:vAlign w:val="bottom"/>
            <w:hideMark/>
          </w:tcPr>
          <w:p w14:paraId="48DDBB3B"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20,000</w:t>
            </w:r>
          </w:p>
        </w:tc>
      </w:tr>
      <w:tr w:rsidR="00FC752D" w:rsidRPr="00BC4AFE" w14:paraId="6E3AE6A9" w14:textId="77777777" w:rsidTr="00A60395">
        <w:trPr>
          <w:trHeight w:val="255"/>
          <w:jc w:val="center"/>
        </w:trPr>
        <w:tc>
          <w:tcPr>
            <w:tcW w:w="6565" w:type="dxa"/>
            <w:shd w:val="clear" w:color="auto" w:fill="auto"/>
            <w:noWrap/>
            <w:vAlign w:val="bottom"/>
            <w:hideMark/>
          </w:tcPr>
          <w:p w14:paraId="19D55E8D"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Monitoring - Global Biodiversity Framework</w:t>
            </w:r>
          </w:p>
        </w:tc>
        <w:tc>
          <w:tcPr>
            <w:tcW w:w="2880" w:type="dxa"/>
            <w:shd w:val="clear" w:color="auto" w:fill="auto"/>
            <w:noWrap/>
            <w:vAlign w:val="bottom"/>
            <w:hideMark/>
          </w:tcPr>
          <w:p w14:paraId="299903FE"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40,000</w:t>
            </w:r>
          </w:p>
        </w:tc>
      </w:tr>
      <w:tr w:rsidR="00FC752D" w:rsidRPr="00BC4AFE" w14:paraId="50E23176" w14:textId="77777777" w:rsidTr="00A60395">
        <w:trPr>
          <w:trHeight w:val="255"/>
          <w:jc w:val="center"/>
        </w:trPr>
        <w:tc>
          <w:tcPr>
            <w:tcW w:w="6565" w:type="dxa"/>
            <w:shd w:val="clear" w:color="auto" w:fill="auto"/>
            <w:noWrap/>
            <w:vAlign w:val="bottom"/>
            <w:hideMark/>
          </w:tcPr>
          <w:p w14:paraId="64AFD4DB"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Planning, monitoring, reporting and review</w:t>
            </w:r>
          </w:p>
        </w:tc>
        <w:tc>
          <w:tcPr>
            <w:tcW w:w="2880" w:type="dxa"/>
            <w:shd w:val="clear" w:color="auto" w:fill="auto"/>
            <w:noWrap/>
            <w:vAlign w:val="bottom"/>
            <w:hideMark/>
          </w:tcPr>
          <w:p w14:paraId="4885D250"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50,000</w:t>
            </w:r>
          </w:p>
        </w:tc>
      </w:tr>
      <w:tr w:rsidR="00FC752D" w:rsidRPr="00BC4AFE" w14:paraId="5F9294EC" w14:textId="77777777" w:rsidTr="00A60395">
        <w:trPr>
          <w:trHeight w:val="255"/>
          <w:jc w:val="center"/>
        </w:trPr>
        <w:tc>
          <w:tcPr>
            <w:tcW w:w="6565" w:type="dxa"/>
            <w:shd w:val="clear" w:color="auto" w:fill="auto"/>
            <w:noWrap/>
            <w:vAlign w:val="bottom"/>
            <w:hideMark/>
          </w:tcPr>
          <w:p w14:paraId="10905303"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Resource mobilization</w:t>
            </w:r>
          </w:p>
        </w:tc>
        <w:tc>
          <w:tcPr>
            <w:tcW w:w="2880" w:type="dxa"/>
            <w:shd w:val="clear" w:color="auto" w:fill="auto"/>
            <w:noWrap/>
            <w:vAlign w:val="bottom"/>
            <w:hideMark/>
          </w:tcPr>
          <w:p w14:paraId="0BCD5716"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20,000</w:t>
            </w:r>
          </w:p>
        </w:tc>
      </w:tr>
      <w:tr w:rsidR="00FC752D" w:rsidRPr="00BC4AFE" w14:paraId="3990D0F1" w14:textId="77777777" w:rsidTr="00A60395">
        <w:trPr>
          <w:trHeight w:val="255"/>
          <w:jc w:val="center"/>
        </w:trPr>
        <w:tc>
          <w:tcPr>
            <w:tcW w:w="6565" w:type="dxa"/>
            <w:shd w:val="clear" w:color="auto" w:fill="auto"/>
            <w:noWrap/>
            <w:vAlign w:val="bottom"/>
            <w:hideMark/>
          </w:tcPr>
          <w:p w14:paraId="156808D7"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Sustainable wildlife</w:t>
            </w:r>
          </w:p>
        </w:tc>
        <w:tc>
          <w:tcPr>
            <w:tcW w:w="2880" w:type="dxa"/>
            <w:shd w:val="clear" w:color="auto" w:fill="auto"/>
            <w:noWrap/>
            <w:vAlign w:val="bottom"/>
            <w:hideMark/>
          </w:tcPr>
          <w:p w14:paraId="5327D12F"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20,000</w:t>
            </w:r>
          </w:p>
        </w:tc>
      </w:tr>
      <w:tr w:rsidR="00FC752D" w:rsidRPr="00BC4AFE" w14:paraId="6AFE1288" w14:textId="77777777" w:rsidTr="00A60395">
        <w:trPr>
          <w:trHeight w:val="255"/>
          <w:jc w:val="center"/>
        </w:trPr>
        <w:tc>
          <w:tcPr>
            <w:tcW w:w="6565" w:type="dxa"/>
            <w:tcBorders>
              <w:bottom w:val="single" w:sz="4" w:space="0" w:color="auto"/>
            </w:tcBorders>
            <w:shd w:val="clear" w:color="auto" w:fill="auto"/>
            <w:noWrap/>
            <w:vAlign w:val="bottom"/>
            <w:hideMark/>
          </w:tcPr>
          <w:p w14:paraId="03AC715D"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Synthetic biology</w:t>
            </w:r>
          </w:p>
        </w:tc>
        <w:tc>
          <w:tcPr>
            <w:tcW w:w="2880" w:type="dxa"/>
            <w:tcBorders>
              <w:bottom w:val="single" w:sz="4" w:space="0" w:color="auto"/>
            </w:tcBorders>
            <w:shd w:val="clear" w:color="auto" w:fill="auto"/>
            <w:noWrap/>
            <w:vAlign w:val="bottom"/>
            <w:hideMark/>
          </w:tcPr>
          <w:p w14:paraId="0985BF07"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40,000</w:t>
            </w:r>
          </w:p>
        </w:tc>
      </w:tr>
      <w:tr w:rsidR="00FC752D" w:rsidRPr="00BC4AFE" w14:paraId="3C0FA5D5" w14:textId="77777777" w:rsidTr="00A60395">
        <w:trPr>
          <w:trHeight w:val="255"/>
          <w:jc w:val="center"/>
        </w:trPr>
        <w:tc>
          <w:tcPr>
            <w:tcW w:w="6565" w:type="dxa"/>
            <w:tcBorders>
              <w:top w:val="single" w:sz="4" w:space="0" w:color="auto"/>
              <w:bottom w:val="single" w:sz="4" w:space="0" w:color="auto"/>
            </w:tcBorders>
            <w:shd w:val="clear" w:color="auto" w:fill="auto"/>
            <w:noWrap/>
            <w:vAlign w:val="bottom"/>
            <w:hideMark/>
          </w:tcPr>
          <w:p w14:paraId="3019E4F1"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4" w:space="0" w:color="auto"/>
              <w:bottom w:val="single" w:sz="4" w:space="0" w:color="auto"/>
            </w:tcBorders>
            <w:shd w:val="clear" w:color="auto" w:fill="auto"/>
            <w:noWrap/>
            <w:vAlign w:val="bottom"/>
            <w:hideMark/>
          </w:tcPr>
          <w:p w14:paraId="6C70BD00" w14:textId="77777777" w:rsidR="00FC752D" w:rsidRPr="00BC4AFE" w:rsidRDefault="00FC752D" w:rsidP="00E01BB0">
            <w:pPr>
              <w:jc w:val="right"/>
              <w:rPr>
                <w:color w:val="000000"/>
                <w:sz w:val="20"/>
                <w:szCs w:val="20"/>
                <w:lang w:val="en-CA" w:eastAsia="en-CA"/>
              </w:rPr>
            </w:pPr>
            <w:r>
              <w:rPr>
                <w:color w:val="000000"/>
                <w:sz w:val="20"/>
                <w:szCs w:val="20"/>
                <w:lang w:val="en-CA" w:eastAsia="en-CA"/>
              </w:rPr>
              <w:t>638</w:t>
            </w:r>
            <w:r w:rsidRPr="00BC4AFE">
              <w:rPr>
                <w:color w:val="000000"/>
                <w:sz w:val="20"/>
                <w:szCs w:val="20"/>
                <w:lang w:val="en-CA" w:eastAsia="en-CA"/>
              </w:rPr>
              <w:t>,000</w:t>
            </w:r>
          </w:p>
        </w:tc>
      </w:tr>
      <w:tr w:rsidR="00FC752D" w:rsidRPr="00BC4AFE" w14:paraId="6CAAE445" w14:textId="77777777" w:rsidTr="00A60395">
        <w:trPr>
          <w:trHeight w:val="255"/>
          <w:jc w:val="center"/>
        </w:trPr>
        <w:tc>
          <w:tcPr>
            <w:tcW w:w="6565" w:type="dxa"/>
            <w:tcBorders>
              <w:top w:val="single" w:sz="4" w:space="0" w:color="auto"/>
            </w:tcBorders>
            <w:shd w:val="clear" w:color="auto" w:fill="auto"/>
            <w:noWrap/>
            <w:vAlign w:val="bottom"/>
            <w:hideMark/>
          </w:tcPr>
          <w:p w14:paraId="3F59A788"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Workshops</w:t>
            </w:r>
          </w:p>
        </w:tc>
        <w:tc>
          <w:tcPr>
            <w:tcW w:w="2880" w:type="dxa"/>
            <w:tcBorders>
              <w:top w:val="single" w:sz="4" w:space="0" w:color="auto"/>
            </w:tcBorders>
            <w:shd w:val="clear" w:color="auto" w:fill="auto"/>
            <w:noWrap/>
            <w:vAlign w:val="bottom"/>
            <w:hideMark/>
          </w:tcPr>
          <w:p w14:paraId="6D7CED5C" w14:textId="77777777" w:rsidR="00FC752D" w:rsidRPr="00BC4AFE" w:rsidRDefault="00FC752D" w:rsidP="00E01BB0">
            <w:pPr>
              <w:jc w:val="right"/>
              <w:rPr>
                <w:b/>
                <w:bCs/>
                <w:color w:val="000000"/>
                <w:sz w:val="20"/>
                <w:szCs w:val="20"/>
                <w:lang w:val="en-CA" w:eastAsia="en-CA"/>
              </w:rPr>
            </w:pPr>
          </w:p>
        </w:tc>
      </w:tr>
      <w:tr w:rsidR="00FC752D" w:rsidRPr="00BC4AFE" w14:paraId="7748D705" w14:textId="77777777" w:rsidTr="00A60395">
        <w:trPr>
          <w:trHeight w:val="255"/>
          <w:jc w:val="center"/>
        </w:trPr>
        <w:tc>
          <w:tcPr>
            <w:tcW w:w="6565" w:type="dxa"/>
            <w:shd w:val="clear" w:color="auto" w:fill="auto"/>
            <w:noWrap/>
            <w:vAlign w:val="bottom"/>
            <w:hideMark/>
          </w:tcPr>
          <w:p w14:paraId="73042306"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Article 8(j)</w:t>
            </w:r>
          </w:p>
        </w:tc>
        <w:tc>
          <w:tcPr>
            <w:tcW w:w="2880" w:type="dxa"/>
            <w:shd w:val="clear" w:color="auto" w:fill="auto"/>
            <w:noWrap/>
            <w:vAlign w:val="bottom"/>
            <w:hideMark/>
          </w:tcPr>
          <w:p w14:paraId="00C0960B"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373,000</w:t>
            </w:r>
          </w:p>
        </w:tc>
      </w:tr>
      <w:tr w:rsidR="00FC752D" w:rsidRPr="00BC4AFE" w14:paraId="459BC3D5" w14:textId="77777777" w:rsidTr="00A60395">
        <w:trPr>
          <w:trHeight w:val="255"/>
          <w:jc w:val="center"/>
        </w:trPr>
        <w:tc>
          <w:tcPr>
            <w:tcW w:w="6565" w:type="dxa"/>
            <w:shd w:val="clear" w:color="auto" w:fill="auto"/>
            <w:noWrap/>
            <w:vAlign w:val="bottom"/>
            <w:hideMark/>
          </w:tcPr>
          <w:p w14:paraId="406DCF68"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Capacity-building and technical and scientific cooperation</w:t>
            </w:r>
          </w:p>
        </w:tc>
        <w:tc>
          <w:tcPr>
            <w:tcW w:w="2880" w:type="dxa"/>
            <w:shd w:val="clear" w:color="auto" w:fill="auto"/>
            <w:noWrap/>
            <w:vAlign w:val="bottom"/>
            <w:hideMark/>
          </w:tcPr>
          <w:p w14:paraId="4FBAA012"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705,000</w:t>
            </w:r>
          </w:p>
        </w:tc>
      </w:tr>
      <w:tr w:rsidR="00FC752D" w:rsidRPr="00BC4AFE" w14:paraId="792470F5" w14:textId="77777777" w:rsidTr="00A60395">
        <w:trPr>
          <w:trHeight w:val="255"/>
          <w:jc w:val="center"/>
        </w:trPr>
        <w:tc>
          <w:tcPr>
            <w:tcW w:w="6565" w:type="dxa"/>
            <w:shd w:val="clear" w:color="auto" w:fill="auto"/>
            <w:noWrap/>
            <w:vAlign w:val="bottom"/>
            <w:hideMark/>
          </w:tcPr>
          <w:p w14:paraId="03B48E6F"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Conservation and sustainable use of marine and coastal biodiversity</w:t>
            </w:r>
          </w:p>
        </w:tc>
        <w:tc>
          <w:tcPr>
            <w:tcW w:w="2880" w:type="dxa"/>
            <w:shd w:val="clear" w:color="auto" w:fill="auto"/>
            <w:noWrap/>
            <w:vAlign w:val="bottom"/>
            <w:hideMark/>
          </w:tcPr>
          <w:p w14:paraId="40C8F9D0"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263,000</w:t>
            </w:r>
          </w:p>
        </w:tc>
      </w:tr>
      <w:tr w:rsidR="00FC752D" w:rsidRPr="00BC4AFE" w14:paraId="4AD99E10" w14:textId="77777777" w:rsidTr="00A60395">
        <w:trPr>
          <w:trHeight w:val="255"/>
          <w:jc w:val="center"/>
        </w:trPr>
        <w:tc>
          <w:tcPr>
            <w:tcW w:w="6565" w:type="dxa"/>
            <w:shd w:val="clear" w:color="auto" w:fill="auto"/>
            <w:noWrap/>
            <w:vAlign w:val="bottom"/>
            <w:hideMark/>
          </w:tcPr>
          <w:p w14:paraId="060E6364"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EBSAs</w:t>
            </w:r>
          </w:p>
        </w:tc>
        <w:tc>
          <w:tcPr>
            <w:tcW w:w="2880" w:type="dxa"/>
            <w:shd w:val="clear" w:color="auto" w:fill="auto"/>
            <w:noWrap/>
            <w:vAlign w:val="bottom"/>
            <w:hideMark/>
          </w:tcPr>
          <w:p w14:paraId="71079485"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263,000</w:t>
            </w:r>
          </w:p>
        </w:tc>
      </w:tr>
      <w:tr w:rsidR="00FC752D" w:rsidRPr="00BC4AFE" w14:paraId="17AFECA0" w14:textId="77777777" w:rsidTr="00A60395">
        <w:trPr>
          <w:trHeight w:val="255"/>
          <w:jc w:val="center"/>
        </w:trPr>
        <w:tc>
          <w:tcPr>
            <w:tcW w:w="6565" w:type="dxa"/>
            <w:shd w:val="clear" w:color="auto" w:fill="auto"/>
            <w:noWrap/>
            <w:vAlign w:val="bottom"/>
            <w:hideMark/>
          </w:tcPr>
          <w:p w14:paraId="1991AD72"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 xml:space="preserve">Engagement with subnational governments, cities </w:t>
            </w:r>
          </w:p>
        </w:tc>
        <w:tc>
          <w:tcPr>
            <w:tcW w:w="2880" w:type="dxa"/>
            <w:shd w:val="clear" w:color="auto" w:fill="auto"/>
            <w:noWrap/>
            <w:vAlign w:val="bottom"/>
            <w:hideMark/>
          </w:tcPr>
          <w:p w14:paraId="04B7BBE5"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70,000</w:t>
            </w:r>
          </w:p>
        </w:tc>
      </w:tr>
      <w:tr w:rsidR="00FC752D" w:rsidRPr="00BC4AFE" w14:paraId="66E622E1" w14:textId="77777777" w:rsidTr="00A60395">
        <w:trPr>
          <w:trHeight w:val="255"/>
          <w:jc w:val="center"/>
        </w:trPr>
        <w:tc>
          <w:tcPr>
            <w:tcW w:w="6565" w:type="dxa"/>
            <w:shd w:val="clear" w:color="auto" w:fill="auto"/>
            <w:noWrap/>
            <w:vAlign w:val="bottom"/>
            <w:hideMark/>
          </w:tcPr>
          <w:p w14:paraId="531584F3"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Global Biodiversity Framework - implementation facilitation/engagement</w:t>
            </w:r>
          </w:p>
        </w:tc>
        <w:tc>
          <w:tcPr>
            <w:tcW w:w="2880" w:type="dxa"/>
            <w:shd w:val="clear" w:color="auto" w:fill="auto"/>
            <w:noWrap/>
            <w:vAlign w:val="bottom"/>
            <w:hideMark/>
          </w:tcPr>
          <w:p w14:paraId="7B9A3B69"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200,000</w:t>
            </w:r>
          </w:p>
        </w:tc>
      </w:tr>
      <w:tr w:rsidR="00FC752D" w:rsidRPr="00BC4AFE" w14:paraId="78C20934" w14:textId="77777777" w:rsidTr="00A60395">
        <w:trPr>
          <w:trHeight w:val="255"/>
          <w:jc w:val="center"/>
        </w:trPr>
        <w:tc>
          <w:tcPr>
            <w:tcW w:w="6565" w:type="dxa"/>
            <w:shd w:val="clear" w:color="auto" w:fill="auto"/>
            <w:noWrap/>
            <w:vAlign w:val="bottom"/>
            <w:hideMark/>
          </w:tcPr>
          <w:p w14:paraId="25D4F5C5"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Gender Plan of Action</w:t>
            </w:r>
          </w:p>
        </w:tc>
        <w:tc>
          <w:tcPr>
            <w:tcW w:w="2880" w:type="dxa"/>
            <w:shd w:val="clear" w:color="auto" w:fill="auto"/>
            <w:noWrap/>
            <w:vAlign w:val="bottom"/>
            <w:hideMark/>
          </w:tcPr>
          <w:p w14:paraId="75E54CD9"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80,000</w:t>
            </w:r>
          </w:p>
        </w:tc>
      </w:tr>
      <w:tr w:rsidR="00FC752D" w:rsidRPr="00BC4AFE" w14:paraId="57AF920E" w14:textId="77777777" w:rsidTr="00A60395">
        <w:trPr>
          <w:trHeight w:val="255"/>
          <w:jc w:val="center"/>
        </w:trPr>
        <w:tc>
          <w:tcPr>
            <w:tcW w:w="6565" w:type="dxa"/>
            <w:shd w:val="clear" w:color="auto" w:fill="auto"/>
            <w:noWrap/>
            <w:vAlign w:val="bottom"/>
            <w:hideMark/>
          </w:tcPr>
          <w:p w14:paraId="46E81124"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Knowledge management and the clearing-house mechanism</w:t>
            </w:r>
          </w:p>
        </w:tc>
        <w:tc>
          <w:tcPr>
            <w:tcW w:w="2880" w:type="dxa"/>
            <w:shd w:val="clear" w:color="auto" w:fill="auto"/>
            <w:noWrap/>
            <w:vAlign w:val="bottom"/>
            <w:hideMark/>
          </w:tcPr>
          <w:p w14:paraId="4FE678A8"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550,000</w:t>
            </w:r>
          </w:p>
        </w:tc>
      </w:tr>
      <w:tr w:rsidR="00FC752D" w:rsidRPr="00BC4AFE" w14:paraId="728CFB48" w14:textId="77777777" w:rsidTr="00A60395">
        <w:trPr>
          <w:trHeight w:val="255"/>
          <w:jc w:val="center"/>
        </w:trPr>
        <w:tc>
          <w:tcPr>
            <w:tcW w:w="6565" w:type="dxa"/>
            <w:shd w:val="clear" w:color="auto" w:fill="auto"/>
            <w:noWrap/>
            <w:vAlign w:val="bottom"/>
            <w:hideMark/>
          </w:tcPr>
          <w:p w14:paraId="058318CD"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Indigenous peoples and local communities</w:t>
            </w:r>
          </w:p>
        </w:tc>
        <w:tc>
          <w:tcPr>
            <w:tcW w:w="2880" w:type="dxa"/>
            <w:shd w:val="clear" w:color="auto" w:fill="auto"/>
            <w:noWrap/>
            <w:vAlign w:val="bottom"/>
            <w:hideMark/>
          </w:tcPr>
          <w:p w14:paraId="115B31AA"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190,000</w:t>
            </w:r>
          </w:p>
        </w:tc>
      </w:tr>
      <w:tr w:rsidR="00FC752D" w:rsidRPr="00BC4AFE" w14:paraId="740D619C" w14:textId="77777777" w:rsidTr="00A60395">
        <w:trPr>
          <w:trHeight w:val="255"/>
          <w:jc w:val="center"/>
        </w:trPr>
        <w:tc>
          <w:tcPr>
            <w:tcW w:w="6565" w:type="dxa"/>
            <w:shd w:val="clear" w:color="auto" w:fill="auto"/>
            <w:noWrap/>
            <w:vAlign w:val="bottom"/>
            <w:hideMark/>
          </w:tcPr>
          <w:p w14:paraId="2590DFA9"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Nature and culture</w:t>
            </w:r>
          </w:p>
        </w:tc>
        <w:tc>
          <w:tcPr>
            <w:tcW w:w="2880" w:type="dxa"/>
            <w:shd w:val="clear" w:color="auto" w:fill="auto"/>
            <w:noWrap/>
            <w:vAlign w:val="bottom"/>
            <w:hideMark/>
          </w:tcPr>
          <w:p w14:paraId="41E11C74"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190,000</w:t>
            </w:r>
          </w:p>
        </w:tc>
      </w:tr>
      <w:tr w:rsidR="00FC752D" w:rsidRPr="00BC4AFE" w14:paraId="73399A23" w14:textId="77777777" w:rsidTr="00A60395">
        <w:trPr>
          <w:trHeight w:val="255"/>
          <w:jc w:val="center"/>
        </w:trPr>
        <w:tc>
          <w:tcPr>
            <w:tcW w:w="6565" w:type="dxa"/>
            <w:shd w:val="clear" w:color="auto" w:fill="auto"/>
            <w:noWrap/>
            <w:vAlign w:val="bottom"/>
            <w:hideMark/>
          </w:tcPr>
          <w:p w14:paraId="406684D9"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Planning, monitoring, reporting and review</w:t>
            </w:r>
          </w:p>
        </w:tc>
        <w:tc>
          <w:tcPr>
            <w:tcW w:w="2880" w:type="dxa"/>
            <w:shd w:val="clear" w:color="auto" w:fill="auto"/>
            <w:noWrap/>
            <w:vAlign w:val="bottom"/>
            <w:hideMark/>
          </w:tcPr>
          <w:p w14:paraId="38035751"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162,500</w:t>
            </w:r>
          </w:p>
        </w:tc>
      </w:tr>
      <w:tr w:rsidR="00FC752D" w:rsidRPr="00BC4AFE" w14:paraId="17C509DF" w14:textId="77777777" w:rsidTr="00A60395">
        <w:trPr>
          <w:trHeight w:val="255"/>
          <w:jc w:val="center"/>
        </w:trPr>
        <w:tc>
          <w:tcPr>
            <w:tcW w:w="6565" w:type="dxa"/>
            <w:tcBorders>
              <w:bottom w:val="single" w:sz="4" w:space="0" w:color="auto"/>
            </w:tcBorders>
            <w:shd w:val="clear" w:color="auto" w:fill="auto"/>
            <w:noWrap/>
            <w:vAlign w:val="bottom"/>
            <w:hideMark/>
          </w:tcPr>
          <w:p w14:paraId="03DB1725"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Synthetic biology</w:t>
            </w:r>
          </w:p>
        </w:tc>
        <w:tc>
          <w:tcPr>
            <w:tcW w:w="2880" w:type="dxa"/>
            <w:tcBorders>
              <w:bottom w:val="single" w:sz="4" w:space="0" w:color="auto"/>
            </w:tcBorders>
            <w:shd w:val="clear" w:color="auto" w:fill="auto"/>
            <w:noWrap/>
            <w:vAlign w:val="bottom"/>
            <w:hideMark/>
          </w:tcPr>
          <w:p w14:paraId="0713A59C"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131,500</w:t>
            </w:r>
          </w:p>
        </w:tc>
      </w:tr>
      <w:tr w:rsidR="00FC752D" w:rsidRPr="00BC4AFE" w14:paraId="0F25C21F" w14:textId="77777777" w:rsidTr="00A60395">
        <w:trPr>
          <w:trHeight w:val="255"/>
          <w:jc w:val="center"/>
        </w:trPr>
        <w:tc>
          <w:tcPr>
            <w:tcW w:w="6565" w:type="dxa"/>
            <w:tcBorders>
              <w:top w:val="single" w:sz="4" w:space="0" w:color="auto"/>
              <w:bottom w:val="single" w:sz="4" w:space="0" w:color="auto"/>
            </w:tcBorders>
            <w:shd w:val="clear" w:color="auto" w:fill="auto"/>
            <w:noWrap/>
            <w:vAlign w:val="bottom"/>
            <w:hideMark/>
          </w:tcPr>
          <w:p w14:paraId="7D186C53"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4" w:space="0" w:color="auto"/>
              <w:bottom w:val="single" w:sz="4" w:space="0" w:color="auto"/>
            </w:tcBorders>
            <w:shd w:val="clear" w:color="auto" w:fill="auto"/>
            <w:noWrap/>
            <w:vAlign w:val="bottom"/>
            <w:hideMark/>
          </w:tcPr>
          <w:p w14:paraId="2D00B4D3"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3,178,000</w:t>
            </w:r>
          </w:p>
        </w:tc>
      </w:tr>
      <w:tr w:rsidR="00FC752D" w:rsidRPr="00BC4AFE" w14:paraId="5118B2B0" w14:textId="77777777" w:rsidTr="00A60395">
        <w:trPr>
          <w:trHeight w:val="255"/>
          <w:jc w:val="center"/>
        </w:trPr>
        <w:tc>
          <w:tcPr>
            <w:tcW w:w="6565" w:type="dxa"/>
            <w:shd w:val="clear" w:color="auto" w:fill="auto"/>
            <w:noWrap/>
            <w:vAlign w:val="bottom"/>
            <w:hideMark/>
          </w:tcPr>
          <w:p w14:paraId="3694CCF8"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Expert meetings and committees</w:t>
            </w:r>
          </w:p>
        </w:tc>
        <w:tc>
          <w:tcPr>
            <w:tcW w:w="2880" w:type="dxa"/>
            <w:shd w:val="clear" w:color="auto" w:fill="auto"/>
            <w:noWrap/>
            <w:vAlign w:val="bottom"/>
            <w:hideMark/>
          </w:tcPr>
          <w:p w14:paraId="0588184B" w14:textId="77777777" w:rsidR="00FC752D" w:rsidRPr="00BC4AFE" w:rsidRDefault="00FC752D" w:rsidP="00E01BB0">
            <w:pPr>
              <w:jc w:val="right"/>
              <w:rPr>
                <w:b/>
                <w:bCs/>
                <w:color w:val="000000"/>
                <w:sz w:val="20"/>
                <w:szCs w:val="20"/>
                <w:lang w:val="en-CA" w:eastAsia="en-CA"/>
              </w:rPr>
            </w:pPr>
          </w:p>
        </w:tc>
      </w:tr>
      <w:tr w:rsidR="00FC752D" w:rsidRPr="00BC4AFE" w14:paraId="2299BA2F" w14:textId="77777777" w:rsidTr="00A60395">
        <w:trPr>
          <w:trHeight w:val="255"/>
          <w:jc w:val="center"/>
        </w:trPr>
        <w:tc>
          <w:tcPr>
            <w:tcW w:w="6565" w:type="dxa"/>
            <w:shd w:val="clear" w:color="auto" w:fill="auto"/>
            <w:noWrap/>
            <w:vAlign w:val="center"/>
            <w:hideMark/>
          </w:tcPr>
          <w:p w14:paraId="3B8BE1AE"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Article 8(j)</w:t>
            </w:r>
          </w:p>
        </w:tc>
        <w:tc>
          <w:tcPr>
            <w:tcW w:w="2880" w:type="dxa"/>
            <w:shd w:val="clear" w:color="auto" w:fill="auto"/>
            <w:noWrap/>
            <w:vAlign w:val="center"/>
            <w:hideMark/>
          </w:tcPr>
          <w:p w14:paraId="005D9E97" w14:textId="77777777" w:rsidR="00FC752D" w:rsidRPr="00BC4AFE" w:rsidRDefault="00FC752D" w:rsidP="00E01BB0">
            <w:pPr>
              <w:jc w:val="right"/>
              <w:rPr>
                <w:sz w:val="20"/>
                <w:szCs w:val="20"/>
                <w:lang w:val="en-CA" w:eastAsia="en-CA"/>
              </w:rPr>
            </w:pPr>
            <w:r w:rsidRPr="00BC4AFE">
              <w:rPr>
                <w:sz w:val="20"/>
                <w:szCs w:val="20"/>
                <w:lang w:val="en-CA" w:eastAsia="en-CA"/>
              </w:rPr>
              <w:t>157,000</w:t>
            </w:r>
          </w:p>
        </w:tc>
      </w:tr>
      <w:tr w:rsidR="00FC752D" w:rsidRPr="00BC4AFE" w14:paraId="285E8E1A" w14:textId="77777777" w:rsidTr="00A60395">
        <w:trPr>
          <w:trHeight w:val="255"/>
          <w:jc w:val="center"/>
        </w:trPr>
        <w:tc>
          <w:tcPr>
            <w:tcW w:w="6565" w:type="dxa"/>
            <w:shd w:val="clear" w:color="auto" w:fill="auto"/>
            <w:noWrap/>
            <w:vAlign w:val="center"/>
            <w:hideMark/>
          </w:tcPr>
          <w:p w14:paraId="7E8860CF"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Communication</w:t>
            </w:r>
          </w:p>
        </w:tc>
        <w:tc>
          <w:tcPr>
            <w:tcW w:w="2880" w:type="dxa"/>
            <w:shd w:val="clear" w:color="auto" w:fill="auto"/>
            <w:noWrap/>
            <w:vAlign w:val="center"/>
            <w:hideMark/>
          </w:tcPr>
          <w:p w14:paraId="50F6D537" w14:textId="77777777" w:rsidR="00FC752D" w:rsidRPr="00BC4AFE" w:rsidRDefault="00FC752D" w:rsidP="00E01BB0">
            <w:pPr>
              <w:jc w:val="right"/>
              <w:rPr>
                <w:sz w:val="20"/>
                <w:szCs w:val="20"/>
                <w:lang w:val="en-CA" w:eastAsia="en-CA"/>
              </w:rPr>
            </w:pPr>
            <w:r w:rsidRPr="00BC4AFE">
              <w:rPr>
                <w:sz w:val="20"/>
                <w:szCs w:val="20"/>
                <w:lang w:val="en-CA" w:eastAsia="en-CA"/>
              </w:rPr>
              <w:t>75,000</w:t>
            </w:r>
          </w:p>
        </w:tc>
      </w:tr>
      <w:tr w:rsidR="00FC752D" w:rsidRPr="00BC4AFE" w14:paraId="0428A14B" w14:textId="77777777" w:rsidTr="00A60395">
        <w:trPr>
          <w:trHeight w:val="255"/>
          <w:jc w:val="center"/>
        </w:trPr>
        <w:tc>
          <w:tcPr>
            <w:tcW w:w="6565" w:type="dxa"/>
            <w:shd w:val="clear" w:color="auto" w:fill="auto"/>
            <w:noWrap/>
            <w:vAlign w:val="bottom"/>
            <w:hideMark/>
          </w:tcPr>
          <w:p w14:paraId="4E7E3D3B"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Gender Plan of Action</w:t>
            </w:r>
          </w:p>
        </w:tc>
        <w:tc>
          <w:tcPr>
            <w:tcW w:w="2880" w:type="dxa"/>
            <w:shd w:val="clear" w:color="auto" w:fill="auto"/>
            <w:noWrap/>
            <w:vAlign w:val="center"/>
            <w:hideMark/>
          </w:tcPr>
          <w:p w14:paraId="5BFFECB4" w14:textId="77777777" w:rsidR="00FC752D" w:rsidRPr="00BC4AFE" w:rsidRDefault="00FC752D" w:rsidP="00E01BB0">
            <w:pPr>
              <w:jc w:val="right"/>
              <w:rPr>
                <w:sz w:val="20"/>
                <w:szCs w:val="20"/>
                <w:lang w:val="en-CA" w:eastAsia="en-CA"/>
              </w:rPr>
            </w:pPr>
            <w:r w:rsidRPr="00BC4AFE">
              <w:rPr>
                <w:sz w:val="20"/>
                <w:szCs w:val="20"/>
                <w:lang w:val="en-CA" w:eastAsia="en-CA"/>
              </w:rPr>
              <w:t>80,000</w:t>
            </w:r>
          </w:p>
        </w:tc>
      </w:tr>
      <w:tr w:rsidR="00FC752D" w:rsidRPr="00BC4AFE" w14:paraId="0756A09F" w14:textId="77777777" w:rsidTr="00A60395">
        <w:trPr>
          <w:trHeight w:val="255"/>
          <w:jc w:val="center"/>
        </w:trPr>
        <w:tc>
          <w:tcPr>
            <w:tcW w:w="6565" w:type="dxa"/>
            <w:shd w:val="clear" w:color="auto" w:fill="auto"/>
            <w:noWrap/>
            <w:vAlign w:val="center"/>
            <w:hideMark/>
          </w:tcPr>
          <w:p w14:paraId="25C05CF1" w14:textId="77777777" w:rsidR="00FC752D" w:rsidRPr="00BC4AFE" w:rsidRDefault="00FC752D" w:rsidP="00E01BB0">
            <w:pPr>
              <w:keepNext/>
              <w:rPr>
                <w:sz w:val="20"/>
                <w:szCs w:val="20"/>
                <w:lang w:val="en-CA" w:eastAsia="en-CA"/>
              </w:rPr>
            </w:pPr>
            <w:r w:rsidRPr="00BC4AFE">
              <w:rPr>
                <w:sz w:val="20"/>
                <w:szCs w:val="20"/>
                <w:lang w:val="en-CA" w:eastAsia="en-CA"/>
              </w:rPr>
              <w:t xml:space="preserve">Monitoring </w:t>
            </w:r>
            <w:r>
              <w:rPr>
                <w:sz w:val="20"/>
                <w:szCs w:val="20"/>
                <w:lang w:val="en-CA" w:eastAsia="en-CA"/>
              </w:rPr>
              <w:t>–</w:t>
            </w:r>
            <w:r w:rsidRPr="00BC4AFE">
              <w:rPr>
                <w:sz w:val="20"/>
                <w:szCs w:val="20"/>
                <w:lang w:val="en-CA" w:eastAsia="en-CA"/>
              </w:rPr>
              <w:t xml:space="preserve"> </w:t>
            </w:r>
            <w:r>
              <w:rPr>
                <w:sz w:val="20"/>
                <w:szCs w:val="20"/>
                <w:lang w:val="en-CA" w:eastAsia="en-CA"/>
              </w:rPr>
              <w:t xml:space="preserve">Kunming Montreal </w:t>
            </w:r>
            <w:r w:rsidRPr="00BC4AFE">
              <w:rPr>
                <w:sz w:val="20"/>
                <w:szCs w:val="20"/>
                <w:lang w:val="en-CA" w:eastAsia="en-CA"/>
              </w:rPr>
              <w:t>Global Biodiversity Framework</w:t>
            </w:r>
          </w:p>
        </w:tc>
        <w:tc>
          <w:tcPr>
            <w:tcW w:w="2880" w:type="dxa"/>
            <w:shd w:val="clear" w:color="auto" w:fill="auto"/>
            <w:noWrap/>
            <w:vAlign w:val="center"/>
            <w:hideMark/>
          </w:tcPr>
          <w:p w14:paraId="5FBA40D9" w14:textId="77777777" w:rsidR="00FC752D" w:rsidRPr="00BC4AFE" w:rsidRDefault="00FC752D" w:rsidP="00E01BB0">
            <w:pPr>
              <w:jc w:val="right"/>
              <w:rPr>
                <w:sz w:val="20"/>
                <w:szCs w:val="20"/>
                <w:lang w:val="en-CA" w:eastAsia="en-CA"/>
              </w:rPr>
            </w:pPr>
            <w:r w:rsidRPr="00BC4AFE">
              <w:rPr>
                <w:sz w:val="20"/>
                <w:szCs w:val="20"/>
                <w:lang w:val="en-CA" w:eastAsia="en-CA"/>
              </w:rPr>
              <w:t>70,000</w:t>
            </w:r>
          </w:p>
        </w:tc>
      </w:tr>
      <w:tr w:rsidR="00FC752D" w:rsidRPr="00BC4AFE" w14:paraId="5458DA3B" w14:textId="77777777" w:rsidTr="00A60395">
        <w:trPr>
          <w:trHeight w:val="255"/>
          <w:jc w:val="center"/>
        </w:trPr>
        <w:tc>
          <w:tcPr>
            <w:tcW w:w="6565" w:type="dxa"/>
            <w:shd w:val="clear" w:color="auto" w:fill="auto"/>
            <w:noWrap/>
            <w:vAlign w:val="bottom"/>
            <w:hideMark/>
          </w:tcPr>
          <w:p w14:paraId="215CBACC"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Resource mobilization</w:t>
            </w:r>
          </w:p>
        </w:tc>
        <w:tc>
          <w:tcPr>
            <w:tcW w:w="2880" w:type="dxa"/>
            <w:shd w:val="clear" w:color="auto" w:fill="auto"/>
            <w:noWrap/>
            <w:vAlign w:val="bottom"/>
            <w:hideMark/>
          </w:tcPr>
          <w:p w14:paraId="7D76DF13"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600,000</w:t>
            </w:r>
          </w:p>
        </w:tc>
      </w:tr>
      <w:tr w:rsidR="00FC752D" w:rsidRPr="00BC4AFE" w14:paraId="20389EFE" w14:textId="77777777" w:rsidTr="00A60395">
        <w:trPr>
          <w:trHeight w:val="255"/>
          <w:jc w:val="center"/>
        </w:trPr>
        <w:tc>
          <w:tcPr>
            <w:tcW w:w="6565" w:type="dxa"/>
            <w:tcBorders>
              <w:bottom w:val="single" w:sz="4" w:space="0" w:color="auto"/>
            </w:tcBorders>
            <w:shd w:val="clear" w:color="auto" w:fill="auto"/>
            <w:noWrap/>
            <w:vAlign w:val="center"/>
            <w:hideMark/>
          </w:tcPr>
          <w:p w14:paraId="6FB8ECDC"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Synthetic biology</w:t>
            </w:r>
          </w:p>
        </w:tc>
        <w:tc>
          <w:tcPr>
            <w:tcW w:w="2880" w:type="dxa"/>
            <w:tcBorders>
              <w:bottom w:val="single" w:sz="4" w:space="0" w:color="auto"/>
            </w:tcBorders>
            <w:shd w:val="clear" w:color="auto" w:fill="auto"/>
            <w:noWrap/>
            <w:vAlign w:val="center"/>
            <w:hideMark/>
          </w:tcPr>
          <w:p w14:paraId="2463B58D" w14:textId="77777777" w:rsidR="00FC752D" w:rsidRPr="00BC4AFE" w:rsidRDefault="00FC752D" w:rsidP="00E01BB0">
            <w:pPr>
              <w:jc w:val="right"/>
              <w:rPr>
                <w:sz w:val="20"/>
                <w:szCs w:val="20"/>
                <w:lang w:val="en-CA" w:eastAsia="en-CA"/>
              </w:rPr>
            </w:pPr>
            <w:r w:rsidRPr="00BC4AFE">
              <w:rPr>
                <w:sz w:val="20"/>
                <w:szCs w:val="20"/>
                <w:lang w:val="en-CA" w:eastAsia="en-CA"/>
              </w:rPr>
              <w:t>294,000</w:t>
            </w:r>
          </w:p>
        </w:tc>
      </w:tr>
      <w:tr w:rsidR="00FC752D" w:rsidRPr="00BC4AFE" w14:paraId="0BBBD93E" w14:textId="77777777" w:rsidTr="00A60395">
        <w:trPr>
          <w:trHeight w:val="255"/>
          <w:jc w:val="center"/>
        </w:trPr>
        <w:tc>
          <w:tcPr>
            <w:tcW w:w="6565" w:type="dxa"/>
            <w:tcBorders>
              <w:top w:val="single" w:sz="4" w:space="0" w:color="auto"/>
              <w:bottom w:val="single" w:sz="4" w:space="0" w:color="auto"/>
            </w:tcBorders>
            <w:shd w:val="clear" w:color="auto" w:fill="auto"/>
            <w:noWrap/>
            <w:vAlign w:val="bottom"/>
            <w:hideMark/>
          </w:tcPr>
          <w:p w14:paraId="373835AA"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4" w:space="0" w:color="auto"/>
              <w:bottom w:val="single" w:sz="4" w:space="0" w:color="auto"/>
            </w:tcBorders>
            <w:shd w:val="clear" w:color="auto" w:fill="auto"/>
            <w:noWrap/>
            <w:vAlign w:val="bottom"/>
            <w:hideMark/>
          </w:tcPr>
          <w:p w14:paraId="026F87D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1,276,000</w:t>
            </w:r>
          </w:p>
        </w:tc>
      </w:tr>
      <w:tr w:rsidR="00FC752D" w:rsidRPr="00BC4AFE" w14:paraId="5679462A" w14:textId="77777777" w:rsidTr="00A60395">
        <w:trPr>
          <w:trHeight w:val="255"/>
          <w:jc w:val="center"/>
        </w:trPr>
        <w:tc>
          <w:tcPr>
            <w:tcW w:w="6565" w:type="dxa"/>
            <w:shd w:val="clear" w:color="auto" w:fill="auto"/>
            <w:noWrap/>
            <w:vAlign w:val="bottom"/>
            <w:hideMark/>
          </w:tcPr>
          <w:p w14:paraId="4089DC98"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Other costs</w:t>
            </w:r>
          </w:p>
        </w:tc>
        <w:tc>
          <w:tcPr>
            <w:tcW w:w="2880" w:type="dxa"/>
            <w:shd w:val="clear" w:color="auto" w:fill="auto"/>
            <w:noWrap/>
            <w:vAlign w:val="bottom"/>
            <w:hideMark/>
          </w:tcPr>
          <w:p w14:paraId="03E07F1E" w14:textId="77777777" w:rsidR="00FC752D" w:rsidRPr="00BC4AFE" w:rsidRDefault="00FC752D" w:rsidP="00E01BB0">
            <w:pPr>
              <w:jc w:val="right"/>
              <w:rPr>
                <w:b/>
                <w:bCs/>
                <w:color w:val="000000"/>
                <w:sz w:val="20"/>
                <w:szCs w:val="20"/>
                <w:lang w:val="en-CA" w:eastAsia="en-CA"/>
              </w:rPr>
            </w:pPr>
          </w:p>
        </w:tc>
      </w:tr>
      <w:tr w:rsidR="00FC752D" w:rsidRPr="00BC4AFE" w14:paraId="11DB4D51" w14:textId="77777777" w:rsidTr="00A60395">
        <w:trPr>
          <w:trHeight w:val="255"/>
          <w:jc w:val="center"/>
        </w:trPr>
        <w:tc>
          <w:tcPr>
            <w:tcW w:w="6565" w:type="dxa"/>
            <w:shd w:val="clear" w:color="auto" w:fill="auto"/>
            <w:noWrap/>
            <w:vAlign w:val="center"/>
            <w:hideMark/>
          </w:tcPr>
          <w:p w14:paraId="05858FCE" w14:textId="77777777" w:rsidR="00FC752D" w:rsidRPr="00BC4AFE" w:rsidRDefault="00FC752D" w:rsidP="00E01BB0">
            <w:pPr>
              <w:keepNext/>
              <w:rPr>
                <w:sz w:val="20"/>
                <w:szCs w:val="20"/>
                <w:lang w:val="en-CA" w:eastAsia="en-CA"/>
              </w:rPr>
            </w:pPr>
            <w:r w:rsidRPr="00BC4AFE">
              <w:rPr>
                <w:sz w:val="20"/>
                <w:szCs w:val="20"/>
                <w:lang w:val="en-CA" w:eastAsia="en-CA"/>
              </w:rPr>
              <w:t>Capacity-building and technical and scientific cooperation</w:t>
            </w:r>
          </w:p>
        </w:tc>
        <w:tc>
          <w:tcPr>
            <w:tcW w:w="2880" w:type="dxa"/>
            <w:shd w:val="clear" w:color="auto" w:fill="auto"/>
            <w:noWrap/>
            <w:vAlign w:val="center"/>
            <w:hideMark/>
          </w:tcPr>
          <w:p w14:paraId="6FEA7D71" w14:textId="77777777" w:rsidR="00FC752D" w:rsidRPr="00BC4AFE" w:rsidRDefault="00FC752D" w:rsidP="00E01BB0">
            <w:pPr>
              <w:jc w:val="right"/>
              <w:rPr>
                <w:sz w:val="20"/>
                <w:szCs w:val="20"/>
                <w:lang w:val="en-CA" w:eastAsia="en-CA"/>
              </w:rPr>
            </w:pPr>
            <w:r w:rsidRPr="00BC4AFE">
              <w:rPr>
                <w:sz w:val="20"/>
                <w:szCs w:val="20"/>
                <w:lang w:val="en-CA" w:eastAsia="en-CA"/>
              </w:rPr>
              <w:t>100,000</w:t>
            </w:r>
          </w:p>
        </w:tc>
      </w:tr>
      <w:tr w:rsidR="00FC752D" w:rsidRPr="00BC4AFE" w14:paraId="62BC6928" w14:textId="77777777" w:rsidTr="00A60395">
        <w:trPr>
          <w:trHeight w:val="255"/>
          <w:jc w:val="center"/>
        </w:trPr>
        <w:tc>
          <w:tcPr>
            <w:tcW w:w="6565" w:type="dxa"/>
            <w:shd w:val="clear" w:color="auto" w:fill="auto"/>
            <w:noWrap/>
            <w:vAlign w:val="center"/>
            <w:hideMark/>
          </w:tcPr>
          <w:p w14:paraId="2531DA3E"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Communication</w:t>
            </w:r>
          </w:p>
        </w:tc>
        <w:tc>
          <w:tcPr>
            <w:tcW w:w="2880" w:type="dxa"/>
            <w:shd w:val="clear" w:color="auto" w:fill="auto"/>
            <w:noWrap/>
            <w:vAlign w:val="center"/>
            <w:hideMark/>
          </w:tcPr>
          <w:p w14:paraId="048E50BF" w14:textId="77777777" w:rsidR="00FC752D" w:rsidRPr="00BC4AFE" w:rsidRDefault="00FC752D" w:rsidP="00E01BB0">
            <w:pPr>
              <w:jc w:val="right"/>
              <w:rPr>
                <w:sz w:val="20"/>
                <w:szCs w:val="20"/>
                <w:lang w:val="en-CA" w:eastAsia="en-CA"/>
              </w:rPr>
            </w:pPr>
            <w:r w:rsidRPr="00BC4AFE">
              <w:rPr>
                <w:sz w:val="20"/>
                <w:szCs w:val="20"/>
                <w:lang w:val="en-CA" w:eastAsia="en-CA"/>
              </w:rPr>
              <w:t>100,000</w:t>
            </w:r>
          </w:p>
        </w:tc>
      </w:tr>
      <w:tr w:rsidR="00FC752D" w:rsidRPr="00BC4AFE" w14:paraId="5E492306" w14:textId="77777777" w:rsidTr="00A60395">
        <w:trPr>
          <w:trHeight w:val="255"/>
          <w:jc w:val="center"/>
        </w:trPr>
        <w:tc>
          <w:tcPr>
            <w:tcW w:w="6565" w:type="dxa"/>
            <w:shd w:val="clear" w:color="auto" w:fill="auto"/>
            <w:noWrap/>
            <w:vAlign w:val="center"/>
            <w:hideMark/>
          </w:tcPr>
          <w:p w14:paraId="711AFF17" w14:textId="77777777" w:rsidR="00FC752D" w:rsidRPr="00BC4AFE" w:rsidRDefault="00FC752D" w:rsidP="00E01BB0">
            <w:pPr>
              <w:rPr>
                <w:sz w:val="20"/>
                <w:szCs w:val="20"/>
                <w:lang w:val="en-CA" w:eastAsia="en-CA"/>
              </w:rPr>
            </w:pPr>
            <w:r w:rsidRPr="00BC4AFE">
              <w:rPr>
                <w:sz w:val="20"/>
                <w:szCs w:val="20"/>
                <w:lang w:val="en-CA" w:eastAsia="en-CA"/>
              </w:rPr>
              <w:t xml:space="preserve">Engagement with subnational governments, cities </w:t>
            </w:r>
          </w:p>
        </w:tc>
        <w:tc>
          <w:tcPr>
            <w:tcW w:w="2880" w:type="dxa"/>
            <w:shd w:val="clear" w:color="auto" w:fill="auto"/>
            <w:noWrap/>
            <w:vAlign w:val="center"/>
            <w:hideMark/>
          </w:tcPr>
          <w:p w14:paraId="33B91436" w14:textId="77777777" w:rsidR="00FC752D" w:rsidRPr="00BC4AFE" w:rsidRDefault="00FC752D" w:rsidP="00E01BB0">
            <w:pPr>
              <w:jc w:val="right"/>
              <w:rPr>
                <w:sz w:val="20"/>
                <w:szCs w:val="20"/>
                <w:lang w:val="en-CA" w:eastAsia="en-CA"/>
              </w:rPr>
            </w:pPr>
            <w:r w:rsidRPr="00BC4AFE">
              <w:rPr>
                <w:sz w:val="20"/>
                <w:szCs w:val="20"/>
                <w:lang w:val="en-CA" w:eastAsia="en-CA"/>
              </w:rPr>
              <w:t>60,000</w:t>
            </w:r>
          </w:p>
        </w:tc>
      </w:tr>
      <w:tr w:rsidR="00FC752D" w:rsidRPr="00BC4AFE" w14:paraId="3F789D01" w14:textId="77777777" w:rsidTr="00A60395">
        <w:trPr>
          <w:trHeight w:val="255"/>
          <w:jc w:val="center"/>
        </w:trPr>
        <w:tc>
          <w:tcPr>
            <w:tcW w:w="6565" w:type="dxa"/>
            <w:shd w:val="clear" w:color="auto" w:fill="auto"/>
            <w:noWrap/>
            <w:vAlign w:val="center"/>
            <w:hideMark/>
          </w:tcPr>
          <w:p w14:paraId="36D17AFE" w14:textId="77777777" w:rsidR="00FC752D" w:rsidRPr="00BC4AFE" w:rsidRDefault="00FC752D" w:rsidP="00E01BB0">
            <w:pPr>
              <w:rPr>
                <w:sz w:val="20"/>
                <w:szCs w:val="20"/>
                <w:lang w:val="en-CA" w:eastAsia="en-CA"/>
              </w:rPr>
            </w:pPr>
            <w:r w:rsidRPr="00BC4AFE">
              <w:rPr>
                <w:sz w:val="20"/>
                <w:szCs w:val="20"/>
                <w:lang w:val="en-CA" w:eastAsia="en-CA"/>
              </w:rPr>
              <w:t>Financial mechanism</w:t>
            </w:r>
          </w:p>
        </w:tc>
        <w:tc>
          <w:tcPr>
            <w:tcW w:w="2880" w:type="dxa"/>
            <w:shd w:val="clear" w:color="auto" w:fill="auto"/>
            <w:noWrap/>
            <w:vAlign w:val="center"/>
            <w:hideMark/>
          </w:tcPr>
          <w:p w14:paraId="1D6825A3" w14:textId="77777777" w:rsidR="00FC752D" w:rsidRPr="00BC4AFE" w:rsidRDefault="00FC752D" w:rsidP="00E01BB0">
            <w:pPr>
              <w:jc w:val="right"/>
              <w:rPr>
                <w:sz w:val="20"/>
                <w:szCs w:val="20"/>
                <w:lang w:val="en-CA" w:eastAsia="en-CA"/>
              </w:rPr>
            </w:pPr>
            <w:r w:rsidRPr="00BC4AFE">
              <w:rPr>
                <w:sz w:val="20"/>
                <w:szCs w:val="20"/>
                <w:lang w:val="en-CA" w:eastAsia="en-CA"/>
              </w:rPr>
              <w:t>50,000</w:t>
            </w:r>
          </w:p>
        </w:tc>
      </w:tr>
      <w:tr w:rsidR="00FC752D" w:rsidRPr="00BC4AFE" w14:paraId="1840AAAD" w14:textId="77777777" w:rsidTr="00A60395">
        <w:trPr>
          <w:trHeight w:val="255"/>
          <w:jc w:val="center"/>
        </w:trPr>
        <w:tc>
          <w:tcPr>
            <w:tcW w:w="6565" w:type="dxa"/>
            <w:shd w:val="clear" w:color="auto" w:fill="auto"/>
            <w:noWrap/>
            <w:vAlign w:val="bottom"/>
            <w:hideMark/>
          </w:tcPr>
          <w:p w14:paraId="112C1173"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Gender Plan of Action</w:t>
            </w:r>
          </w:p>
        </w:tc>
        <w:tc>
          <w:tcPr>
            <w:tcW w:w="2880" w:type="dxa"/>
            <w:shd w:val="clear" w:color="auto" w:fill="auto"/>
            <w:noWrap/>
            <w:vAlign w:val="center"/>
            <w:hideMark/>
          </w:tcPr>
          <w:p w14:paraId="62A61356" w14:textId="77777777" w:rsidR="00FC752D" w:rsidRPr="00BC4AFE" w:rsidRDefault="00FC752D" w:rsidP="00E01BB0">
            <w:pPr>
              <w:jc w:val="right"/>
              <w:rPr>
                <w:sz w:val="20"/>
                <w:szCs w:val="20"/>
                <w:lang w:val="en-CA" w:eastAsia="en-CA"/>
              </w:rPr>
            </w:pPr>
            <w:r w:rsidRPr="00BC4AFE">
              <w:rPr>
                <w:sz w:val="20"/>
                <w:szCs w:val="20"/>
                <w:lang w:val="en-CA" w:eastAsia="en-CA"/>
              </w:rPr>
              <w:t>10,000</w:t>
            </w:r>
          </w:p>
        </w:tc>
      </w:tr>
      <w:tr w:rsidR="00FC752D" w:rsidRPr="00BC4AFE" w14:paraId="2B2B69DB" w14:textId="77777777" w:rsidTr="00A60395">
        <w:trPr>
          <w:trHeight w:val="255"/>
          <w:jc w:val="center"/>
        </w:trPr>
        <w:tc>
          <w:tcPr>
            <w:tcW w:w="6565" w:type="dxa"/>
            <w:shd w:val="clear" w:color="auto" w:fill="auto"/>
            <w:noWrap/>
            <w:vAlign w:val="center"/>
            <w:hideMark/>
          </w:tcPr>
          <w:p w14:paraId="03E07FED"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Invasive alien species</w:t>
            </w:r>
          </w:p>
        </w:tc>
        <w:tc>
          <w:tcPr>
            <w:tcW w:w="2880" w:type="dxa"/>
            <w:shd w:val="clear" w:color="auto" w:fill="auto"/>
            <w:noWrap/>
            <w:vAlign w:val="center"/>
            <w:hideMark/>
          </w:tcPr>
          <w:p w14:paraId="569848BD" w14:textId="77777777" w:rsidR="00FC752D" w:rsidRPr="00BC4AFE" w:rsidRDefault="00FC752D" w:rsidP="00E01BB0">
            <w:pPr>
              <w:jc w:val="right"/>
              <w:rPr>
                <w:sz w:val="20"/>
                <w:szCs w:val="20"/>
                <w:lang w:val="en-CA" w:eastAsia="en-CA"/>
              </w:rPr>
            </w:pPr>
            <w:r w:rsidRPr="00BC4AFE">
              <w:rPr>
                <w:sz w:val="20"/>
                <w:szCs w:val="20"/>
                <w:lang w:val="en-CA" w:eastAsia="en-CA"/>
              </w:rPr>
              <w:t>15,000</w:t>
            </w:r>
          </w:p>
        </w:tc>
      </w:tr>
      <w:tr w:rsidR="00FC752D" w:rsidRPr="00BC4AFE" w14:paraId="597F2BE3" w14:textId="77777777" w:rsidTr="00A60395">
        <w:trPr>
          <w:trHeight w:val="255"/>
          <w:jc w:val="center"/>
        </w:trPr>
        <w:tc>
          <w:tcPr>
            <w:tcW w:w="6565" w:type="dxa"/>
            <w:tcBorders>
              <w:bottom w:val="single" w:sz="4" w:space="0" w:color="auto"/>
            </w:tcBorders>
            <w:shd w:val="clear" w:color="auto" w:fill="auto"/>
            <w:noWrap/>
            <w:vAlign w:val="center"/>
            <w:hideMark/>
          </w:tcPr>
          <w:p w14:paraId="3B88BF51" w14:textId="77777777" w:rsidR="00FC752D" w:rsidRPr="00BC4AFE" w:rsidRDefault="00FC752D" w:rsidP="00E01BB0">
            <w:pPr>
              <w:keepNext/>
              <w:rPr>
                <w:sz w:val="20"/>
                <w:szCs w:val="20"/>
                <w:lang w:val="en-CA" w:eastAsia="en-CA"/>
              </w:rPr>
            </w:pPr>
            <w:r w:rsidRPr="00BC4AFE">
              <w:rPr>
                <w:sz w:val="20"/>
                <w:szCs w:val="20"/>
                <w:lang w:val="en-CA" w:eastAsia="en-CA"/>
              </w:rPr>
              <w:t>Planning, monitoring, reporting and review</w:t>
            </w:r>
          </w:p>
        </w:tc>
        <w:tc>
          <w:tcPr>
            <w:tcW w:w="2880" w:type="dxa"/>
            <w:tcBorders>
              <w:bottom w:val="single" w:sz="4" w:space="0" w:color="auto"/>
            </w:tcBorders>
            <w:shd w:val="clear" w:color="auto" w:fill="auto"/>
            <w:noWrap/>
            <w:vAlign w:val="center"/>
            <w:hideMark/>
          </w:tcPr>
          <w:p w14:paraId="08204837" w14:textId="77777777" w:rsidR="00FC752D" w:rsidRPr="00BC4AFE" w:rsidRDefault="00FC752D" w:rsidP="00E01BB0">
            <w:pPr>
              <w:jc w:val="right"/>
              <w:rPr>
                <w:sz w:val="20"/>
                <w:szCs w:val="20"/>
                <w:lang w:val="en-CA" w:eastAsia="en-CA"/>
              </w:rPr>
            </w:pPr>
            <w:r w:rsidRPr="00BC4AFE">
              <w:rPr>
                <w:sz w:val="20"/>
                <w:szCs w:val="20"/>
                <w:lang w:val="en-CA" w:eastAsia="en-CA"/>
              </w:rPr>
              <w:t>100,000</w:t>
            </w:r>
          </w:p>
        </w:tc>
      </w:tr>
      <w:tr w:rsidR="00FC752D" w:rsidRPr="00BC4AFE" w14:paraId="045034D8" w14:textId="77777777" w:rsidTr="00A60395">
        <w:trPr>
          <w:trHeight w:val="255"/>
          <w:jc w:val="center"/>
        </w:trPr>
        <w:tc>
          <w:tcPr>
            <w:tcW w:w="6565" w:type="dxa"/>
            <w:tcBorders>
              <w:top w:val="single" w:sz="4" w:space="0" w:color="auto"/>
              <w:bottom w:val="single" w:sz="4" w:space="0" w:color="auto"/>
            </w:tcBorders>
            <w:shd w:val="clear" w:color="auto" w:fill="auto"/>
            <w:noWrap/>
            <w:vAlign w:val="bottom"/>
            <w:hideMark/>
          </w:tcPr>
          <w:p w14:paraId="7EC38F5C"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Subtotal</w:t>
            </w:r>
          </w:p>
        </w:tc>
        <w:tc>
          <w:tcPr>
            <w:tcW w:w="2880" w:type="dxa"/>
            <w:tcBorders>
              <w:top w:val="single" w:sz="4" w:space="0" w:color="auto"/>
              <w:bottom w:val="single" w:sz="4" w:space="0" w:color="auto"/>
            </w:tcBorders>
            <w:shd w:val="clear" w:color="auto" w:fill="auto"/>
            <w:noWrap/>
            <w:vAlign w:val="bottom"/>
            <w:hideMark/>
          </w:tcPr>
          <w:p w14:paraId="2F5FABD7"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435,000</w:t>
            </w:r>
          </w:p>
        </w:tc>
      </w:tr>
      <w:tr w:rsidR="00FC752D" w:rsidRPr="00BC4AFE" w14:paraId="6CF18ADE" w14:textId="77777777" w:rsidTr="00A60395">
        <w:trPr>
          <w:trHeight w:val="255"/>
          <w:jc w:val="center"/>
        </w:trPr>
        <w:tc>
          <w:tcPr>
            <w:tcW w:w="6565" w:type="dxa"/>
            <w:shd w:val="clear" w:color="auto" w:fill="auto"/>
            <w:noWrap/>
            <w:vAlign w:val="bottom"/>
            <w:hideMark/>
          </w:tcPr>
          <w:p w14:paraId="1407FEDD"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Staff resources</w:t>
            </w:r>
          </w:p>
        </w:tc>
        <w:tc>
          <w:tcPr>
            <w:tcW w:w="2880" w:type="dxa"/>
            <w:shd w:val="clear" w:color="auto" w:fill="auto"/>
            <w:noWrap/>
            <w:vAlign w:val="bottom"/>
            <w:hideMark/>
          </w:tcPr>
          <w:p w14:paraId="11C92733" w14:textId="77777777" w:rsidR="00FC752D" w:rsidRPr="00BC4AFE" w:rsidRDefault="00FC752D" w:rsidP="00E01BB0">
            <w:pPr>
              <w:jc w:val="right"/>
              <w:rPr>
                <w:b/>
                <w:bCs/>
                <w:color w:val="000000"/>
                <w:sz w:val="20"/>
                <w:szCs w:val="20"/>
                <w:lang w:val="en-CA" w:eastAsia="en-CA"/>
              </w:rPr>
            </w:pPr>
          </w:p>
        </w:tc>
      </w:tr>
      <w:tr w:rsidR="00FC752D" w:rsidRPr="00BC4AFE" w14:paraId="056057C9" w14:textId="77777777" w:rsidTr="00A60395">
        <w:trPr>
          <w:trHeight w:val="255"/>
          <w:jc w:val="center"/>
        </w:trPr>
        <w:tc>
          <w:tcPr>
            <w:tcW w:w="6565" w:type="dxa"/>
            <w:shd w:val="clear" w:color="auto" w:fill="auto"/>
            <w:vAlign w:val="bottom"/>
            <w:hideMark/>
          </w:tcPr>
          <w:p w14:paraId="09696176"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 xml:space="preserve">Programme Officer - Communications (P-3) </w:t>
            </w:r>
          </w:p>
        </w:tc>
        <w:tc>
          <w:tcPr>
            <w:tcW w:w="2880" w:type="dxa"/>
            <w:shd w:val="clear" w:color="auto" w:fill="auto"/>
            <w:noWrap/>
            <w:vAlign w:val="bottom"/>
            <w:hideMark/>
          </w:tcPr>
          <w:p w14:paraId="2ACC9441"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BC4AFE" w14:paraId="67824AEE" w14:textId="77777777" w:rsidTr="00A60395">
        <w:trPr>
          <w:trHeight w:val="255"/>
          <w:jc w:val="center"/>
        </w:trPr>
        <w:tc>
          <w:tcPr>
            <w:tcW w:w="6565" w:type="dxa"/>
            <w:shd w:val="clear" w:color="auto" w:fill="auto"/>
            <w:vAlign w:val="bottom"/>
            <w:hideMark/>
          </w:tcPr>
          <w:p w14:paraId="5C146926"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 xml:space="preserve">Programme Officer - Digital sequence information on genetic resources (P-4) </w:t>
            </w:r>
          </w:p>
        </w:tc>
        <w:tc>
          <w:tcPr>
            <w:tcW w:w="2880" w:type="dxa"/>
            <w:shd w:val="clear" w:color="auto" w:fill="auto"/>
            <w:noWrap/>
            <w:vAlign w:val="bottom"/>
            <w:hideMark/>
          </w:tcPr>
          <w:p w14:paraId="1612BA50"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330,000</w:t>
            </w:r>
          </w:p>
        </w:tc>
      </w:tr>
      <w:tr w:rsidR="00FC752D" w:rsidRPr="00BC4AFE" w14:paraId="60D56F01" w14:textId="77777777" w:rsidTr="00A60395">
        <w:trPr>
          <w:trHeight w:val="255"/>
          <w:jc w:val="center"/>
        </w:trPr>
        <w:tc>
          <w:tcPr>
            <w:tcW w:w="6565" w:type="dxa"/>
            <w:shd w:val="clear" w:color="auto" w:fill="auto"/>
            <w:vAlign w:val="bottom"/>
            <w:hideMark/>
          </w:tcPr>
          <w:p w14:paraId="0C816B53"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Programme Officer - Biodiversity Mainstreaming (P-4)</w:t>
            </w:r>
          </w:p>
        </w:tc>
        <w:tc>
          <w:tcPr>
            <w:tcW w:w="2880" w:type="dxa"/>
            <w:shd w:val="clear" w:color="auto" w:fill="auto"/>
            <w:noWrap/>
            <w:vAlign w:val="bottom"/>
            <w:hideMark/>
          </w:tcPr>
          <w:p w14:paraId="5BFF00FA"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330,000</w:t>
            </w:r>
          </w:p>
        </w:tc>
      </w:tr>
      <w:tr w:rsidR="00FC752D" w:rsidRPr="00BC4AFE" w14:paraId="0061B92D" w14:textId="77777777" w:rsidTr="00A60395">
        <w:trPr>
          <w:trHeight w:val="255"/>
          <w:jc w:val="center"/>
        </w:trPr>
        <w:tc>
          <w:tcPr>
            <w:tcW w:w="6565" w:type="dxa"/>
            <w:shd w:val="clear" w:color="auto" w:fill="auto"/>
            <w:vAlign w:val="bottom"/>
            <w:hideMark/>
          </w:tcPr>
          <w:p w14:paraId="771060B0"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Programme Officer - Biodiversity and Business (P-3)</w:t>
            </w:r>
          </w:p>
        </w:tc>
        <w:tc>
          <w:tcPr>
            <w:tcW w:w="2880" w:type="dxa"/>
            <w:shd w:val="clear" w:color="auto" w:fill="auto"/>
            <w:noWrap/>
            <w:vAlign w:val="bottom"/>
            <w:hideMark/>
          </w:tcPr>
          <w:p w14:paraId="4A5A2C49"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BC4AFE" w14:paraId="446AE619" w14:textId="77777777" w:rsidTr="00A60395">
        <w:trPr>
          <w:trHeight w:val="255"/>
          <w:jc w:val="center"/>
        </w:trPr>
        <w:tc>
          <w:tcPr>
            <w:tcW w:w="6565" w:type="dxa"/>
            <w:shd w:val="clear" w:color="auto" w:fill="auto"/>
            <w:vAlign w:val="bottom"/>
            <w:hideMark/>
          </w:tcPr>
          <w:p w14:paraId="40099FDB"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Programme Officer - One Health (P-3)</w:t>
            </w:r>
          </w:p>
        </w:tc>
        <w:tc>
          <w:tcPr>
            <w:tcW w:w="2880" w:type="dxa"/>
            <w:shd w:val="clear" w:color="auto" w:fill="auto"/>
            <w:noWrap/>
            <w:vAlign w:val="bottom"/>
            <w:hideMark/>
          </w:tcPr>
          <w:p w14:paraId="4C466A5A"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BC4AFE" w14:paraId="5F4E32FA" w14:textId="77777777" w:rsidTr="00A60395">
        <w:trPr>
          <w:trHeight w:val="255"/>
          <w:jc w:val="center"/>
        </w:trPr>
        <w:tc>
          <w:tcPr>
            <w:tcW w:w="6565" w:type="dxa"/>
            <w:shd w:val="clear" w:color="auto" w:fill="auto"/>
            <w:vAlign w:val="bottom"/>
            <w:hideMark/>
          </w:tcPr>
          <w:p w14:paraId="540A1A08"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Senior Programme Management Officer (P-5)</w:t>
            </w:r>
          </w:p>
        </w:tc>
        <w:tc>
          <w:tcPr>
            <w:tcW w:w="2880" w:type="dxa"/>
            <w:shd w:val="clear" w:color="auto" w:fill="auto"/>
            <w:noWrap/>
            <w:vAlign w:val="bottom"/>
            <w:hideMark/>
          </w:tcPr>
          <w:p w14:paraId="229593A7"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380,400</w:t>
            </w:r>
          </w:p>
        </w:tc>
      </w:tr>
      <w:tr w:rsidR="00FC752D" w:rsidRPr="00BC4AFE" w14:paraId="5B0A5994" w14:textId="77777777" w:rsidTr="00A60395">
        <w:trPr>
          <w:trHeight w:val="255"/>
          <w:jc w:val="center"/>
        </w:trPr>
        <w:tc>
          <w:tcPr>
            <w:tcW w:w="6565" w:type="dxa"/>
            <w:shd w:val="clear" w:color="auto" w:fill="auto"/>
            <w:vAlign w:val="bottom"/>
            <w:hideMark/>
          </w:tcPr>
          <w:p w14:paraId="56067B55"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Programme Assistant (G-6)</w:t>
            </w:r>
          </w:p>
        </w:tc>
        <w:tc>
          <w:tcPr>
            <w:tcW w:w="2880" w:type="dxa"/>
            <w:shd w:val="clear" w:color="auto" w:fill="auto"/>
            <w:noWrap/>
            <w:vAlign w:val="bottom"/>
            <w:hideMark/>
          </w:tcPr>
          <w:p w14:paraId="51B655E7"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113,000</w:t>
            </w:r>
          </w:p>
        </w:tc>
      </w:tr>
      <w:tr w:rsidR="00FC752D" w:rsidRPr="00BC4AFE" w14:paraId="16E5F99F" w14:textId="77777777" w:rsidTr="00A60395">
        <w:trPr>
          <w:trHeight w:val="255"/>
          <w:jc w:val="center"/>
        </w:trPr>
        <w:tc>
          <w:tcPr>
            <w:tcW w:w="6565" w:type="dxa"/>
            <w:shd w:val="clear" w:color="auto" w:fill="auto"/>
            <w:vAlign w:val="bottom"/>
            <w:hideMark/>
          </w:tcPr>
          <w:p w14:paraId="371B7ABA"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Programme Officer - Reporting/NBSAP Support (P-4)</w:t>
            </w:r>
          </w:p>
        </w:tc>
        <w:tc>
          <w:tcPr>
            <w:tcW w:w="2880" w:type="dxa"/>
            <w:shd w:val="clear" w:color="auto" w:fill="auto"/>
            <w:noWrap/>
            <w:vAlign w:val="bottom"/>
            <w:hideMark/>
          </w:tcPr>
          <w:p w14:paraId="344003FE"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330,000</w:t>
            </w:r>
          </w:p>
        </w:tc>
      </w:tr>
      <w:tr w:rsidR="00FC752D" w:rsidRPr="00BC4AFE" w14:paraId="76A194E3" w14:textId="77777777" w:rsidTr="00A60395">
        <w:trPr>
          <w:trHeight w:val="255"/>
          <w:jc w:val="center"/>
        </w:trPr>
        <w:tc>
          <w:tcPr>
            <w:tcW w:w="6565" w:type="dxa"/>
            <w:shd w:val="clear" w:color="auto" w:fill="auto"/>
            <w:vAlign w:val="bottom"/>
            <w:hideMark/>
          </w:tcPr>
          <w:p w14:paraId="0FA61425" w14:textId="77777777" w:rsidR="00FC752D" w:rsidRPr="00BC4AFE" w:rsidRDefault="00FC752D" w:rsidP="00E01BB0">
            <w:pPr>
              <w:rPr>
                <w:sz w:val="20"/>
                <w:szCs w:val="20"/>
                <w:lang w:val="en-CA" w:eastAsia="en-CA"/>
              </w:rPr>
            </w:pPr>
            <w:r w:rsidRPr="00BC4AFE">
              <w:rPr>
                <w:sz w:val="20"/>
                <w:szCs w:val="20"/>
                <w:lang w:val="en-CA" w:eastAsia="en-CA"/>
              </w:rPr>
              <w:t>Programme Officer - Monitoring (P-4)</w:t>
            </w:r>
          </w:p>
        </w:tc>
        <w:tc>
          <w:tcPr>
            <w:tcW w:w="2880" w:type="dxa"/>
            <w:shd w:val="clear" w:color="auto" w:fill="auto"/>
            <w:noWrap/>
            <w:vAlign w:val="bottom"/>
            <w:hideMark/>
          </w:tcPr>
          <w:p w14:paraId="715F7893"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330,000</w:t>
            </w:r>
          </w:p>
        </w:tc>
      </w:tr>
      <w:tr w:rsidR="00FC752D" w:rsidRPr="00BC4AFE" w14:paraId="65298480" w14:textId="77777777" w:rsidTr="00A60395">
        <w:trPr>
          <w:trHeight w:val="255"/>
          <w:jc w:val="center"/>
        </w:trPr>
        <w:tc>
          <w:tcPr>
            <w:tcW w:w="6565" w:type="dxa"/>
            <w:shd w:val="clear" w:color="auto" w:fill="auto"/>
            <w:vAlign w:val="bottom"/>
            <w:hideMark/>
          </w:tcPr>
          <w:p w14:paraId="2FD9C17A"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Programme Officer - Monitoring (P-2)</w:t>
            </w:r>
          </w:p>
        </w:tc>
        <w:tc>
          <w:tcPr>
            <w:tcW w:w="2880" w:type="dxa"/>
            <w:shd w:val="clear" w:color="auto" w:fill="auto"/>
            <w:noWrap/>
            <w:vAlign w:val="bottom"/>
            <w:hideMark/>
          </w:tcPr>
          <w:p w14:paraId="4FE02648"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218,700</w:t>
            </w:r>
          </w:p>
        </w:tc>
      </w:tr>
      <w:tr w:rsidR="00FC752D" w:rsidRPr="00BC4AFE" w14:paraId="48DA0FAA" w14:textId="77777777" w:rsidTr="00A60395">
        <w:trPr>
          <w:trHeight w:val="255"/>
          <w:jc w:val="center"/>
        </w:trPr>
        <w:tc>
          <w:tcPr>
            <w:tcW w:w="6565" w:type="dxa"/>
            <w:shd w:val="clear" w:color="auto" w:fill="auto"/>
            <w:vAlign w:val="bottom"/>
            <w:hideMark/>
          </w:tcPr>
          <w:p w14:paraId="04CD155E"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Programme Officer - Cooperation (P-3)</w:t>
            </w:r>
          </w:p>
        </w:tc>
        <w:tc>
          <w:tcPr>
            <w:tcW w:w="2880" w:type="dxa"/>
            <w:shd w:val="clear" w:color="auto" w:fill="auto"/>
            <w:noWrap/>
            <w:vAlign w:val="bottom"/>
            <w:hideMark/>
          </w:tcPr>
          <w:p w14:paraId="4AB97C15"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BC4AFE" w14:paraId="67FEC05F" w14:textId="77777777" w:rsidTr="00A60395">
        <w:trPr>
          <w:trHeight w:val="255"/>
          <w:jc w:val="center"/>
        </w:trPr>
        <w:tc>
          <w:tcPr>
            <w:tcW w:w="6565" w:type="dxa"/>
            <w:shd w:val="clear" w:color="auto" w:fill="auto"/>
            <w:noWrap/>
            <w:vAlign w:val="center"/>
            <w:hideMark/>
          </w:tcPr>
          <w:p w14:paraId="7097C505" w14:textId="77777777" w:rsidR="00FC752D" w:rsidRPr="00BC4AFE" w:rsidRDefault="00FC752D" w:rsidP="00E01BB0">
            <w:pPr>
              <w:rPr>
                <w:sz w:val="20"/>
                <w:szCs w:val="20"/>
                <w:lang w:val="en-CA" w:eastAsia="en-CA"/>
              </w:rPr>
            </w:pPr>
            <w:r w:rsidRPr="00BC4AFE">
              <w:rPr>
                <w:sz w:val="20"/>
                <w:szCs w:val="20"/>
                <w:lang w:val="en-CA" w:eastAsia="en-CA"/>
              </w:rPr>
              <w:t xml:space="preserve">Programme Officer (P-3) - Engagement with subnational governments, cities </w:t>
            </w:r>
          </w:p>
        </w:tc>
        <w:tc>
          <w:tcPr>
            <w:tcW w:w="2880" w:type="dxa"/>
            <w:shd w:val="clear" w:color="auto" w:fill="auto"/>
            <w:noWrap/>
            <w:vAlign w:val="bottom"/>
            <w:hideMark/>
          </w:tcPr>
          <w:p w14:paraId="096E4FF9"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BC4AFE" w14:paraId="779DFFD0" w14:textId="77777777" w:rsidTr="00BC4AFE">
        <w:trPr>
          <w:trHeight w:val="87"/>
          <w:jc w:val="center"/>
        </w:trPr>
        <w:tc>
          <w:tcPr>
            <w:tcW w:w="6565" w:type="dxa"/>
            <w:shd w:val="clear" w:color="auto" w:fill="auto"/>
            <w:vAlign w:val="bottom"/>
            <w:hideMark/>
          </w:tcPr>
          <w:p w14:paraId="3326F034"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 xml:space="preserve">Programme Support - Nature and culture (G-7) </w:t>
            </w:r>
          </w:p>
        </w:tc>
        <w:tc>
          <w:tcPr>
            <w:tcW w:w="2880" w:type="dxa"/>
            <w:shd w:val="clear" w:color="auto" w:fill="auto"/>
            <w:noWrap/>
            <w:vAlign w:val="bottom"/>
            <w:hideMark/>
          </w:tcPr>
          <w:p w14:paraId="77D9BFBF"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113,000</w:t>
            </w:r>
          </w:p>
        </w:tc>
      </w:tr>
      <w:tr w:rsidR="00FC752D" w:rsidRPr="00BC4AFE" w14:paraId="37465CB3" w14:textId="77777777" w:rsidTr="00A60395">
        <w:trPr>
          <w:trHeight w:val="255"/>
          <w:jc w:val="center"/>
        </w:trPr>
        <w:tc>
          <w:tcPr>
            <w:tcW w:w="6565" w:type="dxa"/>
            <w:shd w:val="clear" w:color="auto" w:fill="auto"/>
            <w:vAlign w:val="bottom"/>
            <w:hideMark/>
          </w:tcPr>
          <w:p w14:paraId="036BD177"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Programme Officer - Sustainable use (P-3)</w:t>
            </w:r>
          </w:p>
        </w:tc>
        <w:tc>
          <w:tcPr>
            <w:tcW w:w="2880" w:type="dxa"/>
            <w:shd w:val="clear" w:color="auto" w:fill="auto"/>
            <w:noWrap/>
            <w:vAlign w:val="bottom"/>
            <w:hideMark/>
          </w:tcPr>
          <w:p w14:paraId="5A4F824B"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BC4AFE" w14:paraId="363C9076" w14:textId="77777777" w:rsidTr="00A60395">
        <w:trPr>
          <w:trHeight w:val="255"/>
          <w:jc w:val="center"/>
        </w:trPr>
        <w:tc>
          <w:tcPr>
            <w:tcW w:w="6565" w:type="dxa"/>
            <w:shd w:val="clear" w:color="auto" w:fill="auto"/>
            <w:vAlign w:val="bottom"/>
            <w:hideMark/>
          </w:tcPr>
          <w:p w14:paraId="215F169F"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 xml:space="preserve">Programme Support - Resource mobilization (G-7) </w:t>
            </w:r>
          </w:p>
        </w:tc>
        <w:tc>
          <w:tcPr>
            <w:tcW w:w="2880" w:type="dxa"/>
            <w:shd w:val="clear" w:color="auto" w:fill="auto"/>
            <w:noWrap/>
            <w:vAlign w:val="bottom"/>
            <w:hideMark/>
          </w:tcPr>
          <w:p w14:paraId="57F39233"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113,000</w:t>
            </w:r>
          </w:p>
        </w:tc>
      </w:tr>
      <w:tr w:rsidR="00FC752D" w:rsidRPr="00BC4AFE" w14:paraId="61912B55" w14:textId="77777777" w:rsidTr="00A60395">
        <w:trPr>
          <w:trHeight w:val="255"/>
          <w:jc w:val="center"/>
        </w:trPr>
        <w:tc>
          <w:tcPr>
            <w:tcW w:w="6565" w:type="dxa"/>
            <w:shd w:val="clear" w:color="auto" w:fill="auto"/>
            <w:vAlign w:val="bottom"/>
            <w:hideMark/>
          </w:tcPr>
          <w:p w14:paraId="4C7EC1DA"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RBB Programme Support (G-6/G-5), 2 posts</w:t>
            </w:r>
          </w:p>
        </w:tc>
        <w:tc>
          <w:tcPr>
            <w:tcW w:w="2880" w:type="dxa"/>
            <w:shd w:val="clear" w:color="auto" w:fill="auto"/>
            <w:noWrap/>
            <w:vAlign w:val="bottom"/>
            <w:hideMark/>
          </w:tcPr>
          <w:p w14:paraId="35DFB0DF"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226,000</w:t>
            </w:r>
          </w:p>
        </w:tc>
      </w:tr>
      <w:tr w:rsidR="00FC752D" w:rsidRPr="00BC4AFE" w14:paraId="541FCA1B" w14:textId="77777777" w:rsidTr="00A60395">
        <w:trPr>
          <w:trHeight w:val="255"/>
          <w:jc w:val="center"/>
        </w:trPr>
        <w:tc>
          <w:tcPr>
            <w:tcW w:w="6565" w:type="dxa"/>
            <w:shd w:val="clear" w:color="auto" w:fill="auto"/>
            <w:vAlign w:val="bottom"/>
            <w:hideMark/>
          </w:tcPr>
          <w:p w14:paraId="1938514B"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Meeting Assistants (G-6), 5 posts</w:t>
            </w:r>
          </w:p>
        </w:tc>
        <w:tc>
          <w:tcPr>
            <w:tcW w:w="2880" w:type="dxa"/>
            <w:shd w:val="clear" w:color="auto" w:fill="auto"/>
            <w:noWrap/>
            <w:vAlign w:val="bottom"/>
            <w:hideMark/>
          </w:tcPr>
          <w:p w14:paraId="209375E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565,000</w:t>
            </w:r>
          </w:p>
        </w:tc>
      </w:tr>
      <w:tr w:rsidR="00FC752D" w:rsidRPr="00BC4AFE" w14:paraId="4BE8FDEB" w14:textId="77777777" w:rsidTr="00A60395">
        <w:trPr>
          <w:trHeight w:val="255"/>
          <w:jc w:val="center"/>
        </w:trPr>
        <w:tc>
          <w:tcPr>
            <w:tcW w:w="6565" w:type="dxa"/>
            <w:shd w:val="clear" w:color="auto" w:fill="auto"/>
            <w:noWrap/>
            <w:vAlign w:val="bottom"/>
            <w:hideMark/>
          </w:tcPr>
          <w:p w14:paraId="629952CF" w14:textId="77777777" w:rsidR="00FC752D" w:rsidRPr="00BC4AFE" w:rsidRDefault="00FC752D" w:rsidP="00E01BB0">
            <w:pPr>
              <w:rPr>
                <w:sz w:val="20"/>
                <w:szCs w:val="20"/>
                <w:lang w:val="en-CA" w:eastAsia="en-CA"/>
              </w:rPr>
            </w:pPr>
            <w:r w:rsidRPr="00BC4AFE">
              <w:rPr>
                <w:sz w:val="20"/>
                <w:szCs w:val="20"/>
                <w:lang w:val="en-CA" w:eastAsia="en-CA"/>
              </w:rPr>
              <w:t xml:space="preserve">Programme Officer - Restoration (P-3) </w:t>
            </w:r>
          </w:p>
        </w:tc>
        <w:tc>
          <w:tcPr>
            <w:tcW w:w="2880" w:type="dxa"/>
            <w:shd w:val="clear" w:color="auto" w:fill="auto"/>
            <w:noWrap/>
            <w:vAlign w:val="bottom"/>
            <w:hideMark/>
          </w:tcPr>
          <w:p w14:paraId="2F0AC9B5"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BC4AFE" w14:paraId="323A22BF" w14:textId="77777777" w:rsidTr="0063480F">
        <w:trPr>
          <w:trHeight w:val="255"/>
          <w:jc w:val="center"/>
        </w:trPr>
        <w:tc>
          <w:tcPr>
            <w:tcW w:w="6565" w:type="dxa"/>
            <w:shd w:val="clear" w:color="auto" w:fill="auto"/>
            <w:vAlign w:val="bottom"/>
            <w:hideMark/>
          </w:tcPr>
          <w:p w14:paraId="4462000E" w14:textId="77777777" w:rsidR="00FC752D" w:rsidRPr="00BC4AFE" w:rsidRDefault="00FC752D" w:rsidP="0063480F">
            <w:pPr>
              <w:rPr>
                <w:color w:val="000000"/>
                <w:sz w:val="20"/>
                <w:szCs w:val="20"/>
                <w:lang w:val="en-CA" w:eastAsia="en-CA"/>
              </w:rPr>
            </w:pPr>
            <w:r>
              <w:rPr>
                <w:color w:val="000000"/>
                <w:sz w:val="20"/>
                <w:szCs w:val="20"/>
                <w:lang w:val="en-CA" w:eastAsia="en-CA"/>
              </w:rPr>
              <w:t xml:space="preserve">Junior </w:t>
            </w:r>
            <w:r w:rsidRPr="00BC4AFE">
              <w:rPr>
                <w:color w:val="000000"/>
                <w:sz w:val="20"/>
                <w:szCs w:val="20"/>
                <w:lang w:val="en-CA" w:eastAsia="en-CA"/>
              </w:rPr>
              <w:t>Programme Officer - Digital sequence information (P-</w:t>
            </w:r>
            <w:r>
              <w:rPr>
                <w:color w:val="000000"/>
                <w:sz w:val="20"/>
                <w:szCs w:val="20"/>
                <w:lang w:val="en-CA" w:eastAsia="en-CA"/>
              </w:rPr>
              <w:t>2</w:t>
            </w:r>
            <w:r w:rsidRPr="00BC4AFE">
              <w:rPr>
                <w:color w:val="000000"/>
                <w:sz w:val="20"/>
                <w:szCs w:val="20"/>
                <w:lang w:val="en-CA" w:eastAsia="en-CA"/>
              </w:rPr>
              <w:t xml:space="preserve">) </w:t>
            </w:r>
          </w:p>
        </w:tc>
        <w:tc>
          <w:tcPr>
            <w:tcW w:w="2880" w:type="dxa"/>
            <w:shd w:val="clear" w:color="auto" w:fill="auto"/>
            <w:noWrap/>
            <w:vAlign w:val="bottom"/>
            <w:hideMark/>
          </w:tcPr>
          <w:p w14:paraId="7EA8F133" w14:textId="77777777" w:rsidR="00FC752D" w:rsidRPr="00BC4AFE" w:rsidRDefault="00FC752D" w:rsidP="0063480F">
            <w:pPr>
              <w:jc w:val="right"/>
              <w:rPr>
                <w:color w:val="000000"/>
                <w:sz w:val="20"/>
                <w:szCs w:val="20"/>
                <w:lang w:val="en-CA" w:eastAsia="en-CA"/>
              </w:rPr>
            </w:pPr>
            <w:r>
              <w:rPr>
                <w:color w:val="000000"/>
                <w:sz w:val="20"/>
                <w:szCs w:val="20"/>
                <w:lang w:val="en-CA" w:eastAsia="en-CA"/>
              </w:rPr>
              <w:t>218,700</w:t>
            </w:r>
          </w:p>
        </w:tc>
      </w:tr>
      <w:tr w:rsidR="00FC752D" w:rsidRPr="00BC4AFE" w14:paraId="63F30DBD" w14:textId="77777777" w:rsidTr="00A60395">
        <w:trPr>
          <w:trHeight w:val="255"/>
          <w:jc w:val="center"/>
        </w:trPr>
        <w:tc>
          <w:tcPr>
            <w:tcW w:w="6565" w:type="dxa"/>
            <w:shd w:val="clear" w:color="auto" w:fill="auto"/>
            <w:noWrap/>
            <w:vAlign w:val="bottom"/>
            <w:hideMark/>
          </w:tcPr>
          <w:p w14:paraId="7B53BE8B" w14:textId="77777777" w:rsidR="00FC752D" w:rsidRPr="00BC4AFE" w:rsidRDefault="00FC752D" w:rsidP="00E01BB0">
            <w:pPr>
              <w:rPr>
                <w:sz w:val="20"/>
                <w:szCs w:val="20"/>
                <w:lang w:val="en-CA" w:eastAsia="en-CA"/>
              </w:rPr>
            </w:pPr>
            <w:r w:rsidRPr="00BC4AFE">
              <w:rPr>
                <w:sz w:val="20"/>
                <w:szCs w:val="20"/>
                <w:lang w:val="en-CA" w:eastAsia="en-CA"/>
              </w:rPr>
              <w:t xml:space="preserve">Programme Officer - Global taxonomy/Species-based conservation (P-3) </w:t>
            </w:r>
          </w:p>
        </w:tc>
        <w:tc>
          <w:tcPr>
            <w:tcW w:w="2880" w:type="dxa"/>
            <w:shd w:val="clear" w:color="auto" w:fill="auto"/>
            <w:noWrap/>
            <w:vAlign w:val="bottom"/>
            <w:hideMark/>
          </w:tcPr>
          <w:p w14:paraId="56C1CD6F"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BC4AFE" w14:paraId="5CD99800" w14:textId="77777777" w:rsidTr="00A60395">
        <w:trPr>
          <w:trHeight w:val="255"/>
          <w:jc w:val="center"/>
        </w:trPr>
        <w:tc>
          <w:tcPr>
            <w:tcW w:w="6565" w:type="dxa"/>
            <w:shd w:val="clear" w:color="auto" w:fill="auto"/>
            <w:noWrap/>
            <w:vAlign w:val="bottom"/>
            <w:hideMark/>
          </w:tcPr>
          <w:p w14:paraId="7E62F382"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 xml:space="preserve">Programme Officer - Resource mobilization (P-4) </w:t>
            </w:r>
          </w:p>
        </w:tc>
        <w:tc>
          <w:tcPr>
            <w:tcW w:w="2880" w:type="dxa"/>
            <w:shd w:val="clear" w:color="auto" w:fill="auto"/>
            <w:noWrap/>
            <w:vAlign w:val="bottom"/>
            <w:hideMark/>
          </w:tcPr>
          <w:p w14:paraId="3524B8F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330,000</w:t>
            </w:r>
          </w:p>
        </w:tc>
      </w:tr>
      <w:tr w:rsidR="00FC752D" w:rsidRPr="00BC4AFE" w14:paraId="62739C36" w14:textId="77777777" w:rsidTr="00A60395">
        <w:trPr>
          <w:trHeight w:val="255"/>
          <w:jc w:val="center"/>
        </w:trPr>
        <w:tc>
          <w:tcPr>
            <w:tcW w:w="6565" w:type="dxa"/>
            <w:shd w:val="clear" w:color="auto" w:fill="auto"/>
            <w:noWrap/>
            <w:vAlign w:val="bottom"/>
            <w:hideMark/>
          </w:tcPr>
          <w:p w14:paraId="22A92CE4"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 xml:space="preserve">Programme Officer - Technical scientific cooperation (P-4) </w:t>
            </w:r>
          </w:p>
        </w:tc>
        <w:tc>
          <w:tcPr>
            <w:tcW w:w="2880" w:type="dxa"/>
            <w:shd w:val="clear" w:color="auto" w:fill="auto"/>
            <w:noWrap/>
            <w:vAlign w:val="bottom"/>
            <w:hideMark/>
          </w:tcPr>
          <w:p w14:paraId="4F2BE817"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330,000</w:t>
            </w:r>
          </w:p>
        </w:tc>
      </w:tr>
      <w:tr w:rsidR="00FC752D" w:rsidRPr="00BC4AFE" w14:paraId="6C51B645" w14:textId="77777777" w:rsidTr="00A60395">
        <w:trPr>
          <w:trHeight w:val="255"/>
          <w:jc w:val="center"/>
        </w:trPr>
        <w:tc>
          <w:tcPr>
            <w:tcW w:w="6565" w:type="dxa"/>
            <w:tcBorders>
              <w:bottom w:val="single" w:sz="2" w:space="0" w:color="auto"/>
            </w:tcBorders>
            <w:shd w:val="clear" w:color="auto" w:fill="auto"/>
            <w:noWrap/>
            <w:vAlign w:val="bottom"/>
            <w:hideMark/>
          </w:tcPr>
          <w:p w14:paraId="083CA600"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 xml:space="preserve">Programme Officer - Financial mechanism (P-3) </w:t>
            </w:r>
          </w:p>
        </w:tc>
        <w:tc>
          <w:tcPr>
            <w:tcW w:w="2880" w:type="dxa"/>
            <w:tcBorders>
              <w:bottom w:val="single" w:sz="2" w:space="0" w:color="auto"/>
            </w:tcBorders>
            <w:shd w:val="clear" w:color="auto" w:fill="auto"/>
            <w:noWrap/>
            <w:vAlign w:val="bottom"/>
            <w:hideMark/>
          </w:tcPr>
          <w:p w14:paraId="19B9146F"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A45FCF" w14:paraId="79313165" w14:textId="77777777" w:rsidTr="00A60395">
        <w:trPr>
          <w:trHeight w:val="255"/>
          <w:jc w:val="center"/>
        </w:trPr>
        <w:tc>
          <w:tcPr>
            <w:tcW w:w="6565" w:type="dxa"/>
            <w:tcBorders>
              <w:top w:val="single" w:sz="2" w:space="0" w:color="auto"/>
              <w:bottom w:val="single" w:sz="2" w:space="0" w:color="auto"/>
            </w:tcBorders>
            <w:shd w:val="clear" w:color="auto" w:fill="auto"/>
            <w:noWrap/>
            <w:vAlign w:val="bottom"/>
            <w:hideMark/>
          </w:tcPr>
          <w:p w14:paraId="15CA6E01"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2" w:space="0" w:color="auto"/>
              <w:bottom w:val="single" w:sz="2" w:space="0" w:color="auto"/>
            </w:tcBorders>
            <w:shd w:val="clear" w:color="auto" w:fill="auto"/>
            <w:noWrap/>
            <w:vAlign w:val="bottom"/>
            <w:hideMark/>
          </w:tcPr>
          <w:p w14:paraId="11EAD670" w14:textId="77777777" w:rsidR="00FC752D" w:rsidRPr="0047773A" w:rsidRDefault="00FC752D" w:rsidP="00E01BB0">
            <w:pPr>
              <w:jc w:val="right"/>
              <w:rPr>
                <w:color w:val="000000"/>
                <w:sz w:val="20"/>
                <w:szCs w:val="20"/>
                <w:lang w:val="en-CA" w:eastAsia="en-CA"/>
              </w:rPr>
            </w:pPr>
            <w:r w:rsidRPr="00B154D6">
              <w:rPr>
                <w:color w:val="000000"/>
                <w:sz w:val="20"/>
                <w:szCs w:val="20"/>
                <w:lang w:val="en-CA" w:eastAsia="en-CA"/>
              </w:rPr>
              <w:t>6,195,800</w:t>
            </w:r>
          </w:p>
        </w:tc>
      </w:tr>
      <w:tr w:rsidR="00FC752D" w:rsidRPr="00BC4AFE" w14:paraId="105466A5" w14:textId="77777777" w:rsidTr="00A60395">
        <w:trPr>
          <w:trHeight w:val="255"/>
          <w:jc w:val="center"/>
        </w:trPr>
        <w:tc>
          <w:tcPr>
            <w:tcW w:w="6565" w:type="dxa"/>
            <w:tcBorders>
              <w:top w:val="single" w:sz="2" w:space="0" w:color="auto"/>
            </w:tcBorders>
            <w:shd w:val="clear" w:color="auto" w:fill="auto"/>
            <w:noWrap/>
            <w:vAlign w:val="bottom"/>
            <w:hideMark/>
          </w:tcPr>
          <w:p w14:paraId="6F40DE0F"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Ad Hoc Open-ended Working Group on Digital Sequence Information on Genetic Resources*</w:t>
            </w:r>
          </w:p>
        </w:tc>
        <w:tc>
          <w:tcPr>
            <w:tcW w:w="2880" w:type="dxa"/>
            <w:tcBorders>
              <w:top w:val="single" w:sz="2" w:space="0" w:color="auto"/>
            </w:tcBorders>
            <w:shd w:val="clear" w:color="auto" w:fill="auto"/>
            <w:noWrap/>
            <w:vAlign w:val="bottom"/>
            <w:hideMark/>
          </w:tcPr>
          <w:p w14:paraId="2693D4B8" w14:textId="77777777" w:rsidR="00FC752D" w:rsidRPr="0047773A" w:rsidRDefault="00FC752D" w:rsidP="00E01BB0">
            <w:pPr>
              <w:jc w:val="right"/>
              <w:rPr>
                <w:color w:val="000000"/>
                <w:sz w:val="20"/>
                <w:szCs w:val="20"/>
                <w:lang w:val="en-CA" w:eastAsia="en-CA"/>
              </w:rPr>
            </w:pPr>
          </w:p>
        </w:tc>
      </w:tr>
      <w:tr w:rsidR="00FC752D" w:rsidRPr="00BC4AFE" w14:paraId="7A272BD8" w14:textId="77777777" w:rsidTr="00A60395">
        <w:trPr>
          <w:trHeight w:val="255"/>
          <w:jc w:val="center"/>
        </w:trPr>
        <w:tc>
          <w:tcPr>
            <w:tcW w:w="6565" w:type="dxa"/>
            <w:tcBorders>
              <w:bottom w:val="single" w:sz="2" w:space="0" w:color="auto"/>
            </w:tcBorders>
            <w:shd w:val="clear" w:color="auto" w:fill="auto"/>
            <w:noWrap/>
            <w:vAlign w:val="bottom"/>
          </w:tcPr>
          <w:p w14:paraId="10F28C94" w14:textId="77777777" w:rsidR="00FC752D" w:rsidRPr="00BC4AFE" w:rsidRDefault="00FC752D" w:rsidP="00E01BB0">
            <w:pPr>
              <w:keepNext/>
              <w:rPr>
                <w:bCs/>
                <w:sz w:val="20"/>
                <w:szCs w:val="20"/>
                <w:lang w:val="en-CA" w:eastAsia="en-CA"/>
              </w:rPr>
            </w:pPr>
            <w:r w:rsidRPr="00BC4AFE">
              <w:rPr>
                <w:bCs/>
                <w:sz w:val="20"/>
                <w:szCs w:val="20"/>
                <w:lang w:val="en-CA" w:eastAsia="en-CA"/>
              </w:rPr>
              <w:t>Ad Hoc Open-ended Working Group on Digital Sequence Information</w:t>
            </w:r>
          </w:p>
        </w:tc>
        <w:tc>
          <w:tcPr>
            <w:tcW w:w="2880" w:type="dxa"/>
            <w:tcBorders>
              <w:bottom w:val="single" w:sz="2" w:space="0" w:color="auto"/>
            </w:tcBorders>
            <w:shd w:val="clear" w:color="auto" w:fill="auto"/>
            <w:noWrap/>
            <w:vAlign w:val="bottom"/>
          </w:tcPr>
          <w:p w14:paraId="4407CBED" w14:textId="77777777" w:rsidR="00FC752D" w:rsidRPr="0047773A" w:rsidRDefault="00FC752D" w:rsidP="00E01BB0">
            <w:pPr>
              <w:jc w:val="right"/>
              <w:rPr>
                <w:b/>
                <w:bCs/>
                <w:sz w:val="20"/>
                <w:szCs w:val="20"/>
                <w:lang w:val="en-CA" w:eastAsia="en-CA"/>
              </w:rPr>
            </w:pPr>
            <w:r w:rsidRPr="0047773A">
              <w:rPr>
                <w:color w:val="000000"/>
                <w:sz w:val="20"/>
                <w:szCs w:val="20"/>
                <w:lang w:val="en-CA" w:eastAsia="en-CA"/>
              </w:rPr>
              <w:t>780,000</w:t>
            </w:r>
          </w:p>
        </w:tc>
      </w:tr>
      <w:tr w:rsidR="00FC752D" w:rsidRPr="00BC4AFE" w14:paraId="71B18482" w14:textId="77777777" w:rsidTr="00A60395">
        <w:trPr>
          <w:trHeight w:val="255"/>
          <w:jc w:val="center"/>
        </w:trPr>
        <w:tc>
          <w:tcPr>
            <w:tcW w:w="6565" w:type="dxa"/>
            <w:tcBorders>
              <w:top w:val="single" w:sz="2" w:space="0" w:color="auto"/>
            </w:tcBorders>
            <w:shd w:val="clear" w:color="auto" w:fill="auto"/>
            <w:noWrap/>
            <w:vAlign w:val="bottom"/>
          </w:tcPr>
          <w:p w14:paraId="4BC9FB20" w14:textId="77777777" w:rsidR="00FC752D" w:rsidRPr="00BC4AFE" w:rsidRDefault="00FC752D" w:rsidP="00E01BB0">
            <w:pPr>
              <w:rPr>
                <w:bCs/>
                <w:sz w:val="20"/>
                <w:szCs w:val="20"/>
                <w:lang w:val="en-CA" w:eastAsia="en-CA"/>
              </w:rPr>
            </w:pPr>
            <w:r w:rsidRPr="00BC4AFE">
              <w:rPr>
                <w:bCs/>
                <w:sz w:val="20"/>
                <w:szCs w:val="20"/>
                <w:lang w:val="en-CA" w:eastAsia="en-CA"/>
              </w:rPr>
              <w:t>Subtotal</w:t>
            </w:r>
          </w:p>
        </w:tc>
        <w:tc>
          <w:tcPr>
            <w:tcW w:w="2880" w:type="dxa"/>
            <w:tcBorders>
              <w:top w:val="single" w:sz="2" w:space="0" w:color="auto"/>
            </w:tcBorders>
            <w:shd w:val="clear" w:color="auto" w:fill="auto"/>
            <w:noWrap/>
            <w:vAlign w:val="bottom"/>
          </w:tcPr>
          <w:p w14:paraId="1EB3C5A1" w14:textId="77777777" w:rsidR="00FC752D" w:rsidRPr="0047773A" w:rsidRDefault="00FC752D" w:rsidP="00E01BB0">
            <w:pPr>
              <w:jc w:val="right"/>
              <w:rPr>
                <w:b/>
                <w:bCs/>
                <w:sz w:val="20"/>
                <w:szCs w:val="20"/>
                <w:lang w:val="en-CA" w:eastAsia="en-CA"/>
              </w:rPr>
            </w:pPr>
            <w:r w:rsidRPr="0047773A">
              <w:rPr>
                <w:color w:val="000000"/>
                <w:sz w:val="20"/>
                <w:szCs w:val="20"/>
                <w:lang w:val="en-CA" w:eastAsia="en-CA"/>
              </w:rPr>
              <w:t>780,000</w:t>
            </w:r>
          </w:p>
        </w:tc>
      </w:tr>
      <w:tr w:rsidR="00FC752D" w:rsidRPr="00BC4AFE" w14:paraId="5D9CF1A9" w14:textId="77777777" w:rsidTr="00A60395">
        <w:trPr>
          <w:trHeight w:val="255"/>
          <w:jc w:val="center"/>
        </w:trPr>
        <w:tc>
          <w:tcPr>
            <w:tcW w:w="6565" w:type="dxa"/>
            <w:tcBorders>
              <w:top w:val="single" w:sz="4" w:space="0" w:color="auto"/>
              <w:bottom w:val="single" w:sz="12" w:space="0" w:color="auto"/>
            </w:tcBorders>
            <w:shd w:val="clear" w:color="auto" w:fill="auto"/>
            <w:noWrap/>
            <w:vAlign w:val="bottom"/>
          </w:tcPr>
          <w:p w14:paraId="423552F5" w14:textId="77777777" w:rsidR="00FC752D" w:rsidRPr="00BC4AFE" w:rsidRDefault="00FC752D" w:rsidP="00E01BB0">
            <w:pPr>
              <w:keepNext/>
              <w:rPr>
                <w:b/>
                <w:bCs/>
                <w:color w:val="000000"/>
                <w:sz w:val="20"/>
                <w:szCs w:val="20"/>
                <w:lang w:val="en-CA" w:eastAsia="en-CA"/>
              </w:rPr>
            </w:pPr>
          </w:p>
        </w:tc>
        <w:tc>
          <w:tcPr>
            <w:tcW w:w="2880" w:type="dxa"/>
            <w:tcBorders>
              <w:top w:val="single" w:sz="4" w:space="0" w:color="auto"/>
              <w:bottom w:val="single" w:sz="12" w:space="0" w:color="auto"/>
            </w:tcBorders>
            <w:shd w:val="clear" w:color="auto" w:fill="auto"/>
            <w:noWrap/>
            <w:vAlign w:val="bottom"/>
          </w:tcPr>
          <w:p w14:paraId="12BC51DB" w14:textId="77777777" w:rsidR="00FC752D" w:rsidRPr="0047773A" w:rsidRDefault="00FC752D" w:rsidP="00E01BB0">
            <w:pPr>
              <w:keepNext/>
              <w:jc w:val="right"/>
              <w:rPr>
                <w:b/>
                <w:bCs/>
                <w:sz w:val="20"/>
                <w:szCs w:val="20"/>
                <w:lang w:val="en-CA" w:eastAsia="en-CA"/>
              </w:rPr>
            </w:pPr>
          </w:p>
        </w:tc>
      </w:tr>
      <w:tr w:rsidR="00FC752D" w:rsidRPr="00A45FCF" w14:paraId="20426CC4" w14:textId="77777777" w:rsidTr="00A60395">
        <w:trPr>
          <w:trHeight w:val="255"/>
          <w:jc w:val="center"/>
        </w:trPr>
        <w:tc>
          <w:tcPr>
            <w:tcW w:w="6565" w:type="dxa"/>
            <w:tcBorders>
              <w:top w:val="single" w:sz="12" w:space="0" w:color="auto"/>
              <w:bottom w:val="single" w:sz="2" w:space="0" w:color="auto"/>
            </w:tcBorders>
            <w:shd w:val="clear" w:color="auto" w:fill="auto"/>
            <w:noWrap/>
            <w:vAlign w:val="bottom"/>
            <w:hideMark/>
          </w:tcPr>
          <w:p w14:paraId="68EFB596"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 xml:space="preserve">Subtotal I (Convention on Biological Diversity)  </w:t>
            </w:r>
          </w:p>
        </w:tc>
        <w:tc>
          <w:tcPr>
            <w:tcW w:w="2880" w:type="dxa"/>
            <w:tcBorders>
              <w:top w:val="single" w:sz="12" w:space="0" w:color="auto"/>
              <w:bottom w:val="single" w:sz="2" w:space="0" w:color="auto"/>
            </w:tcBorders>
            <w:shd w:val="clear" w:color="auto" w:fill="auto"/>
            <w:noWrap/>
            <w:vAlign w:val="bottom"/>
            <w:hideMark/>
          </w:tcPr>
          <w:p w14:paraId="4F16297C" w14:textId="77777777" w:rsidR="00FC752D" w:rsidRPr="00877BA9" w:rsidRDefault="00FC752D" w:rsidP="00E01BB0">
            <w:pPr>
              <w:keepNext/>
              <w:jc w:val="right"/>
              <w:rPr>
                <w:b/>
                <w:bCs/>
                <w:sz w:val="20"/>
                <w:szCs w:val="20"/>
                <w:lang w:val="en-CA" w:eastAsia="en-CA"/>
              </w:rPr>
            </w:pPr>
            <w:r w:rsidRPr="00877BA9">
              <w:rPr>
                <w:b/>
                <w:bCs/>
                <w:sz w:val="20"/>
                <w:szCs w:val="20"/>
                <w:lang w:val="en-CA" w:eastAsia="en-CA"/>
              </w:rPr>
              <w:t>16,529,800</w:t>
            </w:r>
          </w:p>
        </w:tc>
      </w:tr>
      <w:tr w:rsidR="00FC752D" w:rsidRPr="00A45FCF" w14:paraId="58133A5A" w14:textId="77777777" w:rsidTr="00A60395">
        <w:trPr>
          <w:trHeight w:val="255"/>
          <w:jc w:val="center"/>
        </w:trPr>
        <w:tc>
          <w:tcPr>
            <w:tcW w:w="6565" w:type="dxa"/>
            <w:tcBorders>
              <w:top w:val="single" w:sz="2" w:space="0" w:color="auto"/>
              <w:bottom w:val="single" w:sz="2" w:space="0" w:color="auto"/>
            </w:tcBorders>
            <w:shd w:val="clear" w:color="auto" w:fill="auto"/>
            <w:noWrap/>
            <w:vAlign w:val="bottom"/>
            <w:hideMark/>
          </w:tcPr>
          <w:p w14:paraId="2F535234"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II. Programme support costs (13%)</w:t>
            </w:r>
          </w:p>
        </w:tc>
        <w:tc>
          <w:tcPr>
            <w:tcW w:w="2880" w:type="dxa"/>
            <w:tcBorders>
              <w:top w:val="single" w:sz="2" w:space="0" w:color="auto"/>
              <w:bottom w:val="single" w:sz="2" w:space="0" w:color="auto"/>
            </w:tcBorders>
            <w:shd w:val="clear" w:color="auto" w:fill="auto"/>
            <w:noWrap/>
            <w:vAlign w:val="bottom"/>
            <w:hideMark/>
          </w:tcPr>
          <w:p w14:paraId="2A8554CE" w14:textId="77777777" w:rsidR="00FC752D" w:rsidRPr="00877BA9" w:rsidRDefault="00FC752D" w:rsidP="00E01BB0">
            <w:pPr>
              <w:keepNext/>
              <w:jc w:val="right"/>
              <w:rPr>
                <w:color w:val="000000"/>
                <w:sz w:val="20"/>
                <w:szCs w:val="20"/>
                <w:lang w:val="en-CA" w:eastAsia="en-CA"/>
              </w:rPr>
            </w:pPr>
            <w:r w:rsidRPr="00877BA9">
              <w:rPr>
                <w:color w:val="000000"/>
                <w:sz w:val="20"/>
                <w:szCs w:val="20"/>
                <w:lang w:val="en-CA" w:eastAsia="en-CA"/>
              </w:rPr>
              <w:t>2,148,874</w:t>
            </w:r>
          </w:p>
        </w:tc>
      </w:tr>
      <w:tr w:rsidR="00FC752D" w:rsidRPr="00A45FCF" w14:paraId="4E4DDCD8" w14:textId="77777777" w:rsidTr="00A60395">
        <w:trPr>
          <w:trHeight w:val="255"/>
          <w:jc w:val="center"/>
        </w:trPr>
        <w:tc>
          <w:tcPr>
            <w:tcW w:w="6565" w:type="dxa"/>
            <w:tcBorders>
              <w:top w:val="single" w:sz="2" w:space="0" w:color="auto"/>
              <w:bottom w:val="single" w:sz="12" w:space="0" w:color="auto"/>
            </w:tcBorders>
            <w:shd w:val="clear" w:color="auto" w:fill="auto"/>
            <w:noWrap/>
            <w:vAlign w:val="bottom"/>
            <w:hideMark/>
          </w:tcPr>
          <w:p w14:paraId="74B26E87"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TOTAL COST (I + II) (Convention on Biological Diversity)</w:t>
            </w:r>
          </w:p>
        </w:tc>
        <w:tc>
          <w:tcPr>
            <w:tcW w:w="2880" w:type="dxa"/>
            <w:tcBorders>
              <w:top w:val="single" w:sz="2" w:space="0" w:color="auto"/>
              <w:bottom w:val="single" w:sz="12" w:space="0" w:color="auto"/>
            </w:tcBorders>
            <w:shd w:val="clear" w:color="auto" w:fill="auto"/>
            <w:noWrap/>
            <w:vAlign w:val="bottom"/>
            <w:hideMark/>
          </w:tcPr>
          <w:p w14:paraId="7C471718" w14:textId="77777777" w:rsidR="00FC752D" w:rsidRPr="00877BA9" w:rsidRDefault="00FC752D" w:rsidP="00E01BB0">
            <w:pPr>
              <w:jc w:val="right"/>
              <w:rPr>
                <w:b/>
                <w:bCs/>
                <w:color w:val="000000"/>
                <w:sz w:val="20"/>
                <w:szCs w:val="20"/>
                <w:lang w:val="en-CA" w:eastAsia="en-CA"/>
              </w:rPr>
            </w:pPr>
            <w:r w:rsidRPr="00877BA9">
              <w:rPr>
                <w:b/>
                <w:bCs/>
                <w:color w:val="000000"/>
                <w:sz w:val="20"/>
                <w:szCs w:val="20"/>
                <w:lang w:val="en-CA" w:eastAsia="en-CA"/>
              </w:rPr>
              <w:t>18,678,674</w:t>
            </w:r>
          </w:p>
        </w:tc>
      </w:tr>
      <w:tr w:rsidR="00FC752D" w:rsidRPr="00BC4AFE" w14:paraId="4A7DC6B8" w14:textId="77777777" w:rsidTr="00A60395">
        <w:trPr>
          <w:trHeight w:val="465"/>
          <w:jc w:val="center"/>
        </w:trPr>
        <w:tc>
          <w:tcPr>
            <w:tcW w:w="9445" w:type="dxa"/>
            <w:gridSpan w:val="2"/>
            <w:tcBorders>
              <w:top w:val="single" w:sz="12" w:space="0" w:color="auto"/>
            </w:tcBorders>
            <w:shd w:val="clear" w:color="auto" w:fill="auto"/>
            <w:noWrap/>
            <w:hideMark/>
          </w:tcPr>
          <w:p w14:paraId="1C1E1E51" w14:textId="77777777" w:rsidR="00FC752D" w:rsidRPr="00BC4AFE" w:rsidRDefault="00FC752D" w:rsidP="00E01BB0">
            <w:pPr>
              <w:spacing w:before="120"/>
              <w:rPr>
                <w:color w:val="000000"/>
                <w:sz w:val="20"/>
                <w:szCs w:val="20"/>
                <w:lang w:val="en-CA" w:eastAsia="en-CA"/>
              </w:rPr>
            </w:pPr>
            <w:r w:rsidRPr="00BC4AFE">
              <w:rPr>
                <w:color w:val="000000"/>
                <w:sz w:val="20"/>
                <w:szCs w:val="20"/>
                <w:lang w:val="en-CA" w:eastAsia="en-CA"/>
              </w:rPr>
              <w:t>* Norway pledged NOK 10 million to support DSI-related activities</w:t>
            </w:r>
          </w:p>
        </w:tc>
      </w:tr>
      <w:tr w:rsidR="00FC752D" w:rsidRPr="00BC4AFE" w14:paraId="3CA86EAD" w14:textId="77777777" w:rsidTr="00A60395">
        <w:trPr>
          <w:trHeight w:val="255"/>
          <w:jc w:val="center"/>
        </w:trPr>
        <w:tc>
          <w:tcPr>
            <w:tcW w:w="6565" w:type="dxa"/>
            <w:shd w:val="clear" w:color="auto" w:fill="auto"/>
            <w:noWrap/>
            <w:vAlign w:val="bottom"/>
            <w:hideMark/>
          </w:tcPr>
          <w:p w14:paraId="563D4AA6" w14:textId="77777777" w:rsidR="00FC752D" w:rsidRPr="00BC4AFE" w:rsidRDefault="00FC752D" w:rsidP="00E01BB0">
            <w:pPr>
              <w:jc w:val="right"/>
              <w:rPr>
                <w:sz w:val="20"/>
                <w:szCs w:val="20"/>
                <w:lang w:val="en-CA" w:eastAsia="en-CA"/>
              </w:rPr>
            </w:pPr>
          </w:p>
        </w:tc>
        <w:tc>
          <w:tcPr>
            <w:tcW w:w="2880" w:type="dxa"/>
            <w:shd w:val="clear" w:color="auto" w:fill="auto"/>
            <w:noWrap/>
            <w:vAlign w:val="bottom"/>
            <w:hideMark/>
          </w:tcPr>
          <w:p w14:paraId="086598ED" w14:textId="77777777" w:rsidR="00FC752D" w:rsidRPr="00BC4AFE" w:rsidRDefault="00FC752D" w:rsidP="00E01BB0">
            <w:pPr>
              <w:rPr>
                <w:sz w:val="20"/>
                <w:szCs w:val="20"/>
                <w:lang w:val="en-CA" w:eastAsia="en-CA"/>
              </w:rPr>
            </w:pPr>
          </w:p>
        </w:tc>
      </w:tr>
      <w:tr w:rsidR="00FC752D" w:rsidRPr="00BC4AFE" w14:paraId="4F377F0A" w14:textId="77777777" w:rsidTr="00A60395">
        <w:trPr>
          <w:trHeight w:val="255"/>
          <w:jc w:val="center"/>
        </w:trPr>
        <w:tc>
          <w:tcPr>
            <w:tcW w:w="9445" w:type="dxa"/>
            <w:gridSpan w:val="2"/>
            <w:shd w:val="clear" w:color="auto" w:fill="auto"/>
            <w:noWrap/>
            <w:vAlign w:val="bottom"/>
            <w:hideMark/>
          </w:tcPr>
          <w:p w14:paraId="24AAADA1" w14:textId="77777777" w:rsidR="00FC752D" w:rsidRPr="00BC4AFE" w:rsidRDefault="00FC752D" w:rsidP="002442FB">
            <w:pPr>
              <w:keepNext/>
              <w:keepLines/>
              <w:spacing w:before="120" w:after="120"/>
              <w:jc w:val="center"/>
              <w:rPr>
                <w:b/>
                <w:bCs/>
                <w:color w:val="000000"/>
                <w:lang w:eastAsia="en-CA"/>
              </w:rPr>
            </w:pPr>
            <w:r w:rsidRPr="00BC4AFE">
              <w:rPr>
                <w:b/>
                <w:bCs/>
                <w:color w:val="000000"/>
                <w:lang w:eastAsia="en-CA"/>
              </w:rPr>
              <w:t>B.</w:t>
            </w:r>
            <w:r w:rsidRPr="00BC4AFE">
              <w:rPr>
                <w:b/>
                <w:color w:val="000000" w:themeColor="text1"/>
                <w:kern w:val="20"/>
                <w:sz w:val="24"/>
                <w:szCs w:val="28"/>
                <w:lang w:eastAsia="en-CA"/>
              </w:rPr>
              <w:tab/>
            </w:r>
            <w:r w:rsidRPr="00BC4AFE">
              <w:rPr>
                <w:b/>
                <w:bCs/>
                <w:color w:val="000000"/>
                <w:lang w:eastAsia="en-CA"/>
              </w:rPr>
              <w:t>Cartagena Protocol on Biosafety</w:t>
            </w:r>
          </w:p>
          <w:p w14:paraId="42D3B79B" w14:textId="77777777" w:rsidR="00FC752D" w:rsidRPr="00BC4AFE" w:rsidRDefault="00FC752D" w:rsidP="002442FB">
            <w:pPr>
              <w:keepNext/>
              <w:keepLines/>
              <w:spacing w:before="120" w:after="120"/>
              <w:jc w:val="center"/>
              <w:rPr>
                <w:b/>
                <w:bCs/>
                <w:color w:val="000000"/>
                <w:sz w:val="20"/>
                <w:szCs w:val="20"/>
                <w:lang w:val="en-CA" w:eastAsia="en-CA"/>
              </w:rPr>
            </w:pPr>
            <w:r w:rsidRPr="00BC4AFE">
              <w:rPr>
                <w:color w:val="000000" w:themeColor="text1"/>
                <w:kern w:val="20"/>
                <w:sz w:val="20"/>
                <w:szCs w:val="20"/>
                <w:lang w:eastAsia="en-CA"/>
              </w:rPr>
              <w:t>(</w:t>
            </w:r>
            <w:r w:rsidRPr="00BC4AFE">
              <w:rPr>
                <w:i/>
                <w:color w:val="000000" w:themeColor="text1"/>
                <w:kern w:val="20"/>
                <w:sz w:val="20"/>
                <w:szCs w:val="20"/>
                <w:lang w:eastAsia="en-CA"/>
              </w:rPr>
              <w:t>United States dollars</w:t>
            </w:r>
            <w:r w:rsidRPr="00BC4AFE">
              <w:rPr>
                <w:color w:val="000000" w:themeColor="text1"/>
                <w:kern w:val="20"/>
                <w:sz w:val="20"/>
                <w:szCs w:val="20"/>
                <w:lang w:eastAsia="en-CA"/>
              </w:rPr>
              <w:t>)</w:t>
            </w:r>
          </w:p>
        </w:tc>
      </w:tr>
      <w:tr w:rsidR="00FC752D" w:rsidRPr="00BC4AFE" w14:paraId="49535BBF" w14:textId="77777777" w:rsidTr="00A60395">
        <w:trPr>
          <w:trHeight w:val="255"/>
          <w:jc w:val="center"/>
        </w:trPr>
        <w:tc>
          <w:tcPr>
            <w:tcW w:w="6565" w:type="dxa"/>
            <w:tcBorders>
              <w:top w:val="single" w:sz="2" w:space="0" w:color="auto"/>
            </w:tcBorders>
            <w:shd w:val="clear" w:color="auto" w:fill="auto"/>
            <w:noWrap/>
            <w:vAlign w:val="center"/>
            <w:hideMark/>
          </w:tcPr>
          <w:p w14:paraId="1F117249" w14:textId="77777777" w:rsidR="00FC752D" w:rsidRPr="00BC4AFE" w:rsidRDefault="00FC752D" w:rsidP="002442FB">
            <w:pPr>
              <w:keepNext/>
              <w:keepLines/>
              <w:rPr>
                <w:b/>
                <w:bCs/>
                <w:color w:val="000000"/>
                <w:sz w:val="20"/>
                <w:szCs w:val="20"/>
                <w:lang w:val="en-CA" w:eastAsia="en-CA"/>
              </w:rPr>
            </w:pPr>
            <w:r w:rsidRPr="00BC4AFE">
              <w:rPr>
                <w:b/>
                <w:bCs/>
                <w:color w:val="000000"/>
                <w:sz w:val="20"/>
                <w:szCs w:val="20"/>
                <w:lang w:val="en-CA" w:eastAsia="en-CA"/>
              </w:rPr>
              <w:t>Consultancy</w:t>
            </w:r>
          </w:p>
        </w:tc>
        <w:tc>
          <w:tcPr>
            <w:tcW w:w="2880" w:type="dxa"/>
            <w:tcBorders>
              <w:top w:val="single" w:sz="2" w:space="0" w:color="auto"/>
            </w:tcBorders>
            <w:shd w:val="clear" w:color="auto" w:fill="auto"/>
            <w:noWrap/>
            <w:vAlign w:val="center"/>
            <w:hideMark/>
          </w:tcPr>
          <w:p w14:paraId="7B5A1137" w14:textId="77777777" w:rsidR="00FC752D" w:rsidRPr="00BC4AFE" w:rsidRDefault="00FC752D" w:rsidP="00E01BB0">
            <w:pPr>
              <w:rPr>
                <w:b/>
                <w:bCs/>
                <w:color w:val="000000"/>
                <w:sz w:val="20"/>
                <w:szCs w:val="20"/>
                <w:lang w:val="en-CA" w:eastAsia="en-CA"/>
              </w:rPr>
            </w:pPr>
          </w:p>
        </w:tc>
      </w:tr>
      <w:tr w:rsidR="00FC752D" w:rsidRPr="00BC4AFE" w14:paraId="4325EBA4" w14:textId="77777777" w:rsidTr="00A60395">
        <w:trPr>
          <w:trHeight w:val="255"/>
          <w:jc w:val="center"/>
        </w:trPr>
        <w:tc>
          <w:tcPr>
            <w:tcW w:w="6565" w:type="dxa"/>
            <w:shd w:val="clear" w:color="auto" w:fill="auto"/>
            <w:noWrap/>
            <w:vAlign w:val="center"/>
            <w:hideMark/>
          </w:tcPr>
          <w:p w14:paraId="1DF39677" w14:textId="77777777" w:rsidR="00FC752D" w:rsidRPr="00BC4AFE" w:rsidRDefault="00FC752D" w:rsidP="002442FB">
            <w:pPr>
              <w:keepNext/>
              <w:keepLines/>
              <w:rPr>
                <w:color w:val="000000"/>
                <w:sz w:val="20"/>
                <w:szCs w:val="20"/>
                <w:lang w:val="en-CA" w:eastAsia="en-CA"/>
              </w:rPr>
            </w:pPr>
            <w:r w:rsidRPr="00BC4AFE">
              <w:rPr>
                <w:color w:val="000000"/>
                <w:sz w:val="20"/>
                <w:szCs w:val="20"/>
                <w:lang w:val="en-CA" w:eastAsia="en-CA"/>
              </w:rPr>
              <w:t>Biosafety Clearing-House</w:t>
            </w:r>
          </w:p>
        </w:tc>
        <w:tc>
          <w:tcPr>
            <w:tcW w:w="2880" w:type="dxa"/>
            <w:shd w:val="clear" w:color="auto" w:fill="auto"/>
            <w:noWrap/>
            <w:vAlign w:val="center"/>
            <w:hideMark/>
          </w:tcPr>
          <w:p w14:paraId="24E0122C"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100,000</w:t>
            </w:r>
          </w:p>
        </w:tc>
      </w:tr>
      <w:tr w:rsidR="00FC752D" w:rsidRPr="00BC4AFE" w14:paraId="7D2D52EC" w14:textId="77777777" w:rsidTr="00A60395">
        <w:trPr>
          <w:trHeight w:val="255"/>
          <w:jc w:val="center"/>
        </w:trPr>
        <w:tc>
          <w:tcPr>
            <w:tcW w:w="6565" w:type="dxa"/>
            <w:shd w:val="clear" w:color="auto" w:fill="auto"/>
            <w:noWrap/>
            <w:vAlign w:val="center"/>
            <w:hideMark/>
          </w:tcPr>
          <w:p w14:paraId="20CDBB43" w14:textId="77777777" w:rsidR="00FC752D" w:rsidRPr="00BC4AFE" w:rsidRDefault="00FC752D" w:rsidP="002442FB">
            <w:pPr>
              <w:keepNext/>
              <w:keepLines/>
              <w:rPr>
                <w:color w:val="000000"/>
                <w:sz w:val="20"/>
                <w:szCs w:val="20"/>
                <w:lang w:val="en-CA" w:eastAsia="en-CA"/>
              </w:rPr>
            </w:pPr>
            <w:r w:rsidRPr="00BC4AFE">
              <w:rPr>
                <w:color w:val="000000"/>
                <w:sz w:val="20"/>
                <w:szCs w:val="20"/>
                <w:lang w:val="en-CA" w:eastAsia="en-CA"/>
              </w:rPr>
              <w:t>Compliance</w:t>
            </w:r>
          </w:p>
        </w:tc>
        <w:tc>
          <w:tcPr>
            <w:tcW w:w="2880" w:type="dxa"/>
            <w:shd w:val="clear" w:color="auto" w:fill="auto"/>
            <w:noWrap/>
            <w:vAlign w:val="center"/>
            <w:hideMark/>
          </w:tcPr>
          <w:p w14:paraId="0F95B429"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30,000</w:t>
            </w:r>
          </w:p>
        </w:tc>
      </w:tr>
      <w:tr w:rsidR="00FC752D" w:rsidRPr="00BC4AFE" w14:paraId="3643CE5C" w14:textId="77777777" w:rsidTr="00A60395">
        <w:trPr>
          <w:trHeight w:val="255"/>
          <w:jc w:val="center"/>
        </w:trPr>
        <w:tc>
          <w:tcPr>
            <w:tcW w:w="6565" w:type="dxa"/>
            <w:shd w:val="clear" w:color="auto" w:fill="auto"/>
            <w:noWrap/>
            <w:vAlign w:val="center"/>
            <w:hideMark/>
          </w:tcPr>
          <w:p w14:paraId="4ED31342"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Financial mechanism and resource mobilization</w:t>
            </w:r>
          </w:p>
        </w:tc>
        <w:tc>
          <w:tcPr>
            <w:tcW w:w="2880" w:type="dxa"/>
            <w:shd w:val="clear" w:color="auto" w:fill="auto"/>
            <w:noWrap/>
            <w:vAlign w:val="center"/>
            <w:hideMark/>
          </w:tcPr>
          <w:p w14:paraId="129697A2"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60,000</w:t>
            </w:r>
          </w:p>
        </w:tc>
      </w:tr>
      <w:tr w:rsidR="00FC752D" w:rsidRPr="00BC4AFE" w14:paraId="75ACE361" w14:textId="77777777" w:rsidTr="00A60395">
        <w:trPr>
          <w:trHeight w:val="255"/>
          <w:jc w:val="center"/>
        </w:trPr>
        <w:tc>
          <w:tcPr>
            <w:tcW w:w="6565" w:type="dxa"/>
            <w:shd w:val="clear" w:color="auto" w:fill="auto"/>
            <w:noWrap/>
            <w:vAlign w:val="center"/>
            <w:hideMark/>
          </w:tcPr>
          <w:p w14:paraId="62507537"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Implementation Plan for the Cartagena Protocol on Biosafety</w:t>
            </w:r>
          </w:p>
        </w:tc>
        <w:tc>
          <w:tcPr>
            <w:tcW w:w="2880" w:type="dxa"/>
            <w:shd w:val="clear" w:color="auto" w:fill="auto"/>
            <w:noWrap/>
            <w:vAlign w:val="center"/>
            <w:hideMark/>
          </w:tcPr>
          <w:p w14:paraId="43AD97FF"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100,000</w:t>
            </w:r>
          </w:p>
        </w:tc>
      </w:tr>
      <w:tr w:rsidR="00FC752D" w:rsidRPr="00BC4AFE" w14:paraId="23E70ED4" w14:textId="77777777" w:rsidTr="00A60395">
        <w:trPr>
          <w:trHeight w:val="255"/>
          <w:jc w:val="center"/>
        </w:trPr>
        <w:tc>
          <w:tcPr>
            <w:tcW w:w="6565" w:type="dxa"/>
            <w:shd w:val="clear" w:color="auto" w:fill="auto"/>
            <w:noWrap/>
            <w:vAlign w:val="center"/>
            <w:hideMark/>
          </w:tcPr>
          <w:p w14:paraId="049C06F7"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Monitoring and reporting (Art. 33)</w:t>
            </w:r>
          </w:p>
        </w:tc>
        <w:tc>
          <w:tcPr>
            <w:tcW w:w="2880" w:type="dxa"/>
            <w:shd w:val="clear" w:color="auto" w:fill="auto"/>
            <w:noWrap/>
            <w:vAlign w:val="center"/>
            <w:hideMark/>
          </w:tcPr>
          <w:p w14:paraId="70C3D59E"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26,800</w:t>
            </w:r>
          </w:p>
        </w:tc>
      </w:tr>
      <w:tr w:rsidR="00FC752D" w:rsidRPr="00BC4AFE" w14:paraId="34789926" w14:textId="77777777" w:rsidTr="00A60395">
        <w:trPr>
          <w:trHeight w:val="255"/>
          <w:jc w:val="center"/>
        </w:trPr>
        <w:tc>
          <w:tcPr>
            <w:tcW w:w="6565" w:type="dxa"/>
            <w:shd w:val="clear" w:color="auto" w:fill="auto"/>
            <w:noWrap/>
            <w:vAlign w:val="center"/>
            <w:hideMark/>
          </w:tcPr>
          <w:p w14:paraId="72309B60"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Socioeconomic considerations</w:t>
            </w:r>
          </w:p>
        </w:tc>
        <w:tc>
          <w:tcPr>
            <w:tcW w:w="2880" w:type="dxa"/>
            <w:shd w:val="clear" w:color="auto" w:fill="auto"/>
            <w:noWrap/>
            <w:vAlign w:val="center"/>
            <w:hideMark/>
          </w:tcPr>
          <w:p w14:paraId="4DC5B333"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30,000</w:t>
            </w:r>
          </w:p>
        </w:tc>
      </w:tr>
      <w:tr w:rsidR="00FC752D" w:rsidRPr="00BC4AFE" w14:paraId="3FE5FBF7" w14:textId="77777777" w:rsidTr="00A60395">
        <w:trPr>
          <w:trHeight w:val="259"/>
          <w:jc w:val="center"/>
        </w:trPr>
        <w:tc>
          <w:tcPr>
            <w:tcW w:w="6565" w:type="dxa"/>
            <w:shd w:val="clear" w:color="auto" w:fill="auto"/>
            <w:hideMark/>
          </w:tcPr>
          <w:p w14:paraId="119816AE"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Ratification support for Supplementary Protocol on Liability and Redress</w:t>
            </w:r>
          </w:p>
        </w:tc>
        <w:tc>
          <w:tcPr>
            <w:tcW w:w="2880" w:type="dxa"/>
            <w:shd w:val="clear" w:color="auto" w:fill="auto"/>
            <w:noWrap/>
            <w:vAlign w:val="center"/>
            <w:hideMark/>
          </w:tcPr>
          <w:p w14:paraId="12AADCD1"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10,000</w:t>
            </w:r>
          </w:p>
        </w:tc>
      </w:tr>
      <w:tr w:rsidR="00FC752D" w:rsidRPr="00BC4AFE" w14:paraId="5730975A" w14:textId="77777777" w:rsidTr="00A60395">
        <w:trPr>
          <w:trHeight w:val="255"/>
          <w:jc w:val="center"/>
        </w:trPr>
        <w:tc>
          <w:tcPr>
            <w:tcW w:w="6565" w:type="dxa"/>
            <w:tcBorders>
              <w:bottom w:val="single" w:sz="4" w:space="0" w:color="auto"/>
            </w:tcBorders>
            <w:shd w:val="clear" w:color="auto" w:fill="auto"/>
            <w:noWrap/>
            <w:vAlign w:val="center"/>
            <w:hideMark/>
          </w:tcPr>
          <w:p w14:paraId="75001BDA"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Risk assessment and risk management</w:t>
            </w:r>
          </w:p>
        </w:tc>
        <w:tc>
          <w:tcPr>
            <w:tcW w:w="2880" w:type="dxa"/>
            <w:tcBorders>
              <w:bottom w:val="single" w:sz="4" w:space="0" w:color="auto"/>
            </w:tcBorders>
            <w:shd w:val="clear" w:color="auto" w:fill="auto"/>
            <w:noWrap/>
            <w:vAlign w:val="center"/>
            <w:hideMark/>
          </w:tcPr>
          <w:p w14:paraId="20397455"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160,000</w:t>
            </w:r>
          </w:p>
        </w:tc>
      </w:tr>
      <w:tr w:rsidR="00FC752D" w:rsidRPr="00BC4AFE" w14:paraId="0CF4C191" w14:textId="77777777" w:rsidTr="00A60395">
        <w:trPr>
          <w:trHeight w:val="255"/>
          <w:jc w:val="center"/>
        </w:trPr>
        <w:tc>
          <w:tcPr>
            <w:tcW w:w="6565" w:type="dxa"/>
            <w:tcBorders>
              <w:top w:val="single" w:sz="4" w:space="0" w:color="auto"/>
              <w:bottom w:val="single" w:sz="4" w:space="0" w:color="auto"/>
            </w:tcBorders>
            <w:shd w:val="clear" w:color="auto" w:fill="auto"/>
            <w:noWrap/>
            <w:vAlign w:val="center"/>
            <w:hideMark/>
          </w:tcPr>
          <w:p w14:paraId="7E2B338E"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4" w:space="0" w:color="auto"/>
              <w:bottom w:val="single" w:sz="4" w:space="0" w:color="auto"/>
            </w:tcBorders>
            <w:shd w:val="clear" w:color="auto" w:fill="auto"/>
            <w:noWrap/>
            <w:vAlign w:val="center"/>
            <w:hideMark/>
          </w:tcPr>
          <w:p w14:paraId="5A65C2F3"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516,800</w:t>
            </w:r>
          </w:p>
        </w:tc>
      </w:tr>
      <w:tr w:rsidR="00FC752D" w:rsidRPr="00BC4AFE" w14:paraId="7DECCB83" w14:textId="77777777" w:rsidTr="00A60395">
        <w:trPr>
          <w:trHeight w:val="255"/>
          <w:jc w:val="center"/>
        </w:trPr>
        <w:tc>
          <w:tcPr>
            <w:tcW w:w="6565" w:type="dxa"/>
            <w:tcBorders>
              <w:top w:val="single" w:sz="4" w:space="0" w:color="auto"/>
            </w:tcBorders>
            <w:shd w:val="clear" w:color="auto" w:fill="auto"/>
            <w:noWrap/>
            <w:vAlign w:val="center"/>
            <w:hideMark/>
          </w:tcPr>
          <w:p w14:paraId="24B290A0"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Official travel</w:t>
            </w:r>
          </w:p>
        </w:tc>
        <w:tc>
          <w:tcPr>
            <w:tcW w:w="2880" w:type="dxa"/>
            <w:tcBorders>
              <w:top w:val="single" w:sz="4" w:space="0" w:color="auto"/>
            </w:tcBorders>
            <w:shd w:val="clear" w:color="auto" w:fill="auto"/>
            <w:noWrap/>
            <w:vAlign w:val="center"/>
            <w:hideMark/>
          </w:tcPr>
          <w:p w14:paraId="7162FF65" w14:textId="77777777" w:rsidR="00FC752D" w:rsidRPr="00BC4AFE" w:rsidRDefault="00FC752D" w:rsidP="00E01BB0">
            <w:pPr>
              <w:rPr>
                <w:b/>
                <w:bCs/>
                <w:color w:val="000000"/>
                <w:sz w:val="20"/>
                <w:szCs w:val="20"/>
                <w:lang w:val="en-CA" w:eastAsia="en-CA"/>
              </w:rPr>
            </w:pPr>
          </w:p>
        </w:tc>
      </w:tr>
      <w:tr w:rsidR="00FC752D" w:rsidRPr="00BC4AFE" w14:paraId="721233EE" w14:textId="77777777" w:rsidTr="00A60395">
        <w:trPr>
          <w:trHeight w:val="255"/>
          <w:jc w:val="center"/>
        </w:trPr>
        <w:tc>
          <w:tcPr>
            <w:tcW w:w="6565" w:type="dxa"/>
            <w:shd w:val="clear" w:color="auto" w:fill="auto"/>
            <w:noWrap/>
            <w:vAlign w:val="center"/>
            <w:hideMark/>
          </w:tcPr>
          <w:p w14:paraId="00484A51"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Biosafety Clearing-House</w:t>
            </w:r>
          </w:p>
        </w:tc>
        <w:tc>
          <w:tcPr>
            <w:tcW w:w="2880" w:type="dxa"/>
            <w:shd w:val="clear" w:color="auto" w:fill="auto"/>
            <w:noWrap/>
            <w:vAlign w:val="center"/>
            <w:hideMark/>
          </w:tcPr>
          <w:p w14:paraId="7057C44A"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30,000</w:t>
            </w:r>
          </w:p>
        </w:tc>
      </w:tr>
      <w:tr w:rsidR="00FC752D" w:rsidRPr="00BC4AFE" w14:paraId="00095F42" w14:textId="77777777" w:rsidTr="00A60395">
        <w:trPr>
          <w:trHeight w:val="259"/>
          <w:jc w:val="center"/>
        </w:trPr>
        <w:tc>
          <w:tcPr>
            <w:tcW w:w="6565" w:type="dxa"/>
            <w:shd w:val="clear" w:color="auto" w:fill="auto"/>
            <w:hideMark/>
          </w:tcPr>
          <w:p w14:paraId="3F5F3303"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Ratification support for Supplementary Protocol on Liability and Redress</w:t>
            </w:r>
          </w:p>
        </w:tc>
        <w:tc>
          <w:tcPr>
            <w:tcW w:w="2880" w:type="dxa"/>
            <w:shd w:val="clear" w:color="auto" w:fill="auto"/>
            <w:noWrap/>
            <w:vAlign w:val="center"/>
            <w:hideMark/>
          </w:tcPr>
          <w:p w14:paraId="4234D62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75,000</w:t>
            </w:r>
          </w:p>
        </w:tc>
      </w:tr>
      <w:tr w:rsidR="00FC752D" w:rsidRPr="00BC4AFE" w14:paraId="7A5360BA" w14:textId="77777777" w:rsidTr="00A60395">
        <w:trPr>
          <w:trHeight w:val="255"/>
          <w:jc w:val="center"/>
        </w:trPr>
        <w:tc>
          <w:tcPr>
            <w:tcW w:w="6565" w:type="dxa"/>
            <w:tcBorders>
              <w:bottom w:val="single" w:sz="4" w:space="0" w:color="auto"/>
            </w:tcBorders>
            <w:shd w:val="clear" w:color="auto" w:fill="auto"/>
            <w:noWrap/>
            <w:vAlign w:val="center"/>
            <w:hideMark/>
          </w:tcPr>
          <w:p w14:paraId="02981177"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Risk assessment and risk management</w:t>
            </w:r>
          </w:p>
        </w:tc>
        <w:tc>
          <w:tcPr>
            <w:tcW w:w="2880" w:type="dxa"/>
            <w:tcBorders>
              <w:bottom w:val="single" w:sz="4" w:space="0" w:color="auto"/>
            </w:tcBorders>
            <w:shd w:val="clear" w:color="auto" w:fill="auto"/>
            <w:noWrap/>
            <w:vAlign w:val="center"/>
            <w:hideMark/>
          </w:tcPr>
          <w:p w14:paraId="1EE2B556"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40,000</w:t>
            </w:r>
          </w:p>
        </w:tc>
      </w:tr>
      <w:tr w:rsidR="00FC752D" w:rsidRPr="00BC4AFE" w14:paraId="5407A40C" w14:textId="77777777" w:rsidTr="00A60395">
        <w:trPr>
          <w:trHeight w:val="255"/>
          <w:jc w:val="center"/>
        </w:trPr>
        <w:tc>
          <w:tcPr>
            <w:tcW w:w="6565" w:type="dxa"/>
            <w:tcBorders>
              <w:top w:val="single" w:sz="4" w:space="0" w:color="auto"/>
              <w:bottom w:val="single" w:sz="4" w:space="0" w:color="auto"/>
            </w:tcBorders>
            <w:shd w:val="clear" w:color="auto" w:fill="auto"/>
            <w:noWrap/>
            <w:vAlign w:val="center"/>
            <w:hideMark/>
          </w:tcPr>
          <w:p w14:paraId="6BB2A7F1"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4" w:space="0" w:color="auto"/>
              <w:bottom w:val="single" w:sz="4" w:space="0" w:color="auto"/>
            </w:tcBorders>
            <w:shd w:val="clear" w:color="auto" w:fill="auto"/>
            <w:noWrap/>
            <w:vAlign w:val="center"/>
            <w:hideMark/>
          </w:tcPr>
          <w:p w14:paraId="3FE1C9C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145,000</w:t>
            </w:r>
          </w:p>
        </w:tc>
      </w:tr>
      <w:tr w:rsidR="00FC752D" w:rsidRPr="00BC4AFE" w14:paraId="1026F2A3" w14:textId="77777777" w:rsidTr="00A60395">
        <w:trPr>
          <w:trHeight w:val="255"/>
          <w:jc w:val="center"/>
        </w:trPr>
        <w:tc>
          <w:tcPr>
            <w:tcW w:w="6565" w:type="dxa"/>
            <w:tcBorders>
              <w:top w:val="single" w:sz="4" w:space="0" w:color="auto"/>
            </w:tcBorders>
            <w:shd w:val="clear" w:color="auto" w:fill="auto"/>
            <w:noWrap/>
            <w:vAlign w:val="center"/>
            <w:hideMark/>
          </w:tcPr>
          <w:p w14:paraId="442D53C0"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Staff resources</w:t>
            </w:r>
          </w:p>
        </w:tc>
        <w:tc>
          <w:tcPr>
            <w:tcW w:w="2880" w:type="dxa"/>
            <w:tcBorders>
              <w:top w:val="single" w:sz="4" w:space="0" w:color="auto"/>
            </w:tcBorders>
            <w:shd w:val="clear" w:color="auto" w:fill="auto"/>
            <w:noWrap/>
            <w:vAlign w:val="center"/>
            <w:hideMark/>
          </w:tcPr>
          <w:p w14:paraId="19F2BC1A" w14:textId="77777777" w:rsidR="00FC752D" w:rsidRPr="00BC4AFE" w:rsidRDefault="00FC752D" w:rsidP="00E01BB0">
            <w:pPr>
              <w:rPr>
                <w:b/>
                <w:bCs/>
                <w:color w:val="000000"/>
                <w:sz w:val="20"/>
                <w:szCs w:val="20"/>
                <w:lang w:val="en-CA" w:eastAsia="en-CA"/>
              </w:rPr>
            </w:pPr>
          </w:p>
        </w:tc>
      </w:tr>
      <w:tr w:rsidR="00FC752D" w:rsidRPr="00BC4AFE" w14:paraId="23D96951" w14:textId="77777777" w:rsidTr="00A60395">
        <w:trPr>
          <w:trHeight w:val="255"/>
          <w:jc w:val="center"/>
        </w:trPr>
        <w:tc>
          <w:tcPr>
            <w:tcW w:w="6565" w:type="dxa"/>
            <w:tcBorders>
              <w:bottom w:val="single" w:sz="4" w:space="0" w:color="auto"/>
            </w:tcBorders>
            <w:shd w:val="clear" w:color="auto" w:fill="auto"/>
            <w:vAlign w:val="bottom"/>
            <w:hideMark/>
          </w:tcPr>
          <w:p w14:paraId="41370BBD"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Biosafety Associate Programme Officer (P-2)</w:t>
            </w:r>
          </w:p>
        </w:tc>
        <w:tc>
          <w:tcPr>
            <w:tcW w:w="2880" w:type="dxa"/>
            <w:tcBorders>
              <w:bottom w:val="single" w:sz="4" w:space="0" w:color="auto"/>
            </w:tcBorders>
            <w:shd w:val="clear" w:color="auto" w:fill="auto"/>
            <w:noWrap/>
            <w:vAlign w:val="bottom"/>
            <w:hideMark/>
          </w:tcPr>
          <w:p w14:paraId="77CA3829"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218,700</w:t>
            </w:r>
          </w:p>
        </w:tc>
      </w:tr>
      <w:tr w:rsidR="00FC752D" w:rsidRPr="00BC4AFE" w14:paraId="4256E973" w14:textId="77777777" w:rsidTr="00A60395">
        <w:trPr>
          <w:trHeight w:val="255"/>
          <w:jc w:val="center"/>
        </w:trPr>
        <w:tc>
          <w:tcPr>
            <w:tcW w:w="6565" w:type="dxa"/>
            <w:tcBorders>
              <w:top w:val="single" w:sz="4" w:space="0" w:color="auto"/>
              <w:bottom w:val="single" w:sz="4" w:space="0" w:color="auto"/>
            </w:tcBorders>
            <w:shd w:val="clear" w:color="auto" w:fill="auto"/>
            <w:noWrap/>
            <w:vAlign w:val="center"/>
            <w:hideMark/>
          </w:tcPr>
          <w:p w14:paraId="66AA1BF8"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4" w:space="0" w:color="auto"/>
              <w:bottom w:val="single" w:sz="4" w:space="0" w:color="auto"/>
            </w:tcBorders>
            <w:shd w:val="clear" w:color="auto" w:fill="auto"/>
            <w:noWrap/>
            <w:vAlign w:val="center"/>
            <w:hideMark/>
          </w:tcPr>
          <w:p w14:paraId="26FFE73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218,700</w:t>
            </w:r>
          </w:p>
        </w:tc>
      </w:tr>
      <w:tr w:rsidR="00FC752D" w:rsidRPr="00BC4AFE" w14:paraId="26B1A9D2" w14:textId="77777777" w:rsidTr="00A60395">
        <w:trPr>
          <w:trHeight w:val="255"/>
          <w:jc w:val="center"/>
        </w:trPr>
        <w:tc>
          <w:tcPr>
            <w:tcW w:w="6565" w:type="dxa"/>
            <w:tcBorders>
              <w:top w:val="single" w:sz="4" w:space="0" w:color="auto"/>
            </w:tcBorders>
            <w:shd w:val="clear" w:color="auto" w:fill="auto"/>
            <w:noWrap/>
            <w:vAlign w:val="center"/>
            <w:hideMark/>
          </w:tcPr>
          <w:p w14:paraId="1B46B5E6"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Workshops</w:t>
            </w:r>
          </w:p>
        </w:tc>
        <w:tc>
          <w:tcPr>
            <w:tcW w:w="2880" w:type="dxa"/>
            <w:tcBorders>
              <w:top w:val="single" w:sz="4" w:space="0" w:color="auto"/>
            </w:tcBorders>
            <w:shd w:val="clear" w:color="auto" w:fill="auto"/>
            <w:noWrap/>
            <w:vAlign w:val="center"/>
            <w:hideMark/>
          </w:tcPr>
          <w:p w14:paraId="02BCF939" w14:textId="77777777" w:rsidR="00FC752D" w:rsidRPr="00BC4AFE" w:rsidRDefault="00FC752D" w:rsidP="00E01BB0">
            <w:pPr>
              <w:rPr>
                <w:b/>
                <w:bCs/>
                <w:color w:val="000000"/>
                <w:sz w:val="20"/>
                <w:szCs w:val="20"/>
                <w:lang w:val="en-CA" w:eastAsia="en-CA"/>
              </w:rPr>
            </w:pPr>
          </w:p>
        </w:tc>
      </w:tr>
      <w:tr w:rsidR="00FC752D" w:rsidRPr="00BC4AFE" w14:paraId="368EC278" w14:textId="77777777" w:rsidTr="00A60395">
        <w:trPr>
          <w:trHeight w:val="255"/>
          <w:jc w:val="center"/>
        </w:trPr>
        <w:tc>
          <w:tcPr>
            <w:tcW w:w="6565" w:type="dxa"/>
            <w:shd w:val="clear" w:color="auto" w:fill="auto"/>
            <w:noWrap/>
            <w:vAlign w:val="center"/>
            <w:hideMark/>
          </w:tcPr>
          <w:p w14:paraId="08CC93EB"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Biosafety Clearing-House</w:t>
            </w:r>
          </w:p>
        </w:tc>
        <w:tc>
          <w:tcPr>
            <w:tcW w:w="2880" w:type="dxa"/>
            <w:shd w:val="clear" w:color="auto" w:fill="auto"/>
            <w:noWrap/>
            <w:vAlign w:val="center"/>
            <w:hideMark/>
          </w:tcPr>
          <w:p w14:paraId="2B535273"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103,000</w:t>
            </w:r>
          </w:p>
        </w:tc>
      </w:tr>
      <w:tr w:rsidR="00FC752D" w:rsidRPr="00BC4AFE" w14:paraId="39EF2AD0" w14:textId="77777777" w:rsidTr="00A60395">
        <w:trPr>
          <w:trHeight w:val="255"/>
          <w:jc w:val="center"/>
        </w:trPr>
        <w:tc>
          <w:tcPr>
            <w:tcW w:w="6565" w:type="dxa"/>
            <w:shd w:val="clear" w:color="auto" w:fill="auto"/>
            <w:noWrap/>
            <w:vAlign w:val="center"/>
            <w:hideMark/>
          </w:tcPr>
          <w:p w14:paraId="1DC75461"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Implementation Plan for the Cartagena Protocol on Biosafety</w:t>
            </w:r>
          </w:p>
        </w:tc>
        <w:tc>
          <w:tcPr>
            <w:tcW w:w="2880" w:type="dxa"/>
            <w:shd w:val="clear" w:color="auto" w:fill="auto"/>
            <w:noWrap/>
            <w:vAlign w:val="center"/>
            <w:hideMark/>
          </w:tcPr>
          <w:p w14:paraId="02FCDE77"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250,000</w:t>
            </w:r>
          </w:p>
        </w:tc>
      </w:tr>
      <w:tr w:rsidR="00FC752D" w:rsidRPr="00BC4AFE" w14:paraId="2777BAE4" w14:textId="77777777" w:rsidTr="00A60395">
        <w:trPr>
          <w:trHeight w:val="259"/>
          <w:jc w:val="center"/>
        </w:trPr>
        <w:tc>
          <w:tcPr>
            <w:tcW w:w="6565" w:type="dxa"/>
            <w:shd w:val="clear" w:color="auto" w:fill="auto"/>
            <w:hideMark/>
          </w:tcPr>
          <w:p w14:paraId="274A2E28"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Ratification support for Supplementary Protocol on Liability and Redress</w:t>
            </w:r>
          </w:p>
        </w:tc>
        <w:tc>
          <w:tcPr>
            <w:tcW w:w="2880" w:type="dxa"/>
            <w:shd w:val="clear" w:color="auto" w:fill="auto"/>
            <w:noWrap/>
            <w:vAlign w:val="center"/>
            <w:hideMark/>
          </w:tcPr>
          <w:p w14:paraId="63D96EAC"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351,000</w:t>
            </w:r>
          </w:p>
        </w:tc>
      </w:tr>
      <w:tr w:rsidR="00FC752D" w:rsidRPr="00BC4AFE" w14:paraId="1CD5E62C" w14:textId="77777777" w:rsidTr="00A60395">
        <w:trPr>
          <w:trHeight w:val="255"/>
          <w:jc w:val="center"/>
        </w:trPr>
        <w:tc>
          <w:tcPr>
            <w:tcW w:w="6565" w:type="dxa"/>
            <w:tcBorders>
              <w:bottom w:val="single" w:sz="4" w:space="0" w:color="auto"/>
            </w:tcBorders>
            <w:shd w:val="clear" w:color="auto" w:fill="auto"/>
            <w:noWrap/>
            <w:vAlign w:val="center"/>
            <w:hideMark/>
          </w:tcPr>
          <w:p w14:paraId="374980B7"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Risk assessment and risk management</w:t>
            </w:r>
          </w:p>
        </w:tc>
        <w:tc>
          <w:tcPr>
            <w:tcW w:w="2880" w:type="dxa"/>
            <w:tcBorders>
              <w:bottom w:val="single" w:sz="4" w:space="0" w:color="auto"/>
            </w:tcBorders>
            <w:shd w:val="clear" w:color="auto" w:fill="auto"/>
            <w:noWrap/>
            <w:vAlign w:val="center"/>
            <w:hideMark/>
          </w:tcPr>
          <w:p w14:paraId="19DBB5B0"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234,000</w:t>
            </w:r>
          </w:p>
        </w:tc>
      </w:tr>
      <w:tr w:rsidR="00FC752D" w:rsidRPr="00BC4AFE" w14:paraId="0D5171BB" w14:textId="77777777" w:rsidTr="00A60395">
        <w:trPr>
          <w:trHeight w:val="255"/>
          <w:jc w:val="center"/>
        </w:trPr>
        <w:tc>
          <w:tcPr>
            <w:tcW w:w="6565" w:type="dxa"/>
            <w:tcBorders>
              <w:top w:val="single" w:sz="4" w:space="0" w:color="auto"/>
              <w:bottom w:val="single" w:sz="4" w:space="0" w:color="auto"/>
            </w:tcBorders>
            <w:shd w:val="clear" w:color="auto" w:fill="auto"/>
            <w:noWrap/>
            <w:vAlign w:val="center"/>
            <w:hideMark/>
          </w:tcPr>
          <w:p w14:paraId="54EBF987"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4" w:space="0" w:color="auto"/>
              <w:bottom w:val="single" w:sz="4" w:space="0" w:color="auto"/>
            </w:tcBorders>
            <w:shd w:val="clear" w:color="auto" w:fill="auto"/>
            <w:noWrap/>
            <w:vAlign w:val="center"/>
            <w:hideMark/>
          </w:tcPr>
          <w:p w14:paraId="7BD09E2F"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938,000</w:t>
            </w:r>
          </w:p>
        </w:tc>
      </w:tr>
      <w:tr w:rsidR="00FC752D" w:rsidRPr="00BC4AFE" w14:paraId="6CD93517" w14:textId="77777777" w:rsidTr="00A60395">
        <w:trPr>
          <w:trHeight w:val="255"/>
          <w:jc w:val="center"/>
        </w:trPr>
        <w:tc>
          <w:tcPr>
            <w:tcW w:w="6565" w:type="dxa"/>
            <w:tcBorders>
              <w:top w:val="single" w:sz="4" w:space="0" w:color="auto"/>
            </w:tcBorders>
            <w:shd w:val="clear" w:color="auto" w:fill="auto"/>
            <w:noWrap/>
            <w:vAlign w:val="center"/>
            <w:hideMark/>
          </w:tcPr>
          <w:p w14:paraId="0884C1C4"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Expert meetings</w:t>
            </w:r>
          </w:p>
        </w:tc>
        <w:tc>
          <w:tcPr>
            <w:tcW w:w="2880" w:type="dxa"/>
            <w:tcBorders>
              <w:top w:val="single" w:sz="4" w:space="0" w:color="auto"/>
            </w:tcBorders>
            <w:shd w:val="clear" w:color="auto" w:fill="auto"/>
            <w:noWrap/>
            <w:vAlign w:val="center"/>
            <w:hideMark/>
          </w:tcPr>
          <w:p w14:paraId="680A43D5" w14:textId="77777777" w:rsidR="00FC752D" w:rsidRPr="00BC4AFE" w:rsidRDefault="00FC752D" w:rsidP="00E01BB0">
            <w:pPr>
              <w:rPr>
                <w:b/>
                <w:bCs/>
                <w:color w:val="000000"/>
                <w:sz w:val="20"/>
                <w:szCs w:val="20"/>
                <w:lang w:val="en-CA" w:eastAsia="en-CA"/>
              </w:rPr>
            </w:pPr>
          </w:p>
        </w:tc>
      </w:tr>
      <w:tr w:rsidR="00FC752D" w:rsidRPr="00BC4AFE" w14:paraId="3D9C4BC1" w14:textId="77777777" w:rsidTr="00A60395">
        <w:trPr>
          <w:trHeight w:val="255"/>
          <w:jc w:val="center"/>
        </w:trPr>
        <w:tc>
          <w:tcPr>
            <w:tcW w:w="6565" w:type="dxa"/>
            <w:shd w:val="clear" w:color="auto" w:fill="auto"/>
            <w:noWrap/>
            <w:vAlign w:val="center"/>
            <w:hideMark/>
          </w:tcPr>
          <w:p w14:paraId="63D6B714"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Biosafety Clearing-House</w:t>
            </w:r>
          </w:p>
        </w:tc>
        <w:tc>
          <w:tcPr>
            <w:tcW w:w="2880" w:type="dxa"/>
            <w:shd w:val="clear" w:color="auto" w:fill="auto"/>
            <w:noWrap/>
            <w:vAlign w:val="center"/>
            <w:hideMark/>
          </w:tcPr>
          <w:p w14:paraId="3F3A60B1"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40,000</w:t>
            </w:r>
          </w:p>
        </w:tc>
      </w:tr>
      <w:tr w:rsidR="00FC752D" w:rsidRPr="00BC4AFE" w14:paraId="29372BBC" w14:textId="77777777" w:rsidTr="00A60395">
        <w:trPr>
          <w:trHeight w:val="255"/>
          <w:jc w:val="center"/>
        </w:trPr>
        <w:tc>
          <w:tcPr>
            <w:tcW w:w="6565" w:type="dxa"/>
            <w:tcBorders>
              <w:bottom w:val="single" w:sz="4" w:space="0" w:color="auto"/>
            </w:tcBorders>
            <w:shd w:val="clear" w:color="auto" w:fill="auto"/>
            <w:noWrap/>
            <w:vAlign w:val="center"/>
            <w:hideMark/>
          </w:tcPr>
          <w:p w14:paraId="301302B5"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Detection and identification of living modified organisms</w:t>
            </w:r>
          </w:p>
        </w:tc>
        <w:tc>
          <w:tcPr>
            <w:tcW w:w="2880" w:type="dxa"/>
            <w:tcBorders>
              <w:bottom w:val="single" w:sz="4" w:space="0" w:color="auto"/>
            </w:tcBorders>
            <w:shd w:val="clear" w:color="auto" w:fill="auto"/>
            <w:noWrap/>
            <w:vAlign w:val="center"/>
            <w:hideMark/>
          </w:tcPr>
          <w:p w14:paraId="645B9A31"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234,000</w:t>
            </w:r>
          </w:p>
        </w:tc>
      </w:tr>
      <w:tr w:rsidR="00FC752D" w:rsidRPr="00BC4AFE" w14:paraId="2C76E3B4" w14:textId="77777777" w:rsidTr="00A60395">
        <w:trPr>
          <w:trHeight w:val="255"/>
          <w:jc w:val="center"/>
        </w:trPr>
        <w:tc>
          <w:tcPr>
            <w:tcW w:w="6565" w:type="dxa"/>
            <w:tcBorders>
              <w:top w:val="single" w:sz="4" w:space="0" w:color="auto"/>
              <w:bottom w:val="single" w:sz="4" w:space="0" w:color="auto"/>
            </w:tcBorders>
            <w:shd w:val="clear" w:color="auto" w:fill="auto"/>
            <w:noWrap/>
            <w:vAlign w:val="center"/>
            <w:hideMark/>
          </w:tcPr>
          <w:p w14:paraId="44958E48"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4" w:space="0" w:color="auto"/>
              <w:bottom w:val="single" w:sz="4" w:space="0" w:color="auto"/>
            </w:tcBorders>
            <w:shd w:val="clear" w:color="auto" w:fill="auto"/>
            <w:noWrap/>
            <w:vAlign w:val="bottom"/>
            <w:hideMark/>
          </w:tcPr>
          <w:p w14:paraId="388048D5"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274,000</w:t>
            </w:r>
          </w:p>
        </w:tc>
      </w:tr>
      <w:tr w:rsidR="00FC752D" w:rsidRPr="00BC4AFE" w14:paraId="201FD3F2" w14:textId="77777777" w:rsidTr="00A60395">
        <w:trPr>
          <w:trHeight w:val="255"/>
          <w:jc w:val="center"/>
        </w:trPr>
        <w:tc>
          <w:tcPr>
            <w:tcW w:w="6565" w:type="dxa"/>
            <w:tcBorders>
              <w:top w:val="single" w:sz="4" w:space="0" w:color="auto"/>
            </w:tcBorders>
            <w:shd w:val="clear" w:color="auto" w:fill="auto"/>
            <w:noWrap/>
            <w:vAlign w:val="bottom"/>
            <w:hideMark/>
          </w:tcPr>
          <w:p w14:paraId="680A3F70" w14:textId="77777777" w:rsidR="00FC752D" w:rsidRPr="00BC4AFE" w:rsidRDefault="00FC752D" w:rsidP="00E01BB0">
            <w:pPr>
              <w:jc w:val="right"/>
              <w:rPr>
                <w:b/>
                <w:bCs/>
                <w:color w:val="000000"/>
                <w:sz w:val="20"/>
                <w:szCs w:val="20"/>
                <w:lang w:val="en-CA" w:eastAsia="en-CA"/>
              </w:rPr>
            </w:pPr>
          </w:p>
        </w:tc>
        <w:tc>
          <w:tcPr>
            <w:tcW w:w="2880" w:type="dxa"/>
            <w:tcBorders>
              <w:top w:val="single" w:sz="4" w:space="0" w:color="auto"/>
            </w:tcBorders>
            <w:shd w:val="clear" w:color="auto" w:fill="auto"/>
            <w:noWrap/>
            <w:vAlign w:val="bottom"/>
            <w:hideMark/>
          </w:tcPr>
          <w:p w14:paraId="6C309DBA" w14:textId="77777777" w:rsidR="00FC752D" w:rsidRPr="00BC4AFE" w:rsidRDefault="00FC752D" w:rsidP="00E01BB0">
            <w:pPr>
              <w:rPr>
                <w:sz w:val="20"/>
                <w:szCs w:val="20"/>
                <w:lang w:val="en-CA" w:eastAsia="en-CA"/>
              </w:rPr>
            </w:pPr>
          </w:p>
        </w:tc>
      </w:tr>
      <w:tr w:rsidR="00FC752D" w:rsidRPr="00BC4AFE" w14:paraId="6140C8FD" w14:textId="77777777" w:rsidTr="00A60395">
        <w:trPr>
          <w:trHeight w:val="255"/>
          <w:jc w:val="center"/>
        </w:trPr>
        <w:tc>
          <w:tcPr>
            <w:tcW w:w="6565" w:type="dxa"/>
            <w:tcBorders>
              <w:top w:val="single" w:sz="12" w:space="0" w:color="auto"/>
              <w:bottom w:val="single" w:sz="2" w:space="0" w:color="auto"/>
            </w:tcBorders>
            <w:shd w:val="clear" w:color="auto" w:fill="auto"/>
            <w:noWrap/>
            <w:vAlign w:val="bottom"/>
            <w:hideMark/>
          </w:tcPr>
          <w:p w14:paraId="0012A9A2" w14:textId="77777777" w:rsidR="00FC752D" w:rsidRPr="00BC4AFE" w:rsidRDefault="00FC752D" w:rsidP="00E01BB0">
            <w:pPr>
              <w:keepNext/>
              <w:keepLines/>
              <w:rPr>
                <w:b/>
                <w:bCs/>
                <w:color w:val="000000"/>
                <w:sz w:val="20"/>
                <w:szCs w:val="20"/>
                <w:lang w:val="en-CA" w:eastAsia="en-CA"/>
              </w:rPr>
            </w:pPr>
            <w:r w:rsidRPr="00BC4AFE">
              <w:rPr>
                <w:b/>
                <w:bCs/>
                <w:color w:val="000000"/>
                <w:sz w:val="20"/>
                <w:szCs w:val="20"/>
                <w:lang w:val="en-CA" w:eastAsia="en-CA"/>
              </w:rPr>
              <w:t xml:space="preserve">Subtotal I (Cartagena Protocol)  </w:t>
            </w:r>
          </w:p>
        </w:tc>
        <w:tc>
          <w:tcPr>
            <w:tcW w:w="2880" w:type="dxa"/>
            <w:tcBorders>
              <w:top w:val="single" w:sz="12" w:space="0" w:color="auto"/>
              <w:bottom w:val="single" w:sz="2" w:space="0" w:color="auto"/>
            </w:tcBorders>
            <w:shd w:val="clear" w:color="auto" w:fill="auto"/>
            <w:noWrap/>
            <w:vAlign w:val="bottom"/>
            <w:hideMark/>
          </w:tcPr>
          <w:p w14:paraId="67026099" w14:textId="77777777" w:rsidR="00FC752D" w:rsidRPr="00BC4AFE" w:rsidRDefault="00FC752D" w:rsidP="00E01BB0">
            <w:pPr>
              <w:keepNext/>
              <w:keepLines/>
              <w:jc w:val="right"/>
              <w:rPr>
                <w:b/>
                <w:bCs/>
                <w:color w:val="000000"/>
                <w:sz w:val="20"/>
                <w:szCs w:val="20"/>
                <w:lang w:val="en-CA" w:eastAsia="en-CA"/>
              </w:rPr>
            </w:pPr>
            <w:r w:rsidRPr="00BC4AFE">
              <w:rPr>
                <w:b/>
                <w:bCs/>
                <w:color w:val="000000"/>
                <w:sz w:val="20"/>
                <w:szCs w:val="20"/>
                <w:lang w:val="en-CA" w:eastAsia="en-CA"/>
              </w:rPr>
              <w:t>2,092,500</w:t>
            </w:r>
          </w:p>
        </w:tc>
      </w:tr>
      <w:tr w:rsidR="00FC752D" w:rsidRPr="00BC4AFE" w14:paraId="78DC83A5" w14:textId="77777777" w:rsidTr="00A60395">
        <w:trPr>
          <w:trHeight w:val="255"/>
          <w:jc w:val="center"/>
        </w:trPr>
        <w:tc>
          <w:tcPr>
            <w:tcW w:w="6565" w:type="dxa"/>
            <w:tcBorders>
              <w:top w:val="single" w:sz="2" w:space="0" w:color="auto"/>
              <w:bottom w:val="single" w:sz="2" w:space="0" w:color="auto"/>
            </w:tcBorders>
            <w:shd w:val="clear" w:color="auto" w:fill="auto"/>
            <w:noWrap/>
            <w:vAlign w:val="bottom"/>
            <w:hideMark/>
          </w:tcPr>
          <w:p w14:paraId="0D6B7F9C" w14:textId="77777777" w:rsidR="00FC752D" w:rsidRPr="00BC4AFE" w:rsidRDefault="00FC752D" w:rsidP="00E01BB0">
            <w:pPr>
              <w:keepNext/>
              <w:keepLines/>
              <w:rPr>
                <w:color w:val="000000"/>
                <w:sz w:val="20"/>
                <w:szCs w:val="20"/>
                <w:lang w:val="en-CA" w:eastAsia="en-CA"/>
              </w:rPr>
            </w:pPr>
            <w:r w:rsidRPr="00BC4AFE">
              <w:rPr>
                <w:color w:val="000000"/>
                <w:sz w:val="20"/>
                <w:szCs w:val="20"/>
                <w:lang w:val="en-CA" w:eastAsia="en-CA"/>
              </w:rPr>
              <w:t>II. Programme support costs (13%)</w:t>
            </w:r>
          </w:p>
        </w:tc>
        <w:tc>
          <w:tcPr>
            <w:tcW w:w="2880" w:type="dxa"/>
            <w:tcBorders>
              <w:top w:val="single" w:sz="2" w:space="0" w:color="auto"/>
              <w:bottom w:val="single" w:sz="2" w:space="0" w:color="auto"/>
            </w:tcBorders>
            <w:shd w:val="clear" w:color="auto" w:fill="auto"/>
            <w:noWrap/>
            <w:vAlign w:val="bottom"/>
            <w:hideMark/>
          </w:tcPr>
          <w:p w14:paraId="700B3426" w14:textId="77777777" w:rsidR="00FC752D" w:rsidRPr="00BC4AFE" w:rsidRDefault="00FC752D" w:rsidP="00E01BB0">
            <w:pPr>
              <w:keepNext/>
              <w:keepLines/>
              <w:jc w:val="right"/>
              <w:rPr>
                <w:color w:val="000000"/>
                <w:sz w:val="20"/>
                <w:szCs w:val="20"/>
                <w:lang w:val="en-CA" w:eastAsia="en-CA"/>
              </w:rPr>
            </w:pPr>
            <w:r w:rsidRPr="00BC4AFE">
              <w:rPr>
                <w:color w:val="000000"/>
                <w:sz w:val="20"/>
                <w:szCs w:val="20"/>
                <w:lang w:val="en-CA" w:eastAsia="en-CA"/>
              </w:rPr>
              <w:t>272,025</w:t>
            </w:r>
          </w:p>
        </w:tc>
      </w:tr>
      <w:tr w:rsidR="00FC752D" w:rsidRPr="00BC4AFE" w14:paraId="77DAAB9C" w14:textId="77777777" w:rsidTr="00A60395">
        <w:trPr>
          <w:trHeight w:val="255"/>
          <w:jc w:val="center"/>
        </w:trPr>
        <w:tc>
          <w:tcPr>
            <w:tcW w:w="6565" w:type="dxa"/>
            <w:tcBorders>
              <w:top w:val="single" w:sz="2" w:space="0" w:color="auto"/>
              <w:bottom w:val="single" w:sz="12" w:space="0" w:color="auto"/>
            </w:tcBorders>
            <w:shd w:val="clear" w:color="auto" w:fill="auto"/>
            <w:noWrap/>
            <w:vAlign w:val="bottom"/>
            <w:hideMark/>
          </w:tcPr>
          <w:p w14:paraId="3EB35C3C" w14:textId="77777777" w:rsidR="00FC752D" w:rsidRPr="00BC4AFE" w:rsidRDefault="00FC752D" w:rsidP="00E01BB0">
            <w:pPr>
              <w:keepLines/>
              <w:rPr>
                <w:b/>
                <w:bCs/>
                <w:color w:val="000000"/>
                <w:sz w:val="20"/>
                <w:szCs w:val="20"/>
                <w:lang w:val="pt-PT" w:eastAsia="en-CA"/>
              </w:rPr>
            </w:pPr>
            <w:r w:rsidRPr="00BC4AFE">
              <w:rPr>
                <w:b/>
                <w:bCs/>
                <w:color w:val="000000"/>
                <w:sz w:val="20"/>
                <w:szCs w:val="20"/>
                <w:lang w:val="pt-PT" w:eastAsia="en-CA"/>
              </w:rPr>
              <w:t>TOTAL COST (I + II) (Cartagena Protocol)</w:t>
            </w:r>
          </w:p>
        </w:tc>
        <w:tc>
          <w:tcPr>
            <w:tcW w:w="2880" w:type="dxa"/>
            <w:tcBorders>
              <w:top w:val="single" w:sz="2" w:space="0" w:color="auto"/>
              <w:bottom w:val="single" w:sz="12" w:space="0" w:color="auto"/>
            </w:tcBorders>
            <w:shd w:val="clear" w:color="auto" w:fill="auto"/>
            <w:noWrap/>
            <w:vAlign w:val="bottom"/>
            <w:hideMark/>
          </w:tcPr>
          <w:p w14:paraId="01E6370D" w14:textId="77777777" w:rsidR="00FC752D" w:rsidRPr="00BC4AFE" w:rsidRDefault="00FC752D" w:rsidP="00E01BB0">
            <w:pPr>
              <w:keepLines/>
              <w:jc w:val="right"/>
              <w:rPr>
                <w:b/>
                <w:bCs/>
                <w:color w:val="000000"/>
                <w:sz w:val="20"/>
                <w:szCs w:val="20"/>
                <w:lang w:val="en-CA" w:eastAsia="en-CA"/>
              </w:rPr>
            </w:pPr>
            <w:r w:rsidRPr="00BC4AFE">
              <w:rPr>
                <w:b/>
                <w:bCs/>
                <w:color w:val="000000"/>
                <w:sz w:val="20"/>
                <w:szCs w:val="20"/>
                <w:lang w:val="en-CA" w:eastAsia="en-CA"/>
              </w:rPr>
              <w:t>2,364,525</w:t>
            </w:r>
          </w:p>
        </w:tc>
      </w:tr>
      <w:tr w:rsidR="00FC752D" w:rsidRPr="00BC4AFE" w14:paraId="0A4D3E15" w14:textId="77777777" w:rsidTr="00A60395">
        <w:trPr>
          <w:trHeight w:val="255"/>
          <w:jc w:val="center"/>
        </w:trPr>
        <w:tc>
          <w:tcPr>
            <w:tcW w:w="6565" w:type="dxa"/>
            <w:tcBorders>
              <w:top w:val="single" w:sz="12" w:space="0" w:color="auto"/>
            </w:tcBorders>
            <w:shd w:val="clear" w:color="auto" w:fill="auto"/>
            <w:noWrap/>
            <w:vAlign w:val="bottom"/>
            <w:hideMark/>
          </w:tcPr>
          <w:p w14:paraId="1AF6813A" w14:textId="77777777" w:rsidR="00FC752D" w:rsidRPr="00BC4AFE" w:rsidRDefault="00FC752D" w:rsidP="00E01BB0">
            <w:pPr>
              <w:jc w:val="right"/>
              <w:rPr>
                <w:b/>
                <w:bCs/>
                <w:color w:val="000000"/>
                <w:sz w:val="20"/>
                <w:szCs w:val="20"/>
                <w:lang w:val="en-CA" w:eastAsia="en-CA"/>
              </w:rPr>
            </w:pPr>
          </w:p>
        </w:tc>
        <w:tc>
          <w:tcPr>
            <w:tcW w:w="2880" w:type="dxa"/>
            <w:tcBorders>
              <w:top w:val="single" w:sz="12" w:space="0" w:color="auto"/>
            </w:tcBorders>
            <w:shd w:val="clear" w:color="auto" w:fill="auto"/>
            <w:noWrap/>
            <w:vAlign w:val="bottom"/>
            <w:hideMark/>
          </w:tcPr>
          <w:p w14:paraId="7DC85AB8" w14:textId="77777777" w:rsidR="00FC752D" w:rsidRPr="00BC4AFE" w:rsidRDefault="00FC752D" w:rsidP="00E01BB0">
            <w:pPr>
              <w:rPr>
                <w:sz w:val="20"/>
                <w:szCs w:val="20"/>
                <w:lang w:val="en-CA" w:eastAsia="en-CA"/>
              </w:rPr>
            </w:pPr>
          </w:p>
        </w:tc>
      </w:tr>
      <w:tr w:rsidR="00FC752D" w:rsidRPr="00BC4AFE" w14:paraId="0A58A5C3" w14:textId="77777777" w:rsidTr="00A60395">
        <w:trPr>
          <w:trHeight w:val="300"/>
          <w:jc w:val="center"/>
        </w:trPr>
        <w:tc>
          <w:tcPr>
            <w:tcW w:w="6565" w:type="dxa"/>
            <w:shd w:val="clear" w:color="auto" w:fill="auto"/>
            <w:noWrap/>
            <w:vAlign w:val="bottom"/>
            <w:hideMark/>
          </w:tcPr>
          <w:p w14:paraId="50535B35" w14:textId="77777777" w:rsidR="00FC752D" w:rsidRPr="00BC4AFE" w:rsidRDefault="00FC752D" w:rsidP="00E01BB0">
            <w:pPr>
              <w:jc w:val="right"/>
              <w:rPr>
                <w:sz w:val="20"/>
                <w:szCs w:val="20"/>
                <w:lang w:val="en-CA" w:eastAsia="en-CA"/>
              </w:rPr>
            </w:pPr>
          </w:p>
        </w:tc>
        <w:tc>
          <w:tcPr>
            <w:tcW w:w="2880" w:type="dxa"/>
            <w:shd w:val="clear" w:color="auto" w:fill="auto"/>
            <w:noWrap/>
            <w:vAlign w:val="bottom"/>
            <w:hideMark/>
          </w:tcPr>
          <w:p w14:paraId="28DEE735" w14:textId="77777777" w:rsidR="00FC752D" w:rsidRPr="00BC4AFE" w:rsidRDefault="00FC752D" w:rsidP="00E01BB0">
            <w:pPr>
              <w:rPr>
                <w:sz w:val="20"/>
                <w:szCs w:val="20"/>
                <w:lang w:val="en-CA" w:eastAsia="en-CA"/>
              </w:rPr>
            </w:pPr>
          </w:p>
        </w:tc>
      </w:tr>
      <w:tr w:rsidR="00FC752D" w:rsidRPr="00BC4AFE" w14:paraId="3EF73DDE" w14:textId="77777777" w:rsidTr="00A60395">
        <w:trPr>
          <w:trHeight w:val="300"/>
          <w:jc w:val="center"/>
        </w:trPr>
        <w:tc>
          <w:tcPr>
            <w:tcW w:w="9445" w:type="dxa"/>
            <w:gridSpan w:val="2"/>
            <w:shd w:val="clear" w:color="auto" w:fill="auto"/>
            <w:noWrap/>
            <w:vAlign w:val="bottom"/>
            <w:hideMark/>
          </w:tcPr>
          <w:p w14:paraId="05DBE496" w14:textId="77777777" w:rsidR="00FC752D" w:rsidRPr="00BC4AFE" w:rsidRDefault="00FC752D" w:rsidP="00E01BB0">
            <w:pPr>
              <w:keepNext/>
              <w:spacing w:before="120" w:after="120"/>
              <w:jc w:val="center"/>
              <w:rPr>
                <w:b/>
                <w:bCs/>
                <w:color w:val="000000"/>
                <w:lang w:eastAsia="en-CA"/>
              </w:rPr>
            </w:pPr>
            <w:r w:rsidRPr="00BC4AFE">
              <w:rPr>
                <w:b/>
                <w:bCs/>
                <w:color w:val="000000"/>
                <w:lang w:eastAsia="en-CA"/>
              </w:rPr>
              <w:t>C.</w:t>
            </w:r>
            <w:r w:rsidRPr="00BC4AFE">
              <w:rPr>
                <w:b/>
                <w:color w:val="000000" w:themeColor="text1"/>
                <w:kern w:val="20"/>
                <w:sz w:val="24"/>
                <w:szCs w:val="28"/>
                <w:lang w:eastAsia="en-CA"/>
              </w:rPr>
              <w:tab/>
            </w:r>
            <w:r w:rsidRPr="00BC4AFE">
              <w:rPr>
                <w:b/>
                <w:bCs/>
                <w:color w:val="000000"/>
                <w:lang w:eastAsia="en-CA"/>
              </w:rPr>
              <w:t>Nagoya Protocol on Access and Benefit-sharing</w:t>
            </w:r>
          </w:p>
          <w:p w14:paraId="5FDD118D" w14:textId="77777777" w:rsidR="00FC752D" w:rsidRPr="00BC4AFE" w:rsidRDefault="00FC752D" w:rsidP="00E01BB0">
            <w:pPr>
              <w:keepNext/>
              <w:spacing w:before="120" w:after="120"/>
              <w:jc w:val="center"/>
              <w:rPr>
                <w:b/>
                <w:bCs/>
                <w:color w:val="000000"/>
                <w:sz w:val="20"/>
                <w:szCs w:val="20"/>
                <w:lang w:val="en-CA" w:eastAsia="en-CA"/>
              </w:rPr>
            </w:pPr>
            <w:r w:rsidRPr="00BC4AFE">
              <w:rPr>
                <w:color w:val="000000" w:themeColor="text1"/>
                <w:kern w:val="20"/>
                <w:sz w:val="20"/>
                <w:szCs w:val="20"/>
                <w:lang w:eastAsia="en-CA"/>
              </w:rPr>
              <w:t>(</w:t>
            </w:r>
            <w:r w:rsidRPr="00BC4AFE">
              <w:rPr>
                <w:i/>
                <w:color w:val="000000" w:themeColor="text1"/>
                <w:kern w:val="20"/>
                <w:sz w:val="20"/>
                <w:szCs w:val="20"/>
                <w:lang w:eastAsia="en-CA"/>
              </w:rPr>
              <w:t>United States dollars</w:t>
            </w:r>
            <w:r w:rsidRPr="00BC4AFE">
              <w:rPr>
                <w:color w:val="000000" w:themeColor="text1"/>
                <w:kern w:val="20"/>
                <w:sz w:val="20"/>
                <w:szCs w:val="20"/>
                <w:lang w:eastAsia="en-CA"/>
              </w:rPr>
              <w:t>)</w:t>
            </w:r>
          </w:p>
        </w:tc>
      </w:tr>
      <w:tr w:rsidR="00FC752D" w:rsidRPr="00BC4AFE" w14:paraId="2D3CAEEB" w14:textId="77777777" w:rsidTr="00A60395">
        <w:trPr>
          <w:trHeight w:val="259"/>
          <w:jc w:val="center"/>
        </w:trPr>
        <w:tc>
          <w:tcPr>
            <w:tcW w:w="6565" w:type="dxa"/>
            <w:tcBorders>
              <w:top w:val="single" w:sz="2" w:space="0" w:color="auto"/>
            </w:tcBorders>
            <w:shd w:val="clear" w:color="auto" w:fill="auto"/>
            <w:noWrap/>
            <w:vAlign w:val="bottom"/>
            <w:hideMark/>
          </w:tcPr>
          <w:p w14:paraId="2E0D39DA"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Consultancy</w:t>
            </w:r>
          </w:p>
        </w:tc>
        <w:tc>
          <w:tcPr>
            <w:tcW w:w="2880" w:type="dxa"/>
            <w:tcBorders>
              <w:top w:val="single" w:sz="2" w:space="0" w:color="auto"/>
            </w:tcBorders>
            <w:shd w:val="clear" w:color="auto" w:fill="auto"/>
            <w:noWrap/>
            <w:vAlign w:val="bottom"/>
            <w:hideMark/>
          </w:tcPr>
          <w:p w14:paraId="4C712F9E" w14:textId="77777777" w:rsidR="00FC752D" w:rsidRPr="00BC4AFE" w:rsidRDefault="00FC752D" w:rsidP="00E01BB0">
            <w:pPr>
              <w:rPr>
                <w:b/>
                <w:bCs/>
                <w:color w:val="000000"/>
                <w:sz w:val="20"/>
                <w:szCs w:val="20"/>
                <w:lang w:val="en-CA" w:eastAsia="en-CA"/>
              </w:rPr>
            </w:pPr>
          </w:p>
        </w:tc>
      </w:tr>
      <w:tr w:rsidR="00FC752D" w:rsidRPr="00BC4AFE" w14:paraId="1B695EC2" w14:textId="77777777" w:rsidTr="00A60395">
        <w:trPr>
          <w:trHeight w:val="259"/>
          <w:jc w:val="center"/>
        </w:trPr>
        <w:tc>
          <w:tcPr>
            <w:tcW w:w="6565" w:type="dxa"/>
            <w:shd w:val="clear" w:color="auto" w:fill="auto"/>
            <w:noWrap/>
            <w:vAlign w:val="bottom"/>
            <w:hideMark/>
          </w:tcPr>
          <w:p w14:paraId="0C0F4424"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Capacity-building, capacity development and awareness-raising</w:t>
            </w:r>
          </w:p>
        </w:tc>
        <w:tc>
          <w:tcPr>
            <w:tcW w:w="2880" w:type="dxa"/>
            <w:shd w:val="clear" w:color="auto" w:fill="auto"/>
            <w:noWrap/>
            <w:vAlign w:val="bottom"/>
            <w:hideMark/>
          </w:tcPr>
          <w:p w14:paraId="40B5D997"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80,000</w:t>
            </w:r>
          </w:p>
        </w:tc>
      </w:tr>
      <w:tr w:rsidR="00FC752D" w:rsidRPr="00BC4AFE" w14:paraId="441FD2D5" w14:textId="77777777" w:rsidTr="00A60395">
        <w:trPr>
          <w:trHeight w:val="259"/>
          <w:jc w:val="center"/>
        </w:trPr>
        <w:tc>
          <w:tcPr>
            <w:tcW w:w="6565" w:type="dxa"/>
            <w:shd w:val="clear" w:color="auto" w:fill="auto"/>
            <w:noWrap/>
            <w:vAlign w:val="bottom"/>
            <w:hideMark/>
          </w:tcPr>
          <w:p w14:paraId="3464F758"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ABS Clearing-House and information-sharing</w:t>
            </w:r>
          </w:p>
        </w:tc>
        <w:tc>
          <w:tcPr>
            <w:tcW w:w="2880" w:type="dxa"/>
            <w:shd w:val="clear" w:color="auto" w:fill="auto"/>
            <w:noWrap/>
            <w:vAlign w:val="bottom"/>
            <w:hideMark/>
          </w:tcPr>
          <w:p w14:paraId="2071ADA8"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100,000</w:t>
            </w:r>
          </w:p>
        </w:tc>
      </w:tr>
      <w:tr w:rsidR="00FC752D" w:rsidRPr="00BC4AFE" w14:paraId="4CA14FAC" w14:textId="77777777" w:rsidTr="00A60395">
        <w:trPr>
          <w:trHeight w:val="259"/>
          <w:jc w:val="center"/>
        </w:trPr>
        <w:tc>
          <w:tcPr>
            <w:tcW w:w="6565" w:type="dxa"/>
            <w:tcBorders>
              <w:bottom w:val="single" w:sz="2" w:space="0" w:color="auto"/>
            </w:tcBorders>
            <w:shd w:val="clear" w:color="auto" w:fill="auto"/>
            <w:noWrap/>
            <w:vAlign w:val="bottom"/>
            <w:hideMark/>
          </w:tcPr>
          <w:p w14:paraId="13E81630"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Financial mechanism and resources</w:t>
            </w:r>
          </w:p>
        </w:tc>
        <w:tc>
          <w:tcPr>
            <w:tcW w:w="2880" w:type="dxa"/>
            <w:tcBorders>
              <w:bottom w:val="single" w:sz="2" w:space="0" w:color="auto"/>
            </w:tcBorders>
            <w:shd w:val="clear" w:color="auto" w:fill="auto"/>
            <w:noWrap/>
            <w:vAlign w:val="bottom"/>
            <w:hideMark/>
          </w:tcPr>
          <w:p w14:paraId="49A7FCFD"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50,000</w:t>
            </w:r>
          </w:p>
        </w:tc>
      </w:tr>
      <w:tr w:rsidR="00FC752D" w:rsidRPr="00BC4AFE" w14:paraId="13957A27" w14:textId="77777777" w:rsidTr="00A60395">
        <w:trPr>
          <w:trHeight w:val="259"/>
          <w:jc w:val="center"/>
        </w:trPr>
        <w:tc>
          <w:tcPr>
            <w:tcW w:w="6565" w:type="dxa"/>
            <w:tcBorders>
              <w:top w:val="single" w:sz="2" w:space="0" w:color="auto"/>
              <w:bottom w:val="single" w:sz="2" w:space="0" w:color="auto"/>
            </w:tcBorders>
            <w:shd w:val="clear" w:color="auto" w:fill="auto"/>
            <w:noWrap/>
            <w:vAlign w:val="center"/>
            <w:hideMark/>
          </w:tcPr>
          <w:p w14:paraId="637A6A8D"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2" w:space="0" w:color="auto"/>
              <w:bottom w:val="single" w:sz="2" w:space="0" w:color="auto"/>
            </w:tcBorders>
            <w:shd w:val="clear" w:color="auto" w:fill="auto"/>
            <w:noWrap/>
            <w:vAlign w:val="bottom"/>
            <w:hideMark/>
          </w:tcPr>
          <w:p w14:paraId="6A5680BB"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230,000</w:t>
            </w:r>
          </w:p>
        </w:tc>
      </w:tr>
      <w:tr w:rsidR="00FC752D" w:rsidRPr="00BC4AFE" w14:paraId="2C0B11D8" w14:textId="77777777" w:rsidTr="00A60395">
        <w:trPr>
          <w:trHeight w:val="259"/>
          <w:jc w:val="center"/>
        </w:trPr>
        <w:tc>
          <w:tcPr>
            <w:tcW w:w="6565" w:type="dxa"/>
            <w:tcBorders>
              <w:top w:val="single" w:sz="4" w:space="0" w:color="auto"/>
            </w:tcBorders>
            <w:shd w:val="clear" w:color="auto" w:fill="auto"/>
            <w:noWrap/>
            <w:vAlign w:val="bottom"/>
            <w:hideMark/>
          </w:tcPr>
          <w:p w14:paraId="687BD314"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Official travel</w:t>
            </w:r>
          </w:p>
        </w:tc>
        <w:tc>
          <w:tcPr>
            <w:tcW w:w="2880" w:type="dxa"/>
            <w:tcBorders>
              <w:top w:val="single" w:sz="4" w:space="0" w:color="auto"/>
            </w:tcBorders>
            <w:shd w:val="clear" w:color="auto" w:fill="auto"/>
            <w:noWrap/>
            <w:vAlign w:val="bottom"/>
            <w:hideMark/>
          </w:tcPr>
          <w:p w14:paraId="715D86D8" w14:textId="77777777" w:rsidR="00FC752D" w:rsidRPr="00BC4AFE" w:rsidRDefault="00FC752D" w:rsidP="00E01BB0">
            <w:pPr>
              <w:keepNext/>
              <w:rPr>
                <w:b/>
                <w:bCs/>
                <w:color w:val="000000"/>
                <w:sz w:val="20"/>
                <w:szCs w:val="20"/>
                <w:lang w:val="en-CA" w:eastAsia="en-CA"/>
              </w:rPr>
            </w:pPr>
          </w:p>
        </w:tc>
      </w:tr>
      <w:tr w:rsidR="00FC752D" w:rsidRPr="00BC4AFE" w14:paraId="39A078F3" w14:textId="77777777" w:rsidTr="00A60395">
        <w:trPr>
          <w:trHeight w:val="259"/>
          <w:jc w:val="center"/>
        </w:trPr>
        <w:tc>
          <w:tcPr>
            <w:tcW w:w="6565" w:type="dxa"/>
            <w:tcBorders>
              <w:bottom w:val="single" w:sz="2" w:space="0" w:color="auto"/>
            </w:tcBorders>
            <w:shd w:val="clear" w:color="auto" w:fill="auto"/>
            <w:noWrap/>
            <w:vAlign w:val="bottom"/>
            <w:hideMark/>
          </w:tcPr>
          <w:p w14:paraId="3FB84B3C"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ABS Clearing-House and information-sharing</w:t>
            </w:r>
          </w:p>
        </w:tc>
        <w:tc>
          <w:tcPr>
            <w:tcW w:w="2880" w:type="dxa"/>
            <w:tcBorders>
              <w:bottom w:val="single" w:sz="2" w:space="0" w:color="auto"/>
            </w:tcBorders>
            <w:shd w:val="clear" w:color="auto" w:fill="auto"/>
            <w:noWrap/>
            <w:vAlign w:val="bottom"/>
            <w:hideMark/>
          </w:tcPr>
          <w:p w14:paraId="1C2B0661" w14:textId="77777777" w:rsidR="00FC752D" w:rsidRPr="00BC4AFE" w:rsidRDefault="00FC752D" w:rsidP="00E01BB0">
            <w:pPr>
              <w:keepNext/>
              <w:jc w:val="right"/>
              <w:rPr>
                <w:color w:val="000000"/>
                <w:sz w:val="20"/>
                <w:szCs w:val="20"/>
                <w:lang w:val="en-CA" w:eastAsia="en-CA"/>
              </w:rPr>
            </w:pPr>
            <w:r w:rsidRPr="00BC4AFE">
              <w:rPr>
                <w:color w:val="000000"/>
                <w:sz w:val="20"/>
                <w:szCs w:val="20"/>
                <w:lang w:val="en-CA" w:eastAsia="en-CA"/>
              </w:rPr>
              <w:t>30,000</w:t>
            </w:r>
          </w:p>
        </w:tc>
      </w:tr>
      <w:tr w:rsidR="00FC752D" w:rsidRPr="00BC4AFE" w14:paraId="4526CFB3" w14:textId="77777777" w:rsidTr="00A60395">
        <w:trPr>
          <w:trHeight w:val="259"/>
          <w:jc w:val="center"/>
        </w:trPr>
        <w:tc>
          <w:tcPr>
            <w:tcW w:w="6565" w:type="dxa"/>
            <w:tcBorders>
              <w:top w:val="single" w:sz="2" w:space="0" w:color="auto"/>
            </w:tcBorders>
            <w:shd w:val="clear" w:color="auto" w:fill="auto"/>
            <w:noWrap/>
            <w:vAlign w:val="center"/>
            <w:hideMark/>
          </w:tcPr>
          <w:p w14:paraId="5C4CE794"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2" w:space="0" w:color="auto"/>
            </w:tcBorders>
            <w:shd w:val="clear" w:color="auto" w:fill="auto"/>
            <w:noWrap/>
            <w:vAlign w:val="bottom"/>
            <w:hideMark/>
          </w:tcPr>
          <w:p w14:paraId="0D5D08C9"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30,000</w:t>
            </w:r>
          </w:p>
        </w:tc>
      </w:tr>
      <w:tr w:rsidR="00FC752D" w:rsidRPr="00BC4AFE" w14:paraId="41ABC177" w14:textId="77777777" w:rsidTr="00A60395">
        <w:trPr>
          <w:trHeight w:val="259"/>
          <w:jc w:val="center"/>
        </w:trPr>
        <w:tc>
          <w:tcPr>
            <w:tcW w:w="6565" w:type="dxa"/>
            <w:tcBorders>
              <w:top w:val="single" w:sz="2" w:space="0" w:color="auto"/>
            </w:tcBorders>
            <w:shd w:val="clear" w:color="auto" w:fill="auto"/>
            <w:noWrap/>
            <w:vAlign w:val="bottom"/>
            <w:hideMark/>
          </w:tcPr>
          <w:p w14:paraId="7CFAE735"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Staff resources</w:t>
            </w:r>
          </w:p>
        </w:tc>
        <w:tc>
          <w:tcPr>
            <w:tcW w:w="2880" w:type="dxa"/>
            <w:tcBorders>
              <w:top w:val="single" w:sz="2" w:space="0" w:color="auto"/>
            </w:tcBorders>
            <w:shd w:val="clear" w:color="auto" w:fill="auto"/>
            <w:noWrap/>
            <w:vAlign w:val="bottom"/>
            <w:hideMark/>
          </w:tcPr>
          <w:p w14:paraId="4084CCA6" w14:textId="77777777" w:rsidR="00FC752D" w:rsidRPr="00BC4AFE" w:rsidRDefault="00FC752D" w:rsidP="00E01BB0">
            <w:pPr>
              <w:rPr>
                <w:b/>
                <w:bCs/>
                <w:color w:val="000000"/>
                <w:sz w:val="20"/>
                <w:szCs w:val="20"/>
                <w:lang w:val="en-CA" w:eastAsia="en-CA"/>
              </w:rPr>
            </w:pPr>
          </w:p>
        </w:tc>
      </w:tr>
      <w:tr w:rsidR="00FC752D" w:rsidRPr="00BC4AFE" w14:paraId="0C0DDA70" w14:textId="77777777" w:rsidTr="00A60395">
        <w:trPr>
          <w:trHeight w:val="259"/>
          <w:jc w:val="center"/>
        </w:trPr>
        <w:tc>
          <w:tcPr>
            <w:tcW w:w="6565" w:type="dxa"/>
            <w:shd w:val="clear" w:color="auto" w:fill="auto"/>
            <w:vAlign w:val="bottom"/>
            <w:hideMark/>
          </w:tcPr>
          <w:p w14:paraId="7529BECE"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Programme Officer (P-3)</w:t>
            </w:r>
          </w:p>
        </w:tc>
        <w:tc>
          <w:tcPr>
            <w:tcW w:w="2880" w:type="dxa"/>
            <w:shd w:val="clear" w:color="auto" w:fill="auto"/>
            <w:noWrap/>
            <w:vAlign w:val="bottom"/>
            <w:hideMark/>
          </w:tcPr>
          <w:p w14:paraId="5D89D71A"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BC4AFE" w14:paraId="41BF276F" w14:textId="77777777" w:rsidTr="00A60395">
        <w:trPr>
          <w:trHeight w:val="259"/>
          <w:jc w:val="center"/>
        </w:trPr>
        <w:tc>
          <w:tcPr>
            <w:tcW w:w="6565" w:type="dxa"/>
            <w:tcBorders>
              <w:bottom w:val="single" w:sz="2" w:space="0" w:color="auto"/>
            </w:tcBorders>
            <w:shd w:val="clear" w:color="auto" w:fill="auto"/>
            <w:vAlign w:val="bottom"/>
            <w:hideMark/>
          </w:tcPr>
          <w:p w14:paraId="0A81B3F0"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Programme Officer - ABS Capacity-Building (P-3)</w:t>
            </w:r>
          </w:p>
        </w:tc>
        <w:tc>
          <w:tcPr>
            <w:tcW w:w="2880" w:type="dxa"/>
            <w:tcBorders>
              <w:bottom w:val="single" w:sz="2" w:space="0" w:color="auto"/>
            </w:tcBorders>
            <w:shd w:val="clear" w:color="auto" w:fill="auto"/>
            <w:noWrap/>
            <w:vAlign w:val="bottom"/>
            <w:hideMark/>
          </w:tcPr>
          <w:p w14:paraId="2CE0A8F9"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252,000</w:t>
            </w:r>
          </w:p>
        </w:tc>
      </w:tr>
      <w:tr w:rsidR="00FC752D" w:rsidRPr="00BC4AFE" w14:paraId="249F29AF" w14:textId="77777777" w:rsidTr="00A60395">
        <w:trPr>
          <w:trHeight w:val="259"/>
          <w:jc w:val="center"/>
        </w:trPr>
        <w:tc>
          <w:tcPr>
            <w:tcW w:w="6565" w:type="dxa"/>
            <w:tcBorders>
              <w:top w:val="single" w:sz="2" w:space="0" w:color="auto"/>
              <w:bottom w:val="single" w:sz="2" w:space="0" w:color="auto"/>
            </w:tcBorders>
            <w:shd w:val="clear" w:color="auto" w:fill="auto"/>
            <w:noWrap/>
            <w:vAlign w:val="center"/>
            <w:hideMark/>
          </w:tcPr>
          <w:p w14:paraId="5D589208"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2" w:space="0" w:color="auto"/>
              <w:bottom w:val="single" w:sz="2" w:space="0" w:color="auto"/>
            </w:tcBorders>
            <w:shd w:val="clear" w:color="auto" w:fill="auto"/>
            <w:noWrap/>
            <w:vAlign w:val="bottom"/>
            <w:hideMark/>
          </w:tcPr>
          <w:p w14:paraId="29E72C67"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504,000</w:t>
            </w:r>
          </w:p>
        </w:tc>
      </w:tr>
      <w:tr w:rsidR="00FC752D" w:rsidRPr="00BC4AFE" w14:paraId="6B17DB45" w14:textId="77777777" w:rsidTr="00A60395">
        <w:trPr>
          <w:trHeight w:val="259"/>
          <w:jc w:val="center"/>
        </w:trPr>
        <w:tc>
          <w:tcPr>
            <w:tcW w:w="6565" w:type="dxa"/>
            <w:tcBorders>
              <w:top w:val="single" w:sz="4" w:space="0" w:color="auto"/>
            </w:tcBorders>
            <w:shd w:val="clear" w:color="auto" w:fill="auto"/>
            <w:noWrap/>
            <w:vAlign w:val="bottom"/>
            <w:hideMark/>
          </w:tcPr>
          <w:p w14:paraId="090EF63E"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Workshops</w:t>
            </w:r>
          </w:p>
        </w:tc>
        <w:tc>
          <w:tcPr>
            <w:tcW w:w="2880" w:type="dxa"/>
            <w:tcBorders>
              <w:top w:val="single" w:sz="4" w:space="0" w:color="auto"/>
            </w:tcBorders>
            <w:shd w:val="clear" w:color="auto" w:fill="auto"/>
            <w:noWrap/>
            <w:vAlign w:val="bottom"/>
            <w:hideMark/>
          </w:tcPr>
          <w:p w14:paraId="1E096FEF" w14:textId="77777777" w:rsidR="00FC752D" w:rsidRPr="00BC4AFE" w:rsidRDefault="00FC752D" w:rsidP="00E01BB0">
            <w:pPr>
              <w:rPr>
                <w:b/>
                <w:bCs/>
                <w:color w:val="000000"/>
                <w:sz w:val="20"/>
                <w:szCs w:val="20"/>
                <w:lang w:val="en-CA" w:eastAsia="en-CA"/>
              </w:rPr>
            </w:pPr>
          </w:p>
        </w:tc>
      </w:tr>
      <w:tr w:rsidR="00FC752D" w:rsidRPr="00BC4AFE" w14:paraId="4D1F12B9" w14:textId="77777777" w:rsidTr="00A60395">
        <w:trPr>
          <w:trHeight w:val="259"/>
          <w:jc w:val="center"/>
        </w:trPr>
        <w:tc>
          <w:tcPr>
            <w:tcW w:w="6565" w:type="dxa"/>
            <w:tcBorders>
              <w:bottom w:val="single" w:sz="2" w:space="0" w:color="auto"/>
            </w:tcBorders>
            <w:shd w:val="clear" w:color="auto" w:fill="auto"/>
            <w:noWrap/>
            <w:vAlign w:val="bottom"/>
            <w:hideMark/>
          </w:tcPr>
          <w:p w14:paraId="0D43CFCB"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ABS Clearing-House and information-sharing</w:t>
            </w:r>
          </w:p>
        </w:tc>
        <w:tc>
          <w:tcPr>
            <w:tcW w:w="2880" w:type="dxa"/>
            <w:tcBorders>
              <w:bottom w:val="single" w:sz="2" w:space="0" w:color="auto"/>
            </w:tcBorders>
            <w:shd w:val="clear" w:color="auto" w:fill="auto"/>
            <w:noWrap/>
            <w:vAlign w:val="bottom"/>
            <w:hideMark/>
          </w:tcPr>
          <w:p w14:paraId="7D875D9C"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250,000</w:t>
            </w:r>
          </w:p>
        </w:tc>
      </w:tr>
      <w:tr w:rsidR="00FC752D" w:rsidRPr="00BC4AFE" w14:paraId="1590121B" w14:textId="77777777" w:rsidTr="00A60395">
        <w:trPr>
          <w:trHeight w:val="259"/>
          <w:jc w:val="center"/>
        </w:trPr>
        <w:tc>
          <w:tcPr>
            <w:tcW w:w="6565" w:type="dxa"/>
            <w:tcBorders>
              <w:top w:val="single" w:sz="2" w:space="0" w:color="auto"/>
              <w:bottom w:val="single" w:sz="2" w:space="0" w:color="auto"/>
            </w:tcBorders>
            <w:shd w:val="clear" w:color="auto" w:fill="auto"/>
            <w:noWrap/>
            <w:vAlign w:val="bottom"/>
            <w:hideMark/>
          </w:tcPr>
          <w:p w14:paraId="3C1E1029"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2" w:space="0" w:color="auto"/>
              <w:bottom w:val="single" w:sz="2" w:space="0" w:color="auto"/>
            </w:tcBorders>
            <w:shd w:val="clear" w:color="auto" w:fill="auto"/>
            <w:noWrap/>
            <w:vAlign w:val="bottom"/>
            <w:hideMark/>
          </w:tcPr>
          <w:p w14:paraId="685EBD46"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250,000</w:t>
            </w:r>
          </w:p>
        </w:tc>
      </w:tr>
      <w:tr w:rsidR="00FC752D" w:rsidRPr="00BC4AFE" w14:paraId="4804B535" w14:textId="77777777" w:rsidTr="00A60395">
        <w:trPr>
          <w:trHeight w:val="259"/>
          <w:jc w:val="center"/>
        </w:trPr>
        <w:tc>
          <w:tcPr>
            <w:tcW w:w="6565" w:type="dxa"/>
            <w:tcBorders>
              <w:top w:val="single" w:sz="4" w:space="0" w:color="auto"/>
            </w:tcBorders>
            <w:shd w:val="clear" w:color="auto" w:fill="auto"/>
            <w:noWrap/>
            <w:vAlign w:val="bottom"/>
            <w:hideMark/>
          </w:tcPr>
          <w:p w14:paraId="531349F5"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Other costs</w:t>
            </w:r>
          </w:p>
        </w:tc>
        <w:tc>
          <w:tcPr>
            <w:tcW w:w="2880" w:type="dxa"/>
            <w:tcBorders>
              <w:top w:val="single" w:sz="4" w:space="0" w:color="auto"/>
            </w:tcBorders>
            <w:shd w:val="clear" w:color="auto" w:fill="auto"/>
            <w:noWrap/>
            <w:vAlign w:val="bottom"/>
            <w:hideMark/>
          </w:tcPr>
          <w:p w14:paraId="26092608" w14:textId="77777777" w:rsidR="00FC752D" w:rsidRPr="00BC4AFE" w:rsidRDefault="00FC752D" w:rsidP="00E01BB0">
            <w:pPr>
              <w:rPr>
                <w:b/>
                <w:bCs/>
                <w:color w:val="000000"/>
                <w:sz w:val="20"/>
                <w:szCs w:val="20"/>
                <w:lang w:val="en-CA" w:eastAsia="en-CA"/>
              </w:rPr>
            </w:pPr>
          </w:p>
        </w:tc>
      </w:tr>
      <w:tr w:rsidR="00FC752D" w:rsidRPr="00BC4AFE" w14:paraId="543EC3BE" w14:textId="77777777" w:rsidTr="00A60395">
        <w:trPr>
          <w:trHeight w:val="259"/>
          <w:jc w:val="center"/>
        </w:trPr>
        <w:tc>
          <w:tcPr>
            <w:tcW w:w="6565" w:type="dxa"/>
            <w:shd w:val="clear" w:color="auto" w:fill="auto"/>
            <w:noWrap/>
            <w:vAlign w:val="bottom"/>
            <w:hideMark/>
          </w:tcPr>
          <w:p w14:paraId="77A883D9"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Capacity-building, capacity development and awareness-raising</w:t>
            </w:r>
          </w:p>
        </w:tc>
        <w:tc>
          <w:tcPr>
            <w:tcW w:w="2880" w:type="dxa"/>
            <w:shd w:val="clear" w:color="auto" w:fill="auto"/>
            <w:noWrap/>
            <w:vAlign w:val="bottom"/>
            <w:hideMark/>
          </w:tcPr>
          <w:p w14:paraId="16D7149F"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10,000</w:t>
            </w:r>
          </w:p>
        </w:tc>
      </w:tr>
      <w:tr w:rsidR="00FC752D" w:rsidRPr="00BC4AFE" w14:paraId="1FA68784" w14:textId="77777777" w:rsidTr="00A60395">
        <w:trPr>
          <w:trHeight w:val="259"/>
          <w:jc w:val="center"/>
        </w:trPr>
        <w:tc>
          <w:tcPr>
            <w:tcW w:w="6565" w:type="dxa"/>
            <w:tcBorders>
              <w:bottom w:val="single" w:sz="2" w:space="0" w:color="auto"/>
            </w:tcBorders>
            <w:shd w:val="clear" w:color="auto" w:fill="auto"/>
            <w:noWrap/>
            <w:vAlign w:val="bottom"/>
            <w:hideMark/>
          </w:tcPr>
          <w:p w14:paraId="06E841C5"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ABS Clearing-House and information-sharing</w:t>
            </w:r>
          </w:p>
        </w:tc>
        <w:tc>
          <w:tcPr>
            <w:tcW w:w="2880" w:type="dxa"/>
            <w:tcBorders>
              <w:bottom w:val="single" w:sz="2" w:space="0" w:color="auto"/>
            </w:tcBorders>
            <w:shd w:val="clear" w:color="auto" w:fill="auto"/>
            <w:noWrap/>
            <w:vAlign w:val="bottom"/>
            <w:hideMark/>
          </w:tcPr>
          <w:p w14:paraId="172FCBB4"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6,000</w:t>
            </w:r>
          </w:p>
        </w:tc>
      </w:tr>
      <w:tr w:rsidR="00FC752D" w:rsidRPr="00BC4AFE" w14:paraId="09AC61C3" w14:textId="77777777" w:rsidTr="00A60395">
        <w:trPr>
          <w:trHeight w:val="259"/>
          <w:jc w:val="center"/>
        </w:trPr>
        <w:tc>
          <w:tcPr>
            <w:tcW w:w="6565" w:type="dxa"/>
            <w:tcBorders>
              <w:top w:val="single" w:sz="2" w:space="0" w:color="auto"/>
              <w:bottom w:val="single" w:sz="2" w:space="0" w:color="auto"/>
            </w:tcBorders>
            <w:shd w:val="clear" w:color="auto" w:fill="auto"/>
            <w:noWrap/>
            <w:vAlign w:val="bottom"/>
            <w:hideMark/>
          </w:tcPr>
          <w:p w14:paraId="52A9A599" w14:textId="77777777" w:rsidR="00FC752D" w:rsidRPr="00BC4AFE" w:rsidRDefault="00FC752D" w:rsidP="00E01BB0">
            <w:pPr>
              <w:rPr>
                <w:color w:val="000000"/>
                <w:sz w:val="20"/>
                <w:szCs w:val="20"/>
                <w:lang w:val="en-CA" w:eastAsia="en-CA"/>
              </w:rPr>
            </w:pPr>
            <w:r w:rsidRPr="00BC4AFE">
              <w:rPr>
                <w:color w:val="000000"/>
                <w:sz w:val="20"/>
                <w:szCs w:val="20"/>
                <w:lang w:val="en-CA" w:eastAsia="en-CA"/>
              </w:rPr>
              <w:t>Subtotal</w:t>
            </w:r>
          </w:p>
        </w:tc>
        <w:tc>
          <w:tcPr>
            <w:tcW w:w="2880" w:type="dxa"/>
            <w:tcBorders>
              <w:top w:val="single" w:sz="2" w:space="0" w:color="auto"/>
              <w:bottom w:val="single" w:sz="2" w:space="0" w:color="auto"/>
            </w:tcBorders>
            <w:shd w:val="clear" w:color="auto" w:fill="auto"/>
            <w:noWrap/>
            <w:vAlign w:val="bottom"/>
            <w:hideMark/>
          </w:tcPr>
          <w:p w14:paraId="5142C5D5"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16,000</w:t>
            </w:r>
          </w:p>
        </w:tc>
      </w:tr>
      <w:tr w:rsidR="00FC752D" w:rsidRPr="00BC4AFE" w14:paraId="55F6E9EB" w14:textId="77777777" w:rsidTr="00A60395">
        <w:trPr>
          <w:trHeight w:val="259"/>
          <w:jc w:val="center"/>
        </w:trPr>
        <w:tc>
          <w:tcPr>
            <w:tcW w:w="6565" w:type="dxa"/>
            <w:tcBorders>
              <w:top w:val="single" w:sz="2" w:space="0" w:color="auto"/>
              <w:bottom w:val="single" w:sz="2" w:space="0" w:color="auto"/>
            </w:tcBorders>
            <w:shd w:val="clear" w:color="auto" w:fill="auto"/>
            <w:noWrap/>
            <w:vAlign w:val="bottom"/>
          </w:tcPr>
          <w:p w14:paraId="352F201A" w14:textId="77777777" w:rsidR="00FC752D" w:rsidRPr="00BC4AFE" w:rsidRDefault="00FC752D" w:rsidP="00E01BB0">
            <w:pPr>
              <w:rPr>
                <w:color w:val="000000"/>
                <w:sz w:val="20"/>
                <w:szCs w:val="20"/>
                <w:lang w:val="en-CA" w:eastAsia="en-CA"/>
              </w:rPr>
            </w:pPr>
          </w:p>
        </w:tc>
        <w:tc>
          <w:tcPr>
            <w:tcW w:w="2880" w:type="dxa"/>
            <w:tcBorders>
              <w:top w:val="single" w:sz="2" w:space="0" w:color="auto"/>
              <w:bottom w:val="single" w:sz="2" w:space="0" w:color="auto"/>
            </w:tcBorders>
            <w:shd w:val="clear" w:color="auto" w:fill="auto"/>
            <w:noWrap/>
            <w:vAlign w:val="bottom"/>
          </w:tcPr>
          <w:p w14:paraId="6BEF4A01" w14:textId="77777777" w:rsidR="00FC752D" w:rsidRPr="00BC4AFE" w:rsidRDefault="00FC752D" w:rsidP="00E01BB0">
            <w:pPr>
              <w:jc w:val="right"/>
              <w:rPr>
                <w:color w:val="000000"/>
                <w:sz w:val="20"/>
                <w:szCs w:val="20"/>
                <w:lang w:val="en-CA" w:eastAsia="en-CA"/>
              </w:rPr>
            </w:pPr>
          </w:p>
        </w:tc>
      </w:tr>
      <w:tr w:rsidR="00FC752D" w:rsidRPr="00BC4AFE" w14:paraId="75D55F6E" w14:textId="77777777" w:rsidTr="00A60395">
        <w:trPr>
          <w:trHeight w:val="259"/>
          <w:jc w:val="center"/>
        </w:trPr>
        <w:tc>
          <w:tcPr>
            <w:tcW w:w="6565" w:type="dxa"/>
            <w:tcBorders>
              <w:top w:val="single" w:sz="12" w:space="0" w:color="auto"/>
              <w:bottom w:val="single" w:sz="2" w:space="0" w:color="auto"/>
            </w:tcBorders>
            <w:shd w:val="clear" w:color="auto" w:fill="auto"/>
            <w:noWrap/>
            <w:vAlign w:val="bottom"/>
            <w:hideMark/>
          </w:tcPr>
          <w:p w14:paraId="7C78C963" w14:textId="77777777" w:rsidR="00FC752D" w:rsidRPr="00BC4AFE" w:rsidRDefault="00FC752D" w:rsidP="00E01BB0">
            <w:pPr>
              <w:keepNext/>
              <w:rPr>
                <w:b/>
                <w:bCs/>
                <w:color w:val="000000"/>
                <w:sz w:val="20"/>
                <w:szCs w:val="20"/>
                <w:lang w:val="en-CA" w:eastAsia="en-CA"/>
              </w:rPr>
            </w:pPr>
            <w:r w:rsidRPr="00BC4AFE">
              <w:rPr>
                <w:b/>
                <w:bCs/>
                <w:color w:val="000000"/>
                <w:sz w:val="20"/>
                <w:szCs w:val="20"/>
                <w:lang w:val="en-CA" w:eastAsia="en-CA"/>
              </w:rPr>
              <w:t xml:space="preserve">Subtotal I (Nagoya Protocol)  </w:t>
            </w:r>
          </w:p>
        </w:tc>
        <w:tc>
          <w:tcPr>
            <w:tcW w:w="2880" w:type="dxa"/>
            <w:tcBorders>
              <w:top w:val="single" w:sz="12" w:space="0" w:color="auto"/>
              <w:bottom w:val="single" w:sz="2" w:space="0" w:color="auto"/>
            </w:tcBorders>
            <w:shd w:val="clear" w:color="auto" w:fill="auto"/>
            <w:noWrap/>
            <w:vAlign w:val="bottom"/>
            <w:hideMark/>
          </w:tcPr>
          <w:p w14:paraId="40D2E62F" w14:textId="77777777" w:rsidR="00FC752D" w:rsidRPr="00BC4AFE" w:rsidRDefault="00FC752D" w:rsidP="00E01BB0">
            <w:pPr>
              <w:jc w:val="right"/>
              <w:rPr>
                <w:b/>
                <w:bCs/>
                <w:color w:val="000000"/>
                <w:sz w:val="20"/>
                <w:szCs w:val="20"/>
                <w:lang w:val="en-CA" w:eastAsia="en-CA"/>
              </w:rPr>
            </w:pPr>
            <w:r w:rsidRPr="00BC4AFE">
              <w:rPr>
                <w:b/>
                <w:bCs/>
                <w:color w:val="000000"/>
                <w:sz w:val="20"/>
                <w:szCs w:val="20"/>
                <w:lang w:val="en-CA" w:eastAsia="en-CA"/>
              </w:rPr>
              <w:t>1,030,000</w:t>
            </w:r>
          </w:p>
        </w:tc>
      </w:tr>
      <w:tr w:rsidR="00FC752D" w:rsidRPr="00BC4AFE" w14:paraId="3A819531" w14:textId="77777777" w:rsidTr="00A60395">
        <w:trPr>
          <w:trHeight w:val="259"/>
          <w:jc w:val="center"/>
        </w:trPr>
        <w:tc>
          <w:tcPr>
            <w:tcW w:w="6565" w:type="dxa"/>
            <w:tcBorders>
              <w:top w:val="single" w:sz="2" w:space="0" w:color="auto"/>
              <w:bottom w:val="single" w:sz="2" w:space="0" w:color="auto"/>
            </w:tcBorders>
            <w:shd w:val="clear" w:color="auto" w:fill="auto"/>
            <w:noWrap/>
            <w:vAlign w:val="bottom"/>
            <w:hideMark/>
          </w:tcPr>
          <w:p w14:paraId="15BAEE4F" w14:textId="77777777" w:rsidR="00FC752D" w:rsidRPr="00BC4AFE" w:rsidRDefault="00FC752D" w:rsidP="00E01BB0">
            <w:pPr>
              <w:keepNext/>
              <w:rPr>
                <w:color w:val="000000"/>
                <w:sz w:val="20"/>
                <w:szCs w:val="20"/>
                <w:lang w:val="en-CA" w:eastAsia="en-CA"/>
              </w:rPr>
            </w:pPr>
            <w:r w:rsidRPr="00BC4AFE">
              <w:rPr>
                <w:color w:val="000000"/>
                <w:sz w:val="20"/>
                <w:szCs w:val="20"/>
                <w:lang w:val="en-CA" w:eastAsia="en-CA"/>
              </w:rPr>
              <w:t>II. Programme support costs (13%)</w:t>
            </w:r>
          </w:p>
        </w:tc>
        <w:tc>
          <w:tcPr>
            <w:tcW w:w="2880" w:type="dxa"/>
            <w:tcBorders>
              <w:top w:val="single" w:sz="2" w:space="0" w:color="auto"/>
              <w:bottom w:val="single" w:sz="2" w:space="0" w:color="auto"/>
            </w:tcBorders>
            <w:shd w:val="clear" w:color="auto" w:fill="auto"/>
            <w:noWrap/>
            <w:vAlign w:val="bottom"/>
            <w:hideMark/>
          </w:tcPr>
          <w:p w14:paraId="3F54FD2E" w14:textId="77777777" w:rsidR="00FC752D" w:rsidRPr="00BC4AFE" w:rsidRDefault="00FC752D" w:rsidP="00E01BB0">
            <w:pPr>
              <w:jc w:val="right"/>
              <w:rPr>
                <w:color w:val="000000"/>
                <w:sz w:val="20"/>
                <w:szCs w:val="20"/>
                <w:lang w:val="en-CA" w:eastAsia="en-CA"/>
              </w:rPr>
            </w:pPr>
            <w:r w:rsidRPr="00BC4AFE">
              <w:rPr>
                <w:color w:val="000000"/>
                <w:sz w:val="20"/>
                <w:szCs w:val="20"/>
                <w:lang w:val="en-CA" w:eastAsia="en-CA"/>
              </w:rPr>
              <w:t>133,900</w:t>
            </w:r>
          </w:p>
        </w:tc>
      </w:tr>
      <w:tr w:rsidR="00FC752D" w:rsidRPr="00BC4AFE" w14:paraId="52C9E7AD" w14:textId="77777777" w:rsidTr="00A60395">
        <w:trPr>
          <w:trHeight w:val="259"/>
          <w:jc w:val="center"/>
        </w:trPr>
        <w:tc>
          <w:tcPr>
            <w:tcW w:w="6565" w:type="dxa"/>
            <w:tcBorders>
              <w:top w:val="single" w:sz="2" w:space="0" w:color="auto"/>
              <w:bottom w:val="single" w:sz="12" w:space="0" w:color="auto"/>
            </w:tcBorders>
            <w:shd w:val="clear" w:color="auto" w:fill="auto"/>
            <w:noWrap/>
            <w:vAlign w:val="bottom"/>
            <w:hideMark/>
          </w:tcPr>
          <w:p w14:paraId="18455D95" w14:textId="77777777" w:rsidR="00FC752D" w:rsidRPr="00BC4AFE" w:rsidRDefault="00FC752D" w:rsidP="00E01BB0">
            <w:pPr>
              <w:keepNext/>
              <w:rPr>
                <w:b/>
                <w:bCs/>
                <w:color w:val="000000"/>
                <w:sz w:val="20"/>
                <w:szCs w:val="20"/>
                <w:lang w:val="pt-PT" w:eastAsia="en-CA"/>
              </w:rPr>
            </w:pPr>
            <w:r w:rsidRPr="00BC4AFE">
              <w:rPr>
                <w:b/>
                <w:bCs/>
                <w:color w:val="000000"/>
                <w:sz w:val="20"/>
                <w:szCs w:val="20"/>
                <w:lang w:val="pt-PT" w:eastAsia="en-CA"/>
              </w:rPr>
              <w:t>TOTAL COST (I + II) (Nagoya Protocol)</w:t>
            </w:r>
          </w:p>
        </w:tc>
        <w:tc>
          <w:tcPr>
            <w:tcW w:w="2880" w:type="dxa"/>
            <w:tcBorders>
              <w:top w:val="single" w:sz="2" w:space="0" w:color="auto"/>
              <w:bottom w:val="single" w:sz="12" w:space="0" w:color="auto"/>
            </w:tcBorders>
            <w:shd w:val="clear" w:color="auto" w:fill="auto"/>
            <w:noWrap/>
            <w:vAlign w:val="bottom"/>
            <w:hideMark/>
          </w:tcPr>
          <w:p w14:paraId="3823DC5F" w14:textId="77777777" w:rsidR="00FC752D" w:rsidRPr="00BC4AFE" w:rsidRDefault="00FC752D" w:rsidP="00E01BB0">
            <w:pPr>
              <w:jc w:val="right"/>
              <w:rPr>
                <w:b/>
                <w:bCs/>
                <w:color w:val="000000"/>
                <w:sz w:val="20"/>
                <w:szCs w:val="20"/>
                <w:lang w:val="en-CA" w:eastAsia="en-CA"/>
              </w:rPr>
            </w:pPr>
            <w:r w:rsidRPr="00BC4AFE">
              <w:rPr>
                <w:b/>
                <w:bCs/>
                <w:color w:val="000000"/>
                <w:sz w:val="20"/>
                <w:szCs w:val="20"/>
                <w:lang w:val="en-CA" w:eastAsia="en-CA"/>
              </w:rPr>
              <w:t>1,163,900</w:t>
            </w:r>
          </w:p>
        </w:tc>
      </w:tr>
      <w:tr w:rsidR="00FC752D" w:rsidRPr="00BC4AFE" w14:paraId="58040F2C" w14:textId="77777777" w:rsidTr="00A60395">
        <w:trPr>
          <w:trHeight w:val="259"/>
          <w:jc w:val="center"/>
        </w:trPr>
        <w:tc>
          <w:tcPr>
            <w:tcW w:w="6565" w:type="dxa"/>
            <w:tcBorders>
              <w:top w:val="single" w:sz="12" w:space="0" w:color="auto"/>
            </w:tcBorders>
            <w:shd w:val="clear" w:color="auto" w:fill="auto"/>
            <w:noWrap/>
            <w:vAlign w:val="bottom"/>
            <w:hideMark/>
          </w:tcPr>
          <w:p w14:paraId="26C9B669" w14:textId="77777777" w:rsidR="00FC752D" w:rsidRPr="00BC4AFE" w:rsidRDefault="00FC752D" w:rsidP="00E01BB0">
            <w:pPr>
              <w:jc w:val="right"/>
              <w:rPr>
                <w:sz w:val="20"/>
                <w:szCs w:val="20"/>
                <w:lang w:val="en-CA" w:eastAsia="en-CA"/>
              </w:rPr>
            </w:pPr>
          </w:p>
        </w:tc>
        <w:tc>
          <w:tcPr>
            <w:tcW w:w="2880" w:type="dxa"/>
            <w:tcBorders>
              <w:top w:val="single" w:sz="12" w:space="0" w:color="auto"/>
            </w:tcBorders>
            <w:shd w:val="clear" w:color="auto" w:fill="auto"/>
            <w:noWrap/>
            <w:vAlign w:val="bottom"/>
            <w:hideMark/>
          </w:tcPr>
          <w:p w14:paraId="23679677" w14:textId="77777777" w:rsidR="00FC752D" w:rsidRPr="00BC4AFE" w:rsidRDefault="00FC752D" w:rsidP="00E01BB0">
            <w:pPr>
              <w:rPr>
                <w:sz w:val="20"/>
                <w:szCs w:val="20"/>
                <w:lang w:val="en-CA" w:eastAsia="en-CA"/>
              </w:rPr>
            </w:pPr>
          </w:p>
        </w:tc>
      </w:tr>
      <w:tr w:rsidR="00FC752D" w:rsidRPr="00BC4AFE" w14:paraId="2B5D2C0D" w14:textId="77777777" w:rsidTr="00A60395">
        <w:trPr>
          <w:trHeight w:val="259"/>
          <w:jc w:val="center"/>
        </w:trPr>
        <w:tc>
          <w:tcPr>
            <w:tcW w:w="6565" w:type="dxa"/>
            <w:shd w:val="clear" w:color="auto" w:fill="auto"/>
            <w:noWrap/>
            <w:vAlign w:val="bottom"/>
          </w:tcPr>
          <w:p w14:paraId="2EC6F0D0" w14:textId="77777777" w:rsidR="00FC752D" w:rsidRPr="00BC4AFE" w:rsidRDefault="00FC752D" w:rsidP="00E01BB0">
            <w:pPr>
              <w:jc w:val="right"/>
              <w:rPr>
                <w:sz w:val="20"/>
                <w:szCs w:val="20"/>
                <w:lang w:val="en-CA" w:eastAsia="en-CA"/>
              </w:rPr>
            </w:pPr>
          </w:p>
        </w:tc>
        <w:tc>
          <w:tcPr>
            <w:tcW w:w="2880" w:type="dxa"/>
            <w:shd w:val="clear" w:color="auto" w:fill="auto"/>
            <w:noWrap/>
            <w:vAlign w:val="bottom"/>
          </w:tcPr>
          <w:p w14:paraId="21112FA2" w14:textId="77777777" w:rsidR="00FC752D" w:rsidRPr="00BC4AFE" w:rsidRDefault="00FC752D" w:rsidP="00E01BB0">
            <w:pPr>
              <w:rPr>
                <w:sz w:val="20"/>
                <w:szCs w:val="20"/>
                <w:lang w:val="en-CA" w:eastAsia="en-CA"/>
              </w:rPr>
            </w:pPr>
          </w:p>
        </w:tc>
      </w:tr>
      <w:tr w:rsidR="00FC752D" w:rsidRPr="00BC4AFE" w14:paraId="15DC9161" w14:textId="77777777" w:rsidTr="00A60395">
        <w:trPr>
          <w:trHeight w:val="259"/>
          <w:jc w:val="center"/>
        </w:trPr>
        <w:tc>
          <w:tcPr>
            <w:tcW w:w="6565" w:type="dxa"/>
            <w:tcBorders>
              <w:bottom w:val="single" w:sz="2" w:space="0" w:color="auto"/>
            </w:tcBorders>
            <w:shd w:val="clear" w:color="auto" w:fill="auto"/>
            <w:noWrap/>
            <w:vAlign w:val="bottom"/>
          </w:tcPr>
          <w:p w14:paraId="306FAC2A" w14:textId="77777777" w:rsidR="00FC752D" w:rsidRPr="00BC4AFE" w:rsidRDefault="00FC752D" w:rsidP="00E01BB0">
            <w:pPr>
              <w:jc w:val="right"/>
              <w:rPr>
                <w:sz w:val="20"/>
                <w:szCs w:val="20"/>
                <w:lang w:val="en-CA" w:eastAsia="en-CA"/>
              </w:rPr>
            </w:pPr>
          </w:p>
        </w:tc>
        <w:tc>
          <w:tcPr>
            <w:tcW w:w="2880" w:type="dxa"/>
            <w:tcBorders>
              <w:bottom w:val="single" w:sz="2" w:space="0" w:color="auto"/>
            </w:tcBorders>
            <w:shd w:val="clear" w:color="auto" w:fill="auto"/>
            <w:noWrap/>
            <w:vAlign w:val="bottom"/>
          </w:tcPr>
          <w:p w14:paraId="472C9F00" w14:textId="77777777" w:rsidR="00FC752D" w:rsidRPr="00BC4AFE" w:rsidRDefault="00FC752D" w:rsidP="00E01BB0">
            <w:pPr>
              <w:rPr>
                <w:sz w:val="20"/>
                <w:szCs w:val="20"/>
                <w:lang w:val="en-CA" w:eastAsia="en-CA"/>
              </w:rPr>
            </w:pPr>
          </w:p>
        </w:tc>
      </w:tr>
      <w:tr w:rsidR="00FC752D" w:rsidRPr="00A45FCF" w14:paraId="7E9D54C6" w14:textId="77777777" w:rsidTr="00A60395">
        <w:trPr>
          <w:trHeight w:val="259"/>
          <w:jc w:val="center"/>
        </w:trPr>
        <w:tc>
          <w:tcPr>
            <w:tcW w:w="6565" w:type="dxa"/>
            <w:tcBorders>
              <w:top w:val="single" w:sz="2" w:space="0" w:color="auto"/>
              <w:bottom w:val="single" w:sz="2" w:space="0" w:color="auto"/>
            </w:tcBorders>
            <w:shd w:val="clear" w:color="auto" w:fill="auto"/>
            <w:noWrap/>
            <w:vAlign w:val="bottom"/>
          </w:tcPr>
          <w:p w14:paraId="49C1E990" w14:textId="77777777" w:rsidR="00FC752D" w:rsidRPr="00BC4AFE" w:rsidRDefault="00FC752D" w:rsidP="00E01BB0">
            <w:pPr>
              <w:keepNext/>
              <w:rPr>
                <w:sz w:val="20"/>
                <w:szCs w:val="20"/>
                <w:lang w:val="en-CA" w:eastAsia="en-CA"/>
              </w:rPr>
            </w:pPr>
            <w:r w:rsidRPr="00BC4AFE">
              <w:rPr>
                <w:color w:val="000000" w:themeColor="text1"/>
                <w:kern w:val="20"/>
                <w:sz w:val="20"/>
                <w:szCs w:val="20"/>
                <w:lang w:eastAsia="en-CA"/>
              </w:rPr>
              <w:t xml:space="preserve">Convention on Biological Diversity </w:t>
            </w:r>
          </w:p>
        </w:tc>
        <w:tc>
          <w:tcPr>
            <w:tcW w:w="2880" w:type="dxa"/>
            <w:tcBorders>
              <w:top w:val="single" w:sz="2" w:space="0" w:color="auto"/>
              <w:bottom w:val="single" w:sz="2" w:space="0" w:color="auto"/>
            </w:tcBorders>
            <w:shd w:val="clear" w:color="auto" w:fill="auto"/>
            <w:noWrap/>
            <w:vAlign w:val="bottom"/>
          </w:tcPr>
          <w:p w14:paraId="2F2A236A" w14:textId="77777777" w:rsidR="00FC752D" w:rsidRPr="00877BA9" w:rsidRDefault="00FC752D" w:rsidP="00E01BB0">
            <w:pPr>
              <w:keepNext/>
              <w:jc w:val="right"/>
              <w:rPr>
                <w:sz w:val="20"/>
                <w:szCs w:val="20"/>
                <w:lang w:val="en-CA" w:eastAsia="en-CA"/>
              </w:rPr>
            </w:pPr>
            <w:r w:rsidRPr="00877BA9">
              <w:rPr>
                <w:color w:val="000000"/>
                <w:sz w:val="20"/>
                <w:szCs w:val="20"/>
                <w:lang w:val="en-CA" w:eastAsia="en-CA"/>
              </w:rPr>
              <w:t>18,678,674</w:t>
            </w:r>
          </w:p>
        </w:tc>
      </w:tr>
      <w:tr w:rsidR="00FC752D" w:rsidRPr="00BC4AFE" w14:paraId="4E1EF16D" w14:textId="77777777" w:rsidTr="00A60395">
        <w:trPr>
          <w:trHeight w:val="259"/>
          <w:jc w:val="center"/>
        </w:trPr>
        <w:tc>
          <w:tcPr>
            <w:tcW w:w="6565" w:type="dxa"/>
            <w:tcBorders>
              <w:top w:val="single" w:sz="2" w:space="0" w:color="auto"/>
              <w:bottom w:val="single" w:sz="2" w:space="0" w:color="auto"/>
            </w:tcBorders>
            <w:shd w:val="clear" w:color="auto" w:fill="auto"/>
            <w:noWrap/>
            <w:vAlign w:val="bottom"/>
          </w:tcPr>
          <w:p w14:paraId="74CA23C4" w14:textId="77777777" w:rsidR="00FC752D" w:rsidRPr="00BC4AFE" w:rsidRDefault="00FC752D" w:rsidP="00E01BB0">
            <w:pPr>
              <w:keepNext/>
              <w:rPr>
                <w:sz w:val="20"/>
                <w:szCs w:val="20"/>
                <w:lang w:val="en-CA" w:eastAsia="en-CA"/>
              </w:rPr>
            </w:pPr>
            <w:r w:rsidRPr="00BC4AFE">
              <w:rPr>
                <w:color w:val="000000"/>
                <w:sz w:val="20"/>
                <w:szCs w:val="20"/>
                <w:lang w:val="en-CA" w:eastAsia="en-CA"/>
              </w:rPr>
              <w:t>Cartagena Protocol</w:t>
            </w:r>
            <w:r w:rsidRPr="00BC4AFE">
              <w:rPr>
                <w:color w:val="000000" w:themeColor="text1"/>
                <w:kern w:val="20"/>
                <w:sz w:val="20"/>
                <w:szCs w:val="20"/>
                <w:lang w:eastAsia="en-CA"/>
              </w:rPr>
              <w:t xml:space="preserve"> </w:t>
            </w:r>
          </w:p>
        </w:tc>
        <w:tc>
          <w:tcPr>
            <w:tcW w:w="2880" w:type="dxa"/>
            <w:tcBorders>
              <w:top w:val="single" w:sz="2" w:space="0" w:color="auto"/>
              <w:bottom w:val="single" w:sz="2" w:space="0" w:color="auto"/>
            </w:tcBorders>
            <w:shd w:val="clear" w:color="auto" w:fill="auto"/>
            <w:noWrap/>
            <w:vAlign w:val="bottom"/>
          </w:tcPr>
          <w:p w14:paraId="09CB0F84" w14:textId="77777777" w:rsidR="00FC752D" w:rsidRPr="0047773A" w:rsidRDefault="00FC752D" w:rsidP="00E01BB0">
            <w:pPr>
              <w:keepNext/>
              <w:jc w:val="right"/>
              <w:rPr>
                <w:sz w:val="20"/>
                <w:szCs w:val="20"/>
                <w:lang w:val="en-CA" w:eastAsia="en-CA"/>
              </w:rPr>
            </w:pPr>
            <w:r w:rsidRPr="0047773A">
              <w:rPr>
                <w:color w:val="000000"/>
                <w:sz w:val="20"/>
                <w:szCs w:val="20"/>
                <w:lang w:val="en-CA" w:eastAsia="en-CA"/>
              </w:rPr>
              <w:t>2,364,525</w:t>
            </w:r>
          </w:p>
        </w:tc>
      </w:tr>
      <w:tr w:rsidR="00FC752D" w:rsidRPr="00BC4AFE" w14:paraId="37A45BDC" w14:textId="77777777" w:rsidTr="00A60395">
        <w:trPr>
          <w:trHeight w:val="259"/>
          <w:jc w:val="center"/>
        </w:trPr>
        <w:tc>
          <w:tcPr>
            <w:tcW w:w="6565" w:type="dxa"/>
            <w:tcBorders>
              <w:top w:val="single" w:sz="2" w:space="0" w:color="auto"/>
              <w:bottom w:val="single" w:sz="12" w:space="0" w:color="auto"/>
            </w:tcBorders>
            <w:shd w:val="clear" w:color="auto" w:fill="auto"/>
            <w:noWrap/>
            <w:vAlign w:val="bottom"/>
          </w:tcPr>
          <w:p w14:paraId="1420BE76" w14:textId="77777777" w:rsidR="00FC752D" w:rsidRPr="00BC4AFE" w:rsidRDefault="00FC752D" w:rsidP="00E01BB0">
            <w:pPr>
              <w:keepNext/>
              <w:rPr>
                <w:sz w:val="20"/>
                <w:szCs w:val="20"/>
                <w:lang w:val="en-CA" w:eastAsia="en-CA"/>
              </w:rPr>
            </w:pPr>
            <w:r w:rsidRPr="00BC4AFE">
              <w:rPr>
                <w:color w:val="000000"/>
                <w:sz w:val="20"/>
                <w:szCs w:val="20"/>
                <w:lang w:val="en-CA" w:eastAsia="en-CA"/>
              </w:rPr>
              <w:t>Nagoya Protocol</w:t>
            </w:r>
            <w:r w:rsidRPr="00BC4AFE">
              <w:rPr>
                <w:color w:val="000000" w:themeColor="text1"/>
                <w:kern w:val="20"/>
                <w:sz w:val="20"/>
                <w:szCs w:val="20"/>
                <w:lang w:eastAsia="en-CA"/>
              </w:rPr>
              <w:t xml:space="preserve"> </w:t>
            </w:r>
          </w:p>
        </w:tc>
        <w:tc>
          <w:tcPr>
            <w:tcW w:w="2880" w:type="dxa"/>
            <w:tcBorders>
              <w:top w:val="single" w:sz="2" w:space="0" w:color="auto"/>
              <w:bottom w:val="single" w:sz="12" w:space="0" w:color="auto"/>
            </w:tcBorders>
            <w:shd w:val="clear" w:color="auto" w:fill="auto"/>
            <w:noWrap/>
            <w:vAlign w:val="bottom"/>
          </w:tcPr>
          <w:p w14:paraId="473782DE" w14:textId="77777777" w:rsidR="00FC752D" w:rsidRPr="0047773A" w:rsidRDefault="00FC752D" w:rsidP="00E01BB0">
            <w:pPr>
              <w:keepNext/>
              <w:jc w:val="right"/>
              <w:rPr>
                <w:sz w:val="20"/>
                <w:szCs w:val="20"/>
                <w:lang w:val="en-CA" w:eastAsia="en-CA"/>
              </w:rPr>
            </w:pPr>
            <w:r w:rsidRPr="0047773A">
              <w:rPr>
                <w:color w:val="000000"/>
                <w:sz w:val="20"/>
                <w:szCs w:val="20"/>
                <w:lang w:val="en-CA" w:eastAsia="en-CA"/>
              </w:rPr>
              <w:t>1,163,900</w:t>
            </w:r>
          </w:p>
        </w:tc>
      </w:tr>
      <w:tr w:rsidR="00FC752D" w:rsidRPr="00A45FCF" w14:paraId="30F5B72B" w14:textId="77777777" w:rsidTr="00A60395">
        <w:trPr>
          <w:trHeight w:val="259"/>
          <w:jc w:val="center"/>
        </w:trPr>
        <w:tc>
          <w:tcPr>
            <w:tcW w:w="6565" w:type="dxa"/>
            <w:tcBorders>
              <w:top w:val="single" w:sz="12" w:space="0" w:color="auto"/>
              <w:bottom w:val="single" w:sz="12" w:space="0" w:color="auto"/>
            </w:tcBorders>
            <w:shd w:val="clear" w:color="auto" w:fill="auto"/>
            <w:noWrap/>
            <w:vAlign w:val="bottom"/>
          </w:tcPr>
          <w:p w14:paraId="3764DF43" w14:textId="77777777" w:rsidR="00FC752D" w:rsidRPr="00BC4AFE" w:rsidRDefault="00FC752D" w:rsidP="00E01BB0">
            <w:pPr>
              <w:spacing w:before="60" w:after="60"/>
              <w:rPr>
                <w:sz w:val="20"/>
                <w:szCs w:val="20"/>
                <w:lang w:val="en-CA" w:eastAsia="en-CA"/>
              </w:rPr>
            </w:pPr>
            <w:r w:rsidRPr="00BC4AFE">
              <w:rPr>
                <w:b/>
                <w:bCs/>
                <w:color w:val="000000"/>
                <w:lang w:val="en-CA" w:eastAsia="en-CA"/>
              </w:rPr>
              <w:t>Grand total</w:t>
            </w:r>
            <w:r w:rsidRPr="00BC4AFE">
              <w:rPr>
                <w:color w:val="000000"/>
                <w:lang w:val="en-CA" w:eastAsia="en-CA"/>
              </w:rPr>
              <w:t xml:space="preserve"> </w:t>
            </w:r>
            <w:r w:rsidRPr="00BC4AFE">
              <w:rPr>
                <w:color w:val="000000"/>
                <w:sz w:val="20"/>
                <w:szCs w:val="20"/>
                <w:lang w:val="en-CA" w:eastAsia="en-CA"/>
              </w:rPr>
              <w:t>(including programme support costs)</w:t>
            </w:r>
          </w:p>
        </w:tc>
        <w:tc>
          <w:tcPr>
            <w:tcW w:w="2880" w:type="dxa"/>
            <w:tcBorders>
              <w:top w:val="single" w:sz="12" w:space="0" w:color="auto"/>
              <w:bottom w:val="single" w:sz="12" w:space="0" w:color="auto"/>
            </w:tcBorders>
            <w:shd w:val="clear" w:color="auto" w:fill="auto"/>
            <w:noWrap/>
            <w:vAlign w:val="bottom"/>
          </w:tcPr>
          <w:p w14:paraId="33D5ED19" w14:textId="77777777" w:rsidR="00FC752D" w:rsidRPr="00877BA9" w:rsidRDefault="00FC752D" w:rsidP="00E01BB0">
            <w:pPr>
              <w:spacing w:before="60" w:after="60"/>
              <w:jc w:val="right"/>
              <w:rPr>
                <w:sz w:val="20"/>
                <w:szCs w:val="20"/>
                <w:lang w:val="en-CA" w:eastAsia="en-CA"/>
              </w:rPr>
            </w:pPr>
            <w:r w:rsidRPr="00877BA9">
              <w:rPr>
                <w:b/>
                <w:bCs/>
                <w:color w:val="000000"/>
                <w:lang w:val="en-CA" w:eastAsia="en-CA"/>
              </w:rPr>
              <w:t>22,207,099</w:t>
            </w:r>
          </w:p>
        </w:tc>
      </w:tr>
    </w:tbl>
    <w:p w14:paraId="5D80B35A" w14:textId="77777777" w:rsidR="00FC752D" w:rsidRPr="00BC4AFE" w:rsidRDefault="00FC752D" w:rsidP="00EF0C04">
      <w:pPr>
        <w:pStyle w:val="NormalWeb"/>
        <w:spacing w:before="120" w:after="120" w:line="480" w:lineRule="auto"/>
        <w:rPr>
          <w:rFonts w:asciiTheme="majorBidi" w:hAnsiTheme="majorBidi" w:cstheme="majorBidi"/>
          <w:color w:val="000000"/>
          <w:sz w:val="22"/>
          <w:szCs w:val="22"/>
        </w:rPr>
      </w:pPr>
    </w:p>
    <w:p w14:paraId="5A5C0367" w14:textId="77777777" w:rsidR="00FC752D" w:rsidRPr="00BC4AFE" w:rsidRDefault="00FC752D" w:rsidP="00AA0E75">
      <w:pPr>
        <w:keepNext/>
        <w:spacing w:before="240" w:after="60"/>
        <w:ind w:left="806" w:hanging="806"/>
        <w:rPr>
          <w:b/>
          <w:bCs/>
        </w:rPr>
      </w:pPr>
      <w:r w:rsidRPr="00BC4AFE">
        <w:rPr>
          <w:b/>
          <w:bCs/>
        </w:rPr>
        <w:t>Table 4.</w:t>
      </w:r>
      <w:r w:rsidRPr="00BC4AFE">
        <w:rPr>
          <w:b/>
          <w:bCs/>
        </w:rPr>
        <w:tab/>
        <w:t xml:space="preserve">Resource requirements from the Special Trust Fund (BZ) for Voluntary Contributions to </w:t>
      </w:r>
      <w:r w:rsidRPr="00BC4AFE">
        <w:rPr>
          <w:b/>
          <w:color w:val="000000" w:themeColor="text1"/>
          <w:kern w:val="20"/>
        </w:rPr>
        <w:t xml:space="preserve">Facilitate the Participation of Parties in the </w:t>
      </w:r>
      <w:r w:rsidRPr="00BC4AFE">
        <w:rPr>
          <w:b/>
          <w:bCs/>
        </w:rPr>
        <w:t>Process of the Convention on Biological Diversity for the period 2023-2024</w:t>
      </w:r>
    </w:p>
    <w:tbl>
      <w:tblPr>
        <w:tblW w:w="8640" w:type="dxa"/>
        <w:jc w:val="center"/>
        <w:tblLook w:val="04A0" w:firstRow="1" w:lastRow="0" w:firstColumn="1" w:lastColumn="0" w:noHBand="0" w:noVBand="1"/>
      </w:tblPr>
      <w:tblGrid>
        <w:gridCol w:w="6843"/>
        <w:gridCol w:w="1797"/>
      </w:tblGrid>
      <w:tr w:rsidR="00FC752D" w:rsidRPr="00BC4AFE" w14:paraId="3BA9B31B" w14:textId="77777777" w:rsidTr="0034642E">
        <w:trPr>
          <w:trHeight w:val="288"/>
          <w:jc w:val="center"/>
        </w:trPr>
        <w:tc>
          <w:tcPr>
            <w:tcW w:w="6843" w:type="dxa"/>
            <w:vMerge w:val="restart"/>
            <w:tcBorders>
              <w:top w:val="single" w:sz="8" w:space="0" w:color="000000"/>
              <w:left w:val="nil"/>
              <w:bottom w:val="single" w:sz="8" w:space="0" w:color="000000"/>
              <w:right w:val="nil"/>
            </w:tcBorders>
            <w:shd w:val="clear" w:color="auto" w:fill="auto"/>
            <w:vAlign w:val="center"/>
            <w:hideMark/>
          </w:tcPr>
          <w:p w14:paraId="16FB6834" w14:textId="77777777" w:rsidR="00FC752D" w:rsidRPr="00BC4AFE" w:rsidRDefault="00FC752D" w:rsidP="007E0ADF">
            <w:pPr>
              <w:keepNext/>
              <w:keepLines/>
              <w:jc w:val="center"/>
              <w:rPr>
                <w:i/>
                <w:iCs/>
                <w:color w:val="000000" w:themeColor="text1"/>
                <w:kern w:val="20"/>
                <w:sz w:val="15"/>
                <w:szCs w:val="15"/>
              </w:rPr>
            </w:pPr>
            <w:r w:rsidRPr="00BC4AFE">
              <w:rPr>
                <w:i/>
                <w:iCs/>
                <w:color w:val="000000" w:themeColor="text1"/>
                <w:kern w:val="20"/>
                <w:sz w:val="15"/>
                <w:szCs w:val="15"/>
              </w:rPr>
              <w:t>Description of meetings</w:t>
            </w:r>
          </w:p>
        </w:tc>
        <w:tc>
          <w:tcPr>
            <w:tcW w:w="1797" w:type="dxa"/>
            <w:tcBorders>
              <w:top w:val="single" w:sz="8" w:space="0" w:color="000000"/>
              <w:left w:val="nil"/>
              <w:bottom w:val="nil"/>
              <w:right w:val="nil"/>
            </w:tcBorders>
            <w:shd w:val="clear" w:color="auto" w:fill="auto"/>
            <w:vAlign w:val="center"/>
            <w:hideMark/>
          </w:tcPr>
          <w:p w14:paraId="45D947F1" w14:textId="77777777" w:rsidR="00FC752D" w:rsidRPr="00BC4AFE" w:rsidRDefault="00FC752D" w:rsidP="007E0ADF">
            <w:pPr>
              <w:keepNext/>
              <w:keepLines/>
              <w:jc w:val="center"/>
              <w:rPr>
                <w:i/>
                <w:iCs/>
                <w:color w:val="000000" w:themeColor="text1"/>
                <w:kern w:val="20"/>
                <w:sz w:val="15"/>
                <w:szCs w:val="15"/>
              </w:rPr>
            </w:pPr>
            <w:r w:rsidRPr="00BC4AFE">
              <w:rPr>
                <w:i/>
                <w:iCs/>
                <w:color w:val="000000" w:themeColor="text1"/>
                <w:kern w:val="20"/>
                <w:sz w:val="15"/>
                <w:szCs w:val="15"/>
              </w:rPr>
              <w:t>2019-2020</w:t>
            </w:r>
          </w:p>
        </w:tc>
      </w:tr>
      <w:tr w:rsidR="00FC752D" w:rsidRPr="00BC4AFE" w14:paraId="67F83E43" w14:textId="77777777" w:rsidTr="0034642E">
        <w:trPr>
          <w:trHeight w:val="300"/>
          <w:jc w:val="center"/>
        </w:trPr>
        <w:tc>
          <w:tcPr>
            <w:tcW w:w="6843" w:type="dxa"/>
            <w:vMerge/>
            <w:tcBorders>
              <w:top w:val="single" w:sz="8" w:space="0" w:color="000000"/>
              <w:left w:val="nil"/>
              <w:bottom w:val="single" w:sz="8" w:space="0" w:color="000000"/>
              <w:right w:val="nil"/>
            </w:tcBorders>
            <w:vAlign w:val="center"/>
            <w:hideMark/>
          </w:tcPr>
          <w:p w14:paraId="7848E261" w14:textId="77777777" w:rsidR="00FC752D" w:rsidRPr="00BC4AFE" w:rsidRDefault="00FC752D" w:rsidP="007E0ADF">
            <w:pPr>
              <w:keepNext/>
              <w:keepLines/>
              <w:rPr>
                <w:i/>
                <w:iCs/>
                <w:color w:val="000000" w:themeColor="text1"/>
                <w:kern w:val="20"/>
                <w:sz w:val="15"/>
                <w:szCs w:val="15"/>
              </w:rPr>
            </w:pPr>
          </w:p>
        </w:tc>
        <w:tc>
          <w:tcPr>
            <w:tcW w:w="1797" w:type="dxa"/>
            <w:tcBorders>
              <w:top w:val="nil"/>
              <w:left w:val="nil"/>
              <w:bottom w:val="single" w:sz="8" w:space="0" w:color="000000"/>
              <w:right w:val="nil"/>
            </w:tcBorders>
            <w:shd w:val="clear" w:color="auto" w:fill="auto"/>
            <w:vAlign w:val="center"/>
            <w:hideMark/>
          </w:tcPr>
          <w:p w14:paraId="1F219FB2" w14:textId="77777777" w:rsidR="00FC752D" w:rsidRPr="00BC4AFE" w:rsidRDefault="00FC752D" w:rsidP="007E0ADF">
            <w:pPr>
              <w:keepNext/>
              <w:keepLines/>
              <w:jc w:val="center"/>
              <w:rPr>
                <w:i/>
                <w:iCs/>
                <w:color w:val="000000" w:themeColor="text1"/>
                <w:kern w:val="20"/>
                <w:sz w:val="15"/>
                <w:szCs w:val="15"/>
              </w:rPr>
            </w:pPr>
            <w:r w:rsidRPr="00BC4AFE">
              <w:rPr>
                <w:i/>
                <w:iCs/>
                <w:color w:val="000000" w:themeColor="text1"/>
                <w:kern w:val="20"/>
                <w:sz w:val="15"/>
                <w:szCs w:val="15"/>
              </w:rPr>
              <w:t>(Thousands of United States dollars)</w:t>
            </w:r>
          </w:p>
        </w:tc>
      </w:tr>
      <w:tr w:rsidR="00FC752D" w:rsidRPr="00BC4AFE" w14:paraId="0A0F74B5" w14:textId="77777777" w:rsidTr="0034642E">
        <w:trPr>
          <w:trHeight w:val="288"/>
          <w:jc w:val="center"/>
        </w:trPr>
        <w:tc>
          <w:tcPr>
            <w:tcW w:w="6843" w:type="dxa"/>
            <w:tcBorders>
              <w:top w:val="nil"/>
              <w:left w:val="nil"/>
              <w:bottom w:val="nil"/>
              <w:right w:val="nil"/>
            </w:tcBorders>
            <w:shd w:val="clear" w:color="auto" w:fill="auto"/>
            <w:vAlign w:val="center"/>
            <w:hideMark/>
          </w:tcPr>
          <w:p w14:paraId="39797EEF" w14:textId="77777777" w:rsidR="00FC752D" w:rsidRPr="00BC4AFE" w:rsidRDefault="00FC752D" w:rsidP="007E0ADF">
            <w:pPr>
              <w:keepNext/>
              <w:keepLines/>
              <w:rPr>
                <w:b/>
                <w:bCs/>
                <w:color w:val="000000" w:themeColor="text1"/>
                <w:kern w:val="20"/>
                <w:sz w:val="17"/>
                <w:szCs w:val="17"/>
              </w:rPr>
            </w:pPr>
            <w:r w:rsidRPr="00BC4AFE">
              <w:rPr>
                <w:b/>
                <w:bCs/>
                <w:color w:val="000000" w:themeColor="text1"/>
                <w:kern w:val="20"/>
                <w:sz w:val="17"/>
                <w:szCs w:val="17"/>
              </w:rPr>
              <w:t>I. Meetings</w:t>
            </w:r>
          </w:p>
        </w:tc>
        <w:tc>
          <w:tcPr>
            <w:tcW w:w="1797" w:type="dxa"/>
            <w:tcBorders>
              <w:top w:val="nil"/>
              <w:left w:val="nil"/>
              <w:bottom w:val="nil"/>
              <w:right w:val="nil"/>
            </w:tcBorders>
            <w:shd w:val="clear" w:color="auto" w:fill="auto"/>
            <w:vAlign w:val="center"/>
            <w:hideMark/>
          </w:tcPr>
          <w:p w14:paraId="05077490" w14:textId="77777777" w:rsidR="00FC752D" w:rsidRPr="00BC4AFE" w:rsidRDefault="00FC752D" w:rsidP="007E0ADF">
            <w:pPr>
              <w:keepNext/>
              <w:keepLines/>
              <w:jc w:val="right"/>
              <w:rPr>
                <w:color w:val="000000" w:themeColor="text1"/>
                <w:kern w:val="20"/>
                <w:sz w:val="17"/>
                <w:szCs w:val="17"/>
              </w:rPr>
            </w:pPr>
          </w:p>
        </w:tc>
      </w:tr>
      <w:tr w:rsidR="00FC752D" w:rsidRPr="00BC4AFE" w14:paraId="6CA76EAC" w14:textId="77777777" w:rsidTr="0034642E">
        <w:trPr>
          <w:trHeight w:val="288"/>
          <w:jc w:val="center"/>
        </w:trPr>
        <w:tc>
          <w:tcPr>
            <w:tcW w:w="6843" w:type="dxa"/>
            <w:tcBorders>
              <w:top w:val="nil"/>
              <w:left w:val="nil"/>
              <w:bottom w:val="nil"/>
              <w:right w:val="nil"/>
            </w:tcBorders>
            <w:shd w:val="clear" w:color="auto" w:fill="auto"/>
            <w:noWrap/>
            <w:vAlign w:val="center"/>
            <w:hideMark/>
          </w:tcPr>
          <w:p w14:paraId="0DFD06AB" w14:textId="77777777" w:rsidR="00FC752D" w:rsidRPr="00BC4AFE" w:rsidRDefault="00FC752D" w:rsidP="007E0ADF">
            <w:pPr>
              <w:keepNext/>
              <w:keepLines/>
              <w:rPr>
                <w:color w:val="000000" w:themeColor="text1"/>
                <w:kern w:val="20"/>
                <w:sz w:val="17"/>
                <w:szCs w:val="17"/>
                <w:lang w:val="pt-PT"/>
              </w:rPr>
            </w:pPr>
            <w:r w:rsidRPr="00BC4AFE">
              <w:rPr>
                <w:color w:val="000000" w:themeColor="text1"/>
                <w:kern w:val="20"/>
                <w:sz w:val="17"/>
                <w:szCs w:val="17"/>
                <w:lang w:val="pt-PT"/>
              </w:rPr>
              <w:t xml:space="preserve">COP-16, Cartagena Protocol </w:t>
            </w:r>
            <w:r w:rsidRPr="00BC4AFE">
              <w:rPr>
                <w:color w:val="000000" w:themeColor="text1"/>
                <w:kern w:val="20"/>
                <w:sz w:val="17"/>
                <w:szCs w:val="17"/>
              </w:rPr>
              <w:t>COP</w:t>
            </w:r>
            <w:r w:rsidRPr="00BC4AFE">
              <w:rPr>
                <w:color w:val="000000" w:themeColor="text1"/>
                <w:kern w:val="20"/>
                <w:sz w:val="17"/>
                <w:szCs w:val="17"/>
                <w:lang w:val="pt-PT"/>
              </w:rPr>
              <w:t>-MOP 11 and Nagoya Protocol COP-MOP 5*</w:t>
            </w:r>
          </w:p>
        </w:tc>
        <w:tc>
          <w:tcPr>
            <w:tcW w:w="1797" w:type="dxa"/>
            <w:tcBorders>
              <w:top w:val="nil"/>
              <w:left w:val="nil"/>
              <w:bottom w:val="nil"/>
              <w:right w:val="nil"/>
            </w:tcBorders>
            <w:shd w:val="clear" w:color="auto" w:fill="auto"/>
            <w:vAlign w:val="center"/>
            <w:hideMark/>
          </w:tcPr>
          <w:p w14:paraId="3EF58977" w14:textId="77777777" w:rsidR="00FC752D" w:rsidRPr="00BC4AFE" w:rsidRDefault="00FC752D" w:rsidP="007E0ADF">
            <w:pPr>
              <w:keepNext/>
              <w:keepLines/>
              <w:jc w:val="right"/>
              <w:rPr>
                <w:color w:val="000000" w:themeColor="text1"/>
                <w:kern w:val="20"/>
                <w:sz w:val="17"/>
                <w:szCs w:val="17"/>
              </w:rPr>
            </w:pPr>
            <w:r w:rsidRPr="00BC4AFE">
              <w:rPr>
                <w:color w:val="000000" w:themeColor="text1"/>
                <w:kern w:val="20"/>
                <w:sz w:val="17"/>
                <w:szCs w:val="17"/>
              </w:rPr>
              <w:t>2 621.50</w:t>
            </w:r>
          </w:p>
        </w:tc>
      </w:tr>
      <w:tr w:rsidR="00FC752D" w:rsidRPr="00BC4AFE" w14:paraId="5D85C12B" w14:textId="77777777" w:rsidTr="0034642E">
        <w:trPr>
          <w:trHeight w:val="288"/>
          <w:jc w:val="center"/>
        </w:trPr>
        <w:tc>
          <w:tcPr>
            <w:tcW w:w="6843" w:type="dxa"/>
            <w:tcBorders>
              <w:top w:val="nil"/>
              <w:left w:val="nil"/>
              <w:bottom w:val="nil"/>
              <w:right w:val="nil"/>
            </w:tcBorders>
            <w:shd w:val="clear" w:color="auto" w:fill="auto"/>
            <w:noWrap/>
            <w:vAlign w:val="center"/>
            <w:hideMark/>
          </w:tcPr>
          <w:p w14:paraId="6E4DB185" w14:textId="77777777" w:rsidR="00FC752D" w:rsidRPr="00BC4AFE" w:rsidRDefault="00FC752D" w:rsidP="007E0ADF">
            <w:pPr>
              <w:keepNext/>
              <w:keepLines/>
              <w:rPr>
                <w:color w:val="000000" w:themeColor="text1"/>
                <w:kern w:val="20"/>
                <w:sz w:val="17"/>
                <w:szCs w:val="17"/>
              </w:rPr>
            </w:pPr>
            <w:r w:rsidRPr="00BC4AFE">
              <w:rPr>
                <w:color w:val="000000" w:themeColor="text1"/>
                <w:kern w:val="20"/>
                <w:sz w:val="17"/>
                <w:szCs w:val="17"/>
              </w:rPr>
              <w:t>Subsidiary Body on Scientific, Technical and Technological Advice (SBSTTA 25 and SBSTTA 26)**</w:t>
            </w:r>
          </w:p>
        </w:tc>
        <w:tc>
          <w:tcPr>
            <w:tcW w:w="1797" w:type="dxa"/>
            <w:tcBorders>
              <w:top w:val="nil"/>
              <w:left w:val="nil"/>
              <w:bottom w:val="nil"/>
              <w:right w:val="nil"/>
            </w:tcBorders>
            <w:shd w:val="clear" w:color="auto" w:fill="auto"/>
            <w:vAlign w:val="center"/>
            <w:hideMark/>
          </w:tcPr>
          <w:p w14:paraId="35A03108" w14:textId="77777777" w:rsidR="00FC752D" w:rsidRPr="00BC4AFE" w:rsidRDefault="00FC752D" w:rsidP="007E0ADF">
            <w:pPr>
              <w:keepNext/>
              <w:keepLines/>
              <w:jc w:val="right"/>
              <w:rPr>
                <w:color w:val="000000" w:themeColor="text1"/>
                <w:kern w:val="20"/>
                <w:sz w:val="17"/>
                <w:szCs w:val="17"/>
              </w:rPr>
            </w:pPr>
            <w:r w:rsidRPr="00BC4AFE">
              <w:rPr>
                <w:color w:val="000000" w:themeColor="text1"/>
                <w:kern w:val="20"/>
                <w:sz w:val="17"/>
                <w:szCs w:val="17"/>
              </w:rPr>
              <w:t>1 796.40</w:t>
            </w:r>
          </w:p>
        </w:tc>
      </w:tr>
      <w:tr w:rsidR="00FC752D" w:rsidRPr="00BC4AFE" w14:paraId="6E8DF1E5" w14:textId="77777777" w:rsidTr="0034642E">
        <w:trPr>
          <w:trHeight w:val="288"/>
          <w:jc w:val="center"/>
        </w:trPr>
        <w:tc>
          <w:tcPr>
            <w:tcW w:w="6843" w:type="dxa"/>
            <w:tcBorders>
              <w:top w:val="nil"/>
              <w:left w:val="nil"/>
              <w:bottom w:val="nil"/>
              <w:right w:val="nil"/>
            </w:tcBorders>
            <w:shd w:val="clear" w:color="auto" w:fill="auto"/>
            <w:noWrap/>
            <w:vAlign w:val="center"/>
            <w:hideMark/>
          </w:tcPr>
          <w:p w14:paraId="6F50707A" w14:textId="77777777" w:rsidR="00FC752D" w:rsidRPr="00BC4AFE" w:rsidRDefault="00FC752D" w:rsidP="007E0ADF">
            <w:pPr>
              <w:keepNext/>
              <w:keepLines/>
              <w:rPr>
                <w:color w:val="000000" w:themeColor="text1"/>
                <w:kern w:val="20"/>
                <w:sz w:val="17"/>
                <w:szCs w:val="17"/>
              </w:rPr>
            </w:pPr>
            <w:r w:rsidRPr="00BC4AFE">
              <w:rPr>
                <w:color w:val="000000" w:themeColor="text1"/>
                <w:kern w:val="20"/>
                <w:sz w:val="17"/>
                <w:szCs w:val="17"/>
              </w:rPr>
              <w:t>Ad Hoc Open-ended Working Group on Article 8(j) and Related Provisions (WG8J 12)**</w:t>
            </w:r>
          </w:p>
        </w:tc>
        <w:tc>
          <w:tcPr>
            <w:tcW w:w="1797" w:type="dxa"/>
            <w:tcBorders>
              <w:top w:val="nil"/>
              <w:left w:val="nil"/>
              <w:bottom w:val="nil"/>
              <w:right w:val="nil"/>
            </w:tcBorders>
            <w:shd w:val="clear" w:color="auto" w:fill="auto"/>
            <w:vAlign w:val="center"/>
            <w:hideMark/>
          </w:tcPr>
          <w:p w14:paraId="7BF7DAB3" w14:textId="77777777" w:rsidR="00FC752D" w:rsidRPr="00BC4AFE" w:rsidRDefault="00FC752D" w:rsidP="007E0ADF">
            <w:pPr>
              <w:keepNext/>
              <w:keepLines/>
              <w:jc w:val="right"/>
              <w:rPr>
                <w:color w:val="000000" w:themeColor="text1"/>
                <w:kern w:val="20"/>
                <w:sz w:val="17"/>
                <w:szCs w:val="17"/>
              </w:rPr>
            </w:pPr>
            <w:r w:rsidRPr="00BC4AFE">
              <w:rPr>
                <w:color w:val="000000" w:themeColor="text1"/>
                <w:kern w:val="20"/>
                <w:sz w:val="17"/>
                <w:szCs w:val="17"/>
              </w:rPr>
              <w:t>853.2</w:t>
            </w:r>
          </w:p>
        </w:tc>
      </w:tr>
      <w:tr w:rsidR="00FC752D" w:rsidRPr="00BC4AFE" w14:paraId="220AE334" w14:textId="77777777" w:rsidTr="0034642E">
        <w:trPr>
          <w:trHeight w:val="288"/>
          <w:jc w:val="center"/>
        </w:trPr>
        <w:tc>
          <w:tcPr>
            <w:tcW w:w="6843" w:type="dxa"/>
            <w:tcBorders>
              <w:top w:val="nil"/>
              <w:left w:val="nil"/>
              <w:bottom w:val="nil"/>
              <w:right w:val="nil"/>
            </w:tcBorders>
            <w:shd w:val="clear" w:color="auto" w:fill="auto"/>
            <w:noWrap/>
            <w:vAlign w:val="center"/>
            <w:hideMark/>
          </w:tcPr>
          <w:p w14:paraId="5685DB8C" w14:textId="77777777" w:rsidR="00FC752D" w:rsidRPr="00BC4AFE" w:rsidRDefault="00FC752D" w:rsidP="0034642E">
            <w:pPr>
              <w:rPr>
                <w:color w:val="000000" w:themeColor="text1"/>
                <w:kern w:val="20"/>
                <w:sz w:val="17"/>
                <w:szCs w:val="17"/>
              </w:rPr>
            </w:pPr>
            <w:r w:rsidRPr="00BC4AFE">
              <w:rPr>
                <w:color w:val="000000" w:themeColor="text1"/>
                <w:kern w:val="20"/>
                <w:sz w:val="17"/>
                <w:szCs w:val="17"/>
              </w:rPr>
              <w:t>Subsidiary Body on Implementation (SBI 4 and SBI 5)***</w:t>
            </w:r>
          </w:p>
        </w:tc>
        <w:tc>
          <w:tcPr>
            <w:tcW w:w="1797" w:type="dxa"/>
            <w:tcBorders>
              <w:top w:val="nil"/>
              <w:left w:val="nil"/>
              <w:bottom w:val="nil"/>
              <w:right w:val="nil"/>
            </w:tcBorders>
            <w:shd w:val="clear" w:color="auto" w:fill="auto"/>
            <w:vAlign w:val="center"/>
            <w:hideMark/>
          </w:tcPr>
          <w:p w14:paraId="68445F5A" w14:textId="77777777" w:rsidR="00FC752D" w:rsidRPr="00BC4AFE" w:rsidRDefault="00FC752D" w:rsidP="0034642E">
            <w:pPr>
              <w:jc w:val="right"/>
              <w:rPr>
                <w:color w:val="000000" w:themeColor="text1"/>
                <w:kern w:val="20"/>
                <w:sz w:val="17"/>
                <w:szCs w:val="17"/>
              </w:rPr>
            </w:pPr>
            <w:r w:rsidRPr="00BC4AFE">
              <w:rPr>
                <w:color w:val="000000" w:themeColor="text1"/>
                <w:kern w:val="20"/>
                <w:sz w:val="17"/>
                <w:szCs w:val="17"/>
              </w:rPr>
              <w:t>1 638.9</w:t>
            </w:r>
          </w:p>
        </w:tc>
      </w:tr>
      <w:tr w:rsidR="00FC752D" w:rsidRPr="00BC4AFE" w14:paraId="5BB5ED6E" w14:textId="77777777" w:rsidTr="0034642E">
        <w:trPr>
          <w:trHeight w:val="300"/>
          <w:jc w:val="center"/>
        </w:trPr>
        <w:tc>
          <w:tcPr>
            <w:tcW w:w="6843" w:type="dxa"/>
            <w:tcBorders>
              <w:top w:val="nil"/>
              <w:left w:val="nil"/>
              <w:bottom w:val="single" w:sz="8" w:space="0" w:color="000000"/>
              <w:right w:val="nil"/>
            </w:tcBorders>
            <w:shd w:val="clear" w:color="auto" w:fill="auto"/>
            <w:noWrap/>
            <w:vAlign w:val="center"/>
            <w:hideMark/>
          </w:tcPr>
          <w:p w14:paraId="16BAFDC3" w14:textId="77777777" w:rsidR="00FC752D" w:rsidRPr="00BC4AFE" w:rsidRDefault="00FC752D" w:rsidP="0034642E">
            <w:pPr>
              <w:rPr>
                <w:color w:val="000000" w:themeColor="text1"/>
                <w:kern w:val="20"/>
                <w:sz w:val="17"/>
                <w:szCs w:val="17"/>
              </w:rPr>
            </w:pPr>
            <w:r w:rsidRPr="00BC4AFE">
              <w:rPr>
                <w:color w:val="000000" w:themeColor="text1"/>
                <w:kern w:val="20"/>
                <w:sz w:val="17"/>
                <w:szCs w:val="17"/>
              </w:rPr>
              <w:t>Ad Hoc Open-ended Working Group on Digital Sequence Information on Genetic Resources***</w:t>
            </w:r>
          </w:p>
        </w:tc>
        <w:tc>
          <w:tcPr>
            <w:tcW w:w="1797" w:type="dxa"/>
            <w:tcBorders>
              <w:top w:val="nil"/>
              <w:left w:val="nil"/>
              <w:bottom w:val="single" w:sz="8" w:space="0" w:color="000000"/>
              <w:right w:val="nil"/>
            </w:tcBorders>
            <w:shd w:val="clear" w:color="auto" w:fill="auto"/>
            <w:vAlign w:val="center"/>
            <w:hideMark/>
          </w:tcPr>
          <w:p w14:paraId="1EA5DA57" w14:textId="77777777" w:rsidR="00FC752D" w:rsidRPr="00BC4AFE" w:rsidRDefault="00FC752D" w:rsidP="0034642E">
            <w:pPr>
              <w:jc w:val="right"/>
              <w:rPr>
                <w:color w:val="000000" w:themeColor="text1"/>
                <w:kern w:val="20"/>
                <w:sz w:val="17"/>
                <w:szCs w:val="17"/>
              </w:rPr>
            </w:pPr>
            <w:r w:rsidRPr="00BC4AFE">
              <w:rPr>
                <w:color w:val="000000" w:themeColor="text1"/>
                <w:kern w:val="20"/>
                <w:sz w:val="17"/>
                <w:szCs w:val="17"/>
              </w:rPr>
              <w:t>695.7</w:t>
            </w:r>
          </w:p>
        </w:tc>
      </w:tr>
      <w:tr w:rsidR="00FC752D" w:rsidRPr="00BC4AFE" w14:paraId="05436AA1" w14:textId="77777777" w:rsidTr="0034642E">
        <w:trPr>
          <w:trHeight w:val="300"/>
          <w:jc w:val="center"/>
        </w:trPr>
        <w:tc>
          <w:tcPr>
            <w:tcW w:w="6843" w:type="dxa"/>
            <w:tcBorders>
              <w:top w:val="nil"/>
              <w:left w:val="nil"/>
              <w:bottom w:val="single" w:sz="8" w:space="0" w:color="000000"/>
              <w:right w:val="nil"/>
            </w:tcBorders>
            <w:shd w:val="clear" w:color="auto" w:fill="auto"/>
            <w:vAlign w:val="center"/>
            <w:hideMark/>
          </w:tcPr>
          <w:p w14:paraId="6D628D25" w14:textId="77777777" w:rsidR="00FC752D" w:rsidRPr="00BC4AFE" w:rsidRDefault="00FC752D" w:rsidP="0034642E">
            <w:pPr>
              <w:rPr>
                <w:b/>
                <w:bCs/>
                <w:color w:val="000000" w:themeColor="text1"/>
                <w:kern w:val="20"/>
                <w:sz w:val="17"/>
                <w:szCs w:val="17"/>
              </w:rPr>
            </w:pPr>
            <w:r w:rsidRPr="00BC4AFE">
              <w:rPr>
                <w:b/>
                <w:bCs/>
                <w:color w:val="000000" w:themeColor="text1"/>
                <w:kern w:val="20"/>
                <w:sz w:val="17"/>
                <w:szCs w:val="17"/>
              </w:rPr>
              <w:t>Subtotal cost</w:t>
            </w:r>
          </w:p>
        </w:tc>
        <w:tc>
          <w:tcPr>
            <w:tcW w:w="1797" w:type="dxa"/>
            <w:tcBorders>
              <w:top w:val="nil"/>
              <w:left w:val="nil"/>
              <w:bottom w:val="single" w:sz="8" w:space="0" w:color="000000"/>
              <w:right w:val="nil"/>
            </w:tcBorders>
            <w:shd w:val="clear" w:color="auto" w:fill="auto"/>
            <w:vAlign w:val="center"/>
            <w:hideMark/>
          </w:tcPr>
          <w:p w14:paraId="78CDABC4" w14:textId="77777777" w:rsidR="00FC752D" w:rsidRPr="00BC4AFE" w:rsidRDefault="00FC752D" w:rsidP="0034642E">
            <w:pPr>
              <w:jc w:val="right"/>
              <w:rPr>
                <w:b/>
                <w:bCs/>
                <w:color w:val="000000" w:themeColor="text1"/>
                <w:kern w:val="20"/>
                <w:sz w:val="17"/>
                <w:szCs w:val="17"/>
              </w:rPr>
            </w:pPr>
            <w:r w:rsidRPr="00BC4AFE">
              <w:rPr>
                <w:b/>
                <w:bCs/>
                <w:color w:val="000000" w:themeColor="text1"/>
                <w:kern w:val="20"/>
                <w:sz w:val="17"/>
                <w:szCs w:val="17"/>
              </w:rPr>
              <w:t>7 605.7</w:t>
            </w:r>
          </w:p>
        </w:tc>
      </w:tr>
      <w:tr w:rsidR="00FC752D" w:rsidRPr="00BC4AFE" w14:paraId="428BA7FE" w14:textId="77777777" w:rsidTr="0034642E">
        <w:trPr>
          <w:trHeight w:val="300"/>
          <w:jc w:val="center"/>
        </w:trPr>
        <w:tc>
          <w:tcPr>
            <w:tcW w:w="6843" w:type="dxa"/>
            <w:tcBorders>
              <w:top w:val="nil"/>
              <w:left w:val="nil"/>
              <w:bottom w:val="single" w:sz="8" w:space="0" w:color="000000"/>
              <w:right w:val="nil"/>
            </w:tcBorders>
            <w:shd w:val="clear" w:color="auto" w:fill="auto"/>
            <w:vAlign w:val="center"/>
            <w:hideMark/>
          </w:tcPr>
          <w:p w14:paraId="065E4FAD" w14:textId="77777777" w:rsidR="00FC752D" w:rsidRPr="00BC4AFE" w:rsidRDefault="00FC752D" w:rsidP="0034642E">
            <w:pPr>
              <w:rPr>
                <w:b/>
                <w:bCs/>
                <w:color w:val="000000" w:themeColor="text1"/>
                <w:kern w:val="20"/>
                <w:sz w:val="17"/>
                <w:szCs w:val="17"/>
              </w:rPr>
            </w:pPr>
            <w:r w:rsidRPr="00BC4AFE">
              <w:rPr>
                <w:b/>
                <w:bCs/>
                <w:color w:val="000000" w:themeColor="text1"/>
                <w:kern w:val="20"/>
                <w:sz w:val="17"/>
                <w:szCs w:val="17"/>
              </w:rPr>
              <w:t>II. Programme support costs</w:t>
            </w:r>
          </w:p>
        </w:tc>
        <w:tc>
          <w:tcPr>
            <w:tcW w:w="1797" w:type="dxa"/>
            <w:tcBorders>
              <w:top w:val="nil"/>
              <w:left w:val="nil"/>
              <w:bottom w:val="single" w:sz="8" w:space="0" w:color="000000"/>
              <w:right w:val="nil"/>
            </w:tcBorders>
            <w:shd w:val="clear" w:color="auto" w:fill="auto"/>
            <w:vAlign w:val="center"/>
            <w:hideMark/>
          </w:tcPr>
          <w:p w14:paraId="6B234143" w14:textId="77777777" w:rsidR="00FC752D" w:rsidRPr="00BC4AFE" w:rsidRDefault="00FC752D" w:rsidP="0034642E">
            <w:pPr>
              <w:jc w:val="right"/>
              <w:rPr>
                <w:b/>
                <w:bCs/>
                <w:color w:val="000000" w:themeColor="text1"/>
                <w:kern w:val="20"/>
                <w:sz w:val="17"/>
                <w:szCs w:val="17"/>
              </w:rPr>
            </w:pPr>
            <w:r w:rsidRPr="00BC4AFE">
              <w:rPr>
                <w:b/>
                <w:bCs/>
                <w:color w:val="000000" w:themeColor="text1"/>
                <w:kern w:val="20"/>
                <w:sz w:val="17"/>
                <w:szCs w:val="17"/>
              </w:rPr>
              <w:t>998.7</w:t>
            </w:r>
          </w:p>
        </w:tc>
      </w:tr>
      <w:tr w:rsidR="00FC752D" w:rsidRPr="00BC4AFE" w14:paraId="5B6D646C" w14:textId="77777777" w:rsidTr="0034642E">
        <w:trPr>
          <w:trHeight w:val="300"/>
          <w:jc w:val="center"/>
        </w:trPr>
        <w:tc>
          <w:tcPr>
            <w:tcW w:w="6843" w:type="dxa"/>
            <w:tcBorders>
              <w:top w:val="nil"/>
              <w:left w:val="nil"/>
              <w:bottom w:val="single" w:sz="8" w:space="0" w:color="000000"/>
              <w:right w:val="nil"/>
            </w:tcBorders>
            <w:shd w:val="clear" w:color="auto" w:fill="auto"/>
            <w:vAlign w:val="center"/>
            <w:hideMark/>
          </w:tcPr>
          <w:p w14:paraId="02B89079" w14:textId="77777777" w:rsidR="00FC752D" w:rsidRPr="00BC4AFE" w:rsidRDefault="00FC752D" w:rsidP="0034642E">
            <w:pPr>
              <w:rPr>
                <w:b/>
                <w:bCs/>
                <w:color w:val="000000" w:themeColor="text1"/>
                <w:kern w:val="20"/>
                <w:sz w:val="17"/>
                <w:szCs w:val="17"/>
              </w:rPr>
            </w:pPr>
            <w:r w:rsidRPr="00BC4AFE">
              <w:rPr>
                <w:b/>
                <w:bCs/>
                <w:color w:val="000000" w:themeColor="text1"/>
                <w:kern w:val="20"/>
                <w:sz w:val="17"/>
                <w:szCs w:val="17"/>
              </w:rPr>
              <w:t>Total cost (I+II)</w:t>
            </w:r>
          </w:p>
        </w:tc>
        <w:tc>
          <w:tcPr>
            <w:tcW w:w="1797" w:type="dxa"/>
            <w:tcBorders>
              <w:top w:val="nil"/>
              <w:left w:val="nil"/>
              <w:bottom w:val="single" w:sz="8" w:space="0" w:color="000000"/>
              <w:right w:val="nil"/>
            </w:tcBorders>
            <w:shd w:val="clear" w:color="auto" w:fill="auto"/>
            <w:vAlign w:val="center"/>
            <w:hideMark/>
          </w:tcPr>
          <w:p w14:paraId="7D8B1339" w14:textId="77777777" w:rsidR="00FC752D" w:rsidRPr="00BC4AFE" w:rsidRDefault="00FC752D" w:rsidP="0034642E">
            <w:pPr>
              <w:jc w:val="right"/>
              <w:rPr>
                <w:b/>
                <w:bCs/>
                <w:color w:val="000000" w:themeColor="text1"/>
                <w:kern w:val="20"/>
                <w:sz w:val="17"/>
                <w:szCs w:val="17"/>
              </w:rPr>
            </w:pPr>
            <w:r w:rsidRPr="00BC4AFE">
              <w:rPr>
                <w:b/>
                <w:bCs/>
                <w:color w:val="000000" w:themeColor="text1"/>
                <w:kern w:val="20"/>
                <w:sz w:val="17"/>
                <w:szCs w:val="17"/>
              </w:rPr>
              <w:t>8 604.4</w:t>
            </w:r>
          </w:p>
        </w:tc>
      </w:tr>
      <w:tr w:rsidR="00FC752D" w:rsidRPr="00BC4AFE" w14:paraId="228FCCD4" w14:textId="77777777" w:rsidTr="002E1784">
        <w:trPr>
          <w:trHeight w:val="288"/>
          <w:jc w:val="center"/>
        </w:trPr>
        <w:tc>
          <w:tcPr>
            <w:tcW w:w="8640" w:type="dxa"/>
            <w:gridSpan w:val="2"/>
            <w:tcBorders>
              <w:top w:val="nil"/>
              <w:left w:val="nil"/>
              <w:bottom w:val="nil"/>
              <w:right w:val="nil"/>
            </w:tcBorders>
            <w:shd w:val="clear" w:color="auto" w:fill="auto"/>
            <w:noWrap/>
            <w:vAlign w:val="center"/>
          </w:tcPr>
          <w:p w14:paraId="0EB2779A" w14:textId="77777777" w:rsidR="00FC752D" w:rsidRPr="00BC4AFE" w:rsidRDefault="00FC752D" w:rsidP="00AA0E75">
            <w:pPr>
              <w:spacing w:after="60"/>
              <w:rPr>
                <w:color w:val="000000" w:themeColor="text1"/>
                <w:kern w:val="20"/>
                <w:sz w:val="16"/>
                <w:szCs w:val="16"/>
              </w:rPr>
            </w:pPr>
            <w:r w:rsidRPr="00BC4AFE">
              <w:rPr>
                <w:color w:val="000000" w:themeColor="text1"/>
                <w:kern w:val="20"/>
                <w:sz w:val="16"/>
                <w:szCs w:val="16"/>
              </w:rPr>
              <w:t>*Three delegates funded from each eligible Party.</w:t>
            </w:r>
          </w:p>
          <w:p w14:paraId="6FA305CA" w14:textId="77777777" w:rsidR="00FC752D" w:rsidRPr="00BC4AFE" w:rsidRDefault="00FC752D" w:rsidP="00AA0E75">
            <w:pPr>
              <w:spacing w:after="60"/>
              <w:rPr>
                <w:color w:val="000000" w:themeColor="text1"/>
                <w:kern w:val="20"/>
                <w:sz w:val="16"/>
                <w:szCs w:val="16"/>
              </w:rPr>
            </w:pPr>
            <w:r w:rsidRPr="00BC4AFE">
              <w:rPr>
                <w:color w:val="000000" w:themeColor="text1"/>
                <w:kern w:val="20"/>
                <w:sz w:val="16"/>
                <w:szCs w:val="16"/>
              </w:rPr>
              <w:t xml:space="preserve">**Two delegates funded from each eligible Party (SBSTTA 25 back-to-back with WG8J 12, SBSTTA 26 back-to-back with SBI 4). </w:t>
            </w:r>
          </w:p>
          <w:p w14:paraId="5C221516" w14:textId="77777777" w:rsidR="00FC752D" w:rsidRPr="00BC4AFE" w:rsidRDefault="00FC752D" w:rsidP="0034642E">
            <w:pPr>
              <w:rPr>
                <w:color w:val="000000" w:themeColor="text1"/>
                <w:kern w:val="20"/>
                <w:sz w:val="16"/>
                <w:szCs w:val="16"/>
              </w:rPr>
            </w:pPr>
            <w:r w:rsidRPr="00BC4AFE">
              <w:rPr>
                <w:color w:val="000000" w:themeColor="text1"/>
                <w:kern w:val="20"/>
                <w:sz w:val="16"/>
                <w:szCs w:val="16"/>
              </w:rPr>
              <w:t>*** Two delegates funded from each eligible Party (SBI 5 back-to-back with WG-DSI).</w:t>
            </w:r>
          </w:p>
        </w:tc>
      </w:tr>
      <w:tr w:rsidR="00FC752D" w:rsidRPr="00BC4AFE" w14:paraId="166F025E" w14:textId="77777777" w:rsidTr="0034642E">
        <w:trPr>
          <w:cantSplit/>
          <w:jc w:val="center"/>
        </w:trPr>
        <w:tc>
          <w:tcPr>
            <w:tcW w:w="8640" w:type="dxa"/>
            <w:gridSpan w:val="2"/>
            <w:tcBorders>
              <w:top w:val="nil"/>
              <w:left w:val="nil"/>
              <w:bottom w:val="nil"/>
              <w:right w:val="nil"/>
            </w:tcBorders>
            <w:shd w:val="clear" w:color="auto" w:fill="auto"/>
            <w:vAlign w:val="center"/>
          </w:tcPr>
          <w:p w14:paraId="01B1A0B5" w14:textId="77777777" w:rsidR="00FC752D" w:rsidRPr="00BC4AFE" w:rsidRDefault="00FC752D" w:rsidP="0034642E">
            <w:pPr>
              <w:rPr>
                <w:color w:val="000000" w:themeColor="text1"/>
                <w:kern w:val="20"/>
                <w:sz w:val="16"/>
                <w:szCs w:val="16"/>
              </w:rPr>
            </w:pPr>
          </w:p>
        </w:tc>
      </w:tr>
    </w:tbl>
    <w:p w14:paraId="3BBA95FC" w14:textId="77777777" w:rsidR="00FC752D" w:rsidRPr="00BC4AFE" w:rsidRDefault="00FC752D" w:rsidP="004E688F">
      <w:pPr>
        <w:ind w:left="2160" w:hanging="1440"/>
        <w:rPr>
          <w:color w:val="000000" w:themeColor="text1"/>
          <w:kern w:val="20"/>
        </w:rPr>
      </w:pPr>
    </w:p>
    <w:p w14:paraId="0018BA1F" w14:textId="77777777" w:rsidR="00FC752D" w:rsidRPr="00BC4AFE" w:rsidRDefault="00FC752D" w:rsidP="002442FB">
      <w:pPr>
        <w:keepNext/>
        <w:keepLines/>
        <w:spacing w:before="240" w:after="60"/>
        <w:ind w:left="806" w:hanging="806"/>
        <w:rPr>
          <w:color w:val="000000" w:themeColor="text1"/>
          <w:kern w:val="20"/>
        </w:rPr>
      </w:pPr>
      <w:r w:rsidRPr="00BC4AFE">
        <w:rPr>
          <w:rFonts w:asciiTheme="majorBidi" w:hAnsiTheme="majorBidi" w:cstheme="majorBidi"/>
          <w:b/>
          <w:bCs/>
        </w:rPr>
        <w:t>Table 5. Special Voluntary Trust Fund (VB) for Contributions to Facilitate the Participation of Indigenous Peoples and Local Communities for the period 2023-2024</w:t>
      </w:r>
    </w:p>
    <w:tbl>
      <w:tblPr>
        <w:tblW w:w="8904" w:type="dxa"/>
        <w:jc w:val="center"/>
        <w:tblBorders>
          <w:top w:val="nil"/>
          <w:left w:val="nil"/>
          <w:bottom w:val="nil"/>
          <w:right w:val="nil"/>
        </w:tblBorders>
        <w:tblLayout w:type="fixed"/>
        <w:tblLook w:val="0000" w:firstRow="0" w:lastRow="0" w:firstColumn="0" w:lastColumn="0" w:noHBand="0" w:noVBand="0"/>
      </w:tblPr>
      <w:tblGrid>
        <w:gridCol w:w="6792"/>
        <w:gridCol w:w="2112"/>
      </w:tblGrid>
      <w:tr w:rsidR="00FC752D" w:rsidRPr="00BC4AFE" w14:paraId="7F017D9C" w14:textId="77777777" w:rsidTr="0034642E">
        <w:trPr>
          <w:trHeight w:val="133"/>
          <w:jc w:val="center"/>
        </w:trPr>
        <w:tc>
          <w:tcPr>
            <w:tcW w:w="6792" w:type="dxa"/>
            <w:vMerge w:val="restart"/>
            <w:tcBorders>
              <w:top w:val="single" w:sz="8" w:space="0" w:color="000000"/>
              <w:left w:val="nil"/>
              <w:right w:val="nil"/>
            </w:tcBorders>
            <w:vAlign w:val="center"/>
          </w:tcPr>
          <w:p w14:paraId="4FA8D502" w14:textId="77777777" w:rsidR="00FC752D" w:rsidRPr="00BC4AFE" w:rsidRDefault="00FC752D" w:rsidP="002442FB">
            <w:pPr>
              <w:pStyle w:val="Default"/>
              <w:keepNext/>
              <w:keepLines/>
              <w:jc w:val="center"/>
              <w:rPr>
                <w:i/>
                <w:iCs/>
                <w:color w:val="000000" w:themeColor="text1"/>
                <w:kern w:val="20"/>
                <w:sz w:val="18"/>
                <w:szCs w:val="18"/>
                <w:lang w:val="en-GB"/>
              </w:rPr>
            </w:pPr>
            <w:r w:rsidRPr="00BC4AFE">
              <w:rPr>
                <w:i/>
                <w:iCs/>
                <w:color w:val="000000" w:themeColor="text1"/>
                <w:kern w:val="20"/>
                <w:sz w:val="18"/>
                <w:szCs w:val="18"/>
                <w:lang w:val="en-GB"/>
              </w:rPr>
              <w:t>Description</w:t>
            </w:r>
          </w:p>
        </w:tc>
        <w:tc>
          <w:tcPr>
            <w:tcW w:w="2112" w:type="dxa"/>
            <w:tcBorders>
              <w:top w:val="single" w:sz="8" w:space="0" w:color="000000"/>
              <w:left w:val="nil"/>
              <w:bottom w:val="nil"/>
              <w:right w:val="nil"/>
            </w:tcBorders>
          </w:tcPr>
          <w:p w14:paraId="1B008BD7" w14:textId="77777777" w:rsidR="00FC752D" w:rsidRPr="00BC4AFE" w:rsidRDefault="00FC752D" w:rsidP="002442FB">
            <w:pPr>
              <w:pStyle w:val="Default"/>
              <w:keepNext/>
              <w:keepLines/>
              <w:jc w:val="center"/>
              <w:rPr>
                <w:i/>
                <w:iCs/>
                <w:color w:val="000000" w:themeColor="text1"/>
                <w:kern w:val="20"/>
                <w:sz w:val="18"/>
                <w:szCs w:val="18"/>
                <w:lang w:val="en-GB"/>
              </w:rPr>
            </w:pPr>
            <w:r w:rsidRPr="00BC4AFE">
              <w:rPr>
                <w:i/>
                <w:iCs/>
                <w:color w:val="000000" w:themeColor="text1"/>
                <w:kern w:val="20"/>
                <w:sz w:val="18"/>
                <w:szCs w:val="18"/>
                <w:lang w:val="en-GB"/>
              </w:rPr>
              <w:t>2023-2024</w:t>
            </w:r>
          </w:p>
        </w:tc>
      </w:tr>
      <w:tr w:rsidR="00FC752D" w:rsidRPr="00BC4AFE" w14:paraId="06FF4C17" w14:textId="77777777" w:rsidTr="0034642E">
        <w:trPr>
          <w:trHeight w:val="151"/>
          <w:jc w:val="center"/>
        </w:trPr>
        <w:tc>
          <w:tcPr>
            <w:tcW w:w="6792" w:type="dxa"/>
            <w:vMerge/>
            <w:tcBorders>
              <w:bottom w:val="nil"/>
            </w:tcBorders>
            <w:vAlign w:val="center"/>
          </w:tcPr>
          <w:p w14:paraId="773CC6F3" w14:textId="77777777" w:rsidR="00FC752D" w:rsidRPr="00BC4AFE" w:rsidRDefault="00FC752D" w:rsidP="002442FB">
            <w:pPr>
              <w:pStyle w:val="Default"/>
              <w:keepNext/>
              <w:keepLines/>
              <w:rPr>
                <w:color w:val="000000" w:themeColor="text1"/>
                <w:kern w:val="20"/>
                <w:sz w:val="18"/>
                <w:szCs w:val="18"/>
                <w:lang w:val="en-GB"/>
              </w:rPr>
            </w:pPr>
          </w:p>
        </w:tc>
        <w:tc>
          <w:tcPr>
            <w:tcW w:w="2112" w:type="dxa"/>
            <w:tcBorders>
              <w:top w:val="nil"/>
              <w:bottom w:val="nil"/>
            </w:tcBorders>
          </w:tcPr>
          <w:p w14:paraId="71A94D16" w14:textId="77777777" w:rsidR="00FC752D" w:rsidRPr="00BC4AFE" w:rsidRDefault="00FC752D" w:rsidP="002442FB">
            <w:pPr>
              <w:pStyle w:val="Default"/>
              <w:keepNext/>
              <w:keepLines/>
              <w:jc w:val="center"/>
              <w:rPr>
                <w:i/>
                <w:iCs/>
                <w:color w:val="000000" w:themeColor="text1"/>
                <w:spacing w:val="-10"/>
                <w:kern w:val="20"/>
                <w:sz w:val="18"/>
                <w:szCs w:val="18"/>
                <w:lang w:val="en-GB"/>
              </w:rPr>
            </w:pPr>
            <w:r w:rsidRPr="00BC4AFE">
              <w:rPr>
                <w:i/>
                <w:iCs/>
                <w:color w:val="000000" w:themeColor="text1"/>
                <w:spacing w:val="-10"/>
                <w:kern w:val="20"/>
                <w:sz w:val="18"/>
                <w:szCs w:val="18"/>
                <w:lang w:val="en-GB"/>
              </w:rPr>
              <w:t>(Thousands of United States dollars)</w:t>
            </w:r>
          </w:p>
        </w:tc>
      </w:tr>
      <w:tr w:rsidR="00FC752D" w:rsidRPr="00BC4AFE" w14:paraId="6521E21F" w14:textId="77777777" w:rsidTr="00AA0E75">
        <w:trPr>
          <w:trHeight w:val="150"/>
          <w:jc w:val="center"/>
        </w:trPr>
        <w:tc>
          <w:tcPr>
            <w:tcW w:w="6792" w:type="dxa"/>
            <w:tcBorders>
              <w:top w:val="single" w:sz="4" w:space="0" w:color="auto"/>
              <w:bottom w:val="nil"/>
            </w:tcBorders>
          </w:tcPr>
          <w:p w14:paraId="0B16D504" w14:textId="77777777" w:rsidR="00FC752D" w:rsidRPr="00BC4AFE" w:rsidRDefault="00FC752D" w:rsidP="002442FB">
            <w:pPr>
              <w:pStyle w:val="Default"/>
              <w:keepNext/>
              <w:keepLines/>
              <w:rPr>
                <w:b/>
                <w:color w:val="000000" w:themeColor="text1"/>
                <w:kern w:val="20"/>
                <w:sz w:val="18"/>
                <w:szCs w:val="18"/>
                <w:lang w:val="en-GB"/>
              </w:rPr>
            </w:pPr>
            <w:r w:rsidRPr="00BC4AFE">
              <w:rPr>
                <w:b/>
                <w:bCs/>
                <w:color w:val="000000" w:themeColor="text1"/>
                <w:kern w:val="20"/>
                <w:sz w:val="18"/>
                <w:szCs w:val="18"/>
                <w:lang w:val="en-GB"/>
              </w:rPr>
              <w:t>I. Meetings:</w:t>
            </w:r>
          </w:p>
        </w:tc>
        <w:tc>
          <w:tcPr>
            <w:tcW w:w="2112" w:type="dxa"/>
            <w:tcBorders>
              <w:top w:val="single" w:sz="4" w:space="0" w:color="auto"/>
              <w:bottom w:val="nil"/>
            </w:tcBorders>
          </w:tcPr>
          <w:p w14:paraId="05F6B8F2" w14:textId="77777777" w:rsidR="00FC752D" w:rsidRPr="00BC4AFE" w:rsidRDefault="00FC752D" w:rsidP="002442FB">
            <w:pPr>
              <w:pStyle w:val="Default"/>
              <w:keepNext/>
              <w:keepLines/>
              <w:jc w:val="right"/>
              <w:rPr>
                <w:color w:val="000000" w:themeColor="text1"/>
                <w:kern w:val="20"/>
                <w:sz w:val="18"/>
                <w:szCs w:val="18"/>
                <w:lang w:val="en-GB"/>
              </w:rPr>
            </w:pPr>
          </w:p>
        </w:tc>
      </w:tr>
      <w:tr w:rsidR="00FC752D" w:rsidRPr="00BC4AFE" w14:paraId="11CEBB3F" w14:textId="77777777" w:rsidTr="00AA0E75">
        <w:trPr>
          <w:trHeight w:val="132"/>
          <w:jc w:val="center"/>
        </w:trPr>
        <w:tc>
          <w:tcPr>
            <w:tcW w:w="6792" w:type="dxa"/>
            <w:tcBorders>
              <w:top w:val="nil"/>
              <w:bottom w:val="single" w:sz="8" w:space="0" w:color="000000"/>
            </w:tcBorders>
            <w:vAlign w:val="center"/>
          </w:tcPr>
          <w:p w14:paraId="5FECA0AB" w14:textId="77777777" w:rsidR="00FC752D" w:rsidRPr="00BC4AFE" w:rsidRDefault="00FC752D" w:rsidP="0034642E">
            <w:pPr>
              <w:pStyle w:val="Default"/>
              <w:rPr>
                <w:color w:val="000000" w:themeColor="text1"/>
                <w:kern w:val="20"/>
                <w:sz w:val="18"/>
                <w:szCs w:val="18"/>
                <w:lang w:val="en-GB"/>
              </w:rPr>
            </w:pPr>
            <w:r w:rsidRPr="00BC4AFE">
              <w:rPr>
                <w:color w:val="000000" w:themeColor="text1"/>
                <w:kern w:val="20"/>
                <w:sz w:val="18"/>
                <w:szCs w:val="18"/>
                <w:lang w:val="en-GB"/>
              </w:rPr>
              <w:t>Support to indigenous peoples and local communities*</w:t>
            </w:r>
          </w:p>
        </w:tc>
        <w:tc>
          <w:tcPr>
            <w:tcW w:w="2112" w:type="dxa"/>
            <w:tcBorders>
              <w:top w:val="nil"/>
              <w:bottom w:val="single" w:sz="8" w:space="0" w:color="000000"/>
            </w:tcBorders>
            <w:vAlign w:val="center"/>
          </w:tcPr>
          <w:p w14:paraId="13DC9F0F" w14:textId="77777777" w:rsidR="00FC752D" w:rsidRPr="00BC4AFE" w:rsidRDefault="00FC752D" w:rsidP="0034642E">
            <w:pPr>
              <w:pStyle w:val="Default"/>
              <w:ind w:right="498"/>
              <w:jc w:val="right"/>
              <w:rPr>
                <w:color w:val="000000" w:themeColor="text1"/>
                <w:kern w:val="20"/>
                <w:sz w:val="18"/>
                <w:szCs w:val="18"/>
                <w:lang w:val="en-GB"/>
              </w:rPr>
            </w:pPr>
            <w:r w:rsidRPr="00BC4AFE">
              <w:rPr>
                <w:color w:val="000000" w:themeColor="text1"/>
                <w:kern w:val="20"/>
                <w:sz w:val="18"/>
                <w:szCs w:val="18"/>
                <w:lang w:val="en-GB"/>
              </w:rPr>
              <w:t>792.4</w:t>
            </w:r>
          </w:p>
        </w:tc>
      </w:tr>
      <w:tr w:rsidR="00FC752D" w:rsidRPr="00BC4AFE" w14:paraId="25D92FA1" w14:textId="77777777" w:rsidTr="0034642E">
        <w:trPr>
          <w:trHeight w:val="132"/>
          <w:jc w:val="center"/>
        </w:trPr>
        <w:tc>
          <w:tcPr>
            <w:tcW w:w="6792" w:type="dxa"/>
            <w:tcBorders>
              <w:top w:val="single" w:sz="8" w:space="0" w:color="000000"/>
              <w:bottom w:val="single" w:sz="8" w:space="0" w:color="000000"/>
            </w:tcBorders>
            <w:vAlign w:val="center"/>
          </w:tcPr>
          <w:p w14:paraId="42F22D96" w14:textId="77777777" w:rsidR="00FC752D" w:rsidRPr="00BC4AFE" w:rsidRDefault="00FC752D" w:rsidP="0034642E">
            <w:pPr>
              <w:pStyle w:val="Default"/>
              <w:rPr>
                <w:color w:val="000000" w:themeColor="text1"/>
                <w:kern w:val="20"/>
                <w:sz w:val="18"/>
                <w:szCs w:val="18"/>
                <w:lang w:val="en-GB"/>
              </w:rPr>
            </w:pPr>
            <w:r w:rsidRPr="00BC4AFE">
              <w:rPr>
                <w:b/>
                <w:bCs/>
                <w:color w:val="000000" w:themeColor="text1"/>
                <w:kern w:val="20"/>
                <w:sz w:val="18"/>
                <w:szCs w:val="18"/>
                <w:lang w:val="en-GB"/>
              </w:rPr>
              <w:t>Subtotal</w:t>
            </w:r>
          </w:p>
        </w:tc>
        <w:tc>
          <w:tcPr>
            <w:tcW w:w="2112" w:type="dxa"/>
            <w:tcBorders>
              <w:top w:val="single" w:sz="8" w:space="0" w:color="000000"/>
              <w:bottom w:val="single" w:sz="8" w:space="0" w:color="000000"/>
            </w:tcBorders>
            <w:vAlign w:val="center"/>
          </w:tcPr>
          <w:p w14:paraId="5FCBBB31" w14:textId="77777777" w:rsidR="00FC752D" w:rsidRPr="00BC4AFE" w:rsidRDefault="00FC752D" w:rsidP="0034642E">
            <w:pPr>
              <w:pStyle w:val="Default"/>
              <w:ind w:right="498"/>
              <w:jc w:val="right"/>
              <w:rPr>
                <w:color w:val="000000" w:themeColor="text1"/>
                <w:kern w:val="20"/>
                <w:sz w:val="18"/>
                <w:szCs w:val="18"/>
                <w:lang w:val="en-GB"/>
              </w:rPr>
            </w:pPr>
            <w:r w:rsidRPr="00BC4AFE">
              <w:rPr>
                <w:b/>
                <w:bCs/>
                <w:color w:val="000000" w:themeColor="text1"/>
                <w:kern w:val="20"/>
                <w:sz w:val="18"/>
                <w:szCs w:val="18"/>
                <w:lang w:val="en-GB"/>
              </w:rPr>
              <w:t>792.4</w:t>
            </w:r>
          </w:p>
        </w:tc>
      </w:tr>
      <w:tr w:rsidR="00FC752D" w:rsidRPr="00BC4AFE" w14:paraId="5FB5A75B" w14:textId="77777777" w:rsidTr="0034642E">
        <w:trPr>
          <w:trHeight w:val="132"/>
          <w:jc w:val="center"/>
        </w:trPr>
        <w:tc>
          <w:tcPr>
            <w:tcW w:w="6792" w:type="dxa"/>
            <w:tcBorders>
              <w:top w:val="single" w:sz="8" w:space="0" w:color="000000"/>
              <w:bottom w:val="single" w:sz="8" w:space="0" w:color="000000"/>
            </w:tcBorders>
            <w:vAlign w:val="center"/>
          </w:tcPr>
          <w:p w14:paraId="1804EB63" w14:textId="77777777" w:rsidR="00FC752D" w:rsidRPr="00BC4AFE" w:rsidRDefault="00FC752D" w:rsidP="0034642E">
            <w:pPr>
              <w:pStyle w:val="Default"/>
              <w:rPr>
                <w:b/>
                <w:bCs/>
                <w:color w:val="000000" w:themeColor="text1"/>
                <w:kern w:val="20"/>
                <w:sz w:val="18"/>
                <w:szCs w:val="18"/>
                <w:lang w:val="en-GB"/>
              </w:rPr>
            </w:pPr>
            <w:r w:rsidRPr="00BC4AFE">
              <w:rPr>
                <w:b/>
                <w:bCs/>
                <w:color w:val="000000" w:themeColor="text1"/>
                <w:kern w:val="20"/>
                <w:sz w:val="18"/>
                <w:szCs w:val="18"/>
                <w:lang w:val="en-GB"/>
              </w:rPr>
              <w:t>II. Programme support costs</w:t>
            </w:r>
          </w:p>
        </w:tc>
        <w:tc>
          <w:tcPr>
            <w:tcW w:w="2112" w:type="dxa"/>
            <w:tcBorders>
              <w:top w:val="single" w:sz="8" w:space="0" w:color="000000"/>
              <w:bottom w:val="single" w:sz="8" w:space="0" w:color="000000"/>
            </w:tcBorders>
            <w:vAlign w:val="center"/>
          </w:tcPr>
          <w:p w14:paraId="0FC6FBC6" w14:textId="77777777" w:rsidR="00FC752D" w:rsidRPr="00BC4AFE" w:rsidRDefault="00FC752D" w:rsidP="0034642E">
            <w:pPr>
              <w:pStyle w:val="Default"/>
              <w:ind w:right="498"/>
              <w:jc w:val="right"/>
              <w:rPr>
                <w:b/>
                <w:bCs/>
                <w:color w:val="000000" w:themeColor="text1"/>
                <w:kern w:val="20"/>
                <w:sz w:val="18"/>
                <w:szCs w:val="18"/>
                <w:lang w:val="en-GB"/>
              </w:rPr>
            </w:pPr>
            <w:r w:rsidRPr="00BC4AFE">
              <w:rPr>
                <w:b/>
                <w:bCs/>
                <w:color w:val="000000" w:themeColor="text1"/>
                <w:kern w:val="20"/>
                <w:sz w:val="18"/>
                <w:szCs w:val="18"/>
                <w:lang w:val="en-GB"/>
              </w:rPr>
              <w:t>103.0</w:t>
            </w:r>
          </w:p>
        </w:tc>
      </w:tr>
      <w:tr w:rsidR="00FC752D" w:rsidRPr="00BC4AFE" w14:paraId="15F69728" w14:textId="77777777" w:rsidTr="0034642E">
        <w:trPr>
          <w:trHeight w:val="132"/>
          <w:jc w:val="center"/>
        </w:trPr>
        <w:tc>
          <w:tcPr>
            <w:tcW w:w="6792" w:type="dxa"/>
            <w:tcBorders>
              <w:top w:val="single" w:sz="8" w:space="0" w:color="000000"/>
              <w:bottom w:val="single" w:sz="8" w:space="0" w:color="000000"/>
            </w:tcBorders>
            <w:vAlign w:val="center"/>
          </w:tcPr>
          <w:p w14:paraId="56E23263" w14:textId="77777777" w:rsidR="00FC752D" w:rsidRPr="00BC4AFE" w:rsidRDefault="00FC752D" w:rsidP="0034642E">
            <w:pPr>
              <w:pStyle w:val="Default"/>
              <w:rPr>
                <w:b/>
                <w:bCs/>
                <w:color w:val="000000" w:themeColor="text1"/>
                <w:kern w:val="20"/>
                <w:sz w:val="18"/>
                <w:szCs w:val="18"/>
                <w:lang w:val="en-GB"/>
              </w:rPr>
            </w:pPr>
            <w:r w:rsidRPr="00BC4AFE">
              <w:rPr>
                <w:b/>
                <w:bCs/>
                <w:color w:val="000000" w:themeColor="text1"/>
                <w:kern w:val="20"/>
                <w:sz w:val="18"/>
                <w:szCs w:val="18"/>
                <w:lang w:val="en-GB"/>
              </w:rPr>
              <w:t>Total costs (I+II)</w:t>
            </w:r>
          </w:p>
        </w:tc>
        <w:tc>
          <w:tcPr>
            <w:tcW w:w="2112" w:type="dxa"/>
            <w:tcBorders>
              <w:top w:val="single" w:sz="8" w:space="0" w:color="000000"/>
              <w:bottom w:val="single" w:sz="8" w:space="0" w:color="000000"/>
            </w:tcBorders>
            <w:vAlign w:val="center"/>
          </w:tcPr>
          <w:p w14:paraId="3EB3E21F" w14:textId="77777777" w:rsidR="00FC752D" w:rsidRPr="00BC4AFE" w:rsidRDefault="00FC752D" w:rsidP="0034642E">
            <w:pPr>
              <w:pStyle w:val="Default"/>
              <w:ind w:right="498"/>
              <w:jc w:val="right"/>
              <w:rPr>
                <w:b/>
                <w:bCs/>
                <w:i/>
                <w:iCs/>
                <w:color w:val="000000" w:themeColor="text1"/>
                <w:kern w:val="20"/>
                <w:sz w:val="18"/>
                <w:szCs w:val="18"/>
                <w:lang w:val="en-GB"/>
              </w:rPr>
            </w:pPr>
            <w:r w:rsidRPr="00BC4AFE">
              <w:rPr>
                <w:b/>
                <w:bCs/>
                <w:color w:val="000000" w:themeColor="text1"/>
                <w:kern w:val="20"/>
                <w:sz w:val="18"/>
                <w:szCs w:val="18"/>
                <w:lang w:val="en-GB"/>
              </w:rPr>
              <w:t>895.4</w:t>
            </w:r>
          </w:p>
        </w:tc>
      </w:tr>
    </w:tbl>
    <w:p w14:paraId="30118F7B" w14:textId="77777777" w:rsidR="00FC752D" w:rsidRPr="00BC4AFE" w:rsidRDefault="00FC752D" w:rsidP="00936697">
      <w:pPr>
        <w:pStyle w:val="NormalWeb"/>
        <w:spacing w:before="120" w:after="120" w:line="480" w:lineRule="auto"/>
        <w:rPr>
          <w:rFonts w:asciiTheme="majorBidi" w:hAnsiTheme="majorBidi" w:cstheme="majorBidi"/>
          <w:color w:val="000000"/>
          <w:sz w:val="18"/>
          <w:szCs w:val="18"/>
        </w:rPr>
      </w:pPr>
      <w:r w:rsidRPr="00BC4AFE">
        <w:rPr>
          <w:rFonts w:asciiTheme="majorBidi" w:hAnsiTheme="majorBidi" w:cstheme="majorBidi"/>
          <w:color w:val="000000"/>
          <w:sz w:val="18"/>
          <w:szCs w:val="18"/>
        </w:rPr>
        <w:t>*Two participants funded from each region.</w:t>
      </w:r>
    </w:p>
    <w:p w14:paraId="2CBA3322" w14:textId="77777777" w:rsidR="00FC752D" w:rsidRPr="00BC4AFE" w:rsidRDefault="00FC752D" w:rsidP="00AA0E75">
      <w:pPr>
        <w:rPr>
          <w:rFonts w:asciiTheme="majorBidi" w:hAnsiTheme="majorBidi" w:cstheme="majorBidi"/>
          <w:color w:val="000000"/>
        </w:rPr>
      </w:pPr>
      <w:r w:rsidRPr="00BC4AFE">
        <w:rPr>
          <w:rFonts w:asciiTheme="majorBidi" w:hAnsiTheme="majorBidi" w:cstheme="majorBidi"/>
          <w:color w:val="000000"/>
        </w:rPr>
        <w:br w:type="page"/>
      </w:r>
    </w:p>
    <w:p w14:paraId="7E4863D5" w14:textId="77777777" w:rsidR="00FC752D" w:rsidRPr="00BC4AFE" w:rsidRDefault="00FC752D">
      <w:pPr>
        <w:keepNext/>
        <w:spacing w:before="240" w:after="60"/>
        <w:ind w:left="806" w:hanging="806"/>
        <w:rPr>
          <w:b/>
          <w:color w:val="000000" w:themeColor="text1"/>
          <w:kern w:val="20"/>
        </w:rPr>
      </w:pPr>
      <w:r w:rsidRPr="00BC4AFE">
        <w:rPr>
          <w:b/>
          <w:kern w:val="20"/>
        </w:rPr>
        <w:t xml:space="preserve">Table 6. </w:t>
      </w:r>
      <w:r w:rsidRPr="00BC4AFE">
        <w:rPr>
          <w:b/>
          <w:bCs/>
          <w:color w:val="000000" w:themeColor="text1"/>
        </w:rPr>
        <w:t>Contributions</w:t>
      </w:r>
      <w:r w:rsidRPr="00BC4AFE">
        <w:rPr>
          <w:b/>
          <w:color w:val="000000" w:themeColor="text1"/>
          <w:kern w:val="20"/>
        </w:rPr>
        <w:t xml:space="preserve"> to the Trust Fund for the Convention on Biological Diversity for the biennium 2023-2024</w:t>
      </w:r>
      <w:r w:rsidRPr="00610646">
        <w:rPr>
          <w:rStyle w:val="FootnoteReference"/>
        </w:rPr>
        <w:footnoteReference w:id="391"/>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5"/>
        <w:gridCol w:w="1182"/>
        <w:gridCol w:w="1182"/>
        <w:gridCol w:w="1182"/>
        <w:gridCol w:w="1182"/>
        <w:gridCol w:w="1171"/>
      </w:tblGrid>
      <w:tr w:rsidR="00FC752D" w:rsidRPr="00BC4AFE" w14:paraId="2C1794F7" w14:textId="77777777" w:rsidTr="00A60395">
        <w:trPr>
          <w:cantSplit/>
          <w:trHeight w:val="245"/>
          <w:tblHeader/>
        </w:trPr>
        <w:tc>
          <w:tcPr>
            <w:tcW w:w="3605" w:type="dxa"/>
            <w:shd w:val="clear" w:color="auto" w:fill="auto"/>
            <w:noWrap/>
            <w:vAlign w:val="bottom"/>
          </w:tcPr>
          <w:p w14:paraId="3A2AE355" w14:textId="77777777" w:rsidR="00FC752D" w:rsidRPr="00BC4AFE" w:rsidRDefault="00FC752D" w:rsidP="006211D7">
            <w:pPr>
              <w:widowControl w:val="0"/>
              <w:ind w:right="144"/>
              <w:rPr>
                <w:b/>
                <w:bCs/>
                <w:sz w:val="18"/>
                <w:szCs w:val="18"/>
              </w:rPr>
            </w:pPr>
            <w:r w:rsidRPr="00BC4AFE">
              <w:rPr>
                <w:b/>
                <w:bCs/>
                <w:sz w:val="18"/>
                <w:szCs w:val="18"/>
              </w:rPr>
              <w:t>Party</w:t>
            </w:r>
          </w:p>
        </w:tc>
        <w:tc>
          <w:tcPr>
            <w:tcW w:w="1182" w:type="dxa"/>
            <w:shd w:val="clear" w:color="auto" w:fill="auto"/>
            <w:vAlign w:val="bottom"/>
          </w:tcPr>
          <w:p w14:paraId="1A5FFE96" w14:textId="77777777" w:rsidR="00FC752D" w:rsidRPr="00BC4AFE" w:rsidRDefault="00FC752D" w:rsidP="006211D7">
            <w:pPr>
              <w:widowControl w:val="0"/>
              <w:ind w:right="144"/>
              <w:jc w:val="center"/>
              <w:rPr>
                <w:b/>
                <w:bCs/>
                <w:sz w:val="16"/>
                <w:szCs w:val="16"/>
              </w:rPr>
            </w:pPr>
            <w:r w:rsidRPr="00BC4AFE">
              <w:rPr>
                <w:b/>
                <w:bCs/>
                <w:sz w:val="16"/>
                <w:szCs w:val="16"/>
              </w:rPr>
              <w:t>Scale of assessments 2022-2024</w:t>
            </w:r>
          </w:p>
        </w:tc>
        <w:tc>
          <w:tcPr>
            <w:tcW w:w="1182" w:type="dxa"/>
            <w:shd w:val="clear" w:color="auto" w:fill="auto"/>
            <w:vAlign w:val="bottom"/>
          </w:tcPr>
          <w:p w14:paraId="6FB677A3" w14:textId="77777777" w:rsidR="00FC752D" w:rsidRPr="00BC4AFE" w:rsidRDefault="00FC752D" w:rsidP="006211D7">
            <w:pPr>
              <w:widowControl w:val="0"/>
              <w:jc w:val="center"/>
              <w:rPr>
                <w:b/>
                <w:bCs/>
                <w:sz w:val="18"/>
                <w:szCs w:val="18"/>
              </w:rPr>
            </w:pPr>
            <w:r w:rsidRPr="00BC4AFE">
              <w:rPr>
                <w:b/>
                <w:bCs/>
                <w:sz w:val="16"/>
                <w:szCs w:val="16"/>
              </w:rPr>
              <w:t xml:space="preserve">Scale with 22% ceiling, no LDC paying more than 0.01% </w:t>
            </w:r>
          </w:p>
        </w:tc>
        <w:tc>
          <w:tcPr>
            <w:tcW w:w="1182" w:type="dxa"/>
            <w:shd w:val="clear" w:color="auto" w:fill="auto"/>
            <w:vAlign w:val="bottom"/>
          </w:tcPr>
          <w:p w14:paraId="46189C6E" w14:textId="77777777" w:rsidR="00FC752D" w:rsidRPr="00BC4AFE" w:rsidRDefault="00FC752D" w:rsidP="006211D7">
            <w:pPr>
              <w:widowControl w:val="0"/>
              <w:jc w:val="center"/>
              <w:rPr>
                <w:b/>
                <w:bCs/>
                <w:sz w:val="16"/>
                <w:szCs w:val="16"/>
              </w:rPr>
            </w:pPr>
            <w:r w:rsidRPr="00BC4AFE">
              <w:rPr>
                <w:b/>
                <w:bCs/>
                <w:sz w:val="16"/>
                <w:szCs w:val="16"/>
              </w:rPr>
              <w:t xml:space="preserve">Contribution due as of 1 January 2023 </w:t>
            </w:r>
          </w:p>
          <w:p w14:paraId="3935F750" w14:textId="77777777" w:rsidR="00FC752D" w:rsidRPr="00BC4AFE" w:rsidRDefault="00FC752D" w:rsidP="006211D7">
            <w:pPr>
              <w:widowControl w:val="0"/>
              <w:jc w:val="center"/>
              <w:rPr>
                <w:b/>
                <w:bCs/>
                <w:sz w:val="18"/>
                <w:szCs w:val="18"/>
              </w:rPr>
            </w:pPr>
            <w:r w:rsidRPr="00BC4AFE">
              <w:rPr>
                <w:b/>
                <w:bCs/>
                <w:sz w:val="16"/>
                <w:szCs w:val="16"/>
              </w:rPr>
              <w:t>(US$)</w:t>
            </w:r>
          </w:p>
        </w:tc>
        <w:tc>
          <w:tcPr>
            <w:tcW w:w="1182" w:type="dxa"/>
            <w:shd w:val="clear" w:color="auto" w:fill="auto"/>
            <w:vAlign w:val="bottom"/>
          </w:tcPr>
          <w:p w14:paraId="665D7940" w14:textId="77777777" w:rsidR="00FC752D" w:rsidRPr="00BC4AFE" w:rsidRDefault="00FC752D" w:rsidP="006211D7">
            <w:pPr>
              <w:widowControl w:val="0"/>
              <w:jc w:val="center"/>
              <w:rPr>
                <w:b/>
                <w:bCs/>
                <w:sz w:val="16"/>
                <w:szCs w:val="16"/>
              </w:rPr>
            </w:pPr>
            <w:r w:rsidRPr="00BC4AFE">
              <w:rPr>
                <w:b/>
                <w:bCs/>
                <w:sz w:val="16"/>
                <w:szCs w:val="16"/>
              </w:rPr>
              <w:t>Contribution due as of 1 January 2024</w:t>
            </w:r>
          </w:p>
          <w:p w14:paraId="2B016724" w14:textId="77777777" w:rsidR="00FC752D" w:rsidRPr="00BC4AFE" w:rsidRDefault="00FC752D" w:rsidP="006211D7">
            <w:pPr>
              <w:widowControl w:val="0"/>
              <w:jc w:val="center"/>
              <w:rPr>
                <w:b/>
                <w:bCs/>
                <w:sz w:val="18"/>
                <w:szCs w:val="18"/>
              </w:rPr>
            </w:pPr>
            <w:r w:rsidRPr="00BC4AFE">
              <w:rPr>
                <w:b/>
                <w:bCs/>
                <w:sz w:val="16"/>
                <w:szCs w:val="16"/>
              </w:rPr>
              <w:t>(US$)</w:t>
            </w:r>
          </w:p>
        </w:tc>
        <w:tc>
          <w:tcPr>
            <w:tcW w:w="1171" w:type="dxa"/>
            <w:shd w:val="clear" w:color="auto" w:fill="auto"/>
            <w:vAlign w:val="bottom"/>
          </w:tcPr>
          <w:p w14:paraId="6FDE9037" w14:textId="77777777" w:rsidR="00FC752D" w:rsidRPr="00BC4AFE" w:rsidRDefault="00FC752D" w:rsidP="006211D7">
            <w:pPr>
              <w:widowControl w:val="0"/>
              <w:ind w:right="144"/>
              <w:jc w:val="center"/>
              <w:rPr>
                <w:b/>
                <w:bCs/>
                <w:sz w:val="16"/>
                <w:szCs w:val="16"/>
              </w:rPr>
            </w:pPr>
            <w:r w:rsidRPr="00BC4AFE">
              <w:rPr>
                <w:b/>
                <w:bCs/>
                <w:sz w:val="16"/>
                <w:szCs w:val="16"/>
              </w:rPr>
              <w:t xml:space="preserve">Total 2023-2024 </w:t>
            </w:r>
          </w:p>
          <w:p w14:paraId="484F7A67" w14:textId="77777777" w:rsidR="00FC752D" w:rsidRPr="00BC4AFE" w:rsidRDefault="00FC752D" w:rsidP="006211D7">
            <w:pPr>
              <w:widowControl w:val="0"/>
              <w:ind w:right="144"/>
              <w:jc w:val="center"/>
              <w:rPr>
                <w:b/>
                <w:bCs/>
                <w:sz w:val="18"/>
                <w:szCs w:val="18"/>
              </w:rPr>
            </w:pPr>
            <w:r w:rsidRPr="00BC4AFE">
              <w:rPr>
                <w:b/>
                <w:bCs/>
                <w:sz w:val="16"/>
                <w:szCs w:val="16"/>
              </w:rPr>
              <w:t>(US$)</w:t>
            </w:r>
          </w:p>
        </w:tc>
      </w:tr>
      <w:tr w:rsidR="00FC752D" w:rsidRPr="00BC4AFE" w14:paraId="52A48A47" w14:textId="77777777" w:rsidTr="00A60395">
        <w:trPr>
          <w:cantSplit/>
          <w:trHeight w:val="245"/>
        </w:trPr>
        <w:tc>
          <w:tcPr>
            <w:tcW w:w="3605" w:type="dxa"/>
            <w:shd w:val="clear" w:color="auto" w:fill="auto"/>
            <w:vAlign w:val="center"/>
            <w:hideMark/>
          </w:tcPr>
          <w:p w14:paraId="1FBA8F84" w14:textId="77777777" w:rsidR="00FC752D" w:rsidRPr="00BC4AFE" w:rsidRDefault="00FC752D" w:rsidP="006211D7">
            <w:pPr>
              <w:widowControl w:val="0"/>
              <w:ind w:left="144" w:hanging="144"/>
              <w:rPr>
                <w:sz w:val="18"/>
                <w:szCs w:val="18"/>
              </w:rPr>
            </w:pPr>
            <w:r w:rsidRPr="00BC4AFE">
              <w:rPr>
                <w:sz w:val="18"/>
                <w:szCs w:val="18"/>
              </w:rPr>
              <w:t>Afghanistan</w:t>
            </w:r>
          </w:p>
        </w:tc>
        <w:tc>
          <w:tcPr>
            <w:tcW w:w="1182" w:type="dxa"/>
            <w:shd w:val="clear" w:color="auto" w:fill="auto"/>
            <w:vAlign w:val="center"/>
            <w:hideMark/>
          </w:tcPr>
          <w:p w14:paraId="53206EE1" w14:textId="77777777" w:rsidR="00FC752D" w:rsidRPr="00BC4AFE" w:rsidRDefault="00FC752D" w:rsidP="006211D7">
            <w:pPr>
              <w:widowControl w:val="0"/>
              <w:ind w:right="144"/>
              <w:jc w:val="right"/>
              <w:rPr>
                <w:sz w:val="18"/>
                <w:szCs w:val="18"/>
              </w:rPr>
            </w:pPr>
            <w:r w:rsidRPr="00BC4AFE">
              <w:rPr>
                <w:sz w:val="18"/>
                <w:szCs w:val="18"/>
              </w:rPr>
              <w:t>0.006</w:t>
            </w:r>
          </w:p>
        </w:tc>
        <w:tc>
          <w:tcPr>
            <w:tcW w:w="1182" w:type="dxa"/>
            <w:shd w:val="clear" w:color="auto" w:fill="auto"/>
            <w:noWrap/>
            <w:vAlign w:val="center"/>
            <w:hideMark/>
          </w:tcPr>
          <w:p w14:paraId="1E4A82DC" w14:textId="77777777" w:rsidR="00FC752D" w:rsidRPr="00BC4AFE" w:rsidRDefault="00FC752D" w:rsidP="006211D7">
            <w:pPr>
              <w:widowControl w:val="0"/>
              <w:ind w:right="144"/>
              <w:jc w:val="right"/>
              <w:rPr>
                <w:sz w:val="18"/>
                <w:szCs w:val="18"/>
              </w:rPr>
            </w:pPr>
            <w:r w:rsidRPr="00BC4AFE">
              <w:rPr>
                <w:sz w:val="18"/>
                <w:szCs w:val="18"/>
              </w:rPr>
              <w:t>0.008</w:t>
            </w:r>
          </w:p>
        </w:tc>
        <w:tc>
          <w:tcPr>
            <w:tcW w:w="1182" w:type="dxa"/>
            <w:shd w:val="clear" w:color="auto" w:fill="auto"/>
            <w:noWrap/>
            <w:vAlign w:val="center"/>
            <w:hideMark/>
          </w:tcPr>
          <w:p w14:paraId="2B8AF296" w14:textId="77777777" w:rsidR="00FC752D" w:rsidRPr="00BC4AFE" w:rsidRDefault="00FC752D" w:rsidP="006211D7">
            <w:pPr>
              <w:widowControl w:val="0"/>
              <w:ind w:right="144"/>
              <w:jc w:val="right"/>
              <w:rPr>
                <w:sz w:val="18"/>
                <w:szCs w:val="18"/>
              </w:rPr>
            </w:pPr>
            <w:r w:rsidRPr="00BC4AFE">
              <w:rPr>
                <w:sz w:val="18"/>
                <w:szCs w:val="18"/>
              </w:rPr>
              <w:t>977</w:t>
            </w:r>
          </w:p>
        </w:tc>
        <w:tc>
          <w:tcPr>
            <w:tcW w:w="1182" w:type="dxa"/>
            <w:shd w:val="clear" w:color="auto" w:fill="auto"/>
            <w:noWrap/>
            <w:vAlign w:val="center"/>
            <w:hideMark/>
          </w:tcPr>
          <w:p w14:paraId="0C8934F8" w14:textId="77777777" w:rsidR="00FC752D" w:rsidRPr="00BC4AFE" w:rsidRDefault="00FC752D" w:rsidP="006211D7">
            <w:pPr>
              <w:widowControl w:val="0"/>
              <w:ind w:right="144"/>
              <w:jc w:val="right"/>
              <w:rPr>
                <w:sz w:val="18"/>
                <w:szCs w:val="18"/>
              </w:rPr>
            </w:pPr>
            <w:r w:rsidRPr="00BC4AFE">
              <w:rPr>
                <w:sz w:val="18"/>
                <w:szCs w:val="18"/>
              </w:rPr>
              <w:t>1,072</w:t>
            </w:r>
          </w:p>
        </w:tc>
        <w:tc>
          <w:tcPr>
            <w:tcW w:w="1171" w:type="dxa"/>
            <w:shd w:val="clear" w:color="auto" w:fill="auto"/>
            <w:noWrap/>
            <w:vAlign w:val="center"/>
            <w:hideMark/>
          </w:tcPr>
          <w:p w14:paraId="06C1C4B8" w14:textId="77777777" w:rsidR="00FC752D" w:rsidRPr="00BC4AFE" w:rsidRDefault="00FC752D" w:rsidP="006211D7">
            <w:pPr>
              <w:widowControl w:val="0"/>
              <w:ind w:right="144"/>
              <w:jc w:val="right"/>
              <w:rPr>
                <w:sz w:val="18"/>
                <w:szCs w:val="18"/>
              </w:rPr>
            </w:pPr>
            <w:r w:rsidRPr="00BC4AFE">
              <w:rPr>
                <w:sz w:val="18"/>
                <w:szCs w:val="18"/>
              </w:rPr>
              <w:t>2,049</w:t>
            </w:r>
          </w:p>
        </w:tc>
      </w:tr>
      <w:tr w:rsidR="00FC752D" w:rsidRPr="00BC4AFE" w14:paraId="223B44A0" w14:textId="77777777" w:rsidTr="00A60395">
        <w:trPr>
          <w:cantSplit/>
          <w:trHeight w:val="245"/>
        </w:trPr>
        <w:tc>
          <w:tcPr>
            <w:tcW w:w="3605" w:type="dxa"/>
            <w:shd w:val="clear" w:color="auto" w:fill="auto"/>
            <w:vAlign w:val="center"/>
            <w:hideMark/>
          </w:tcPr>
          <w:p w14:paraId="0D59B1EB" w14:textId="77777777" w:rsidR="00FC752D" w:rsidRPr="00BC4AFE" w:rsidRDefault="00FC752D" w:rsidP="006211D7">
            <w:pPr>
              <w:widowControl w:val="0"/>
              <w:ind w:left="144" w:hanging="144"/>
              <w:rPr>
                <w:sz w:val="18"/>
                <w:szCs w:val="18"/>
              </w:rPr>
            </w:pPr>
            <w:r w:rsidRPr="00BC4AFE">
              <w:rPr>
                <w:sz w:val="18"/>
                <w:szCs w:val="18"/>
              </w:rPr>
              <w:t>Albania</w:t>
            </w:r>
          </w:p>
        </w:tc>
        <w:tc>
          <w:tcPr>
            <w:tcW w:w="1182" w:type="dxa"/>
            <w:shd w:val="clear" w:color="auto" w:fill="auto"/>
            <w:vAlign w:val="center"/>
            <w:hideMark/>
          </w:tcPr>
          <w:p w14:paraId="450B3BF8" w14:textId="77777777" w:rsidR="00FC752D" w:rsidRPr="00BC4AFE" w:rsidRDefault="00FC752D" w:rsidP="006211D7">
            <w:pPr>
              <w:widowControl w:val="0"/>
              <w:ind w:right="144"/>
              <w:jc w:val="right"/>
              <w:rPr>
                <w:sz w:val="18"/>
                <w:szCs w:val="18"/>
              </w:rPr>
            </w:pPr>
            <w:r w:rsidRPr="00BC4AFE">
              <w:rPr>
                <w:sz w:val="18"/>
                <w:szCs w:val="18"/>
              </w:rPr>
              <w:t>0.008</w:t>
            </w:r>
          </w:p>
        </w:tc>
        <w:tc>
          <w:tcPr>
            <w:tcW w:w="1182" w:type="dxa"/>
            <w:shd w:val="clear" w:color="auto" w:fill="auto"/>
            <w:noWrap/>
            <w:vAlign w:val="center"/>
            <w:hideMark/>
          </w:tcPr>
          <w:p w14:paraId="5B086A64"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6CE65B3D"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5C4715FD"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2E237B3B"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22EC6C87" w14:textId="77777777" w:rsidTr="00A60395">
        <w:trPr>
          <w:cantSplit/>
          <w:trHeight w:val="245"/>
        </w:trPr>
        <w:tc>
          <w:tcPr>
            <w:tcW w:w="3605" w:type="dxa"/>
            <w:shd w:val="clear" w:color="auto" w:fill="auto"/>
            <w:vAlign w:val="center"/>
            <w:hideMark/>
          </w:tcPr>
          <w:p w14:paraId="56C47ED2" w14:textId="77777777" w:rsidR="00FC752D" w:rsidRPr="00BC4AFE" w:rsidRDefault="00FC752D" w:rsidP="006211D7">
            <w:pPr>
              <w:widowControl w:val="0"/>
              <w:ind w:left="144" w:hanging="144"/>
              <w:rPr>
                <w:sz w:val="18"/>
                <w:szCs w:val="18"/>
              </w:rPr>
            </w:pPr>
            <w:r w:rsidRPr="00BC4AFE">
              <w:rPr>
                <w:sz w:val="18"/>
                <w:szCs w:val="18"/>
              </w:rPr>
              <w:t>Algeria</w:t>
            </w:r>
          </w:p>
        </w:tc>
        <w:tc>
          <w:tcPr>
            <w:tcW w:w="1182" w:type="dxa"/>
            <w:shd w:val="clear" w:color="auto" w:fill="auto"/>
            <w:vAlign w:val="center"/>
            <w:hideMark/>
          </w:tcPr>
          <w:p w14:paraId="4B42302E" w14:textId="77777777" w:rsidR="00FC752D" w:rsidRPr="00BC4AFE" w:rsidRDefault="00FC752D" w:rsidP="006211D7">
            <w:pPr>
              <w:widowControl w:val="0"/>
              <w:ind w:right="144"/>
              <w:jc w:val="right"/>
              <w:rPr>
                <w:sz w:val="18"/>
                <w:szCs w:val="18"/>
              </w:rPr>
            </w:pPr>
            <w:r w:rsidRPr="00BC4AFE">
              <w:rPr>
                <w:sz w:val="18"/>
                <w:szCs w:val="18"/>
              </w:rPr>
              <w:t>0.109</w:t>
            </w:r>
          </w:p>
        </w:tc>
        <w:tc>
          <w:tcPr>
            <w:tcW w:w="1182" w:type="dxa"/>
            <w:shd w:val="clear" w:color="auto" w:fill="auto"/>
            <w:noWrap/>
            <w:vAlign w:val="center"/>
            <w:hideMark/>
          </w:tcPr>
          <w:p w14:paraId="453F3226" w14:textId="77777777" w:rsidR="00FC752D" w:rsidRPr="00BC4AFE" w:rsidRDefault="00FC752D" w:rsidP="006211D7">
            <w:pPr>
              <w:widowControl w:val="0"/>
              <w:ind w:right="144"/>
              <w:jc w:val="right"/>
              <w:rPr>
                <w:sz w:val="18"/>
                <w:szCs w:val="18"/>
              </w:rPr>
            </w:pPr>
            <w:r w:rsidRPr="00BC4AFE">
              <w:rPr>
                <w:sz w:val="18"/>
                <w:szCs w:val="18"/>
              </w:rPr>
              <w:t>0.136</w:t>
            </w:r>
          </w:p>
        </w:tc>
        <w:tc>
          <w:tcPr>
            <w:tcW w:w="1182" w:type="dxa"/>
            <w:shd w:val="clear" w:color="auto" w:fill="auto"/>
            <w:noWrap/>
            <w:vAlign w:val="center"/>
            <w:hideMark/>
          </w:tcPr>
          <w:p w14:paraId="2473A2B0" w14:textId="77777777" w:rsidR="00FC752D" w:rsidRPr="00BC4AFE" w:rsidRDefault="00FC752D" w:rsidP="006211D7">
            <w:pPr>
              <w:widowControl w:val="0"/>
              <w:ind w:right="144"/>
              <w:jc w:val="right"/>
              <w:rPr>
                <w:sz w:val="18"/>
                <w:szCs w:val="18"/>
              </w:rPr>
            </w:pPr>
            <w:r w:rsidRPr="00BC4AFE">
              <w:rPr>
                <w:sz w:val="18"/>
                <w:szCs w:val="18"/>
              </w:rPr>
              <w:t>17,750</w:t>
            </w:r>
          </w:p>
        </w:tc>
        <w:tc>
          <w:tcPr>
            <w:tcW w:w="1182" w:type="dxa"/>
            <w:shd w:val="clear" w:color="auto" w:fill="auto"/>
            <w:noWrap/>
            <w:vAlign w:val="center"/>
            <w:hideMark/>
          </w:tcPr>
          <w:p w14:paraId="03350D56" w14:textId="77777777" w:rsidR="00FC752D" w:rsidRPr="00BC4AFE" w:rsidRDefault="00FC752D" w:rsidP="006211D7">
            <w:pPr>
              <w:widowControl w:val="0"/>
              <w:ind w:right="144"/>
              <w:jc w:val="right"/>
              <w:rPr>
                <w:sz w:val="18"/>
                <w:szCs w:val="18"/>
              </w:rPr>
            </w:pPr>
            <w:r w:rsidRPr="00BC4AFE">
              <w:rPr>
                <w:sz w:val="18"/>
                <w:szCs w:val="18"/>
              </w:rPr>
              <w:t>19,469</w:t>
            </w:r>
          </w:p>
        </w:tc>
        <w:tc>
          <w:tcPr>
            <w:tcW w:w="1171" w:type="dxa"/>
            <w:shd w:val="clear" w:color="auto" w:fill="auto"/>
            <w:noWrap/>
            <w:vAlign w:val="center"/>
            <w:hideMark/>
          </w:tcPr>
          <w:p w14:paraId="254D5617" w14:textId="77777777" w:rsidR="00FC752D" w:rsidRPr="00BC4AFE" w:rsidRDefault="00FC752D" w:rsidP="006211D7">
            <w:pPr>
              <w:widowControl w:val="0"/>
              <w:ind w:right="144"/>
              <w:jc w:val="right"/>
              <w:rPr>
                <w:sz w:val="18"/>
                <w:szCs w:val="18"/>
              </w:rPr>
            </w:pPr>
            <w:r w:rsidRPr="00BC4AFE">
              <w:rPr>
                <w:sz w:val="18"/>
                <w:szCs w:val="18"/>
              </w:rPr>
              <w:t>37,220</w:t>
            </w:r>
          </w:p>
        </w:tc>
      </w:tr>
      <w:tr w:rsidR="00FC752D" w:rsidRPr="00BC4AFE" w14:paraId="4E9FE360" w14:textId="77777777" w:rsidTr="00A60395">
        <w:trPr>
          <w:cantSplit/>
          <w:trHeight w:val="245"/>
        </w:trPr>
        <w:tc>
          <w:tcPr>
            <w:tcW w:w="3605" w:type="dxa"/>
            <w:shd w:val="clear" w:color="auto" w:fill="auto"/>
            <w:vAlign w:val="center"/>
            <w:hideMark/>
          </w:tcPr>
          <w:p w14:paraId="630C3C0D" w14:textId="77777777" w:rsidR="00FC752D" w:rsidRPr="00BC4AFE" w:rsidRDefault="00FC752D" w:rsidP="006211D7">
            <w:pPr>
              <w:widowControl w:val="0"/>
              <w:ind w:left="144" w:hanging="144"/>
              <w:rPr>
                <w:sz w:val="18"/>
                <w:szCs w:val="18"/>
              </w:rPr>
            </w:pPr>
            <w:r w:rsidRPr="00BC4AFE">
              <w:rPr>
                <w:sz w:val="18"/>
                <w:szCs w:val="18"/>
              </w:rPr>
              <w:t>Andorra</w:t>
            </w:r>
          </w:p>
        </w:tc>
        <w:tc>
          <w:tcPr>
            <w:tcW w:w="1182" w:type="dxa"/>
            <w:shd w:val="clear" w:color="auto" w:fill="auto"/>
            <w:vAlign w:val="center"/>
            <w:hideMark/>
          </w:tcPr>
          <w:p w14:paraId="6768A3B9"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345DEAB7" w14:textId="77777777" w:rsidR="00FC752D" w:rsidRPr="00BC4AFE" w:rsidRDefault="00FC752D" w:rsidP="006211D7">
            <w:pPr>
              <w:widowControl w:val="0"/>
              <w:ind w:right="144"/>
              <w:jc w:val="right"/>
              <w:rPr>
                <w:sz w:val="18"/>
                <w:szCs w:val="18"/>
              </w:rPr>
            </w:pPr>
            <w:r w:rsidRPr="00BC4AFE">
              <w:rPr>
                <w:sz w:val="18"/>
                <w:szCs w:val="18"/>
              </w:rPr>
              <w:t>0.006</w:t>
            </w:r>
          </w:p>
        </w:tc>
        <w:tc>
          <w:tcPr>
            <w:tcW w:w="1182" w:type="dxa"/>
            <w:shd w:val="clear" w:color="auto" w:fill="auto"/>
            <w:noWrap/>
            <w:vAlign w:val="center"/>
            <w:hideMark/>
          </w:tcPr>
          <w:p w14:paraId="120247A6" w14:textId="77777777" w:rsidR="00FC752D" w:rsidRPr="00BC4AFE" w:rsidRDefault="00FC752D" w:rsidP="006211D7">
            <w:pPr>
              <w:widowControl w:val="0"/>
              <w:ind w:right="144"/>
              <w:jc w:val="right"/>
              <w:rPr>
                <w:sz w:val="18"/>
                <w:szCs w:val="18"/>
              </w:rPr>
            </w:pPr>
            <w:r w:rsidRPr="00BC4AFE">
              <w:rPr>
                <w:sz w:val="18"/>
                <w:szCs w:val="18"/>
              </w:rPr>
              <w:t>814</w:t>
            </w:r>
          </w:p>
        </w:tc>
        <w:tc>
          <w:tcPr>
            <w:tcW w:w="1182" w:type="dxa"/>
            <w:shd w:val="clear" w:color="auto" w:fill="auto"/>
            <w:noWrap/>
            <w:vAlign w:val="center"/>
            <w:hideMark/>
          </w:tcPr>
          <w:p w14:paraId="7C83649F" w14:textId="77777777" w:rsidR="00FC752D" w:rsidRPr="00BC4AFE" w:rsidRDefault="00FC752D" w:rsidP="006211D7">
            <w:pPr>
              <w:widowControl w:val="0"/>
              <w:ind w:right="144"/>
              <w:jc w:val="right"/>
              <w:rPr>
                <w:sz w:val="18"/>
                <w:szCs w:val="18"/>
              </w:rPr>
            </w:pPr>
            <w:r w:rsidRPr="00BC4AFE">
              <w:rPr>
                <w:sz w:val="18"/>
                <w:szCs w:val="18"/>
              </w:rPr>
              <w:t>893</w:t>
            </w:r>
          </w:p>
        </w:tc>
        <w:tc>
          <w:tcPr>
            <w:tcW w:w="1171" w:type="dxa"/>
            <w:shd w:val="clear" w:color="auto" w:fill="auto"/>
            <w:noWrap/>
            <w:vAlign w:val="center"/>
            <w:hideMark/>
          </w:tcPr>
          <w:p w14:paraId="57B8263D" w14:textId="77777777" w:rsidR="00FC752D" w:rsidRPr="00BC4AFE" w:rsidRDefault="00FC752D" w:rsidP="006211D7">
            <w:pPr>
              <w:widowControl w:val="0"/>
              <w:ind w:right="144"/>
              <w:jc w:val="right"/>
              <w:rPr>
                <w:sz w:val="18"/>
                <w:szCs w:val="18"/>
              </w:rPr>
            </w:pPr>
            <w:r w:rsidRPr="00BC4AFE">
              <w:rPr>
                <w:sz w:val="18"/>
                <w:szCs w:val="18"/>
              </w:rPr>
              <w:t>1,707</w:t>
            </w:r>
          </w:p>
        </w:tc>
      </w:tr>
      <w:tr w:rsidR="00FC752D" w:rsidRPr="00BC4AFE" w14:paraId="181AA96B" w14:textId="77777777" w:rsidTr="00A60395">
        <w:trPr>
          <w:cantSplit/>
          <w:trHeight w:val="245"/>
        </w:trPr>
        <w:tc>
          <w:tcPr>
            <w:tcW w:w="3605" w:type="dxa"/>
            <w:shd w:val="clear" w:color="auto" w:fill="auto"/>
            <w:vAlign w:val="center"/>
            <w:hideMark/>
          </w:tcPr>
          <w:p w14:paraId="66E2C552" w14:textId="77777777" w:rsidR="00FC752D" w:rsidRPr="00BC4AFE" w:rsidRDefault="00FC752D" w:rsidP="006211D7">
            <w:pPr>
              <w:widowControl w:val="0"/>
              <w:ind w:left="144" w:hanging="144"/>
              <w:rPr>
                <w:sz w:val="18"/>
                <w:szCs w:val="18"/>
              </w:rPr>
            </w:pPr>
            <w:r w:rsidRPr="00BC4AFE">
              <w:rPr>
                <w:sz w:val="18"/>
                <w:szCs w:val="18"/>
              </w:rPr>
              <w:t>Angola</w:t>
            </w:r>
          </w:p>
        </w:tc>
        <w:tc>
          <w:tcPr>
            <w:tcW w:w="1182" w:type="dxa"/>
            <w:shd w:val="clear" w:color="auto" w:fill="auto"/>
            <w:vAlign w:val="center"/>
            <w:hideMark/>
          </w:tcPr>
          <w:p w14:paraId="24B8C6C3"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5FADF6DD"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2FE455D3"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65BD5BD0"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2C782470"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2889EA24" w14:textId="77777777" w:rsidTr="00A60395">
        <w:trPr>
          <w:cantSplit/>
          <w:trHeight w:val="245"/>
        </w:trPr>
        <w:tc>
          <w:tcPr>
            <w:tcW w:w="3605" w:type="dxa"/>
            <w:shd w:val="clear" w:color="auto" w:fill="auto"/>
            <w:vAlign w:val="center"/>
            <w:hideMark/>
          </w:tcPr>
          <w:p w14:paraId="51E22159" w14:textId="77777777" w:rsidR="00FC752D" w:rsidRPr="00BC4AFE" w:rsidRDefault="00FC752D" w:rsidP="006211D7">
            <w:pPr>
              <w:widowControl w:val="0"/>
              <w:ind w:left="144" w:hanging="144"/>
              <w:rPr>
                <w:sz w:val="18"/>
                <w:szCs w:val="18"/>
              </w:rPr>
            </w:pPr>
            <w:r w:rsidRPr="00BC4AFE">
              <w:rPr>
                <w:sz w:val="18"/>
                <w:szCs w:val="18"/>
              </w:rPr>
              <w:t>Antigua and Barbuda</w:t>
            </w:r>
          </w:p>
        </w:tc>
        <w:tc>
          <w:tcPr>
            <w:tcW w:w="1182" w:type="dxa"/>
            <w:shd w:val="clear" w:color="auto" w:fill="auto"/>
            <w:vAlign w:val="center"/>
            <w:hideMark/>
          </w:tcPr>
          <w:p w14:paraId="6B262500"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shd w:val="clear" w:color="auto" w:fill="auto"/>
            <w:noWrap/>
            <w:vAlign w:val="center"/>
            <w:hideMark/>
          </w:tcPr>
          <w:p w14:paraId="316670C1"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42006A6A"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shd w:val="clear" w:color="auto" w:fill="auto"/>
            <w:noWrap/>
            <w:vAlign w:val="center"/>
            <w:hideMark/>
          </w:tcPr>
          <w:p w14:paraId="24FF373B"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shd w:val="clear" w:color="auto" w:fill="auto"/>
            <w:noWrap/>
            <w:vAlign w:val="center"/>
            <w:hideMark/>
          </w:tcPr>
          <w:p w14:paraId="6DF69A4A"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34F03D47" w14:textId="77777777" w:rsidTr="00A60395">
        <w:trPr>
          <w:cantSplit/>
          <w:trHeight w:val="245"/>
        </w:trPr>
        <w:tc>
          <w:tcPr>
            <w:tcW w:w="3605" w:type="dxa"/>
            <w:shd w:val="clear" w:color="auto" w:fill="auto"/>
            <w:vAlign w:val="center"/>
            <w:hideMark/>
          </w:tcPr>
          <w:p w14:paraId="4DE8383A" w14:textId="77777777" w:rsidR="00FC752D" w:rsidRPr="00BC4AFE" w:rsidRDefault="00FC752D" w:rsidP="006211D7">
            <w:pPr>
              <w:widowControl w:val="0"/>
              <w:ind w:left="144" w:hanging="144"/>
              <w:rPr>
                <w:sz w:val="18"/>
                <w:szCs w:val="18"/>
              </w:rPr>
            </w:pPr>
            <w:r w:rsidRPr="00BC4AFE">
              <w:rPr>
                <w:sz w:val="18"/>
                <w:szCs w:val="18"/>
              </w:rPr>
              <w:t>Argentina</w:t>
            </w:r>
          </w:p>
        </w:tc>
        <w:tc>
          <w:tcPr>
            <w:tcW w:w="1182" w:type="dxa"/>
            <w:shd w:val="clear" w:color="auto" w:fill="auto"/>
            <w:vAlign w:val="center"/>
            <w:hideMark/>
          </w:tcPr>
          <w:p w14:paraId="60C1D80B" w14:textId="77777777" w:rsidR="00FC752D" w:rsidRPr="00BC4AFE" w:rsidRDefault="00FC752D" w:rsidP="006211D7">
            <w:pPr>
              <w:widowControl w:val="0"/>
              <w:ind w:right="144"/>
              <w:jc w:val="right"/>
              <w:rPr>
                <w:sz w:val="18"/>
                <w:szCs w:val="18"/>
              </w:rPr>
            </w:pPr>
            <w:r w:rsidRPr="00BC4AFE">
              <w:rPr>
                <w:sz w:val="18"/>
                <w:szCs w:val="18"/>
              </w:rPr>
              <w:t>0.719</w:t>
            </w:r>
          </w:p>
        </w:tc>
        <w:tc>
          <w:tcPr>
            <w:tcW w:w="1182" w:type="dxa"/>
            <w:shd w:val="clear" w:color="auto" w:fill="auto"/>
            <w:noWrap/>
            <w:vAlign w:val="center"/>
            <w:hideMark/>
          </w:tcPr>
          <w:p w14:paraId="078A0913" w14:textId="77777777" w:rsidR="00FC752D" w:rsidRPr="00BC4AFE" w:rsidRDefault="00FC752D" w:rsidP="006211D7">
            <w:pPr>
              <w:widowControl w:val="0"/>
              <w:ind w:right="144"/>
              <w:jc w:val="right"/>
              <w:rPr>
                <w:sz w:val="18"/>
                <w:szCs w:val="18"/>
              </w:rPr>
            </w:pPr>
            <w:r w:rsidRPr="00BC4AFE">
              <w:rPr>
                <w:sz w:val="18"/>
                <w:szCs w:val="18"/>
              </w:rPr>
              <w:t>0.899</w:t>
            </w:r>
          </w:p>
        </w:tc>
        <w:tc>
          <w:tcPr>
            <w:tcW w:w="1182" w:type="dxa"/>
            <w:shd w:val="clear" w:color="auto" w:fill="auto"/>
            <w:noWrap/>
            <w:vAlign w:val="center"/>
            <w:hideMark/>
          </w:tcPr>
          <w:p w14:paraId="558AC0AB" w14:textId="77777777" w:rsidR="00FC752D" w:rsidRPr="00BC4AFE" w:rsidRDefault="00FC752D" w:rsidP="006211D7">
            <w:pPr>
              <w:widowControl w:val="0"/>
              <w:ind w:right="144"/>
              <w:jc w:val="right"/>
              <w:rPr>
                <w:sz w:val="18"/>
                <w:szCs w:val="18"/>
              </w:rPr>
            </w:pPr>
            <w:r w:rsidRPr="00BC4AFE">
              <w:rPr>
                <w:sz w:val="18"/>
                <w:szCs w:val="18"/>
              </w:rPr>
              <w:t>117,087</w:t>
            </w:r>
          </w:p>
        </w:tc>
        <w:tc>
          <w:tcPr>
            <w:tcW w:w="1182" w:type="dxa"/>
            <w:shd w:val="clear" w:color="auto" w:fill="auto"/>
            <w:noWrap/>
            <w:vAlign w:val="center"/>
            <w:hideMark/>
          </w:tcPr>
          <w:p w14:paraId="470E44C0" w14:textId="77777777" w:rsidR="00FC752D" w:rsidRPr="00BC4AFE" w:rsidRDefault="00FC752D" w:rsidP="006211D7">
            <w:pPr>
              <w:widowControl w:val="0"/>
              <w:ind w:right="144"/>
              <w:jc w:val="right"/>
              <w:rPr>
                <w:sz w:val="18"/>
                <w:szCs w:val="18"/>
              </w:rPr>
            </w:pPr>
            <w:r w:rsidRPr="00BC4AFE">
              <w:rPr>
                <w:sz w:val="18"/>
                <w:szCs w:val="18"/>
              </w:rPr>
              <w:t>128,425</w:t>
            </w:r>
          </w:p>
        </w:tc>
        <w:tc>
          <w:tcPr>
            <w:tcW w:w="1171" w:type="dxa"/>
            <w:shd w:val="clear" w:color="auto" w:fill="auto"/>
            <w:noWrap/>
            <w:vAlign w:val="center"/>
            <w:hideMark/>
          </w:tcPr>
          <w:p w14:paraId="0970516B" w14:textId="77777777" w:rsidR="00FC752D" w:rsidRPr="00BC4AFE" w:rsidRDefault="00FC752D" w:rsidP="006211D7">
            <w:pPr>
              <w:widowControl w:val="0"/>
              <w:ind w:right="144"/>
              <w:jc w:val="right"/>
              <w:rPr>
                <w:sz w:val="18"/>
                <w:szCs w:val="18"/>
              </w:rPr>
            </w:pPr>
            <w:r w:rsidRPr="00BC4AFE">
              <w:rPr>
                <w:sz w:val="18"/>
                <w:szCs w:val="18"/>
              </w:rPr>
              <w:t>245,512</w:t>
            </w:r>
          </w:p>
        </w:tc>
      </w:tr>
      <w:tr w:rsidR="00FC752D" w:rsidRPr="00BC4AFE" w14:paraId="40D08D9F" w14:textId="77777777" w:rsidTr="00A60395">
        <w:trPr>
          <w:cantSplit/>
          <w:trHeight w:val="245"/>
        </w:trPr>
        <w:tc>
          <w:tcPr>
            <w:tcW w:w="3605" w:type="dxa"/>
            <w:shd w:val="clear" w:color="auto" w:fill="auto"/>
            <w:vAlign w:val="center"/>
            <w:hideMark/>
          </w:tcPr>
          <w:p w14:paraId="7F6BAA9A" w14:textId="77777777" w:rsidR="00FC752D" w:rsidRPr="00BC4AFE" w:rsidRDefault="00FC752D" w:rsidP="006211D7">
            <w:pPr>
              <w:widowControl w:val="0"/>
              <w:ind w:left="144" w:hanging="144"/>
              <w:rPr>
                <w:sz w:val="18"/>
                <w:szCs w:val="18"/>
              </w:rPr>
            </w:pPr>
            <w:r w:rsidRPr="00BC4AFE">
              <w:rPr>
                <w:sz w:val="18"/>
                <w:szCs w:val="18"/>
              </w:rPr>
              <w:t>Armenia</w:t>
            </w:r>
          </w:p>
        </w:tc>
        <w:tc>
          <w:tcPr>
            <w:tcW w:w="1182" w:type="dxa"/>
            <w:shd w:val="clear" w:color="auto" w:fill="auto"/>
            <w:vAlign w:val="center"/>
            <w:hideMark/>
          </w:tcPr>
          <w:p w14:paraId="607CBFAB" w14:textId="77777777" w:rsidR="00FC752D" w:rsidRPr="00BC4AFE" w:rsidRDefault="00FC752D" w:rsidP="006211D7">
            <w:pPr>
              <w:widowControl w:val="0"/>
              <w:ind w:right="144"/>
              <w:jc w:val="right"/>
              <w:rPr>
                <w:sz w:val="18"/>
                <w:szCs w:val="18"/>
              </w:rPr>
            </w:pPr>
            <w:r w:rsidRPr="00BC4AFE">
              <w:rPr>
                <w:sz w:val="18"/>
                <w:szCs w:val="18"/>
              </w:rPr>
              <w:t>0.007</w:t>
            </w:r>
          </w:p>
        </w:tc>
        <w:tc>
          <w:tcPr>
            <w:tcW w:w="1182" w:type="dxa"/>
            <w:shd w:val="clear" w:color="auto" w:fill="auto"/>
            <w:noWrap/>
            <w:vAlign w:val="center"/>
            <w:hideMark/>
          </w:tcPr>
          <w:p w14:paraId="2CD1E85A" w14:textId="77777777" w:rsidR="00FC752D" w:rsidRPr="00BC4AFE" w:rsidRDefault="00FC752D" w:rsidP="006211D7">
            <w:pPr>
              <w:widowControl w:val="0"/>
              <w:ind w:right="144"/>
              <w:jc w:val="right"/>
              <w:rPr>
                <w:sz w:val="18"/>
                <w:szCs w:val="18"/>
              </w:rPr>
            </w:pPr>
            <w:r w:rsidRPr="00BC4AFE">
              <w:rPr>
                <w:sz w:val="18"/>
                <w:szCs w:val="18"/>
              </w:rPr>
              <w:t>0.009</w:t>
            </w:r>
          </w:p>
        </w:tc>
        <w:tc>
          <w:tcPr>
            <w:tcW w:w="1182" w:type="dxa"/>
            <w:shd w:val="clear" w:color="auto" w:fill="auto"/>
            <w:noWrap/>
            <w:vAlign w:val="center"/>
            <w:hideMark/>
          </w:tcPr>
          <w:p w14:paraId="0BCB8763" w14:textId="77777777" w:rsidR="00FC752D" w:rsidRPr="00BC4AFE" w:rsidRDefault="00FC752D" w:rsidP="006211D7">
            <w:pPr>
              <w:widowControl w:val="0"/>
              <w:ind w:right="144"/>
              <w:jc w:val="right"/>
              <w:rPr>
                <w:sz w:val="18"/>
                <w:szCs w:val="18"/>
              </w:rPr>
            </w:pPr>
            <w:r w:rsidRPr="00BC4AFE">
              <w:rPr>
                <w:sz w:val="18"/>
                <w:szCs w:val="18"/>
              </w:rPr>
              <w:t>1,140</w:t>
            </w:r>
          </w:p>
        </w:tc>
        <w:tc>
          <w:tcPr>
            <w:tcW w:w="1182" w:type="dxa"/>
            <w:shd w:val="clear" w:color="auto" w:fill="auto"/>
            <w:noWrap/>
            <w:vAlign w:val="center"/>
            <w:hideMark/>
          </w:tcPr>
          <w:p w14:paraId="1A158768" w14:textId="77777777" w:rsidR="00FC752D" w:rsidRPr="00BC4AFE" w:rsidRDefault="00FC752D" w:rsidP="006211D7">
            <w:pPr>
              <w:widowControl w:val="0"/>
              <w:ind w:right="144"/>
              <w:jc w:val="right"/>
              <w:rPr>
                <w:sz w:val="18"/>
                <w:szCs w:val="18"/>
              </w:rPr>
            </w:pPr>
            <w:r w:rsidRPr="00BC4AFE">
              <w:rPr>
                <w:sz w:val="18"/>
                <w:szCs w:val="18"/>
              </w:rPr>
              <w:t>1,250</w:t>
            </w:r>
          </w:p>
        </w:tc>
        <w:tc>
          <w:tcPr>
            <w:tcW w:w="1171" w:type="dxa"/>
            <w:shd w:val="clear" w:color="auto" w:fill="auto"/>
            <w:noWrap/>
            <w:vAlign w:val="center"/>
            <w:hideMark/>
          </w:tcPr>
          <w:p w14:paraId="46F85B3A" w14:textId="77777777" w:rsidR="00FC752D" w:rsidRPr="00BC4AFE" w:rsidRDefault="00FC752D" w:rsidP="006211D7">
            <w:pPr>
              <w:widowControl w:val="0"/>
              <w:ind w:right="144"/>
              <w:jc w:val="right"/>
              <w:rPr>
                <w:sz w:val="18"/>
                <w:szCs w:val="18"/>
              </w:rPr>
            </w:pPr>
            <w:r w:rsidRPr="00BC4AFE">
              <w:rPr>
                <w:sz w:val="18"/>
                <w:szCs w:val="18"/>
              </w:rPr>
              <w:t>2,390</w:t>
            </w:r>
          </w:p>
        </w:tc>
      </w:tr>
      <w:tr w:rsidR="00FC752D" w:rsidRPr="00BC4AFE" w14:paraId="3A00ED35" w14:textId="77777777" w:rsidTr="00A60395">
        <w:trPr>
          <w:cantSplit/>
          <w:trHeight w:val="245"/>
        </w:trPr>
        <w:tc>
          <w:tcPr>
            <w:tcW w:w="3605" w:type="dxa"/>
            <w:shd w:val="clear" w:color="auto" w:fill="auto"/>
            <w:vAlign w:val="center"/>
            <w:hideMark/>
          </w:tcPr>
          <w:p w14:paraId="1BD5E687" w14:textId="77777777" w:rsidR="00FC752D" w:rsidRPr="00BC4AFE" w:rsidRDefault="00FC752D" w:rsidP="006211D7">
            <w:pPr>
              <w:widowControl w:val="0"/>
              <w:ind w:left="144" w:hanging="144"/>
              <w:rPr>
                <w:sz w:val="18"/>
                <w:szCs w:val="18"/>
              </w:rPr>
            </w:pPr>
            <w:r w:rsidRPr="00BC4AFE">
              <w:rPr>
                <w:sz w:val="18"/>
                <w:szCs w:val="18"/>
              </w:rPr>
              <w:t>Australia</w:t>
            </w:r>
          </w:p>
        </w:tc>
        <w:tc>
          <w:tcPr>
            <w:tcW w:w="1182" w:type="dxa"/>
            <w:shd w:val="clear" w:color="auto" w:fill="auto"/>
            <w:vAlign w:val="center"/>
            <w:hideMark/>
          </w:tcPr>
          <w:p w14:paraId="77F993BE" w14:textId="77777777" w:rsidR="00FC752D" w:rsidRPr="00BC4AFE" w:rsidRDefault="00FC752D" w:rsidP="006211D7">
            <w:pPr>
              <w:widowControl w:val="0"/>
              <w:ind w:right="144"/>
              <w:jc w:val="right"/>
              <w:rPr>
                <w:sz w:val="18"/>
                <w:szCs w:val="18"/>
              </w:rPr>
            </w:pPr>
            <w:r w:rsidRPr="00BC4AFE">
              <w:rPr>
                <w:sz w:val="18"/>
                <w:szCs w:val="18"/>
              </w:rPr>
              <w:t>2.111</w:t>
            </w:r>
          </w:p>
        </w:tc>
        <w:tc>
          <w:tcPr>
            <w:tcW w:w="1182" w:type="dxa"/>
            <w:shd w:val="clear" w:color="auto" w:fill="auto"/>
            <w:noWrap/>
            <w:vAlign w:val="center"/>
            <w:hideMark/>
          </w:tcPr>
          <w:p w14:paraId="3CA5E3E6" w14:textId="77777777" w:rsidR="00FC752D" w:rsidRPr="00BC4AFE" w:rsidRDefault="00FC752D" w:rsidP="006211D7">
            <w:pPr>
              <w:widowControl w:val="0"/>
              <w:ind w:right="144"/>
              <w:jc w:val="right"/>
              <w:rPr>
                <w:sz w:val="18"/>
                <w:szCs w:val="18"/>
              </w:rPr>
            </w:pPr>
            <w:r w:rsidRPr="00BC4AFE">
              <w:rPr>
                <w:sz w:val="18"/>
                <w:szCs w:val="18"/>
              </w:rPr>
              <w:t>2.639</w:t>
            </w:r>
          </w:p>
        </w:tc>
        <w:tc>
          <w:tcPr>
            <w:tcW w:w="1182" w:type="dxa"/>
            <w:shd w:val="clear" w:color="auto" w:fill="auto"/>
            <w:noWrap/>
            <w:vAlign w:val="center"/>
            <w:hideMark/>
          </w:tcPr>
          <w:p w14:paraId="4324BC68" w14:textId="77777777" w:rsidR="00FC752D" w:rsidRPr="00BC4AFE" w:rsidRDefault="00FC752D" w:rsidP="006211D7">
            <w:pPr>
              <w:widowControl w:val="0"/>
              <w:ind w:right="144"/>
              <w:jc w:val="right"/>
              <w:rPr>
                <w:sz w:val="18"/>
                <w:szCs w:val="18"/>
              </w:rPr>
            </w:pPr>
            <w:r w:rsidRPr="00BC4AFE">
              <w:rPr>
                <w:sz w:val="18"/>
                <w:szCs w:val="18"/>
              </w:rPr>
              <w:t>343,770</w:t>
            </w:r>
          </w:p>
        </w:tc>
        <w:tc>
          <w:tcPr>
            <w:tcW w:w="1182" w:type="dxa"/>
            <w:shd w:val="clear" w:color="auto" w:fill="auto"/>
            <w:noWrap/>
            <w:vAlign w:val="center"/>
            <w:hideMark/>
          </w:tcPr>
          <w:p w14:paraId="735CB10D" w14:textId="77777777" w:rsidR="00FC752D" w:rsidRPr="00BC4AFE" w:rsidRDefault="00FC752D" w:rsidP="006211D7">
            <w:pPr>
              <w:widowControl w:val="0"/>
              <w:ind w:right="144"/>
              <w:jc w:val="right"/>
              <w:rPr>
                <w:sz w:val="18"/>
                <w:szCs w:val="18"/>
              </w:rPr>
            </w:pPr>
            <w:r w:rsidRPr="00BC4AFE">
              <w:rPr>
                <w:sz w:val="18"/>
                <w:szCs w:val="18"/>
              </w:rPr>
              <w:t>377,060</w:t>
            </w:r>
          </w:p>
        </w:tc>
        <w:tc>
          <w:tcPr>
            <w:tcW w:w="1171" w:type="dxa"/>
            <w:shd w:val="clear" w:color="auto" w:fill="auto"/>
            <w:noWrap/>
            <w:vAlign w:val="center"/>
            <w:hideMark/>
          </w:tcPr>
          <w:p w14:paraId="460146AB" w14:textId="77777777" w:rsidR="00FC752D" w:rsidRPr="00BC4AFE" w:rsidRDefault="00FC752D" w:rsidP="006211D7">
            <w:pPr>
              <w:widowControl w:val="0"/>
              <w:ind w:right="144"/>
              <w:jc w:val="right"/>
              <w:rPr>
                <w:sz w:val="18"/>
                <w:szCs w:val="18"/>
              </w:rPr>
            </w:pPr>
            <w:r w:rsidRPr="00BC4AFE">
              <w:rPr>
                <w:sz w:val="18"/>
                <w:szCs w:val="18"/>
              </w:rPr>
              <w:t>720,830</w:t>
            </w:r>
          </w:p>
        </w:tc>
      </w:tr>
      <w:tr w:rsidR="00FC752D" w:rsidRPr="00BC4AFE" w14:paraId="4AE16734" w14:textId="77777777" w:rsidTr="00A60395">
        <w:trPr>
          <w:cantSplit/>
          <w:trHeight w:val="245"/>
        </w:trPr>
        <w:tc>
          <w:tcPr>
            <w:tcW w:w="3605" w:type="dxa"/>
            <w:shd w:val="clear" w:color="auto" w:fill="auto"/>
            <w:vAlign w:val="center"/>
            <w:hideMark/>
          </w:tcPr>
          <w:p w14:paraId="5098D0FC" w14:textId="77777777" w:rsidR="00FC752D" w:rsidRPr="00BC4AFE" w:rsidRDefault="00FC752D" w:rsidP="006211D7">
            <w:pPr>
              <w:widowControl w:val="0"/>
              <w:ind w:left="144" w:hanging="144"/>
              <w:rPr>
                <w:sz w:val="18"/>
                <w:szCs w:val="18"/>
              </w:rPr>
            </w:pPr>
            <w:r w:rsidRPr="00BC4AFE">
              <w:rPr>
                <w:sz w:val="18"/>
                <w:szCs w:val="18"/>
              </w:rPr>
              <w:t>Austria</w:t>
            </w:r>
          </w:p>
        </w:tc>
        <w:tc>
          <w:tcPr>
            <w:tcW w:w="1182" w:type="dxa"/>
            <w:shd w:val="clear" w:color="auto" w:fill="auto"/>
            <w:vAlign w:val="center"/>
            <w:hideMark/>
          </w:tcPr>
          <w:p w14:paraId="11963F5F" w14:textId="77777777" w:rsidR="00FC752D" w:rsidRPr="00BC4AFE" w:rsidRDefault="00FC752D" w:rsidP="006211D7">
            <w:pPr>
              <w:widowControl w:val="0"/>
              <w:ind w:right="144"/>
              <w:jc w:val="right"/>
              <w:rPr>
                <w:sz w:val="18"/>
                <w:szCs w:val="18"/>
              </w:rPr>
            </w:pPr>
            <w:r w:rsidRPr="00BC4AFE">
              <w:rPr>
                <w:sz w:val="18"/>
                <w:szCs w:val="18"/>
              </w:rPr>
              <w:t>0.679</w:t>
            </w:r>
          </w:p>
        </w:tc>
        <w:tc>
          <w:tcPr>
            <w:tcW w:w="1182" w:type="dxa"/>
            <w:shd w:val="clear" w:color="auto" w:fill="auto"/>
            <w:noWrap/>
            <w:vAlign w:val="center"/>
            <w:hideMark/>
          </w:tcPr>
          <w:p w14:paraId="4C09E199" w14:textId="77777777" w:rsidR="00FC752D" w:rsidRPr="00BC4AFE" w:rsidRDefault="00FC752D" w:rsidP="006211D7">
            <w:pPr>
              <w:widowControl w:val="0"/>
              <w:ind w:right="144"/>
              <w:jc w:val="right"/>
              <w:rPr>
                <w:sz w:val="18"/>
                <w:szCs w:val="18"/>
              </w:rPr>
            </w:pPr>
            <w:r w:rsidRPr="00BC4AFE">
              <w:rPr>
                <w:sz w:val="18"/>
                <w:szCs w:val="18"/>
              </w:rPr>
              <w:t>0.849</w:t>
            </w:r>
          </w:p>
        </w:tc>
        <w:tc>
          <w:tcPr>
            <w:tcW w:w="1182" w:type="dxa"/>
            <w:shd w:val="clear" w:color="auto" w:fill="auto"/>
            <w:noWrap/>
            <w:vAlign w:val="center"/>
            <w:hideMark/>
          </w:tcPr>
          <w:p w14:paraId="32208C5D" w14:textId="77777777" w:rsidR="00FC752D" w:rsidRPr="00BC4AFE" w:rsidRDefault="00FC752D" w:rsidP="006211D7">
            <w:pPr>
              <w:widowControl w:val="0"/>
              <w:ind w:right="144"/>
              <w:jc w:val="right"/>
              <w:rPr>
                <w:sz w:val="18"/>
                <w:szCs w:val="18"/>
              </w:rPr>
            </w:pPr>
            <w:r w:rsidRPr="00BC4AFE">
              <w:rPr>
                <w:sz w:val="18"/>
                <w:szCs w:val="18"/>
              </w:rPr>
              <w:t>110,573</w:t>
            </w:r>
          </w:p>
        </w:tc>
        <w:tc>
          <w:tcPr>
            <w:tcW w:w="1182" w:type="dxa"/>
            <w:shd w:val="clear" w:color="auto" w:fill="auto"/>
            <w:noWrap/>
            <w:vAlign w:val="center"/>
            <w:hideMark/>
          </w:tcPr>
          <w:p w14:paraId="25B5A733" w14:textId="77777777" w:rsidR="00FC752D" w:rsidRPr="00BC4AFE" w:rsidRDefault="00FC752D" w:rsidP="006211D7">
            <w:pPr>
              <w:widowControl w:val="0"/>
              <w:ind w:right="144"/>
              <w:jc w:val="right"/>
              <w:rPr>
                <w:sz w:val="18"/>
                <w:szCs w:val="18"/>
              </w:rPr>
            </w:pPr>
            <w:r w:rsidRPr="00BC4AFE">
              <w:rPr>
                <w:sz w:val="18"/>
                <w:szCs w:val="18"/>
              </w:rPr>
              <w:t>121,281</w:t>
            </w:r>
          </w:p>
        </w:tc>
        <w:tc>
          <w:tcPr>
            <w:tcW w:w="1171" w:type="dxa"/>
            <w:shd w:val="clear" w:color="auto" w:fill="auto"/>
            <w:noWrap/>
            <w:vAlign w:val="center"/>
            <w:hideMark/>
          </w:tcPr>
          <w:p w14:paraId="44DC1A15" w14:textId="77777777" w:rsidR="00FC752D" w:rsidRPr="00BC4AFE" w:rsidRDefault="00FC752D" w:rsidP="006211D7">
            <w:pPr>
              <w:widowControl w:val="0"/>
              <w:ind w:right="144"/>
              <w:jc w:val="right"/>
              <w:rPr>
                <w:sz w:val="18"/>
                <w:szCs w:val="18"/>
              </w:rPr>
            </w:pPr>
            <w:r w:rsidRPr="00BC4AFE">
              <w:rPr>
                <w:sz w:val="18"/>
                <w:szCs w:val="18"/>
              </w:rPr>
              <w:t>231,854</w:t>
            </w:r>
          </w:p>
        </w:tc>
      </w:tr>
      <w:tr w:rsidR="00FC752D" w:rsidRPr="00BC4AFE" w14:paraId="590EF9C9" w14:textId="77777777" w:rsidTr="00A60395">
        <w:trPr>
          <w:cantSplit/>
          <w:trHeight w:val="245"/>
        </w:trPr>
        <w:tc>
          <w:tcPr>
            <w:tcW w:w="3605" w:type="dxa"/>
            <w:shd w:val="clear" w:color="auto" w:fill="auto"/>
            <w:vAlign w:val="center"/>
            <w:hideMark/>
          </w:tcPr>
          <w:p w14:paraId="44410BFC" w14:textId="77777777" w:rsidR="00FC752D" w:rsidRPr="00BC4AFE" w:rsidRDefault="00FC752D" w:rsidP="006211D7">
            <w:pPr>
              <w:widowControl w:val="0"/>
              <w:ind w:left="144" w:hanging="144"/>
              <w:rPr>
                <w:sz w:val="18"/>
                <w:szCs w:val="18"/>
              </w:rPr>
            </w:pPr>
            <w:r w:rsidRPr="00BC4AFE">
              <w:rPr>
                <w:sz w:val="18"/>
                <w:szCs w:val="18"/>
              </w:rPr>
              <w:t>Azerbaijan</w:t>
            </w:r>
          </w:p>
        </w:tc>
        <w:tc>
          <w:tcPr>
            <w:tcW w:w="1182" w:type="dxa"/>
            <w:shd w:val="clear" w:color="auto" w:fill="auto"/>
            <w:vAlign w:val="center"/>
            <w:hideMark/>
          </w:tcPr>
          <w:p w14:paraId="0E759113" w14:textId="77777777" w:rsidR="00FC752D" w:rsidRPr="00BC4AFE" w:rsidRDefault="00FC752D" w:rsidP="006211D7">
            <w:pPr>
              <w:widowControl w:val="0"/>
              <w:ind w:right="144"/>
              <w:jc w:val="right"/>
              <w:rPr>
                <w:sz w:val="18"/>
                <w:szCs w:val="18"/>
              </w:rPr>
            </w:pPr>
            <w:r w:rsidRPr="00BC4AFE">
              <w:rPr>
                <w:sz w:val="18"/>
                <w:szCs w:val="18"/>
              </w:rPr>
              <w:t>0.030</w:t>
            </w:r>
          </w:p>
        </w:tc>
        <w:tc>
          <w:tcPr>
            <w:tcW w:w="1182" w:type="dxa"/>
            <w:shd w:val="clear" w:color="auto" w:fill="auto"/>
            <w:noWrap/>
            <w:vAlign w:val="center"/>
            <w:hideMark/>
          </w:tcPr>
          <w:p w14:paraId="4F4B472A" w14:textId="77777777" w:rsidR="00FC752D" w:rsidRPr="00BC4AFE" w:rsidRDefault="00FC752D" w:rsidP="006211D7">
            <w:pPr>
              <w:widowControl w:val="0"/>
              <w:ind w:right="144"/>
              <w:jc w:val="right"/>
              <w:rPr>
                <w:sz w:val="18"/>
                <w:szCs w:val="18"/>
              </w:rPr>
            </w:pPr>
            <w:r w:rsidRPr="00BC4AFE">
              <w:rPr>
                <w:sz w:val="18"/>
                <w:szCs w:val="18"/>
              </w:rPr>
              <w:t>0.038</w:t>
            </w:r>
          </w:p>
        </w:tc>
        <w:tc>
          <w:tcPr>
            <w:tcW w:w="1182" w:type="dxa"/>
            <w:shd w:val="clear" w:color="auto" w:fill="auto"/>
            <w:noWrap/>
            <w:vAlign w:val="center"/>
            <w:hideMark/>
          </w:tcPr>
          <w:p w14:paraId="15F5F81E" w14:textId="77777777" w:rsidR="00FC752D" w:rsidRPr="00BC4AFE" w:rsidRDefault="00FC752D" w:rsidP="006211D7">
            <w:pPr>
              <w:widowControl w:val="0"/>
              <w:ind w:right="144"/>
              <w:jc w:val="right"/>
              <w:rPr>
                <w:sz w:val="18"/>
                <w:szCs w:val="18"/>
              </w:rPr>
            </w:pPr>
            <w:r w:rsidRPr="00BC4AFE">
              <w:rPr>
                <w:sz w:val="18"/>
                <w:szCs w:val="18"/>
              </w:rPr>
              <w:t>4,885</w:t>
            </w:r>
          </w:p>
        </w:tc>
        <w:tc>
          <w:tcPr>
            <w:tcW w:w="1182" w:type="dxa"/>
            <w:shd w:val="clear" w:color="auto" w:fill="auto"/>
            <w:noWrap/>
            <w:vAlign w:val="center"/>
            <w:hideMark/>
          </w:tcPr>
          <w:p w14:paraId="183C52EB" w14:textId="77777777" w:rsidR="00FC752D" w:rsidRPr="00BC4AFE" w:rsidRDefault="00FC752D" w:rsidP="006211D7">
            <w:pPr>
              <w:widowControl w:val="0"/>
              <w:ind w:right="144"/>
              <w:jc w:val="right"/>
              <w:rPr>
                <w:sz w:val="18"/>
                <w:szCs w:val="18"/>
              </w:rPr>
            </w:pPr>
            <w:r w:rsidRPr="00BC4AFE">
              <w:rPr>
                <w:sz w:val="18"/>
                <w:szCs w:val="18"/>
              </w:rPr>
              <w:t>5,358</w:t>
            </w:r>
          </w:p>
        </w:tc>
        <w:tc>
          <w:tcPr>
            <w:tcW w:w="1171" w:type="dxa"/>
            <w:shd w:val="clear" w:color="auto" w:fill="auto"/>
            <w:noWrap/>
            <w:vAlign w:val="center"/>
            <w:hideMark/>
          </w:tcPr>
          <w:p w14:paraId="5D45C7CD" w14:textId="77777777" w:rsidR="00FC752D" w:rsidRPr="00BC4AFE" w:rsidRDefault="00FC752D" w:rsidP="006211D7">
            <w:pPr>
              <w:widowControl w:val="0"/>
              <w:ind w:right="144"/>
              <w:jc w:val="right"/>
              <w:rPr>
                <w:sz w:val="18"/>
                <w:szCs w:val="18"/>
              </w:rPr>
            </w:pPr>
            <w:r w:rsidRPr="00BC4AFE">
              <w:rPr>
                <w:sz w:val="18"/>
                <w:szCs w:val="18"/>
              </w:rPr>
              <w:t>10,244</w:t>
            </w:r>
          </w:p>
        </w:tc>
      </w:tr>
      <w:tr w:rsidR="00FC752D" w:rsidRPr="00BC4AFE" w14:paraId="21BE7391" w14:textId="77777777" w:rsidTr="00A60395">
        <w:trPr>
          <w:cantSplit/>
          <w:trHeight w:val="245"/>
        </w:trPr>
        <w:tc>
          <w:tcPr>
            <w:tcW w:w="3605" w:type="dxa"/>
            <w:shd w:val="clear" w:color="auto" w:fill="auto"/>
            <w:vAlign w:val="center"/>
            <w:hideMark/>
          </w:tcPr>
          <w:p w14:paraId="2E916698" w14:textId="77777777" w:rsidR="00FC752D" w:rsidRPr="00BC4AFE" w:rsidRDefault="00FC752D" w:rsidP="006211D7">
            <w:pPr>
              <w:widowControl w:val="0"/>
              <w:ind w:left="144" w:hanging="144"/>
              <w:rPr>
                <w:sz w:val="18"/>
                <w:szCs w:val="18"/>
              </w:rPr>
            </w:pPr>
            <w:r w:rsidRPr="00BC4AFE">
              <w:rPr>
                <w:sz w:val="18"/>
                <w:szCs w:val="18"/>
              </w:rPr>
              <w:t>Bahamas</w:t>
            </w:r>
          </w:p>
        </w:tc>
        <w:tc>
          <w:tcPr>
            <w:tcW w:w="1182" w:type="dxa"/>
            <w:shd w:val="clear" w:color="auto" w:fill="auto"/>
            <w:vAlign w:val="center"/>
            <w:hideMark/>
          </w:tcPr>
          <w:p w14:paraId="1B198F24" w14:textId="77777777" w:rsidR="00FC752D" w:rsidRPr="00BC4AFE" w:rsidRDefault="00FC752D" w:rsidP="006211D7">
            <w:pPr>
              <w:widowControl w:val="0"/>
              <w:ind w:right="144"/>
              <w:jc w:val="right"/>
              <w:rPr>
                <w:sz w:val="18"/>
                <w:szCs w:val="18"/>
              </w:rPr>
            </w:pPr>
            <w:r w:rsidRPr="00BC4AFE">
              <w:rPr>
                <w:sz w:val="18"/>
                <w:szCs w:val="18"/>
              </w:rPr>
              <w:t>0.019</w:t>
            </w:r>
          </w:p>
        </w:tc>
        <w:tc>
          <w:tcPr>
            <w:tcW w:w="1182" w:type="dxa"/>
            <w:shd w:val="clear" w:color="auto" w:fill="auto"/>
            <w:noWrap/>
            <w:vAlign w:val="center"/>
            <w:hideMark/>
          </w:tcPr>
          <w:p w14:paraId="3E951B37" w14:textId="77777777" w:rsidR="00FC752D" w:rsidRPr="00BC4AFE" w:rsidRDefault="00FC752D" w:rsidP="006211D7">
            <w:pPr>
              <w:widowControl w:val="0"/>
              <w:ind w:right="144"/>
              <w:jc w:val="right"/>
              <w:rPr>
                <w:sz w:val="18"/>
                <w:szCs w:val="18"/>
              </w:rPr>
            </w:pPr>
            <w:r w:rsidRPr="00BC4AFE">
              <w:rPr>
                <w:sz w:val="18"/>
                <w:szCs w:val="18"/>
              </w:rPr>
              <w:t>0.024</w:t>
            </w:r>
          </w:p>
        </w:tc>
        <w:tc>
          <w:tcPr>
            <w:tcW w:w="1182" w:type="dxa"/>
            <w:shd w:val="clear" w:color="auto" w:fill="auto"/>
            <w:noWrap/>
            <w:vAlign w:val="center"/>
            <w:hideMark/>
          </w:tcPr>
          <w:p w14:paraId="7941DD3A" w14:textId="77777777" w:rsidR="00FC752D" w:rsidRPr="00BC4AFE" w:rsidRDefault="00FC752D" w:rsidP="006211D7">
            <w:pPr>
              <w:widowControl w:val="0"/>
              <w:ind w:right="144"/>
              <w:jc w:val="right"/>
              <w:rPr>
                <w:sz w:val="18"/>
                <w:szCs w:val="18"/>
              </w:rPr>
            </w:pPr>
            <w:r w:rsidRPr="00BC4AFE">
              <w:rPr>
                <w:sz w:val="18"/>
                <w:szCs w:val="18"/>
              </w:rPr>
              <w:t>3,094</w:t>
            </w:r>
          </w:p>
        </w:tc>
        <w:tc>
          <w:tcPr>
            <w:tcW w:w="1182" w:type="dxa"/>
            <w:shd w:val="clear" w:color="auto" w:fill="auto"/>
            <w:noWrap/>
            <w:vAlign w:val="center"/>
            <w:hideMark/>
          </w:tcPr>
          <w:p w14:paraId="6ED0E883" w14:textId="77777777" w:rsidR="00FC752D" w:rsidRPr="00BC4AFE" w:rsidRDefault="00FC752D" w:rsidP="006211D7">
            <w:pPr>
              <w:widowControl w:val="0"/>
              <w:ind w:right="144"/>
              <w:jc w:val="right"/>
              <w:rPr>
                <w:sz w:val="18"/>
                <w:szCs w:val="18"/>
              </w:rPr>
            </w:pPr>
            <w:r w:rsidRPr="00BC4AFE">
              <w:rPr>
                <w:sz w:val="18"/>
                <w:szCs w:val="18"/>
              </w:rPr>
              <w:t>3,394</w:t>
            </w:r>
          </w:p>
        </w:tc>
        <w:tc>
          <w:tcPr>
            <w:tcW w:w="1171" w:type="dxa"/>
            <w:shd w:val="clear" w:color="auto" w:fill="auto"/>
            <w:noWrap/>
            <w:vAlign w:val="center"/>
            <w:hideMark/>
          </w:tcPr>
          <w:p w14:paraId="5F74DFE6" w14:textId="77777777" w:rsidR="00FC752D" w:rsidRPr="00BC4AFE" w:rsidRDefault="00FC752D" w:rsidP="006211D7">
            <w:pPr>
              <w:widowControl w:val="0"/>
              <w:ind w:right="144"/>
              <w:jc w:val="right"/>
              <w:rPr>
                <w:sz w:val="18"/>
                <w:szCs w:val="18"/>
              </w:rPr>
            </w:pPr>
            <w:r w:rsidRPr="00BC4AFE">
              <w:rPr>
                <w:sz w:val="18"/>
                <w:szCs w:val="18"/>
              </w:rPr>
              <w:t>6,488</w:t>
            </w:r>
          </w:p>
        </w:tc>
      </w:tr>
      <w:tr w:rsidR="00FC752D" w:rsidRPr="00BC4AFE" w14:paraId="339144B4" w14:textId="77777777" w:rsidTr="00A60395">
        <w:trPr>
          <w:cantSplit/>
          <w:trHeight w:val="245"/>
        </w:trPr>
        <w:tc>
          <w:tcPr>
            <w:tcW w:w="3605" w:type="dxa"/>
            <w:shd w:val="clear" w:color="auto" w:fill="auto"/>
            <w:vAlign w:val="center"/>
            <w:hideMark/>
          </w:tcPr>
          <w:p w14:paraId="22644291" w14:textId="77777777" w:rsidR="00FC752D" w:rsidRPr="00BC4AFE" w:rsidRDefault="00FC752D" w:rsidP="006211D7">
            <w:pPr>
              <w:widowControl w:val="0"/>
              <w:ind w:left="144" w:hanging="144"/>
              <w:rPr>
                <w:sz w:val="18"/>
                <w:szCs w:val="18"/>
              </w:rPr>
            </w:pPr>
            <w:r w:rsidRPr="00BC4AFE">
              <w:rPr>
                <w:sz w:val="18"/>
                <w:szCs w:val="18"/>
              </w:rPr>
              <w:t>Bahrain</w:t>
            </w:r>
          </w:p>
        </w:tc>
        <w:tc>
          <w:tcPr>
            <w:tcW w:w="1182" w:type="dxa"/>
            <w:shd w:val="clear" w:color="auto" w:fill="auto"/>
            <w:vAlign w:val="center"/>
            <w:hideMark/>
          </w:tcPr>
          <w:p w14:paraId="7B5A73B0" w14:textId="77777777" w:rsidR="00FC752D" w:rsidRPr="00BC4AFE" w:rsidRDefault="00FC752D" w:rsidP="006211D7">
            <w:pPr>
              <w:widowControl w:val="0"/>
              <w:ind w:right="144"/>
              <w:jc w:val="right"/>
              <w:rPr>
                <w:sz w:val="18"/>
                <w:szCs w:val="18"/>
              </w:rPr>
            </w:pPr>
            <w:r w:rsidRPr="00BC4AFE">
              <w:rPr>
                <w:sz w:val="18"/>
                <w:szCs w:val="18"/>
              </w:rPr>
              <w:t>0.054</w:t>
            </w:r>
          </w:p>
        </w:tc>
        <w:tc>
          <w:tcPr>
            <w:tcW w:w="1182" w:type="dxa"/>
            <w:shd w:val="clear" w:color="auto" w:fill="auto"/>
            <w:noWrap/>
            <w:vAlign w:val="center"/>
            <w:hideMark/>
          </w:tcPr>
          <w:p w14:paraId="58151DEC" w14:textId="77777777" w:rsidR="00FC752D" w:rsidRPr="00BC4AFE" w:rsidRDefault="00FC752D" w:rsidP="006211D7">
            <w:pPr>
              <w:widowControl w:val="0"/>
              <w:ind w:right="144"/>
              <w:jc w:val="right"/>
              <w:rPr>
                <w:sz w:val="18"/>
                <w:szCs w:val="18"/>
              </w:rPr>
            </w:pPr>
            <w:r w:rsidRPr="00BC4AFE">
              <w:rPr>
                <w:sz w:val="18"/>
                <w:szCs w:val="18"/>
              </w:rPr>
              <w:t>0.068</w:t>
            </w:r>
          </w:p>
        </w:tc>
        <w:tc>
          <w:tcPr>
            <w:tcW w:w="1182" w:type="dxa"/>
            <w:shd w:val="clear" w:color="auto" w:fill="auto"/>
            <w:noWrap/>
            <w:vAlign w:val="center"/>
            <w:hideMark/>
          </w:tcPr>
          <w:p w14:paraId="3D29D1A8" w14:textId="77777777" w:rsidR="00FC752D" w:rsidRPr="00BC4AFE" w:rsidRDefault="00FC752D" w:rsidP="006211D7">
            <w:pPr>
              <w:widowControl w:val="0"/>
              <w:ind w:right="144"/>
              <w:jc w:val="right"/>
              <w:rPr>
                <w:sz w:val="18"/>
                <w:szCs w:val="18"/>
              </w:rPr>
            </w:pPr>
            <w:r w:rsidRPr="00BC4AFE">
              <w:rPr>
                <w:sz w:val="18"/>
                <w:szCs w:val="18"/>
              </w:rPr>
              <w:t>8,794</w:t>
            </w:r>
          </w:p>
        </w:tc>
        <w:tc>
          <w:tcPr>
            <w:tcW w:w="1182" w:type="dxa"/>
            <w:shd w:val="clear" w:color="auto" w:fill="auto"/>
            <w:noWrap/>
            <w:vAlign w:val="center"/>
            <w:hideMark/>
          </w:tcPr>
          <w:p w14:paraId="085CFB97" w14:textId="77777777" w:rsidR="00FC752D" w:rsidRPr="00BC4AFE" w:rsidRDefault="00FC752D" w:rsidP="006211D7">
            <w:pPr>
              <w:widowControl w:val="0"/>
              <w:ind w:right="144"/>
              <w:jc w:val="right"/>
              <w:rPr>
                <w:sz w:val="18"/>
                <w:szCs w:val="18"/>
              </w:rPr>
            </w:pPr>
            <w:r w:rsidRPr="00BC4AFE">
              <w:rPr>
                <w:sz w:val="18"/>
                <w:szCs w:val="18"/>
              </w:rPr>
              <w:t>9,645</w:t>
            </w:r>
          </w:p>
        </w:tc>
        <w:tc>
          <w:tcPr>
            <w:tcW w:w="1171" w:type="dxa"/>
            <w:shd w:val="clear" w:color="auto" w:fill="auto"/>
            <w:noWrap/>
            <w:vAlign w:val="center"/>
            <w:hideMark/>
          </w:tcPr>
          <w:p w14:paraId="722C965C" w14:textId="77777777" w:rsidR="00FC752D" w:rsidRPr="00BC4AFE" w:rsidRDefault="00FC752D" w:rsidP="006211D7">
            <w:pPr>
              <w:widowControl w:val="0"/>
              <w:ind w:right="144"/>
              <w:jc w:val="right"/>
              <w:rPr>
                <w:sz w:val="18"/>
                <w:szCs w:val="18"/>
              </w:rPr>
            </w:pPr>
            <w:r w:rsidRPr="00BC4AFE">
              <w:rPr>
                <w:sz w:val="18"/>
                <w:szCs w:val="18"/>
              </w:rPr>
              <w:t>18,439</w:t>
            </w:r>
          </w:p>
        </w:tc>
      </w:tr>
      <w:tr w:rsidR="00FC752D" w:rsidRPr="00BC4AFE" w14:paraId="6A94F566" w14:textId="77777777" w:rsidTr="00A60395">
        <w:trPr>
          <w:cantSplit/>
          <w:trHeight w:val="245"/>
        </w:trPr>
        <w:tc>
          <w:tcPr>
            <w:tcW w:w="3605" w:type="dxa"/>
            <w:shd w:val="clear" w:color="auto" w:fill="auto"/>
            <w:vAlign w:val="center"/>
            <w:hideMark/>
          </w:tcPr>
          <w:p w14:paraId="67057BD7" w14:textId="77777777" w:rsidR="00FC752D" w:rsidRPr="00BC4AFE" w:rsidRDefault="00FC752D" w:rsidP="006211D7">
            <w:pPr>
              <w:widowControl w:val="0"/>
              <w:ind w:left="144" w:hanging="144"/>
              <w:rPr>
                <w:sz w:val="18"/>
                <w:szCs w:val="18"/>
              </w:rPr>
            </w:pPr>
            <w:r w:rsidRPr="00BC4AFE">
              <w:rPr>
                <w:sz w:val="18"/>
                <w:szCs w:val="18"/>
              </w:rPr>
              <w:t>Bangladesh</w:t>
            </w:r>
          </w:p>
        </w:tc>
        <w:tc>
          <w:tcPr>
            <w:tcW w:w="1182" w:type="dxa"/>
            <w:shd w:val="clear" w:color="auto" w:fill="auto"/>
            <w:vAlign w:val="center"/>
            <w:hideMark/>
          </w:tcPr>
          <w:p w14:paraId="586CC7C3"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603869D1"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6F4058EE"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12A092C8"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352BC0EC"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644842B1" w14:textId="77777777" w:rsidTr="00A60395">
        <w:trPr>
          <w:cantSplit/>
          <w:trHeight w:val="245"/>
        </w:trPr>
        <w:tc>
          <w:tcPr>
            <w:tcW w:w="3605" w:type="dxa"/>
            <w:shd w:val="clear" w:color="auto" w:fill="auto"/>
            <w:vAlign w:val="center"/>
            <w:hideMark/>
          </w:tcPr>
          <w:p w14:paraId="6F9737D2" w14:textId="77777777" w:rsidR="00FC752D" w:rsidRPr="00BC4AFE" w:rsidRDefault="00FC752D" w:rsidP="006211D7">
            <w:pPr>
              <w:widowControl w:val="0"/>
              <w:ind w:left="144" w:hanging="144"/>
              <w:rPr>
                <w:sz w:val="18"/>
                <w:szCs w:val="18"/>
              </w:rPr>
            </w:pPr>
            <w:r w:rsidRPr="00BC4AFE">
              <w:rPr>
                <w:sz w:val="18"/>
                <w:szCs w:val="18"/>
              </w:rPr>
              <w:t>Barbados</w:t>
            </w:r>
          </w:p>
        </w:tc>
        <w:tc>
          <w:tcPr>
            <w:tcW w:w="1182" w:type="dxa"/>
            <w:shd w:val="clear" w:color="auto" w:fill="auto"/>
            <w:vAlign w:val="center"/>
            <w:hideMark/>
          </w:tcPr>
          <w:p w14:paraId="17457777" w14:textId="77777777" w:rsidR="00FC752D" w:rsidRPr="00BC4AFE" w:rsidRDefault="00FC752D" w:rsidP="006211D7">
            <w:pPr>
              <w:widowControl w:val="0"/>
              <w:ind w:right="144"/>
              <w:jc w:val="right"/>
              <w:rPr>
                <w:sz w:val="18"/>
                <w:szCs w:val="18"/>
              </w:rPr>
            </w:pPr>
            <w:r w:rsidRPr="00BC4AFE">
              <w:rPr>
                <w:sz w:val="18"/>
                <w:szCs w:val="18"/>
              </w:rPr>
              <w:t>0.008</w:t>
            </w:r>
          </w:p>
        </w:tc>
        <w:tc>
          <w:tcPr>
            <w:tcW w:w="1182" w:type="dxa"/>
            <w:shd w:val="clear" w:color="auto" w:fill="auto"/>
            <w:noWrap/>
            <w:vAlign w:val="center"/>
            <w:hideMark/>
          </w:tcPr>
          <w:p w14:paraId="5F04D397"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57362D02"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546987CF"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6F8BE11F"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5DE152ED" w14:textId="77777777" w:rsidTr="00A60395">
        <w:trPr>
          <w:cantSplit/>
          <w:trHeight w:val="245"/>
        </w:trPr>
        <w:tc>
          <w:tcPr>
            <w:tcW w:w="3605" w:type="dxa"/>
            <w:shd w:val="clear" w:color="auto" w:fill="auto"/>
            <w:vAlign w:val="center"/>
            <w:hideMark/>
          </w:tcPr>
          <w:p w14:paraId="433377D0" w14:textId="77777777" w:rsidR="00FC752D" w:rsidRPr="00BC4AFE" w:rsidRDefault="00FC752D" w:rsidP="006211D7">
            <w:pPr>
              <w:widowControl w:val="0"/>
              <w:ind w:left="144" w:hanging="144"/>
              <w:rPr>
                <w:sz w:val="18"/>
                <w:szCs w:val="18"/>
              </w:rPr>
            </w:pPr>
            <w:r w:rsidRPr="00BC4AFE">
              <w:rPr>
                <w:sz w:val="18"/>
                <w:szCs w:val="18"/>
              </w:rPr>
              <w:t>Belarus</w:t>
            </w:r>
          </w:p>
        </w:tc>
        <w:tc>
          <w:tcPr>
            <w:tcW w:w="1182" w:type="dxa"/>
            <w:shd w:val="clear" w:color="auto" w:fill="auto"/>
            <w:vAlign w:val="center"/>
            <w:hideMark/>
          </w:tcPr>
          <w:p w14:paraId="2888358A" w14:textId="77777777" w:rsidR="00FC752D" w:rsidRPr="00BC4AFE" w:rsidRDefault="00FC752D" w:rsidP="006211D7">
            <w:pPr>
              <w:widowControl w:val="0"/>
              <w:ind w:right="144"/>
              <w:jc w:val="right"/>
              <w:rPr>
                <w:sz w:val="18"/>
                <w:szCs w:val="18"/>
              </w:rPr>
            </w:pPr>
            <w:r w:rsidRPr="00BC4AFE">
              <w:rPr>
                <w:sz w:val="18"/>
                <w:szCs w:val="18"/>
              </w:rPr>
              <w:t>0.041</w:t>
            </w:r>
          </w:p>
        </w:tc>
        <w:tc>
          <w:tcPr>
            <w:tcW w:w="1182" w:type="dxa"/>
            <w:shd w:val="clear" w:color="auto" w:fill="auto"/>
            <w:noWrap/>
            <w:vAlign w:val="center"/>
            <w:hideMark/>
          </w:tcPr>
          <w:p w14:paraId="0C7AB3D8" w14:textId="77777777" w:rsidR="00FC752D" w:rsidRPr="00BC4AFE" w:rsidRDefault="00FC752D" w:rsidP="006211D7">
            <w:pPr>
              <w:widowControl w:val="0"/>
              <w:ind w:right="144"/>
              <w:jc w:val="right"/>
              <w:rPr>
                <w:sz w:val="18"/>
                <w:szCs w:val="18"/>
              </w:rPr>
            </w:pPr>
            <w:r w:rsidRPr="00BC4AFE">
              <w:rPr>
                <w:sz w:val="18"/>
                <w:szCs w:val="18"/>
              </w:rPr>
              <w:t>0.051</w:t>
            </w:r>
          </w:p>
        </w:tc>
        <w:tc>
          <w:tcPr>
            <w:tcW w:w="1182" w:type="dxa"/>
            <w:shd w:val="clear" w:color="auto" w:fill="auto"/>
            <w:noWrap/>
            <w:vAlign w:val="center"/>
            <w:hideMark/>
          </w:tcPr>
          <w:p w14:paraId="5A522E99" w14:textId="77777777" w:rsidR="00FC752D" w:rsidRPr="00BC4AFE" w:rsidRDefault="00FC752D" w:rsidP="006211D7">
            <w:pPr>
              <w:widowControl w:val="0"/>
              <w:ind w:right="144"/>
              <w:jc w:val="right"/>
              <w:rPr>
                <w:sz w:val="18"/>
                <w:szCs w:val="18"/>
              </w:rPr>
            </w:pPr>
            <w:r w:rsidRPr="00BC4AFE">
              <w:rPr>
                <w:sz w:val="18"/>
                <w:szCs w:val="18"/>
              </w:rPr>
              <w:t>6,677</w:t>
            </w:r>
          </w:p>
        </w:tc>
        <w:tc>
          <w:tcPr>
            <w:tcW w:w="1182" w:type="dxa"/>
            <w:shd w:val="clear" w:color="auto" w:fill="auto"/>
            <w:noWrap/>
            <w:vAlign w:val="center"/>
            <w:hideMark/>
          </w:tcPr>
          <w:p w14:paraId="1DD28837" w14:textId="77777777" w:rsidR="00FC752D" w:rsidRPr="00BC4AFE" w:rsidRDefault="00FC752D" w:rsidP="006211D7">
            <w:pPr>
              <w:widowControl w:val="0"/>
              <w:ind w:right="144"/>
              <w:jc w:val="right"/>
              <w:rPr>
                <w:sz w:val="18"/>
                <w:szCs w:val="18"/>
              </w:rPr>
            </w:pPr>
            <w:r w:rsidRPr="00BC4AFE">
              <w:rPr>
                <w:sz w:val="18"/>
                <w:szCs w:val="18"/>
              </w:rPr>
              <w:t>7,323</w:t>
            </w:r>
          </w:p>
        </w:tc>
        <w:tc>
          <w:tcPr>
            <w:tcW w:w="1171" w:type="dxa"/>
            <w:shd w:val="clear" w:color="auto" w:fill="auto"/>
            <w:noWrap/>
            <w:vAlign w:val="center"/>
            <w:hideMark/>
          </w:tcPr>
          <w:p w14:paraId="30C05749" w14:textId="77777777" w:rsidR="00FC752D" w:rsidRPr="00BC4AFE" w:rsidRDefault="00FC752D" w:rsidP="006211D7">
            <w:pPr>
              <w:widowControl w:val="0"/>
              <w:ind w:right="144"/>
              <w:jc w:val="right"/>
              <w:rPr>
                <w:sz w:val="18"/>
                <w:szCs w:val="18"/>
              </w:rPr>
            </w:pPr>
            <w:r w:rsidRPr="00BC4AFE">
              <w:rPr>
                <w:sz w:val="18"/>
                <w:szCs w:val="18"/>
              </w:rPr>
              <w:t>14,000</w:t>
            </w:r>
          </w:p>
        </w:tc>
      </w:tr>
      <w:tr w:rsidR="00FC752D" w:rsidRPr="00BC4AFE" w14:paraId="52EB20C2" w14:textId="77777777" w:rsidTr="00A60395">
        <w:trPr>
          <w:cantSplit/>
          <w:trHeight w:val="245"/>
        </w:trPr>
        <w:tc>
          <w:tcPr>
            <w:tcW w:w="3605" w:type="dxa"/>
            <w:shd w:val="clear" w:color="auto" w:fill="auto"/>
            <w:vAlign w:val="center"/>
            <w:hideMark/>
          </w:tcPr>
          <w:p w14:paraId="28372BE9" w14:textId="77777777" w:rsidR="00FC752D" w:rsidRPr="00BC4AFE" w:rsidRDefault="00FC752D" w:rsidP="006211D7">
            <w:pPr>
              <w:widowControl w:val="0"/>
              <w:ind w:left="144" w:hanging="144"/>
              <w:rPr>
                <w:sz w:val="18"/>
                <w:szCs w:val="18"/>
              </w:rPr>
            </w:pPr>
            <w:r w:rsidRPr="00BC4AFE">
              <w:rPr>
                <w:sz w:val="18"/>
                <w:szCs w:val="18"/>
              </w:rPr>
              <w:t>Belgium</w:t>
            </w:r>
          </w:p>
        </w:tc>
        <w:tc>
          <w:tcPr>
            <w:tcW w:w="1182" w:type="dxa"/>
            <w:shd w:val="clear" w:color="auto" w:fill="auto"/>
            <w:vAlign w:val="center"/>
            <w:hideMark/>
          </w:tcPr>
          <w:p w14:paraId="679C4D01" w14:textId="77777777" w:rsidR="00FC752D" w:rsidRPr="00BC4AFE" w:rsidRDefault="00FC752D" w:rsidP="006211D7">
            <w:pPr>
              <w:widowControl w:val="0"/>
              <w:ind w:right="144"/>
              <w:jc w:val="right"/>
              <w:rPr>
                <w:sz w:val="18"/>
                <w:szCs w:val="18"/>
              </w:rPr>
            </w:pPr>
            <w:r w:rsidRPr="00BC4AFE">
              <w:rPr>
                <w:sz w:val="18"/>
                <w:szCs w:val="18"/>
              </w:rPr>
              <w:t>0.828</w:t>
            </w:r>
          </w:p>
        </w:tc>
        <w:tc>
          <w:tcPr>
            <w:tcW w:w="1182" w:type="dxa"/>
            <w:shd w:val="clear" w:color="auto" w:fill="auto"/>
            <w:noWrap/>
            <w:vAlign w:val="center"/>
            <w:hideMark/>
          </w:tcPr>
          <w:p w14:paraId="72430484" w14:textId="77777777" w:rsidR="00FC752D" w:rsidRPr="00BC4AFE" w:rsidRDefault="00FC752D" w:rsidP="006211D7">
            <w:pPr>
              <w:widowControl w:val="0"/>
              <w:ind w:right="144"/>
              <w:jc w:val="right"/>
              <w:rPr>
                <w:sz w:val="18"/>
                <w:szCs w:val="18"/>
              </w:rPr>
            </w:pPr>
            <w:r w:rsidRPr="00BC4AFE">
              <w:rPr>
                <w:sz w:val="18"/>
                <w:szCs w:val="18"/>
              </w:rPr>
              <w:t>1.035</w:t>
            </w:r>
          </w:p>
        </w:tc>
        <w:tc>
          <w:tcPr>
            <w:tcW w:w="1182" w:type="dxa"/>
            <w:shd w:val="clear" w:color="auto" w:fill="auto"/>
            <w:noWrap/>
            <w:vAlign w:val="center"/>
            <w:hideMark/>
          </w:tcPr>
          <w:p w14:paraId="10111E0A" w14:textId="77777777" w:rsidR="00FC752D" w:rsidRPr="00BC4AFE" w:rsidRDefault="00FC752D" w:rsidP="006211D7">
            <w:pPr>
              <w:widowControl w:val="0"/>
              <w:ind w:right="144"/>
              <w:jc w:val="right"/>
              <w:rPr>
                <w:sz w:val="18"/>
                <w:szCs w:val="18"/>
              </w:rPr>
            </w:pPr>
            <w:r w:rsidRPr="00BC4AFE">
              <w:rPr>
                <w:sz w:val="18"/>
                <w:szCs w:val="18"/>
              </w:rPr>
              <w:t>134,837</w:t>
            </w:r>
          </w:p>
        </w:tc>
        <w:tc>
          <w:tcPr>
            <w:tcW w:w="1182" w:type="dxa"/>
            <w:shd w:val="clear" w:color="auto" w:fill="auto"/>
            <w:noWrap/>
            <w:vAlign w:val="center"/>
            <w:hideMark/>
          </w:tcPr>
          <w:p w14:paraId="7BBA1044" w14:textId="77777777" w:rsidR="00FC752D" w:rsidRPr="00BC4AFE" w:rsidRDefault="00FC752D" w:rsidP="006211D7">
            <w:pPr>
              <w:widowControl w:val="0"/>
              <w:ind w:right="144"/>
              <w:jc w:val="right"/>
              <w:rPr>
                <w:sz w:val="18"/>
                <w:szCs w:val="18"/>
              </w:rPr>
            </w:pPr>
            <w:r w:rsidRPr="00BC4AFE">
              <w:rPr>
                <w:sz w:val="18"/>
                <w:szCs w:val="18"/>
              </w:rPr>
              <w:t>147,895</w:t>
            </w:r>
          </w:p>
        </w:tc>
        <w:tc>
          <w:tcPr>
            <w:tcW w:w="1171" w:type="dxa"/>
            <w:shd w:val="clear" w:color="auto" w:fill="auto"/>
            <w:noWrap/>
            <w:vAlign w:val="center"/>
            <w:hideMark/>
          </w:tcPr>
          <w:p w14:paraId="2C0EE81B" w14:textId="77777777" w:rsidR="00FC752D" w:rsidRPr="00BC4AFE" w:rsidRDefault="00FC752D" w:rsidP="006211D7">
            <w:pPr>
              <w:widowControl w:val="0"/>
              <w:ind w:right="144"/>
              <w:jc w:val="right"/>
              <w:rPr>
                <w:sz w:val="18"/>
                <w:szCs w:val="18"/>
              </w:rPr>
            </w:pPr>
            <w:r w:rsidRPr="00BC4AFE">
              <w:rPr>
                <w:sz w:val="18"/>
                <w:szCs w:val="18"/>
              </w:rPr>
              <w:t>282,732</w:t>
            </w:r>
          </w:p>
        </w:tc>
      </w:tr>
      <w:tr w:rsidR="00FC752D" w:rsidRPr="00BC4AFE" w14:paraId="34C8F740" w14:textId="77777777" w:rsidTr="00A60395">
        <w:trPr>
          <w:cantSplit/>
          <w:trHeight w:val="245"/>
        </w:trPr>
        <w:tc>
          <w:tcPr>
            <w:tcW w:w="3605" w:type="dxa"/>
            <w:shd w:val="clear" w:color="auto" w:fill="auto"/>
            <w:vAlign w:val="center"/>
            <w:hideMark/>
          </w:tcPr>
          <w:p w14:paraId="2154A139" w14:textId="77777777" w:rsidR="00FC752D" w:rsidRPr="00BC4AFE" w:rsidRDefault="00FC752D" w:rsidP="006211D7">
            <w:pPr>
              <w:widowControl w:val="0"/>
              <w:ind w:left="144" w:hanging="144"/>
              <w:rPr>
                <w:sz w:val="18"/>
                <w:szCs w:val="18"/>
              </w:rPr>
            </w:pPr>
            <w:r w:rsidRPr="00BC4AFE">
              <w:rPr>
                <w:sz w:val="18"/>
                <w:szCs w:val="18"/>
              </w:rPr>
              <w:t>Belize</w:t>
            </w:r>
          </w:p>
        </w:tc>
        <w:tc>
          <w:tcPr>
            <w:tcW w:w="1182" w:type="dxa"/>
            <w:shd w:val="clear" w:color="auto" w:fill="auto"/>
            <w:vAlign w:val="center"/>
            <w:hideMark/>
          </w:tcPr>
          <w:p w14:paraId="46B9CD04"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60FAECF7"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561A9C2"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5EBA2BC6"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272E42E4"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6673F70B" w14:textId="77777777" w:rsidTr="00A60395">
        <w:trPr>
          <w:cantSplit/>
          <w:trHeight w:val="245"/>
        </w:trPr>
        <w:tc>
          <w:tcPr>
            <w:tcW w:w="3605" w:type="dxa"/>
            <w:shd w:val="clear" w:color="auto" w:fill="auto"/>
            <w:vAlign w:val="center"/>
            <w:hideMark/>
          </w:tcPr>
          <w:p w14:paraId="1CC22499" w14:textId="77777777" w:rsidR="00FC752D" w:rsidRPr="00BC4AFE" w:rsidRDefault="00FC752D" w:rsidP="006211D7">
            <w:pPr>
              <w:widowControl w:val="0"/>
              <w:ind w:left="144" w:hanging="144"/>
              <w:rPr>
                <w:sz w:val="18"/>
                <w:szCs w:val="18"/>
              </w:rPr>
            </w:pPr>
            <w:r w:rsidRPr="00BC4AFE">
              <w:rPr>
                <w:sz w:val="18"/>
                <w:szCs w:val="18"/>
              </w:rPr>
              <w:t>Benin</w:t>
            </w:r>
          </w:p>
        </w:tc>
        <w:tc>
          <w:tcPr>
            <w:tcW w:w="1182" w:type="dxa"/>
            <w:shd w:val="clear" w:color="auto" w:fill="auto"/>
            <w:vAlign w:val="center"/>
            <w:hideMark/>
          </w:tcPr>
          <w:p w14:paraId="5F02CCF5"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097DC8DF" w14:textId="77777777" w:rsidR="00FC752D" w:rsidRPr="00BC4AFE" w:rsidRDefault="00FC752D" w:rsidP="006211D7">
            <w:pPr>
              <w:widowControl w:val="0"/>
              <w:ind w:right="144"/>
              <w:jc w:val="right"/>
              <w:rPr>
                <w:sz w:val="18"/>
                <w:szCs w:val="18"/>
              </w:rPr>
            </w:pPr>
            <w:r w:rsidRPr="00BC4AFE">
              <w:rPr>
                <w:sz w:val="18"/>
                <w:szCs w:val="18"/>
              </w:rPr>
              <w:t>0.006</w:t>
            </w:r>
          </w:p>
        </w:tc>
        <w:tc>
          <w:tcPr>
            <w:tcW w:w="1182" w:type="dxa"/>
            <w:shd w:val="clear" w:color="auto" w:fill="auto"/>
            <w:noWrap/>
            <w:vAlign w:val="center"/>
            <w:hideMark/>
          </w:tcPr>
          <w:p w14:paraId="398FBBC6" w14:textId="77777777" w:rsidR="00FC752D" w:rsidRPr="00BC4AFE" w:rsidRDefault="00FC752D" w:rsidP="006211D7">
            <w:pPr>
              <w:widowControl w:val="0"/>
              <w:ind w:right="144"/>
              <w:jc w:val="right"/>
              <w:rPr>
                <w:sz w:val="18"/>
                <w:szCs w:val="18"/>
              </w:rPr>
            </w:pPr>
            <w:r w:rsidRPr="00BC4AFE">
              <w:rPr>
                <w:sz w:val="18"/>
                <w:szCs w:val="18"/>
              </w:rPr>
              <w:t>814</w:t>
            </w:r>
          </w:p>
        </w:tc>
        <w:tc>
          <w:tcPr>
            <w:tcW w:w="1182" w:type="dxa"/>
            <w:shd w:val="clear" w:color="auto" w:fill="auto"/>
            <w:noWrap/>
            <w:vAlign w:val="center"/>
            <w:hideMark/>
          </w:tcPr>
          <w:p w14:paraId="5A236D93" w14:textId="77777777" w:rsidR="00FC752D" w:rsidRPr="00BC4AFE" w:rsidRDefault="00FC752D" w:rsidP="006211D7">
            <w:pPr>
              <w:widowControl w:val="0"/>
              <w:ind w:right="144"/>
              <w:jc w:val="right"/>
              <w:rPr>
                <w:sz w:val="18"/>
                <w:szCs w:val="18"/>
              </w:rPr>
            </w:pPr>
            <w:r w:rsidRPr="00BC4AFE">
              <w:rPr>
                <w:sz w:val="18"/>
                <w:szCs w:val="18"/>
              </w:rPr>
              <w:t>893</w:t>
            </w:r>
          </w:p>
        </w:tc>
        <w:tc>
          <w:tcPr>
            <w:tcW w:w="1171" w:type="dxa"/>
            <w:shd w:val="clear" w:color="auto" w:fill="auto"/>
            <w:noWrap/>
            <w:vAlign w:val="center"/>
            <w:hideMark/>
          </w:tcPr>
          <w:p w14:paraId="1C2F87A8" w14:textId="77777777" w:rsidR="00FC752D" w:rsidRPr="00BC4AFE" w:rsidRDefault="00FC752D" w:rsidP="006211D7">
            <w:pPr>
              <w:widowControl w:val="0"/>
              <w:ind w:right="144"/>
              <w:jc w:val="right"/>
              <w:rPr>
                <w:sz w:val="18"/>
                <w:szCs w:val="18"/>
              </w:rPr>
            </w:pPr>
            <w:r w:rsidRPr="00BC4AFE">
              <w:rPr>
                <w:sz w:val="18"/>
                <w:szCs w:val="18"/>
              </w:rPr>
              <w:t>1,707</w:t>
            </w:r>
          </w:p>
        </w:tc>
      </w:tr>
      <w:tr w:rsidR="00FC752D" w:rsidRPr="00BC4AFE" w14:paraId="482643B5" w14:textId="77777777" w:rsidTr="00A60395">
        <w:trPr>
          <w:cantSplit/>
          <w:trHeight w:val="245"/>
        </w:trPr>
        <w:tc>
          <w:tcPr>
            <w:tcW w:w="3605" w:type="dxa"/>
            <w:shd w:val="clear" w:color="auto" w:fill="auto"/>
            <w:vAlign w:val="center"/>
            <w:hideMark/>
          </w:tcPr>
          <w:p w14:paraId="09D957FC" w14:textId="77777777" w:rsidR="00FC752D" w:rsidRPr="00BC4AFE" w:rsidRDefault="00FC752D" w:rsidP="006211D7">
            <w:pPr>
              <w:widowControl w:val="0"/>
              <w:ind w:left="144" w:hanging="144"/>
              <w:rPr>
                <w:sz w:val="18"/>
                <w:szCs w:val="18"/>
              </w:rPr>
            </w:pPr>
            <w:r w:rsidRPr="00BC4AFE">
              <w:rPr>
                <w:sz w:val="18"/>
                <w:szCs w:val="18"/>
              </w:rPr>
              <w:t>Bhutan</w:t>
            </w:r>
          </w:p>
        </w:tc>
        <w:tc>
          <w:tcPr>
            <w:tcW w:w="1182" w:type="dxa"/>
            <w:shd w:val="clear" w:color="auto" w:fill="auto"/>
            <w:vAlign w:val="center"/>
            <w:hideMark/>
          </w:tcPr>
          <w:p w14:paraId="7211231B"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67CA45E"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46BA70CE"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798673B0"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36111382"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41FC1753" w14:textId="77777777" w:rsidTr="00A60395">
        <w:trPr>
          <w:cantSplit/>
          <w:trHeight w:val="245"/>
        </w:trPr>
        <w:tc>
          <w:tcPr>
            <w:tcW w:w="3605" w:type="dxa"/>
            <w:shd w:val="clear" w:color="auto" w:fill="auto"/>
            <w:vAlign w:val="center"/>
            <w:hideMark/>
          </w:tcPr>
          <w:p w14:paraId="7F005CA7" w14:textId="77777777" w:rsidR="00FC752D" w:rsidRPr="00BC4AFE" w:rsidRDefault="00FC752D" w:rsidP="006211D7">
            <w:pPr>
              <w:widowControl w:val="0"/>
              <w:ind w:left="144" w:hanging="144"/>
              <w:rPr>
                <w:sz w:val="18"/>
                <w:szCs w:val="18"/>
              </w:rPr>
            </w:pPr>
            <w:r w:rsidRPr="00BC4AFE">
              <w:rPr>
                <w:sz w:val="18"/>
                <w:szCs w:val="18"/>
              </w:rPr>
              <w:t>Bolivia (Plurinational State of)</w:t>
            </w:r>
          </w:p>
        </w:tc>
        <w:tc>
          <w:tcPr>
            <w:tcW w:w="1182" w:type="dxa"/>
            <w:shd w:val="clear" w:color="auto" w:fill="auto"/>
            <w:vAlign w:val="center"/>
            <w:hideMark/>
          </w:tcPr>
          <w:p w14:paraId="4BEF7412" w14:textId="77777777" w:rsidR="00FC752D" w:rsidRPr="00BC4AFE" w:rsidRDefault="00FC752D" w:rsidP="006211D7">
            <w:pPr>
              <w:widowControl w:val="0"/>
              <w:ind w:right="144"/>
              <w:jc w:val="right"/>
              <w:rPr>
                <w:sz w:val="18"/>
                <w:szCs w:val="18"/>
              </w:rPr>
            </w:pPr>
            <w:r w:rsidRPr="00BC4AFE">
              <w:rPr>
                <w:sz w:val="18"/>
                <w:szCs w:val="18"/>
              </w:rPr>
              <w:t>0.019</w:t>
            </w:r>
          </w:p>
        </w:tc>
        <w:tc>
          <w:tcPr>
            <w:tcW w:w="1182" w:type="dxa"/>
            <w:shd w:val="clear" w:color="auto" w:fill="auto"/>
            <w:noWrap/>
            <w:vAlign w:val="center"/>
            <w:hideMark/>
          </w:tcPr>
          <w:p w14:paraId="3C44A4B1" w14:textId="77777777" w:rsidR="00FC752D" w:rsidRPr="00BC4AFE" w:rsidRDefault="00FC752D" w:rsidP="006211D7">
            <w:pPr>
              <w:widowControl w:val="0"/>
              <w:ind w:right="144"/>
              <w:jc w:val="right"/>
              <w:rPr>
                <w:sz w:val="18"/>
                <w:szCs w:val="18"/>
              </w:rPr>
            </w:pPr>
            <w:r w:rsidRPr="00BC4AFE">
              <w:rPr>
                <w:sz w:val="18"/>
                <w:szCs w:val="18"/>
              </w:rPr>
              <w:t>0.024</w:t>
            </w:r>
          </w:p>
        </w:tc>
        <w:tc>
          <w:tcPr>
            <w:tcW w:w="1182" w:type="dxa"/>
            <w:shd w:val="clear" w:color="auto" w:fill="auto"/>
            <w:noWrap/>
            <w:vAlign w:val="center"/>
            <w:hideMark/>
          </w:tcPr>
          <w:p w14:paraId="306EDF16" w14:textId="77777777" w:rsidR="00FC752D" w:rsidRPr="00BC4AFE" w:rsidRDefault="00FC752D" w:rsidP="006211D7">
            <w:pPr>
              <w:widowControl w:val="0"/>
              <w:ind w:right="144"/>
              <w:jc w:val="right"/>
              <w:rPr>
                <w:sz w:val="18"/>
                <w:szCs w:val="18"/>
              </w:rPr>
            </w:pPr>
            <w:r w:rsidRPr="00BC4AFE">
              <w:rPr>
                <w:sz w:val="18"/>
                <w:szCs w:val="18"/>
              </w:rPr>
              <w:t>3,094</w:t>
            </w:r>
          </w:p>
        </w:tc>
        <w:tc>
          <w:tcPr>
            <w:tcW w:w="1182" w:type="dxa"/>
            <w:shd w:val="clear" w:color="auto" w:fill="auto"/>
            <w:noWrap/>
            <w:vAlign w:val="center"/>
            <w:hideMark/>
          </w:tcPr>
          <w:p w14:paraId="28711F18" w14:textId="77777777" w:rsidR="00FC752D" w:rsidRPr="00BC4AFE" w:rsidRDefault="00FC752D" w:rsidP="006211D7">
            <w:pPr>
              <w:widowControl w:val="0"/>
              <w:ind w:right="144"/>
              <w:jc w:val="right"/>
              <w:rPr>
                <w:sz w:val="18"/>
                <w:szCs w:val="18"/>
              </w:rPr>
            </w:pPr>
            <w:r w:rsidRPr="00BC4AFE">
              <w:rPr>
                <w:sz w:val="18"/>
                <w:szCs w:val="18"/>
              </w:rPr>
              <w:t>3,394</w:t>
            </w:r>
          </w:p>
        </w:tc>
        <w:tc>
          <w:tcPr>
            <w:tcW w:w="1171" w:type="dxa"/>
            <w:shd w:val="clear" w:color="auto" w:fill="auto"/>
            <w:noWrap/>
            <w:vAlign w:val="center"/>
            <w:hideMark/>
          </w:tcPr>
          <w:p w14:paraId="16C295DE" w14:textId="77777777" w:rsidR="00FC752D" w:rsidRPr="00BC4AFE" w:rsidRDefault="00FC752D" w:rsidP="006211D7">
            <w:pPr>
              <w:widowControl w:val="0"/>
              <w:ind w:right="144"/>
              <w:jc w:val="right"/>
              <w:rPr>
                <w:sz w:val="18"/>
                <w:szCs w:val="18"/>
              </w:rPr>
            </w:pPr>
            <w:r w:rsidRPr="00BC4AFE">
              <w:rPr>
                <w:sz w:val="18"/>
                <w:szCs w:val="18"/>
              </w:rPr>
              <w:t>6,488</w:t>
            </w:r>
          </w:p>
        </w:tc>
      </w:tr>
      <w:tr w:rsidR="00FC752D" w:rsidRPr="00BC4AFE" w14:paraId="3C87D553" w14:textId="77777777" w:rsidTr="00A60395">
        <w:trPr>
          <w:cantSplit/>
          <w:trHeight w:val="245"/>
        </w:trPr>
        <w:tc>
          <w:tcPr>
            <w:tcW w:w="3605" w:type="dxa"/>
            <w:shd w:val="clear" w:color="auto" w:fill="auto"/>
            <w:vAlign w:val="center"/>
            <w:hideMark/>
          </w:tcPr>
          <w:p w14:paraId="7F17B566" w14:textId="77777777" w:rsidR="00FC752D" w:rsidRPr="00BC4AFE" w:rsidRDefault="00FC752D" w:rsidP="006211D7">
            <w:pPr>
              <w:widowControl w:val="0"/>
              <w:ind w:left="144" w:hanging="144"/>
              <w:rPr>
                <w:sz w:val="18"/>
                <w:szCs w:val="18"/>
              </w:rPr>
            </w:pPr>
            <w:r w:rsidRPr="00BC4AFE">
              <w:rPr>
                <w:sz w:val="18"/>
                <w:szCs w:val="18"/>
              </w:rPr>
              <w:t>Bosnia and Herzegovina</w:t>
            </w:r>
          </w:p>
        </w:tc>
        <w:tc>
          <w:tcPr>
            <w:tcW w:w="1182" w:type="dxa"/>
            <w:shd w:val="clear" w:color="auto" w:fill="auto"/>
            <w:vAlign w:val="center"/>
            <w:hideMark/>
          </w:tcPr>
          <w:p w14:paraId="4B96F99F" w14:textId="77777777" w:rsidR="00FC752D" w:rsidRPr="00BC4AFE" w:rsidRDefault="00FC752D" w:rsidP="006211D7">
            <w:pPr>
              <w:widowControl w:val="0"/>
              <w:ind w:right="144"/>
              <w:jc w:val="right"/>
              <w:rPr>
                <w:sz w:val="18"/>
                <w:szCs w:val="18"/>
              </w:rPr>
            </w:pPr>
            <w:r w:rsidRPr="00BC4AFE">
              <w:rPr>
                <w:sz w:val="18"/>
                <w:szCs w:val="18"/>
              </w:rPr>
              <w:t>0.012</w:t>
            </w:r>
          </w:p>
        </w:tc>
        <w:tc>
          <w:tcPr>
            <w:tcW w:w="1182" w:type="dxa"/>
            <w:shd w:val="clear" w:color="auto" w:fill="auto"/>
            <w:noWrap/>
            <w:vAlign w:val="center"/>
            <w:hideMark/>
          </w:tcPr>
          <w:p w14:paraId="79F3346E" w14:textId="77777777" w:rsidR="00FC752D" w:rsidRPr="00BC4AFE" w:rsidRDefault="00FC752D" w:rsidP="006211D7">
            <w:pPr>
              <w:widowControl w:val="0"/>
              <w:ind w:right="144"/>
              <w:jc w:val="right"/>
              <w:rPr>
                <w:sz w:val="18"/>
                <w:szCs w:val="18"/>
              </w:rPr>
            </w:pPr>
            <w:r w:rsidRPr="00BC4AFE">
              <w:rPr>
                <w:sz w:val="18"/>
                <w:szCs w:val="18"/>
              </w:rPr>
              <w:t>0.015</w:t>
            </w:r>
          </w:p>
        </w:tc>
        <w:tc>
          <w:tcPr>
            <w:tcW w:w="1182" w:type="dxa"/>
            <w:shd w:val="clear" w:color="auto" w:fill="auto"/>
            <w:noWrap/>
            <w:vAlign w:val="center"/>
            <w:hideMark/>
          </w:tcPr>
          <w:p w14:paraId="022F60D7" w14:textId="77777777" w:rsidR="00FC752D" w:rsidRPr="00BC4AFE" w:rsidRDefault="00FC752D" w:rsidP="006211D7">
            <w:pPr>
              <w:widowControl w:val="0"/>
              <w:ind w:right="144"/>
              <w:jc w:val="right"/>
              <w:rPr>
                <w:sz w:val="18"/>
                <w:szCs w:val="18"/>
              </w:rPr>
            </w:pPr>
            <w:r w:rsidRPr="00BC4AFE">
              <w:rPr>
                <w:sz w:val="18"/>
                <w:szCs w:val="18"/>
              </w:rPr>
              <w:t>1,954</w:t>
            </w:r>
          </w:p>
        </w:tc>
        <w:tc>
          <w:tcPr>
            <w:tcW w:w="1182" w:type="dxa"/>
            <w:shd w:val="clear" w:color="auto" w:fill="auto"/>
            <w:noWrap/>
            <w:vAlign w:val="center"/>
            <w:hideMark/>
          </w:tcPr>
          <w:p w14:paraId="6EA2DBC3" w14:textId="77777777" w:rsidR="00FC752D" w:rsidRPr="00BC4AFE" w:rsidRDefault="00FC752D" w:rsidP="006211D7">
            <w:pPr>
              <w:widowControl w:val="0"/>
              <w:ind w:right="144"/>
              <w:jc w:val="right"/>
              <w:rPr>
                <w:sz w:val="18"/>
                <w:szCs w:val="18"/>
              </w:rPr>
            </w:pPr>
            <w:r w:rsidRPr="00BC4AFE">
              <w:rPr>
                <w:sz w:val="18"/>
                <w:szCs w:val="18"/>
              </w:rPr>
              <w:t>2,143</w:t>
            </w:r>
          </w:p>
        </w:tc>
        <w:tc>
          <w:tcPr>
            <w:tcW w:w="1171" w:type="dxa"/>
            <w:shd w:val="clear" w:color="auto" w:fill="auto"/>
            <w:noWrap/>
            <w:vAlign w:val="center"/>
            <w:hideMark/>
          </w:tcPr>
          <w:p w14:paraId="78D5C8DE" w14:textId="77777777" w:rsidR="00FC752D" w:rsidRPr="00BC4AFE" w:rsidRDefault="00FC752D" w:rsidP="006211D7">
            <w:pPr>
              <w:widowControl w:val="0"/>
              <w:ind w:right="144"/>
              <w:jc w:val="right"/>
              <w:rPr>
                <w:sz w:val="18"/>
                <w:szCs w:val="18"/>
              </w:rPr>
            </w:pPr>
            <w:r w:rsidRPr="00BC4AFE">
              <w:rPr>
                <w:sz w:val="18"/>
                <w:szCs w:val="18"/>
              </w:rPr>
              <w:t>4,098</w:t>
            </w:r>
          </w:p>
        </w:tc>
      </w:tr>
      <w:tr w:rsidR="00FC752D" w:rsidRPr="00BC4AFE" w14:paraId="0754D7CC" w14:textId="77777777" w:rsidTr="00A60395">
        <w:trPr>
          <w:cantSplit/>
          <w:trHeight w:val="245"/>
        </w:trPr>
        <w:tc>
          <w:tcPr>
            <w:tcW w:w="3605" w:type="dxa"/>
            <w:shd w:val="clear" w:color="auto" w:fill="auto"/>
            <w:vAlign w:val="center"/>
            <w:hideMark/>
          </w:tcPr>
          <w:p w14:paraId="420FA18D" w14:textId="77777777" w:rsidR="00FC752D" w:rsidRPr="00BC4AFE" w:rsidRDefault="00FC752D" w:rsidP="006211D7">
            <w:pPr>
              <w:widowControl w:val="0"/>
              <w:ind w:left="144" w:hanging="144"/>
              <w:rPr>
                <w:sz w:val="18"/>
                <w:szCs w:val="18"/>
              </w:rPr>
            </w:pPr>
            <w:r w:rsidRPr="00BC4AFE">
              <w:rPr>
                <w:sz w:val="18"/>
                <w:szCs w:val="18"/>
              </w:rPr>
              <w:t>Botswana</w:t>
            </w:r>
          </w:p>
        </w:tc>
        <w:tc>
          <w:tcPr>
            <w:tcW w:w="1182" w:type="dxa"/>
            <w:shd w:val="clear" w:color="auto" w:fill="auto"/>
            <w:vAlign w:val="center"/>
            <w:hideMark/>
          </w:tcPr>
          <w:p w14:paraId="6CB5743D" w14:textId="77777777" w:rsidR="00FC752D" w:rsidRPr="00BC4AFE" w:rsidRDefault="00FC752D" w:rsidP="006211D7">
            <w:pPr>
              <w:widowControl w:val="0"/>
              <w:ind w:right="144"/>
              <w:jc w:val="right"/>
              <w:rPr>
                <w:sz w:val="18"/>
                <w:szCs w:val="18"/>
              </w:rPr>
            </w:pPr>
            <w:r w:rsidRPr="00BC4AFE">
              <w:rPr>
                <w:sz w:val="18"/>
                <w:szCs w:val="18"/>
              </w:rPr>
              <w:t>0.015</w:t>
            </w:r>
          </w:p>
        </w:tc>
        <w:tc>
          <w:tcPr>
            <w:tcW w:w="1182" w:type="dxa"/>
            <w:shd w:val="clear" w:color="auto" w:fill="auto"/>
            <w:noWrap/>
            <w:vAlign w:val="center"/>
            <w:hideMark/>
          </w:tcPr>
          <w:p w14:paraId="08393615" w14:textId="77777777" w:rsidR="00FC752D" w:rsidRPr="00BC4AFE" w:rsidRDefault="00FC752D" w:rsidP="006211D7">
            <w:pPr>
              <w:widowControl w:val="0"/>
              <w:ind w:right="144"/>
              <w:jc w:val="right"/>
              <w:rPr>
                <w:sz w:val="18"/>
                <w:szCs w:val="18"/>
              </w:rPr>
            </w:pPr>
            <w:r w:rsidRPr="00BC4AFE">
              <w:rPr>
                <w:sz w:val="18"/>
                <w:szCs w:val="18"/>
              </w:rPr>
              <w:t>0.019</w:t>
            </w:r>
          </w:p>
        </w:tc>
        <w:tc>
          <w:tcPr>
            <w:tcW w:w="1182" w:type="dxa"/>
            <w:shd w:val="clear" w:color="auto" w:fill="auto"/>
            <w:noWrap/>
            <w:vAlign w:val="center"/>
            <w:hideMark/>
          </w:tcPr>
          <w:p w14:paraId="15DC8917" w14:textId="77777777" w:rsidR="00FC752D" w:rsidRPr="00BC4AFE" w:rsidRDefault="00FC752D" w:rsidP="006211D7">
            <w:pPr>
              <w:widowControl w:val="0"/>
              <w:ind w:right="144"/>
              <w:jc w:val="right"/>
              <w:rPr>
                <w:sz w:val="18"/>
                <w:szCs w:val="18"/>
              </w:rPr>
            </w:pPr>
            <w:r w:rsidRPr="00BC4AFE">
              <w:rPr>
                <w:sz w:val="18"/>
                <w:szCs w:val="18"/>
              </w:rPr>
              <w:t>2,443</w:t>
            </w:r>
          </w:p>
        </w:tc>
        <w:tc>
          <w:tcPr>
            <w:tcW w:w="1182" w:type="dxa"/>
            <w:shd w:val="clear" w:color="auto" w:fill="auto"/>
            <w:noWrap/>
            <w:vAlign w:val="center"/>
            <w:hideMark/>
          </w:tcPr>
          <w:p w14:paraId="4883F971" w14:textId="77777777" w:rsidR="00FC752D" w:rsidRPr="00BC4AFE" w:rsidRDefault="00FC752D" w:rsidP="006211D7">
            <w:pPr>
              <w:widowControl w:val="0"/>
              <w:ind w:right="144"/>
              <w:jc w:val="right"/>
              <w:rPr>
                <w:sz w:val="18"/>
                <w:szCs w:val="18"/>
              </w:rPr>
            </w:pPr>
            <w:r w:rsidRPr="00BC4AFE">
              <w:rPr>
                <w:sz w:val="18"/>
                <w:szCs w:val="18"/>
              </w:rPr>
              <w:t>2,679</w:t>
            </w:r>
          </w:p>
        </w:tc>
        <w:tc>
          <w:tcPr>
            <w:tcW w:w="1171" w:type="dxa"/>
            <w:shd w:val="clear" w:color="auto" w:fill="auto"/>
            <w:noWrap/>
            <w:vAlign w:val="center"/>
            <w:hideMark/>
          </w:tcPr>
          <w:p w14:paraId="0A0545D6" w14:textId="77777777" w:rsidR="00FC752D" w:rsidRPr="00BC4AFE" w:rsidRDefault="00FC752D" w:rsidP="006211D7">
            <w:pPr>
              <w:widowControl w:val="0"/>
              <w:ind w:right="144"/>
              <w:jc w:val="right"/>
              <w:rPr>
                <w:sz w:val="18"/>
                <w:szCs w:val="18"/>
              </w:rPr>
            </w:pPr>
            <w:r w:rsidRPr="00BC4AFE">
              <w:rPr>
                <w:sz w:val="18"/>
                <w:szCs w:val="18"/>
              </w:rPr>
              <w:t>5,122</w:t>
            </w:r>
          </w:p>
        </w:tc>
      </w:tr>
      <w:tr w:rsidR="00FC752D" w:rsidRPr="00BC4AFE" w14:paraId="5E4D1741" w14:textId="77777777" w:rsidTr="00A60395">
        <w:trPr>
          <w:cantSplit/>
          <w:trHeight w:val="245"/>
        </w:trPr>
        <w:tc>
          <w:tcPr>
            <w:tcW w:w="3605" w:type="dxa"/>
            <w:shd w:val="clear" w:color="auto" w:fill="auto"/>
            <w:vAlign w:val="center"/>
            <w:hideMark/>
          </w:tcPr>
          <w:p w14:paraId="5CE7514C" w14:textId="77777777" w:rsidR="00FC752D" w:rsidRPr="00BC4AFE" w:rsidRDefault="00FC752D" w:rsidP="006211D7">
            <w:pPr>
              <w:widowControl w:val="0"/>
              <w:ind w:left="144" w:hanging="144"/>
              <w:rPr>
                <w:sz w:val="18"/>
                <w:szCs w:val="18"/>
              </w:rPr>
            </w:pPr>
            <w:r w:rsidRPr="00BC4AFE">
              <w:rPr>
                <w:sz w:val="18"/>
                <w:szCs w:val="18"/>
              </w:rPr>
              <w:t>Brazil</w:t>
            </w:r>
          </w:p>
        </w:tc>
        <w:tc>
          <w:tcPr>
            <w:tcW w:w="1182" w:type="dxa"/>
            <w:shd w:val="clear" w:color="auto" w:fill="auto"/>
            <w:vAlign w:val="center"/>
            <w:hideMark/>
          </w:tcPr>
          <w:p w14:paraId="3126C68C" w14:textId="77777777" w:rsidR="00FC752D" w:rsidRPr="00BC4AFE" w:rsidRDefault="00FC752D" w:rsidP="006211D7">
            <w:pPr>
              <w:widowControl w:val="0"/>
              <w:ind w:right="144"/>
              <w:jc w:val="right"/>
              <w:rPr>
                <w:sz w:val="18"/>
                <w:szCs w:val="18"/>
              </w:rPr>
            </w:pPr>
            <w:r w:rsidRPr="00BC4AFE">
              <w:rPr>
                <w:sz w:val="18"/>
                <w:szCs w:val="18"/>
              </w:rPr>
              <w:t>2.013</w:t>
            </w:r>
          </w:p>
        </w:tc>
        <w:tc>
          <w:tcPr>
            <w:tcW w:w="1182" w:type="dxa"/>
            <w:shd w:val="clear" w:color="auto" w:fill="auto"/>
            <w:noWrap/>
            <w:vAlign w:val="center"/>
            <w:hideMark/>
          </w:tcPr>
          <w:p w14:paraId="379BBEF4" w14:textId="77777777" w:rsidR="00FC752D" w:rsidRPr="00BC4AFE" w:rsidRDefault="00FC752D" w:rsidP="006211D7">
            <w:pPr>
              <w:widowControl w:val="0"/>
              <w:ind w:right="144"/>
              <w:jc w:val="right"/>
              <w:rPr>
                <w:sz w:val="18"/>
                <w:szCs w:val="18"/>
              </w:rPr>
            </w:pPr>
            <w:r w:rsidRPr="00BC4AFE">
              <w:rPr>
                <w:sz w:val="18"/>
                <w:szCs w:val="18"/>
              </w:rPr>
              <w:t>2.516</w:t>
            </w:r>
          </w:p>
        </w:tc>
        <w:tc>
          <w:tcPr>
            <w:tcW w:w="1182" w:type="dxa"/>
            <w:shd w:val="clear" w:color="auto" w:fill="auto"/>
            <w:noWrap/>
            <w:vAlign w:val="center"/>
            <w:hideMark/>
          </w:tcPr>
          <w:p w14:paraId="6CF9652A" w14:textId="77777777" w:rsidR="00FC752D" w:rsidRPr="00BC4AFE" w:rsidRDefault="00FC752D" w:rsidP="006211D7">
            <w:pPr>
              <w:widowControl w:val="0"/>
              <w:ind w:right="144"/>
              <w:jc w:val="right"/>
              <w:rPr>
                <w:sz w:val="18"/>
                <w:szCs w:val="18"/>
              </w:rPr>
            </w:pPr>
            <w:r w:rsidRPr="00BC4AFE">
              <w:rPr>
                <w:sz w:val="18"/>
                <w:szCs w:val="18"/>
              </w:rPr>
              <w:t>327,811</w:t>
            </w:r>
          </w:p>
        </w:tc>
        <w:tc>
          <w:tcPr>
            <w:tcW w:w="1182" w:type="dxa"/>
            <w:shd w:val="clear" w:color="auto" w:fill="auto"/>
            <w:noWrap/>
            <w:vAlign w:val="center"/>
            <w:hideMark/>
          </w:tcPr>
          <w:p w14:paraId="36AAE3E2" w14:textId="77777777" w:rsidR="00FC752D" w:rsidRPr="00BC4AFE" w:rsidRDefault="00FC752D" w:rsidP="006211D7">
            <w:pPr>
              <w:widowControl w:val="0"/>
              <w:ind w:right="144"/>
              <w:jc w:val="right"/>
              <w:rPr>
                <w:sz w:val="18"/>
                <w:szCs w:val="18"/>
              </w:rPr>
            </w:pPr>
            <w:r w:rsidRPr="00BC4AFE">
              <w:rPr>
                <w:sz w:val="18"/>
                <w:szCs w:val="18"/>
              </w:rPr>
              <w:t>359,555</w:t>
            </w:r>
          </w:p>
        </w:tc>
        <w:tc>
          <w:tcPr>
            <w:tcW w:w="1171" w:type="dxa"/>
            <w:shd w:val="clear" w:color="auto" w:fill="auto"/>
            <w:noWrap/>
            <w:vAlign w:val="center"/>
            <w:hideMark/>
          </w:tcPr>
          <w:p w14:paraId="54F53708" w14:textId="77777777" w:rsidR="00FC752D" w:rsidRPr="00BC4AFE" w:rsidRDefault="00FC752D" w:rsidP="006211D7">
            <w:pPr>
              <w:widowControl w:val="0"/>
              <w:ind w:right="144"/>
              <w:jc w:val="right"/>
              <w:rPr>
                <w:sz w:val="18"/>
                <w:szCs w:val="18"/>
              </w:rPr>
            </w:pPr>
            <w:r w:rsidRPr="00BC4AFE">
              <w:rPr>
                <w:sz w:val="18"/>
                <w:szCs w:val="18"/>
              </w:rPr>
              <w:t>687,366</w:t>
            </w:r>
          </w:p>
        </w:tc>
      </w:tr>
      <w:tr w:rsidR="00FC752D" w:rsidRPr="00BC4AFE" w14:paraId="071EE45D" w14:textId="77777777" w:rsidTr="00A60395">
        <w:trPr>
          <w:cantSplit/>
          <w:trHeight w:val="245"/>
        </w:trPr>
        <w:tc>
          <w:tcPr>
            <w:tcW w:w="3605" w:type="dxa"/>
            <w:shd w:val="clear" w:color="auto" w:fill="auto"/>
            <w:vAlign w:val="center"/>
            <w:hideMark/>
          </w:tcPr>
          <w:p w14:paraId="4E82014A" w14:textId="77777777" w:rsidR="00FC752D" w:rsidRPr="00BC4AFE" w:rsidRDefault="00FC752D" w:rsidP="006211D7">
            <w:pPr>
              <w:widowControl w:val="0"/>
              <w:ind w:left="144" w:hanging="144"/>
              <w:rPr>
                <w:sz w:val="18"/>
                <w:szCs w:val="18"/>
              </w:rPr>
            </w:pPr>
            <w:r w:rsidRPr="00BC4AFE">
              <w:rPr>
                <w:sz w:val="18"/>
                <w:szCs w:val="18"/>
              </w:rPr>
              <w:t>Brunei-Darussalam</w:t>
            </w:r>
          </w:p>
        </w:tc>
        <w:tc>
          <w:tcPr>
            <w:tcW w:w="1182" w:type="dxa"/>
            <w:shd w:val="clear" w:color="auto" w:fill="auto"/>
            <w:vAlign w:val="center"/>
            <w:hideMark/>
          </w:tcPr>
          <w:p w14:paraId="6C784434" w14:textId="77777777" w:rsidR="00FC752D" w:rsidRPr="00BC4AFE" w:rsidRDefault="00FC752D" w:rsidP="006211D7">
            <w:pPr>
              <w:widowControl w:val="0"/>
              <w:ind w:right="144"/>
              <w:jc w:val="right"/>
              <w:rPr>
                <w:sz w:val="18"/>
                <w:szCs w:val="18"/>
              </w:rPr>
            </w:pPr>
            <w:r w:rsidRPr="00BC4AFE">
              <w:rPr>
                <w:sz w:val="18"/>
                <w:szCs w:val="18"/>
              </w:rPr>
              <w:t>0.021</w:t>
            </w:r>
          </w:p>
        </w:tc>
        <w:tc>
          <w:tcPr>
            <w:tcW w:w="1182" w:type="dxa"/>
            <w:shd w:val="clear" w:color="auto" w:fill="auto"/>
            <w:noWrap/>
            <w:vAlign w:val="center"/>
            <w:hideMark/>
          </w:tcPr>
          <w:p w14:paraId="5CDD744D" w14:textId="77777777" w:rsidR="00FC752D" w:rsidRPr="00BC4AFE" w:rsidRDefault="00FC752D" w:rsidP="006211D7">
            <w:pPr>
              <w:widowControl w:val="0"/>
              <w:ind w:right="144"/>
              <w:jc w:val="right"/>
              <w:rPr>
                <w:sz w:val="18"/>
                <w:szCs w:val="18"/>
              </w:rPr>
            </w:pPr>
            <w:r w:rsidRPr="00BC4AFE">
              <w:rPr>
                <w:sz w:val="18"/>
                <w:szCs w:val="18"/>
              </w:rPr>
              <w:t>0.026</w:t>
            </w:r>
          </w:p>
        </w:tc>
        <w:tc>
          <w:tcPr>
            <w:tcW w:w="1182" w:type="dxa"/>
            <w:shd w:val="clear" w:color="auto" w:fill="auto"/>
            <w:noWrap/>
            <w:vAlign w:val="center"/>
            <w:hideMark/>
          </w:tcPr>
          <w:p w14:paraId="36C3A017" w14:textId="77777777" w:rsidR="00FC752D" w:rsidRPr="00BC4AFE" w:rsidRDefault="00FC752D" w:rsidP="006211D7">
            <w:pPr>
              <w:widowControl w:val="0"/>
              <w:ind w:right="144"/>
              <w:jc w:val="right"/>
              <w:rPr>
                <w:sz w:val="18"/>
                <w:szCs w:val="18"/>
              </w:rPr>
            </w:pPr>
            <w:r w:rsidRPr="00BC4AFE">
              <w:rPr>
                <w:sz w:val="18"/>
                <w:szCs w:val="18"/>
              </w:rPr>
              <w:t>3,420</w:t>
            </w:r>
          </w:p>
        </w:tc>
        <w:tc>
          <w:tcPr>
            <w:tcW w:w="1182" w:type="dxa"/>
            <w:shd w:val="clear" w:color="auto" w:fill="auto"/>
            <w:noWrap/>
            <w:vAlign w:val="center"/>
            <w:hideMark/>
          </w:tcPr>
          <w:p w14:paraId="09E15E56" w14:textId="77777777" w:rsidR="00FC752D" w:rsidRPr="00BC4AFE" w:rsidRDefault="00FC752D" w:rsidP="006211D7">
            <w:pPr>
              <w:widowControl w:val="0"/>
              <w:ind w:right="144"/>
              <w:jc w:val="right"/>
              <w:rPr>
                <w:sz w:val="18"/>
                <w:szCs w:val="18"/>
              </w:rPr>
            </w:pPr>
            <w:r w:rsidRPr="00BC4AFE">
              <w:rPr>
                <w:sz w:val="18"/>
                <w:szCs w:val="18"/>
              </w:rPr>
              <w:t>3,751</w:t>
            </w:r>
          </w:p>
        </w:tc>
        <w:tc>
          <w:tcPr>
            <w:tcW w:w="1171" w:type="dxa"/>
            <w:shd w:val="clear" w:color="auto" w:fill="auto"/>
            <w:noWrap/>
            <w:vAlign w:val="center"/>
            <w:hideMark/>
          </w:tcPr>
          <w:p w14:paraId="25ECC3C3" w14:textId="77777777" w:rsidR="00FC752D" w:rsidRPr="00BC4AFE" w:rsidRDefault="00FC752D" w:rsidP="006211D7">
            <w:pPr>
              <w:widowControl w:val="0"/>
              <w:ind w:right="144"/>
              <w:jc w:val="right"/>
              <w:rPr>
                <w:sz w:val="18"/>
                <w:szCs w:val="18"/>
              </w:rPr>
            </w:pPr>
            <w:r w:rsidRPr="00BC4AFE">
              <w:rPr>
                <w:sz w:val="18"/>
                <w:szCs w:val="18"/>
              </w:rPr>
              <w:t>7,171</w:t>
            </w:r>
          </w:p>
        </w:tc>
      </w:tr>
      <w:tr w:rsidR="00FC752D" w:rsidRPr="00BC4AFE" w14:paraId="5D3D1523" w14:textId="77777777" w:rsidTr="00A60395">
        <w:trPr>
          <w:cantSplit/>
          <w:trHeight w:val="245"/>
        </w:trPr>
        <w:tc>
          <w:tcPr>
            <w:tcW w:w="3605" w:type="dxa"/>
            <w:shd w:val="clear" w:color="auto" w:fill="auto"/>
            <w:vAlign w:val="center"/>
            <w:hideMark/>
          </w:tcPr>
          <w:p w14:paraId="472B7311" w14:textId="77777777" w:rsidR="00FC752D" w:rsidRPr="00BC4AFE" w:rsidRDefault="00FC752D" w:rsidP="006211D7">
            <w:pPr>
              <w:widowControl w:val="0"/>
              <w:ind w:left="144" w:hanging="144"/>
              <w:rPr>
                <w:sz w:val="18"/>
                <w:szCs w:val="18"/>
              </w:rPr>
            </w:pPr>
            <w:r w:rsidRPr="00BC4AFE">
              <w:rPr>
                <w:sz w:val="18"/>
                <w:szCs w:val="18"/>
              </w:rPr>
              <w:t>Bulgaria</w:t>
            </w:r>
          </w:p>
        </w:tc>
        <w:tc>
          <w:tcPr>
            <w:tcW w:w="1182" w:type="dxa"/>
            <w:shd w:val="clear" w:color="auto" w:fill="auto"/>
            <w:vAlign w:val="center"/>
            <w:hideMark/>
          </w:tcPr>
          <w:p w14:paraId="68EA1E40" w14:textId="77777777" w:rsidR="00FC752D" w:rsidRPr="00BC4AFE" w:rsidRDefault="00FC752D" w:rsidP="006211D7">
            <w:pPr>
              <w:widowControl w:val="0"/>
              <w:ind w:right="144"/>
              <w:jc w:val="right"/>
              <w:rPr>
                <w:sz w:val="18"/>
                <w:szCs w:val="18"/>
              </w:rPr>
            </w:pPr>
            <w:r w:rsidRPr="00BC4AFE">
              <w:rPr>
                <w:sz w:val="18"/>
                <w:szCs w:val="18"/>
              </w:rPr>
              <w:t>0.056</w:t>
            </w:r>
          </w:p>
        </w:tc>
        <w:tc>
          <w:tcPr>
            <w:tcW w:w="1182" w:type="dxa"/>
            <w:shd w:val="clear" w:color="auto" w:fill="auto"/>
            <w:noWrap/>
            <w:vAlign w:val="center"/>
            <w:hideMark/>
          </w:tcPr>
          <w:p w14:paraId="78977D99" w14:textId="77777777" w:rsidR="00FC752D" w:rsidRPr="00BC4AFE" w:rsidRDefault="00FC752D" w:rsidP="006211D7">
            <w:pPr>
              <w:widowControl w:val="0"/>
              <w:ind w:right="144"/>
              <w:jc w:val="right"/>
              <w:rPr>
                <w:sz w:val="18"/>
                <w:szCs w:val="18"/>
              </w:rPr>
            </w:pPr>
            <w:r w:rsidRPr="00BC4AFE">
              <w:rPr>
                <w:sz w:val="18"/>
                <w:szCs w:val="18"/>
              </w:rPr>
              <w:t>0.070</w:t>
            </w:r>
          </w:p>
        </w:tc>
        <w:tc>
          <w:tcPr>
            <w:tcW w:w="1182" w:type="dxa"/>
            <w:shd w:val="clear" w:color="auto" w:fill="auto"/>
            <w:noWrap/>
            <w:vAlign w:val="center"/>
            <w:hideMark/>
          </w:tcPr>
          <w:p w14:paraId="66BA5C8D" w14:textId="77777777" w:rsidR="00FC752D" w:rsidRPr="00BC4AFE" w:rsidRDefault="00FC752D" w:rsidP="006211D7">
            <w:pPr>
              <w:widowControl w:val="0"/>
              <w:ind w:right="144"/>
              <w:jc w:val="right"/>
              <w:rPr>
                <w:sz w:val="18"/>
                <w:szCs w:val="18"/>
              </w:rPr>
            </w:pPr>
            <w:r w:rsidRPr="00BC4AFE">
              <w:rPr>
                <w:sz w:val="18"/>
                <w:szCs w:val="18"/>
              </w:rPr>
              <w:t>9,119</w:t>
            </w:r>
          </w:p>
        </w:tc>
        <w:tc>
          <w:tcPr>
            <w:tcW w:w="1182" w:type="dxa"/>
            <w:shd w:val="clear" w:color="auto" w:fill="auto"/>
            <w:noWrap/>
            <w:vAlign w:val="center"/>
            <w:hideMark/>
          </w:tcPr>
          <w:p w14:paraId="167D84BC" w14:textId="77777777" w:rsidR="00FC752D" w:rsidRPr="00BC4AFE" w:rsidRDefault="00FC752D" w:rsidP="006211D7">
            <w:pPr>
              <w:widowControl w:val="0"/>
              <w:ind w:right="144"/>
              <w:jc w:val="right"/>
              <w:rPr>
                <w:sz w:val="18"/>
                <w:szCs w:val="18"/>
              </w:rPr>
            </w:pPr>
            <w:r w:rsidRPr="00BC4AFE">
              <w:rPr>
                <w:sz w:val="18"/>
                <w:szCs w:val="18"/>
              </w:rPr>
              <w:t>10,003</w:t>
            </w:r>
          </w:p>
        </w:tc>
        <w:tc>
          <w:tcPr>
            <w:tcW w:w="1171" w:type="dxa"/>
            <w:shd w:val="clear" w:color="auto" w:fill="auto"/>
            <w:noWrap/>
            <w:vAlign w:val="center"/>
            <w:hideMark/>
          </w:tcPr>
          <w:p w14:paraId="6859EF45" w14:textId="77777777" w:rsidR="00FC752D" w:rsidRPr="00BC4AFE" w:rsidRDefault="00FC752D" w:rsidP="006211D7">
            <w:pPr>
              <w:widowControl w:val="0"/>
              <w:ind w:right="144"/>
              <w:jc w:val="right"/>
              <w:rPr>
                <w:sz w:val="18"/>
                <w:szCs w:val="18"/>
              </w:rPr>
            </w:pPr>
            <w:r w:rsidRPr="00BC4AFE">
              <w:rPr>
                <w:sz w:val="18"/>
                <w:szCs w:val="18"/>
              </w:rPr>
              <w:t>19,122</w:t>
            </w:r>
          </w:p>
        </w:tc>
      </w:tr>
      <w:tr w:rsidR="00FC752D" w:rsidRPr="00BC4AFE" w14:paraId="603B73C0" w14:textId="77777777" w:rsidTr="00A60395">
        <w:trPr>
          <w:cantSplit/>
          <w:trHeight w:val="245"/>
        </w:trPr>
        <w:tc>
          <w:tcPr>
            <w:tcW w:w="3605" w:type="dxa"/>
            <w:shd w:val="clear" w:color="auto" w:fill="auto"/>
            <w:vAlign w:val="center"/>
            <w:hideMark/>
          </w:tcPr>
          <w:p w14:paraId="0B60CF36" w14:textId="77777777" w:rsidR="00FC752D" w:rsidRPr="00BC4AFE" w:rsidRDefault="00FC752D" w:rsidP="006211D7">
            <w:pPr>
              <w:widowControl w:val="0"/>
              <w:ind w:left="144" w:hanging="144"/>
              <w:rPr>
                <w:sz w:val="18"/>
                <w:szCs w:val="18"/>
              </w:rPr>
            </w:pPr>
            <w:r w:rsidRPr="00BC4AFE">
              <w:rPr>
                <w:sz w:val="18"/>
                <w:szCs w:val="18"/>
              </w:rPr>
              <w:t>Burkina Faso</w:t>
            </w:r>
          </w:p>
        </w:tc>
        <w:tc>
          <w:tcPr>
            <w:tcW w:w="1182" w:type="dxa"/>
            <w:shd w:val="clear" w:color="auto" w:fill="auto"/>
            <w:vAlign w:val="center"/>
            <w:hideMark/>
          </w:tcPr>
          <w:p w14:paraId="1BFA08E3"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62339DC4"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713855F8" w14:textId="77777777" w:rsidR="00FC752D" w:rsidRPr="00BC4AFE" w:rsidRDefault="00FC752D" w:rsidP="006211D7">
            <w:pPr>
              <w:widowControl w:val="0"/>
              <w:ind w:right="144"/>
              <w:jc w:val="right"/>
              <w:rPr>
                <w:sz w:val="18"/>
                <w:szCs w:val="18"/>
              </w:rPr>
            </w:pPr>
            <w:r w:rsidRPr="00BC4AFE">
              <w:rPr>
                <w:sz w:val="18"/>
                <w:szCs w:val="18"/>
              </w:rPr>
              <w:t>651</w:t>
            </w:r>
          </w:p>
        </w:tc>
        <w:tc>
          <w:tcPr>
            <w:tcW w:w="1182" w:type="dxa"/>
            <w:shd w:val="clear" w:color="auto" w:fill="auto"/>
            <w:noWrap/>
            <w:vAlign w:val="center"/>
            <w:hideMark/>
          </w:tcPr>
          <w:p w14:paraId="19470F45" w14:textId="77777777" w:rsidR="00FC752D" w:rsidRPr="00BC4AFE" w:rsidRDefault="00FC752D" w:rsidP="006211D7">
            <w:pPr>
              <w:widowControl w:val="0"/>
              <w:ind w:right="144"/>
              <w:jc w:val="right"/>
              <w:rPr>
                <w:sz w:val="18"/>
                <w:szCs w:val="18"/>
              </w:rPr>
            </w:pPr>
            <w:r w:rsidRPr="00BC4AFE">
              <w:rPr>
                <w:sz w:val="18"/>
                <w:szCs w:val="18"/>
              </w:rPr>
              <w:t>714</w:t>
            </w:r>
          </w:p>
        </w:tc>
        <w:tc>
          <w:tcPr>
            <w:tcW w:w="1171" w:type="dxa"/>
            <w:shd w:val="clear" w:color="auto" w:fill="auto"/>
            <w:noWrap/>
            <w:vAlign w:val="center"/>
            <w:hideMark/>
          </w:tcPr>
          <w:p w14:paraId="56218D6D" w14:textId="77777777" w:rsidR="00FC752D" w:rsidRPr="00BC4AFE" w:rsidRDefault="00FC752D" w:rsidP="006211D7">
            <w:pPr>
              <w:widowControl w:val="0"/>
              <w:ind w:right="144"/>
              <w:jc w:val="right"/>
              <w:rPr>
                <w:sz w:val="18"/>
                <w:szCs w:val="18"/>
              </w:rPr>
            </w:pPr>
            <w:r w:rsidRPr="00BC4AFE">
              <w:rPr>
                <w:sz w:val="18"/>
                <w:szCs w:val="18"/>
              </w:rPr>
              <w:t>1,366</w:t>
            </w:r>
          </w:p>
        </w:tc>
      </w:tr>
      <w:tr w:rsidR="00FC752D" w:rsidRPr="00BC4AFE" w14:paraId="02494DFC" w14:textId="77777777" w:rsidTr="00A60395">
        <w:trPr>
          <w:cantSplit/>
          <w:trHeight w:val="245"/>
        </w:trPr>
        <w:tc>
          <w:tcPr>
            <w:tcW w:w="3605" w:type="dxa"/>
            <w:shd w:val="clear" w:color="auto" w:fill="auto"/>
            <w:vAlign w:val="center"/>
            <w:hideMark/>
          </w:tcPr>
          <w:p w14:paraId="63D46ED4" w14:textId="77777777" w:rsidR="00FC752D" w:rsidRPr="00BC4AFE" w:rsidRDefault="00FC752D" w:rsidP="006211D7">
            <w:pPr>
              <w:widowControl w:val="0"/>
              <w:ind w:left="144" w:hanging="144"/>
              <w:rPr>
                <w:sz w:val="18"/>
                <w:szCs w:val="18"/>
              </w:rPr>
            </w:pPr>
            <w:r w:rsidRPr="00BC4AFE">
              <w:rPr>
                <w:sz w:val="18"/>
                <w:szCs w:val="18"/>
              </w:rPr>
              <w:t>Burundi</w:t>
            </w:r>
          </w:p>
        </w:tc>
        <w:tc>
          <w:tcPr>
            <w:tcW w:w="1182" w:type="dxa"/>
            <w:shd w:val="clear" w:color="auto" w:fill="auto"/>
            <w:vAlign w:val="center"/>
            <w:hideMark/>
          </w:tcPr>
          <w:p w14:paraId="67ACB24D"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67411467"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46B8AADB"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357F5B91"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71E89281"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03CC3CC6" w14:textId="77777777" w:rsidTr="00A60395">
        <w:trPr>
          <w:cantSplit/>
          <w:trHeight w:val="245"/>
        </w:trPr>
        <w:tc>
          <w:tcPr>
            <w:tcW w:w="3605" w:type="dxa"/>
            <w:shd w:val="clear" w:color="auto" w:fill="auto"/>
            <w:vAlign w:val="center"/>
            <w:hideMark/>
          </w:tcPr>
          <w:p w14:paraId="51417E68" w14:textId="77777777" w:rsidR="00FC752D" w:rsidRPr="00BC4AFE" w:rsidRDefault="00FC752D" w:rsidP="006211D7">
            <w:pPr>
              <w:widowControl w:val="0"/>
              <w:ind w:left="144" w:hanging="144"/>
              <w:rPr>
                <w:sz w:val="18"/>
                <w:szCs w:val="18"/>
              </w:rPr>
            </w:pPr>
            <w:r w:rsidRPr="00BC4AFE">
              <w:rPr>
                <w:sz w:val="18"/>
                <w:szCs w:val="18"/>
              </w:rPr>
              <w:t>Cabo Verde</w:t>
            </w:r>
          </w:p>
        </w:tc>
        <w:tc>
          <w:tcPr>
            <w:tcW w:w="1182" w:type="dxa"/>
            <w:shd w:val="clear" w:color="auto" w:fill="auto"/>
            <w:vAlign w:val="center"/>
            <w:hideMark/>
          </w:tcPr>
          <w:p w14:paraId="589B4F06"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59337198"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2599BAF3"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15A5B0E1"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107F6ED9"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114BB933" w14:textId="77777777" w:rsidTr="00A60395">
        <w:trPr>
          <w:cantSplit/>
          <w:trHeight w:val="245"/>
        </w:trPr>
        <w:tc>
          <w:tcPr>
            <w:tcW w:w="3605" w:type="dxa"/>
            <w:shd w:val="clear" w:color="auto" w:fill="auto"/>
            <w:vAlign w:val="center"/>
            <w:hideMark/>
          </w:tcPr>
          <w:p w14:paraId="4D442569" w14:textId="77777777" w:rsidR="00FC752D" w:rsidRPr="00BC4AFE" w:rsidRDefault="00FC752D" w:rsidP="006211D7">
            <w:pPr>
              <w:widowControl w:val="0"/>
              <w:ind w:left="144" w:hanging="144"/>
              <w:rPr>
                <w:sz w:val="18"/>
                <w:szCs w:val="18"/>
              </w:rPr>
            </w:pPr>
            <w:r w:rsidRPr="00BC4AFE">
              <w:rPr>
                <w:sz w:val="18"/>
                <w:szCs w:val="18"/>
              </w:rPr>
              <w:t>Cambodia</w:t>
            </w:r>
          </w:p>
        </w:tc>
        <w:tc>
          <w:tcPr>
            <w:tcW w:w="1182" w:type="dxa"/>
            <w:shd w:val="clear" w:color="auto" w:fill="auto"/>
            <w:vAlign w:val="center"/>
            <w:hideMark/>
          </w:tcPr>
          <w:p w14:paraId="4A5C10CD" w14:textId="77777777" w:rsidR="00FC752D" w:rsidRPr="00BC4AFE" w:rsidRDefault="00FC752D" w:rsidP="006211D7">
            <w:pPr>
              <w:widowControl w:val="0"/>
              <w:ind w:right="144"/>
              <w:jc w:val="right"/>
              <w:rPr>
                <w:sz w:val="18"/>
                <w:szCs w:val="18"/>
              </w:rPr>
            </w:pPr>
            <w:r w:rsidRPr="00BC4AFE">
              <w:rPr>
                <w:sz w:val="18"/>
                <w:szCs w:val="18"/>
              </w:rPr>
              <w:t>0.007</w:t>
            </w:r>
          </w:p>
        </w:tc>
        <w:tc>
          <w:tcPr>
            <w:tcW w:w="1182" w:type="dxa"/>
            <w:shd w:val="clear" w:color="auto" w:fill="auto"/>
            <w:noWrap/>
            <w:vAlign w:val="center"/>
            <w:hideMark/>
          </w:tcPr>
          <w:p w14:paraId="48FD5247" w14:textId="77777777" w:rsidR="00FC752D" w:rsidRPr="00BC4AFE" w:rsidRDefault="00FC752D" w:rsidP="006211D7">
            <w:pPr>
              <w:widowControl w:val="0"/>
              <w:ind w:right="144"/>
              <w:jc w:val="right"/>
              <w:rPr>
                <w:sz w:val="18"/>
                <w:szCs w:val="18"/>
              </w:rPr>
            </w:pPr>
            <w:r w:rsidRPr="00BC4AFE">
              <w:rPr>
                <w:sz w:val="18"/>
                <w:szCs w:val="18"/>
              </w:rPr>
              <w:t>0.009</w:t>
            </w:r>
          </w:p>
        </w:tc>
        <w:tc>
          <w:tcPr>
            <w:tcW w:w="1182" w:type="dxa"/>
            <w:shd w:val="clear" w:color="auto" w:fill="auto"/>
            <w:noWrap/>
            <w:vAlign w:val="center"/>
            <w:hideMark/>
          </w:tcPr>
          <w:p w14:paraId="394A4469" w14:textId="77777777" w:rsidR="00FC752D" w:rsidRPr="00BC4AFE" w:rsidRDefault="00FC752D" w:rsidP="006211D7">
            <w:pPr>
              <w:widowControl w:val="0"/>
              <w:ind w:right="144"/>
              <w:jc w:val="right"/>
              <w:rPr>
                <w:sz w:val="18"/>
                <w:szCs w:val="18"/>
              </w:rPr>
            </w:pPr>
            <w:r w:rsidRPr="00BC4AFE">
              <w:rPr>
                <w:sz w:val="18"/>
                <w:szCs w:val="18"/>
              </w:rPr>
              <w:t>1,140</w:t>
            </w:r>
          </w:p>
        </w:tc>
        <w:tc>
          <w:tcPr>
            <w:tcW w:w="1182" w:type="dxa"/>
            <w:shd w:val="clear" w:color="auto" w:fill="auto"/>
            <w:noWrap/>
            <w:vAlign w:val="center"/>
            <w:hideMark/>
          </w:tcPr>
          <w:p w14:paraId="712F4915" w14:textId="77777777" w:rsidR="00FC752D" w:rsidRPr="00BC4AFE" w:rsidRDefault="00FC752D" w:rsidP="006211D7">
            <w:pPr>
              <w:widowControl w:val="0"/>
              <w:ind w:right="144"/>
              <w:jc w:val="right"/>
              <w:rPr>
                <w:sz w:val="18"/>
                <w:szCs w:val="18"/>
              </w:rPr>
            </w:pPr>
            <w:r w:rsidRPr="00BC4AFE">
              <w:rPr>
                <w:sz w:val="18"/>
                <w:szCs w:val="18"/>
              </w:rPr>
              <w:t>1,250</w:t>
            </w:r>
          </w:p>
        </w:tc>
        <w:tc>
          <w:tcPr>
            <w:tcW w:w="1171" w:type="dxa"/>
            <w:shd w:val="clear" w:color="auto" w:fill="auto"/>
            <w:noWrap/>
            <w:vAlign w:val="center"/>
            <w:hideMark/>
          </w:tcPr>
          <w:p w14:paraId="3E139BC5" w14:textId="77777777" w:rsidR="00FC752D" w:rsidRPr="00BC4AFE" w:rsidRDefault="00FC752D" w:rsidP="006211D7">
            <w:pPr>
              <w:widowControl w:val="0"/>
              <w:ind w:right="144"/>
              <w:jc w:val="right"/>
              <w:rPr>
                <w:sz w:val="18"/>
                <w:szCs w:val="18"/>
              </w:rPr>
            </w:pPr>
            <w:r w:rsidRPr="00BC4AFE">
              <w:rPr>
                <w:sz w:val="18"/>
                <w:szCs w:val="18"/>
              </w:rPr>
              <w:t>2,390</w:t>
            </w:r>
          </w:p>
        </w:tc>
      </w:tr>
      <w:tr w:rsidR="00FC752D" w:rsidRPr="00BC4AFE" w14:paraId="34C8D8DD" w14:textId="77777777" w:rsidTr="00A60395">
        <w:trPr>
          <w:cantSplit/>
          <w:trHeight w:val="245"/>
        </w:trPr>
        <w:tc>
          <w:tcPr>
            <w:tcW w:w="3605" w:type="dxa"/>
            <w:shd w:val="clear" w:color="auto" w:fill="auto"/>
            <w:vAlign w:val="center"/>
            <w:hideMark/>
          </w:tcPr>
          <w:p w14:paraId="210C8AD5" w14:textId="77777777" w:rsidR="00FC752D" w:rsidRPr="00BC4AFE" w:rsidRDefault="00FC752D" w:rsidP="006211D7">
            <w:pPr>
              <w:widowControl w:val="0"/>
              <w:ind w:left="144" w:hanging="144"/>
              <w:rPr>
                <w:sz w:val="18"/>
                <w:szCs w:val="18"/>
              </w:rPr>
            </w:pPr>
            <w:r w:rsidRPr="00BC4AFE">
              <w:rPr>
                <w:sz w:val="18"/>
                <w:szCs w:val="18"/>
              </w:rPr>
              <w:t>Cameroon</w:t>
            </w:r>
          </w:p>
        </w:tc>
        <w:tc>
          <w:tcPr>
            <w:tcW w:w="1182" w:type="dxa"/>
            <w:shd w:val="clear" w:color="auto" w:fill="auto"/>
            <w:vAlign w:val="center"/>
            <w:hideMark/>
          </w:tcPr>
          <w:p w14:paraId="7936D4C8" w14:textId="77777777" w:rsidR="00FC752D" w:rsidRPr="00BC4AFE" w:rsidRDefault="00FC752D" w:rsidP="006211D7">
            <w:pPr>
              <w:widowControl w:val="0"/>
              <w:ind w:right="144"/>
              <w:jc w:val="right"/>
              <w:rPr>
                <w:sz w:val="18"/>
                <w:szCs w:val="18"/>
              </w:rPr>
            </w:pPr>
            <w:r w:rsidRPr="00BC4AFE">
              <w:rPr>
                <w:sz w:val="18"/>
                <w:szCs w:val="18"/>
              </w:rPr>
              <w:t>0.013</w:t>
            </w:r>
          </w:p>
        </w:tc>
        <w:tc>
          <w:tcPr>
            <w:tcW w:w="1182" w:type="dxa"/>
            <w:shd w:val="clear" w:color="auto" w:fill="auto"/>
            <w:noWrap/>
            <w:vAlign w:val="center"/>
            <w:hideMark/>
          </w:tcPr>
          <w:p w14:paraId="478E00D4" w14:textId="77777777" w:rsidR="00FC752D" w:rsidRPr="00BC4AFE" w:rsidRDefault="00FC752D" w:rsidP="006211D7">
            <w:pPr>
              <w:widowControl w:val="0"/>
              <w:ind w:right="144"/>
              <w:jc w:val="right"/>
              <w:rPr>
                <w:sz w:val="18"/>
                <w:szCs w:val="18"/>
              </w:rPr>
            </w:pPr>
            <w:r w:rsidRPr="00BC4AFE">
              <w:rPr>
                <w:sz w:val="18"/>
                <w:szCs w:val="18"/>
              </w:rPr>
              <w:t>0.016</w:t>
            </w:r>
          </w:p>
        </w:tc>
        <w:tc>
          <w:tcPr>
            <w:tcW w:w="1182" w:type="dxa"/>
            <w:shd w:val="clear" w:color="auto" w:fill="auto"/>
            <w:noWrap/>
            <w:vAlign w:val="center"/>
            <w:hideMark/>
          </w:tcPr>
          <w:p w14:paraId="2DC2AEBE" w14:textId="77777777" w:rsidR="00FC752D" w:rsidRPr="00BC4AFE" w:rsidRDefault="00FC752D" w:rsidP="006211D7">
            <w:pPr>
              <w:widowControl w:val="0"/>
              <w:ind w:right="144"/>
              <w:jc w:val="right"/>
              <w:rPr>
                <w:sz w:val="18"/>
                <w:szCs w:val="18"/>
              </w:rPr>
            </w:pPr>
            <w:r w:rsidRPr="00BC4AFE">
              <w:rPr>
                <w:sz w:val="18"/>
                <w:szCs w:val="18"/>
              </w:rPr>
              <w:t>2,117</w:t>
            </w:r>
          </w:p>
        </w:tc>
        <w:tc>
          <w:tcPr>
            <w:tcW w:w="1182" w:type="dxa"/>
            <w:shd w:val="clear" w:color="auto" w:fill="auto"/>
            <w:noWrap/>
            <w:vAlign w:val="center"/>
            <w:hideMark/>
          </w:tcPr>
          <w:p w14:paraId="20B66DD1" w14:textId="77777777" w:rsidR="00FC752D" w:rsidRPr="00BC4AFE" w:rsidRDefault="00FC752D" w:rsidP="006211D7">
            <w:pPr>
              <w:widowControl w:val="0"/>
              <w:ind w:right="144"/>
              <w:jc w:val="right"/>
              <w:rPr>
                <w:sz w:val="18"/>
                <w:szCs w:val="18"/>
              </w:rPr>
            </w:pPr>
            <w:r w:rsidRPr="00BC4AFE">
              <w:rPr>
                <w:sz w:val="18"/>
                <w:szCs w:val="18"/>
              </w:rPr>
              <w:t>2,322</w:t>
            </w:r>
          </w:p>
        </w:tc>
        <w:tc>
          <w:tcPr>
            <w:tcW w:w="1171" w:type="dxa"/>
            <w:shd w:val="clear" w:color="auto" w:fill="auto"/>
            <w:noWrap/>
            <w:vAlign w:val="center"/>
            <w:hideMark/>
          </w:tcPr>
          <w:p w14:paraId="119FA6A6" w14:textId="77777777" w:rsidR="00FC752D" w:rsidRPr="00BC4AFE" w:rsidRDefault="00FC752D" w:rsidP="006211D7">
            <w:pPr>
              <w:widowControl w:val="0"/>
              <w:ind w:right="144"/>
              <w:jc w:val="right"/>
              <w:rPr>
                <w:sz w:val="18"/>
                <w:szCs w:val="18"/>
              </w:rPr>
            </w:pPr>
            <w:r w:rsidRPr="00BC4AFE">
              <w:rPr>
                <w:sz w:val="18"/>
                <w:szCs w:val="18"/>
              </w:rPr>
              <w:t>4,439</w:t>
            </w:r>
          </w:p>
        </w:tc>
      </w:tr>
      <w:tr w:rsidR="00FC752D" w:rsidRPr="00BC4AFE" w14:paraId="33CE08F7" w14:textId="77777777" w:rsidTr="00A60395">
        <w:trPr>
          <w:cantSplit/>
          <w:trHeight w:val="245"/>
        </w:trPr>
        <w:tc>
          <w:tcPr>
            <w:tcW w:w="3605" w:type="dxa"/>
            <w:shd w:val="clear" w:color="auto" w:fill="auto"/>
            <w:vAlign w:val="center"/>
            <w:hideMark/>
          </w:tcPr>
          <w:p w14:paraId="183476B8" w14:textId="77777777" w:rsidR="00FC752D" w:rsidRPr="00BC4AFE" w:rsidRDefault="00FC752D" w:rsidP="006211D7">
            <w:pPr>
              <w:widowControl w:val="0"/>
              <w:ind w:left="144" w:hanging="144"/>
              <w:rPr>
                <w:sz w:val="18"/>
                <w:szCs w:val="18"/>
              </w:rPr>
            </w:pPr>
            <w:r w:rsidRPr="00BC4AFE">
              <w:rPr>
                <w:sz w:val="18"/>
                <w:szCs w:val="18"/>
              </w:rPr>
              <w:t>Canada</w:t>
            </w:r>
          </w:p>
        </w:tc>
        <w:tc>
          <w:tcPr>
            <w:tcW w:w="1182" w:type="dxa"/>
            <w:shd w:val="clear" w:color="auto" w:fill="auto"/>
            <w:vAlign w:val="center"/>
            <w:hideMark/>
          </w:tcPr>
          <w:p w14:paraId="2FBB41EB" w14:textId="77777777" w:rsidR="00FC752D" w:rsidRPr="00BC4AFE" w:rsidRDefault="00FC752D" w:rsidP="006211D7">
            <w:pPr>
              <w:widowControl w:val="0"/>
              <w:ind w:right="144"/>
              <w:jc w:val="right"/>
              <w:rPr>
                <w:sz w:val="18"/>
                <w:szCs w:val="18"/>
              </w:rPr>
            </w:pPr>
            <w:r w:rsidRPr="00BC4AFE">
              <w:rPr>
                <w:sz w:val="18"/>
                <w:szCs w:val="18"/>
              </w:rPr>
              <w:t>2.628</w:t>
            </w:r>
          </w:p>
        </w:tc>
        <w:tc>
          <w:tcPr>
            <w:tcW w:w="1182" w:type="dxa"/>
            <w:shd w:val="clear" w:color="auto" w:fill="auto"/>
            <w:noWrap/>
            <w:vAlign w:val="center"/>
            <w:hideMark/>
          </w:tcPr>
          <w:p w14:paraId="3DDC9C61" w14:textId="77777777" w:rsidR="00FC752D" w:rsidRPr="00BC4AFE" w:rsidRDefault="00FC752D" w:rsidP="006211D7">
            <w:pPr>
              <w:widowControl w:val="0"/>
              <w:ind w:right="144"/>
              <w:jc w:val="right"/>
              <w:rPr>
                <w:sz w:val="18"/>
                <w:szCs w:val="18"/>
              </w:rPr>
            </w:pPr>
            <w:r w:rsidRPr="00BC4AFE">
              <w:rPr>
                <w:sz w:val="18"/>
                <w:szCs w:val="18"/>
              </w:rPr>
              <w:t>3.285</w:t>
            </w:r>
          </w:p>
        </w:tc>
        <w:tc>
          <w:tcPr>
            <w:tcW w:w="1182" w:type="dxa"/>
            <w:shd w:val="clear" w:color="auto" w:fill="auto"/>
            <w:noWrap/>
            <w:vAlign w:val="center"/>
            <w:hideMark/>
          </w:tcPr>
          <w:p w14:paraId="5367FE11" w14:textId="77777777" w:rsidR="00FC752D" w:rsidRPr="00BC4AFE" w:rsidRDefault="00FC752D" w:rsidP="006211D7">
            <w:pPr>
              <w:widowControl w:val="0"/>
              <w:ind w:right="144"/>
              <w:jc w:val="right"/>
              <w:rPr>
                <w:sz w:val="18"/>
                <w:szCs w:val="18"/>
              </w:rPr>
            </w:pPr>
            <w:r w:rsidRPr="00BC4AFE">
              <w:rPr>
                <w:sz w:val="18"/>
                <w:szCs w:val="18"/>
              </w:rPr>
              <w:t>427,962</w:t>
            </w:r>
          </w:p>
        </w:tc>
        <w:tc>
          <w:tcPr>
            <w:tcW w:w="1182" w:type="dxa"/>
            <w:shd w:val="clear" w:color="auto" w:fill="auto"/>
            <w:noWrap/>
            <w:vAlign w:val="center"/>
            <w:hideMark/>
          </w:tcPr>
          <w:p w14:paraId="578AC14B" w14:textId="77777777" w:rsidR="00FC752D" w:rsidRPr="00BC4AFE" w:rsidRDefault="00FC752D" w:rsidP="006211D7">
            <w:pPr>
              <w:widowControl w:val="0"/>
              <w:ind w:right="144"/>
              <w:jc w:val="right"/>
              <w:rPr>
                <w:sz w:val="18"/>
                <w:szCs w:val="18"/>
              </w:rPr>
            </w:pPr>
            <w:r w:rsidRPr="00BC4AFE">
              <w:rPr>
                <w:sz w:val="18"/>
                <w:szCs w:val="18"/>
              </w:rPr>
              <w:t>469,404</w:t>
            </w:r>
          </w:p>
        </w:tc>
        <w:tc>
          <w:tcPr>
            <w:tcW w:w="1171" w:type="dxa"/>
            <w:shd w:val="clear" w:color="auto" w:fill="auto"/>
            <w:noWrap/>
            <w:vAlign w:val="center"/>
            <w:hideMark/>
          </w:tcPr>
          <w:p w14:paraId="01264267" w14:textId="77777777" w:rsidR="00FC752D" w:rsidRPr="00BC4AFE" w:rsidRDefault="00FC752D" w:rsidP="006211D7">
            <w:pPr>
              <w:widowControl w:val="0"/>
              <w:ind w:right="144"/>
              <w:jc w:val="right"/>
              <w:rPr>
                <w:sz w:val="18"/>
                <w:szCs w:val="18"/>
              </w:rPr>
            </w:pPr>
            <w:r w:rsidRPr="00BC4AFE">
              <w:rPr>
                <w:sz w:val="18"/>
                <w:szCs w:val="18"/>
              </w:rPr>
              <w:t>897,367</w:t>
            </w:r>
          </w:p>
        </w:tc>
      </w:tr>
      <w:tr w:rsidR="00FC752D" w:rsidRPr="00BC4AFE" w14:paraId="35881242" w14:textId="77777777" w:rsidTr="00A60395">
        <w:trPr>
          <w:cantSplit/>
          <w:trHeight w:val="245"/>
        </w:trPr>
        <w:tc>
          <w:tcPr>
            <w:tcW w:w="3605" w:type="dxa"/>
            <w:shd w:val="clear" w:color="auto" w:fill="auto"/>
            <w:vAlign w:val="center"/>
            <w:hideMark/>
          </w:tcPr>
          <w:p w14:paraId="023AB145" w14:textId="77777777" w:rsidR="00FC752D" w:rsidRPr="00BC4AFE" w:rsidRDefault="00FC752D" w:rsidP="006211D7">
            <w:pPr>
              <w:widowControl w:val="0"/>
              <w:ind w:left="144" w:hanging="144"/>
              <w:rPr>
                <w:sz w:val="18"/>
                <w:szCs w:val="18"/>
              </w:rPr>
            </w:pPr>
            <w:r w:rsidRPr="00BC4AFE">
              <w:rPr>
                <w:sz w:val="18"/>
                <w:szCs w:val="18"/>
              </w:rPr>
              <w:t>Central African Republic</w:t>
            </w:r>
          </w:p>
        </w:tc>
        <w:tc>
          <w:tcPr>
            <w:tcW w:w="1182" w:type="dxa"/>
            <w:shd w:val="clear" w:color="auto" w:fill="auto"/>
            <w:vAlign w:val="center"/>
            <w:hideMark/>
          </w:tcPr>
          <w:p w14:paraId="20AF5243"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00F39A4B"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C72D5B9"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7C7DEB51"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05B96C9A"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4746880A" w14:textId="77777777" w:rsidTr="00A60395">
        <w:trPr>
          <w:cantSplit/>
          <w:trHeight w:val="245"/>
        </w:trPr>
        <w:tc>
          <w:tcPr>
            <w:tcW w:w="3605" w:type="dxa"/>
            <w:shd w:val="clear" w:color="auto" w:fill="auto"/>
            <w:vAlign w:val="center"/>
            <w:hideMark/>
          </w:tcPr>
          <w:p w14:paraId="40313E4D" w14:textId="77777777" w:rsidR="00FC752D" w:rsidRPr="00BC4AFE" w:rsidRDefault="00FC752D" w:rsidP="006211D7">
            <w:pPr>
              <w:widowControl w:val="0"/>
              <w:ind w:left="144" w:hanging="144"/>
              <w:rPr>
                <w:sz w:val="18"/>
                <w:szCs w:val="18"/>
              </w:rPr>
            </w:pPr>
            <w:r w:rsidRPr="00BC4AFE">
              <w:rPr>
                <w:sz w:val="18"/>
                <w:szCs w:val="18"/>
              </w:rPr>
              <w:t>Chad</w:t>
            </w:r>
          </w:p>
        </w:tc>
        <w:tc>
          <w:tcPr>
            <w:tcW w:w="1182" w:type="dxa"/>
            <w:shd w:val="clear" w:color="auto" w:fill="auto"/>
            <w:vAlign w:val="center"/>
            <w:hideMark/>
          </w:tcPr>
          <w:p w14:paraId="3C2FDF06"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138BB4DC"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71A620EE" w14:textId="77777777" w:rsidR="00FC752D" w:rsidRPr="00BC4AFE" w:rsidRDefault="00FC752D" w:rsidP="006211D7">
            <w:pPr>
              <w:widowControl w:val="0"/>
              <w:ind w:right="144"/>
              <w:jc w:val="right"/>
              <w:rPr>
                <w:sz w:val="18"/>
                <w:szCs w:val="18"/>
              </w:rPr>
            </w:pPr>
            <w:r w:rsidRPr="00BC4AFE">
              <w:rPr>
                <w:sz w:val="18"/>
                <w:szCs w:val="18"/>
              </w:rPr>
              <w:t>489</w:t>
            </w:r>
          </w:p>
        </w:tc>
        <w:tc>
          <w:tcPr>
            <w:tcW w:w="1182" w:type="dxa"/>
            <w:shd w:val="clear" w:color="auto" w:fill="auto"/>
            <w:noWrap/>
            <w:vAlign w:val="center"/>
            <w:hideMark/>
          </w:tcPr>
          <w:p w14:paraId="0D4A2F78" w14:textId="77777777" w:rsidR="00FC752D" w:rsidRPr="00BC4AFE" w:rsidRDefault="00FC752D" w:rsidP="006211D7">
            <w:pPr>
              <w:widowControl w:val="0"/>
              <w:ind w:right="144"/>
              <w:jc w:val="right"/>
              <w:rPr>
                <w:sz w:val="18"/>
                <w:szCs w:val="18"/>
              </w:rPr>
            </w:pPr>
            <w:r w:rsidRPr="00BC4AFE">
              <w:rPr>
                <w:sz w:val="18"/>
                <w:szCs w:val="18"/>
              </w:rPr>
              <w:t>536</w:t>
            </w:r>
          </w:p>
        </w:tc>
        <w:tc>
          <w:tcPr>
            <w:tcW w:w="1171" w:type="dxa"/>
            <w:shd w:val="clear" w:color="auto" w:fill="auto"/>
            <w:noWrap/>
            <w:vAlign w:val="center"/>
            <w:hideMark/>
          </w:tcPr>
          <w:p w14:paraId="720BBC5F" w14:textId="77777777" w:rsidR="00FC752D" w:rsidRPr="00BC4AFE" w:rsidRDefault="00FC752D" w:rsidP="006211D7">
            <w:pPr>
              <w:widowControl w:val="0"/>
              <w:ind w:right="144"/>
              <w:jc w:val="right"/>
              <w:rPr>
                <w:sz w:val="18"/>
                <w:szCs w:val="18"/>
              </w:rPr>
            </w:pPr>
            <w:r w:rsidRPr="00BC4AFE">
              <w:rPr>
                <w:sz w:val="18"/>
                <w:szCs w:val="18"/>
              </w:rPr>
              <w:t>1,024</w:t>
            </w:r>
          </w:p>
        </w:tc>
      </w:tr>
      <w:tr w:rsidR="00FC752D" w:rsidRPr="00BC4AFE" w14:paraId="0147F829" w14:textId="77777777" w:rsidTr="00A60395">
        <w:trPr>
          <w:cantSplit/>
          <w:trHeight w:val="245"/>
        </w:trPr>
        <w:tc>
          <w:tcPr>
            <w:tcW w:w="3605" w:type="dxa"/>
            <w:shd w:val="clear" w:color="auto" w:fill="auto"/>
            <w:vAlign w:val="center"/>
            <w:hideMark/>
          </w:tcPr>
          <w:p w14:paraId="77DDC777" w14:textId="77777777" w:rsidR="00FC752D" w:rsidRPr="00BC4AFE" w:rsidRDefault="00FC752D" w:rsidP="006211D7">
            <w:pPr>
              <w:widowControl w:val="0"/>
              <w:ind w:left="144" w:hanging="144"/>
              <w:rPr>
                <w:sz w:val="18"/>
                <w:szCs w:val="18"/>
              </w:rPr>
            </w:pPr>
            <w:r w:rsidRPr="00BC4AFE">
              <w:rPr>
                <w:sz w:val="18"/>
                <w:szCs w:val="18"/>
              </w:rPr>
              <w:t>Chile</w:t>
            </w:r>
          </w:p>
        </w:tc>
        <w:tc>
          <w:tcPr>
            <w:tcW w:w="1182" w:type="dxa"/>
            <w:shd w:val="clear" w:color="auto" w:fill="auto"/>
            <w:vAlign w:val="center"/>
            <w:hideMark/>
          </w:tcPr>
          <w:p w14:paraId="123A0649" w14:textId="77777777" w:rsidR="00FC752D" w:rsidRPr="00BC4AFE" w:rsidRDefault="00FC752D" w:rsidP="006211D7">
            <w:pPr>
              <w:widowControl w:val="0"/>
              <w:ind w:right="144"/>
              <w:jc w:val="right"/>
              <w:rPr>
                <w:sz w:val="18"/>
                <w:szCs w:val="18"/>
              </w:rPr>
            </w:pPr>
            <w:r w:rsidRPr="00BC4AFE">
              <w:rPr>
                <w:sz w:val="18"/>
                <w:szCs w:val="18"/>
              </w:rPr>
              <w:t>0.420</w:t>
            </w:r>
          </w:p>
        </w:tc>
        <w:tc>
          <w:tcPr>
            <w:tcW w:w="1182" w:type="dxa"/>
            <w:shd w:val="clear" w:color="auto" w:fill="auto"/>
            <w:noWrap/>
            <w:vAlign w:val="center"/>
            <w:hideMark/>
          </w:tcPr>
          <w:p w14:paraId="570FE148" w14:textId="77777777" w:rsidR="00FC752D" w:rsidRPr="00BC4AFE" w:rsidRDefault="00FC752D" w:rsidP="006211D7">
            <w:pPr>
              <w:widowControl w:val="0"/>
              <w:ind w:right="144"/>
              <w:jc w:val="right"/>
              <w:rPr>
                <w:sz w:val="18"/>
                <w:szCs w:val="18"/>
              </w:rPr>
            </w:pPr>
            <w:r w:rsidRPr="00BC4AFE">
              <w:rPr>
                <w:sz w:val="18"/>
                <w:szCs w:val="18"/>
              </w:rPr>
              <w:t>0.525</w:t>
            </w:r>
          </w:p>
        </w:tc>
        <w:tc>
          <w:tcPr>
            <w:tcW w:w="1182" w:type="dxa"/>
            <w:shd w:val="clear" w:color="auto" w:fill="auto"/>
            <w:noWrap/>
            <w:vAlign w:val="center"/>
            <w:hideMark/>
          </w:tcPr>
          <w:p w14:paraId="17425AEE" w14:textId="77777777" w:rsidR="00FC752D" w:rsidRPr="00BC4AFE" w:rsidRDefault="00FC752D" w:rsidP="006211D7">
            <w:pPr>
              <w:widowControl w:val="0"/>
              <w:ind w:right="144"/>
              <w:jc w:val="right"/>
              <w:rPr>
                <w:sz w:val="18"/>
                <w:szCs w:val="18"/>
              </w:rPr>
            </w:pPr>
            <w:r w:rsidRPr="00BC4AFE">
              <w:rPr>
                <w:sz w:val="18"/>
                <w:szCs w:val="18"/>
              </w:rPr>
              <w:t>68,396</w:t>
            </w:r>
          </w:p>
        </w:tc>
        <w:tc>
          <w:tcPr>
            <w:tcW w:w="1182" w:type="dxa"/>
            <w:shd w:val="clear" w:color="auto" w:fill="auto"/>
            <w:noWrap/>
            <w:vAlign w:val="center"/>
            <w:hideMark/>
          </w:tcPr>
          <w:p w14:paraId="67A712C8" w14:textId="77777777" w:rsidR="00FC752D" w:rsidRPr="00BC4AFE" w:rsidRDefault="00FC752D" w:rsidP="006211D7">
            <w:pPr>
              <w:widowControl w:val="0"/>
              <w:ind w:right="144"/>
              <w:jc w:val="right"/>
              <w:rPr>
                <w:sz w:val="18"/>
                <w:szCs w:val="18"/>
              </w:rPr>
            </w:pPr>
            <w:r w:rsidRPr="00BC4AFE">
              <w:rPr>
                <w:sz w:val="18"/>
                <w:szCs w:val="18"/>
              </w:rPr>
              <w:t>75,019</w:t>
            </w:r>
          </w:p>
        </w:tc>
        <w:tc>
          <w:tcPr>
            <w:tcW w:w="1171" w:type="dxa"/>
            <w:shd w:val="clear" w:color="auto" w:fill="auto"/>
            <w:noWrap/>
            <w:vAlign w:val="center"/>
            <w:hideMark/>
          </w:tcPr>
          <w:p w14:paraId="0F8876F3" w14:textId="77777777" w:rsidR="00FC752D" w:rsidRPr="00BC4AFE" w:rsidRDefault="00FC752D" w:rsidP="006211D7">
            <w:pPr>
              <w:widowControl w:val="0"/>
              <w:ind w:right="144"/>
              <w:jc w:val="right"/>
              <w:rPr>
                <w:sz w:val="18"/>
                <w:szCs w:val="18"/>
              </w:rPr>
            </w:pPr>
            <w:r w:rsidRPr="00BC4AFE">
              <w:rPr>
                <w:sz w:val="18"/>
                <w:szCs w:val="18"/>
              </w:rPr>
              <w:t>143,415</w:t>
            </w:r>
          </w:p>
        </w:tc>
      </w:tr>
      <w:tr w:rsidR="00FC752D" w:rsidRPr="00BC4AFE" w14:paraId="5838AE62" w14:textId="77777777" w:rsidTr="00A60395">
        <w:trPr>
          <w:cantSplit/>
          <w:trHeight w:val="245"/>
        </w:trPr>
        <w:tc>
          <w:tcPr>
            <w:tcW w:w="3605" w:type="dxa"/>
            <w:shd w:val="clear" w:color="auto" w:fill="auto"/>
            <w:vAlign w:val="center"/>
            <w:hideMark/>
          </w:tcPr>
          <w:p w14:paraId="4107F2FE" w14:textId="77777777" w:rsidR="00FC752D" w:rsidRPr="00BC4AFE" w:rsidRDefault="00FC752D" w:rsidP="006211D7">
            <w:pPr>
              <w:widowControl w:val="0"/>
              <w:ind w:left="144" w:hanging="144"/>
              <w:rPr>
                <w:sz w:val="18"/>
                <w:szCs w:val="18"/>
              </w:rPr>
            </w:pPr>
            <w:r w:rsidRPr="00BC4AFE">
              <w:rPr>
                <w:sz w:val="18"/>
                <w:szCs w:val="18"/>
              </w:rPr>
              <w:t>China</w:t>
            </w:r>
          </w:p>
        </w:tc>
        <w:tc>
          <w:tcPr>
            <w:tcW w:w="1182" w:type="dxa"/>
            <w:shd w:val="clear" w:color="auto" w:fill="auto"/>
            <w:vAlign w:val="center"/>
            <w:hideMark/>
          </w:tcPr>
          <w:p w14:paraId="6901D9A8" w14:textId="77777777" w:rsidR="00FC752D" w:rsidRPr="00BC4AFE" w:rsidRDefault="00FC752D" w:rsidP="006211D7">
            <w:pPr>
              <w:widowControl w:val="0"/>
              <w:ind w:right="144"/>
              <w:jc w:val="right"/>
              <w:rPr>
                <w:sz w:val="18"/>
                <w:szCs w:val="18"/>
              </w:rPr>
            </w:pPr>
            <w:r w:rsidRPr="00BC4AFE">
              <w:rPr>
                <w:sz w:val="18"/>
                <w:szCs w:val="18"/>
              </w:rPr>
              <w:t>15.254</w:t>
            </w:r>
          </w:p>
        </w:tc>
        <w:tc>
          <w:tcPr>
            <w:tcW w:w="1182" w:type="dxa"/>
            <w:shd w:val="clear" w:color="auto" w:fill="auto"/>
            <w:noWrap/>
            <w:vAlign w:val="center"/>
            <w:hideMark/>
          </w:tcPr>
          <w:p w14:paraId="0707F01B" w14:textId="77777777" w:rsidR="00FC752D" w:rsidRPr="00BC4AFE" w:rsidRDefault="00FC752D" w:rsidP="006211D7">
            <w:pPr>
              <w:widowControl w:val="0"/>
              <w:ind w:right="144"/>
              <w:jc w:val="right"/>
              <w:rPr>
                <w:sz w:val="18"/>
                <w:szCs w:val="18"/>
              </w:rPr>
            </w:pPr>
            <w:r w:rsidRPr="00BC4AFE">
              <w:rPr>
                <w:sz w:val="18"/>
                <w:szCs w:val="18"/>
              </w:rPr>
              <w:t>19.069</w:t>
            </w:r>
          </w:p>
        </w:tc>
        <w:tc>
          <w:tcPr>
            <w:tcW w:w="1182" w:type="dxa"/>
            <w:shd w:val="clear" w:color="auto" w:fill="auto"/>
            <w:noWrap/>
            <w:vAlign w:val="center"/>
            <w:hideMark/>
          </w:tcPr>
          <w:p w14:paraId="5692E8C4" w14:textId="77777777" w:rsidR="00FC752D" w:rsidRPr="00BC4AFE" w:rsidRDefault="00FC752D" w:rsidP="006211D7">
            <w:pPr>
              <w:widowControl w:val="0"/>
              <w:ind w:right="144"/>
              <w:jc w:val="right"/>
              <w:rPr>
                <w:sz w:val="18"/>
                <w:szCs w:val="18"/>
              </w:rPr>
            </w:pPr>
            <w:r w:rsidRPr="00BC4AFE">
              <w:rPr>
                <w:sz w:val="18"/>
                <w:szCs w:val="18"/>
              </w:rPr>
              <w:t>2,484,070</w:t>
            </w:r>
          </w:p>
        </w:tc>
        <w:tc>
          <w:tcPr>
            <w:tcW w:w="1182" w:type="dxa"/>
            <w:shd w:val="clear" w:color="auto" w:fill="auto"/>
            <w:noWrap/>
            <w:vAlign w:val="center"/>
            <w:hideMark/>
          </w:tcPr>
          <w:p w14:paraId="5CF88071" w14:textId="77777777" w:rsidR="00FC752D" w:rsidRPr="00BC4AFE" w:rsidRDefault="00FC752D" w:rsidP="006211D7">
            <w:pPr>
              <w:widowControl w:val="0"/>
              <w:ind w:right="144"/>
              <w:jc w:val="right"/>
              <w:rPr>
                <w:sz w:val="18"/>
                <w:szCs w:val="18"/>
              </w:rPr>
            </w:pPr>
            <w:r w:rsidRPr="00BC4AFE">
              <w:rPr>
                <w:sz w:val="18"/>
                <w:szCs w:val="18"/>
              </w:rPr>
              <w:t>2,724,617</w:t>
            </w:r>
          </w:p>
        </w:tc>
        <w:tc>
          <w:tcPr>
            <w:tcW w:w="1171" w:type="dxa"/>
            <w:shd w:val="clear" w:color="auto" w:fill="auto"/>
            <w:noWrap/>
            <w:vAlign w:val="center"/>
            <w:hideMark/>
          </w:tcPr>
          <w:p w14:paraId="446455B4" w14:textId="77777777" w:rsidR="00FC752D" w:rsidRPr="00BC4AFE" w:rsidRDefault="00FC752D" w:rsidP="006211D7">
            <w:pPr>
              <w:widowControl w:val="0"/>
              <w:ind w:right="144"/>
              <w:jc w:val="right"/>
              <w:rPr>
                <w:sz w:val="18"/>
                <w:szCs w:val="18"/>
              </w:rPr>
            </w:pPr>
            <w:r w:rsidRPr="00BC4AFE">
              <w:rPr>
                <w:sz w:val="18"/>
                <w:szCs w:val="18"/>
              </w:rPr>
              <w:t>5,208,688</w:t>
            </w:r>
          </w:p>
        </w:tc>
      </w:tr>
      <w:tr w:rsidR="00FC752D" w:rsidRPr="00BC4AFE" w14:paraId="4E871BA6" w14:textId="77777777" w:rsidTr="00A60395">
        <w:trPr>
          <w:cantSplit/>
          <w:trHeight w:val="245"/>
        </w:trPr>
        <w:tc>
          <w:tcPr>
            <w:tcW w:w="3605" w:type="dxa"/>
            <w:shd w:val="clear" w:color="auto" w:fill="auto"/>
            <w:vAlign w:val="center"/>
            <w:hideMark/>
          </w:tcPr>
          <w:p w14:paraId="1186D732" w14:textId="77777777" w:rsidR="00FC752D" w:rsidRPr="00BC4AFE" w:rsidRDefault="00FC752D" w:rsidP="006211D7">
            <w:pPr>
              <w:widowControl w:val="0"/>
              <w:ind w:left="144" w:hanging="144"/>
              <w:rPr>
                <w:sz w:val="18"/>
                <w:szCs w:val="18"/>
              </w:rPr>
            </w:pPr>
            <w:r w:rsidRPr="00BC4AFE">
              <w:rPr>
                <w:sz w:val="18"/>
                <w:szCs w:val="18"/>
              </w:rPr>
              <w:t>Colombia</w:t>
            </w:r>
          </w:p>
        </w:tc>
        <w:tc>
          <w:tcPr>
            <w:tcW w:w="1182" w:type="dxa"/>
            <w:shd w:val="clear" w:color="auto" w:fill="auto"/>
            <w:vAlign w:val="center"/>
            <w:hideMark/>
          </w:tcPr>
          <w:p w14:paraId="7CFA5AB9" w14:textId="77777777" w:rsidR="00FC752D" w:rsidRPr="00BC4AFE" w:rsidRDefault="00FC752D" w:rsidP="006211D7">
            <w:pPr>
              <w:widowControl w:val="0"/>
              <w:ind w:right="144"/>
              <w:jc w:val="right"/>
              <w:rPr>
                <w:sz w:val="18"/>
                <w:szCs w:val="18"/>
              </w:rPr>
            </w:pPr>
            <w:r w:rsidRPr="00BC4AFE">
              <w:rPr>
                <w:sz w:val="18"/>
                <w:szCs w:val="18"/>
              </w:rPr>
              <w:t>0.246</w:t>
            </w:r>
          </w:p>
        </w:tc>
        <w:tc>
          <w:tcPr>
            <w:tcW w:w="1182" w:type="dxa"/>
            <w:shd w:val="clear" w:color="auto" w:fill="auto"/>
            <w:noWrap/>
            <w:vAlign w:val="center"/>
            <w:hideMark/>
          </w:tcPr>
          <w:p w14:paraId="2B7768F0" w14:textId="77777777" w:rsidR="00FC752D" w:rsidRPr="00BC4AFE" w:rsidRDefault="00FC752D" w:rsidP="006211D7">
            <w:pPr>
              <w:widowControl w:val="0"/>
              <w:ind w:right="144"/>
              <w:jc w:val="right"/>
              <w:rPr>
                <w:sz w:val="18"/>
                <w:szCs w:val="18"/>
              </w:rPr>
            </w:pPr>
            <w:r w:rsidRPr="00BC4AFE">
              <w:rPr>
                <w:sz w:val="18"/>
                <w:szCs w:val="18"/>
              </w:rPr>
              <w:t>0.308</w:t>
            </w:r>
          </w:p>
        </w:tc>
        <w:tc>
          <w:tcPr>
            <w:tcW w:w="1182" w:type="dxa"/>
            <w:shd w:val="clear" w:color="auto" w:fill="auto"/>
            <w:noWrap/>
            <w:vAlign w:val="center"/>
            <w:hideMark/>
          </w:tcPr>
          <w:p w14:paraId="1F01913C" w14:textId="77777777" w:rsidR="00FC752D" w:rsidRPr="00BC4AFE" w:rsidRDefault="00FC752D" w:rsidP="006211D7">
            <w:pPr>
              <w:widowControl w:val="0"/>
              <w:ind w:right="144"/>
              <w:jc w:val="right"/>
              <w:rPr>
                <w:sz w:val="18"/>
                <w:szCs w:val="18"/>
              </w:rPr>
            </w:pPr>
            <w:r w:rsidRPr="00BC4AFE">
              <w:rPr>
                <w:sz w:val="18"/>
                <w:szCs w:val="18"/>
              </w:rPr>
              <w:t>40,060</w:t>
            </w:r>
          </w:p>
        </w:tc>
        <w:tc>
          <w:tcPr>
            <w:tcW w:w="1182" w:type="dxa"/>
            <w:shd w:val="clear" w:color="auto" w:fill="auto"/>
            <w:noWrap/>
            <w:vAlign w:val="center"/>
            <w:hideMark/>
          </w:tcPr>
          <w:p w14:paraId="1A2D80AB" w14:textId="77777777" w:rsidR="00FC752D" w:rsidRPr="00BC4AFE" w:rsidRDefault="00FC752D" w:rsidP="006211D7">
            <w:pPr>
              <w:widowControl w:val="0"/>
              <w:ind w:right="144"/>
              <w:jc w:val="right"/>
              <w:rPr>
                <w:sz w:val="18"/>
                <w:szCs w:val="18"/>
              </w:rPr>
            </w:pPr>
            <w:r w:rsidRPr="00BC4AFE">
              <w:rPr>
                <w:sz w:val="18"/>
                <w:szCs w:val="18"/>
              </w:rPr>
              <w:t>43,940</w:t>
            </w:r>
          </w:p>
        </w:tc>
        <w:tc>
          <w:tcPr>
            <w:tcW w:w="1171" w:type="dxa"/>
            <w:shd w:val="clear" w:color="auto" w:fill="auto"/>
            <w:noWrap/>
            <w:vAlign w:val="center"/>
            <w:hideMark/>
          </w:tcPr>
          <w:p w14:paraId="5EADD9BD" w14:textId="77777777" w:rsidR="00FC752D" w:rsidRPr="00BC4AFE" w:rsidRDefault="00FC752D" w:rsidP="006211D7">
            <w:pPr>
              <w:widowControl w:val="0"/>
              <w:ind w:right="144"/>
              <w:jc w:val="right"/>
              <w:rPr>
                <w:sz w:val="18"/>
                <w:szCs w:val="18"/>
              </w:rPr>
            </w:pPr>
            <w:r w:rsidRPr="00BC4AFE">
              <w:rPr>
                <w:sz w:val="18"/>
                <w:szCs w:val="18"/>
              </w:rPr>
              <w:t>84,000</w:t>
            </w:r>
          </w:p>
        </w:tc>
      </w:tr>
      <w:tr w:rsidR="00FC752D" w:rsidRPr="00BC4AFE" w14:paraId="08D88B39" w14:textId="77777777" w:rsidTr="00A60395">
        <w:trPr>
          <w:cantSplit/>
          <w:trHeight w:val="245"/>
        </w:trPr>
        <w:tc>
          <w:tcPr>
            <w:tcW w:w="3605" w:type="dxa"/>
            <w:shd w:val="clear" w:color="auto" w:fill="auto"/>
            <w:vAlign w:val="center"/>
            <w:hideMark/>
          </w:tcPr>
          <w:p w14:paraId="303C900A" w14:textId="77777777" w:rsidR="00FC752D" w:rsidRPr="00BC4AFE" w:rsidRDefault="00FC752D" w:rsidP="006211D7">
            <w:pPr>
              <w:widowControl w:val="0"/>
              <w:ind w:left="144" w:hanging="144"/>
              <w:rPr>
                <w:sz w:val="18"/>
                <w:szCs w:val="18"/>
              </w:rPr>
            </w:pPr>
            <w:r w:rsidRPr="00BC4AFE">
              <w:rPr>
                <w:sz w:val="18"/>
                <w:szCs w:val="18"/>
              </w:rPr>
              <w:t>Comoros</w:t>
            </w:r>
          </w:p>
        </w:tc>
        <w:tc>
          <w:tcPr>
            <w:tcW w:w="1182" w:type="dxa"/>
            <w:shd w:val="clear" w:color="auto" w:fill="auto"/>
            <w:vAlign w:val="center"/>
            <w:hideMark/>
          </w:tcPr>
          <w:p w14:paraId="1E6E9638"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38599DE"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076CA3FB"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6DDB8EDA"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1B0423A7"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6E0BC90C" w14:textId="77777777" w:rsidTr="00A60395">
        <w:trPr>
          <w:cantSplit/>
          <w:trHeight w:val="245"/>
        </w:trPr>
        <w:tc>
          <w:tcPr>
            <w:tcW w:w="3605" w:type="dxa"/>
            <w:shd w:val="clear" w:color="auto" w:fill="auto"/>
            <w:vAlign w:val="center"/>
            <w:hideMark/>
          </w:tcPr>
          <w:p w14:paraId="7661BD1B" w14:textId="77777777" w:rsidR="00FC752D" w:rsidRPr="00BC4AFE" w:rsidRDefault="00FC752D" w:rsidP="006211D7">
            <w:pPr>
              <w:widowControl w:val="0"/>
              <w:ind w:left="144" w:hanging="144"/>
              <w:rPr>
                <w:sz w:val="18"/>
                <w:szCs w:val="18"/>
              </w:rPr>
            </w:pPr>
            <w:r w:rsidRPr="00BC4AFE">
              <w:rPr>
                <w:sz w:val="18"/>
                <w:szCs w:val="18"/>
              </w:rPr>
              <w:t>Congo</w:t>
            </w:r>
          </w:p>
        </w:tc>
        <w:tc>
          <w:tcPr>
            <w:tcW w:w="1182" w:type="dxa"/>
            <w:shd w:val="clear" w:color="auto" w:fill="auto"/>
            <w:vAlign w:val="center"/>
            <w:hideMark/>
          </w:tcPr>
          <w:p w14:paraId="1EA0A5E1"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14085FF7" w14:textId="77777777" w:rsidR="00FC752D" w:rsidRPr="00BC4AFE" w:rsidRDefault="00FC752D" w:rsidP="006211D7">
            <w:pPr>
              <w:widowControl w:val="0"/>
              <w:ind w:right="144"/>
              <w:jc w:val="right"/>
              <w:rPr>
                <w:sz w:val="18"/>
                <w:szCs w:val="18"/>
              </w:rPr>
            </w:pPr>
            <w:r w:rsidRPr="00BC4AFE">
              <w:rPr>
                <w:sz w:val="18"/>
                <w:szCs w:val="18"/>
              </w:rPr>
              <w:t>0.006</w:t>
            </w:r>
          </w:p>
        </w:tc>
        <w:tc>
          <w:tcPr>
            <w:tcW w:w="1182" w:type="dxa"/>
            <w:shd w:val="clear" w:color="auto" w:fill="auto"/>
            <w:noWrap/>
            <w:vAlign w:val="center"/>
            <w:hideMark/>
          </w:tcPr>
          <w:p w14:paraId="20563530" w14:textId="77777777" w:rsidR="00FC752D" w:rsidRPr="00BC4AFE" w:rsidRDefault="00FC752D" w:rsidP="006211D7">
            <w:pPr>
              <w:widowControl w:val="0"/>
              <w:ind w:right="144"/>
              <w:jc w:val="right"/>
              <w:rPr>
                <w:sz w:val="18"/>
                <w:szCs w:val="18"/>
              </w:rPr>
            </w:pPr>
            <w:r w:rsidRPr="00BC4AFE">
              <w:rPr>
                <w:sz w:val="18"/>
                <w:szCs w:val="18"/>
              </w:rPr>
              <w:t>814</w:t>
            </w:r>
          </w:p>
        </w:tc>
        <w:tc>
          <w:tcPr>
            <w:tcW w:w="1182" w:type="dxa"/>
            <w:shd w:val="clear" w:color="auto" w:fill="auto"/>
            <w:noWrap/>
            <w:vAlign w:val="center"/>
            <w:hideMark/>
          </w:tcPr>
          <w:p w14:paraId="26433D98" w14:textId="77777777" w:rsidR="00FC752D" w:rsidRPr="00BC4AFE" w:rsidRDefault="00FC752D" w:rsidP="006211D7">
            <w:pPr>
              <w:widowControl w:val="0"/>
              <w:ind w:right="144"/>
              <w:jc w:val="right"/>
              <w:rPr>
                <w:sz w:val="18"/>
                <w:szCs w:val="18"/>
              </w:rPr>
            </w:pPr>
            <w:r w:rsidRPr="00BC4AFE">
              <w:rPr>
                <w:sz w:val="18"/>
                <w:szCs w:val="18"/>
              </w:rPr>
              <w:t>893</w:t>
            </w:r>
          </w:p>
        </w:tc>
        <w:tc>
          <w:tcPr>
            <w:tcW w:w="1171" w:type="dxa"/>
            <w:shd w:val="clear" w:color="auto" w:fill="auto"/>
            <w:noWrap/>
            <w:vAlign w:val="center"/>
            <w:hideMark/>
          </w:tcPr>
          <w:p w14:paraId="7C9EAACF" w14:textId="77777777" w:rsidR="00FC752D" w:rsidRPr="00BC4AFE" w:rsidRDefault="00FC752D" w:rsidP="006211D7">
            <w:pPr>
              <w:widowControl w:val="0"/>
              <w:ind w:right="144"/>
              <w:jc w:val="right"/>
              <w:rPr>
                <w:sz w:val="18"/>
                <w:szCs w:val="18"/>
              </w:rPr>
            </w:pPr>
            <w:r w:rsidRPr="00BC4AFE">
              <w:rPr>
                <w:sz w:val="18"/>
                <w:szCs w:val="18"/>
              </w:rPr>
              <w:t>1,707</w:t>
            </w:r>
          </w:p>
        </w:tc>
      </w:tr>
      <w:tr w:rsidR="00FC752D" w:rsidRPr="00BC4AFE" w14:paraId="6CC43CB0" w14:textId="77777777" w:rsidTr="00A60395">
        <w:trPr>
          <w:cantSplit/>
          <w:trHeight w:val="245"/>
        </w:trPr>
        <w:tc>
          <w:tcPr>
            <w:tcW w:w="3605" w:type="dxa"/>
            <w:shd w:val="clear" w:color="auto" w:fill="auto"/>
            <w:vAlign w:val="center"/>
            <w:hideMark/>
          </w:tcPr>
          <w:p w14:paraId="552CC952" w14:textId="77777777" w:rsidR="00FC752D" w:rsidRPr="00BC4AFE" w:rsidRDefault="00FC752D" w:rsidP="006211D7">
            <w:pPr>
              <w:widowControl w:val="0"/>
              <w:ind w:left="144" w:hanging="144"/>
              <w:rPr>
                <w:sz w:val="18"/>
                <w:szCs w:val="18"/>
              </w:rPr>
            </w:pPr>
            <w:r w:rsidRPr="00BC4AFE">
              <w:rPr>
                <w:sz w:val="18"/>
                <w:szCs w:val="18"/>
              </w:rPr>
              <w:t>Cook Islands</w:t>
            </w:r>
          </w:p>
        </w:tc>
        <w:tc>
          <w:tcPr>
            <w:tcW w:w="1182" w:type="dxa"/>
            <w:shd w:val="clear" w:color="auto" w:fill="auto"/>
            <w:vAlign w:val="center"/>
            <w:hideMark/>
          </w:tcPr>
          <w:p w14:paraId="32342149"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4EDC6D6"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00F1C701"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566C1ADF"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0C4FCEFB"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677617BC" w14:textId="77777777" w:rsidTr="00A60395">
        <w:trPr>
          <w:cantSplit/>
          <w:trHeight w:val="245"/>
        </w:trPr>
        <w:tc>
          <w:tcPr>
            <w:tcW w:w="3605" w:type="dxa"/>
            <w:shd w:val="clear" w:color="auto" w:fill="auto"/>
            <w:vAlign w:val="center"/>
            <w:hideMark/>
          </w:tcPr>
          <w:p w14:paraId="3F590D0C" w14:textId="77777777" w:rsidR="00FC752D" w:rsidRPr="00BC4AFE" w:rsidRDefault="00FC752D" w:rsidP="006211D7">
            <w:pPr>
              <w:widowControl w:val="0"/>
              <w:ind w:left="144" w:hanging="144"/>
              <w:rPr>
                <w:sz w:val="18"/>
                <w:szCs w:val="18"/>
              </w:rPr>
            </w:pPr>
            <w:r w:rsidRPr="00BC4AFE">
              <w:rPr>
                <w:sz w:val="18"/>
                <w:szCs w:val="18"/>
              </w:rPr>
              <w:t>Costa Rica</w:t>
            </w:r>
          </w:p>
        </w:tc>
        <w:tc>
          <w:tcPr>
            <w:tcW w:w="1182" w:type="dxa"/>
            <w:shd w:val="clear" w:color="auto" w:fill="auto"/>
            <w:vAlign w:val="center"/>
            <w:hideMark/>
          </w:tcPr>
          <w:p w14:paraId="5656486B" w14:textId="77777777" w:rsidR="00FC752D" w:rsidRPr="00BC4AFE" w:rsidRDefault="00FC752D" w:rsidP="006211D7">
            <w:pPr>
              <w:widowControl w:val="0"/>
              <w:ind w:right="144"/>
              <w:jc w:val="right"/>
              <w:rPr>
                <w:sz w:val="18"/>
                <w:szCs w:val="18"/>
              </w:rPr>
            </w:pPr>
            <w:r w:rsidRPr="00BC4AFE">
              <w:rPr>
                <w:sz w:val="18"/>
                <w:szCs w:val="18"/>
              </w:rPr>
              <w:t>0.069</w:t>
            </w:r>
          </w:p>
        </w:tc>
        <w:tc>
          <w:tcPr>
            <w:tcW w:w="1182" w:type="dxa"/>
            <w:shd w:val="clear" w:color="auto" w:fill="auto"/>
            <w:noWrap/>
            <w:vAlign w:val="center"/>
            <w:hideMark/>
          </w:tcPr>
          <w:p w14:paraId="47252084" w14:textId="77777777" w:rsidR="00FC752D" w:rsidRPr="00BC4AFE" w:rsidRDefault="00FC752D" w:rsidP="006211D7">
            <w:pPr>
              <w:widowControl w:val="0"/>
              <w:ind w:right="144"/>
              <w:jc w:val="right"/>
              <w:rPr>
                <w:sz w:val="18"/>
                <w:szCs w:val="18"/>
              </w:rPr>
            </w:pPr>
            <w:r w:rsidRPr="00BC4AFE">
              <w:rPr>
                <w:sz w:val="18"/>
                <w:szCs w:val="18"/>
              </w:rPr>
              <w:t>0.086</w:t>
            </w:r>
          </w:p>
        </w:tc>
        <w:tc>
          <w:tcPr>
            <w:tcW w:w="1182" w:type="dxa"/>
            <w:shd w:val="clear" w:color="auto" w:fill="auto"/>
            <w:noWrap/>
            <w:vAlign w:val="center"/>
            <w:hideMark/>
          </w:tcPr>
          <w:p w14:paraId="765D3427" w14:textId="77777777" w:rsidR="00FC752D" w:rsidRPr="00BC4AFE" w:rsidRDefault="00FC752D" w:rsidP="006211D7">
            <w:pPr>
              <w:widowControl w:val="0"/>
              <w:ind w:right="144"/>
              <w:jc w:val="right"/>
              <w:rPr>
                <w:sz w:val="18"/>
                <w:szCs w:val="18"/>
              </w:rPr>
            </w:pPr>
            <w:r w:rsidRPr="00BC4AFE">
              <w:rPr>
                <w:sz w:val="18"/>
                <w:szCs w:val="18"/>
              </w:rPr>
              <w:t>11,236</w:t>
            </w:r>
          </w:p>
        </w:tc>
        <w:tc>
          <w:tcPr>
            <w:tcW w:w="1182" w:type="dxa"/>
            <w:shd w:val="clear" w:color="auto" w:fill="auto"/>
            <w:noWrap/>
            <w:vAlign w:val="center"/>
            <w:hideMark/>
          </w:tcPr>
          <w:p w14:paraId="70A6B1F4" w14:textId="77777777" w:rsidR="00FC752D" w:rsidRPr="00BC4AFE" w:rsidRDefault="00FC752D" w:rsidP="006211D7">
            <w:pPr>
              <w:widowControl w:val="0"/>
              <w:ind w:right="144"/>
              <w:jc w:val="right"/>
              <w:rPr>
                <w:sz w:val="18"/>
                <w:szCs w:val="18"/>
              </w:rPr>
            </w:pPr>
            <w:r w:rsidRPr="00BC4AFE">
              <w:rPr>
                <w:sz w:val="18"/>
                <w:szCs w:val="18"/>
              </w:rPr>
              <w:t>12,325</w:t>
            </w:r>
          </w:p>
        </w:tc>
        <w:tc>
          <w:tcPr>
            <w:tcW w:w="1171" w:type="dxa"/>
            <w:shd w:val="clear" w:color="auto" w:fill="auto"/>
            <w:noWrap/>
            <w:vAlign w:val="center"/>
            <w:hideMark/>
          </w:tcPr>
          <w:p w14:paraId="4605CC29" w14:textId="77777777" w:rsidR="00FC752D" w:rsidRPr="00BC4AFE" w:rsidRDefault="00FC752D" w:rsidP="006211D7">
            <w:pPr>
              <w:widowControl w:val="0"/>
              <w:ind w:right="144"/>
              <w:jc w:val="right"/>
              <w:rPr>
                <w:sz w:val="18"/>
                <w:szCs w:val="18"/>
              </w:rPr>
            </w:pPr>
            <w:r w:rsidRPr="00BC4AFE">
              <w:rPr>
                <w:sz w:val="18"/>
                <w:szCs w:val="18"/>
              </w:rPr>
              <w:t>23,561</w:t>
            </w:r>
          </w:p>
        </w:tc>
      </w:tr>
      <w:tr w:rsidR="00FC752D" w:rsidRPr="00BC4AFE" w14:paraId="76B3C7F1" w14:textId="77777777" w:rsidTr="00A60395">
        <w:trPr>
          <w:cantSplit/>
          <w:trHeight w:val="245"/>
        </w:trPr>
        <w:tc>
          <w:tcPr>
            <w:tcW w:w="3605" w:type="dxa"/>
            <w:shd w:val="clear" w:color="auto" w:fill="auto"/>
            <w:vAlign w:val="center"/>
            <w:hideMark/>
          </w:tcPr>
          <w:p w14:paraId="38797524" w14:textId="77777777" w:rsidR="00FC752D" w:rsidRPr="00BC4AFE" w:rsidRDefault="00FC752D" w:rsidP="006211D7">
            <w:pPr>
              <w:widowControl w:val="0"/>
              <w:ind w:left="144" w:hanging="144"/>
              <w:rPr>
                <w:sz w:val="18"/>
                <w:szCs w:val="18"/>
              </w:rPr>
            </w:pPr>
            <w:r w:rsidRPr="00BC4AFE">
              <w:rPr>
                <w:sz w:val="18"/>
                <w:szCs w:val="18"/>
              </w:rPr>
              <w:t>Côte d’Ivoire</w:t>
            </w:r>
          </w:p>
        </w:tc>
        <w:tc>
          <w:tcPr>
            <w:tcW w:w="1182" w:type="dxa"/>
            <w:shd w:val="clear" w:color="auto" w:fill="auto"/>
            <w:vAlign w:val="center"/>
            <w:hideMark/>
          </w:tcPr>
          <w:p w14:paraId="268FCADC" w14:textId="77777777" w:rsidR="00FC752D" w:rsidRPr="00BC4AFE" w:rsidRDefault="00FC752D" w:rsidP="006211D7">
            <w:pPr>
              <w:widowControl w:val="0"/>
              <w:ind w:right="144"/>
              <w:jc w:val="right"/>
              <w:rPr>
                <w:sz w:val="18"/>
                <w:szCs w:val="18"/>
              </w:rPr>
            </w:pPr>
            <w:r w:rsidRPr="00BC4AFE">
              <w:rPr>
                <w:sz w:val="18"/>
                <w:szCs w:val="18"/>
              </w:rPr>
              <w:t>0.022</w:t>
            </w:r>
          </w:p>
        </w:tc>
        <w:tc>
          <w:tcPr>
            <w:tcW w:w="1182" w:type="dxa"/>
            <w:shd w:val="clear" w:color="auto" w:fill="auto"/>
            <w:noWrap/>
            <w:vAlign w:val="center"/>
            <w:hideMark/>
          </w:tcPr>
          <w:p w14:paraId="75661929" w14:textId="77777777" w:rsidR="00FC752D" w:rsidRPr="00BC4AFE" w:rsidRDefault="00FC752D" w:rsidP="006211D7">
            <w:pPr>
              <w:widowControl w:val="0"/>
              <w:ind w:right="144"/>
              <w:jc w:val="right"/>
              <w:rPr>
                <w:sz w:val="18"/>
                <w:szCs w:val="18"/>
              </w:rPr>
            </w:pPr>
            <w:r w:rsidRPr="00BC4AFE">
              <w:rPr>
                <w:sz w:val="18"/>
                <w:szCs w:val="18"/>
              </w:rPr>
              <w:t>0.028</w:t>
            </w:r>
          </w:p>
        </w:tc>
        <w:tc>
          <w:tcPr>
            <w:tcW w:w="1182" w:type="dxa"/>
            <w:shd w:val="clear" w:color="auto" w:fill="auto"/>
            <w:noWrap/>
            <w:vAlign w:val="center"/>
            <w:hideMark/>
          </w:tcPr>
          <w:p w14:paraId="68E01F6C" w14:textId="77777777" w:rsidR="00FC752D" w:rsidRPr="00BC4AFE" w:rsidRDefault="00FC752D" w:rsidP="006211D7">
            <w:pPr>
              <w:widowControl w:val="0"/>
              <w:ind w:right="144"/>
              <w:jc w:val="right"/>
              <w:rPr>
                <w:sz w:val="18"/>
                <w:szCs w:val="18"/>
              </w:rPr>
            </w:pPr>
            <w:r w:rsidRPr="00BC4AFE">
              <w:rPr>
                <w:sz w:val="18"/>
                <w:szCs w:val="18"/>
              </w:rPr>
              <w:t>3,583</w:t>
            </w:r>
          </w:p>
        </w:tc>
        <w:tc>
          <w:tcPr>
            <w:tcW w:w="1182" w:type="dxa"/>
            <w:shd w:val="clear" w:color="auto" w:fill="auto"/>
            <w:noWrap/>
            <w:vAlign w:val="center"/>
            <w:hideMark/>
          </w:tcPr>
          <w:p w14:paraId="792250DE" w14:textId="77777777" w:rsidR="00FC752D" w:rsidRPr="00BC4AFE" w:rsidRDefault="00FC752D" w:rsidP="006211D7">
            <w:pPr>
              <w:widowControl w:val="0"/>
              <w:ind w:right="144"/>
              <w:jc w:val="right"/>
              <w:rPr>
                <w:sz w:val="18"/>
                <w:szCs w:val="18"/>
              </w:rPr>
            </w:pPr>
            <w:r w:rsidRPr="00BC4AFE">
              <w:rPr>
                <w:sz w:val="18"/>
                <w:szCs w:val="18"/>
              </w:rPr>
              <w:t>3,930</w:t>
            </w:r>
          </w:p>
        </w:tc>
        <w:tc>
          <w:tcPr>
            <w:tcW w:w="1171" w:type="dxa"/>
            <w:shd w:val="clear" w:color="auto" w:fill="auto"/>
            <w:noWrap/>
            <w:vAlign w:val="center"/>
            <w:hideMark/>
          </w:tcPr>
          <w:p w14:paraId="34853E4C" w14:textId="77777777" w:rsidR="00FC752D" w:rsidRPr="00BC4AFE" w:rsidRDefault="00FC752D" w:rsidP="006211D7">
            <w:pPr>
              <w:widowControl w:val="0"/>
              <w:ind w:right="144"/>
              <w:jc w:val="right"/>
              <w:rPr>
                <w:sz w:val="18"/>
                <w:szCs w:val="18"/>
              </w:rPr>
            </w:pPr>
            <w:r w:rsidRPr="00BC4AFE">
              <w:rPr>
                <w:sz w:val="18"/>
                <w:szCs w:val="18"/>
              </w:rPr>
              <w:t>7,512</w:t>
            </w:r>
          </w:p>
        </w:tc>
      </w:tr>
      <w:tr w:rsidR="00FC752D" w:rsidRPr="00BC4AFE" w14:paraId="5CF8C009" w14:textId="77777777" w:rsidTr="00A60395">
        <w:trPr>
          <w:cantSplit/>
          <w:trHeight w:val="245"/>
        </w:trPr>
        <w:tc>
          <w:tcPr>
            <w:tcW w:w="3605" w:type="dxa"/>
            <w:shd w:val="clear" w:color="auto" w:fill="auto"/>
            <w:vAlign w:val="center"/>
            <w:hideMark/>
          </w:tcPr>
          <w:p w14:paraId="6A0A5CB0" w14:textId="77777777" w:rsidR="00FC752D" w:rsidRPr="00BC4AFE" w:rsidRDefault="00FC752D" w:rsidP="006211D7">
            <w:pPr>
              <w:widowControl w:val="0"/>
              <w:ind w:left="144" w:hanging="144"/>
              <w:rPr>
                <w:sz w:val="18"/>
                <w:szCs w:val="18"/>
              </w:rPr>
            </w:pPr>
            <w:r w:rsidRPr="00BC4AFE">
              <w:rPr>
                <w:sz w:val="18"/>
                <w:szCs w:val="18"/>
              </w:rPr>
              <w:t>Croatia</w:t>
            </w:r>
          </w:p>
        </w:tc>
        <w:tc>
          <w:tcPr>
            <w:tcW w:w="1182" w:type="dxa"/>
            <w:shd w:val="clear" w:color="auto" w:fill="auto"/>
            <w:vAlign w:val="center"/>
            <w:hideMark/>
          </w:tcPr>
          <w:p w14:paraId="2A92BAC2" w14:textId="77777777" w:rsidR="00FC752D" w:rsidRPr="00BC4AFE" w:rsidRDefault="00FC752D" w:rsidP="006211D7">
            <w:pPr>
              <w:widowControl w:val="0"/>
              <w:ind w:right="144"/>
              <w:jc w:val="right"/>
              <w:rPr>
                <w:sz w:val="18"/>
                <w:szCs w:val="18"/>
              </w:rPr>
            </w:pPr>
            <w:r w:rsidRPr="00BC4AFE">
              <w:rPr>
                <w:sz w:val="18"/>
                <w:szCs w:val="18"/>
              </w:rPr>
              <w:t>0.091</w:t>
            </w:r>
          </w:p>
        </w:tc>
        <w:tc>
          <w:tcPr>
            <w:tcW w:w="1182" w:type="dxa"/>
            <w:shd w:val="clear" w:color="auto" w:fill="auto"/>
            <w:noWrap/>
            <w:vAlign w:val="center"/>
            <w:hideMark/>
          </w:tcPr>
          <w:p w14:paraId="5A1370C1" w14:textId="77777777" w:rsidR="00FC752D" w:rsidRPr="00BC4AFE" w:rsidRDefault="00FC752D" w:rsidP="006211D7">
            <w:pPr>
              <w:widowControl w:val="0"/>
              <w:ind w:right="144"/>
              <w:jc w:val="right"/>
              <w:rPr>
                <w:sz w:val="18"/>
                <w:szCs w:val="18"/>
              </w:rPr>
            </w:pPr>
            <w:r w:rsidRPr="00BC4AFE">
              <w:rPr>
                <w:sz w:val="18"/>
                <w:szCs w:val="18"/>
              </w:rPr>
              <w:t>0.114</w:t>
            </w:r>
          </w:p>
        </w:tc>
        <w:tc>
          <w:tcPr>
            <w:tcW w:w="1182" w:type="dxa"/>
            <w:shd w:val="clear" w:color="auto" w:fill="auto"/>
            <w:noWrap/>
            <w:vAlign w:val="center"/>
            <w:hideMark/>
          </w:tcPr>
          <w:p w14:paraId="36D97282" w14:textId="77777777" w:rsidR="00FC752D" w:rsidRPr="00BC4AFE" w:rsidRDefault="00FC752D" w:rsidP="006211D7">
            <w:pPr>
              <w:widowControl w:val="0"/>
              <w:ind w:right="144"/>
              <w:jc w:val="right"/>
              <w:rPr>
                <w:sz w:val="18"/>
                <w:szCs w:val="18"/>
              </w:rPr>
            </w:pPr>
            <w:r w:rsidRPr="00BC4AFE">
              <w:rPr>
                <w:sz w:val="18"/>
                <w:szCs w:val="18"/>
              </w:rPr>
              <w:t>14,819</w:t>
            </w:r>
          </w:p>
        </w:tc>
        <w:tc>
          <w:tcPr>
            <w:tcW w:w="1182" w:type="dxa"/>
            <w:shd w:val="clear" w:color="auto" w:fill="auto"/>
            <w:noWrap/>
            <w:vAlign w:val="center"/>
            <w:hideMark/>
          </w:tcPr>
          <w:p w14:paraId="4F0AA943" w14:textId="77777777" w:rsidR="00FC752D" w:rsidRPr="00BC4AFE" w:rsidRDefault="00FC752D" w:rsidP="006211D7">
            <w:pPr>
              <w:widowControl w:val="0"/>
              <w:ind w:right="144"/>
              <w:jc w:val="right"/>
              <w:rPr>
                <w:sz w:val="18"/>
                <w:szCs w:val="18"/>
              </w:rPr>
            </w:pPr>
            <w:r w:rsidRPr="00BC4AFE">
              <w:rPr>
                <w:sz w:val="18"/>
                <w:szCs w:val="18"/>
              </w:rPr>
              <w:t>16,254</w:t>
            </w:r>
          </w:p>
        </w:tc>
        <w:tc>
          <w:tcPr>
            <w:tcW w:w="1171" w:type="dxa"/>
            <w:shd w:val="clear" w:color="auto" w:fill="auto"/>
            <w:noWrap/>
            <w:vAlign w:val="center"/>
            <w:hideMark/>
          </w:tcPr>
          <w:p w14:paraId="670C467B" w14:textId="77777777" w:rsidR="00FC752D" w:rsidRPr="00BC4AFE" w:rsidRDefault="00FC752D" w:rsidP="006211D7">
            <w:pPr>
              <w:widowControl w:val="0"/>
              <w:ind w:right="144"/>
              <w:jc w:val="right"/>
              <w:rPr>
                <w:sz w:val="18"/>
                <w:szCs w:val="18"/>
              </w:rPr>
            </w:pPr>
            <w:r w:rsidRPr="00BC4AFE">
              <w:rPr>
                <w:sz w:val="18"/>
                <w:szCs w:val="18"/>
              </w:rPr>
              <w:t>31,073</w:t>
            </w:r>
          </w:p>
        </w:tc>
      </w:tr>
      <w:tr w:rsidR="00FC752D" w:rsidRPr="00BC4AFE" w14:paraId="33BD99D6" w14:textId="77777777" w:rsidTr="00A60395">
        <w:trPr>
          <w:cantSplit/>
          <w:trHeight w:val="245"/>
        </w:trPr>
        <w:tc>
          <w:tcPr>
            <w:tcW w:w="3605" w:type="dxa"/>
            <w:shd w:val="clear" w:color="auto" w:fill="auto"/>
            <w:vAlign w:val="center"/>
            <w:hideMark/>
          </w:tcPr>
          <w:p w14:paraId="4DEC13ED" w14:textId="77777777" w:rsidR="00FC752D" w:rsidRPr="00BC4AFE" w:rsidRDefault="00FC752D" w:rsidP="006211D7">
            <w:pPr>
              <w:widowControl w:val="0"/>
              <w:ind w:left="144" w:hanging="144"/>
              <w:rPr>
                <w:sz w:val="18"/>
                <w:szCs w:val="18"/>
              </w:rPr>
            </w:pPr>
            <w:r w:rsidRPr="00BC4AFE">
              <w:rPr>
                <w:sz w:val="18"/>
                <w:szCs w:val="18"/>
              </w:rPr>
              <w:t>Cuba</w:t>
            </w:r>
          </w:p>
        </w:tc>
        <w:tc>
          <w:tcPr>
            <w:tcW w:w="1182" w:type="dxa"/>
            <w:shd w:val="clear" w:color="auto" w:fill="auto"/>
            <w:vAlign w:val="center"/>
            <w:hideMark/>
          </w:tcPr>
          <w:p w14:paraId="74C55232" w14:textId="77777777" w:rsidR="00FC752D" w:rsidRPr="00BC4AFE" w:rsidRDefault="00FC752D" w:rsidP="006211D7">
            <w:pPr>
              <w:widowControl w:val="0"/>
              <w:ind w:right="144"/>
              <w:jc w:val="right"/>
              <w:rPr>
                <w:sz w:val="18"/>
                <w:szCs w:val="18"/>
              </w:rPr>
            </w:pPr>
            <w:r w:rsidRPr="00BC4AFE">
              <w:rPr>
                <w:sz w:val="18"/>
                <w:szCs w:val="18"/>
              </w:rPr>
              <w:t>0.095</w:t>
            </w:r>
          </w:p>
        </w:tc>
        <w:tc>
          <w:tcPr>
            <w:tcW w:w="1182" w:type="dxa"/>
            <w:shd w:val="clear" w:color="auto" w:fill="auto"/>
            <w:noWrap/>
            <w:vAlign w:val="center"/>
            <w:hideMark/>
          </w:tcPr>
          <w:p w14:paraId="50EF45F8" w14:textId="77777777" w:rsidR="00FC752D" w:rsidRPr="00BC4AFE" w:rsidRDefault="00FC752D" w:rsidP="006211D7">
            <w:pPr>
              <w:widowControl w:val="0"/>
              <w:ind w:right="144"/>
              <w:jc w:val="right"/>
              <w:rPr>
                <w:sz w:val="18"/>
                <w:szCs w:val="18"/>
              </w:rPr>
            </w:pPr>
            <w:r w:rsidRPr="00BC4AFE">
              <w:rPr>
                <w:sz w:val="18"/>
                <w:szCs w:val="18"/>
              </w:rPr>
              <w:t>0.119</w:t>
            </w:r>
          </w:p>
        </w:tc>
        <w:tc>
          <w:tcPr>
            <w:tcW w:w="1182" w:type="dxa"/>
            <w:shd w:val="clear" w:color="auto" w:fill="auto"/>
            <w:noWrap/>
            <w:vAlign w:val="center"/>
            <w:hideMark/>
          </w:tcPr>
          <w:p w14:paraId="065C140A" w14:textId="77777777" w:rsidR="00FC752D" w:rsidRPr="00BC4AFE" w:rsidRDefault="00FC752D" w:rsidP="006211D7">
            <w:pPr>
              <w:widowControl w:val="0"/>
              <w:ind w:right="144"/>
              <w:jc w:val="right"/>
              <w:rPr>
                <w:sz w:val="18"/>
                <w:szCs w:val="18"/>
              </w:rPr>
            </w:pPr>
            <w:r w:rsidRPr="00BC4AFE">
              <w:rPr>
                <w:sz w:val="18"/>
                <w:szCs w:val="18"/>
              </w:rPr>
              <w:t>15,470</w:t>
            </w:r>
          </w:p>
        </w:tc>
        <w:tc>
          <w:tcPr>
            <w:tcW w:w="1182" w:type="dxa"/>
            <w:shd w:val="clear" w:color="auto" w:fill="auto"/>
            <w:noWrap/>
            <w:vAlign w:val="center"/>
            <w:hideMark/>
          </w:tcPr>
          <w:p w14:paraId="1579680D" w14:textId="77777777" w:rsidR="00FC752D" w:rsidRPr="00BC4AFE" w:rsidRDefault="00FC752D" w:rsidP="006211D7">
            <w:pPr>
              <w:widowControl w:val="0"/>
              <w:ind w:right="144"/>
              <w:jc w:val="right"/>
              <w:rPr>
                <w:sz w:val="18"/>
                <w:szCs w:val="18"/>
              </w:rPr>
            </w:pPr>
            <w:r w:rsidRPr="00BC4AFE">
              <w:rPr>
                <w:sz w:val="18"/>
                <w:szCs w:val="18"/>
              </w:rPr>
              <w:t>16,969</w:t>
            </w:r>
          </w:p>
        </w:tc>
        <w:tc>
          <w:tcPr>
            <w:tcW w:w="1171" w:type="dxa"/>
            <w:shd w:val="clear" w:color="auto" w:fill="auto"/>
            <w:noWrap/>
            <w:vAlign w:val="center"/>
            <w:hideMark/>
          </w:tcPr>
          <w:p w14:paraId="6D9978D6" w14:textId="77777777" w:rsidR="00FC752D" w:rsidRPr="00BC4AFE" w:rsidRDefault="00FC752D" w:rsidP="006211D7">
            <w:pPr>
              <w:widowControl w:val="0"/>
              <w:ind w:right="144"/>
              <w:jc w:val="right"/>
              <w:rPr>
                <w:sz w:val="18"/>
                <w:szCs w:val="18"/>
              </w:rPr>
            </w:pPr>
            <w:r w:rsidRPr="00BC4AFE">
              <w:rPr>
                <w:sz w:val="18"/>
                <w:szCs w:val="18"/>
              </w:rPr>
              <w:t>32,439</w:t>
            </w:r>
          </w:p>
        </w:tc>
      </w:tr>
      <w:tr w:rsidR="00FC752D" w:rsidRPr="00BC4AFE" w14:paraId="50C691CA" w14:textId="77777777" w:rsidTr="00A60395">
        <w:trPr>
          <w:cantSplit/>
          <w:trHeight w:val="245"/>
        </w:trPr>
        <w:tc>
          <w:tcPr>
            <w:tcW w:w="3605" w:type="dxa"/>
            <w:shd w:val="clear" w:color="auto" w:fill="auto"/>
            <w:vAlign w:val="center"/>
            <w:hideMark/>
          </w:tcPr>
          <w:p w14:paraId="0BC37665" w14:textId="77777777" w:rsidR="00FC752D" w:rsidRPr="00BC4AFE" w:rsidRDefault="00FC752D" w:rsidP="006211D7">
            <w:pPr>
              <w:widowControl w:val="0"/>
              <w:ind w:left="144" w:hanging="144"/>
              <w:rPr>
                <w:sz w:val="18"/>
                <w:szCs w:val="18"/>
              </w:rPr>
            </w:pPr>
            <w:r w:rsidRPr="00BC4AFE">
              <w:rPr>
                <w:sz w:val="18"/>
                <w:szCs w:val="18"/>
              </w:rPr>
              <w:t>Cyprus</w:t>
            </w:r>
          </w:p>
        </w:tc>
        <w:tc>
          <w:tcPr>
            <w:tcW w:w="1182" w:type="dxa"/>
            <w:shd w:val="clear" w:color="auto" w:fill="auto"/>
            <w:vAlign w:val="center"/>
            <w:hideMark/>
          </w:tcPr>
          <w:p w14:paraId="64A1B763" w14:textId="77777777" w:rsidR="00FC752D" w:rsidRPr="00BC4AFE" w:rsidRDefault="00FC752D" w:rsidP="006211D7">
            <w:pPr>
              <w:widowControl w:val="0"/>
              <w:ind w:right="144"/>
              <w:jc w:val="right"/>
              <w:rPr>
                <w:sz w:val="18"/>
                <w:szCs w:val="18"/>
              </w:rPr>
            </w:pPr>
            <w:r w:rsidRPr="00BC4AFE">
              <w:rPr>
                <w:sz w:val="18"/>
                <w:szCs w:val="18"/>
              </w:rPr>
              <w:t>0.036</w:t>
            </w:r>
          </w:p>
        </w:tc>
        <w:tc>
          <w:tcPr>
            <w:tcW w:w="1182" w:type="dxa"/>
            <w:shd w:val="clear" w:color="auto" w:fill="auto"/>
            <w:noWrap/>
            <w:vAlign w:val="center"/>
            <w:hideMark/>
          </w:tcPr>
          <w:p w14:paraId="2B0541BC" w14:textId="77777777" w:rsidR="00FC752D" w:rsidRPr="00BC4AFE" w:rsidRDefault="00FC752D" w:rsidP="006211D7">
            <w:pPr>
              <w:widowControl w:val="0"/>
              <w:ind w:right="144"/>
              <w:jc w:val="right"/>
              <w:rPr>
                <w:sz w:val="18"/>
                <w:szCs w:val="18"/>
              </w:rPr>
            </w:pPr>
            <w:r w:rsidRPr="00BC4AFE">
              <w:rPr>
                <w:sz w:val="18"/>
                <w:szCs w:val="18"/>
              </w:rPr>
              <w:t>0.045</w:t>
            </w:r>
          </w:p>
        </w:tc>
        <w:tc>
          <w:tcPr>
            <w:tcW w:w="1182" w:type="dxa"/>
            <w:shd w:val="clear" w:color="auto" w:fill="auto"/>
            <w:noWrap/>
            <w:vAlign w:val="center"/>
            <w:hideMark/>
          </w:tcPr>
          <w:p w14:paraId="03B78AF0" w14:textId="77777777" w:rsidR="00FC752D" w:rsidRPr="00BC4AFE" w:rsidRDefault="00FC752D" w:rsidP="006211D7">
            <w:pPr>
              <w:widowControl w:val="0"/>
              <w:ind w:right="144"/>
              <w:jc w:val="right"/>
              <w:rPr>
                <w:sz w:val="18"/>
                <w:szCs w:val="18"/>
              </w:rPr>
            </w:pPr>
            <w:r w:rsidRPr="00BC4AFE">
              <w:rPr>
                <w:sz w:val="18"/>
                <w:szCs w:val="18"/>
              </w:rPr>
              <w:t>5,862</w:t>
            </w:r>
          </w:p>
        </w:tc>
        <w:tc>
          <w:tcPr>
            <w:tcW w:w="1182" w:type="dxa"/>
            <w:shd w:val="clear" w:color="auto" w:fill="auto"/>
            <w:noWrap/>
            <w:vAlign w:val="center"/>
            <w:hideMark/>
          </w:tcPr>
          <w:p w14:paraId="3359D129" w14:textId="77777777" w:rsidR="00FC752D" w:rsidRPr="00BC4AFE" w:rsidRDefault="00FC752D" w:rsidP="006211D7">
            <w:pPr>
              <w:widowControl w:val="0"/>
              <w:ind w:right="144"/>
              <w:jc w:val="right"/>
              <w:rPr>
                <w:sz w:val="18"/>
                <w:szCs w:val="18"/>
              </w:rPr>
            </w:pPr>
            <w:r w:rsidRPr="00BC4AFE">
              <w:rPr>
                <w:sz w:val="18"/>
                <w:szCs w:val="18"/>
              </w:rPr>
              <w:t>6,430</w:t>
            </w:r>
          </w:p>
        </w:tc>
        <w:tc>
          <w:tcPr>
            <w:tcW w:w="1171" w:type="dxa"/>
            <w:shd w:val="clear" w:color="auto" w:fill="auto"/>
            <w:noWrap/>
            <w:vAlign w:val="center"/>
            <w:hideMark/>
          </w:tcPr>
          <w:p w14:paraId="17B9DFAC" w14:textId="77777777" w:rsidR="00FC752D" w:rsidRPr="00BC4AFE" w:rsidRDefault="00FC752D" w:rsidP="006211D7">
            <w:pPr>
              <w:widowControl w:val="0"/>
              <w:ind w:right="144"/>
              <w:jc w:val="right"/>
              <w:rPr>
                <w:sz w:val="18"/>
                <w:szCs w:val="18"/>
              </w:rPr>
            </w:pPr>
            <w:r w:rsidRPr="00BC4AFE">
              <w:rPr>
                <w:sz w:val="18"/>
                <w:szCs w:val="18"/>
              </w:rPr>
              <w:t>12,293</w:t>
            </w:r>
          </w:p>
        </w:tc>
      </w:tr>
      <w:tr w:rsidR="00FC752D" w:rsidRPr="00BC4AFE" w14:paraId="256EF794" w14:textId="77777777" w:rsidTr="00A60395">
        <w:trPr>
          <w:cantSplit/>
          <w:trHeight w:val="245"/>
        </w:trPr>
        <w:tc>
          <w:tcPr>
            <w:tcW w:w="3605" w:type="dxa"/>
            <w:shd w:val="clear" w:color="auto" w:fill="auto"/>
            <w:vAlign w:val="center"/>
            <w:hideMark/>
          </w:tcPr>
          <w:p w14:paraId="6CD3D716" w14:textId="77777777" w:rsidR="00FC752D" w:rsidRPr="00BC4AFE" w:rsidRDefault="00FC752D" w:rsidP="006211D7">
            <w:pPr>
              <w:widowControl w:val="0"/>
              <w:ind w:left="144" w:hanging="144"/>
              <w:rPr>
                <w:sz w:val="18"/>
                <w:szCs w:val="18"/>
              </w:rPr>
            </w:pPr>
            <w:r w:rsidRPr="00BC4AFE">
              <w:rPr>
                <w:sz w:val="18"/>
                <w:szCs w:val="18"/>
              </w:rPr>
              <w:t>Czechia</w:t>
            </w:r>
          </w:p>
        </w:tc>
        <w:tc>
          <w:tcPr>
            <w:tcW w:w="1182" w:type="dxa"/>
            <w:shd w:val="clear" w:color="auto" w:fill="auto"/>
            <w:vAlign w:val="center"/>
            <w:hideMark/>
          </w:tcPr>
          <w:p w14:paraId="15EF45A1" w14:textId="77777777" w:rsidR="00FC752D" w:rsidRPr="00BC4AFE" w:rsidRDefault="00FC752D" w:rsidP="006211D7">
            <w:pPr>
              <w:widowControl w:val="0"/>
              <w:ind w:right="144"/>
              <w:jc w:val="right"/>
              <w:rPr>
                <w:sz w:val="18"/>
                <w:szCs w:val="18"/>
              </w:rPr>
            </w:pPr>
            <w:r w:rsidRPr="00BC4AFE">
              <w:rPr>
                <w:sz w:val="18"/>
                <w:szCs w:val="18"/>
              </w:rPr>
              <w:t>0.340</w:t>
            </w:r>
          </w:p>
        </w:tc>
        <w:tc>
          <w:tcPr>
            <w:tcW w:w="1182" w:type="dxa"/>
            <w:shd w:val="clear" w:color="auto" w:fill="auto"/>
            <w:noWrap/>
            <w:vAlign w:val="center"/>
            <w:hideMark/>
          </w:tcPr>
          <w:p w14:paraId="174EF4DA" w14:textId="77777777" w:rsidR="00FC752D" w:rsidRPr="00BC4AFE" w:rsidRDefault="00FC752D" w:rsidP="006211D7">
            <w:pPr>
              <w:widowControl w:val="0"/>
              <w:ind w:right="144"/>
              <w:jc w:val="right"/>
              <w:rPr>
                <w:sz w:val="18"/>
                <w:szCs w:val="18"/>
              </w:rPr>
            </w:pPr>
            <w:r w:rsidRPr="00BC4AFE">
              <w:rPr>
                <w:sz w:val="18"/>
                <w:szCs w:val="18"/>
              </w:rPr>
              <w:t>0.425</w:t>
            </w:r>
          </w:p>
        </w:tc>
        <w:tc>
          <w:tcPr>
            <w:tcW w:w="1182" w:type="dxa"/>
            <w:shd w:val="clear" w:color="auto" w:fill="auto"/>
            <w:noWrap/>
            <w:vAlign w:val="center"/>
            <w:hideMark/>
          </w:tcPr>
          <w:p w14:paraId="4B140DFC" w14:textId="77777777" w:rsidR="00FC752D" w:rsidRPr="00BC4AFE" w:rsidRDefault="00FC752D" w:rsidP="006211D7">
            <w:pPr>
              <w:widowControl w:val="0"/>
              <w:ind w:right="144"/>
              <w:jc w:val="right"/>
              <w:rPr>
                <w:sz w:val="18"/>
                <w:szCs w:val="18"/>
              </w:rPr>
            </w:pPr>
            <w:r w:rsidRPr="00BC4AFE">
              <w:rPr>
                <w:sz w:val="18"/>
                <w:szCs w:val="18"/>
              </w:rPr>
              <w:t>55,368</w:t>
            </w:r>
          </w:p>
        </w:tc>
        <w:tc>
          <w:tcPr>
            <w:tcW w:w="1182" w:type="dxa"/>
            <w:shd w:val="clear" w:color="auto" w:fill="auto"/>
            <w:noWrap/>
            <w:vAlign w:val="center"/>
            <w:hideMark/>
          </w:tcPr>
          <w:p w14:paraId="5B695EA0" w14:textId="77777777" w:rsidR="00FC752D" w:rsidRPr="00BC4AFE" w:rsidRDefault="00FC752D" w:rsidP="006211D7">
            <w:pPr>
              <w:widowControl w:val="0"/>
              <w:ind w:right="144"/>
              <w:jc w:val="right"/>
              <w:rPr>
                <w:sz w:val="18"/>
                <w:szCs w:val="18"/>
              </w:rPr>
            </w:pPr>
            <w:r w:rsidRPr="00BC4AFE">
              <w:rPr>
                <w:sz w:val="18"/>
                <w:szCs w:val="18"/>
              </w:rPr>
              <w:t>60,730</w:t>
            </w:r>
          </w:p>
        </w:tc>
        <w:tc>
          <w:tcPr>
            <w:tcW w:w="1171" w:type="dxa"/>
            <w:shd w:val="clear" w:color="auto" w:fill="auto"/>
            <w:noWrap/>
            <w:vAlign w:val="center"/>
            <w:hideMark/>
          </w:tcPr>
          <w:p w14:paraId="74601768" w14:textId="77777777" w:rsidR="00FC752D" w:rsidRPr="00BC4AFE" w:rsidRDefault="00FC752D" w:rsidP="006211D7">
            <w:pPr>
              <w:widowControl w:val="0"/>
              <w:ind w:right="144"/>
              <w:jc w:val="right"/>
              <w:rPr>
                <w:sz w:val="18"/>
                <w:szCs w:val="18"/>
              </w:rPr>
            </w:pPr>
            <w:r w:rsidRPr="00BC4AFE">
              <w:rPr>
                <w:sz w:val="18"/>
                <w:szCs w:val="18"/>
              </w:rPr>
              <w:t>116,098</w:t>
            </w:r>
          </w:p>
        </w:tc>
      </w:tr>
      <w:tr w:rsidR="00FC752D" w:rsidRPr="00BC4AFE" w14:paraId="4ADFE777" w14:textId="77777777" w:rsidTr="00A60395">
        <w:trPr>
          <w:cantSplit/>
          <w:trHeight w:val="245"/>
        </w:trPr>
        <w:tc>
          <w:tcPr>
            <w:tcW w:w="3605" w:type="dxa"/>
            <w:shd w:val="clear" w:color="auto" w:fill="auto"/>
            <w:vAlign w:val="center"/>
            <w:hideMark/>
          </w:tcPr>
          <w:p w14:paraId="2D1CB9EA" w14:textId="77777777" w:rsidR="00FC752D" w:rsidRPr="00BC4AFE" w:rsidRDefault="00FC752D" w:rsidP="006211D7">
            <w:pPr>
              <w:widowControl w:val="0"/>
              <w:ind w:left="144" w:hanging="144"/>
              <w:rPr>
                <w:sz w:val="18"/>
                <w:szCs w:val="18"/>
              </w:rPr>
            </w:pPr>
            <w:r w:rsidRPr="00BC4AFE">
              <w:rPr>
                <w:sz w:val="18"/>
                <w:szCs w:val="18"/>
              </w:rPr>
              <w:t>Democratic People’s Republic of Korea</w:t>
            </w:r>
          </w:p>
        </w:tc>
        <w:tc>
          <w:tcPr>
            <w:tcW w:w="1182" w:type="dxa"/>
            <w:shd w:val="clear" w:color="auto" w:fill="auto"/>
            <w:vAlign w:val="center"/>
            <w:hideMark/>
          </w:tcPr>
          <w:p w14:paraId="421514FC"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3DD2CC42" w14:textId="77777777" w:rsidR="00FC752D" w:rsidRPr="00BC4AFE" w:rsidRDefault="00FC752D" w:rsidP="006211D7">
            <w:pPr>
              <w:widowControl w:val="0"/>
              <w:ind w:right="144"/>
              <w:jc w:val="right"/>
              <w:rPr>
                <w:sz w:val="18"/>
                <w:szCs w:val="18"/>
              </w:rPr>
            </w:pPr>
            <w:r w:rsidRPr="00BC4AFE">
              <w:rPr>
                <w:sz w:val="18"/>
                <w:szCs w:val="18"/>
              </w:rPr>
              <w:t>0.006</w:t>
            </w:r>
          </w:p>
        </w:tc>
        <w:tc>
          <w:tcPr>
            <w:tcW w:w="1182" w:type="dxa"/>
            <w:shd w:val="clear" w:color="auto" w:fill="auto"/>
            <w:noWrap/>
            <w:vAlign w:val="center"/>
            <w:hideMark/>
          </w:tcPr>
          <w:p w14:paraId="5AF2C91B" w14:textId="77777777" w:rsidR="00FC752D" w:rsidRPr="00BC4AFE" w:rsidRDefault="00FC752D" w:rsidP="006211D7">
            <w:pPr>
              <w:widowControl w:val="0"/>
              <w:ind w:right="144"/>
              <w:jc w:val="right"/>
              <w:rPr>
                <w:sz w:val="18"/>
                <w:szCs w:val="18"/>
              </w:rPr>
            </w:pPr>
            <w:r w:rsidRPr="00BC4AFE">
              <w:rPr>
                <w:sz w:val="18"/>
                <w:szCs w:val="18"/>
              </w:rPr>
              <w:t>814</w:t>
            </w:r>
          </w:p>
        </w:tc>
        <w:tc>
          <w:tcPr>
            <w:tcW w:w="1182" w:type="dxa"/>
            <w:shd w:val="clear" w:color="auto" w:fill="auto"/>
            <w:noWrap/>
            <w:vAlign w:val="center"/>
            <w:hideMark/>
          </w:tcPr>
          <w:p w14:paraId="2F19F570" w14:textId="77777777" w:rsidR="00FC752D" w:rsidRPr="00BC4AFE" w:rsidRDefault="00FC752D" w:rsidP="006211D7">
            <w:pPr>
              <w:widowControl w:val="0"/>
              <w:ind w:right="144"/>
              <w:jc w:val="right"/>
              <w:rPr>
                <w:sz w:val="18"/>
                <w:szCs w:val="18"/>
              </w:rPr>
            </w:pPr>
            <w:r w:rsidRPr="00BC4AFE">
              <w:rPr>
                <w:sz w:val="18"/>
                <w:szCs w:val="18"/>
              </w:rPr>
              <w:t>893</w:t>
            </w:r>
          </w:p>
        </w:tc>
        <w:tc>
          <w:tcPr>
            <w:tcW w:w="1171" w:type="dxa"/>
            <w:shd w:val="clear" w:color="auto" w:fill="auto"/>
            <w:noWrap/>
            <w:vAlign w:val="center"/>
            <w:hideMark/>
          </w:tcPr>
          <w:p w14:paraId="11E9A15B" w14:textId="77777777" w:rsidR="00FC752D" w:rsidRPr="00BC4AFE" w:rsidRDefault="00FC752D" w:rsidP="006211D7">
            <w:pPr>
              <w:widowControl w:val="0"/>
              <w:ind w:right="144"/>
              <w:jc w:val="right"/>
              <w:rPr>
                <w:sz w:val="18"/>
                <w:szCs w:val="18"/>
              </w:rPr>
            </w:pPr>
            <w:r w:rsidRPr="00BC4AFE">
              <w:rPr>
                <w:sz w:val="18"/>
                <w:szCs w:val="18"/>
              </w:rPr>
              <w:t>1,707</w:t>
            </w:r>
          </w:p>
        </w:tc>
      </w:tr>
      <w:tr w:rsidR="00FC752D" w:rsidRPr="00BC4AFE" w14:paraId="4AF61C98" w14:textId="77777777" w:rsidTr="00A60395">
        <w:trPr>
          <w:cantSplit/>
          <w:trHeight w:val="245"/>
        </w:trPr>
        <w:tc>
          <w:tcPr>
            <w:tcW w:w="3605" w:type="dxa"/>
            <w:shd w:val="clear" w:color="auto" w:fill="auto"/>
            <w:vAlign w:val="center"/>
            <w:hideMark/>
          </w:tcPr>
          <w:p w14:paraId="0ABF9E0B" w14:textId="77777777" w:rsidR="00FC752D" w:rsidRPr="00BC4AFE" w:rsidRDefault="00FC752D" w:rsidP="006211D7">
            <w:pPr>
              <w:widowControl w:val="0"/>
              <w:ind w:left="144" w:hanging="144"/>
              <w:rPr>
                <w:sz w:val="18"/>
                <w:szCs w:val="18"/>
              </w:rPr>
            </w:pPr>
            <w:r w:rsidRPr="00BC4AFE">
              <w:rPr>
                <w:sz w:val="18"/>
                <w:szCs w:val="18"/>
              </w:rPr>
              <w:t>Democratic Republic of the Congo</w:t>
            </w:r>
          </w:p>
        </w:tc>
        <w:tc>
          <w:tcPr>
            <w:tcW w:w="1182" w:type="dxa"/>
            <w:shd w:val="clear" w:color="auto" w:fill="auto"/>
            <w:vAlign w:val="center"/>
            <w:hideMark/>
          </w:tcPr>
          <w:p w14:paraId="741ECF5B"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5D05BB36"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3FEBE8D9"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5850ABB1"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29D77D7E"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09605A85" w14:textId="77777777" w:rsidTr="00A60395">
        <w:trPr>
          <w:cantSplit/>
          <w:trHeight w:val="245"/>
        </w:trPr>
        <w:tc>
          <w:tcPr>
            <w:tcW w:w="3605" w:type="dxa"/>
            <w:shd w:val="clear" w:color="auto" w:fill="auto"/>
            <w:vAlign w:val="center"/>
            <w:hideMark/>
          </w:tcPr>
          <w:p w14:paraId="5EB3DA8B" w14:textId="77777777" w:rsidR="00FC752D" w:rsidRPr="00BC4AFE" w:rsidRDefault="00FC752D" w:rsidP="006211D7">
            <w:pPr>
              <w:widowControl w:val="0"/>
              <w:ind w:left="144" w:hanging="144"/>
              <w:rPr>
                <w:sz w:val="18"/>
                <w:szCs w:val="18"/>
              </w:rPr>
            </w:pPr>
            <w:r w:rsidRPr="00BC4AFE">
              <w:rPr>
                <w:sz w:val="18"/>
                <w:szCs w:val="18"/>
              </w:rPr>
              <w:t>Denmark</w:t>
            </w:r>
          </w:p>
        </w:tc>
        <w:tc>
          <w:tcPr>
            <w:tcW w:w="1182" w:type="dxa"/>
            <w:shd w:val="clear" w:color="auto" w:fill="auto"/>
            <w:vAlign w:val="center"/>
            <w:hideMark/>
          </w:tcPr>
          <w:p w14:paraId="34D3F2D8" w14:textId="77777777" w:rsidR="00FC752D" w:rsidRPr="00BC4AFE" w:rsidRDefault="00FC752D" w:rsidP="006211D7">
            <w:pPr>
              <w:widowControl w:val="0"/>
              <w:ind w:right="144"/>
              <w:jc w:val="right"/>
              <w:rPr>
                <w:sz w:val="18"/>
                <w:szCs w:val="18"/>
              </w:rPr>
            </w:pPr>
            <w:r w:rsidRPr="00BC4AFE">
              <w:rPr>
                <w:sz w:val="18"/>
                <w:szCs w:val="18"/>
              </w:rPr>
              <w:t>0.553</w:t>
            </w:r>
          </w:p>
        </w:tc>
        <w:tc>
          <w:tcPr>
            <w:tcW w:w="1182" w:type="dxa"/>
            <w:shd w:val="clear" w:color="auto" w:fill="auto"/>
            <w:noWrap/>
            <w:vAlign w:val="center"/>
            <w:hideMark/>
          </w:tcPr>
          <w:p w14:paraId="421814F9" w14:textId="77777777" w:rsidR="00FC752D" w:rsidRPr="00BC4AFE" w:rsidRDefault="00FC752D" w:rsidP="006211D7">
            <w:pPr>
              <w:widowControl w:val="0"/>
              <w:ind w:right="144"/>
              <w:jc w:val="right"/>
              <w:rPr>
                <w:sz w:val="18"/>
                <w:szCs w:val="18"/>
              </w:rPr>
            </w:pPr>
            <w:r w:rsidRPr="00BC4AFE">
              <w:rPr>
                <w:sz w:val="18"/>
                <w:szCs w:val="18"/>
              </w:rPr>
              <w:t>0.691</w:t>
            </w:r>
          </w:p>
        </w:tc>
        <w:tc>
          <w:tcPr>
            <w:tcW w:w="1182" w:type="dxa"/>
            <w:shd w:val="clear" w:color="auto" w:fill="auto"/>
            <w:noWrap/>
            <w:vAlign w:val="center"/>
            <w:hideMark/>
          </w:tcPr>
          <w:p w14:paraId="30E95964" w14:textId="77777777" w:rsidR="00FC752D" w:rsidRPr="00BC4AFE" w:rsidRDefault="00FC752D" w:rsidP="006211D7">
            <w:pPr>
              <w:widowControl w:val="0"/>
              <w:ind w:right="144"/>
              <w:jc w:val="right"/>
              <w:rPr>
                <w:sz w:val="18"/>
                <w:szCs w:val="18"/>
              </w:rPr>
            </w:pPr>
            <w:r w:rsidRPr="00BC4AFE">
              <w:rPr>
                <w:sz w:val="18"/>
                <w:szCs w:val="18"/>
              </w:rPr>
              <w:t>90,054</w:t>
            </w:r>
          </w:p>
        </w:tc>
        <w:tc>
          <w:tcPr>
            <w:tcW w:w="1182" w:type="dxa"/>
            <w:shd w:val="clear" w:color="auto" w:fill="auto"/>
            <w:noWrap/>
            <w:vAlign w:val="center"/>
            <w:hideMark/>
          </w:tcPr>
          <w:p w14:paraId="03172F5E" w14:textId="77777777" w:rsidR="00FC752D" w:rsidRPr="00BC4AFE" w:rsidRDefault="00FC752D" w:rsidP="006211D7">
            <w:pPr>
              <w:widowControl w:val="0"/>
              <w:ind w:right="144"/>
              <w:jc w:val="right"/>
              <w:rPr>
                <w:sz w:val="18"/>
                <w:szCs w:val="18"/>
              </w:rPr>
            </w:pPr>
            <w:r w:rsidRPr="00BC4AFE">
              <w:rPr>
                <w:sz w:val="18"/>
                <w:szCs w:val="18"/>
              </w:rPr>
              <w:t>98,775</w:t>
            </w:r>
          </w:p>
        </w:tc>
        <w:tc>
          <w:tcPr>
            <w:tcW w:w="1171" w:type="dxa"/>
            <w:shd w:val="clear" w:color="auto" w:fill="auto"/>
            <w:noWrap/>
            <w:vAlign w:val="center"/>
            <w:hideMark/>
          </w:tcPr>
          <w:p w14:paraId="2B80DB0D" w14:textId="77777777" w:rsidR="00FC752D" w:rsidRPr="00BC4AFE" w:rsidRDefault="00FC752D" w:rsidP="006211D7">
            <w:pPr>
              <w:widowControl w:val="0"/>
              <w:ind w:right="144"/>
              <w:jc w:val="right"/>
              <w:rPr>
                <w:sz w:val="18"/>
                <w:szCs w:val="18"/>
              </w:rPr>
            </w:pPr>
            <w:r w:rsidRPr="00BC4AFE">
              <w:rPr>
                <w:sz w:val="18"/>
                <w:szCs w:val="18"/>
              </w:rPr>
              <w:t>188,829</w:t>
            </w:r>
          </w:p>
        </w:tc>
      </w:tr>
      <w:tr w:rsidR="00FC752D" w:rsidRPr="00BC4AFE" w14:paraId="356C6AEB" w14:textId="77777777" w:rsidTr="00A60395">
        <w:trPr>
          <w:cantSplit/>
          <w:trHeight w:val="245"/>
        </w:trPr>
        <w:tc>
          <w:tcPr>
            <w:tcW w:w="3605" w:type="dxa"/>
            <w:shd w:val="clear" w:color="auto" w:fill="auto"/>
            <w:vAlign w:val="center"/>
            <w:hideMark/>
          </w:tcPr>
          <w:p w14:paraId="507D4DCC" w14:textId="77777777" w:rsidR="00FC752D" w:rsidRPr="00BC4AFE" w:rsidRDefault="00FC752D" w:rsidP="006211D7">
            <w:pPr>
              <w:widowControl w:val="0"/>
              <w:ind w:left="144" w:hanging="144"/>
              <w:rPr>
                <w:sz w:val="18"/>
                <w:szCs w:val="18"/>
              </w:rPr>
            </w:pPr>
            <w:r w:rsidRPr="00BC4AFE">
              <w:rPr>
                <w:sz w:val="18"/>
                <w:szCs w:val="18"/>
              </w:rPr>
              <w:t>Djibouti</w:t>
            </w:r>
          </w:p>
        </w:tc>
        <w:tc>
          <w:tcPr>
            <w:tcW w:w="1182" w:type="dxa"/>
            <w:shd w:val="clear" w:color="auto" w:fill="auto"/>
            <w:vAlign w:val="center"/>
            <w:hideMark/>
          </w:tcPr>
          <w:p w14:paraId="721E6EC3"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48C1F03"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5E8E666B"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17FBF6C8"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38371D50"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39ECA00D" w14:textId="77777777" w:rsidTr="00A60395">
        <w:trPr>
          <w:cantSplit/>
          <w:trHeight w:val="245"/>
        </w:trPr>
        <w:tc>
          <w:tcPr>
            <w:tcW w:w="3605" w:type="dxa"/>
            <w:shd w:val="clear" w:color="auto" w:fill="auto"/>
            <w:vAlign w:val="center"/>
            <w:hideMark/>
          </w:tcPr>
          <w:p w14:paraId="1B4E7F95" w14:textId="77777777" w:rsidR="00FC752D" w:rsidRPr="00BC4AFE" w:rsidRDefault="00FC752D" w:rsidP="006211D7">
            <w:pPr>
              <w:widowControl w:val="0"/>
              <w:ind w:left="144" w:hanging="144"/>
              <w:rPr>
                <w:sz w:val="18"/>
                <w:szCs w:val="18"/>
              </w:rPr>
            </w:pPr>
            <w:r w:rsidRPr="00BC4AFE">
              <w:rPr>
                <w:sz w:val="18"/>
                <w:szCs w:val="18"/>
              </w:rPr>
              <w:t>Dominica</w:t>
            </w:r>
          </w:p>
        </w:tc>
        <w:tc>
          <w:tcPr>
            <w:tcW w:w="1182" w:type="dxa"/>
            <w:shd w:val="clear" w:color="auto" w:fill="auto"/>
            <w:vAlign w:val="center"/>
            <w:hideMark/>
          </w:tcPr>
          <w:p w14:paraId="2D81322D"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506EA0EB"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3F203688"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51D8CD1B"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05416C83"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00DB6B6D" w14:textId="77777777" w:rsidTr="00A60395">
        <w:trPr>
          <w:cantSplit/>
          <w:trHeight w:val="245"/>
        </w:trPr>
        <w:tc>
          <w:tcPr>
            <w:tcW w:w="3605" w:type="dxa"/>
            <w:shd w:val="clear" w:color="auto" w:fill="auto"/>
            <w:vAlign w:val="center"/>
            <w:hideMark/>
          </w:tcPr>
          <w:p w14:paraId="45C4F0FB" w14:textId="77777777" w:rsidR="00FC752D" w:rsidRPr="00BC4AFE" w:rsidRDefault="00FC752D" w:rsidP="006211D7">
            <w:pPr>
              <w:widowControl w:val="0"/>
              <w:ind w:left="144" w:hanging="144"/>
              <w:rPr>
                <w:sz w:val="18"/>
                <w:szCs w:val="18"/>
              </w:rPr>
            </w:pPr>
            <w:r w:rsidRPr="00BC4AFE">
              <w:rPr>
                <w:sz w:val="18"/>
                <w:szCs w:val="18"/>
              </w:rPr>
              <w:t>Dominican Republic</w:t>
            </w:r>
          </w:p>
        </w:tc>
        <w:tc>
          <w:tcPr>
            <w:tcW w:w="1182" w:type="dxa"/>
            <w:shd w:val="clear" w:color="auto" w:fill="auto"/>
            <w:vAlign w:val="center"/>
            <w:hideMark/>
          </w:tcPr>
          <w:p w14:paraId="2F5DBA5B" w14:textId="77777777" w:rsidR="00FC752D" w:rsidRPr="00BC4AFE" w:rsidRDefault="00FC752D" w:rsidP="006211D7">
            <w:pPr>
              <w:widowControl w:val="0"/>
              <w:ind w:right="144"/>
              <w:jc w:val="right"/>
              <w:rPr>
                <w:sz w:val="18"/>
                <w:szCs w:val="18"/>
              </w:rPr>
            </w:pPr>
            <w:r w:rsidRPr="00BC4AFE">
              <w:rPr>
                <w:sz w:val="18"/>
                <w:szCs w:val="18"/>
              </w:rPr>
              <w:t>0.067</w:t>
            </w:r>
          </w:p>
        </w:tc>
        <w:tc>
          <w:tcPr>
            <w:tcW w:w="1182" w:type="dxa"/>
            <w:shd w:val="clear" w:color="auto" w:fill="auto"/>
            <w:noWrap/>
            <w:vAlign w:val="center"/>
            <w:hideMark/>
          </w:tcPr>
          <w:p w14:paraId="39C3017C" w14:textId="77777777" w:rsidR="00FC752D" w:rsidRPr="00BC4AFE" w:rsidRDefault="00FC752D" w:rsidP="006211D7">
            <w:pPr>
              <w:widowControl w:val="0"/>
              <w:ind w:right="144"/>
              <w:jc w:val="right"/>
              <w:rPr>
                <w:sz w:val="18"/>
                <w:szCs w:val="18"/>
              </w:rPr>
            </w:pPr>
            <w:r w:rsidRPr="00BC4AFE">
              <w:rPr>
                <w:sz w:val="18"/>
                <w:szCs w:val="18"/>
              </w:rPr>
              <w:t>0.084</w:t>
            </w:r>
          </w:p>
        </w:tc>
        <w:tc>
          <w:tcPr>
            <w:tcW w:w="1182" w:type="dxa"/>
            <w:shd w:val="clear" w:color="auto" w:fill="auto"/>
            <w:noWrap/>
            <w:vAlign w:val="center"/>
            <w:hideMark/>
          </w:tcPr>
          <w:p w14:paraId="091CD661" w14:textId="77777777" w:rsidR="00FC752D" w:rsidRPr="00BC4AFE" w:rsidRDefault="00FC752D" w:rsidP="006211D7">
            <w:pPr>
              <w:widowControl w:val="0"/>
              <w:ind w:right="144"/>
              <w:jc w:val="right"/>
              <w:rPr>
                <w:sz w:val="18"/>
                <w:szCs w:val="18"/>
              </w:rPr>
            </w:pPr>
            <w:r w:rsidRPr="00BC4AFE">
              <w:rPr>
                <w:sz w:val="18"/>
                <w:szCs w:val="18"/>
              </w:rPr>
              <w:t>10,911</w:t>
            </w:r>
          </w:p>
        </w:tc>
        <w:tc>
          <w:tcPr>
            <w:tcW w:w="1182" w:type="dxa"/>
            <w:shd w:val="clear" w:color="auto" w:fill="auto"/>
            <w:noWrap/>
            <w:vAlign w:val="center"/>
            <w:hideMark/>
          </w:tcPr>
          <w:p w14:paraId="32590308" w14:textId="77777777" w:rsidR="00FC752D" w:rsidRPr="00BC4AFE" w:rsidRDefault="00FC752D" w:rsidP="006211D7">
            <w:pPr>
              <w:widowControl w:val="0"/>
              <w:ind w:right="144"/>
              <w:jc w:val="right"/>
              <w:rPr>
                <w:sz w:val="18"/>
                <w:szCs w:val="18"/>
              </w:rPr>
            </w:pPr>
            <w:r w:rsidRPr="00BC4AFE">
              <w:rPr>
                <w:sz w:val="18"/>
                <w:szCs w:val="18"/>
              </w:rPr>
              <w:t>11,967</w:t>
            </w:r>
          </w:p>
        </w:tc>
        <w:tc>
          <w:tcPr>
            <w:tcW w:w="1171" w:type="dxa"/>
            <w:shd w:val="clear" w:color="auto" w:fill="auto"/>
            <w:noWrap/>
            <w:vAlign w:val="center"/>
            <w:hideMark/>
          </w:tcPr>
          <w:p w14:paraId="1BD621CD" w14:textId="77777777" w:rsidR="00FC752D" w:rsidRPr="00BC4AFE" w:rsidRDefault="00FC752D" w:rsidP="006211D7">
            <w:pPr>
              <w:widowControl w:val="0"/>
              <w:ind w:right="144"/>
              <w:jc w:val="right"/>
              <w:rPr>
                <w:sz w:val="18"/>
                <w:szCs w:val="18"/>
              </w:rPr>
            </w:pPr>
            <w:r w:rsidRPr="00BC4AFE">
              <w:rPr>
                <w:sz w:val="18"/>
                <w:szCs w:val="18"/>
              </w:rPr>
              <w:t>22,878</w:t>
            </w:r>
          </w:p>
        </w:tc>
      </w:tr>
      <w:tr w:rsidR="00FC752D" w:rsidRPr="00BC4AFE" w14:paraId="2F999FA1" w14:textId="77777777" w:rsidTr="00A60395">
        <w:trPr>
          <w:cantSplit/>
          <w:trHeight w:val="245"/>
        </w:trPr>
        <w:tc>
          <w:tcPr>
            <w:tcW w:w="3605" w:type="dxa"/>
            <w:shd w:val="clear" w:color="auto" w:fill="auto"/>
            <w:vAlign w:val="center"/>
            <w:hideMark/>
          </w:tcPr>
          <w:p w14:paraId="7CB4DFAE" w14:textId="77777777" w:rsidR="00FC752D" w:rsidRPr="00BC4AFE" w:rsidRDefault="00FC752D" w:rsidP="006211D7">
            <w:pPr>
              <w:widowControl w:val="0"/>
              <w:ind w:left="144" w:hanging="144"/>
              <w:rPr>
                <w:sz w:val="18"/>
                <w:szCs w:val="18"/>
              </w:rPr>
            </w:pPr>
            <w:r w:rsidRPr="00BC4AFE">
              <w:rPr>
                <w:sz w:val="18"/>
                <w:szCs w:val="18"/>
              </w:rPr>
              <w:t>Ecuador</w:t>
            </w:r>
          </w:p>
        </w:tc>
        <w:tc>
          <w:tcPr>
            <w:tcW w:w="1182" w:type="dxa"/>
            <w:shd w:val="clear" w:color="auto" w:fill="auto"/>
            <w:vAlign w:val="center"/>
            <w:hideMark/>
          </w:tcPr>
          <w:p w14:paraId="41F6010F" w14:textId="77777777" w:rsidR="00FC752D" w:rsidRPr="00BC4AFE" w:rsidRDefault="00FC752D" w:rsidP="006211D7">
            <w:pPr>
              <w:widowControl w:val="0"/>
              <w:ind w:right="144"/>
              <w:jc w:val="right"/>
              <w:rPr>
                <w:sz w:val="18"/>
                <w:szCs w:val="18"/>
              </w:rPr>
            </w:pPr>
            <w:r w:rsidRPr="00BC4AFE">
              <w:rPr>
                <w:sz w:val="18"/>
                <w:szCs w:val="18"/>
              </w:rPr>
              <w:t>0.077</w:t>
            </w:r>
          </w:p>
        </w:tc>
        <w:tc>
          <w:tcPr>
            <w:tcW w:w="1182" w:type="dxa"/>
            <w:shd w:val="clear" w:color="auto" w:fill="auto"/>
            <w:noWrap/>
            <w:vAlign w:val="center"/>
            <w:hideMark/>
          </w:tcPr>
          <w:p w14:paraId="15938294" w14:textId="77777777" w:rsidR="00FC752D" w:rsidRPr="00BC4AFE" w:rsidRDefault="00FC752D" w:rsidP="006211D7">
            <w:pPr>
              <w:widowControl w:val="0"/>
              <w:ind w:right="144"/>
              <w:jc w:val="right"/>
              <w:rPr>
                <w:sz w:val="18"/>
                <w:szCs w:val="18"/>
              </w:rPr>
            </w:pPr>
            <w:r w:rsidRPr="00BC4AFE">
              <w:rPr>
                <w:sz w:val="18"/>
                <w:szCs w:val="18"/>
              </w:rPr>
              <w:t>0.096</w:t>
            </w:r>
          </w:p>
        </w:tc>
        <w:tc>
          <w:tcPr>
            <w:tcW w:w="1182" w:type="dxa"/>
            <w:shd w:val="clear" w:color="auto" w:fill="auto"/>
            <w:noWrap/>
            <w:vAlign w:val="center"/>
            <w:hideMark/>
          </w:tcPr>
          <w:p w14:paraId="57053158" w14:textId="77777777" w:rsidR="00FC752D" w:rsidRPr="00BC4AFE" w:rsidRDefault="00FC752D" w:rsidP="006211D7">
            <w:pPr>
              <w:widowControl w:val="0"/>
              <w:ind w:right="144"/>
              <w:jc w:val="right"/>
              <w:rPr>
                <w:sz w:val="18"/>
                <w:szCs w:val="18"/>
              </w:rPr>
            </w:pPr>
            <w:r w:rsidRPr="00BC4AFE">
              <w:rPr>
                <w:sz w:val="18"/>
                <w:szCs w:val="18"/>
              </w:rPr>
              <w:t>12,539</w:t>
            </w:r>
          </w:p>
        </w:tc>
        <w:tc>
          <w:tcPr>
            <w:tcW w:w="1182" w:type="dxa"/>
            <w:shd w:val="clear" w:color="auto" w:fill="auto"/>
            <w:noWrap/>
            <w:vAlign w:val="center"/>
            <w:hideMark/>
          </w:tcPr>
          <w:p w14:paraId="7D42E50A" w14:textId="77777777" w:rsidR="00FC752D" w:rsidRPr="00BC4AFE" w:rsidRDefault="00FC752D" w:rsidP="006211D7">
            <w:pPr>
              <w:widowControl w:val="0"/>
              <w:ind w:right="144"/>
              <w:jc w:val="right"/>
              <w:rPr>
                <w:sz w:val="18"/>
                <w:szCs w:val="18"/>
              </w:rPr>
            </w:pPr>
            <w:r w:rsidRPr="00BC4AFE">
              <w:rPr>
                <w:sz w:val="18"/>
                <w:szCs w:val="18"/>
              </w:rPr>
              <w:t>13,753</w:t>
            </w:r>
          </w:p>
        </w:tc>
        <w:tc>
          <w:tcPr>
            <w:tcW w:w="1171" w:type="dxa"/>
            <w:shd w:val="clear" w:color="auto" w:fill="auto"/>
            <w:noWrap/>
            <w:vAlign w:val="center"/>
            <w:hideMark/>
          </w:tcPr>
          <w:p w14:paraId="0A59BC4E" w14:textId="77777777" w:rsidR="00FC752D" w:rsidRPr="00BC4AFE" w:rsidRDefault="00FC752D" w:rsidP="006211D7">
            <w:pPr>
              <w:widowControl w:val="0"/>
              <w:ind w:right="144"/>
              <w:jc w:val="right"/>
              <w:rPr>
                <w:sz w:val="18"/>
                <w:szCs w:val="18"/>
              </w:rPr>
            </w:pPr>
            <w:r w:rsidRPr="00BC4AFE">
              <w:rPr>
                <w:sz w:val="18"/>
                <w:szCs w:val="18"/>
              </w:rPr>
              <w:t>26,293</w:t>
            </w:r>
          </w:p>
        </w:tc>
      </w:tr>
      <w:tr w:rsidR="00FC752D" w:rsidRPr="00BC4AFE" w14:paraId="1192E215" w14:textId="77777777" w:rsidTr="00A60395">
        <w:trPr>
          <w:cantSplit/>
          <w:trHeight w:val="245"/>
        </w:trPr>
        <w:tc>
          <w:tcPr>
            <w:tcW w:w="3605" w:type="dxa"/>
            <w:shd w:val="clear" w:color="auto" w:fill="auto"/>
            <w:vAlign w:val="center"/>
            <w:hideMark/>
          </w:tcPr>
          <w:p w14:paraId="338DAC2B" w14:textId="77777777" w:rsidR="00FC752D" w:rsidRPr="00BC4AFE" w:rsidRDefault="00FC752D" w:rsidP="006211D7">
            <w:pPr>
              <w:widowControl w:val="0"/>
              <w:ind w:left="144" w:hanging="144"/>
              <w:rPr>
                <w:sz w:val="18"/>
                <w:szCs w:val="18"/>
              </w:rPr>
            </w:pPr>
            <w:r w:rsidRPr="00BC4AFE">
              <w:rPr>
                <w:sz w:val="18"/>
                <w:szCs w:val="18"/>
              </w:rPr>
              <w:t>Egypt</w:t>
            </w:r>
          </w:p>
        </w:tc>
        <w:tc>
          <w:tcPr>
            <w:tcW w:w="1182" w:type="dxa"/>
            <w:shd w:val="clear" w:color="auto" w:fill="auto"/>
            <w:vAlign w:val="center"/>
            <w:hideMark/>
          </w:tcPr>
          <w:p w14:paraId="5D12CECD" w14:textId="77777777" w:rsidR="00FC752D" w:rsidRPr="00BC4AFE" w:rsidRDefault="00FC752D" w:rsidP="006211D7">
            <w:pPr>
              <w:widowControl w:val="0"/>
              <w:ind w:right="144"/>
              <w:jc w:val="right"/>
              <w:rPr>
                <w:sz w:val="18"/>
                <w:szCs w:val="18"/>
              </w:rPr>
            </w:pPr>
            <w:r w:rsidRPr="00BC4AFE">
              <w:rPr>
                <w:sz w:val="18"/>
                <w:szCs w:val="18"/>
              </w:rPr>
              <w:t>0.139</w:t>
            </w:r>
          </w:p>
        </w:tc>
        <w:tc>
          <w:tcPr>
            <w:tcW w:w="1182" w:type="dxa"/>
            <w:shd w:val="clear" w:color="auto" w:fill="auto"/>
            <w:noWrap/>
            <w:vAlign w:val="center"/>
            <w:hideMark/>
          </w:tcPr>
          <w:p w14:paraId="35947EDE" w14:textId="77777777" w:rsidR="00FC752D" w:rsidRPr="00BC4AFE" w:rsidRDefault="00FC752D" w:rsidP="006211D7">
            <w:pPr>
              <w:widowControl w:val="0"/>
              <w:ind w:right="144"/>
              <w:jc w:val="right"/>
              <w:rPr>
                <w:sz w:val="18"/>
                <w:szCs w:val="18"/>
              </w:rPr>
            </w:pPr>
            <w:r w:rsidRPr="00BC4AFE">
              <w:rPr>
                <w:sz w:val="18"/>
                <w:szCs w:val="18"/>
              </w:rPr>
              <w:t>0.174</w:t>
            </w:r>
          </w:p>
        </w:tc>
        <w:tc>
          <w:tcPr>
            <w:tcW w:w="1182" w:type="dxa"/>
            <w:shd w:val="clear" w:color="auto" w:fill="auto"/>
            <w:noWrap/>
            <w:vAlign w:val="center"/>
            <w:hideMark/>
          </w:tcPr>
          <w:p w14:paraId="1CD3CFCF" w14:textId="77777777" w:rsidR="00FC752D" w:rsidRPr="00BC4AFE" w:rsidRDefault="00FC752D" w:rsidP="006211D7">
            <w:pPr>
              <w:widowControl w:val="0"/>
              <w:ind w:right="144"/>
              <w:jc w:val="right"/>
              <w:rPr>
                <w:sz w:val="18"/>
                <w:szCs w:val="18"/>
              </w:rPr>
            </w:pPr>
            <w:r w:rsidRPr="00BC4AFE">
              <w:rPr>
                <w:sz w:val="18"/>
                <w:szCs w:val="18"/>
              </w:rPr>
              <w:t>22,636</w:t>
            </w:r>
          </w:p>
        </w:tc>
        <w:tc>
          <w:tcPr>
            <w:tcW w:w="1182" w:type="dxa"/>
            <w:shd w:val="clear" w:color="auto" w:fill="auto"/>
            <w:noWrap/>
            <w:vAlign w:val="center"/>
            <w:hideMark/>
          </w:tcPr>
          <w:p w14:paraId="04D804C8" w14:textId="77777777" w:rsidR="00FC752D" w:rsidRPr="00BC4AFE" w:rsidRDefault="00FC752D" w:rsidP="006211D7">
            <w:pPr>
              <w:widowControl w:val="0"/>
              <w:ind w:right="144"/>
              <w:jc w:val="right"/>
              <w:rPr>
                <w:sz w:val="18"/>
                <w:szCs w:val="18"/>
              </w:rPr>
            </w:pPr>
            <w:r w:rsidRPr="00BC4AFE">
              <w:rPr>
                <w:sz w:val="18"/>
                <w:szCs w:val="18"/>
              </w:rPr>
              <w:t>24,828</w:t>
            </w:r>
          </w:p>
        </w:tc>
        <w:tc>
          <w:tcPr>
            <w:tcW w:w="1171" w:type="dxa"/>
            <w:shd w:val="clear" w:color="auto" w:fill="auto"/>
            <w:noWrap/>
            <w:vAlign w:val="center"/>
            <w:hideMark/>
          </w:tcPr>
          <w:p w14:paraId="6E3C1231" w14:textId="77777777" w:rsidR="00FC752D" w:rsidRPr="00BC4AFE" w:rsidRDefault="00FC752D" w:rsidP="006211D7">
            <w:pPr>
              <w:widowControl w:val="0"/>
              <w:ind w:right="144"/>
              <w:jc w:val="right"/>
              <w:rPr>
                <w:sz w:val="18"/>
                <w:szCs w:val="18"/>
              </w:rPr>
            </w:pPr>
            <w:r w:rsidRPr="00BC4AFE">
              <w:rPr>
                <w:sz w:val="18"/>
                <w:szCs w:val="18"/>
              </w:rPr>
              <w:t>47,463</w:t>
            </w:r>
          </w:p>
        </w:tc>
      </w:tr>
      <w:tr w:rsidR="00FC752D" w:rsidRPr="00BC4AFE" w14:paraId="134D9349" w14:textId="77777777" w:rsidTr="00A60395">
        <w:trPr>
          <w:cantSplit/>
          <w:trHeight w:val="245"/>
        </w:trPr>
        <w:tc>
          <w:tcPr>
            <w:tcW w:w="3605" w:type="dxa"/>
            <w:shd w:val="clear" w:color="auto" w:fill="auto"/>
            <w:vAlign w:val="center"/>
            <w:hideMark/>
          </w:tcPr>
          <w:p w14:paraId="4AF7F1E8" w14:textId="77777777" w:rsidR="00FC752D" w:rsidRPr="00BC4AFE" w:rsidRDefault="00FC752D" w:rsidP="006211D7">
            <w:pPr>
              <w:widowControl w:val="0"/>
              <w:ind w:left="144" w:hanging="144"/>
              <w:rPr>
                <w:sz w:val="18"/>
                <w:szCs w:val="18"/>
              </w:rPr>
            </w:pPr>
            <w:r w:rsidRPr="00BC4AFE">
              <w:rPr>
                <w:sz w:val="18"/>
                <w:szCs w:val="18"/>
              </w:rPr>
              <w:t>El Salvador</w:t>
            </w:r>
          </w:p>
        </w:tc>
        <w:tc>
          <w:tcPr>
            <w:tcW w:w="1182" w:type="dxa"/>
            <w:shd w:val="clear" w:color="auto" w:fill="auto"/>
            <w:vAlign w:val="center"/>
            <w:hideMark/>
          </w:tcPr>
          <w:p w14:paraId="2508268D" w14:textId="77777777" w:rsidR="00FC752D" w:rsidRPr="00BC4AFE" w:rsidRDefault="00FC752D" w:rsidP="006211D7">
            <w:pPr>
              <w:widowControl w:val="0"/>
              <w:ind w:right="144"/>
              <w:jc w:val="right"/>
              <w:rPr>
                <w:sz w:val="18"/>
                <w:szCs w:val="18"/>
              </w:rPr>
            </w:pPr>
            <w:r w:rsidRPr="00BC4AFE">
              <w:rPr>
                <w:sz w:val="18"/>
                <w:szCs w:val="18"/>
              </w:rPr>
              <w:t>0.013</w:t>
            </w:r>
          </w:p>
        </w:tc>
        <w:tc>
          <w:tcPr>
            <w:tcW w:w="1182" w:type="dxa"/>
            <w:shd w:val="clear" w:color="auto" w:fill="auto"/>
            <w:noWrap/>
            <w:vAlign w:val="center"/>
            <w:hideMark/>
          </w:tcPr>
          <w:p w14:paraId="44BBBDD3" w14:textId="77777777" w:rsidR="00FC752D" w:rsidRPr="00BC4AFE" w:rsidRDefault="00FC752D" w:rsidP="006211D7">
            <w:pPr>
              <w:widowControl w:val="0"/>
              <w:ind w:right="144"/>
              <w:jc w:val="right"/>
              <w:rPr>
                <w:sz w:val="18"/>
                <w:szCs w:val="18"/>
              </w:rPr>
            </w:pPr>
            <w:r w:rsidRPr="00BC4AFE">
              <w:rPr>
                <w:sz w:val="18"/>
                <w:szCs w:val="18"/>
              </w:rPr>
              <w:t>0.016</w:t>
            </w:r>
          </w:p>
        </w:tc>
        <w:tc>
          <w:tcPr>
            <w:tcW w:w="1182" w:type="dxa"/>
            <w:shd w:val="clear" w:color="auto" w:fill="auto"/>
            <w:noWrap/>
            <w:vAlign w:val="center"/>
            <w:hideMark/>
          </w:tcPr>
          <w:p w14:paraId="716E0FE1" w14:textId="77777777" w:rsidR="00FC752D" w:rsidRPr="00BC4AFE" w:rsidRDefault="00FC752D" w:rsidP="006211D7">
            <w:pPr>
              <w:widowControl w:val="0"/>
              <w:ind w:right="144"/>
              <w:jc w:val="right"/>
              <w:rPr>
                <w:sz w:val="18"/>
                <w:szCs w:val="18"/>
              </w:rPr>
            </w:pPr>
            <w:r w:rsidRPr="00BC4AFE">
              <w:rPr>
                <w:sz w:val="18"/>
                <w:szCs w:val="18"/>
              </w:rPr>
              <w:t>2,117</w:t>
            </w:r>
          </w:p>
        </w:tc>
        <w:tc>
          <w:tcPr>
            <w:tcW w:w="1182" w:type="dxa"/>
            <w:shd w:val="clear" w:color="auto" w:fill="auto"/>
            <w:noWrap/>
            <w:vAlign w:val="center"/>
            <w:hideMark/>
          </w:tcPr>
          <w:p w14:paraId="26642ED7" w14:textId="77777777" w:rsidR="00FC752D" w:rsidRPr="00BC4AFE" w:rsidRDefault="00FC752D" w:rsidP="006211D7">
            <w:pPr>
              <w:widowControl w:val="0"/>
              <w:ind w:right="144"/>
              <w:jc w:val="right"/>
              <w:rPr>
                <w:sz w:val="18"/>
                <w:szCs w:val="18"/>
              </w:rPr>
            </w:pPr>
            <w:r w:rsidRPr="00BC4AFE">
              <w:rPr>
                <w:sz w:val="18"/>
                <w:szCs w:val="18"/>
              </w:rPr>
              <w:t>2,322</w:t>
            </w:r>
          </w:p>
        </w:tc>
        <w:tc>
          <w:tcPr>
            <w:tcW w:w="1171" w:type="dxa"/>
            <w:shd w:val="clear" w:color="auto" w:fill="auto"/>
            <w:noWrap/>
            <w:vAlign w:val="center"/>
            <w:hideMark/>
          </w:tcPr>
          <w:p w14:paraId="6C65AA92" w14:textId="77777777" w:rsidR="00FC752D" w:rsidRPr="00BC4AFE" w:rsidRDefault="00FC752D" w:rsidP="006211D7">
            <w:pPr>
              <w:widowControl w:val="0"/>
              <w:ind w:right="144"/>
              <w:jc w:val="right"/>
              <w:rPr>
                <w:sz w:val="18"/>
                <w:szCs w:val="18"/>
              </w:rPr>
            </w:pPr>
            <w:r w:rsidRPr="00BC4AFE">
              <w:rPr>
                <w:sz w:val="18"/>
                <w:szCs w:val="18"/>
              </w:rPr>
              <w:t>4,439</w:t>
            </w:r>
          </w:p>
        </w:tc>
      </w:tr>
      <w:tr w:rsidR="00FC752D" w:rsidRPr="00BC4AFE" w14:paraId="73D0330C" w14:textId="77777777" w:rsidTr="00A60395">
        <w:trPr>
          <w:cantSplit/>
          <w:trHeight w:val="245"/>
        </w:trPr>
        <w:tc>
          <w:tcPr>
            <w:tcW w:w="3605" w:type="dxa"/>
            <w:shd w:val="clear" w:color="auto" w:fill="auto"/>
            <w:vAlign w:val="center"/>
            <w:hideMark/>
          </w:tcPr>
          <w:p w14:paraId="22180EE5" w14:textId="77777777" w:rsidR="00FC752D" w:rsidRPr="00BC4AFE" w:rsidRDefault="00FC752D" w:rsidP="006211D7">
            <w:pPr>
              <w:widowControl w:val="0"/>
              <w:ind w:left="144" w:hanging="144"/>
              <w:rPr>
                <w:sz w:val="18"/>
                <w:szCs w:val="18"/>
              </w:rPr>
            </w:pPr>
            <w:r w:rsidRPr="00BC4AFE">
              <w:rPr>
                <w:sz w:val="18"/>
                <w:szCs w:val="18"/>
              </w:rPr>
              <w:t>Equatorial Guinea</w:t>
            </w:r>
          </w:p>
        </w:tc>
        <w:tc>
          <w:tcPr>
            <w:tcW w:w="1182" w:type="dxa"/>
            <w:shd w:val="clear" w:color="auto" w:fill="auto"/>
            <w:vAlign w:val="center"/>
            <w:hideMark/>
          </w:tcPr>
          <w:p w14:paraId="10002396" w14:textId="77777777" w:rsidR="00FC752D" w:rsidRPr="00BC4AFE" w:rsidRDefault="00FC752D" w:rsidP="006211D7">
            <w:pPr>
              <w:widowControl w:val="0"/>
              <w:ind w:right="144"/>
              <w:jc w:val="right"/>
              <w:rPr>
                <w:sz w:val="18"/>
                <w:szCs w:val="18"/>
              </w:rPr>
            </w:pPr>
            <w:r w:rsidRPr="00BC4AFE">
              <w:rPr>
                <w:sz w:val="18"/>
                <w:szCs w:val="18"/>
              </w:rPr>
              <w:t>0.012</w:t>
            </w:r>
          </w:p>
        </w:tc>
        <w:tc>
          <w:tcPr>
            <w:tcW w:w="1182" w:type="dxa"/>
            <w:shd w:val="clear" w:color="auto" w:fill="auto"/>
            <w:noWrap/>
            <w:vAlign w:val="center"/>
            <w:hideMark/>
          </w:tcPr>
          <w:p w14:paraId="7061F467" w14:textId="77777777" w:rsidR="00FC752D" w:rsidRPr="00BC4AFE" w:rsidRDefault="00FC752D" w:rsidP="006211D7">
            <w:pPr>
              <w:widowControl w:val="0"/>
              <w:ind w:right="144"/>
              <w:jc w:val="right"/>
              <w:rPr>
                <w:sz w:val="18"/>
                <w:szCs w:val="18"/>
              </w:rPr>
            </w:pPr>
            <w:r w:rsidRPr="00BC4AFE">
              <w:rPr>
                <w:sz w:val="18"/>
                <w:szCs w:val="18"/>
              </w:rPr>
              <w:t>0.015</w:t>
            </w:r>
          </w:p>
        </w:tc>
        <w:tc>
          <w:tcPr>
            <w:tcW w:w="1182" w:type="dxa"/>
            <w:shd w:val="clear" w:color="auto" w:fill="auto"/>
            <w:noWrap/>
            <w:vAlign w:val="center"/>
            <w:hideMark/>
          </w:tcPr>
          <w:p w14:paraId="78E9F51F" w14:textId="77777777" w:rsidR="00FC752D" w:rsidRPr="00BC4AFE" w:rsidRDefault="00FC752D" w:rsidP="006211D7">
            <w:pPr>
              <w:widowControl w:val="0"/>
              <w:ind w:right="144"/>
              <w:jc w:val="right"/>
              <w:rPr>
                <w:sz w:val="18"/>
                <w:szCs w:val="18"/>
              </w:rPr>
            </w:pPr>
            <w:r w:rsidRPr="00BC4AFE">
              <w:rPr>
                <w:sz w:val="18"/>
                <w:szCs w:val="18"/>
              </w:rPr>
              <w:t>1,954</w:t>
            </w:r>
          </w:p>
        </w:tc>
        <w:tc>
          <w:tcPr>
            <w:tcW w:w="1182" w:type="dxa"/>
            <w:shd w:val="clear" w:color="auto" w:fill="auto"/>
            <w:noWrap/>
            <w:vAlign w:val="center"/>
            <w:hideMark/>
          </w:tcPr>
          <w:p w14:paraId="426DA112" w14:textId="77777777" w:rsidR="00FC752D" w:rsidRPr="00BC4AFE" w:rsidRDefault="00FC752D" w:rsidP="006211D7">
            <w:pPr>
              <w:widowControl w:val="0"/>
              <w:ind w:right="144"/>
              <w:jc w:val="right"/>
              <w:rPr>
                <w:sz w:val="18"/>
                <w:szCs w:val="18"/>
              </w:rPr>
            </w:pPr>
            <w:r w:rsidRPr="00BC4AFE">
              <w:rPr>
                <w:sz w:val="18"/>
                <w:szCs w:val="18"/>
              </w:rPr>
              <w:t>2,143</w:t>
            </w:r>
          </w:p>
        </w:tc>
        <w:tc>
          <w:tcPr>
            <w:tcW w:w="1171" w:type="dxa"/>
            <w:shd w:val="clear" w:color="auto" w:fill="auto"/>
            <w:noWrap/>
            <w:vAlign w:val="center"/>
            <w:hideMark/>
          </w:tcPr>
          <w:p w14:paraId="02C8FE4B" w14:textId="77777777" w:rsidR="00FC752D" w:rsidRPr="00BC4AFE" w:rsidRDefault="00FC752D" w:rsidP="006211D7">
            <w:pPr>
              <w:widowControl w:val="0"/>
              <w:ind w:right="144"/>
              <w:jc w:val="right"/>
              <w:rPr>
                <w:sz w:val="18"/>
                <w:szCs w:val="18"/>
              </w:rPr>
            </w:pPr>
            <w:r w:rsidRPr="00BC4AFE">
              <w:rPr>
                <w:sz w:val="18"/>
                <w:szCs w:val="18"/>
              </w:rPr>
              <w:t>4,098</w:t>
            </w:r>
          </w:p>
        </w:tc>
      </w:tr>
      <w:tr w:rsidR="00FC752D" w:rsidRPr="00BC4AFE" w14:paraId="7B532E63" w14:textId="77777777" w:rsidTr="00A60395">
        <w:trPr>
          <w:cantSplit/>
          <w:trHeight w:val="245"/>
        </w:trPr>
        <w:tc>
          <w:tcPr>
            <w:tcW w:w="3605" w:type="dxa"/>
            <w:shd w:val="clear" w:color="auto" w:fill="auto"/>
            <w:vAlign w:val="center"/>
            <w:hideMark/>
          </w:tcPr>
          <w:p w14:paraId="15434F39" w14:textId="77777777" w:rsidR="00FC752D" w:rsidRPr="00BC4AFE" w:rsidRDefault="00FC752D" w:rsidP="006211D7">
            <w:pPr>
              <w:widowControl w:val="0"/>
              <w:ind w:left="144" w:hanging="144"/>
              <w:rPr>
                <w:sz w:val="18"/>
                <w:szCs w:val="18"/>
              </w:rPr>
            </w:pPr>
            <w:r w:rsidRPr="00BC4AFE">
              <w:rPr>
                <w:sz w:val="18"/>
                <w:szCs w:val="18"/>
              </w:rPr>
              <w:t>Eritrea</w:t>
            </w:r>
          </w:p>
        </w:tc>
        <w:tc>
          <w:tcPr>
            <w:tcW w:w="1182" w:type="dxa"/>
            <w:shd w:val="clear" w:color="auto" w:fill="auto"/>
            <w:vAlign w:val="center"/>
            <w:hideMark/>
          </w:tcPr>
          <w:p w14:paraId="5242EB7D"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6C50F393"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789D2E15"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40FDDA2F"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65A80EF8"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2F5FB9ED" w14:textId="77777777" w:rsidTr="00A60395">
        <w:trPr>
          <w:cantSplit/>
          <w:trHeight w:val="245"/>
        </w:trPr>
        <w:tc>
          <w:tcPr>
            <w:tcW w:w="3605" w:type="dxa"/>
            <w:shd w:val="clear" w:color="auto" w:fill="auto"/>
            <w:vAlign w:val="center"/>
            <w:hideMark/>
          </w:tcPr>
          <w:p w14:paraId="41277431" w14:textId="77777777" w:rsidR="00FC752D" w:rsidRPr="00BC4AFE" w:rsidRDefault="00FC752D" w:rsidP="006211D7">
            <w:pPr>
              <w:widowControl w:val="0"/>
              <w:ind w:left="144" w:hanging="144"/>
              <w:rPr>
                <w:sz w:val="18"/>
                <w:szCs w:val="18"/>
              </w:rPr>
            </w:pPr>
            <w:r w:rsidRPr="00BC4AFE">
              <w:rPr>
                <w:sz w:val="18"/>
                <w:szCs w:val="18"/>
              </w:rPr>
              <w:t>Estonia</w:t>
            </w:r>
          </w:p>
        </w:tc>
        <w:tc>
          <w:tcPr>
            <w:tcW w:w="1182" w:type="dxa"/>
            <w:shd w:val="clear" w:color="auto" w:fill="auto"/>
            <w:vAlign w:val="center"/>
            <w:hideMark/>
          </w:tcPr>
          <w:p w14:paraId="21A148C1" w14:textId="77777777" w:rsidR="00FC752D" w:rsidRPr="00BC4AFE" w:rsidRDefault="00FC752D" w:rsidP="006211D7">
            <w:pPr>
              <w:widowControl w:val="0"/>
              <w:ind w:right="144"/>
              <w:jc w:val="right"/>
              <w:rPr>
                <w:sz w:val="18"/>
                <w:szCs w:val="18"/>
              </w:rPr>
            </w:pPr>
            <w:r w:rsidRPr="00BC4AFE">
              <w:rPr>
                <w:sz w:val="18"/>
                <w:szCs w:val="18"/>
              </w:rPr>
              <w:t>0.044</w:t>
            </w:r>
          </w:p>
        </w:tc>
        <w:tc>
          <w:tcPr>
            <w:tcW w:w="1182" w:type="dxa"/>
            <w:shd w:val="clear" w:color="auto" w:fill="auto"/>
            <w:noWrap/>
            <w:vAlign w:val="center"/>
            <w:hideMark/>
          </w:tcPr>
          <w:p w14:paraId="4370DC7E" w14:textId="77777777" w:rsidR="00FC752D" w:rsidRPr="00BC4AFE" w:rsidRDefault="00FC752D" w:rsidP="006211D7">
            <w:pPr>
              <w:widowControl w:val="0"/>
              <w:ind w:right="144"/>
              <w:jc w:val="right"/>
              <w:rPr>
                <w:sz w:val="18"/>
                <w:szCs w:val="18"/>
              </w:rPr>
            </w:pPr>
            <w:r w:rsidRPr="00BC4AFE">
              <w:rPr>
                <w:sz w:val="18"/>
                <w:szCs w:val="18"/>
              </w:rPr>
              <w:t>0.055</w:t>
            </w:r>
          </w:p>
        </w:tc>
        <w:tc>
          <w:tcPr>
            <w:tcW w:w="1182" w:type="dxa"/>
            <w:shd w:val="clear" w:color="auto" w:fill="auto"/>
            <w:noWrap/>
            <w:vAlign w:val="center"/>
            <w:hideMark/>
          </w:tcPr>
          <w:p w14:paraId="5BC7B972" w14:textId="77777777" w:rsidR="00FC752D" w:rsidRPr="00BC4AFE" w:rsidRDefault="00FC752D" w:rsidP="006211D7">
            <w:pPr>
              <w:widowControl w:val="0"/>
              <w:ind w:right="144"/>
              <w:jc w:val="right"/>
              <w:rPr>
                <w:sz w:val="18"/>
                <w:szCs w:val="18"/>
              </w:rPr>
            </w:pPr>
            <w:r w:rsidRPr="00BC4AFE">
              <w:rPr>
                <w:sz w:val="18"/>
                <w:szCs w:val="18"/>
              </w:rPr>
              <w:t>7,165</w:t>
            </w:r>
          </w:p>
        </w:tc>
        <w:tc>
          <w:tcPr>
            <w:tcW w:w="1182" w:type="dxa"/>
            <w:shd w:val="clear" w:color="auto" w:fill="auto"/>
            <w:noWrap/>
            <w:vAlign w:val="center"/>
            <w:hideMark/>
          </w:tcPr>
          <w:p w14:paraId="182224EE" w14:textId="77777777" w:rsidR="00FC752D" w:rsidRPr="00BC4AFE" w:rsidRDefault="00FC752D" w:rsidP="006211D7">
            <w:pPr>
              <w:widowControl w:val="0"/>
              <w:ind w:right="144"/>
              <w:jc w:val="right"/>
              <w:rPr>
                <w:sz w:val="18"/>
                <w:szCs w:val="18"/>
              </w:rPr>
            </w:pPr>
            <w:r w:rsidRPr="00BC4AFE">
              <w:rPr>
                <w:sz w:val="18"/>
                <w:szCs w:val="18"/>
              </w:rPr>
              <w:t>7,859</w:t>
            </w:r>
          </w:p>
        </w:tc>
        <w:tc>
          <w:tcPr>
            <w:tcW w:w="1171" w:type="dxa"/>
            <w:shd w:val="clear" w:color="auto" w:fill="auto"/>
            <w:noWrap/>
            <w:vAlign w:val="center"/>
            <w:hideMark/>
          </w:tcPr>
          <w:p w14:paraId="70EF821E" w14:textId="77777777" w:rsidR="00FC752D" w:rsidRPr="00BC4AFE" w:rsidRDefault="00FC752D" w:rsidP="006211D7">
            <w:pPr>
              <w:widowControl w:val="0"/>
              <w:ind w:right="144"/>
              <w:jc w:val="right"/>
              <w:rPr>
                <w:sz w:val="18"/>
                <w:szCs w:val="18"/>
              </w:rPr>
            </w:pPr>
            <w:r w:rsidRPr="00BC4AFE">
              <w:rPr>
                <w:sz w:val="18"/>
                <w:szCs w:val="18"/>
              </w:rPr>
              <w:t>15,024</w:t>
            </w:r>
          </w:p>
        </w:tc>
      </w:tr>
      <w:tr w:rsidR="00FC752D" w:rsidRPr="00BC4AFE" w14:paraId="2DBF5101" w14:textId="77777777" w:rsidTr="00A60395">
        <w:trPr>
          <w:cantSplit/>
          <w:trHeight w:val="245"/>
        </w:trPr>
        <w:tc>
          <w:tcPr>
            <w:tcW w:w="3605" w:type="dxa"/>
            <w:shd w:val="clear" w:color="auto" w:fill="auto"/>
            <w:vAlign w:val="center"/>
            <w:hideMark/>
          </w:tcPr>
          <w:p w14:paraId="066C8AD9" w14:textId="77777777" w:rsidR="00FC752D" w:rsidRPr="00BC4AFE" w:rsidRDefault="00FC752D" w:rsidP="006211D7">
            <w:pPr>
              <w:widowControl w:val="0"/>
              <w:ind w:left="144" w:hanging="144"/>
              <w:rPr>
                <w:sz w:val="18"/>
                <w:szCs w:val="18"/>
              </w:rPr>
            </w:pPr>
            <w:r w:rsidRPr="00BC4AFE">
              <w:rPr>
                <w:sz w:val="18"/>
                <w:szCs w:val="18"/>
              </w:rPr>
              <w:t>Eswatini</w:t>
            </w:r>
          </w:p>
        </w:tc>
        <w:tc>
          <w:tcPr>
            <w:tcW w:w="1182" w:type="dxa"/>
            <w:shd w:val="clear" w:color="auto" w:fill="auto"/>
            <w:vAlign w:val="center"/>
            <w:hideMark/>
          </w:tcPr>
          <w:p w14:paraId="0D1760D4"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shd w:val="clear" w:color="auto" w:fill="auto"/>
            <w:noWrap/>
            <w:vAlign w:val="center"/>
            <w:hideMark/>
          </w:tcPr>
          <w:p w14:paraId="54EA6F1E"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40B5C464"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shd w:val="clear" w:color="auto" w:fill="auto"/>
            <w:noWrap/>
            <w:vAlign w:val="center"/>
            <w:hideMark/>
          </w:tcPr>
          <w:p w14:paraId="183BF8C9"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shd w:val="clear" w:color="auto" w:fill="auto"/>
            <w:noWrap/>
            <w:vAlign w:val="center"/>
            <w:hideMark/>
          </w:tcPr>
          <w:p w14:paraId="4FC4034C"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53F925C8" w14:textId="77777777" w:rsidTr="00A60395">
        <w:trPr>
          <w:cantSplit/>
          <w:trHeight w:val="245"/>
        </w:trPr>
        <w:tc>
          <w:tcPr>
            <w:tcW w:w="3605" w:type="dxa"/>
            <w:shd w:val="clear" w:color="auto" w:fill="auto"/>
            <w:vAlign w:val="center"/>
            <w:hideMark/>
          </w:tcPr>
          <w:p w14:paraId="1F935767" w14:textId="77777777" w:rsidR="00FC752D" w:rsidRPr="00BC4AFE" w:rsidRDefault="00FC752D" w:rsidP="006211D7">
            <w:pPr>
              <w:widowControl w:val="0"/>
              <w:ind w:left="144" w:hanging="144"/>
              <w:rPr>
                <w:sz w:val="18"/>
                <w:szCs w:val="18"/>
              </w:rPr>
            </w:pPr>
            <w:r w:rsidRPr="00BC4AFE">
              <w:rPr>
                <w:sz w:val="18"/>
                <w:szCs w:val="18"/>
              </w:rPr>
              <w:t>Ethiopia</w:t>
            </w:r>
          </w:p>
        </w:tc>
        <w:tc>
          <w:tcPr>
            <w:tcW w:w="1182" w:type="dxa"/>
            <w:shd w:val="clear" w:color="auto" w:fill="auto"/>
            <w:vAlign w:val="center"/>
            <w:hideMark/>
          </w:tcPr>
          <w:p w14:paraId="728CBB32"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1BF65086"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537BD2C2"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50515184"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5AB10427"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13A3AF04" w14:textId="77777777" w:rsidTr="00A60395">
        <w:trPr>
          <w:cantSplit/>
          <w:trHeight w:val="245"/>
        </w:trPr>
        <w:tc>
          <w:tcPr>
            <w:tcW w:w="3605" w:type="dxa"/>
            <w:shd w:val="clear" w:color="auto" w:fill="auto"/>
            <w:vAlign w:val="center"/>
            <w:hideMark/>
          </w:tcPr>
          <w:p w14:paraId="182B4CCA" w14:textId="77777777" w:rsidR="00FC752D" w:rsidRPr="00BC4AFE" w:rsidRDefault="00FC752D" w:rsidP="006211D7">
            <w:pPr>
              <w:widowControl w:val="0"/>
              <w:ind w:left="144" w:hanging="144"/>
              <w:rPr>
                <w:sz w:val="18"/>
                <w:szCs w:val="18"/>
              </w:rPr>
            </w:pPr>
            <w:r w:rsidRPr="00BC4AFE">
              <w:rPr>
                <w:sz w:val="18"/>
                <w:szCs w:val="18"/>
              </w:rPr>
              <w:t>European Union</w:t>
            </w:r>
          </w:p>
        </w:tc>
        <w:tc>
          <w:tcPr>
            <w:tcW w:w="1182" w:type="dxa"/>
            <w:shd w:val="clear" w:color="auto" w:fill="auto"/>
            <w:vAlign w:val="center"/>
            <w:hideMark/>
          </w:tcPr>
          <w:p w14:paraId="502DA0C6" w14:textId="77777777" w:rsidR="00FC752D" w:rsidRPr="00BC4AFE" w:rsidRDefault="00FC752D" w:rsidP="006211D7">
            <w:pPr>
              <w:widowControl w:val="0"/>
              <w:ind w:right="144"/>
              <w:jc w:val="right"/>
              <w:rPr>
                <w:sz w:val="18"/>
                <w:szCs w:val="18"/>
              </w:rPr>
            </w:pPr>
          </w:p>
        </w:tc>
        <w:tc>
          <w:tcPr>
            <w:tcW w:w="1182" w:type="dxa"/>
            <w:shd w:val="clear" w:color="auto" w:fill="auto"/>
            <w:noWrap/>
            <w:vAlign w:val="center"/>
            <w:hideMark/>
          </w:tcPr>
          <w:p w14:paraId="017D9909" w14:textId="77777777" w:rsidR="00FC752D" w:rsidRPr="00BC4AFE" w:rsidRDefault="00FC752D" w:rsidP="006211D7">
            <w:pPr>
              <w:widowControl w:val="0"/>
              <w:ind w:right="144"/>
              <w:jc w:val="right"/>
              <w:rPr>
                <w:sz w:val="18"/>
                <w:szCs w:val="18"/>
              </w:rPr>
            </w:pPr>
            <w:r w:rsidRPr="00BC4AFE">
              <w:rPr>
                <w:sz w:val="18"/>
                <w:szCs w:val="18"/>
              </w:rPr>
              <w:t>2.500</w:t>
            </w:r>
          </w:p>
        </w:tc>
        <w:tc>
          <w:tcPr>
            <w:tcW w:w="1182" w:type="dxa"/>
            <w:shd w:val="clear" w:color="auto" w:fill="auto"/>
            <w:noWrap/>
            <w:vAlign w:val="center"/>
            <w:hideMark/>
          </w:tcPr>
          <w:p w14:paraId="4A649E39" w14:textId="77777777" w:rsidR="00FC752D" w:rsidRPr="00BC4AFE" w:rsidRDefault="00FC752D" w:rsidP="006211D7">
            <w:pPr>
              <w:widowControl w:val="0"/>
              <w:ind w:right="144"/>
              <w:jc w:val="right"/>
              <w:rPr>
                <w:sz w:val="18"/>
                <w:szCs w:val="18"/>
              </w:rPr>
            </w:pPr>
            <w:r w:rsidRPr="00BC4AFE">
              <w:rPr>
                <w:sz w:val="18"/>
                <w:szCs w:val="18"/>
              </w:rPr>
              <w:t>325,673</w:t>
            </w:r>
          </w:p>
        </w:tc>
        <w:tc>
          <w:tcPr>
            <w:tcW w:w="1182" w:type="dxa"/>
            <w:shd w:val="clear" w:color="auto" w:fill="auto"/>
            <w:noWrap/>
            <w:vAlign w:val="center"/>
            <w:hideMark/>
          </w:tcPr>
          <w:p w14:paraId="1116D424" w14:textId="77777777" w:rsidR="00FC752D" w:rsidRPr="00BC4AFE" w:rsidRDefault="00FC752D" w:rsidP="006211D7">
            <w:pPr>
              <w:widowControl w:val="0"/>
              <w:ind w:right="144"/>
              <w:jc w:val="right"/>
              <w:rPr>
                <w:sz w:val="18"/>
                <w:szCs w:val="18"/>
              </w:rPr>
            </w:pPr>
            <w:r w:rsidRPr="00BC4AFE">
              <w:rPr>
                <w:sz w:val="18"/>
                <w:szCs w:val="18"/>
              </w:rPr>
              <w:t>357,210</w:t>
            </w:r>
          </w:p>
        </w:tc>
        <w:tc>
          <w:tcPr>
            <w:tcW w:w="1171" w:type="dxa"/>
            <w:shd w:val="clear" w:color="auto" w:fill="auto"/>
            <w:noWrap/>
            <w:vAlign w:val="center"/>
            <w:hideMark/>
          </w:tcPr>
          <w:p w14:paraId="33D52971" w14:textId="77777777" w:rsidR="00FC752D" w:rsidRPr="00BC4AFE" w:rsidRDefault="00FC752D" w:rsidP="006211D7">
            <w:pPr>
              <w:widowControl w:val="0"/>
              <w:ind w:right="144"/>
              <w:jc w:val="right"/>
              <w:rPr>
                <w:sz w:val="18"/>
                <w:szCs w:val="18"/>
              </w:rPr>
            </w:pPr>
            <w:r w:rsidRPr="00BC4AFE">
              <w:rPr>
                <w:sz w:val="18"/>
                <w:szCs w:val="18"/>
              </w:rPr>
              <w:t>682,884</w:t>
            </w:r>
          </w:p>
        </w:tc>
      </w:tr>
      <w:tr w:rsidR="00FC752D" w:rsidRPr="00BC4AFE" w14:paraId="54F4CED3" w14:textId="77777777" w:rsidTr="00A60395">
        <w:trPr>
          <w:cantSplit/>
          <w:trHeight w:val="245"/>
        </w:trPr>
        <w:tc>
          <w:tcPr>
            <w:tcW w:w="3605" w:type="dxa"/>
            <w:shd w:val="clear" w:color="auto" w:fill="auto"/>
            <w:vAlign w:val="center"/>
            <w:hideMark/>
          </w:tcPr>
          <w:p w14:paraId="097DF390" w14:textId="77777777" w:rsidR="00FC752D" w:rsidRPr="00BC4AFE" w:rsidRDefault="00FC752D" w:rsidP="006211D7">
            <w:pPr>
              <w:widowControl w:val="0"/>
              <w:ind w:left="144" w:hanging="144"/>
              <w:rPr>
                <w:sz w:val="18"/>
                <w:szCs w:val="18"/>
              </w:rPr>
            </w:pPr>
            <w:r w:rsidRPr="00BC4AFE">
              <w:rPr>
                <w:sz w:val="18"/>
                <w:szCs w:val="18"/>
              </w:rPr>
              <w:t>Fiji</w:t>
            </w:r>
          </w:p>
        </w:tc>
        <w:tc>
          <w:tcPr>
            <w:tcW w:w="1182" w:type="dxa"/>
            <w:shd w:val="clear" w:color="auto" w:fill="auto"/>
            <w:vAlign w:val="center"/>
            <w:hideMark/>
          </w:tcPr>
          <w:p w14:paraId="3FF59D40"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4C9E7418"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75D8A05F" w14:textId="77777777" w:rsidR="00FC752D" w:rsidRPr="00BC4AFE" w:rsidRDefault="00FC752D" w:rsidP="006211D7">
            <w:pPr>
              <w:widowControl w:val="0"/>
              <w:ind w:right="144"/>
              <w:jc w:val="right"/>
              <w:rPr>
                <w:sz w:val="18"/>
                <w:szCs w:val="18"/>
              </w:rPr>
            </w:pPr>
            <w:r w:rsidRPr="00BC4AFE">
              <w:rPr>
                <w:sz w:val="18"/>
                <w:szCs w:val="18"/>
              </w:rPr>
              <w:t>651</w:t>
            </w:r>
          </w:p>
        </w:tc>
        <w:tc>
          <w:tcPr>
            <w:tcW w:w="1182" w:type="dxa"/>
            <w:shd w:val="clear" w:color="auto" w:fill="auto"/>
            <w:noWrap/>
            <w:vAlign w:val="center"/>
            <w:hideMark/>
          </w:tcPr>
          <w:p w14:paraId="128D4CAF" w14:textId="77777777" w:rsidR="00FC752D" w:rsidRPr="00BC4AFE" w:rsidRDefault="00FC752D" w:rsidP="006211D7">
            <w:pPr>
              <w:widowControl w:val="0"/>
              <w:ind w:right="144"/>
              <w:jc w:val="right"/>
              <w:rPr>
                <w:sz w:val="18"/>
                <w:szCs w:val="18"/>
              </w:rPr>
            </w:pPr>
            <w:r w:rsidRPr="00BC4AFE">
              <w:rPr>
                <w:sz w:val="18"/>
                <w:szCs w:val="18"/>
              </w:rPr>
              <w:t>714</w:t>
            </w:r>
          </w:p>
        </w:tc>
        <w:tc>
          <w:tcPr>
            <w:tcW w:w="1171" w:type="dxa"/>
            <w:shd w:val="clear" w:color="auto" w:fill="auto"/>
            <w:noWrap/>
            <w:vAlign w:val="center"/>
            <w:hideMark/>
          </w:tcPr>
          <w:p w14:paraId="51C385E7" w14:textId="77777777" w:rsidR="00FC752D" w:rsidRPr="00BC4AFE" w:rsidRDefault="00FC752D" w:rsidP="006211D7">
            <w:pPr>
              <w:widowControl w:val="0"/>
              <w:ind w:right="144"/>
              <w:jc w:val="right"/>
              <w:rPr>
                <w:sz w:val="18"/>
                <w:szCs w:val="18"/>
              </w:rPr>
            </w:pPr>
            <w:r w:rsidRPr="00BC4AFE">
              <w:rPr>
                <w:sz w:val="18"/>
                <w:szCs w:val="18"/>
              </w:rPr>
              <w:t>1,366</w:t>
            </w:r>
          </w:p>
        </w:tc>
      </w:tr>
      <w:tr w:rsidR="00FC752D" w:rsidRPr="00BC4AFE" w14:paraId="0EEE3A18" w14:textId="77777777" w:rsidTr="00A60395">
        <w:trPr>
          <w:cantSplit/>
          <w:trHeight w:val="245"/>
        </w:trPr>
        <w:tc>
          <w:tcPr>
            <w:tcW w:w="3605" w:type="dxa"/>
            <w:shd w:val="clear" w:color="auto" w:fill="auto"/>
            <w:vAlign w:val="center"/>
            <w:hideMark/>
          </w:tcPr>
          <w:p w14:paraId="4EAF61AC" w14:textId="77777777" w:rsidR="00FC752D" w:rsidRPr="00BC4AFE" w:rsidRDefault="00FC752D" w:rsidP="006211D7">
            <w:pPr>
              <w:widowControl w:val="0"/>
              <w:ind w:left="144" w:hanging="144"/>
              <w:rPr>
                <w:sz w:val="18"/>
                <w:szCs w:val="18"/>
              </w:rPr>
            </w:pPr>
            <w:r w:rsidRPr="00BC4AFE">
              <w:rPr>
                <w:sz w:val="18"/>
                <w:szCs w:val="18"/>
              </w:rPr>
              <w:t>Finland</w:t>
            </w:r>
          </w:p>
        </w:tc>
        <w:tc>
          <w:tcPr>
            <w:tcW w:w="1182" w:type="dxa"/>
            <w:shd w:val="clear" w:color="auto" w:fill="auto"/>
            <w:vAlign w:val="center"/>
            <w:hideMark/>
          </w:tcPr>
          <w:p w14:paraId="3942E857" w14:textId="77777777" w:rsidR="00FC752D" w:rsidRPr="00BC4AFE" w:rsidRDefault="00FC752D" w:rsidP="006211D7">
            <w:pPr>
              <w:widowControl w:val="0"/>
              <w:ind w:right="144"/>
              <w:jc w:val="right"/>
              <w:rPr>
                <w:sz w:val="18"/>
                <w:szCs w:val="18"/>
              </w:rPr>
            </w:pPr>
            <w:r w:rsidRPr="00BC4AFE">
              <w:rPr>
                <w:sz w:val="18"/>
                <w:szCs w:val="18"/>
              </w:rPr>
              <w:t>0.417</w:t>
            </w:r>
          </w:p>
        </w:tc>
        <w:tc>
          <w:tcPr>
            <w:tcW w:w="1182" w:type="dxa"/>
            <w:shd w:val="clear" w:color="auto" w:fill="auto"/>
            <w:noWrap/>
            <w:vAlign w:val="center"/>
            <w:hideMark/>
          </w:tcPr>
          <w:p w14:paraId="56D817D0" w14:textId="77777777" w:rsidR="00FC752D" w:rsidRPr="00BC4AFE" w:rsidRDefault="00FC752D" w:rsidP="006211D7">
            <w:pPr>
              <w:widowControl w:val="0"/>
              <w:ind w:right="144"/>
              <w:jc w:val="right"/>
              <w:rPr>
                <w:sz w:val="18"/>
                <w:szCs w:val="18"/>
              </w:rPr>
            </w:pPr>
            <w:r w:rsidRPr="00BC4AFE">
              <w:rPr>
                <w:sz w:val="18"/>
                <w:szCs w:val="18"/>
              </w:rPr>
              <w:t>0.521</w:t>
            </w:r>
          </w:p>
        </w:tc>
        <w:tc>
          <w:tcPr>
            <w:tcW w:w="1182" w:type="dxa"/>
            <w:shd w:val="clear" w:color="auto" w:fill="auto"/>
            <w:noWrap/>
            <w:vAlign w:val="center"/>
            <w:hideMark/>
          </w:tcPr>
          <w:p w14:paraId="3B1667F8" w14:textId="77777777" w:rsidR="00FC752D" w:rsidRPr="00BC4AFE" w:rsidRDefault="00FC752D" w:rsidP="006211D7">
            <w:pPr>
              <w:widowControl w:val="0"/>
              <w:ind w:right="144"/>
              <w:jc w:val="right"/>
              <w:rPr>
                <w:sz w:val="18"/>
                <w:szCs w:val="18"/>
              </w:rPr>
            </w:pPr>
            <w:r w:rsidRPr="00BC4AFE">
              <w:rPr>
                <w:sz w:val="18"/>
                <w:szCs w:val="18"/>
              </w:rPr>
              <w:t>67,907</w:t>
            </w:r>
          </w:p>
        </w:tc>
        <w:tc>
          <w:tcPr>
            <w:tcW w:w="1182" w:type="dxa"/>
            <w:shd w:val="clear" w:color="auto" w:fill="auto"/>
            <w:noWrap/>
            <w:vAlign w:val="center"/>
            <w:hideMark/>
          </w:tcPr>
          <w:p w14:paraId="659F7407" w14:textId="77777777" w:rsidR="00FC752D" w:rsidRPr="00BC4AFE" w:rsidRDefault="00FC752D" w:rsidP="006211D7">
            <w:pPr>
              <w:widowControl w:val="0"/>
              <w:ind w:right="144"/>
              <w:jc w:val="right"/>
              <w:rPr>
                <w:sz w:val="18"/>
                <w:szCs w:val="18"/>
              </w:rPr>
            </w:pPr>
            <w:r w:rsidRPr="00BC4AFE">
              <w:rPr>
                <w:sz w:val="18"/>
                <w:szCs w:val="18"/>
              </w:rPr>
              <w:t>74,483</w:t>
            </w:r>
          </w:p>
        </w:tc>
        <w:tc>
          <w:tcPr>
            <w:tcW w:w="1171" w:type="dxa"/>
            <w:shd w:val="clear" w:color="auto" w:fill="auto"/>
            <w:noWrap/>
            <w:vAlign w:val="center"/>
            <w:hideMark/>
          </w:tcPr>
          <w:p w14:paraId="31330FB4" w14:textId="77777777" w:rsidR="00FC752D" w:rsidRPr="00BC4AFE" w:rsidRDefault="00FC752D" w:rsidP="006211D7">
            <w:pPr>
              <w:widowControl w:val="0"/>
              <w:ind w:right="144"/>
              <w:jc w:val="right"/>
              <w:rPr>
                <w:sz w:val="18"/>
                <w:szCs w:val="18"/>
              </w:rPr>
            </w:pPr>
            <w:r w:rsidRPr="00BC4AFE">
              <w:rPr>
                <w:sz w:val="18"/>
                <w:szCs w:val="18"/>
              </w:rPr>
              <w:t>142,390</w:t>
            </w:r>
          </w:p>
        </w:tc>
      </w:tr>
      <w:tr w:rsidR="00FC752D" w:rsidRPr="00BC4AFE" w14:paraId="2BBCB7B4" w14:textId="77777777" w:rsidTr="00A60395">
        <w:trPr>
          <w:cantSplit/>
          <w:trHeight w:val="245"/>
        </w:trPr>
        <w:tc>
          <w:tcPr>
            <w:tcW w:w="3605" w:type="dxa"/>
            <w:shd w:val="clear" w:color="auto" w:fill="auto"/>
            <w:vAlign w:val="center"/>
            <w:hideMark/>
          </w:tcPr>
          <w:p w14:paraId="64376C0E" w14:textId="77777777" w:rsidR="00FC752D" w:rsidRPr="00BC4AFE" w:rsidRDefault="00FC752D" w:rsidP="006211D7">
            <w:pPr>
              <w:widowControl w:val="0"/>
              <w:ind w:left="144" w:hanging="144"/>
              <w:rPr>
                <w:sz w:val="18"/>
                <w:szCs w:val="18"/>
              </w:rPr>
            </w:pPr>
            <w:r w:rsidRPr="00BC4AFE">
              <w:rPr>
                <w:sz w:val="18"/>
                <w:szCs w:val="18"/>
              </w:rPr>
              <w:t>France</w:t>
            </w:r>
          </w:p>
        </w:tc>
        <w:tc>
          <w:tcPr>
            <w:tcW w:w="1182" w:type="dxa"/>
            <w:shd w:val="clear" w:color="auto" w:fill="auto"/>
            <w:vAlign w:val="center"/>
            <w:hideMark/>
          </w:tcPr>
          <w:p w14:paraId="3D393DE9" w14:textId="77777777" w:rsidR="00FC752D" w:rsidRPr="00BC4AFE" w:rsidRDefault="00FC752D" w:rsidP="006211D7">
            <w:pPr>
              <w:widowControl w:val="0"/>
              <w:ind w:right="144"/>
              <w:jc w:val="right"/>
              <w:rPr>
                <w:sz w:val="18"/>
                <w:szCs w:val="18"/>
              </w:rPr>
            </w:pPr>
            <w:r w:rsidRPr="00BC4AFE">
              <w:rPr>
                <w:sz w:val="18"/>
                <w:szCs w:val="18"/>
              </w:rPr>
              <w:t>4.318</w:t>
            </w:r>
          </w:p>
        </w:tc>
        <w:tc>
          <w:tcPr>
            <w:tcW w:w="1182" w:type="dxa"/>
            <w:shd w:val="clear" w:color="auto" w:fill="auto"/>
            <w:noWrap/>
            <w:vAlign w:val="center"/>
            <w:hideMark/>
          </w:tcPr>
          <w:p w14:paraId="5808F1E7" w14:textId="77777777" w:rsidR="00FC752D" w:rsidRPr="00BC4AFE" w:rsidRDefault="00FC752D" w:rsidP="006211D7">
            <w:pPr>
              <w:widowControl w:val="0"/>
              <w:ind w:right="144"/>
              <w:jc w:val="right"/>
              <w:rPr>
                <w:sz w:val="18"/>
                <w:szCs w:val="18"/>
              </w:rPr>
            </w:pPr>
            <w:r w:rsidRPr="00BC4AFE">
              <w:rPr>
                <w:sz w:val="18"/>
                <w:szCs w:val="18"/>
              </w:rPr>
              <w:t>5.398</w:t>
            </w:r>
          </w:p>
        </w:tc>
        <w:tc>
          <w:tcPr>
            <w:tcW w:w="1182" w:type="dxa"/>
            <w:shd w:val="clear" w:color="auto" w:fill="auto"/>
            <w:noWrap/>
            <w:vAlign w:val="center"/>
            <w:hideMark/>
          </w:tcPr>
          <w:p w14:paraId="6A351816" w14:textId="77777777" w:rsidR="00FC752D" w:rsidRPr="00BC4AFE" w:rsidRDefault="00FC752D" w:rsidP="006211D7">
            <w:pPr>
              <w:widowControl w:val="0"/>
              <w:ind w:right="144"/>
              <w:jc w:val="right"/>
              <w:rPr>
                <w:sz w:val="18"/>
                <w:szCs w:val="18"/>
              </w:rPr>
            </w:pPr>
            <w:r w:rsidRPr="00BC4AFE">
              <w:rPr>
                <w:sz w:val="18"/>
                <w:szCs w:val="18"/>
              </w:rPr>
              <w:t>703,174</w:t>
            </w:r>
          </w:p>
        </w:tc>
        <w:tc>
          <w:tcPr>
            <w:tcW w:w="1182" w:type="dxa"/>
            <w:shd w:val="clear" w:color="auto" w:fill="auto"/>
            <w:noWrap/>
            <w:vAlign w:val="center"/>
            <w:hideMark/>
          </w:tcPr>
          <w:p w14:paraId="11E9F6C9" w14:textId="77777777" w:rsidR="00FC752D" w:rsidRPr="00BC4AFE" w:rsidRDefault="00FC752D" w:rsidP="006211D7">
            <w:pPr>
              <w:widowControl w:val="0"/>
              <w:ind w:right="144"/>
              <w:jc w:val="right"/>
              <w:rPr>
                <w:sz w:val="18"/>
                <w:szCs w:val="18"/>
              </w:rPr>
            </w:pPr>
            <w:r w:rsidRPr="00BC4AFE">
              <w:rPr>
                <w:sz w:val="18"/>
                <w:szCs w:val="18"/>
              </w:rPr>
              <w:t>771,266</w:t>
            </w:r>
          </w:p>
        </w:tc>
        <w:tc>
          <w:tcPr>
            <w:tcW w:w="1171" w:type="dxa"/>
            <w:shd w:val="clear" w:color="auto" w:fill="auto"/>
            <w:noWrap/>
            <w:vAlign w:val="center"/>
            <w:hideMark/>
          </w:tcPr>
          <w:p w14:paraId="57AD3AFC" w14:textId="77777777" w:rsidR="00FC752D" w:rsidRPr="00BC4AFE" w:rsidRDefault="00FC752D" w:rsidP="006211D7">
            <w:pPr>
              <w:widowControl w:val="0"/>
              <w:ind w:right="144"/>
              <w:jc w:val="right"/>
              <w:rPr>
                <w:sz w:val="18"/>
                <w:szCs w:val="18"/>
              </w:rPr>
            </w:pPr>
            <w:r w:rsidRPr="00BC4AFE">
              <w:rPr>
                <w:sz w:val="18"/>
                <w:szCs w:val="18"/>
              </w:rPr>
              <w:t>1,474,440</w:t>
            </w:r>
          </w:p>
        </w:tc>
      </w:tr>
      <w:tr w:rsidR="00FC752D" w:rsidRPr="00BC4AFE" w14:paraId="375A463E" w14:textId="77777777" w:rsidTr="00A60395">
        <w:trPr>
          <w:cantSplit/>
          <w:trHeight w:val="245"/>
        </w:trPr>
        <w:tc>
          <w:tcPr>
            <w:tcW w:w="3605" w:type="dxa"/>
            <w:shd w:val="clear" w:color="auto" w:fill="auto"/>
            <w:vAlign w:val="center"/>
            <w:hideMark/>
          </w:tcPr>
          <w:p w14:paraId="01E04C49" w14:textId="77777777" w:rsidR="00FC752D" w:rsidRPr="00BC4AFE" w:rsidRDefault="00FC752D" w:rsidP="006211D7">
            <w:pPr>
              <w:widowControl w:val="0"/>
              <w:ind w:left="144" w:hanging="144"/>
              <w:rPr>
                <w:sz w:val="18"/>
                <w:szCs w:val="18"/>
              </w:rPr>
            </w:pPr>
            <w:r w:rsidRPr="00BC4AFE">
              <w:rPr>
                <w:sz w:val="18"/>
                <w:szCs w:val="18"/>
              </w:rPr>
              <w:t>Gabon</w:t>
            </w:r>
          </w:p>
        </w:tc>
        <w:tc>
          <w:tcPr>
            <w:tcW w:w="1182" w:type="dxa"/>
            <w:shd w:val="clear" w:color="auto" w:fill="auto"/>
            <w:vAlign w:val="center"/>
            <w:hideMark/>
          </w:tcPr>
          <w:p w14:paraId="14DB4279" w14:textId="77777777" w:rsidR="00FC752D" w:rsidRPr="00BC4AFE" w:rsidRDefault="00FC752D" w:rsidP="006211D7">
            <w:pPr>
              <w:widowControl w:val="0"/>
              <w:ind w:right="144"/>
              <w:jc w:val="right"/>
              <w:rPr>
                <w:sz w:val="18"/>
                <w:szCs w:val="18"/>
              </w:rPr>
            </w:pPr>
            <w:r w:rsidRPr="00BC4AFE">
              <w:rPr>
                <w:sz w:val="18"/>
                <w:szCs w:val="18"/>
              </w:rPr>
              <w:t>0.013</w:t>
            </w:r>
          </w:p>
        </w:tc>
        <w:tc>
          <w:tcPr>
            <w:tcW w:w="1182" w:type="dxa"/>
            <w:shd w:val="clear" w:color="auto" w:fill="auto"/>
            <w:noWrap/>
            <w:vAlign w:val="center"/>
            <w:hideMark/>
          </w:tcPr>
          <w:p w14:paraId="3A91C70B" w14:textId="77777777" w:rsidR="00FC752D" w:rsidRPr="00BC4AFE" w:rsidRDefault="00FC752D" w:rsidP="006211D7">
            <w:pPr>
              <w:widowControl w:val="0"/>
              <w:ind w:right="144"/>
              <w:jc w:val="right"/>
              <w:rPr>
                <w:sz w:val="18"/>
                <w:szCs w:val="18"/>
              </w:rPr>
            </w:pPr>
            <w:r w:rsidRPr="00BC4AFE">
              <w:rPr>
                <w:sz w:val="18"/>
                <w:szCs w:val="18"/>
              </w:rPr>
              <w:t>0.016</w:t>
            </w:r>
          </w:p>
        </w:tc>
        <w:tc>
          <w:tcPr>
            <w:tcW w:w="1182" w:type="dxa"/>
            <w:shd w:val="clear" w:color="auto" w:fill="auto"/>
            <w:noWrap/>
            <w:vAlign w:val="center"/>
            <w:hideMark/>
          </w:tcPr>
          <w:p w14:paraId="058DCC7D" w14:textId="77777777" w:rsidR="00FC752D" w:rsidRPr="00BC4AFE" w:rsidRDefault="00FC752D" w:rsidP="006211D7">
            <w:pPr>
              <w:widowControl w:val="0"/>
              <w:ind w:right="144"/>
              <w:jc w:val="right"/>
              <w:rPr>
                <w:sz w:val="18"/>
                <w:szCs w:val="18"/>
              </w:rPr>
            </w:pPr>
            <w:r w:rsidRPr="00BC4AFE">
              <w:rPr>
                <w:sz w:val="18"/>
                <w:szCs w:val="18"/>
              </w:rPr>
              <w:t>2,117</w:t>
            </w:r>
          </w:p>
        </w:tc>
        <w:tc>
          <w:tcPr>
            <w:tcW w:w="1182" w:type="dxa"/>
            <w:shd w:val="clear" w:color="auto" w:fill="auto"/>
            <w:noWrap/>
            <w:vAlign w:val="center"/>
            <w:hideMark/>
          </w:tcPr>
          <w:p w14:paraId="2BEA8292" w14:textId="77777777" w:rsidR="00FC752D" w:rsidRPr="00BC4AFE" w:rsidRDefault="00FC752D" w:rsidP="006211D7">
            <w:pPr>
              <w:widowControl w:val="0"/>
              <w:ind w:right="144"/>
              <w:jc w:val="right"/>
              <w:rPr>
                <w:sz w:val="18"/>
                <w:szCs w:val="18"/>
              </w:rPr>
            </w:pPr>
            <w:r w:rsidRPr="00BC4AFE">
              <w:rPr>
                <w:sz w:val="18"/>
                <w:szCs w:val="18"/>
              </w:rPr>
              <w:t>2,322</w:t>
            </w:r>
          </w:p>
        </w:tc>
        <w:tc>
          <w:tcPr>
            <w:tcW w:w="1171" w:type="dxa"/>
            <w:shd w:val="clear" w:color="auto" w:fill="auto"/>
            <w:noWrap/>
            <w:vAlign w:val="center"/>
            <w:hideMark/>
          </w:tcPr>
          <w:p w14:paraId="5E9FE67E" w14:textId="77777777" w:rsidR="00FC752D" w:rsidRPr="00BC4AFE" w:rsidRDefault="00FC752D" w:rsidP="006211D7">
            <w:pPr>
              <w:widowControl w:val="0"/>
              <w:ind w:right="144"/>
              <w:jc w:val="right"/>
              <w:rPr>
                <w:sz w:val="18"/>
                <w:szCs w:val="18"/>
              </w:rPr>
            </w:pPr>
            <w:r w:rsidRPr="00BC4AFE">
              <w:rPr>
                <w:sz w:val="18"/>
                <w:szCs w:val="18"/>
              </w:rPr>
              <w:t>4,439</w:t>
            </w:r>
          </w:p>
        </w:tc>
      </w:tr>
      <w:tr w:rsidR="00FC752D" w:rsidRPr="00BC4AFE" w14:paraId="02CE44C0" w14:textId="77777777" w:rsidTr="00A60395">
        <w:trPr>
          <w:cantSplit/>
          <w:trHeight w:val="245"/>
        </w:trPr>
        <w:tc>
          <w:tcPr>
            <w:tcW w:w="3605" w:type="dxa"/>
            <w:shd w:val="clear" w:color="auto" w:fill="auto"/>
            <w:vAlign w:val="center"/>
            <w:hideMark/>
          </w:tcPr>
          <w:p w14:paraId="1D458387" w14:textId="77777777" w:rsidR="00FC752D" w:rsidRPr="00BC4AFE" w:rsidRDefault="00FC752D" w:rsidP="006211D7">
            <w:pPr>
              <w:widowControl w:val="0"/>
              <w:ind w:left="144" w:hanging="144"/>
              <w:rPr>
                <w:sz w:val="18"/>
                <w:szCs w:val="18"/>
              </w:rPr>
            </w:pPr>
            <w:r w:rsidRPr="00BC4AFE">
              <w:rPr>
                <w:sz w:val="18"/>
                <w:szCs w:val="18"/>
              </w:rPr>
              <w:t>Gambia</w:t>
            </w:r>
          </w:p>
        </w:tc>
        <w:tc>
          <w:tcPr>
            <w:tcW w:w="1182" w:type="dxa"/>
            <w:shd w:val="clear" w:color="auto" w:fill="auto"/>
            <w:vAlign w:val="center"/>
            <w:hideMark/>
          </w:tcPr>
          <w:p w14:paraId="0ED3A511"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68703A8A"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3482B745"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15BDA491"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275F01A1"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1B85E486" w14:textId="77777777" w:rsidTr="00A60395">
        <w:trPr>
          <w:cantSplit/>
          <w:trHeight w:val="245"/>
        </w:trPr>
        <w:tc>
          <w:tcPr>
            <w:tcW w:w="3605" w:type="dxa"/>
            <w:shd w:val="clear" w:color="auto" w:fill="auto"/>
            <w:vAlign w:val="center"/>
            <w:hideMark/>
          </w:tcPr>
          <w:p w14:paraId="3E302343" w14:textId="77777777" w:rsidR="00FC752D" w:rsidRPr="00BC4AFE" w:rsidRDefault="00FC752D" w:rsidP="006211D7">
            <w:pPr>
              <w:widowControl w:val="0"/>
              <w:ind w:left="144" w:hanging="144"/>
              <w:rPr>
                <w:sz w:val="18"/>
                <w:szCs w:val="18"/>
              </w:rPr>
            </w:pPr>
            <w:r w:rsidRPr="00BC4AFE">
              <w:rPr>
                <w:sz w:val="18"/>
                <w:szCs w:val="18"/>
              </w:rPr>
              <w:t>Georgia</w:t>
            </w:r>
          </w:p>
        </w:tc>
        <w:tc>
          <w:tcPr>
            <w:tcW w:w="1182" w:type="dxa"/>
            <w:shd w:val="clear" w:color="auto" w:fill="auto"/>
            <w:vAlign w:val="center"/>
            <w:hideMark/>
          </w:tcPr>
          <w:p w14:paraId="57C58CF2" w14:textId="77777777" w:rsidR="00FC752D" w:rsidRPr="00BC4AFE" w:rsidRDefault="00FC752D" w:rsidP="006211D7">
            <w:pPr>
              <w:widowControl w:val="0"/>
              <w:ind w:right="144"/>
              <w:jc w:val="right"/>
              <w:rPr>
                <w:sz w:val="18"/>
                <w:szCs w:val="18"/>
              </w:rPr>
            </w:pPr>
            <w:r w:rsidRPr="00BC4AFE">
              <w:rPr>
                <w:sz w:val="18"/>
                <w:szCs w:val="18"/>
              </w:rPr>
              <w:t>0.008</w:t>
            </w:r>
          </w:p>
        </w:tc>
        <w:tc>
          <w:tcPr>
            <w:tcW w:w="1182" w:type="dxa"/>
            <w:shd w:val="clear" w:color="auto" w:fill="auto"/>
            <w:noWrap/>
            <w:vAlign w:val="center"/>
            <w:hideMark/>
          </w:tcPr>
          <w:p w14:paraId="50BCF4F5"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7C0E3B0F"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48FCA968"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1FFBD778"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5E246F79" w14:textId="77777777" w:rsidTr="00A60395">
        <w:trPr>
          <w:cantSplit/>
          <w:trHeight w:val="245"/>
        </w:trPr>
        <w:tc>
          <w:tcPr>
            <w:tcW w:w="3605" w:type="dxa"/>
            <w:shd w:val="clear" w:color="auto" w:fill="auto"/>
            <w:vAlign w:val="center"/>
            <w:hideMark/>
          </w:tcPr>
          <w:p w14:paraId="7A9C988E" w14:textId="77777777" w:rsidR="00FC752D" w:rsidRPr="00BC4AFE" w:rsidRDefault="00FC752D" w:rsidP="006211D7">
            <w:pPr>
              <w:widowControl w:val="0"/>
              <w:ind w:left="144" w:hanging="144"/>
              <w:rPr>
                <w:sz w:val="18"/>
                <w:szCs w:val="18"/>
              </w:rPr>
            </w:pPr>
            <w:r w:rsidRPr="00BC4AFE">
              <w:rPr>
                <w:sz w:val="18"/>
                <w:szCs w:val="18"/>
              </w:rPr>
              <w:t>Germany</w:t>
            </w:r>
          </w:p>
        </w:tc>
        <w:tc>
          <w:tcPr>
            <w:tcW w:w="1182" w:type="dxa"/>
            <w:shd w:val="clear" w:color="auto" w:fill="auto"/>
            <w:vAlign w:val="center"/>
            <w:hideMark/>
          </w:tcPr>
          <w:p w14:paraId="64958269" w14:textId="77777777" w:rsidR="00FC752D" w:rsidRPr="00BC4AFE" w:rsidRDefault="00FC752D" w:rsidP="006211D7">
            <w:pPr>
              <w:widowControl w:val="0"/>
              <w:ind w:right="144"/>
              <w:jc w:val="right"/>
              <w:rPr>
                <w:sz w:val="18"/>
                <w:szCs w:val="18"/>
              </w:rPr>
            </w:pPr>
            <w:r w:rsidRPr="00BC4AFE">
              <w:rPr>
                <w:sz w:val="18"/>
                <w:szCs w:val="18"/>
              </w:rPr>
              <w:t>6.111</w:t>
            </w:r>
          </w:p>
        </w:tc>
        <w:tc>
          <w:tcPr>
            <w:tcW w:w="1182" w:type="dxa"/>
            <w:shd w:val="clear" w:color="auto" w:fill="auto"/>
            <w:noWrap/>
            <w:vAlign w:val="center"/>
            <w:hideMark/>
          </w:tcPr>
          <w:p w14:paraId="56B8D5AD" w14:textId="77777777" w:rsidR="00FC752D" w:rsidRPr="00BC4AFE" w:rsidRDefault="00FC752D" w:rsidP="006211D7">
            <w:pPr>
              <w:widowControl w:val="0"/>
              <w:ind w:right="144"/>
              <w:jc w:val="right"/>
              <w:rPr>
                <w:sz w:val="18"/>
                <w:szCs w:val="18"/>
              </w:rPr>
            </w:pPr>
            <w:r w:rsidRPr="00BC4AFE">
              <w:rPr>
                <w:sz w:val="18"/>
                <w:szCs w:val="18"/>
              </w:rPr>
              <w:t>7.639</w:t>
            </w:r>
          </w:p>
        </w:tc>
        <w:tc>
          <w:tcPr>
            <w:tcW w:w="1182" w:type="dxa"/>
            <w:shd w:val="clear" w:color="auto" w:fill="auto"/>
            <w:noWrap/>
            <w:vAlign w:val="center"/>
            <w:hideMark/>
          </w:tcPr>
          <w:p w14:paraId="0BEA3E65" w14:textId="77777777" w:rsidR="00FC752D" w:rsidRPr="00BC4AFE" w:rsidRDefault="00FC752D" w:rsidP="006211D7">
            <w:pPr>
              <w:widowControl w:val="0"/>
              <w:ind w:right="144"/>
              <w:jc w:val="right"/>
              <w:rPr>
                <w:sz w:val="18"/>
                <w:szCs w:val="18"/>
              </w:rPr>
            </w:pPr>
            <w:r w:rsidRPr="00BC4AFE">
              <w:rPr>
                <w:sz w:val="18"/>
                <w:szCs w:val="18"/>
              </w:rPr>
              <w:t>995,159</w:t>
            </w:r>
          </w:p>
        </w:tc>
        <w:tc>
          <w:tcPr>
            <w:tcW w:w="1182" w:type="dxa"/>
            <w:shd w:val="clear" w:color="auto" w:fill="auto"/>
            <w:noWrap/>
            <w:vAlign w:val="center"/>
            <w:hideMark/>
          </w:tcPr>
          <w:p w14:paraId="3468556D" w14:textId="77777777" w:rsidR="00FC752D" w:rsidRPr="00BC4AFE" w:rsidRDefault="00FC752D" w:rsidP="006211D7">
            <w:pPr>
              <w:widowControl w:val="0"/>
              <w:ind w:right="144"/>
              <w:jc w:val="right"/>
              <w:rPr>
                <w:sz w:val="18"/>
                <w:szCs w:val="18"/>
              </w:rPr>
            </w:pPr>
            <w:r w:rsidRPr="00BC4AFE">
              <w:rPr>
                <w:sz w:val="18"/>
                <w:szCs w:val="18"/>
              </w:rPr>
              <w:t>1,091,526</w:t>
            </w:r>
          </w:p>
        </w:tc>
        <w:tc>
          <w:tcPr>
            <w:tcW w:w="1171" w:type="dxa"/>
            <w:shd w:val="clear" w:color="auto" w:fill="auto"/>
            <w:noWrap/>
            <w:vAlign w:val="center"/>
            <w:hideMark/>
          </w:tcPr>
          <w:p w14:paraId="21A1FAEF" w14:textId="77777777" w:rsidR="00FC752D" w:rsidRPr="00BC4AFE" w:rsidRDefault="00FC752D" w:rsidP="006211D7">
            <w:pPr>
              <w:widowControl w:val="0"/>
              <w:ind w:right="144"/>
              <w:jc w:val="right"/>
              <w:rPr>
                <w:sz w:val="18"/>
                <w:szCs w:val="18"/>
              </w:rPr>
            </w:pPr>
            <w:r w:rsidRPr="00BC4AFE">
              <w:rPr>
                <w:sz w:val="18"/>
                <w:szCs w:val="18"/>
              </w:rPr>
              <w:t>2,086,685</w:t>
            </w:r>
          </w:p>
        </w:tc>
      </w:tr>
      <w:tr w:rsidR="00FC752D" w:rsidRPr="00BC4AFE" w14:paraId="49A5BAB3" w14:textId="77777777" w:rsidTr="00A60395">
        <w:trPr>
          <w:cantSplit/>
          <w:trHeight w:val="245"/>
        </w:trPr>
        <w:tc>
          <w:tcPr>
            <w:tcW w:w="3605" w:type="dxa"/>
            <w:shd w:val="clear" w:color="auto" w:fill="auto"/>
            <w:vAlign w:val="center"/>
            <w:hideMark/>
          </w:tcPr>
          <w:p w14:paraId="36D56E31" w14:textId="77777777" w:rsidR="00FC752D" w:rsidRPr="00BC4AFE" w:rsidRDefault="00FC752D" w:rsidP="006211D7">
            <w:pPr>
              <w:widowControl w:val="0"/>
              <w:ind w:left="144" w:hanging="144"/>
              <w:rPr>
                <w:sz w:val="18"/>
                <w:szCs w:val="18"/>
              </w:rPr>
            </w:pPr>
            <w:r w:rsidRPr="00BC4AFE">
              <w:rPr>
                <w:sz w:val="18"/>
                <w:szCs w:val="18"/>
              </w:rPr>
              <w:t>Ghana</w:t>
            </w:r>
          </w:p>
        </w:tc>
        <w:tc>
          <w:tcPr>
            <w:tcW w:w="1182" w:type="dxa"/>
            <w:shd w:val="clear" w:color="auto" w:fill="auto"/>
            <w:vAlign w:val="center"/>
            <w:hideMark/>
          </w:tcPr>
          <w:p w14:paraId="34F12398" w14:textId="77777777" w:rsidR="00FC752D" w:rsidRPr="00BC4AFE" w:rsidRDefault="00FC752D" w:rsidP="006211D7">
            <w:pPr>
              <w:widowControl w:val="0"/>
              <w:ind w:right="144"/>
              <w:jc w:val="right"/>
              <w:rPr>
                <w:sz w:val="18"/>
                <w:szCs w:val="18"/>
              </w:rPr>
            </w:pPr>
            <w:r w:rsidRPr="00BC4AFE">
              <w:rPr>
                <w:sz w:val="18"/>
                <w:szCs w:val="18"/>
              </w:rPr>
              <w:t>0.024</w:t>
            </w:r>
          </w:p>
        </w:tc>
        <w:tc>
          <w:tcPr>
            <w:tcW w:w="1182" w:type="dxa"/>
            <w:shd w:val="clear" w:color="auto" w:fill="auto"/>
            <w:noWrap/>
            <w:vAlign w:val="center"/>
            <w:hideMark/>
          </w:tcPr>
          <w:p w14:paraId="21EF573C" w14:textId="77777777" w:rsidR="00FC752D" w:rsidRPr="00BC4AFE" w:rsidRDefault="00FC752D" w:rsidP="006211D7">
            <w:pPr>
              <w:widowControl w:val="0"/>
              <w:ind w:right="144"/>
              <w:jc w:val="right"/>
              <w:rPr>
                <w:sz w:val="18"/>
                <w:szCs w:val="18"/>
              </w:rPr>
            </w:pPr>
            <w:r w:rsidRPr="00BC4AFE">
              <w:rPr>
                <w:sz w:val="18"/>
                <w:szCs w:val="18"/>
              </w:rPr>
              <w:t>0.030</w:t>
            </w:r>
          </w:p>
        </w:tc>
        <w:tc>
          <w:tcPr>
            <w:tcW w:w="1182" w:type="dxa"/>
            <w:shd w:val="clear" w:color="auto" w:fill="auto"/>
            <w:noWrap/>
            <w:vAlign w:val="center"/>
            <w:hideMark/>
          </w:tcPr>
          <w:p w14:paraId="75F26A8A" w14:textId="77777777" w:rsidR="00FC752D" w:rsidRPr="00BC4AFE" w:rsidRDefault="00FC752D" w:rsidP="006211D7">
            <w:pPr>
              <w:widowControl w:val="0"/>
              <w:ind w:right="144"/>
              <w:jc w:val="right"/>
              <w:rPr>
                <w:sz w:val="18"/>
                <w:szCs w:val="18"/>
              </w:rPr>
            </w:pPr>
            <w:r w:rsidRPr="00BC4AFE">
              <w:rPr>
                <w:sz w:val="18"/>
                <w:szCs w:val="18"/>
              </w:rPr>
              <w:t>3,908</w:t>
            </w:r>
          </w:p>
        </w:tc>
        <w:tc>
          <w:tcPr>
            <w:tcW w:w="1182" w:type="dxa"/>
            <w:shd w:val="clear" w:color="auto" w:fill="auto"/>
            <w:noWrap/>
            <w:vAlign w:val="center"/>
            <w:hideMark/>
          </w:tcPr>
          <w:p w14:paraId="6FEE36DA" w14:textId="77777777" w:rsidR="00FC752D" w:rsidRPr="00BC4AFE" w:rsidRDefault="00FC752D" w:rsidP="006211D7">
            <w:pPr>
              <w:widowControl w:val="0"/>
              <w:ind w:right="144"/>
              <w:jc w:val="right"/>
              <w:rPr>
                <w:sz w:val="18"/>
                <w:szCs w:val="18"/>
              </w:rPr>
            </w:pPr>
            <w:r w:rsidRPr="00BC4AFE">
              <w:rPr>
                <w:sz w:val="18"/>
                <w:szCs w:val="18"/>
              </w:rPr>
              <w:t>4,287</w:t>
            </w:r>
          </w:p>
        </w:tc>
        <w:tc>
          <w:tcPr>
            <w:tcW w:w="1171" w:type="dxa"/>
            <w:shd w:val="clear" w:color="auto" w:fill="auto"/>
            <w:noWrap/>
            <w:vAlign w:val="center"/>
            <w:hideMark/>
          </w:tcPr>
          <w:p w14:paraId="20BB39D1" w14:textId="77777777" w:rsidR="00FC752D" w:rsidRPr="00BC4AFE" w:rsidRDefault="00FC752D" w:rsidP="006211D7">
            <w:pPr>
              <w:widowControl w:val="0"/>
              <w:ind w:right="144"/>
              <w:jc w:val="right"/>
              <w:rPr>
                <w:sz w:val="18"/>
                <w:szCs w:val="18"/>
              </w:rPr>
            </w:pPr>
            <w:r w:rsidRPr="00BC4AFE">
              <w:rPr>
                <w:sz w:val="18"/>
                <w:szCs w:val="18"/>
              </w:rPr>
              <w:t>8,195</w:t>
            </w:r>
          </w:p>
        </w:tc>
      </w:tr>
      <w:tr w:rsidR="00FC752D" w:rsidRPr="00BC4AFE" w14:paraId="6E6DCBEA" w14:textId="77777777" w:rsidTr="00A60395">
        <w:trPr>
          <w:cantSplit/>
          <w:trHeight w:val="245"/>
        </w:trPr>
        <w:tc>
          <w:tcPr>
            <w:tcW w:w="3605" w:type="dxa"/>
            <w:shd w:val="clear" w:color="auto" w:fill="auto"/>
            <w:vAlign w:val="center"/>
            <w:hideMark/>
          </w:tcPr>
          <w:p w14:paraId="75F85292" w14:textId="77777777" w:rsidR="00FC752D" w:rsidRPr="00BC4AFE" w:rsidRDefault="00FC752D" w:rsidP="006211D7">
            <w:pPr>
              <w:widowControl w:val="0"/>
              <w:ind w:left="144" w:hanging="144"/>
              <w:rPr>
                <w:sz w:val="18"/>
                <w:szCs w:val="18"/>
              </w:rPr>
            </w:pPr>
            <w:r w:rsidRPr="00BC4AFE">
              <w:rPr>
                <w:sz w:val="18"/>
                <w:szCs w:val="18"/>
              </w:rPr>
              <w:t>Greece</w:t>
            </w:r>
          </w:p>
        </w:tc>
        <w:tc>
          <w:tcPr>
            <w:tcW w:w="1182" w:type="dxa"/>
            <w:shd w:val="clear" w:color="auto" w:fill="auto"/>
            <w:vAlign w:val="center"/>
            <w:hideMark/>
          </w:tcPr>
          <w:p w14:paraId="52849A4F" w14:textId="77777777" w:rsidR="00FC752D" w:rsidRPr="00BC4AFE" w:rsidRDefault="00FC752D" w:rsidP="006211D7">
            <w:pPr>
              <w:widowControl w:val="0"/>
              <w:ind w:right="144"/>
              <w:jc w:val="right"/>
              <w:rPr>
                <w:sz w:val="18"/>
                <w:szCs w:val="18"/>
              </w:rPr>
            </w:pPr>
            <w:r w:rsidRPr="00BC4AFE">
              <w:rPr>
                <w:sz w:val="18"/>
                <w:szCs w:val="18"/>
              </w:rPr>
              <w:t>0.325</w:t>
            </w:r>
          </w:p>
        </w:tc>
        <w:tc>
          <w:tcPr>
            <w:tcW w:w="1182" w:type="dxa"/>
            <w:shd w:val="clear" w:color="auto" w:fill="auto"/>
            <w:noWrap/>
            <w:vAlign w:val="center"/>
            <w:hideMark/>
          </w:tcPr>
          <w:p w14:paraId="4420987F" w14:textId="77777777" w:rsidR="00FC752D" w:rsidRPr="00BC4AFE" w:rsidRDefault="00FC752D" w:rsidP="006211D7">
            <w:pPr>
              <w:widowControl w:val="0"/>
              <w:ind w:right="144"/>
              <w:jc w:val="right"/>
              <w:rPr>
                <w:sz w:val="18"/>
                <w:szCs w:val="18"/>
              </w:rPr>
            </w:pPr>
            <w:r w:rsidRPr="00BC4AFE">
              <w:rPr>
                <w:sz w:val="18"/>
                <w:szCs w:val="18"/>
              </w:rPr>
              <w:t>0.406</w:t>
            </w:r>
          </w:p>
        </w:tc>
        <w:tc>
          <w:tcPr>
            <w:tcW w:w="1182" w:type="dxa"/>
            <w:shd w:val="clear" w:color="auto" w:fill="auto"/>
            <w:noWrap/>
            <w:vAlign w:val="center"/>
            <w:hideMark/>
          </w:tcPr>
          <w:p w14:paraId="31872B23" w14:textId="77777777" w:rsidR="00FC752D" w:rsidRPr="00BC4AFE" w:rsidRDefault="00FC752D" w:rsidP="006211D7">
            <w:pPr>
              <w:widowControl w:val="0"/>
              <w:ind w:right="144"/>
              <w:jc w:val="right"/>
              <w:rPr>
                <w:sz w:val="18"/>
                <w:szCs w:val="18"/>
              </w:rPr>
            </w:pPr>
            <w:r w:rsidRPr="00BC4AFE">
              <w:rPr>
                <w:sz w:val="18"/>
                <w:szCs w:val="18"/>
              </w:rPr>
              <w:t>52,925</w:t>
            </w:r>
          </w:p>
        </w:tc>
        <w:tc>
          <w:tcPr>
            <w:tcW w:w="1182" w:type="dxa"/>
            <w:shd w:val="clear" w:color="auto" w:fill="auto"/>
            <w:noWrap/>
            <w:vAlign w:val="center"/>
            <w:hideMark/>
          </w:tcPr>
          <w:p w14:paraId="298E9FE1" w14:textId="77777777" w:rsidR="00FC752D" w:rsidRPr="00BC4AFE" w:rsidRDefault="00FC752D" w:rsidP="006211D7">
            <w:pPr>
              <w:widowControl w:val="0"/>
              <w:ind w:right="144"/>
              <w:jc w:val="right"/>
              <w:rPr>
                <w:sz w:val="18"/>
                <w:szCs w:val="18"/>
              </w:rPr>
            </w:pPr>
            <w:r w:rsidRPr="00BC4AFE">
              <w:rPr>
                <w:sz w:val="18"/>
                <w:szCs w:val="18"/>
              </w:rPr>
              <w:t>58,050</w:t>
            </w:r>
          </w:p>
        </w:tc>
        <w:tc>
          <w:tcPr>
            <w:tcW w:w="1171" w:type="dxa"/>
            <w:shd w:val="clear" w:color="auto" w:fill="auto"/>
            <w:noWrap/>
            <w:vAlign w:val="center"/>
            <w:hideMark/>
          </w:tcPr>
          <w:p w14:paraId="5F983D20" w14:textId="77777777" w:rsidR="00FC752D" w:rsidRPr="00BC4AFE" w:rsidRDefault="00FC752D" w:rsidP="006211D7">
            <w:pPr>
              <w:widowControl w:val="0"/>
              <w:ind w:right="144"/>
              <w:jc w:val="right"/>
              <w:rPr>
                <w:sz w:val="18"/>
                <w:szCs w:val="18"/>
              </w:rPr>
            </w:pPr>
            <w:r w:rsidRPr="00BC4AFE">
              <w:rPr>
                <w:sz w:val="18"/>
                <w:szCs w:val="18"/>
              </w:rPr>
              <w:t>110,976</w:t>
            </w:r>
          </w:p>
        </w:tc>
      </w:tr>
      <w:tr w:rsidR="00FC752D" w:rsidRPr="00BC4AFE" w14:paraId="1E13DEC9" w14:textId="77777777" w:rsidTr="00A60395">
        <w:trPr>
          <w:cantSplit/>
          <w:trHeight w:val="245"/>
        </w:trPr>
        <w:tc>
          <w:tcPr>
            <w:tcW w:w="3605" w:type="dxa"/>
            <w:shd w:val="clear" w:color="auto" w:fill="auto"/>
            <w:vAlign w:val="center"/>
            <w:hideMark/>
          </w:tcPr>
          <w:p w14:paraId="0534C14E" w14:textId="77777777" w:rsidR="00FC752D" w:rsidRPr="00BC4AFE" w:rsidRDefault="00FC752D" w:rsidP="006211D7">
            <w:pPr>
              <w:widowControl w:val="0"/>
              <w:ind w:left="144" w:hanging="144"/>
              <w:rPr>
                <w:sz w:val="18"/>
                <w:szCs w:val="18"/>
              </w:rPr>
            </w:pPr>
            <w:r w:rsidRPr="00BC4AFE">
              <w:rPr>
                <w:sz w:val="18"/>
                <w:szCs w:val="18"/>
              </w:rPr>
              <w:t>Grenada</w:t>
            </w:r>
          </w:p>
        </w:tc>
        <w:tc>
          <w:tcPr>
            <w:tcW w:w="1182" w:type="dxa"/>
            <w:shd w:val="clear" w:color="auto" w:fill="auto"/>
            <w:vAlign w:val="center"/>
            <w:hideMark/>
          </w:tcPr>
          <w:p w14:paraId="53E87306"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7919508"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470F244E"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2AF09A5B"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6B5E5C9D"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54D6BB73" w14:textId="77777777" w:rsidTr="00A60395">
        <w:trPr>
          <w:cantSplit/>
          <w:trHeight w:val="245"/>
        </w:trPr>
        <w:tc>
          <w:tcPr>
            <w:tcW w:w="3605" w:type="dxa"/>
            <w:shd w:val="clear" w:color="auto" w:fill="auto"/>
            <w:vAlign w:val="center"/>
            <w:hideMark/>
          </w:tcPr>
          <w:p w14:paraId="7B568049" w14:textId="77777777" w:rsidR="00FC752D" w:rsidRPr="00BC4AFE" w:rsidRDefault="00FC752D" w:rsidP="006211D7">
            <w:pPr>
              <w:widowControl w:val="0"/>
              <w:ind w:left="144" w:hanging="144"/>
              <w:rPr>
                <w:sz w:val="18"/>
                <w:szCs w:val="18"/>
              </w:rPr>
            </w:pPr>
            <w:r w:rsidRPr="00BC4AFE">
              <w:rPr>
                <w:sz w:val="18"/>
                <w:szCs w:val="18"/>
              </w:rPr>
              <w:t>Guatemala</w:t>
            </w:r>
          </w:p>
        </w:tc>
        <w:tc>
          <w:tcPr>
            <w:tcW w:w="1182" w:type="dxa"/>
            <w:shd w:val="clear" w:color="auto" w:fill="auto"/>
            <w:vAlign w:val="center"/>
            <w:hideMark/>
          </w:tcPr>
          <w:p w14:paraId="4084645C" w14:textId="77777777" w:rsidR="00FC752D" w:rsidRPr="00BC4AFE" w:rsidRDefault="00FC752D" w:rsidP="006211D7">
            <w:pPr>
              <w:widowControl w:val="0"/>
              <w:ind w:right="144"/>
              <w:jc w:val="right"/>
              <w:rPr>
                <w:sz w:val="18"/>
                <w:szCs w:val="18"/>
              </w:rPr>
            </w:pPr>
            <w:r w:rsidRPr="00BC4AFE">
              <w:rPr>
                <w:sz w:val="18"/>
                <w:szCs w:val="18"/>
              </w:rPr>
              <w:t>0.041</w:t>
            </w:r>
          </w:p>
        </w:tc>
        <w:tc>
          <w:tcPr>
            <w:tcW w:w="1182" w:type="dxa"/>
            <w:shd w:val="clear" w:color="auto" w:fill="auto"/>
            <w:noWrap/>
            <w:vAlign w:val="center"/>
            <w:hideMark/>
          </w:tcPr>
          <w:p w14:paraId="320AF05E" w14:textId="77777777" w:rsidR="00FC752D" w:rsidRPr="00BC4AFE" w:rsidRDefault="00FC752D" w:rsidP="006211D7">
            <w:pPr>
              <w:widowControl w:val="0"/>
              <w:ind w:right="144"/>
              <w:jc w:val="right"/>
              <w:rPr>
                <w:sz w:val="18"/>
                <w:szCs w:val="18"/>
              </w:rPr>
            </w:pPr>
            <w:r w:rsidRPr="00BC4AFE">
              <w:rPr>
                <w:sz w:val="18"/>
                <w:szCs w:val="18"/>
              </w:rPr>
              <w:t>0.051</w:t>
            </w:r>
          </w:p>
        </w:tc>
        <w:tc>
          <w:tcPr>
            <w:tcW w:w="1182" w:type="dxa"/>
            <w:shd w:val="clear" w:color="auto" w:fill="auto"/>
            <w:noWrap/>
            <w:vAlign w:val="center"/>
            <w:hideMark/>
          </w:tcPr>
          <w:p w14:paraId="68B422E8" w14:textId="77777777" w:rsidR="00FC752D" w:rsidRPr="00BC4AFE" w:rsidRDefault="00FC752D" w:rsidP="006211D7">
            <w:pPr>
              <w:widowControl w:val="0"/>
              <w:ind w:right="144"/>
              <w:jc w:val="right"/>
              <w:rPr>
                <w:sz w:val="18"/>
                <w:szCs w:val="18"/>
              </w:rPr>
            </w:pPr>
            <w:r w:rsidRPr="00BC4AFE">
              <w:rPr>
                <w:sz w:val="18"/>
                <w:szCs w:val="18"/>
              </w:rPr>
              <w:t>6,677</w:t>
            </w:r>
          </w:p>
        </w:tc>
        <w:tc>
          <w:tcPr>
            <w:tcW w:w="1182" w:type="dxa"/>
            <w:shd w:val="clear" w:color="auto" w:fill="auto"/>
            <w:noWrap/>
            <w:vAlign w:val="center"/>
            <w:hideMark/>
          </w:tcPr>
          <w:p w14:paraId="61AC1989" w14:textId="77777777" w:rsidR="00FC752D" w:rsidRPr="00BC4AFE" w:rsidRDefault="00FC752D" w:rsidP="006211D7">
            <w:pPr>
              <w:widowControl w:val="0"/>
              <w:ind w:right="144"/>
              <w:jc w:val="right"/>
              <w:rPr>
                <w:sz w:val="18"/>
                <w:szCs w:val="18"/>
              </w:rPr>
            </w:pPr>
            <w:r w:rsidRPr="00BC4AFE">
              <w:rPr>
                <w:sz w:val="18"/>
                <w:szCs w:val="18"/>
              </w:rPr>
              <w:t>7,323</w:t>
            </w:r>
          </w:p>
        </w:tc>
        <w:tc>
          <w:tcPr>
            <w:tcW w:w="1171" w:type="dxa"/>
            <w:shd w:val="clear" w:color="auto" w:fill="auto"/>
            <w:noWrap/>
            <w:vAlign w:val="center"/>
            <w:hideMark/>
          </w:tcPr>
          <w:p w14:paraId="225C9542" w14:textId="77777777" w:rsidR="00FC752D" w:rsidRPr="00BC4AFE" w:rsidRDefault="00FC752D" w:rsidP="006211D7">
            <w:pPr>
              <w:widowControl w:val="0"/>
              <w:ind w:right="144"/>
              <w:jc w:val="right"/>
              <w:rPr>
                <w:sz w:val="18"/>
                <w:szCs w:val="18"/>
              </w:rPr>
            </w:pPr>
            <w:r w:rsidRPr="00BC4AFE">
              <w:rPr>
                <w:sz w:val="18"/>
                <w:szCs w:val="18"/>
              </w:rPr>
              <w:t>14,000</w:t>
            </w:r>
          </w:p>
        </w:tc>
      </w:tr>
      <w:tr w:rsidR="00FC752D" w:rsidRPr="00BC4AFE" w14:paraId="1AF1DF97" w14:textId="77777777" w:rsidTr="00A60395">
        <w:trPr>
          <w:cantSplit/>
          <w:trHeight w:val="245"/>
        </w:trPr>
        <w:tc>
          <w:tcPr>
            <w:tcW w:w="3605" w:type="dxa"/>
            <w:shd w:val="clear" w:color="auto" w:fill="auto"/>
            <w:vAlign w:val="center"/>
            <w:hideMark/>
          </w:tcPr>
          <w:p w14:paraId="4CE206A4" w14:textId="77777777" w:rsidR="00FC752D" w:rsidRPr="00BC4AFE" w:rsidRDefault="00FC752D" w:rsidP="006211D7">
            <w:pPr>
              <w:widowControl w:val="0"/>
              <w:ind w:left="144" w:hanging="144"/>
              <w:rPr>
                <w:sz w:val="18"/>
                <w:szCs w:val="18"/>
              </w:rPr>
            </w:pPr>
            <w:r w:rsidRPr="00BC4AFE">
              <w:rPr>
                <w:sz w:val="18"/>
                <w:szCs w:val="18"/>
              </w:rPr>
              <w:t>Guinea</w:t>
            </w:r>
          </w:p>
        </w:tc>
        <w:tc>
          <w:tcPr>
            <w:tcW w:w="1182" w:type="dxa"/>
            <w:shd w:val="clear" w:color="auto" w:fill="auto"/>
            <w:vAlign w:val="center"/>
            <w:hideMark/>
          </w:tcPr>
          <w:p w14:paraId="16258F95"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3A01FDFA"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79793828" w14:textId="77777777" w:rsidR="00FC752D" w:rsidRPr="00BC4AFE" w:rsidRDefault="00FC752D" w:rsidP="006211D7">
            <w:pPr>
              <w:widowControl w:val="0"/>
              <w:ind w:right="144"/>
              <w:jc w:val="right"/>
              <w:rPr>
                <w:sz w:val="18"/>
                <w:szCs w:val="18"/>
              </w:rPr>
            </w:pPr>
            <w:r w:rsidRPr="00BC4AFE">
              <w:rPr>
                <w:sz w:val="18"/>
                <w:szCs w:val="18"/>
              </w:rPr>
              <w:t>489</w:t>
            </w:r>
          </w:p>
        </w:tc>
        <w:tc>
          <w:tcPr>
            <w:tcW w:w="1182" w:type="dxa"/>
            <w:shd w:val="clear" w:color="auto" w:fill="auto"/>
            <w:noWrap/>
            <w:vAlign w:val="center"/>
            <w:hideMark/>
          </w:tcPr>
          <w:p w14:paraId="3A6C5CA7" w14:textId="77777777" w:rsidR="00FC752D" w:rsidRPr="00BC4AFE" w:rsidRDefault="00FC752D" w:rsidP="006211D7">
            <w:pPr>
              <w:widowControl w:val="0"/>
              <w:ind w:right="144"/>
              <w:jc w:val="right"/>
              <w:rPr>
                <w:sz w:val="18"/>
                <w:szCs w:val="18"/>
              </w:rPr>
            </w:pPr>
            <w:r w:rsidRPr="00BC4AFE">
              <w:rPr>
                <w:sz w:val="18"/>
                <w:szCs w:val="18"/>
              </w:rPr>
              <w:t>536</w:t>
            </w:r>
          </w:p>
        </w:tc>
        <w:tc>
          <w:tcPr>
            <w:tcW w:w="1171" w:type="dxa"/>
            <w:shd w:val="clear" w:color="auto" w:fill="auto"/>
            <w:noWrap/>
            <w:vAlign w:val="center"/>
            <w:hideMark/>
          </w:tcPr>
          <w:p w14:paraId="6A2B51E6" w14:textId="77777777" w:rsidR="00FC752D" w:rsidRPr="00BC4AFE" w:rsidRDefault="00FC752D" w:rsidP="006211D7">
            <w:pPr>
              <w:widowControl w:val="0"/>
              <w:ind w:right="144"/>
              <w:jc w:val="right"/>
              <w:rPr>
                <w:sz w:val="18"/>
                <w:szCs w:val="18"/>
              </w:rPr>
            </w:pPr>
            <w:r w:rsidRPr="00BC4AFE">
              <w:rPr>
                <w:sz w:val="18"/>
                <w:szCs w:val="18"/>
              </w:rPr>
              <w:t>1,024</w:t>
            </w:r>
          </w:p>
        </w:tc>
      </w:tr>
      <w:tr w:rsidR="00FC752D" w:rsidRPr="00BC4AFE" w14:paraId="6D2633A0" w14:textId="77777777" w:rsidTr="00A60395">
        <w:trPr>
          <w:cantSplit/>
          <w:trHeight w:val="245"/>
        </w:trPr>
        <w:tc>
          <w:tcPr>
            <w:tcW w:w="3605" w:type="dxa"/>
            <w:shd w:val="clear" w:color="auto" w:fill="auto"/>
            <w:vAlign w:val="center"/>
            <w:hideMark/>
          </w:tcPr>
          <w:p w14:paraId="4C1B6112" w14:textId="77777777" w:rsidR="00FC752D" w:rsidRPr="00BC4AFE" w:rsidRDefault="00FC752D" w:rsidP="006211D7">
            <w:pPr>
              <w:widowControl w:val="0"/>
              <w:ind w:left="144" w:hanging="144"/>
              <w:rPr>
                <w:sz w:val="18"/>
                <w:szCs w:val="18"/>
              </w:rPr>
            </w:pPr>
            <w:r w:rsidRPr="00BC4AFE">
              <w:rPr>
                <w:sz w:val="18"/>
                <w:szCs w:val="18"/>
              </w:rPr>
              <w:t>Guinea-Bissau</w:t>
            </w:r>
          </w:p>
        </w:tc>
        <w:tc>
          <w:tcPr>
            <w:tcW w:w="1182" w:type="dxa"/>
            <w:shd w:val="clear" w:color="auto" w:fill="auto"/>
            <w:vAlign w:val="center"/>
            <w:hideMark/>
          </w:tcPr>
          <w:p w14:paraId="5167D8BD"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7F2A567"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52C0129E"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2D972C10"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1B823489"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7CD71A9E" w14:textId="77777777" w:rsidTr="00A60395">
        <w:trPr>
          <w:cantSplit/>
          <w:trHeight w:val="245"/>
        </w:trPr>
        <w:tc>
          <w:tcPr>
            <w:tcW w:w="3605" w:type="dxa"/>
            <w:shd w:val="clear" w:color="auto" w:fill="auto"/>
            <w:vAlign w:val="center"/>
            <w:hideMark/>
          </w:tcPr>
          <w:p w14:paraId="6D976261" w14:textId="77777777" w:rsidR="00FC752D" w:rsidRPr="00BC4AFE" w:rsidRDefault="00FC752D" w:rsidP="006211D7">
            <w:pPr>
              <w:widowControl w:val="0"/>
              <w:ind w:left="144" w:hanging="144"/>
              <w:rPr>
                <w:sz w:val="18"/>
                <w:szCs w:val="18"/>
              </w:rPr>
            </w:pPr>
            <w:r w:rsidRPr="00BC4AFE">
              <w:rPr>
                <w:sz w:val="18"/>
                <w:szCs w:val="18"/>
              </w:rPr>
              <w:t>Guyana</w:t>
            </w:r>
          </w:p>
        </w:tc>
        <w:tc>
          <w:tcPr>
            <w:tcW w:w="1182" w:type="dxa"/>
            <w:shd w:val="clear" w:color="auto" w:fill="auto"/>
            <w:vAlign w:val="center"/>
            <w:hideMark/>
          </w:tcPr>
          <w:p w14:paraId="63A61ABF"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765D06CC"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69DAB226" w14:textId="77777777" w:rsidR="00FC752D" w:rsidRPr="00BC4AFE" w:rsidRDefault="00FC752D" w:rsidP="006211D7">
            <w:pPr>
              <w:widowControl w:val="0"/>
              <w:ind w:right="144"/>
              <w:jc w:val="right"/>
              <w:rPr>
                <w:sz w:val="18"/>
                <w:szCs w:val="18"/>
              </w:rPr>
            </w:pPr>
            <w:r w:rsidRPr="00BC4AFE">
              <w:rPr>
                <w:sz w:val="18"/>
                <w:szCs w:val="18"/>
              </w:rPr>
              <w:t>651</w:t>
            </w:r>
          </w:p>
        </w:tc>
        <w:tc>
          <w:tcPr>
            <w:tcW w:w="1182" w:type="dxa"/>
            <w:shd w:val="clear" w:color="auto" w:fill="auto"/>
            <w:noWrap/>
            <w:vAlign w:val="center"/>
            <w:hideMark/>
          </w:tcPr>
          <w:p w14:paraId="05F14755" w14:textId="77777777" w:rsidR="00FC752D" w:rsidRPr="00BC4AFE" w:rsidRDefault="00FC752D" w:rsidP="006211D7">
            <w:pPr>
              <w:widowControl w:val="0"/>
              <w:ind w:right="144"/>
              <w:jc w:val="right"/>
              <w:rPr>
                <w:sz w:val="18"/>
                <w:szCs w:val="18"/>
              </w:rPr>
            </w:pPr>
            <w:r w:rsidRPr="00BC4AFE">
              <w:rPr>
                <w:sz w:val="18"/>
                <w:szCs w:val="18"/>
              </w:rPr>
              <w:t>714</w:t>
            </w:r>
          </w:p>
        </w:tc>
        <w:tc>
          <w:tcPr>
            <w:tcW w:w="1171" w:type="dxa"/>
            <w:shd w:val="clear" w:color="auto" w:fill="auto"/>
            <w:noWrap/>
            <w:vAlign w:val="center"/>
            <w:hideMark/>
          </w:tcPr>
          <w:p w14:paraId="144A2E18" w14:textId="77777777" w:rsidR="00FC752D" w:rsidRPr="00BC4AFE" w:rsidRDefault="00FC752D" w:rsidP="006211D7">
            <w:pPr>
              <w:widowControl w:val="0"/>
              <w:ind w:right="144"/>
              <w:jc w:val="right"/>
              <w:rPr>
                <w:sz w:val="18"/>
                <w:szCs w:val="18"/>
              </w:rPr>
            </w:pPr>
            <w:r w:rsidRPr="00BC4AFE">
              <w:rPr>
                <w:sz w:val="18"/>
                <w:szCs w:val="18"/>
              </w:rPr>
              <w:t>1,366</w:t>
            </w:r>
          </w:p>
        </w:tc>
      </w:tr>
      <w:tr w:rsidR="00FC752D" w:rsidRPr="00BC4AFE" w14:paraId="2236FE71" w14:textId="77777777" w:rsidTr="00A60395">
        <w:trPr>
          <w:cantSplit/>
          <w:trHeight w:val="245"/>
        </w:trPr>
        <w:tc>
          <w:tcPr>
            <w:tcW w:w="3605" w:type="dxa"/>
            <w:shd w:val="clear" w:color="auto" w:fill="auto"/>
            <w:vAlign w:val="center"/>
            <w:hideMark/>
          </w:tcPr>
          <w:p w14:paraId="63251FAD" w14:textId="77777777" w:rsidR="00FC752D" w:rsidRPr="00BC4AFE" w:rsidRDefault="00FC752D" w:rsidP="006211D7">
            <w:pPr>
              <w:widowControl w:val="0"/>
              <w:ind w:left="144" w:hanging="144"/>
              <w:rPr>
                <w:sz w:val="18"/>
                <w:szCs w:val="18"/>
              </w:rPr>
            </w:pPr>
            <w:r w:rsidRPr="00BC4AFE">
              <w:rPr>
                <w:sz w:val="18"/>
                <w:szCs w:val="18"/>
              </w:rPr>
              <w:t>Haiti</w:t>
            </w:r>
          </w:p>
        </w:tc>
        <w:tc>
          <w:tcPr>
            <w:tcW w:w="1182" w:type="dxa"/>
            <w:shd w:val="clear" w:color="auto" w:fill="auto"/>
            <w:vAlign w:val="center"/>
            <w:hideMark/>
          </w:tcPr>
          <w:p w14:paraId="223D087D" w14:textId="77777777" w:rsidR="00FC752D" w:rsidRPr="00BC4AFE" w:rsidRDefault="00FC752D" w:rsidP="006211D7">
            <w:pPr>
              <w:widowControl w:val="0"/>
              <w:ind w:right="144"/>
              <w:jc w:val="right"/>
              <w:rPr>
                <w:sz w:val="18"/>
                <w:szCs w:val="18"/>
              </w:rPr>
            </w:pPr>
            <w:r w:rsidRPr="00BC4AFE">
              <w:rPr>
                <w:sz w:val="18"/>
                <w:szCs w:val="18"/>
              </w:rPr>
              <w:t>0.006</w:t>
            </w:r>
          </w:p>
        </w:tc>
        <w:tc>
          <w:tcPr>
            <w:tcW w:w="1182" w:type="dxa"/>
            <w:shd w:val="clear" w:color="auto" w:fill="auto"/>
            <w:noWrap/>
            <w:vAlign w:val="center"/>
            <w:hideMark/>
          </w:tcPr>
          <w:p w14:paraId="1A7B78AE" w14:textId="77777777" w:rsidR="00FC752D" w:rsidRPr="00BC4AFE" w:rsidRDefault="00FC752D" w:rsidP="006211D7">
            <w:pPr>
              <w:widowControl w:val="0"/>
              <w:ind w:right="144"/>
              <w:jc w:val="right"/>
              <w:rPr>
                <w:sz w:val="18"/>
                <w:szCs w:val="18"/>
              </w:rPr>
            </w:pPr>
            <w:r w:rsidRPr="00BC4AFE">
              <w:rPr>
                <w:sz w:val="18"/>
                <w:szCs w:val="18"/>
              </w:rPr>
              <w:t>0.008</w:t>
            </w:r>
          </w:p>
        </w:tc>
        <w:tc>
          <w:tcPr>
            <w:tcW w:w="1182" w:type="dxa"/>
            <w:shd w:val="clear" w:color="auto" w:fill="auto"/>
            <w:noWrap/>
            <w:vAlign w:val="center"/>
            <w:hideMark/>
          </w:tcPr>
          <w:p w14:paraId="0DD179D0" w14:textId="77777777" w:rsidR="00FC752D" w:rsidRPr="00BC4AFE" w:rsidRDefault="00FC752D" w:rsidP="006211D7">
            <w:pPr>
              <w:widowControl w:val="0"/>
              <w:ind w:right="144"/>
              <w:jc w:val="right"/>
              <w:rPr>
                <w:sz w:val="18"/>
                <w:szCs w:val="18"/>
              </w:rPr>
            </w:pPr>
            <w:r w:rsidRPr="00BC4AFE">
              <w:rPr>
                <w:sz w:val="18"/>
                <w:szCs w:val="18"/>
              </w:rPr>
              <w:t>977</w:t>
            </w:r>
          </w:p>
        </w:tc>
        <w:tc>
          <w:tcPr>
            <w:tcW w:w="1182" w:type="dxa"/>
            <w:shd w:val="clear" w:color="auto" w:fill="auto"/>
            <w:noWrap/>
            <w:vAlign w:val="center"/>
            <w:hideMark/>
          </w:tcPr>
          <w:p w14:paraId="383AE8CB" w14:textId="77777777" w:rsidR="00FC752D" w:rsidRPr="00BC4AFE" w:rsidRDefault="00FC752D" w:rsidP="006211D7">
            <w:pPr>
              <w:widowControl w:val="0"/>
              <w:ind w:right="144"/>
              <w:jc w:val="right"/>
              <w:rPr>
                <w:sz w:val="18"/>
                <w:szCs w:val="18"/>
              </w:rPr>
            </w:pPr>
            <w:r w:rsidRPr="00BC4AFE">
              <w:rPr>
                <w:sz w:val="18"/>
                <w:szCs w:val="18"/>
              </w:rPr>
              <w:t>1,072</w:t>
            </w:r>
          </w:p>
        </w:tc>
        <w:tc>
          <w:tcPr>
            <w:tcW w:w="1171" w:type="dxa"/>
            <w:shd w:val="clear" w:color="auto" w:fill="auto"/>
            <w:noWrap/>
            <w:vAlign w:val="center"/>
            <w:hideMark/>
          </w:tcPr>
          <w:p w14:paraId="4701917B" w14:textId="77777777" w:rsidR="00FC752D" w:rsidRPr="00BC4AFE" w:rsidRDefault="00FC752D" w:rsidP="006211D7">
            <w:pPr>
              <w:widowControl w:val="0"/>
              <w:ind w:right="144"/>
              <w:jc w:val="right"/>
              <w:rPr>
                <w:sz w:val="18"/>
                <w:szCs w:val="18"/>
              </w:rPr>
            </w:pPr>
            <w:r w:rsidRPr="00BC4AFE">
              <w:rPr>
                <w:sz w:val="18"/>
                <w:szCs w:val="18"/>
              </w:rPr>
              <w:t>2,049</w:t>
            </w:r>
          </w:p>
        </w:tc>
      </w:tr>
      <w:tr w:rsidR="00FC752D" w:rsidRPr="00BC4AFE" w14:paraId="3B800D3F" w14:textId="77777777" w:rsidTr="00A60395">
        <w:trPr>
          <w:cantSplit/>
          <w:trHeight w:val="245"/>
        </w:trPr>
        <w:tc>
          <w:tcPr>
            <w:tcW w:w="3605" w:type="dxa"/>
            <w:shd w:val="clear" w:color="auto" w:fill="auto"/>
            <w:vAlign w:val="center"/>
            <w:hideMark/>
          </w:tcPr>
          <w:p w14:paraId="32CBF7F6" w14:textId="77777777" w:rsidR="00FC752D" w:rsidRPr="00BC4AFE" w:rsidRDefault="00FC752D" w:rsidP="006211D7">
            <w:pPr>
              <w:widowControl w:val="0"/>
              <w:ind w:left="144" w:hanging="144"/>
              <w:rPr>
                <w:sz w:val="18"/>
                <w:szCs w:val="18"/>
              </w:rPr>
            </w:pPr>
            <w:r w:rsidRPr="00BC4AFE">
              <w:rPr>
                <w:sz w:val="18"/>
                <w:szCs w:val="18"/>
              </w:rPr>
              <w:t>Honduras</w:t>
            </w:r>
          </w:p>
        </w:tc>
        <w:tc>
          <w:tcPr>
            <w:tcW w:w="1182" w:type="dxa"/>
            <w:shd w:val="clear" w:color="auto" w:fill="auto"/>
            <w:vAlign w:val="center"/>
            <w:hideMark/>
          </w:tcPr>
          <w:p w14:paraId="55F47A13" w14:textId="77777777" w:rsidR="00FC752D" w:rsidRPr="00BC4AFE" w:rsidRDefault="00FC752D" w:rsidP="006211D7">
            <w:pPr>
              <w:widowControl w:val="0"/>
              <w:ind w:right="144"/>
              <w:jc w:val="right"/>
              <w:rPr>
                <w:sz w:val="18"/>
                <w:szCs w:val="18"/>
              </w:rPr>
            </w:pPr>
            <w:r w:rsidRPr="00BC4AFE">
              <w:rPr>
                <w:sz w:val="18"/>
                <w:szCs w:val="18"/>
              </w:rPr>
              <w:t>0.009</w:t>
            </w:r>
          </w:p>
        </w:tc>
        <w:tc>
          <w:tcPr>
            <w:tcW w:w="1182" w:type="dxa"/>
            <w:shd w:val="clear" w:color="auto" w:fill="auto"/>
            <w:noWrap/>
            <w:vAlign w:val="center"/>
            <w:hideMark/>
          </w:tcPr>
          <w:p w14:paraId="1EFBFF59" w14:textId="77777777" w:rsidR="00FC752D" w:rsidRPr="00BC4AFE" w:rsidRDefault="00FC752D" w:rsidP="006211D7">
            <w:pPr>
              <w:widowControl w:val="0"/>
              <w:ind w:right="144"/>
              <w:jc w:val="right"/>
              <w:rPr>
                <w:sz w:val="18"/>
                <w:szCs w:val="18"/>
              </w:rPr>
            </w:pPr>
            <w:r w:rsidRPr="00BC4AFE">
              <w:rPr>
                <w:sz w:val="18"/>
                <w:szCs w:val="18"/>
              </w:rPr>
              <w:t>0.011</w:t>
            </w:r>
          </w:p>
        </w:tc>
        <w:tc>
          <w:tcPr>
            <w:tcW w:w="1182" w:type="dxa"/>
            <w:shd w:val="clear" w:color="auto" w:fill="auto"/>
            <w:noWrap/>
            <w:vAlign w:val="center"/>
            <w:hideMark/>
          </w:tcPr>
          <w:p w14:paraId="447FC802" w14:textId="77777777" w:rsidR="00FC752D" w:rsidRPr="00BC4AFE" w:rsidRDefault="00FC752D" w:rsidP="006211D7">
            <w:pPr>
              <w:widowControl w:val="0"/>
              <w:ind w:right="144"/>
              <w:jc w:val="right"/>
              <w:rPr>
                <w:sz w:val="18"/>
                <w:szCs w:val="18"/>
              </w:rPr>
            </w:pPr>
            <w:r w:rsidRPr="00BC4AFE">
              <w:rPr>
                <w:sz w:val="18"/>
                <w:szCs w:val="18"/>
              </w:rPr>
              <w:t>1,466</w:t>
            </w:r>
          </w:p>
        </w:tc>
        <w:tc>
          <w:tcPr>
            <w:tcW w:w="1182" w:type="dxa"/>
            <w:shd w:val="clear" w:color="auto" w:fill="auto"/>
            <w:noWrap/>
            <w:vAlign w:val="center"/>
            <w:hideMark/>
          </w:tcPr>
          <w:p w14:paraId="7528C3EC" w14:textId="77777777" w:rsidR="00FC752D" w:rsidRPr="00BC4AFE" w:rsidRDefault="00FC752D" w:rsidP="006211D7">
            <w:pPr>
              <w:widowControl w:val="0"/>
              <w:ind w:right="144"/>
              <w:jc w:val="right"/>
              <w:rPr>
                <w:sz w:val="18"/>
                <w:szCs w:val="18"/>
              </w:rPr>
            </w:pPr>
            <w:r w:rsidRPr="00BC4AFE">
              <w:rPr>
                <w:sz w:val="18"/>
                <w:szCs w:val="18"/>
              </w:rPr>
              <w:t>1,608</w:t>
            </w:r>
          </w:p>
        </w:tc>
        <w:tc>
          <w:tcPr>
            <w:tcW w:w="1171" w:type="dxa"/>
            <w:shd w:val="clear" w:color="auto" w:fill="auto"/>
            <w:noWrap/>
            <w:vAlign w:val="center"/>
            <w:hideMark/>
          </w:tcPr>
          <w:p w14:paraId="37F134B6" w14:textId="77777777" w:rsidR="00FC752D" w:rsidRPr="00BC4AFE" w:rsidRDefault="00FC752D" w:rsidP="006211D7">
            <w:pPr>
              <w:widowControl w:val="0"/>
              <w:ind w:right="144"/>
              <w:jc w:val="right"/>
              <w:rPr>
                <w:sz w:val="18"/>
                <w:szCs w:val="18"/>
              </w:rPr>
            </w:pPr>
            <w:r w:rsidRPr="00BC4AFE">
              <w:rPr>
                <w:sz w:val="18"/>
                <w:szCs w:val="18"/>
              </w:rPr>
              <w:t>3,073</w:t>
            </w:r>
          </w:p>
        </w:tc>
      </w:tr>
      <w:tr w:rsidR="00FC752D" w:rsidRPr="00BC4AFE" w14:paraId="4FC0DE0B" w14:textId="77777777" w:rsidTr="00A60395">
        <w:trPr>
          <w:cantSplit/>
          <w:trHeight w:val="245"/>
        </w:trPr>
        <w:tc>
          <w:tcPr>
            <w:tcW w:w="3605" w:type="dxa"/>
            <w:shd w:val="clear" w:color="auto" w:fill="auto"/>
            <w:vAlign w:val="center"/>
            <w:hideMark/>
          </w:tcPr>
          <w:p w14:paraId="3A890FA4" w14:textId="77777777" w:rsidR="00FC752D" w:rsidRPr="00BC4AFE" w:rsidRDefault="00FC752D" w:rsidP="006211D7">
            <w:pPr>
              <w:widowControl w:val="0"/>
              <w:ind w:left="144" w:hanging="144"/>
              <w:rPr>
                <w:sz w:val="18"/>
                <w:szCs w:val="18"/>
              </w:rPr>
            </w:pPr>
            <w:r w:rsidRPr="00BC4AFE">
              <w:rPr>
                <w:sz w:val="18"/>
                <w:szCs w:val="18"/>
              </w:rPr>
              <w:t>Hungary</w:t>
            </w:r>
          </w:p>
        </w:tc>
        <w:tc>
          <w:tcPr>
            <w:tcW w:w="1182" w:type="dxa"/>
            <w:shd w:val="clear" w:color="auto" w:fill="auto"/>
            <w:vAlign w:val="center"/>
            <w:hideMark/>
          </w:tcPr>
          <w:p w14:paraId="3729D3AE" w14:textId="77777777" w:rsidR="00FC752D" w:rsidRPr="00BC4AFE" w:rsidRDefault="00FC752D" w:rsidP="006211D7">
            <w:pPr>
              <w:widowControl w:val="0"/>
              <w:ind w:right="144"/>
              <w:jc w:val="right"/>
              <w:rPr>
                <w:sz w:val="18"/>
                <w:szCs w:val="18"/>
              </w:rPr>
            </w:pPr>
            <w:r w:rsidRPr="00BC4AFE">
              <w:rPr>
                <w:sz w:val="18"/>
                <w:szCs w:val="18"/>
              </w:rPr>
              <w:t>0.228</w:t>
            </w:r>
          </w:p>
        </w:tc>
        <w:tc>
          <w:tcPr>
            <w:tcW w:w="1182" w:type="dxa"/>
            <w:shd w:val="clear" w:color="auto" w:fill="auto"/>
            <w:noWrap/>
            <w:vAlign w:val="center"/>
            <w:hideMark/>
          </w:tcPr>
          <w:p w14:paraId="5AAA9087" w14:textId="77777777" w:rsidR="00FC752D" w:rsidRPr="00BC4AFE" w:rsidRDefault="00FC752D" w:rsidP="006211D7">
            <w:pPr>
              <w:widowControl w:val="0"/>
              <w:ind w:right="144"/>
              <w:jc w:val="right"/>
              <w:rPr>
                <w:sz w:val="18"/>
                <w:szCs w:val="18"/>
              </w:rPr>
            </w:pPr>
            <w:r w:rsidRPr="00BC4AFE">
              <w:rPr>
                <w:sz w:val="18"/>
                <w:szCs w:val="18"/>
              </w:rPr>
              <w:t>0.285</w:t>
            </w:r>
          </w:p>
        </w:tc>
        <w:tc>
          <w:tcPr>
            <w:tcW w:w="1182" w:type="dxa"/>
            <w:shd w:val="clear" w:color="auto" w:fill="auto"/>
            <w:noWrap/>
            <w:vAlign w:val="center"/>
            <w:hideMark/>
          </w:tcPr>
          <w:p w14:paraId="5C776E79" w14:textId="77777777" w:rsidR="00FC752D" w:rsidRPr="00BC4AFE" w:rsidRDefault="00FC752D" w:rsidP="006211D7">
            <w:pPr>
              <w:widowControl w:val="0"/>
              <w:ind w:right="144"/>
              <w:jc w:val="right"/>
              <w:rPr>
                <w:sz w:val="18"/>
                <w:szCs w:val="18"/>
              </w:rPr>
            </w:pPr>
            <w:r w:rsidRPr="00BC4AFE">
              <w:rPr>
                <w:sz w:val="18"/>
                <w:szCs w:val="18"/>
              </w:rPr>
              <w:t>37,129</w:t>
            </w:r>
          </w:p>
        </w:tc>
        <w:tc>
          <w:tcPr>
            <w:tcW w:w="1182" w:type="dxa"/>
            <w:shd w:val="clear" w:color="auto" w:fill="auto"/>
            <w:noWrap/>
            <w:vAlign w:val="center"/>
            <w:hideMark/>
          </w:tcPr>
          <w:p w14:paraId="6CD5F338" w14:textId="77777777" w:rsidR="00FC752D" w:rsidRPr="00BC4AFE" w:rsidRDefault="00FC752D" w:rsidP="006211D7">
            <w:pPr>
              <w:widowControl w:val="0"/>
              <w:ind w:right="144"/>
              <w:jc w:val="right"/>
              <w:rPr>
                <w:sz w:val="18"/>
                <w:szCs w:val="18"/>
              </w:rPr>
            </w:pPr>
            <w:r w:rsidRPr="00BC4AFE">
              <w:rPr>
                <w:sz w:val="18"/>
                <w:szCs w:val="18"/>
              </w:rPr>
              <w:t>40,725</w:t>
            </w:r>
          </w:p>
        </w:tc>
        <w:tc>
          <w:tcPr>
            <w:tcW w:w="1171" w:type="dxa"/>
            <w:shd w:val="clear" w:color="auto" w:fill="auto"/>
            <w:noWrap/>
            <w:vAlign w:val="center"/>
            <w:hideMark/>
          </w:tcPr>
          <w:p w14:paraId="66E08E52" w14:textId="77777777" w:rsidR="00FC752D" w:rsidRPr="00BC4AFE" w:rsidRDefault="00FC752D" w:rsidP="006211D7">
            <w:pPr>
              <w:widowControl w:val="0"/>
              <w:ind w:right="144"/>
              <w:jc w:val="right"/>
              <w:rPr>
                <w:sz w:val="18"/>
                <w:szCs w:val="18"/>
              </w:rPr>
            </w:pPr>
            <w:r w:rsidRPr="00BC4AFE">
              <w:rPr>
                <w:sz w:val="18"/>
                <w:szCs w:val="18"/>
              </w:rPr>
              <w:t>77,854</w:t>
            </w:r>
          </w:p>
        </w:tc>
      </w:tr>
      <w:tr w:rsidR="00FC752D" w:rsidRPr="00BC4AFE" w14:paraId="774A5F3D" w14:textId="77777777" w:rsidTr="00A60395">
        <w:trPr>
          <w:cantSplit/>
          <w:trHeight w:val="245"/>
        </w:trPr>
        <w:tc>
          <w:tcPr>
            <w:tcW w:w="3605" w:type="dxa"/>
            <w:shd w:val="clear" w:color="auto" w:fill="auto"/>
            <w:vAlign w:val="center"/>
            <w:hideMark/>
          </w:tcPr>
          <w:p w14:paraId="3513284F" w14:textId="77777777" w:rsidR="00FC752D" w:rsidRPr="00BC4AFE" w:rsidRDefault="00FC752D" w:rsidP="006211D7">
            <w:pPr>
              <w:widowControl w:val="0"/>
              <w:ind w:left="144" w:hanging="144"/>
              <w:rPr>
                <w:sz w:val="18"/>
                <w:szCs w:val="18"/>
              </w:rPr>
            </w:pPr>
            <w:r w:rsidRPr="00BC4AFE">
              <w:rPr>
                <w:sz w:val="18"/>
                <w:szCs w:val="18"/>
              </w:rPr>
              <w:t>Iceland</w:t>
            </w:r>
          </w:p>
        </w:tc>
        <w:tc>
          <w:tcPr>
            <w:tcW w:w="1182" w:type="dxa"/>
            <w:shd w:val="clear" w:color="auto" w:fill="auto"/>
            <w:vAlign w:val="center"/>
            <w:hideMark/>
          </w:tcPr>
          <w:p w14:paraId="3AFE3026" w14:textId="77777777" w:rsidR="00FC752D" w:rsidRPr="00BC4AFE" w:rsidRDefault="00FC752D" w:rsidP="006211D7">
            <w:pPr>
              <w:widowControl w:val="0"/>
              <w:ind w:right="144"/>
              <w:jc w:val="right"/>
              <w:rPr>
                <w:sz w:val="18"/>
                <w:szCs w:val="18"/>
              </w:rPr>
            </w:pPr>
            <w:r w:rsidRPr="00BC4AFE">
              <w:rPr>
                <w:sz w:val="18"/>
                <w:szCs w:val="18"/>
              </w:rPr>
              <w:t>0.036</w:t>
            </w:r>
          </w:p>
        </w:tc>
        <w:tc>
          <w:tcPr>
            <w:tcW w:w="1182" w:type="dxa"/>
            <w:shd w:val="clear" w:color="auto" w:fill="auto"/>
            <w:noWrap/>
            <w:vAlign w:val="center"/>
            <w:hideMark/>
          </w:tcPr>
          <w:p w14:paraId="4489E64A" w14:textId="77777777" w:rsidR="00FC752D" w:rsidRPr="00BC4AFE" w:rsidRDefault="00FC752D" w:rsidP="006211D7">
            <w:pPr>
              <w:widowControl w:val="0"/>
              <w:ind w:right="144"/>
              <w:jc w:val="right"/>
              <w:rPr>
                <w:sz w:val="18"/>
                <w:szCs w:val="18"/>
              </w:rPr>
            </w:pPr>
            <w:r w:rsidRPr="00BC4AFE">
              <w:rPr>
                <w:sz w:val="18"/>
                <w:szCs w:val="18"/>
              </w:rPr>
              <w:t>0.045</w:t>
            </w:r>
          </w:p>
        </w:tc>
        <w:tc>
          <w:tcPr>
            <w:tcW w:w="1182" w:type="dxa"/>
            <w:shd w:val="clear" w:color="auto" w:fill="auto"/>
            <w:noWrap/>
            <w:vAlign w:val="center"/>
            <w:hideMark/>
          </w:tcPr>
          <w:p w14:paraId="79547F78" w14:textId="77777777" w:rsidR="00FC752D" w:rsidRPr="00BC4AFE" w:rsidRDefault="00FC752D" w:rsidP="006211D7">
            <w:pPr>
              <w:widowControl w:val="0"/>
              <w:ind w:right="144"/>
              <w:jc w:val="right"/>
              <w:rPr>
                <w:sz w:val="18"/>
                <w:szCs w:val="18"/>
              </w:rPr>
            </w:pPr>
            <w:r w:rsidRPr="00BC4AFE">
              <w:rPr>
                <w:sz w:val="18"/>
                <w:szCs w:val="18"/>
              </w:rPr>
              <w:t>5,862</w:t>
            </w:r>
          </w:p>
        </w:tc>
        <w:tc>
          <w:tcPr>
            <w:tcW w:w="1182" w:type="dxa"/>
            <w:shd w:val="clear" w:color="auto" w:fill="auto"/>
            <w:noWrap/>
            <w:vAlign w:val="center"/>
            <w:hideMark/>
          </w:tcPr>
          <w:p w14:paraId="39AB0F96" w14:textId="77777777" w:rsidR="00FC752D" w:rsidRPr="00BC4AFE" w:rsidRDefault="00FC752D" w:rsidP="006211D7">
            <w:pPr>
              <w:widowControl w:val="0"/>
              <w:ind w:right="144"/>
              <w:jc w:val="right"/>
              <w:rPr>
                <w:sz w:val="18"/>
                <w:szCs w:val="18"/>
              </w:rPr>
            </w:pPr>
            <w:r w:rsidRPr="00BC4AFE">
              <w:rPr>
                <w:sz w:val="18"/>
                <w:szCs w:val="18"/>
              </w:rPr>
              <w:t>6,430</w:t>
            </w:r>
          </w:p>
        </w:tc>
        <w:tc>
          <w:tcPr>
            <w:tcW w:w="1171" w:type="dxa"/>
            <w:shd w:val="clear" w:color="auto" w:fill="auto"/>
            <w:noWrap/>
            <w:vAlign w:val="center"/>
            <w:hideMark/>
          </w:tcPr>
          <w:p w14:paraId="7281C408" w14:textId="77777777" w:rsidR="00FC752D" w:rsidRPr="00BC4AFE" w:rsidRDefault="00FC752D" w:rsidP="006211D7">
            <w:pPr>
              <w:widowControl w:val="0"/>
              <w:ind w:right="144"/>
              <w:jc w:val="right"/>
              <w:rPr>
                <w:sz w:val="18"/>
                <w:szCs w:val="18"/>
              </w:rPr>
            </w:pPr>
            <w:r w:rsidRPr="00BC4AFE">
              <w:rPr>
                <w:sz w:val="18"/>
                <w:szCs w:val="18"/>
              </w:rPr>
              <w:t>12,293</w:t>
            </w:r>
          </w:p>
        </w:tc>
      </w:tr>
      <w:tr w:rsidR="00FC752D" w:rsidRPr="00BC4AFE" w14:paraId="1E9EF45D" w14:textId="77777777" w:rsidTr="00A60395">
        <w:trPr>
          <w:cantSplit/>
          <w:trHeight w:val="245"/>
        </w:trPr>
        <w:tc>
          <w:tcPr>
            <w:tcW w:w="3605" w:type="dxa"/>
            <w:shd w:val="clear" w:color="auto" w:fill="auto"/>
            <w:vAlign w:val="center"/>
            <w:hideMark/>
          </w:tcPr>
          <w:p w14:paraId="7B349C92" w14:textId="77777777" w:rsidR="00FC752D" w:rsidRPr="00BC4AFE" w:rsidRDefault="00FC752D" w:rsidP="006211D7">
            <w:pPr>
              <w:widowControl w:val="0"/>
              <w:ind w:left="144" w:hanging="144"/>
              <w:rPr>
                <w:sz w:val="18"/>
                <w:szCs w:val="18"/>
              </w:rPr>
            </w:pPr>
            <w:r w:rsidRPr="00BC4AFE">
              <w:rPr>
                <w:sz w:val="18"/>
                <w:szCs w:val="18"/>
              </w:rPr>
              <w:t>India</w:t>
            </w:r>
          </w:p>
        </w:tc>
        <w:tc>
          <w:tcPr>
            <w:tcW w:w="1182" w:type="dxa"/>
            <w:shd w:val="clear" w:color="auto" w:fill="auto"/>
            <w:vAlign w:val="center"/>
            <w:hideMark/>
          </w:tcPr>
          <w:p w14:paraId="2C677F28" w14:textId="77777777" w:rsidR="00FC752D" w:rsidRPr="00BC4AFE" w:rsidRDefault="00FC752D" w:rsidP="006211D7">
            <w:pPr>
              <w:widowControl w:val="0"/>
              <w:ind w:right="144"/>
              <w:jc w:val="right"/>
              <w:rPr>
                <w:sz w:val="18"/>
                <w:szCs w:val="18"/>
              </w:rPr>
            </w:pPr>
            <w:r w:rsidRPr="00BC4AFE">
              <w:rPr>
                <w:sz w:val="18"/>
                <w:szCs w:val="18"/>
              </w:rPr>
              <w:t>1.044</w:t>
            </w:r>
          </w:p>
        </w:tc>
        <w:tc>
          <w:tcPr>
            <w:tcW w:w="1182" w:type="dxa"/>
            <w:shd w:val="clear" w:color="auto" w:fill="auto"/>
            <w:noWrap/>
            <w:vAlign w:val="center"/>
            <w:hideMark/>
          </w:tcPr>
          <w:p w14:paraId="1985ED96" w14:textId="77777777" w:rsidR="00FC752D" w:rsidRPr="00BC4AFE" w:rsidRDefault="00FC752D" w:rsidP="006211D7">
            <w:pPr>
              <w:widowControl w:val="0"/>
              <w:ind w:right="144"/>
              <w:jc w:val="right"/>
              <w:rPr>
                <w:sz w:val="18"/>
                <w:szCs w:val="18"/>
              </w:rPr>
            </w:pPr>
            <w:r w:rsidRPr="00BC4AFE">
              <w:rPr>
                <w:sz w:val="18"/>
                <w:szCs w:val="18"/>
              </w:rPr>
              <w:t>1.305</w:t>
            </w:r>
          </w:p>
        </w:tc>
        <w:tc>
          <w:tcPr>
            <w:tcW w:w="1182" w:type="dxa"/>
            <w:shd w:val="clear" w:color="auto" w:fill="auto"/>
            <w:noWrap/>
            <w:vAlign w:val="center"/>
            <w:hideMark/>
          </w:tcPr>
          <w:p w14:paraId="41F854FB" w14:textId="77777777" w:rsidR="00FC752D" w:rsidRPr="00BC4AFE" w:rsidRDefault="00FC752D" w:rsidP="006211D7">
            <w:pPr>
              <w:widowControl w:val="0"/>
              <w:ind w:right="144"/>
              <w:jc w:val="right"/>
              <w:rPr>
                <w:sz w:val="18"/>
                <w:szCs w:val="18"/>
              </w:rPr>
            </w:pPr>
            <w:r w:rsidRPr="00BC4AFE">
              <w:rPr>
                <w:sz w:val="18"/>
                <w:szCs w:val="18"/>
              </w:rPr>
              <w:t>170,012</w:t>
            </w:r>
          </w:p>
        </w:tc>
        <w:tc>
          <w:tcPr>
            <w:tcW w:w="1182" w:type="dxa"/>
            <w:shd w:val="clear" w:color="auto" w:fill="auto"/>
            <w:noWrap/>
            <w:vAlign w:val="center"/>
            <w:hideMark/>
          </w:tcPr>
          <w:p w14:paraId="6EE0F194" w14:textId="77777777" w:rsidR="00FC752D" w:rsidRPr="00BC4AFE" w:rsidRDefault="00FC752D" w:rsidP="006211D7">
            <w:pPr>
              <w:widowControl w:val="0"/>
              <w:ind w:right="144"/>
              <w:jc w:val="right"/>
              <w:rPr>
                <w:sz w:val="18"/>
                <w:szCs w:val="18"/>
              </w:rPr>
            </w:pPr>
            <w:r w:rsidRPr="00BC4AFE">
              <w:rPr>
                <w:sz w:val="18"/>
                <w:szCs w:val="18"/>
              </w:rPr>
              <w:t>186,476</w:t>
            </w:r>
          </w:p>
        </w:tc>
        <w:tc>
          <w:tcPr>
            <w:tcW w:w="1171" w:type="dxa"/>
            <w:shd w:val="clear" w:color="auto" w:fill="auto"/>
            <w:noWrap/>
            <w:vAlign w:val="center"/>
            <w:hideMark/>
          </w:tcPr>
          <w:p w14:paraId="46A0B726" w14:textId="77777777" w:rsidR="00FC752D" w:rsidRPr="00BC4AFE" w:rsidRDefault="00FC752D" w:rsidP="006211D7">
            <w:pPr>
              <w:widowControl w:val="0"/>
              <w:ind w:right="144"/>
              <w:jc w:val="right"/>
              <w:rPr>
                <w:sz w:val="18"/>
                <w:szCs w:val="18"/>
              </w:rPr>
            </w:pPr>
            <w:r w:rsidRPr="00BC4AFE">
              <w:rPr>
                <w:sz w:val="18"/>
                <w:szCs w:val="18"/>
              </w:rPr>
              <w:t>356,488</w:t>
            </w:r>
          </w:p>
        </w:tc>
      </w:tr>
      <w:tr w:rsidR="00FC752D" w:rsidRPr="00BC4AFE" w14:paraId="2497D2B5" w14:textId="77777777" w:rsidTr="00A60395">
        <w:trPr>
          <w:cantSplit/>
          <w:trHeight w:val="245"/>
        </w:trPr>
        <w:tc>
          <w:tcPr>
            <w:tcW w:w="3605" w:type="dxa"/>
            <w:shd w:val="clear" w:color="auto" w:fill="auto"/>
            <w:vAlign w:val="center"/>
            <w:hideMark/>
          </w:tcPr>
          <w:p w14:paraId="5311592B" w14:textId="77777777" w:rsidR="00FC752D" w:rsidRPr="00BC4AFE" w:rsidRDefault="00FC752D" w:rsidP="006211D7">
            <w:pPr>
              <w:widowControl w:val="0"/>
              <w:ind w:left="144" w:hanging="144"/>
              <w:rPr>
                <w:sz w:val="18"/>
                <w:szCs w:val="18"/>
              </w:rPr>
            </w:pPr>
            <w:r w:rsidRPr="00BC4AFE">
              <w:rPr>
                <w:sz w:val="18"/>
                <w:szCs w:val="18"/>
              </w:rPr>
              <w:t>Indonesia</w:t>
            </w:r>
          </w:p>
        </w:tc>
        <w:tc>
          <w:tcPr>
            <w:tcW w:w="1182" w:type="dxa"/>
            <w:shd w:val="clear" w:color="auto" w:fill="auto"/>
            <w:vAlign w:val="center"/>
            <w:hideMark/>
          </w:tcPr>
          <w:p w14:paraId="5B96A81A" w14:textId="77777777" w:rsidR="00FC752D" w:rsidRPr="00BC4AFE" w:rsidRDefault="00FC752D" w:rsidP="006211D7">
            <w:pPr>
              <w:widowControl w:val="0"/>
              <w:ind w:right="144"/>
              <w:jc w:val="right"/>
              <w:rPr>
                <w:sz w:val="18"/>
                <w:szCs w:val="18"/>
              </w:rPr>
            </w:pPr>
            <w:r w:rsidRPr="00BC4AFE">
              <w:rPr>
                <w:sz w:val="18"/>
                <w:szCs w:val="18"/>
              </w:rPr>
              <w:t>0.549</w:t>
            </w:r>
          </w:p>
        </w:tc>
        <w:tc>
          <w:tcPr>
            <w:tcW w:w="1182" w:type="dxa"/>
            <w:shd w:val="clear" w:color="auto" w:fill="auto"/>
            <w:noWrap/>
            <w:vAlign w:val="center"/>
            <w:hideMark/>
          </w:tcPr>
          <w:p w14:paraId="3DBBD359" w14:textId="77777777" w:rsidR="00FC752D" w:rsidRPr="00BC4AFE" w:rsidRDefault="00FC752D" w:rsidP="006211D7">
            <w:pPr>
              <w:widowControl w:val="0"/>
              <w:ind w:right="144"/>
              <w:jc w:val="right"/>
              <w:rPr>
                <w:sz w:val="18"/>
                <w:szCs w:val="18"/>
              </w:rPr>
            </w:pPr>
            <w:r w:rsidRPr="00BC4AFE">
              <w:rPr>
                <w:sz w:val="18"/>
                <w:szCs w:val="18"/>
              </w:rPr>
              <w:t>0.686</w:t>
            </w:r>
          </w:p>
        </w:tc>
        <w:tc>
          <w:tcPr>
            <w:tcW w:w="1182" w:type="dxa"/>
            <w:shd w:val="clear" w:color="auto" w:fill="auto"/>
            <w:noWrap/>
            <w:vAlign w:val="center"/>
            <w:hideMark/>
          </w:tcPr>
          <w:p w14:paraId="69A7D85E" w14:textId="77777777" w:rsidR="00FC752D" w:rsidRPr="00BC4AFE" w:rsidRDefault="00FC752D" w:rsidP="006211D7">
            <w:pPr>
              <w:widowControl w:val="0"/>
              <w:ind w:right="144"/>
              <w:jc w:val="right"/>
              <w:rPr>
                <w:sz w:val="18"/>
                <w:szCs w:val="18"/>
              </w:rPr>
            </w:pPr>
            <w:r w:rsidRPr="00BC4AFE">
              <w:rPr>
                <w:sz w:val="18"/>
                <w:szCs w:val="18"/>
              </w:rPr>
              <w:t>89,403</w:t>
            </w:r>
          </w:p>
        </w:tc>
        <w:tc>
          <w:tcPr>
            <w:tcW w:w="1182" w:type="dxa"/>
            <w:shd w:val="clear" w:color="auto" w:fill="auto"/>
            <w:noWrap/>
            <w:vAlign w:val="center"/>
            <w:hideMark/>
          </w:tcPr>
          <w:p w14:paraId="67248296" w14:textId="77777777" w:rsidR="00FC752D" w:rsidRPr="00BC4AFE" w:rsidRDefault="00FC752D" w:rsidP="006211D7">
            <w:pPr>
              <w:widowControl w:val="0"/>
              <w:ind w:right="144"/>
              <w:jc w:val="right"/>
              <w:rPr>
                <w:sz w:val="18"/>
                <w:szCs w:val="18"/>
              </w:rPr>
            </w:pPr>
            <w:r w:rsidRPr="00BC4AFE">
              <w:rPr>
                <w:sz w:val="18"/>
                <w:szCs w:val="18"/>
              </w:rPr>
              <w:t>98,061</w:t>
            </w:r>
          </w:p>
        </w:tc>
        <w:tc>
          <w:tcPr>
            <w:tcW w:w="1171" w:type="dxa"/>
            <w:shd w:val="clear" w:color="auto" w:fill="auto"/>
            <w:noWrap/>
            <w:vAlign w:val="center"/>
            <w:hideMark/>
          </w:tcPr>
          <w:p w14:paraId="7EB298AB" w14:textId="77777777" w:rsidR="00FC752D" w:rsidRPr="00BC4AFE" w:rsidRDefault="00FC752D" w:rsidP="006211D7">
            <w:pPr>
              <w:widowControl w:val="0"/>
              <w:ind w:right="144"/>
              <w:jc w:val="right"/>
              <w:rPr>
                <w:sz w:val="18"/>
                <w:szCs w:val="18"/>
              </w:rPr>
            </w:pPr>
            <w:r w:rsidRPr="00BC4AFE">
              <w:rPr>
                <w:sz w:val="18"/>
                <w:szCs w:val="18"/>
              </w:rPr>
              <w:t>187,464</w:t>
            </w:r>
          </w:p>
        </w:tc>
      </w:tr>
      <w:tr w:rsidR="00FC752D" w:rsidRPr="00BC4AFE" w14:paraId="3A508EB9" w14:textId="77777777" w:rsidTr="00A60395">
        <w:trPr>
          <w:cantSplit/>
          <w:trHeight w:val="245"/>
        </w:trPr>
        <w:tc>
          <w:tcPr>
            <w:tcW w:w="3605" w:type="dxa"/>
            <w:shd w:val="clear" w:color="auto" w:fill="auto"/>
            <w:vAlign w:val="center"/>
            <w:hideMark/>
          </w:tcPr>
          <w:p w14:paraId="6F7B2385" w14:textId="77777777" w:rsidR="00FC752D" w:rsidRPr="00BC4AFE" w:rsidRDefault="00FC752D" w:rsidP="006211D7">
            <w:pPr>
              <w:widowControl w:val="0"/>
              <w:ind w:left="144" w:hanging="144"/>
              <w:rPr>
                <w:sz w:val="18"/>
                <w:szCs w:val="18"/>
              </w:rPr>
            </w:pPr>
            <w:r w:rsidRPr="00BC4AFE">
              <w:rPr>
                <w:sz w:val="18"/>
                <w:szCs w:val="18"/>
              </w:rPr>
              <w:t>Iran (Islamic Republic of)</w:t>
            </w:r>
          </w:p>
        </w:tc>
        <w:tc>
          <w:tcPr>
            <w:tcW w:w="1182" w:type="dxa"/>
            <w:shd w:val="clear" w:color="auto" w:fill="auto"/>
            <w:vAlign w:val="center"/>
            <w:hideMark/>
          </w:tcPr>
          <w:p w14:paraId="620EA73E" w14:textId="77777777" w:rsidR="00FC752D" w:rsidRPr="00BC4AFE" w:rsidRDefault="00FC752D" w:rsidP="006211D7">
            <w:pPr>
              <w:widowControl w:val="0"/>
              <w:ind w:right="144"/>
              <w:jc w:val="right"/>
              <w:rPr>
                <w:sz w:val="18"/>
                <w:szCs w:val="18"/>
              </w:rPr>
            </w:pPr>
            <w:r w:rsidRPr="00BC4AFE">
              <w:rPr>
                <w:sz w:val="18"/>
                <w:szCs w:val="18"/>
              </w:rPr>
              <w:t>0.371</w:t>
            </w:r>
          </w:p>
        </w:tc>
        <w:tc>
          <w:tcPr>
            <w:tcW w:w="1182" w:type="dxa"/>
            <w:shd w:val="clear" w:color="auto" w:fill="auto"/>
            <w:noWrap/>
            <w:vAlign w:val="center"/>
            <w:hideMark/>
          </w:tcPr>
          <w:p w14:paraId="6732CE29" w14:textId="77777777" w:rsidR="00FC752D" w:rsidRPr="00BC4AFE" w:rsidRDefault="00FC752D" w:rsidP="006211D7">
            <w:pPr>
              <w:widowControl w:val="0"/>
              <w:ind w:right="144"/>
              <w:jc w:val="right"/>
              <w:rPr>
                <w:sz w:val="18"/>
                <w:szCs w:val="18"/>
              </w:rPr>
            </w:pPr>
            <w:r w:rsidRPr="00BC4AFE">
              <w:rPr>
                <w:sz w:val="18"/>
                <w:szCs w:val="18"/>
              </w:rPr>
              <w:t>0.464</w:t>
            </w:r>
          </w:p>
        </w:tc>
        <w:tc>
          <w:tcPr>
            <w:tcW w:w="1182" w:type="dxa"/>
            <w:shd w:val="clear" w:color="auto" w:fill="auto"/>
            <w:noWrap/>
            <w:vAlign w:val="center"/>
            <w:hideMark/>
          </w:tcPr>
          <w:p w14:paraId="231BF687" w14:textId="77777777" w:rsidR="00FC752D" w:rsidRPr="00BC4AFE" w:rsidRDefault="00FC752D" w:rsidP="006211D7">
            <w:pPr>
              <w:widowControl w:val="0"/>
              <w:ind w:right="144"/>
              <w:jc w:val="right"/>
              <w:rPr>
                <w:sz w:val="18"/>
                <w:szCs w:val="18"/>
              </w:rPr>
            </w:pPr>
            <w:r w:rsidRPr="00BC4AFE">
              <w:rPr>
                <w:sz w:val="18"/>
                <w:szCs w:val="18"/>
              </w:rPr>
              <w:t>60,416</w:t>
            </w:r>
          </w:p>
        </w:tc>
        <w:tc>
          <w:tcPr>
            <w:tcW w:w="1182" w:type="dxa"/>
            <w:shd w:val="clear" w:color="auto" w:fill="auto"/>
            <w:noWrap/>
            <w:vAlign w:val="center"/>
            <w:hideMark/>
          </w:tcPr>
          <w:p w14:paraId="02CD67A6" w14:textId="77777777" w:rsidR="00FC752D" w:rsidRPr="00BC4AFE" w:rsidRDefault="00FC752D" w:rsidP="006211D7">
            <w:pPr>
              <w:widowControl w:val="0"/>
              <w:ind w:right="144"/>
              <w:jc w:val="right"/>
              <w:rPr>
                <w:sz w:val="18"/>
                <w:szCs w:val="18"/>
              </w:rPr>
            </w:pPr>
            <w:r w:rsidRPr="00BC4AFE">
              <w:rPr>
                <w:sz w:val="18"/>
                <w:szCs w:val="18"/>
              </w:rPr>
              <w:t>66,267</w:t>
            </w:r>
          </w:p>
        </w:tc>
        <w:tc>
          <w:tcPr>
            <w:tcW w:w="1171" w:type="dxa"/>
            <w:shd w:val="clear" w:color="auto" w:fill="auto"/>
            <w:noWrap/>
            <w:vAlign w:val="center"/>
            <w:hideMark/>
          </w:tcPr>
          <w:p w14:paraId="1D0DED2D" w14:textId="77777777" w:rsidR="00FC752D" w:rsidRPr="00BC4AFE" w:rsidRDefault="00FC752D" w:rsidP="006211D7">
            <w:pPr>
              <w:widowControl w:val="0"/>
              <w:ind w:right="144"/>
              <w:jc w:val="right"/>
              <w:rPr>
                <w:sz w:val="18"/>
                <w:szCs w:val="18"/>
              </w:rPr>
            </w:pPr>
            <w:r w:rsidRPr="00BC4AFE">
              <w:rPr>
                <w:sz w:val="18"/>
                <w:szCs w:val="18"/>
              </w:rPr>
              <w:t>126,683</w:t>
            </w:r>
          </w:p>
        </w:tc>
      </w:tr>
      <w:tr w:rsidR="00FC752D" w:rsidRPr="00BC4AFE" w14:paraId="0AF71D02" w14:textId="77777777" w:rsidTr="00A60395">
        <w:trPr>
          <w:cantSplit/>
          <w:trHeight w:val="245"/>
        </w:trPr>
        <w:tc>
          <w:tcPr>
            <w:tcW w:w="3605" w:type="dxa"/>
            <w:shd w:val="clear" w:color="auto" w:fill="auto"/>
            <w:vAlign w:val="center"/>
            <w:hideMark/>
          </w:tcPr>
          <w:p w14:paraId="3F80229A" w14:textId="77777777" w:rsidR="00FC752D" w:rsidRPr="00BC4AFE" w:rsidRDefault="00FC752D" w:rsidP="006211D7">
            <w:pPr>
              <w:widowControl w:val="0"/>
              <w:ind w:left="144" w:hanging="144"/>
              <w:rPr>
                <w:sz w:val="18"/>
                <w:szCs w:val="18"/>
              </w:rPr>
            </w:pPr>
            <w:r w:rsidRPr="00BC4AFE">
              <w:rPr>
                <w:sz w:val="18"/>
                <w:szCs w:val="18"/>
              </w:rPr>
              <w:t>Iraq</w:t>
            </w:r>
          </w:p>
        </w:tc>
        <w:tc>
          <w:tcPr>
            <w:tcW w:w="1182" w:type="dxa"/>
            <w:shd w:val="clear" w:color="auto" w:fill="auto"/>
            <w:vAlign w:val="center"/>
            <w:hideMark/>
          </w:tcPr>
          <w:p w14:paraId="31BC4E28" w14:textId="77777777" w:rsidR="00FC752D" w:rsidRPr="00BC4AFE" w:rsidRDefault="00FC752D" w:rsidP="006211D7">
            <w:pPr>
              <w:widowControl w:val="0"/>
              <w:ind w:right="144"/>
              <w:jc w:val="right"/>
              <w:rPr>
                <w:sz w:val="18"/>
                <w:szCs w:val="18"/>
              </w:rPr>
            </w:pPr>
            <w:r w:rsidRPr="00BC4AFE">
              <w:rPr>
                <w:sz w:val="18"/>
                <w:szCs w:val="18"/>
              </w:rPr>
              <w:t>0.128</w:t>
            </w:r>
          </w:p>
        </w:tc>
        <w:tc>
          <w:tcPr>
            <w:tcW w:w="1182" w:type="dxa"/>
            <w:shd w:val="clear" w:color="auto" w:fill="auto"/>
            <w:noWrap/>
            <w:vAlign w:val="center"/>
            <w:hideMark/>
          </w:tcPr>
          <w:p w14:paraId="200F10B3" w14:textId="77777777" w:rsidR="00FC752D" w:rsidRPr="00BC4AFE" w:rsidRDefault="00FC752D" w:rsidP="006211D7">
            <w:pPr>
              <w:widowControl w:val="0"/>
              <w:ind w:right="144"/>
              <w:jc w:val="right"/>
              <w:rPr>
                <w:sz w:val="18"/>
                <w:szCs w:val="18"/>
              </w:rPr>
            </w:pPr>
            <w:r w:rsidRPr="00BC4AFE">
              <w:rPr>
                <w:sz w:val="18"/>
                <w:szCs w:val="18"/>
              </w:rPr>
              <w:t>0.160</w:t>
            </w:r>
          </w:p>
        </w:tc>
        <w:tc>
          <w:tcPr>
            <w:tcW w:w="1182" w:type="dxa"/>
            <w:shd w:val="clear" w:color="auto" w:fill="auto"/>
            <w:noWrap/>
            <w:vAlign w:val="center"/>
            <w:hideMark/>
          </w:tcPr>
          <w:p w14:paraId="7D007765" w14:textId="77777777" w:rsidR="00FC752D" w:rsidRPr="00BC4AFE" w:rsidRDefault="00FC752D" w:rsidP="006211D7">
            <w:pPr>
              <w:widowControl w:val="0"/>
              <w:ind w:right="144"/>
              <w:jc w:val="right"/>
              <w:rPr>
                <w:sz w:val="18"/>
                <w:szCs w:val="18"/>
              </w:rPr>
            </w:pPr>
            <w:r w:rsidRPr="00BC4AFE">
              <w:rPr>
                <w:sz w:val="18"/>
                <w:szCs w:val="18"/>
              </w:rPr>
              <w:t>20,844</w:t>
            </w:r>
          </w:p>
        </w:tc>
        <w:tc>
          <w:tcPr>
            <w:tcW w:w="1182" w:type="dxa"/>
            <w:shd w:val="clear" w:color="auto" w:fill="auto"/>
            <w:noWrap/>
            <w:vAlign w:val="center"/>
            <w:hideMark/>
          </w:tcPr>
          <w:p w14:paraId="15F14BC4" w14:textId="77777777" w:rsidR="00FC752D" w:rsidRPr="00BC4AFE" w:rsidRDefault="00FC752D" w:rsidP="006211D7">
            <w:pPr>
              <w:widowControl w:val="0"/>
              <w:ind w:right="144"/>
              <w:jc w:val="right"/>
              <w:rPr>
                <w:sz w:val="18"/>
                <w:szCs w:val="18"/>
              </w:rPr>
            </w:pPr>
            <w:r w:rsidRPr="00BC4AFE">
              <w:rPr>
                <w:sz w:val="18"/>
                <w:szCs w:val="18"/>
              </w:rPr>
              <w:t>22,863</w:t>
            </w:r>
          </w:p>
        </w:tc>
        <w:tc>
          <w:tcPr>
            <w:tcW w:w="1171" w:type="dxa"/>
            <w:shd w:val="clear" w:color="auto" w:fill="auto"/>
            <w:noWrap/>
            <w:vAlign w:val="center"/>
            <w:hideMark/>
          </w:tcPr>
          <w:p w14:paraId="64F44B3C" w14:textId="77777777" w:rsidR="00FC752D" w:rsidRPr="00BC4AFE" w:rsidRDefault="00FC752D" w:rsidP="006211D7">
            <w:pPr>
              <w:widowControl w:val="0"/>
              <w:ind w:right="144"/>
              <w:jc w:val="right"/>
              <w:rPr>
                <w:sz w:val="18"/>
                <w:szCs w:val="18"/>
              </w:rPr>
            </w:pPr>
            <w:r w:rsidRPr="00BC4AFE">
              <w:rPr>
                <w:sz w:val="18"/>
                <w:szCs w:val="18"/>
              </w:rPr>
              <w:t>43,707</w:t>
            </w:r>
          </w:p>
        </w:tc>
      </w:tr>
      <w:tr w:rsidR="00FC752D" w:rsidRPr="00BC4AFE" w14:paraId="58E5C03D" w14:textId="77777777" w:rsidTr="00A60395">
        <w:trPr>
          <w:cantSplit/>
          <w:trHeight w:val="245"/>
        </w:trPr>
        <w:tc>
          <w:tcPr>
            <w:tcW w:w="3605" w:type="dxa"/>
            <w:shd w:val="clear" w:color="auto" w:fill="auto"/>
            <w:vAlign w:val="center"/>
            <w:hideMark/>
          </w:tcPr>
          <w:p w14:paraId="452091E5" w14:textId="77777777" w:rsidR="00FC752D" w:rsidRPr="00BC4AFE" w:rsidRDefault="00FC752D" w:rsidP="006211D7">
            <w:pPr>
              <w:widowControl w:val="0"/>
              <w:ind w:left="144" w:hanging="144"/>
              <w:rPr>
                <w:sz w:val="18"/>
                <w:szCs w:val="18"/>
              </w:rPr>
            </w:pPr>
            <w:r w:rsidRPr="00BC4AFE">
              <w:rPr>
                <w:sz w:val="18"/>
                <w:szCs w:val="18"/>
              </w:rPr>
              <w:t>Ireland</w:t>
            </w:r>
          </w:p>
        </w:tc>
        <w:tc>
          <w:tcPr>
            <w:tcW w:w="1182" w:type="dxa"/>
            <w:shd w:val="clear" w:color="auto" w:fill="auto"/>
            <w:vAlign w:val="center"/>
            <w:hideMark/>
          </w:tcPr>
          <w:p w14:paraId="0D89D290" w14:textId="77777777" w:rsidR="00FC752D" w:rsidRPr="00BC4AFE" w:rsidRDefault="00FC752D" w:rsidP="006211D7">
            <w:pPr>
              <w:widowControl w:val="0"/>
              <w:ind w:right="144"/>
              <w:jc w:val="right"/>
              <w:rPr>
                <w:sz w:val="18"/>
                <w:szCs w:val="18"/>
              </w:rPr>
            </w:pPr>
            <w:r w:rsidRPr="00BC4AFE">
              <w:rPr>
                <w:sz w:val="18"/>
                <w:szCs w:val="18"/>
              </w:rPr>
              <w:t>0.439</w:t>
            </w:r>
          </w:p>
        </w:tc>
        <w:tc>
          <w:tcPr>
            <w:tcW w:w="1182" w:type="dxa"/>
            <w:shd w:val="clear" w:color="auto" w:fill="auto"/>
            <w:noWrap/>
            <w:vAlign w:val="center"/>
            <w:hideMark/>
          </w:tcPr>
          <w:p w14:paraId="7B5FA604" w14:textId="77777777" w:rsidR="00FC752D" w:rsidRPr="00BC4AFE" w:rsidRDefault="00FC752D" w:rsidP="006211D7">
            <w:pPr>
              <w:widowControl w:val="0"/>
              <w:ind w:right="144"/>
              <w:jc w:val="right"/>
              <w:rPr>
                <w:sz w:val="18"/>
                <w:szCs w:val="18"/>
              </w:rPr>
            </w:pPr>
            <w:r w:rsidRPr="00BC4AFE">
              <w:rPr>
                <w:sz w:val="18"/>
                <w:szCs w:val="18"/>
              </w:rPr>
              <w:t>0.549</w:t>
            </w:r>
          </w:p>
        </w:tc>
        <w:tc>
          <w:tcPr>
            <w:tcW w:w="1182" w:type="dxa"/>
            <w:shd w:val="clear" w:color="auto" w:fill="auto"/>
            <w:noWrap/>
            <w:vAlign w:val="center"/>
            <w:hideMark/>
          </w:tcPr>
          <w:p w14:paraId="1F70E124" w14:textId="77777777" w:rsidR="00FC752D" w:rsidRPr="00BC4AFE" w:rsidRDefault="00FC752D" w:rsidP="006211D7">
            <w:pPr>
              <w:widowControl w:val="0"/>
              <w:ind w:right="144"/>
              <w:jc w:val="right"/>
              <w:rPr>
                <w:sz w:val="18"/>
                <w:szCs w:val="18"/>
              </w:rPr>
            </w:pPr>
            <w:r w:rsidRPr="00BC4AFE">
              <w:rPr>
                <w:sz w:val="18"/>
                <w:szCs w:val="18"/>
              </w:rPr>
              <w:t>71,490</w:t>
            </w:r>
          </w:p>
        </w:tc>
        <w:tc>
          <w:tcPr>
            <w:tcW w:w="1182" w:type="dxa"/>
            <w:shd w:val="clear" w:color="auto" w:fill="auto"/>
            <w:noWrap/>
            <w:vAlign w:val="center"/>
            <w:hideMark/>
          </w:tcPr>
          <w:p w14:paraId="4879D4F4" w14:textId="77777777" w:rsidR="00FC752D" w:rsidRPr="00BC4AFE" w:rsidRDefault="00FC752D" w:rsidP="006211D7">
            <w:pPr>
              <w:widowControl w:val="0"/>
              <w:ind w:right="144"/>
              <w:jc w:val="right"/>
              <w:rPr>
                <w:sz w:val="18"/>
                <w:szCs w:val="18"/>
              </w:rPr>
            </w:pPr>
            <w:r w:rsidRPr="00BC4AFE">
              <w:rPr>
                <w:sz w:val="18"/>
                <w:szCs w:val="18"/>
              </w:rPr>
              <w:t>78,413</w:t>
            </w:r>
          </w:p>
        </w:tc>
        <w:tc>
          <w:tcPr>
            <w:tcW w:w="1171" w:type="dxa"/>
            <w:shd w:val="clear" w:color="auto" w:fill="auto"/>
            <w:noWrap/>
            <w:vAlign w:val="center"/>
            <w:hideMark/>
          </w:tcPr>
          <w:p w14:paraId="04EB7B4C" w14:textId="77777777" w:rsidR="00FC752D" w:rsidRPr="00BC4AFE" w:rsidRDefault="00FC752D" w:rsidP="006211D7">
            <w:pPr>
              <w:widowControl w:val="0"/>
              <w:ind w:right="144"/>
              <w:jc w:val="right"/>
              <w:rPr>
                <w:sz w:val="18"/>
                <w:szCs w:val="18"/>
              </w:rPr>
            </w:pPr>
            <w:r w:rsidRPr="00BC4AFE">
              <w:rPr>
                <w:sz w:val="18"/>
                <w:szCs w:val="18"/>
              </w:rPr>
              <w:t>149,903</w:t>
            </w:r>
          </w:p>
        </w:tc>
      </w:tr>
      <w:tr w:rsidR="00FC752D" w:rsidRPr="00BC4AFE" w14:paraId="37C2561A" w14:textId="77777777" w:rsidTr="00A60395">
        <w:trPr>
          <w:cantSplit/>
          <w:trHeight w:val="245"/>
        </w:trPr>
        <w:tc>
          <w:tcPr>
            <w:tcW w:w="3605" w:type="dxa"/>
            <w:shd w:val="clear" w:color="auto" w:fill="auto"/>
            <w:vAlign w:val="center"/>
            <w:hideMark/>
          </w:tcPr>
          <w:p w14:paraId="010CD5C1" w14:textId="77777777" w:rsidR="00FC752D" w:rsidRPr="00BC4AFE" w:rsidRDefault="00FC752D" w:rsidP="006211D7">
            <w:pPr>
              <w:widowControl w:val="0"/>
              <w:ind w:left="144" w:hanging="144"/>
              <w:rPr>
                <w:sz w:val="18"/>
                <w:szCs w:val="18"/>
              </w:rPr>
            </w:pPr>
            <w:r w:rsidRPr="00BC4AFE">
              <w:rPr>
                <w:sz w:val="18"/>
                <w:szCs w:val="18"/>
              </w:rPr>
              <w:t>Israel</w:t>
            </w:r>
          </w:p>
        </w:tc>
        <w:tc>
          <w:tcPr>
            <w:tcW w:w="1182" w:type="dxa"/>
            <w:shd w:val="clear" w:color="auto" w:fill="auto"/>
            <w:vAlign w:val="center"/>
            <w:hideMark/>
          </w:tcPr>
          <w:p w14:paraId="64710EAC" w14:textId="77777777" w:rsidR="00FC752D" w:rsidRPr="00BC4AFE" w:rsidRDefault="00FC752D" w:rsidP="006211D7">
            <w:pPr>
              <w:widowControl w:val="0"/>
              <w:ind w:right="144"/>
              <w:jc w:val="right"/>
              <w:rPr>
                <w:sz w:val="18"/>
                <w:szCs w:val="18"/>
              </w:rPr>
            </w:pPr>
            <w:r w:rsidRPr="00BC4AFE">
              <w:rPr>
                <w:sz w:val="18"/>
                <w:szCs w:val="18"/>
              </w:rPr>
              <w:t>0.561</w:t>
            </w:r>
          </w:p>
        </w:tc>
        <w:tc>
          <w:tcPr>
            <w:tcW w:w="1182" w:type="dxa"/>
            <w:shd w:val="clear" w:color="auto" w:fill="auto"/>
            <w:noWrap/>
            <w:vAlign w:val="center"/>
            <w:hideMark/>
          </w:tcPr>
          <w:p w14:paraId="604CDA37" w14:textId="77777777" w:rsidR="00FC752D" w:rsidRPr="00BC4AFE" w:rsidRDefault="00FC752D" w:rsidP="006211D7">
            <w:pPr>
              <w:widowControl w:val="0"/>
              <w:ind w:right="144"/>
              <w:jc w:val="right"/>
              <w:rPr>
                <w:sz w:val="18"/>
                <w:szCs w:val="18"/>
              </w:rPr>
            </w:pPr>
            <w:r w:rsidRPr="00BC4AFE">
              <w:rPr>
                <w:sz w:val="18"/>
                <w:szCs w:val="18"/>
              </w:rPr>
              <w:t>0.701</w:t>
            </w:r>
          </w:p>
        </w:tc>
        <w:tc>
          <w:tcPr>
            <w:tcW w:w="1182" w:type="dxa"/>
            <w:shd w:val="clear" w:color="auto" w:fill="auto"/>
            <w:noWrap/>
            <w:vAlign w:val="center"/>
            <w:hideMark/>
          </w:tcPr>
          <w:p w14:paraId="7F5C4D56" w14:textId="77777777" w:rsidR="00FC752D" w:rsidRPr="00BC4AFE" w:rsidRDefault="00FC752D" w:rsidP="006211D7">
            <w:pPr>
              <w:widowControl w:val="0"/>
              <w:ind w:right="144"/>
              <w:jc w:val="right"/>
              <w:rPr>
                <w:sz w:val="18"/>
                <w:szCs w:val="18"/>
              </w:rPr>
            </w:pPr>
            <w:r w:rsidRPr="00BC4AFE">
              <w:rPr>
                <w:sz w:val="18"/>
                <w:szCs w:val="18"/>
              </w:rPr>
              <w:t>91,357</w:t>
            </w:r>
          </w:p>
        </w:tc>
        <w:tc>
          <w:tcPr>
            <w:tcW w:w="1182" w:type="dxa"/>
            <w:shd w:val="clear" w:color="auto" w:fill="auto"/>
            <w:noWrap/>
            <w:vAlign w:val="center"/>
            <w:hideMark/>
          </w:tcPr>
          <w:p w14:paraId="130FE8E3" w14:textId="77777777" w:rsidR="00FC752D" w:rsidRPr="00BC4AFE" w:rsidRDefault="00FC752D" w:rsidP="006211D7">
            <w:pPr>
              <w:widowControl w:val="0"/>
              <w:ind w:right="144"/>
              <w:jc w:val="right"/>
              <w:rPr>
                <w:sz w:val="18"/>
                <w:szCs w:val="18"/>
              </w:rPr>
            </w:pPr>
            <w:r w:rsidRPr="00BC4AFE">
              <w:rPr>
                <w:sz w:val="18"/>
                <w:szCs w:val="18"/>
              </w:rPr>
              <w:t>100,204</w:t>
            </w:r>
          </w:p>
        </w:tc>
        <w:tc>
          <w:tcPr>
            <w:tcW w:w="1171" w:type="dxa"/>
            <w:shd w:val="clear" w:color="auto" w:fill="auto"/>
            <w:noWrap/>
            <w:vAlign w:val="center"/>
            <w:hideMark/>
          </w:tcPr>
          <w:p w14:paraId="6465FDB1" w14:textId="77777777" w:rsidR="00FC752D" w:rsidRPr="00BC4AFE" w:rsidRDefault="00FC752D" w:rsidP="006211D7">
            <w:pPr>
              <w:widowControl w:val="0"/>
              <w:ind w:right="144"/>
              <w:jc w:val="right"/>
              <w:rPr>
                <w:sz w:val="18"/>
                <w:szCs w:val="18"/>
              </w:rPr>
            </w:pPr>
            <w:r w:rsidRPr="00BC4AFE">
              <w:rPr>
                <w:sz w:val="18"/>
                <w:szCs w:val="18"/>
              </w:rPr>
              <w:t>191,561</w:t>
            </w:r>
          </w:p>
        </w:tc>
      </w:tr>
      <w:tr w:rsidR="00FC752D" w:rsidRPr="00BC4AFE" w14:paraId="710A2534" w14:textId="77777777" w:rsidTr="00A60395">
        <w:trPr>
          <w:cantSplit/>
          <w:trHeight w:val="245"/>
        </w:trPr>
        <w:tc>
          <w:tcPr>
            <w:tcW w:w="3605" w:type="dxa"/>
            <w:shd w:val="clear" w:color="auto" w:fill="auto"/>
            <w:vAlign w:val="center"/>
            <w:hideMark/>
          </w:tcPr>
          <w:p w14:paraId="356E0561" w14:textId="77777777" w:rsidR="00FC752D" w:rsidRPr="00BC4AFE" w:rsidRDefault="00FC752D" w:rsidP="006211D7">
            <w:pPr>
              <w:widowControl w:val="0"/>
              <w:ind w:left="144" w:hanging="144"/>
              <w:rPr>
                <w:sz w:val="18"/>
                <w:szCs w:val="18"/>
              </w:rPr>
            </w:pPr>
            <w:r w:rsidRPr="00BC4AFE">
              <w:rPr>
                <w:sz w:val="18"/>
                <w:szCs w:val="18"/>
              </w:rPr>
              <w:t>Italy</w:t>
            </w:r>
          </w:p>
        </w:tc>
        <w:tc>
          <w:tcPr>
            <w:tcW w:w="1182" w:type="dxa"/>
            <w:shd w:val="clear" w:color="auto" w:fill="auto"/>
            <w:vAlign w:val="center"/>
            <w:hideMark/>
          </w:tcPr>
          <w:p w14:paraId="58D11D39" w14:textId="77777777" w:rsidR="00FC752D" w:rsidRPr="00BC4AFE" w:rsidRDefault="00FC752D" w:rsidP="006211D7">
            <w:pPr>
              <w:widowControl w:val="0"/>
              <w:ind w:right="144"/>
              <w:jc w:val="right"/>
              <w:rPr>
                <w:sz w:val="18"/>
                <w:szCs w:val="18"/>
              </w:rPr>
            </w:pPr>
            <w:r w:rsidRPr="00BC4AFE">
              <w:rPr>
                <w:sz w:val="18"/>
                <w:szCs w:val="18"/>
              </w:rPr>
              <w:t>3.189</w:t>
            </w:r>
          </w:p>
        </w:tc>
        <w:tc>
          <w:tcPr>
            <w:tcW w:w="1182" w:type="dxa"/>
            <w:shd w:val="clear" w:color="auto" w:fill="auto"/>
            <w:noWrap/>
            <w:vAlign w:val="center"/>
            <w:hideMark/>
          </w:tcPr>
          <w:p w14:paraId="695AFC61" w14:textId="77777777" w:rsidR="00FC752D" w:rsidRPr="00BC4AFE" w:rsidRDefault="00FC752D" w:rsidP="006211D7">
            <w:pPr>
              <w:widowControl w:val="0"/>
              <w:ind w:right="144"/>
              <w:jc w:val="right"/>
              <w:rPr>
                <w:sz w:val="18"/>
                <w:szCs w:val="18"/>
              </w:rPr>
            </w:pPr>
            <w:r w:rsidRPr="00BC4AFE">
              <w:rPr>
                <w:sz w:val="18"/>
                <w:szCs w:val="18"/>
              </w:rPr>
              <w:t>3.987</w:t>
            </w:r>
          </w:p>
        </w:tc>
        <w:tc>
          <w:tcPr>
            <w:tcW w:w="1182" w:type="dxa"/>
            <w:shd w:val="clear" w:color="auto" w:fill="auto"/>
            <w:noWrap/>
            <w:vAlign w:val="center"/>
            <w:hideMark/>
          </w:tcPr>
          <w:p w14:paraId="62910BEC" w14:textId="77777777" w:rsidR="00FC752D" w:rsidRPr="00BC4AFE" w:rsidRDefault="00FC752D" w:rsidP="006211D7">
            <w:pPr>
              <w:widowControl w:val="0"/>
              <w:ind w:right="144"/>
              <w:jc w:val="right"/>
              <w:rPr>
                <w:sz w:val="18"/>
                <w:szCs w:val="18"/>
              </w:rPr>
            </w:pPr>
            <w:r w:rsidRPr="00BC4AFE">
              <w:rPr>
                <w:sz w:val="18"/>
                <w:szCs w:val="18"/>
              </w:rPr>
              <w:t>519,320</w:t>
            </w:r>
          </w:p>
        </w:tc>
        <w:tc>
          <w:tcPr>
            <w:tcW w:w="1182" w:type="dxa"/>
            <w:shd w:val="clear" w:color="auto" w:fill="auto"/>
            <w:noWrap/>
            <w:vAlign w:val="center"/>
            <w:hideMark/>
          </w:tcPr>
          <w:p w14:paraId="71835225" w14:textId="77777777" w:rsidR="00FC752D" w:rsidRPr="00BC4AFE" w:rsidRDefault="00FC752D" w:rsidP="006211D7">
            <w:pPr>
              <w:widowControl w:val="0"/>
              <w:ind w:right="144"/>
              <w:jc w:val="right"/>
              <w:rPr>
                <w:sz w:val="18"/>
                <w:szCs w:val="18"/>
              </w:rPr>
            </w:pPr>
            <w:r w:rsidRPr="00BC4AFE">
              <w:rPr>
                <w:sz w:val="18"/>
                <w:szCs w:val="18"/>
              </w:rPr>
              <w:t>569,608</w:t>
            </w:r>
          </w:p>
        </w:tc>
        <w:tc>
          <w:tcPr>
            <w:tcW w:w="1171" w:type="dxa"/>
            <w:shd w:val="clear" w:color="auto" w:fill="auto"/>
            <w:noWrap/>
            <w:vAlign w:val="center"/>
            <w:hideMark/>
          </w:tcPr>
          <w:p w14:paraId="55F3477B" w14:textId="77777777" w:rsidR="00FC752D" w:rsidRPr="00BC4AFE" w:rsidRDefault="00FC752D" w:rsidP="006211D7">
            <w:pPr>
              <w:widowControl w:val="0"/>
              <w:ind w:right="144"/>
              <w:jc w:val="right"/>
              <w:rPr>
                <w:sz w:val="18"/>
                <w:szCs w:val="18"/>
              </w:rPr>
            </w:pPr>
            <w:r w:rsidRPr="00BC4AFE">
              <w:rPr>
                <w:sz w:val="18"/>
                <w:szCs w:val="18"/>
              </w:rPr>
              <w:t>1,088,928</w:t>
            </w:r>
          </w:p>
        </w:tc>
      </w:tr>
      <w:tr w:rsidR="00FC752D" w:rsidRPr="00BC4AFE" w14:paraId="380A1124" w14:textId="77777777" w:rsidTr="00A60395">
        <w:trPr>
          <w:cantSplit/>
          <w:trHeight w:val="245"/>
        </w:trPr>
        <w:tc>
          <w:tcPr>
            <w:tcW w:w="3605" w:type="dxa"/>
            <w:shd w:val="clear" w:color="auto" w:fill="auto"/>
            <w:vAlign w:val="center"/>
            <w:hideMark/>
          </w:tcPr>
          <w:p w14:paraId="2D422ED5" w14:textId="77777777" w:rsidR="00FC752D" w:rsidRPr="00BC4AFE" w:rsidRDefault="00FC752D" w:rsidP="006211D7">
            <w:pPr>
              <w:widowControl w:val="0"/>
              <w:ind w:left="144" w:hanging="144"/>
              <w:rPr>
                <w:sz w:val="18"/>
                <w:szCs w:val="18"/>
              </w:rPr>
            </w:pPr>
            <w:r w:rsidRPr="00BC4AFE">
              <w:rPr>
                <w:sz w:val="18"/>
                <w:szCs w:val="18"/>
              </w:rPr>
              <w:t>Jamaica</w:t>
            </w:r>
          </w:p>
        </w:tc>
        <w:tc>
          <w:tcPr>
            <w:tcW w:w="1182" w:type="dxa"/>
            <w:shd w:val="clear" w:color="auto" w:fill="auto"/>
            <w:vAlign w:val="center"/>
            <w:hideMark/>
          </w:tcPr>
          <w:p w14:paraId="5F0B6D6E" w14:textId="77777777" w:rsidR="00FC752D" w:rsidRPr="00BC4AFE" w:rsidRDefault="00FC752D" w:rsidP="006211D7">
            <w:pPr>
              <w:widowControl w:val="0"/>
              <w:ind w:right="144"/>
              <w:jc w:val="right"/>
              <w:rPr>
                <w:sz w:val="18"/>
                <w:szCs w:val="18"/>
              </w:rPr>
            </w:pPr>
            <w:r w:rsidRPr="00BC4AFE">
              <w:rPr>
                <w:sz w:val="18"/>
                <w:szCs w:val="18"/>
              </w:rPr>
              <w:t>0.008</w:t>
            </w:r>
          </w:p>
        </w:tc>
        <w:tc>
          <w:tcPr>
            <w:tcW w:w="1182" w:type="dxa"/>
            <w:shd w:val="clear" w:color="auto" w:fill="auto"/>
            <w:noWrap/>
            <w:vAlign w:val="center"/>
            <w:hideMark/>
          </w:tcPr>
          <w:p w14:paraId="5471FCD0"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33FC87F6"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79F8BE62"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56ACA385"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6D44E0F8" w14:textId="77777777" w:rsidTr="00A60395">
        <w:trPr>
          <w:cantSplit/>
          <w:trHeight w:val="245"/>
        </w:trPr>
        <w:tc>
          <w:tcPr>
            <w:tcW w:w="3605" w:type="dxa"/>
            <w:shd w:val="clear" w:color="auto" w:fill="auto"/>
            <w:vAlign w:val="center"/>
            <w:hideMark/>
          </w:tcPr>
          <w:p w14:paraId="75405429" w14:textId="77777777" w:rsidR="00FC752D" w:rsidRPr="00BC4AFE" w:rsidRDefault="00FC752D" w:rsidP="006211D7">
            <w:pPr>
              <w:widowControl w:val="0"/>
              <w:ind w:left="144" w:hanging="144"/>
              <w:rPr>
                <w:sz w:val="18"/>
                <w:szCs w:val="18"/>
              </w:rPr>
            </w:pPr>
            <w:r w:rsidRPr="00BC4AFE">
              <w:rPr>
                <w:sz w:val="18"/>
                <w:szCs w:val="18"/>
              </w:rPr>
              <w:t>Japan</w:t>
            </w:r>
          </w:p>
        </w:tc>
        <w:tc>
          <w:tcPr>
            <w:tcW w:w="1182" w:type="dxa"/>
            <w:shd w:val="clear" w:color="auto" w:fill="auto"/>
            <w:noWrap/>
            <w:vAlign w:val="center"/>
            <w:hideMark/>
          </w:tcPr>
          <w:p w14:paraId="3FE9B10A" w14:textId="77777777" w:rsidR="00FC752D" w:rsidRPr="00BC4AFE" w:rsidRDefault="00FC752D" w:rsidP="006211D7">
            <w:pPr>
              <w:widowControl w:val="0"/>
              <w:ind w:right="144"/>
              <w:jc w:val="right"/>
              <w:rPr>
                <w:sz w:val="18"/>
                <w:szCs w:val="18"/>
              </w:rPr>
            </w:pPr>
            <w:r w:rsidRPr="00BC4AFE">
              <w:rPr>
                <w:sz w:val="18"/>
                <w:szCs w:val="18"/>
              </w:rPr>
              <w:t>8.033</w:t>
            </w:r>
          </w:p>
        </w:tc>
        <w:tc>
          <w:tcPr>
            <w:tcW w:w="1182" w:type="dxa"/>
            <w:shd w:val="clear" w:color="auto" w:fill="auto"/>
            <w:noWrap/>
            <w:vAlign w:val="center"/>
            <w:hideMark/>
          </w:tcPr>
          <w:p w14:paraId="0339A820" w14:textId="77777777" w:rsidR="00FC752D" w:rsidRPr="00BC4AFE" w:rsidRDefault="00FC752D" w:rsidP="006211D7">
            <w:pPr>
              <w:widowControl w:val="0"/>
              <w:ind w:right="144"/>
              <w:jc w:val="right"/>
              <w:rPr>
                <w:sz w:val="18"/>
                <w:szCs w:val="18"/>
              </w:rPr>
            </w:pPr>
            <w:r w:rsidRPr="00BC4AFE">
              <w:rPr>
                <w:sz w:val="18"/>
                <w:szCs w:val="18"/>
              </w:rPr>
              <w:t>10.042</w:t>
            </w:r>
          </w:p>
        </w:tc>
        <w:tc>
          <w:tcPr>
            <w:tcW w:w="1182" w:type="dxa"/>
            <w:shd w:val="clear" w:color="auto" w:fill="auto"/>
            <w:noWrap/>
            <w:vAlign w:val="center"/>
            <w:hideMark/>
          </w:tcPr>
          <w:p w14:paraId="55F37EC8" w14:textId="77777777" w:rsidR="00FC752D" w:rsidRPr="00BC4AFE" w:rsidRDefault="00FC752D" w:rsidP="006211D7">
            <w:pPr>
              <w:widowControl w:val="0"/>
              <w:ind w:right="144"/>
              <w:jc w:val="right"/>
              <w:rPr>
                <w:sz w:val="18"/>
                <w:szCs w:val="18"/>
              </w:rPr>
            </w:pPr>
            <w:r w:rsidRPr="00BC4AFE">
              <w:rPr>
                <w:sz w:val="18"/>
                <w:szCs w:val="18"/>
              </w:rPr>
              <w:t>1,308,151</w:t>
            </w:r>
          </w:p>
        </w:tc>
        <w:tc>
          <w:tcPr>
            <w:tcW w:w="1182" w:type="dxa"/>
            <w:shd w:val="clear" w:color="auto" w:fill="auto"/>
            <w:noWrap/>
            <w:vAlign w:val="center"/>
            <w:hideMark/>
          </w:tcPr>
          <w:p w14:paraId="7953B079" w14:textId="77777777" w:rsidR="00FC752D" w:rsidRPr="00BC4AFE" w:rsidRDefault="00FC752D" w:rsidP="006211D7">
            <w:pPr>
              <w:widowControl w:val="0"/>
              <w:ind w:right="144"/>
              <w:jc w:val="right"/>
              <w:rPr>
                <w:sz w:val="18"/>
                <w:szCs w:val="18"/>
              </w:rPr>
            </w:pPr>
            <w:r w:rsidRPr="00BC4AFE">
              <w:rPr>
                <w:sz w:val="18"/>
                <w:szCs w:val="18"/>
              </w:rPr>
              <w:t>1,434,827</w:t>
            </w:r>
          </w:p>
        </w:tc>
        <w:tc>
          <w:tcPr>
            <w:tcW w:w="1171" w:type="dxa"/>
            <w:shd w:val="clear" w:color="auto" w:fill="auto"/>
            <w:noWrap/>
            <w:vAlign w:val="center"/>
            <w:hideMark/>
          </w:tcPr>
          <w:p w14:paraId="1AA5FF6E" w14:textId="77777777" w:rsidR="00FC752D" w:rsidRPr="00BC4AFE" w:rsidRDefault="00FC752D" w:rsidP="006211D7">
            <w:pPr>
              <w:widowControl w:val="0"/>
              <w:ind w:right="144"/>
              <w:jc w:val="right"/>
              <w:rPr>
                <w:sz w:val="18"/>
                <w:szCs w:val="18"/>
              </w:rPr>
            </w:pPr>
            <w:r w:rsidRPr="00BC4AFE">
              <w:rPr>
                <w:sz w:val="18"/>
                <w:szCs w:val="18"/>
              </w:rPr>
              <w:t>2,742,978</w:t>
            </w:r>
          </w:p>
        </w:tc>
      </w:tr>
      <w:tr w:rsidR="00FC752D" w:rsidRPr="00BC4AFE" w14:paraId="05AD7592" w14:textId="77777777" w:rsidTr="00A60395">
        <w:trPr>
          <w:cantSplit/>
          <w:trHeight w:val="245"/>
        </w:trPr>
        <w:tc>
          <w:tcPr>
            <w:tcW w:w="3605" w:type="dxa"/>
            <w:shd w:val="clear" w:color="auto" w:fill="auto"/>
            <w:vAlign w:val="center"/>
            <w:hideMark/>
          </w:tcPr>
          <w:p w14:paraId="06778B46" w14:textId="77777777" w:rsidR="00FC752D" w:rsidRPr="00BC4AFE" w:rsidRDefault="00FC752D" w:rsidP="006211D7">
            <w:pPr>
              <w:widowControl w:val="0"/>
              <w:ind w:left="144" w:hanging="144"/>
              <w:rPr>
                <w:sz w:val="18"/>
                <w:szCs w:val="18"/>
              </w:rPr>
            </w:pPr>
            <w:r w:rsidRPr="00BC4AFE">
              <w:rPr>
                <w:sz w:val="18"/>
                <w:szCs w:val="18"/>
              </w:rPr>
              <w:t>Jordan</w:t>
            </w:r>
          </w:p>
        </w:tc>
        <w:tc>
          <w:tcPr>
            <w:tcW w:w="1182" w:type="dxa"/>
            <w:shd w:val="clear" w:color="auto" w:fill="auto"/>
            <w:vAlign w:val="center"/>
            <w:hideMark/>
          </w:tcPr>
          <w:p w14:paraId="3326B59A" w14:textId="77777777" w:rsidR="00FC752D" w:rsidRPr="00BC4AFE" w:rsidRDefault="00FC752D" w:rsidP="006211D7">
            <w:pPr>
              <w:widowControl w:val="0"/>
              <w:ind w:right="144"/>
              <w:jc w:val="right"/>
              <w:rPr>
                <w:sz w:val="18"/>
                <w:szCs w:val="18"/>
              </w:rPr>
            </w:pPr>
            <w:r w:rsidRPr="00BC4AFE">
              <w:rPr>
                <w:sz w:val="18"/>
                <w:szCs w:val="18"/>
              </w:rPr>
              <w:t>0.022</w:t>
            </w:r>
          </w:p>
        </w:tc>
        <w:tc>
          <w:tcPr>
            <w:tcW w:w="1182" w:type="dxa"/>
            <w:shd w:val="clear" w:color="auto" w:fill="auto"/>
            <w:noWrap/>
            <w:vAlign w:val="center"/>
            <w:hideMark/>
          </w:tcPr>
          <w:p w14:paraId="6F119F1F" w14:textId="77777777" w:rsidR="00FC752D" w:rsidRPr="00BC4AFE" w:rsidRDefault="00FC752D" w:rsidP="006211D7">
            <w:pPr>
              <w:widowControl w:val="0"/>
              <w:ind w:right="144"/>
              <w:jc w:val="right"/>
              <w:rPr>
                <w:sz w:val="18"/>
                <w:szCs w:val="18"/>
              </w:rPr>
            </w:pPr>
            <w:r w:rsidRPr="00BC4AFE">
              <w:rPr>
                <w:sz w:val="18"/>
                <w:szCs w:val="18"/>
              </w:rPr>
              <w:t>0.028</w:t>
            </w:r>
          </w:p>
        </w:tc>
        <w:tc>
          <w:tcPr>
            <w:tcW w:w="1182" w:type="dxa"/>
            <w:shd w:val="clear" w:color="auto" w:fill="auto"/>
            <w:noWrap/>
            <w:vAlign w:val="center"/>
            <w:hideMark/>
          </w:tcPr>
          <w:p w14:paraId="121261B9" w14:textId="77777777" w:rsidR="00FC752D" w:rsidRPr="00BC4AFE" w:rsidRDefault="00FC752D" w:rsidP="006211D7">
            <w:pPr>
              <w:widowControl w:val="0"/>
              <w:ind w:right="144"/>
              <w:jc w:val="right"/>
              <w:rPr>
                <w:sz w:val="18"/>
                <w:szCs w:val="18"/>
              </w:rPr>
            </w:pPr>
            <w:r w:rsidRPr="00BC4AFE">
              <w:rPr>
                <w:sz w:val="18"/>
                <w:szCs w:val="18"/>
              </w:rPr>
              <w:t>3,583</w:t>
            </w:r>
          </w:p>
        </w:tc>
        <w:tc>
          <w:tcPr>
            <w:tcW w:w="1182" w:type="dxa"/>
            <w:shd w:val="clear" w:color="auto" w:fill="auto"/>
            <w:noWrap/>
            <w:vAlign w:val="center"/>
            <w:hideMark/>
          </w:tcPr>
          <w:p w14:paraId="663BBA9D" w14:textId="77777777" w:rsidR="00FC752D" w:rsidRPr="00BC4AFE" w:rsidRDefault="00FC752D" w:rsidP="006211D7">
            <w:pPr>
              <w:widowControl w:val="0"/>
              <w:ind w:right="144"/>
              <w:jc w:val="right"/>
              <w:rPr>
                <w:sz w:val="18"/>
                <w:szCs w:val="18"/>
              </w:rPr>
            </w:pPr>
            <w:r w:rsidRPr="00BC4AFE">
              <w:rPr>
                <w:sz w:val="18"/>
                <w:szCs w:val="18"/>
              </w:rPr>
              <w:t>3,930</w:t>
            </w:r>
          </w:p>
        </w:tc>
        <w:tc>
          <w:tcPr>
            <w:tcW w:w="1171" w:type="dxa"/>
            <w:shd w:val="clear" w:color="auto" w:fill="auto"/>
            <w:noWrap/>
            <w:vAlign w:val="center"/>
            <w:hideMark/>
          </w:tcPr>
          <w:p w14:paraId="1C731305" w14:textId="77777777" w:rsidR="00FC752D" w:rsidRPr="00BC4AFE" w:rsidRDefault="00FC752D" w:rsidP="006211D7">
            <w:pPr>
              <w:widowControl w:val="0"/>
              <w:ind w:right="144"/>
              <w:jc w:val="right"/>
              <w:rPr>
                <w:sz w:val="18"/>
                <w:szCs w:val="18"/>
              </w:rPr>
            </w:pPr>
            <w:r w:rsidRPr="00BC4AFE">
              <w:rPr>
                <w:sz w:val="18"/>
                <w:szCs w:val="18"/>
              </w:rPr>
              <w:t>7,512</w:t>
            </w:r>
          </w:p>
        </w:tc>
      </w:tr>
      <w:tr w:rsidR="00FC752D" w:rsidRPr="00BC4AFE" w14:paraId="348766C8" w14:textId="77777777" w:rsidTr="00A60395">
        <w:trPr>
          <w:cantSplit/>
          <w:trHeight w:val="245"/>
        </w:trPr>
        <w:tc>
          <w:tcPr>
            <w:tcW w:w="3605" w:type="dxa"/>
            <w:shd w:val="clear" w:color="auto" w:fill="auto"/>
            <w:vAlign w:val="center"/>
            <w:hideMark/>
          </w:tcPr>
          <w:p w14:paraId="6A8411D7" w14:textId="77777777" w:rsidR="00FC752D" w:rsidRPr="00BC4AFE" w:rsidRDefault="00FC752D" w:rsidP="006211D7">
            <w:pPr>
              <w:widowControl w:val="0"/>
              <w:ind w:left="144" w:hanging="144"/>
              <w:rPr>
                <w:sz w:val="18"/>
                <w:szCs w:val="18"/>
              </w:rPr>
            </w:pPr>
            <w:r w:rsidRPr="00BC4AFE">
              <w:rPr>
                <w:sz w:val="18"/>
                <w:szCs w:val="18"/>
              </w:rPr>
              <w:t>Kazakhstan</w:t>
            </w:r>
          </w:p>
        </w:tc>
        <w:tc>
          <w:tcPr>
            <w:tcW w:w="1182" w:type="dxa"/>
            <w:shd w:val="clear" w:color="auto" w:fill="auto"/>
            <w:vAlign w:val="center"/>
            <w:hideMark/>
          </w:tcPr>
          <w:p w14:paraId="67AD60F6" w14:textId="77777777" w:rsidR="00FC752D" w:rsidRPr="00BC4AFE" w:rsidRDefault="00FC752D" w:rsidP="006211D7">
            <w:pPr>
              <w:widowControl w:val="0"/>
              <w:ind w:right="144"/>
              <w:jc w:val="right"/>
              <w:rPr>
                <w:sz w:val="18"/>
                <w:szCs w:val="18"/>
              </w:rPr>
            </w:pPr>
            <w:r w:rsidRPr="00BC4AFE">
              <w:rPr>
                <w:sz w:val="18"/>
                <w:szCs w:val="18"/>
              </w:rPr>
              <w:t>0.133</w:t>
            </w:r>
          </w:p>
        </w:tc>
        <w:tc>
          <w:tcPr>
            <w:tcW w:w="1182" w:type="dxa"/>
            <w:shd w:val="clear" w:color="auto" w:fill="auto"/>
            <w:noWrap/>
            <w:vAlign w:val="center"/>
            <w:hideMark/>
          </w:tcPr>
          <w:p w14:paraId="016DA0E0" w14:textId="77777777" w:rsidR="00FC752D" w:rsidRPr="00BC4AFE" w:rsidRDefault="00FC752D" w:rsidP="006211D7">
            <w:pPr>
              <w:widowControl w:val="0"/>
              <w:ind w:right="144"/>
              <w:jc w:val="right"/>
              <w:rPr>
                <w:sz w:val="18"/>
                <w:szCs w:val="18"/>
              </w:rPr>
            </w:pPr>
            <w:r w:rsidRPr="00BC4AFE">
              <w:rPr>
                <w:sz w:val="18"/>
                <w:szCs w:val="18"/>
              </w:rPr>
              <w:t>0.166</w:t>
            </w:r>
          </w:p>
        </w:tc>
        <w:tc>
          <w:tcPr>
            <w:tcW w:w="1182" w:type="dxa"/>
            <w:shd w:val="clear" w:color="auto" w:fill="auto"/>
            <w:noWrap/>
            <w:vAlign w:val="center"/>
            <w:hideMark/>
          </w:tcPr>
          <w:p w14:paraId="65C16D3E" w14:textId="77777777" w:rsidR="00FC752D" w:rsidRPr="00BC4AFE" w:rsidRDefault="00FC752D" w:rsidP="006211D7">
            <w:pPr>
              <w:widowControl w:val="0"/>
              <w:ind w:right="144"/>
              <w:jc w:val="right"/>
              <w:rPr>
                <w:sz w:val="18"/>
                <w:szCs w:val="18"/>
              </w:rPr>
            </w:pPr>
            <w:r w:rsidRPr="00BC4AFE">
              <w:rPr>
                <w:sz w:val="18"/>
                <w:szCs w:val="18"/>
              </w:rPr>
              <w:t>21,659</w:t>
            </w:r>
          </w:p>
        </w:tc>
        <w:tc>
          <w:tcPr>
            <w:tcW w:w="1182" w:type="dxa"/>
            <w:shd w:val="clear" w:color="auto" w:fill="auto"/>
            <w:noWrap/>
            <w:vAlign w:val="center"/>
            <w:hideMark/>
          </w:tcPr>
          <w:p w14:paraId="4888C262" w14:textId="77777777" w:rsidR="00FC752D" w:rsidRPr="00BC4AFE" w:rsidRDefault="00FC752D" w:rsidP="006211D7">
            <w:pPr>
              <w:widowControl w:val="0"/>
              <w:ind w:right="144"/>
              <w:jc w:val="right"/>
              <w:rPr>
                <w:sz w:val="18"/>
                <w:szCs w:val="18"/>
              </w:rPr>
            </w:pPr>
            <w:r w:rsidRPr="00BC4AFE">
              <w:rPr>
                <w:sz w:val="18"/>
                <w:szCs w:val="18"/>
              </w:rPr>
              <w:t>23,756</w:t>
            </w:r>
          </w:p>
        </w:tc>
        <w:tc>
          <w:tcPr>
            <w:tcW w:w="1171" w:type="dxa"/>
            <w:shd w:val="clear" w:color="auto" w:fill="auto"/>
            <w:noWrap/>
            <w:vAlign w:val="center"/>
            <w:hideMark/>
          </w:tcPr>
          <w:p w14:paraId="41960D42" w14:textId="77777777" w:rsidR="00FC752D" w:rsidRPr="00BC4AFE" w:rsidRDefault="00FC752D" w:rsidP="006211D7">
            <w:pPr>
              <w:widowControl w:val="0"/>
              <w:ind w:right="144"/>
              <w:jc w:val="right"/>
              <w:rPr>
                <w:sz w:val="18"/>
                <w:szCs w:val="18"/>
              </w:rPr>
            </w:pPr>
            <w:r w:rsidRPr="00BC4AFE">
              <w:rPr>
                <w:sz w:val="18"/>
                <w:szCs w:val="18"/>
              </w:rPr>
              <w:t>45,415</w:t>
            </w:r>
          </w:p>
        </w:tc>
      </w:tr>
      <w:tr w:rsidR="00FC752D" w:rsidRPr="00BC4AFE" w14:paraId="191CDE02" w14:textId="77777777" w:rsidTr="00A60395">
        <w:trPr>
          <w:cantSplit/>
          <w:trHeight w:val="245"/>
        </w:trPr>
        <w:tc>
          <w:tcPr>
            <w:tcW w:w="3605" w:type="dxa"/>
            <w:shd w:val="clear" w:color="auto" w:fill="auto"/>
            <w:vAlign w:val="center"/>
            <w:hideMark/>
          </w:tcPr>
          <w:p w14:paraId="497EDD46" w14:textId="77777777" w:rsidR="00FC752D" w:rsidRPr="00BC4AFE" w:rsidRDefault="00FC752D" w:rsidP="006211D7">
            <w:pPr>
              <w:widowControl w:val="0"/>
              <w:ind w:left="144" w:hanging="144"/>
              <w:rPr>
                <w:sz w:val="18"/>
                <w:szCs w:val="18"/>
              </w:rPr>
            </w:pPr>
            <w:r w:rsidRPr="00BC4AFE">
              <w:rPr>
                <w:sz w:val="18"/>
                <w:szCs w:val="18"/>
              </w:rPr>
              <w:t>Kenya</w:t>
            </w:r>
          </w:p>
        </w:tc>
        <w:tc>
          <w:tcPr>
            <w:tcW w:w="1182" w:type="dxa"/>
            <w:shd w:val="clear" w:color="auto" w:fill="auto"/>
            <w:vAlign w:val="center"/>
            <w:hideMark/>
          </w:tcPr>
          <w:p w14:paraId="22FB9F5F" w14:textId="77777777" w:rsidR="00FC752D" w:rsidRPr="00BC4AFE" w:rsidRDefault="00FC752D" w:rsidP="006211D7">
            <w:pPr>
              <w:widowControl w:val="0"/>
              <w:ind w:right="144"/>
              <w:jc w:val="right"/>
              <w:rPr>
                <w:sz w:val="18"/>
                <w:szCs w:val="18"/>
              </w:rPr>
            </w:pPr>
            <w:r w:rsidRPr="00BC4AFE">
              <w:rPr>
                <w:sz w:val="18"/>
                <w:szCs w:val="18"/>
              </w:rPr>
              <w:t>0.030</w:t>
            </w:r>
          </w:p>
        </w:tc>
        <w:tc>
          <w:tcPr>
            <w:tcW w:w="1182" w:type="dxa"/>
            <w:shd w:val="clear" w:color="auto" w:fill="auto"/>
            <w:noWrap/>
            <w:vAlign w:val="center"/>
            <w:hideMark/>
          </w:tcPr>
          <w:p w14:paraId="2A1DCA4B" w14:textId="77777777" w:rsidR="00FC752D" w:rsidRPr="00BC4AFE" w:rsidRDefault="00FC752D" w:rsidP="006211D7">
            <w:pPr>
              <w:widowControl w:val="0"/>
              <w:ind w:right="144"/>
              <w:jc w:val="right"/>
              <w:rPr>
                <w:sz w:val="18"/>
                <w:szCs w:val="18"/>
              </w:rPr>
            </w:pPr>
            <w:r w:rsidRPr="00BC4AFE">
              <w:rPr>
                <w:sz w:val="18"/>
                <w:szCs w:val="18"/>
              </w:rPr>
              <w:t>0.038</w:t>
            </w:r>
          </w:p>
        </w:tc>
        <w:tc>
          <w:tcPr>
            <w:tcW w:w="1182" w:type="dxa"/>
            <w:shd w:val="clear" w:color="auto" w:fill="auto"/>
            <w:noWrap/>
            <w:vAlign w:val="center"/>
            <w:hideMark/>
          </w:tcPr>
          <w:p w14:paraId="53E65D5C" w14:textId="77777777" w:rsidR="00FC752D" w:rsidRPr="00BC4AFE" w:rsidRDefault="00FC752D" w:rsidP="006211D7">
            <w:pPr>
              <w:widowControl w:val="0"/>
              <w:ind w:right="144"/>
              <w:jc w:val="right"/>
              <w:rPr>
                <w:sz w:val="18"/>
                <w:szCs w:val="18"/>
              </w:rPr>
            </w:pPr>
            <w:r w:rsidRPr="00BC4AFE">
              <w:rPr>
                <w:sz w:val="18"/>
                <w:szCs w:val="18"/>
              </w:rPr>
              <w:t>4,885</w:t>
            </w:r>
          </w:p>
        </w:tc>
        <w:tc>
          <w:tcPr>
            <w:tcW w:w="1182" w:type="dxa"/>
            <w:shd w:val="clear" w:color="auto" w:fill="auto"/>
            <w:noWrap/>
            <w:vAlign w:val="center"/>
            <w:hideMark/>
          </w:tcPr>
          <w:p w14:paraId="47988284" w14:textId="77777777" w:rsidR="00FC752D" w:rsidRPr="00BC4AFE" w:rsidRDefault="00FC752D" w:rsidP="006211D7">
            <w:pPr>
              <w:widowControl w:val="0"/>
              <w:ind w:right="144"/>
              <w:jc w:val="right"/>
              <w:rPr>
                <w:sz w:val="18"/>
                <w:szCs w:val="18"/>
              </w:rPr>
            </w:pPr>
            <w:r w:rsidRPr="00BC4AFE">
              <w:rPr>
                <w:sz w:val="18"/>
                <w:szCs w:val="18"/>
              </w:rPr>
              <w:t>5,358</w:t>
            </w:r>
          </w:p>
        </w:tc>
        <w:tc>
          <w:tcPr>
            <w:tcW w:w="1171" w:type="dxa"/>
            <w:shd w:val="clear" w:color="auto" w:fill="auto"/>
            <w:noWrap/>
            <w:vAlign w:val="center"/>
            <w:hideMark/>
          </w:tcPr>
          <w:p w14:paraId="40D3D19A" w14:textId="77777777" w:rsidR="00FC752D" w:rsidRPr="00BC4AFE" w:rsidRDefault="00FC752D" w:rsidP="006211D7">
            <w:pPr>
              <w:widowControl w:val="0"/>
              <w:ind w:right="144"/>
              <w:jc w:val="right"/>
              <w:rPr>
                <w:sz w:val="18"/>
                <w:szCs w:val="18"/>
              </w:rPr>
            </w:pPr>
            <w:r w:rsidRPr="00BC4AFE">
              <w:rPr>
                <w:sz w:val="18"/>
                <w:szCs w:val="18"/>
              </w:rPr>
              <w:t>10,244</w:t>
            </w:r>
          </w:p>
        </w:tc>
      </w:tr>
      <w:tr w:rsidR="00FC752D" w:rsidRPr="00BC4AFE" w14:paraId="01F71276" w14:textId="77777777" w:rsidTr="00A60395">
        <w:trPr>
          <w:cantSplit/>
          <w:trHeight w:val="245"/>
        </w:trPr>
        <w:tc>
          <w:tcPr>
            <w:tcW w:w="3605" w:type="dxa"/>
            <w:shd w:val="clear" w:color="auto" w:fill="auto"/>
            <w:vAlign w:val="center"/>
            <w:hideMark/>
          </w:tcPr>
          <w:p w14:paraId="037DBD22" w14:textId="77777777" w:rsidR="00FC752D" w:rsidRPr="00BC4AFE" w:rsidRDefault="00FC752D" w:rsidP="006211D7">
            <w:pPr>
              <w:widowControl w:val="0"/>
              <w:ind w:left="144" w:hanging="144"/>
              <w:rPr>
                <w:sz w:val="18"/>
                <w:szCs w:val="18"/>
              </w:rPr>
            </w:pPr>
            <w:r w:rsidRPr="00BC4AFE">
              <w:rPr>
                <w:sz w:val="18"/>
                <w:szCs w:val="18"/>
              </w:rPr>
              <w:t>Kiribati</w:t>
            </w:r>
          </w:p>
        </w:tc>
        <w:tc>
          <w:tcPr>
            <w:tcW w:w="1182" w:type="dxa"/>
            <w:shd w:val="clear" w:color="auto" w:fill="auto"/>
            <w:vAlign w:val="center"/>
            <w:hideMark/>
          </w:tcPr>
          <w:p w14:paraId="09CD82FE"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2C27023F"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6F8DF8A9"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34895A11"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1450FC98"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1B64D296" w14:textId="77777777" w:rsidTr="00A60395">
        <w:trPr>
          <w:cantSplit/>
          <w:trHeight w:val="245"/>
        </w:trPr>
        <w:tc>
          <w:tcPr>
            <w:tcW w:w="3605" w:type="dxa"/>
            <w:shd w:val="clear" w:color="auto" w:fill="auto"/>
            <w:vAlign w:val="center"/>
            <w:hideMark/>
          </w:tcPr>
          <w:p w14:paraId="7E8BF807" w14:textId="77777777" w:rsidR="00FC752D" w:rsidRPr="00BC4AFE" w:rsidRDefault="00FC752D" w:rsidP="006211D7">
            <w:pPr>
              <w:widowControl w:val="0"/>
              <w:ind w:left="144" w:hanging="144"/>
              <w:rPr>
                <w:sz w:val="18"/>
                <w:szCs w:val="18"/>
              </w:rPr>
            </w:pPr>
            <w:r w:rsidRPr="00BC4AFE">
              <w:rPr>
                <w:sz w:val="18"/>
                <w:szCs w:val="18"/>
              </w:rPr>
              <w:t>Kuwait</w:t>
            </w:r>
          </w:p>
        </w:tc>
        <w:tc>
          <w:tcPr>
            <w:tcW w:w="1182" w:type="dxa"/>
            <w:shd w:val="clear" w:color="auto" w:fill="auto"/>
            <w:vAlign w:val="center"/>
            <w:hideMark/>
          </w:tcPr>
          <w:p w14:paraId="5AB72978" w14:textId="77777777" w:rsidR="00FC752D" w:rsidRPr="00BC4AFE" w:rsidRDefault="00FC752D" w:rsidP="006211D7">
            <w:pPr>
              <w:widowControl w:val="0"/>
              <w:ind w:right="144"/>
              <w:jc w:val="right"/>
              <w:rPr>
                <w:sz w:val="18"/>
                <w:szCs w:val="18"/>
              </w:rPr>
            </w:pPr>
            <w:r w:rsidRPr="00BC4AFE">
              <w:rPr>
                <w:sz w:val="18"/>
                <w:szCs w:val="18"/>
              </w:rPr>
              <w:t>0.234</w:t>
            </w:r>
          </w:p>
        </w:tc>
        <w:tc>
          <w:tcPr>
            <w:tcW w:w="1182" w:type="dxa"/>
            <w:shd w:val="clear" w:color="auto" w:fill="auto"/>
            <w:noWrap/>
            <w:vAlign w:val="center"/>
            <w:hideMark/>
          </w:tcPr>
          <w:p w14:paraId="3FBEB3FD" w14:textId="77777777" w:rsidR="00FC752D" w:rsidRPr="00BC4AFE" w:rsidRDefault="00FC752D" w:rsidP="006211D7">
            <w:pPr>
              <w:widowControl w:val="0"/>
              <w:ind w:right="144"/>
              <w:jc w:val="right"/>
              <w:rPr>
                <w:sz w:val="18"/>
                <w:szCs w:val="18"/>
              </w:rPr>
            </w:pPr>
            <w:r w:rsidRPr="00BC4AFE">
              <w:rPr>
                <w:sz w:val="18"/>
                <w:szCs w:val="18"/>
              </w:rPr>
              <w:t>0.293</w:t>
            </w:r>
          </w:p>
        </w:tc>
        <w:tc>
          <w:tcPr>
            <w:tcW w:w="1182" w:type="dxa"/>
            <w:shd w:val="clear" w:color="auto" w:fill="auto"/>
            <w:noWrap/>
            <w:vAlign w:val="center"/>
            <w:hideMark/>
          </w:tcPr>
          <w:p w14:paraId="120BD11F" w14:textId="77777777" w:rsidR="00FC752D" w:rsidRPr="00BC4AFE" w:rsidRDefault="00FC752D" w:rsidP="006211D7">
            <w:pPr>
              <w:widowControl w:val="0"/>
              <w:ind w:right="144"/>
              <w:jc w:val="right"/>
              <w:rPr>
                <w:sz w:val="18"/>
                <w:szCs w:val="18"/>
              </w:rPr>
            </w:pPr>
            <w:r w:rsidRPr="00BC4AFE">
              <w:rPr>
                <w:sz w:val="18"/>
                <w:szCs w:val="18"/>
              </w:rPr>
              <w:t>38,106</w:t>
            </w:r>
          </w:p>
        </w:tc>
        <w:tc>
          <w:tcPr>
            <w:tcW w:w="1182" w:type="dxa"/>
            <w:shd w:val="clear" w:color="auto" w:fill="auto"/>
            <w:noWrap/>
            <w:vAlign w:val="center"/>
            <w:hideMark/>
          </w:tcPr>
          <w:p w14:paraId="6A624E6D" w14:textId="77777777" w:rsidR="00FC752D" w:rsidRPr="00BC4AFE" w:rsidRDefault="00FC752D" w:rsidP="006211D7">
            <w:pPr>
              <w:widowControl w:val="0"/>
              <w:ind w:right="144"/>
              <w:jc w:val="right"/>
              <w:rPr>
                <w:sz w:val="18"/>
                <w:szCs w:val="18"/>
              </w:rPr>
            </w:pPr>
            <w:r w:rsidRPr="00BC4AFE">
              <w:rPr>
                <w:sz w:val="18"/>
                <w:szCs w:val="18"/>
              </w:rPr>
              <w:t>41,796</w:t>
            </w:r>
          </w:p>
        </w:tc>
        <w:tc>
          <w:tcPr>
            <w:tcW w:w="1171" w:type="dxa"/>
            <w:shd w:val="clear" w:color="auto" w:fill="auto"/>
            <w:noWrap/>
            <w:vAlign w:val="center"/>
            <w:hideMark/>
          </w:tcPr>
          <w:p w14:paraId="5867A654" w14:textId="77777777" w:rsidR="00FC752D" w:rsidRPr="00BC4AFE" w:rsidRDefault="00FC752D" w:rsidP="006211D7">
            <w:pPr>
              <w:widowControl w:val="0"/>
              <w:ind w:right="144"/>
              <w:jc w:val="right"/>
              <w:rPr>
                <w:sz w:val="18"/>
                <w:szCs w:val="18"/>
              </w:rPr>
            </w:pPr>
            <w:r w:rsidRPr="00BC4AFE">
              <w:rPr>
                <w:sz w:val="18"/>
                <w:szCs w:val="18"/>
              </w:rPr>
              <w:t>79,903</w:t>
            </w:r>
          </w:p>
        </w:tc>
      </w:tr>
      <w:tr w:rsidR="00FC752D" w:rsidRPr="00BC4AFE" w14:paraId="1AFA411C" w14:textId="77777777" w:rsidTr="00A60395">
        <w:trPr>
          <w:cantSplit/>
          <w:trHeight w:val="245"/>
        </w:trPr>
        <w:tc>
          <w:tcPr>
            <w:tcW w:w="3605" w:type="dxa"/>
            <w:shd w:val="clear" w:color="auto" w:fill="auto"/>
            <w:vAlign w:val="center"/>
            <w:hideMark/>
          </w:tcPr>
          <w:p w14:paraId="05EF97D1" w14:textId="77777777" w:rsidR="00FC752D" w:rsidRPr="00BC4AFE" w:rsidRDefault="00FC752D" w:rsidP="006211D7">
            <w:pPr>
              <w:widowControl w:val="0"/>
              <w:ind w:left="144" w:hanging="144"/>
              <w:rPr>
                <w:sz w:val="18"/>
                <w:szCs w:val="18"/>
              </w:rPr>
            </w:pPr>
            <w:r w:rsidRPr="00BC4AFE">
              <w:rPr>
                <w:sz w:val="18"/>
                <w:szCs w:val="18"/>
              </w:rPr>
              <w:t>Kyrgyzstan</w:t>
            </w:r>
          </w:p>
        </w:tc>
        <w:tc>
          <w:tcPr>
            <w:tcW w:w="1182" w:type="dxa"/>
            <w:shd w:val="clear" w:color="auto" w:fill="auto"/>
            <w:vAlign w:val="center"/>
            <w:hideMark/>
          </w:tcPr>
          <w:p w14:paraId="539FDFCD"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shd w:val="clear" w:color="auto" w:fill="auto"/>
            <w:noWrap/>
            <w:vAlign w:val="center"/>
            <w:hideMark/>
          </w:tcPr>
          <w:p w14:paraId="3759A220"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04AD79A0"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shd w:val="clear" w:color="auto" w:fill="auto"/>
            <w:noWrap/>
            <w:vAlign w:val="center"/>
            <w:hideMark/>
          </w:tcPr>
          <w:p w14:paraId="0E1F93FE"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shd w:val="clear" w:color="auto" w:fill="auto"/>
            <w:noWrap/>
            <w:vAlign w:val="center"/>
            <w:hideMark/>
          </w:tcPr>
          <w:p w14:paraId="6C7D38D5"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3DAEB5B0" w14:textId="77777777" w:rsidTr="00A60395">
        <w:trPr>
          <w:cantSplit/>
          <w:trHeight w:val="245"/>
        </w:trPr>
        <w:tc>
          <w:tcPr>
            <w:tcW w:w="3605" w:type="dxa"/>
            <w:shd w:val="clear" w:color="auto" w:fill="auto"/>
            <w:vAlign w:val="center"/>
            <w:hideMark/>
          </w:tcPr>
          <w:p w14:paraId="0DA0A139" w14:textId="77777777" w:rsidR="00FC752D" w:rsidRPr="00BC4AFE" w:rsidRDefault="00FC752D" w:rsidP="006211D7">
            <w:pPr>
              <w:widowControl w:val="0"/>
              <w:ind w:left="144" w:hanging="144"/>
              <w:rPr>
                <w:sz w:val="18"/>
                <w:szCs w:val="18"/>
              </w:rPr>
            </w:pPr>
            <w:r w:rsidRPr="00BC4AFE">
              <w:rPr>
                <w:sz w:val="18"/>
                <w:szCs w:val="18"/>
              </w:rPr>
              <w:t>Lao People’s Democratic Republic</w:t>
            </w:r>
          </w:p>
        </w:tc>
        <w:tc>
          <w:tcPr>
            <w:tcW w:w="1182" w:type="dxa"/>
            <w:shd w:val="clear" w:color="auto" w:fill="auto"/>
            <w:vAlign w:val="center"/>
            <w:hideMark/>
          </w:tcPr>
          <w:p w14:paraId="6655B736" w14:textId="77777777" w:rsidR="00FC752D" w:rsidRPr="00BC4AFE" w:rsidRDefault="00FC752D" w:rsidP="006211D7">
            <w:pPr>
              <w:widowControl w:val="0"/>
              <w:ind w:right="144"/>
              <w:jc w:val="right"/>
              <w:rPr>
                <w:sz w:val="18"/>
                <w:szCs w:val="18"/>
              </w:rPr>
            </w:pPr>
            <w:r w:rsidRPr="00BC4AFE">
              <w:rPr>
                <w:sz w:val="18"/>
                <w:szCs w:val="18"/>
              </w:rPr>
              <w:t>0.007</w:t>
            </w:r>
          </w:p>
        </w:tc>
        <w:tc>
          <w:tcPr>
            <w:tcW w:w="1182" w:type="dxa"/>
            <w:shd w:val="clear" w:color="auto" w:fill="auto"/>
            <w:noWrap/>
            <w:vAlign w:val="center"/>
            <w:hideMark/>
          </w:tcPr>
          <w:p w14:paraId="0162729B" w14:textId="77777777" w:rsidR="00FC752D" w:rsidRPr="00BC4AFE" w:rsidRDefault="00FC752D" w:rsidP="006211D7">
            <w:pPr>
              <w:widowControl w:val="0"/>
              <w:ind w:right="144"/>
              <w:jc w:val="right"/>
              <w:rPr>
                <w:sz w:val="18"/>
                <w:szCs w:val="18"/>
              </w:rPr>
            </w:pPr>
            <w:r w:rsidRPr="00BC4AFE">
              <w:rPr>
                <w:sz w:val="18"/>
                <w:szCs w:val="18"/>
              </w:rPr>
              <w:t>0.009</w:t>
            </w:r>
          </w:p>
        </w:tc>
        <w:tc>
          <w:tcPr>
            <w:tcW w:w="1182" w:type="dxa"/>
            <w:shd w:val="clear" w:color="auto" w:fill="auto"/>
            <w:noWrap/>
            <w:vAlign w:val="center"/>
            <w:hideMark/>
          </w:tcPr>
          <w:p w14:paraId="38D34B92" w14:textId="77777777" w:rsidR="00FC752D" w:rsidRPr="00BC4AFE" w:rsidRDefault="00FC752D" w:rsidP="006211D7">
            <w:pPr>
              <w:widowControl w:val="0"/>
              <w:ind w:right="144"/>
              <w:jc w:val="right"/>
              <w:rPr>
                <w:sz w:val="18"/>
                <w:szCs w:val="18"/>
              </w:rPr>
            </w:pPr>
            <w:r w:rsidRPr="00BC4AFE">
              <w:rPr>
                <w:sz w:val="18"/>
                <w:szCs w:val="18"/>
              </w:rPr>
              <w:t>1,140</w:t>
            </w:r>
          </w:p>
        </w:tc>
        <w:tc>
          <w:tcPr>
            <w:tcW w:w="1182" w:type="dxa"/>
            <w:shd w:val="clear" w:color="auto" w:fill="auto"/>
            <w:noWrap/>
            <w:vAlign w:val="center"/>
            <w:hideMark/>
          </w:tcPr>
          <w:p w14:paraId="1D0700C6" w14:textId="77777777" w:rsidR="00FC752D" w:rsidRPr="00BC4AFE" w:rsidRDefault="00FC752D" w:rsidP="006211D7">
            <w:pPr>
              <w:widowControl w:val="0"/>
              <w:ind w:right="144"/>
              <w:jc w:val="right"/>
              <w:rPr>
                <w:sz w:val="18"/>
                <w:szCs w:val="18"/>
              </w:rPr>
            </w:pPr>
            <w:r w:rsidRPr="00BC4AFE">
              <w:rPr>
                <w:sz w:val="18"/>
                <w:szCs w:val="18"/>
              </w:rPr>
              <w:t>1,250</w:t>
            </w:r>
          </w:p>
        </w:tc>
        <w:tc>
          <w:tcPr>
            <w:tcW w:w="1171" w:type="dxa"/>
            <w:shd w:val="clear" w:color="auto" w:fill="auto"/>
            <w:noWrap/>
            <w:vAlign w:val="center"/>
            <w:hideMark/>
          </w:tcPr>
          <w:p w14:paraId="30B57DFA" w14:textId="77777777" w:rsidR="00FC752D" w:rsidRPr="00BC4AFE" w:rsidRDefault="00FC752D" w:rsidP="006211D7">
            <w:pPr>
              <w:widowControl w:val="0"/>
              <w:ind w:right="144"/>
              <w:jc w:val="right"/>
              <w:rPr>
                <w:sz w:val="18"/>
                <w:szCs w:val="18"/>
              </w:rPr>
            </w:pPr>
            <w:r w:rsidRPr="00BC4AFE">
              <w:rPr>
                <w:sz w:val="18"/>
                <w:szCs w:val="18"/>
              </w:rPr>
              <w:t>2,390</w:t>
            </w:r>
          </w:p>
        </w:tc>
      </w:tr>
      <w:tr w:rsidR="00FC752D" w:rsidRPr="00BC4AFE" w14:paraId="2FD1C259" w14:textId="77777777" w:rsidTr="00A60395">
        <w:trPr>
          <w:cantSplit/>
          <w:trHeight w:val="245"/>
        </w:trPr>
        <w:tc>
          <w:tcPr>
            <w:tcW w:w="3605" w:type="dxa"/>
            <w:shd w:val="clear" w:color="auto" w:fill="auto"/>
            <w:vAlign w:val="center"/>
            <w:hideMark/>
          </w:tcPr>
          <w:p w14:paraId="727D00EB" w14:textId="77777777" w:rsidR="00FC752D" w:rsidRPr="00BC4AFE" w:rsidRDefault="00FC752D" w:rsidP="006211D7">
            <w:pPr>
              <w:widowControl w:val="0"/>
              <w:ind w:left="144" w:hanging="144"/>
              <w:rPr>
                <w:sz w:val="18"/>
                <w:szCs w:val="18"/>
              </w:rPr>
            </w:pPr>
            <w:r w:rsidRPr="00BC4AFE">
              <w:rPr>
                <w:sz w:val="18"/>
                <w:szCs w:val="18"/>
              </w:rPr>
              <w:t>Latvia</w:t>
            </w:r>
          </w:p>
        </w:tc>
        <w:tc>
          <w:tcPr>
            <w:tcW w:w="1182" w:type="dxa"/>
            <w:shd w:val="clear" w:color="auto" w:fill="auto"/>
            <w:vAlign w:val="center"/>
            <w:hideMark/>
          </w:tcPr>
          <w:p w14:paraId="40992B5C" w14:textId="77777777" w:rsidR="00FC752D" w:rsidRPr="00BC4AFE" w:rsidRDefault="00FC752D" w:rsidP="006211D7">
            <w:pPr>
              <w:widowControl w:val="0"/>
              <w:ind w:right="144"/>
              <w:jc w:val="right"/>
              <w:rPr>
                <w:sz w:val="18"/>
                <w:szCs w:val="18"/>
              </w:rPr>
            </w:pPr>
            <w:r w:rsidRPr="00BC4AFE">
              <w:rPr>
                <w:sz w:val="18"/>
                <w:szCs w:val="18"/>
              </w:rPr>
              <w:t>0.050</w:t>
            </w:r>
          </w:p>
        </w:tc>
        <w:tc>
          <w:tcPr>
            <w:tcW w:w="1182" w:type="dxa"/>
            <w:shd w:val="clear" w:color="auto" w:fill="auto"/>
            <w:noWrap/>
            <w:vAlign w:val="center"/>
            <w:hideMark/>
          </w:tcPr>
          <w:p w14:paraId="4F214927" w14:textId="77777777" w:rsidR="00FC752D" w:rsidRPr="00BC4AFE" w:rsidRDefault="00FC752D" w:rsidP="006211D7">
            <w:pPr>
              <w:widowControl w:val="0"/>
              <w:ind w:right="144"/>
              <w:jc w:val="right"/>
              <w:rPr>
                <w:sz w:val="18"/>
                <w:szCs w:val="18"/>
              </w:rPr>
            </w:pPr>
            <w:r w:rsidRPr="00BC4AFE">
              <w:rPr>
                <w:sz w:val="18"/>
                <w:szCs w:val="18"/>
              </w:rPr>
              <w:t>0.063</w:t>
            </w:r>
          </w:p>
        </w:tc>
        <w:tc>
          <w:tcPr>
            <w:tcW w:w="1182" w:type="dxa"/>
            <w:shd w:val="clear" w:color="auto" w:fill="auto"/>
            <w:noWrap/>
            <w:vAlign w:val="center"/>
            <w:hideMark/>
          </w:tcPr>
          <w:p w14:paraId="4B004A1D" w14:textId="77777777" w:rsidR="00FC752D" w:rsidRPr="00BC4AFE" w:rsidRDefault="00FC752D" w:rsidP="006211D7">
            <w:pPr>
              <w:widowControl w:val="0"/>
              <w:ind w:right="144"/>
              <w:jc w:val="right"/>
              <w:rPr>
                <w:sz w:val="18"/>
                <w:szCs w:val="18"/>
              </w:rPr>
            </w:pPr>
            <w:r w:rsidRPr="00BC4AFE">
              <w:rPr>
                <w:sz w:val="18"/>
                <w:szCs w:val="18"/>
              </w:rPr>
              <w:t>8,142</w:t>
            </w:r>
          </w:p>
        </w:tc>
        <w:tc>
          <w:tcPr>
            <w:tcW w:w="1182" w:type="dxa"/>
            <w:shd w:val="clear" w:color="auto" w:fill="auto"/>
            <w:noWrap/>
            <w:vAlign w:val="center"/>
            <w:hideMark/>
          </w:tcPr>
          <w:p w14:paraId="6528186B" w14:textId="77777777" w:rsidR="00FC752D" w:rsidRPr="00BC4AFE" w:rsidRDefault="00FC752D" w:rsidP="006211D7">
            <w:pPr>
              <w:widowControl w:val="0"/>
              <w:ind w:right="144"/>
              <w:jc w:val="right"/>
              <w:rPr>
                <w:sz w:val="18"/>
                <w:szCs w:val="18"/>
              </w:rPr>
            </w:pPr>
            <w:r w:rsidRPr="00BC4AFE">
              <w:rPr>
                <w:sz w:val="18"/>
                <w:szCs w:val="18"/>
              </w:rPr>
              <w:t>8,931</w:t>
            </w:r>
          </w:p>
        </w:tc>
        <w:tc>
          <w:tcPr>
            <w:tcW w:w="1171" w:type="dxa"/>
            <w:shd w:val="clear" w:color="auto" w:fill="auto"/>
            <w:noWrap/>
            <w:vAlign w:val="center"/>
            <w:hideMark/>
          </w:tcPr>
          <w:p w14:paraId="4E3DB190" w14:textId="77777777" w:rsidR="00FC752D" w:rsidRPr="00BC4AFE" w:rsidRDefault="00FC752D" w:rsidP="006211D7">
            <w:pPr>
              <w:widowControl w:val="0"/>
              <w:ind w:right="144"/>
              <w:jc w:val="right"/>
              <w:rPr>
                <w:sz w:val="18"/>
                <w:szCs w:val="18"/>
              </w:rPr>
            </w:pPr>
            <w:r w:rsidRPr="00BC4AFE">
              <w:rPr>
                <w:sz w:val="18"/>
                <w:szCs w:val="18"/>
              </w:rPr>
              <w:t>17,073</w:t>
            </w:r>
          </w:p>
        </w:tc>
      </w:tr>
      <w:tr w:rsidR="00FC752D" w:rsidRPr="00BC4AFE" w14:paraId="658CD31D" w14:textId="77777777" w:rsidTr="00A60395">
        <w:trPr>
          <w:cantSplit/>
          <w:trHeight w:val="245"/>
        </w:trPr>
        <w:tc>
          <w:tcPr>
            <w:tcW w:w="3605" w:type="dxa"/>
            <w:shd w:val="clear" w:color="auto" w:fill="auto"/>
            <w:vAlign w:val="center"/>
            <w:hideMark/>
          </w:tcPr>
          <w:p w14:paraId="1D198C6D" w14:textId="77777777" w:rsidR="00FC752D" w:rsidRPr="00BC4AFE" w:rsidRDefault="00FC752D" w:rsidP="006211D7">
            <w:pPr>
              <w:widowControl w:val="0"/>
              <w:ind w:left="144" w:hanging="144"/>
              <w:rPr>
                <w:sz w:val="18"/>
                <w:szCs w:val="18"/>
              </w:rPr>
            </w:pPr>
            <w:r w:rsidRPr="00BC4AFE">
              <w:rPr>
                <w:sz w:val="18"/>
                <w:szCs w:val="18"/>
              </w:rPr>
              <w:t>Lebanon</w:t>
            </w:r>
          </w:p>
        </w:tc>
        <w:tc>
          <w:tcPr>
            <w:tcW w:w="1182" w:type="dxa"/>
            <w:shd w:val="clear" w:color="auto" w:fill="auto"/>
            <w:vAlign w:val="center"/>
            <w:hideMark/>
          </w:tcPr>
          <w:p w14:paraId="782CFEFF" w14:textId="77777777" w:rsidR="00FC752D" w:rsidRPr="00BC4AFE" w:rsidRDefault="00FC752D" w:rsidP="006211D7">
            <w:pPr>
              <w:widowControl w:val="0"/>
              <w:ind w:right="144"/>
              <w:jc w:val="right"/>
              <w:rPr>
                <w:sz w:val="18"/>
                <w:szCs w:val="18"/>
              </w:rPr>
            </w:pPr>
            <w:r w:rsidRPr="00BC4AFE">
              <w:rPr>
                <w:sz w:val="18"/>
                <w:szCs w:val="18"/>
              </w:rPr>
              <w:t>0.036</w:t>
            </w:r>
          </w:p>
        </w:tc>
        <w:tc>
          <w:tcPr>
            <w:tcW w:w="1182" w:type="dxa"/>
            <w:shd w:val="clear" w:color="auto" w:fill="auto"/>
            <w:noWrap/>
            <w:vAlign w:val="center"/>
            <w:hideMark/>
          </w:tcPr>
          <w:p w14:paraId="713F6ED3" w14:textId="77777777" w:rsidR="00FC752D" w:rsidRPr="00BC4AFE" w:rsidRDefault="00FC752D" w:rsidP="006211D7">
            <w:pPr>
              <w:widowControl w:val="0"/>
              <w:ind w:right="144"/>
              <w:jc w:val="right"/>
              <w:rPr>
                <w:sz w:val="18"/>
                <w:szCs w:val="18"/>
              </w:rPr>
            </w:pPr>
            <w:r w:rsidRPr="00BC4AFE">
              <w:rPr>
                <w:sz w:val="18"/>
                <w:szCs w:val="18"/>
              </w:rPr>
              <w:t>0.045</w:t>
            </w:r>
          </w:p>
        </w:tc>
        <w:tc>
          <w:tcPr>
            <w:tcW w:w="1182" w:type="dxa"/>
            <w:shd w:val="clear" w:color="auto" w:fill="auto"/>
            <w:noWrap/>
            <w:vAlign w:val="center"/>
            <w:hideMark/>
          </w:tcPr>
          <w:p w14:paraId="298B8DF7" w14:textId="77777777" w:rsidR="00FC752D" w:rsidRPr="00BC4AFE" w:rsidRDefault="00FC752D" w:rsidP="006211D7">
            <w:pPr>
              <w:widowControl w:val="0"/>
              <w:ind w:right="144"/>
              <w:jc w:val="right"/>
              <w:rPr>
                <w:sz w:val="18"/>
                <w:szCs w:val="18"/>
              </w:rPr>
            </w:pPr>
            <w:r w:rsidRPr="00BC4AFE">
              <w:rPr>
                <w:sz w:val="18"/>
                <w:szCs w:val="18"/>
              </w:rPr>
              <w:t>5,862</w:t>
            </w:r>
          </w:p>
        </w:tc>
        <w:tc>
          <w:tcPr>
            <w:tcW w:w="1182" w:type="dxa"/>
            <w:shd w:val="clear" w:color="auto" w:fill="auto"/>
            <w:noWrap/>
            <w:vAlign w:val="center"/>
            <w:hideMark/>
          </w:tcPr>
          <w:p w14:paraId="69D1F333" w14:textId="77777777" w:rsidR="00FC752D" w:rsidRPr="00BC4AFE" w:rsidRDefault="00FC752D" w:rsidP="006211D7">
            <w:pPr>
              <w:widowControl w:val="0"/>
              <w:ind w:right="144"/>
              <w:jc w:val="right"/>
              <w:rPr>
                <w:sz w:val="18"/>
                <w:szCs w:val="18"/>
              </w:rPr>
            </w:pPr>
            <w:r w:rsidRPr="00BC4AFE">
              <w:rPr>
                <w:sz w:val="18"/>
                <w:szCs w:val="18"/>
              </w:rPr>
              <w:t>6,430</w:t>
            </w:r>
          </w:p>
        </w:tc>
        <w:tc>
          <w:tcPr>
            <w:tcW w:w="1171" w:type="dxa"/>
            <w:shd w:val="clear" w:color="auto" w:fill="auto"/>
            <w:noWrap/>
            <w:vAlign w:val="center"/>
            <w:hideMark/>
          </w:tcPr>
          <w:p w14:paraId="366BEDC1" w14:textId="77777777" w:rsidR="00FC752D" w:rsidRPr="00BC4AFE" w:rsidRDefault="00FC752D" w:rsidP="006211D7">
            <w:pPr>
              <w:widowControl w:val="0"/>
              <w:ind w:right="144"/>
              <w:jc w:val="right"/>
              <w:rPr>
                <w:sz w:val="18"/>
                <w:szCs w:val="18"/>
              </w:rPr>
            </w:pPr>
            <w:r w:rsidRPr="00BC4AFE">
              <w:rPr>
                <w:sz w:val="18"/>
                <w:szCs w:val="18"/>
              </w:rPr>
              <w:t>12,293</w:t>
            </w:r>
          </w:p>
        </w:tc>
      </w:tr>
      <w:tr w:rsidR="00FC752D" w:rsidRPr="00BC4AFE" w14:paraId="619F0992" w14:textId="77777777" w:rsidTr="00A60395">
        <w:trPr>
          <w:cantSplit/>
          <w:trHeight w:val="245"/>
        </w:trPr>
        <w:tc>
          <w:tcPr>
            <w:tcW w:w="3605" w:type="dxa"/>
            <w:shd w:val="clear" w:color="auto" w:fill="auto"/>
            <w:vAlign w:val="center"/>
            <w:hideMark/>
          </w:tcPr>
          <w:p w14:paraId="668BDCBE" w14:textId="77777777" w:rsidR="00FC752D" w:rsidRPr="00BC4AFE" w:rsidRDefault="00FC752D" w:rsidP="006211D7">
            <w:pPr>
              <w:widowControl w:val="0"/>
              <w:ind w:left="144" w:hanging="144"/>
              <w:rPr>
                <w:sz w:val="18"/>
                <w:szCs w:val="18"/>
              </w:rPr>
            </w:pPr>
            <w:r w:rsidRPr="00BC4AFE">
              <w:rPr>
                <w:sz w:val="18"/>
                <w:szCs w:val="18"/>
              </w:rPr>
              <w:t>Lesotho</w:t>
            </w:r>
          </w:p>
        </w:tc>
        <w:tc>
          <w:tcPr>
            <w:tcW w:w="1182" w:type="dxa"/>
            <w:shd w:val="clear" w:color="auto" w:fill="auto"/>
            <w:vAlign w:val="center"/>
            <w:hideMark/>
          </w:tcPr>
          <w:p w14:paraId="1EA063BB"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0A1EB655"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57459399"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233C41AE"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59B075AB"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795D6596" w14:textId="77777777" w:rsidTr="00A60395">
        <w:trPr>
          <w:cantSplit/>
          <w:trHeight w:val="245"/>
        </w:trPr>
        <w:tc>
          <w:tcPr>
            <w:tcW w:w="3605" w:type="dxa"/>
            <w:shd w:val="clear" w:color="auto" w:fill="auto"/>
            <w:vAlign w:val="center"/>
            <w:hideMark/>
          </w:tcPr>
          <w:p w14:paraId="2D3F07D2" w14:textId="77777777" w:rsidR="00FC752D" w:rsidRPr="00BC4AFE" w:rsidRDefault="00FC752D" w:rsidP="006211D7">
            <w:pPr>
              <w:widowControl w:val="0"/>
              <w:ind w:left="144" w:hanging="144"/>
              <w:rPr>
                <w:sz w:val="18"/>
                <w:szCs w:val="18"/>
              </w:rPr>
            </w:pPr>
            <w:r w:rsidRPr="00BC4AFE">
              <w:rPr>
                <w:sz w:val="18"/>
                <w:szCs w:val="18"/>
              </w:rPr>
              <w:t>Liberia</w:t>
            </w:r>
          </w:p>
        </w:tc>
        <w:tc>
          <w:tcPr>
            <w:tcW w:w="1182" w:type="dxa"/>
            <w:shd w:val="clear" w:color="auto" w:fill="auto"/>
            <w:vAlign w:val="center"/>
            <w:hideMark/>
          </w:tcPr>
          <w:p w14:paraId="661BDEB3"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563B69F1"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405C387D"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2CEFE981"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0ADDC864"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05C1C2F9" w14:textId="77777777" w:rsidTr="00A60395">
        <w:trPr>
          <w:cantSplit/>
          <w:trHeight w:val="245"/>
        </w:trPr>
        <w:tc>
          <w:tcPr>
            <w:tcW w:w="3605" w:type="dxa"/>
            <w:shd w:val="clear" w:color="auto" w:fill="auto"/>
            <w:vAlign w:val="center"/>
            <w:hideMark/>
          </w:tcPr>
          <w:p w14:paraId="0F0F33B7" w14:textId="77777777" w:rsidR="00FC752D" w:rsidRPr="00BC4AFE" w:rsidRDefault="00FC752D" w:rsidP="006211D7">
            <w:pPr>
              <w:widowControl w:val="0"/>
              <w:ind w:left="144" w:hanging="144"/>
              <w:rPr>
                <w:sz w:val="18"/>
                <w:szCs w:val="18"/>
              </w:rPr>
            </w:pPr>
            <w:r w:rsidRPr="00BC4AFE">
              <w:rPr>
                <w:sz w:val="18"/>
                <w:szCs w:val="18"/>
              </w:rPr>
              <w:t>Libya</w:t>
            </w:r>
          </w:p>
        </w:tc>
        <w:tc>
          <w:tcPr>
            <w:tcW w:w="1182" w:type="dxa"/>
            <w:shd w:val="clear" w:color="auto" w:fill="auto"/>
            <w:vAlign w:val="center"/>
            <w:hideMark/>
          </w:tcPr>
          <w:p w14:paraId="553FAFA6" w14:textId="77777777" w:rsidR="00FC752D" w:rsidRPr="00BC4AFE" w:rsidRDefault="00FC752D" w:rsidP="006211D7">
            <w:pPr>
              <w:widowControl w:val="0"/>
              <w:ind w:right="144"/>
              <w:jc w:val="right"/>
              <w:rPr>
                <w:sz w:val="18"/>
                <w:szCs w:val="18"/>
              </w:rPr>
            </w:pPr>
            <w:r w:rsidRPr="00BC4AFE">
              <w:rPr>
                <w:sz w:val="18"/>
                <w:szCs w:val="18"/>
              </w:rPr>
              <w:t>0.018</w:t>
            </w:r>
          </w:p>
        </w:tc>
        <w:tc>
          <w:tcPr>
            <w:tcW w:w="1182" w:type="dxa"/>
            <w:shd w:val="clear" w:color="auto" w:fill="auto"/>
            <w:noWrap/>
            <w:vAlign w:val="center"/>
            <w:hideMark/>
          </w:tcPr>
          <w:p w14:paraId="074247AD" w14:textId="77777777" w:rsidR="00FC752D" w:rsidRPr="00BC4AFE" w:rsidRDefault="00FC752D" w:rsidP="006211D7">
            <w:pPr>
              <w:widowControl w:val="0"/>
              <w:ind w:right="144"/>
              <w:jc w:val="right"/>
              <w:rPr>
                <w:sz w:val="18"/>
                <w:szCs w:val="18"/>
              </w:rPr>
            </w:pPr>
            <w:r w:rsidRPr="00BC4AFE">
              <w:rPr>
                <w:sz w:val="18"/>
                <w:szCs w:val="18"/>
              </w:rPr>
              <w:t>0.023</w:t>
            </w:r>
          </w:p>
        </w:tc>
        <w:tc>
          <w:tcPr>
            <w:tcW w:w="1182" w:type="dxa"/>
            <w:shd w:val="clear" w:color="auto" w:fill="auto"/>
            <w:noWrap/>
            <w:vAlign w:val="center"/>
            <w:hideMark/>
          </w:tcPr>
          <w:p w14:paraId="14C47F8F" w14:textId="77777777" w:rsidR="00FC752D" w:rsidRPr="00BC4AFE" w:rsidRDefault="00FC752D" w:rsidP="006211D7">
            <w:pPr>
              <w:widowControl w:val="0"/>
              <w:ind w:right="144"/>
              <w:jc w:val="right"/>
              <w:rPr>
                <w:sz w:val="18"/>
                <w:szCs w:val="18"/>
              </w:rPr>
            </w:pPr>
            <w:r w:rsidRPr="00BC4AFE">
              <w:rPr>
                <w:sz w:val="18"/>
                <w:szCs w:val="18"/>
              </w:rPr>
              <w:t>2,931</w:t>
            </w:r>
          </w:p>
        </w:tc>
        <w:tc>
          <w:tcPr>
            <w:tcW w:w="1182" w:type="dxa"/>
            <w:shd w:val="clear" w:color="auto" w:fill="auto"/>
            <w:noWrap/>
            <w:vAlign w:val="center"/>
            <w:hideMark/>
          </w:tcPr>
          <w:p w14:paraId="515E3DE8" w14:textId="77777777" w:rsidR="00FC752D" w:rsidRPr="00BC4AFE" w:rsidRDefault="00FC752D" w:rsidP="006211D7">
            <w:pPr>
              <w:widowControl w:val="0"/>
              <w:ind w:right="144"/>
              <w:jc w:val="right"/>
              <w:rPr>
                <w:sz w:val="18"/>
                <w:szCs w:val="18"/>
              </w:rPr>
            </w:pPr>
            <w:r w:rsidRPr="00BC4AFE">
              <w:rPr>
                <w:sz w:val="18"/>
                <w:szCs w:val="18"/>
              </w:rPr>
              <w:t>3,215</w:t>
            </w:r>
          </w:p>
        </w:tc>
        <w:tc>
          <w:tcPr>
            <w:tcW w:w="1171" w:type="dxa"/>
            <w:shd w:val="clear" w:color="auto" w:fill="auto"/>
            <w:noWrap/>
            <w:vAlign w:val="center"/>
            <w:hideMark/>
          </w:tcPr>
          <w:p w14:paraId="2779C686" w14:textId="77777777" w:rsidR="00FC752D" w:rsidRPr="00BC4AFE" w:rsidRDefault="00FC752D" w:rsidP="006211D7">
            <w:pPr>
              <w:widowControl w:val="0"/>
              <w:ind w:right="144"/>
              <w:jc w:val="right"/>
              <w:rPr>
                <w:sz w:val="18"/>
                <w:szCs w:val="18"/>
              </w:rPr>
            </w:pPr>
            <w:r w:rsidRPr="00BC4AFE">
              <w:rPr>
                <w:sz w:val="18"/>
                <w:szCs w:val="18"/>
              </w:rPr>
              <w:t>6,146</w:t>
            </w:r>
          </w:p>
        </w:tc>
      </w:tr>
      <w:tr w:rsidR="00FC752D" w:rsidRPr="00BC4AFE" w14:paraId="3BAADFB5" w14:textId="77777777" w:rsidTr="00A60395">
        <w:trPr>
          <w:cantSplit/>
          <w:trHeight w:val="245"/>
        </w:trPr>
        <w:tc>
          <w:tcPr>
            <w:tcW w:w="3605" w:type="dxa"/>
            <w:shd w:val="clear" w:color="auto" w:fill="auto"/>
            <w:vAlign w:val="center"/>
            <w:hideMark/>
          </w:tcPr>
          <w:p w14:paraId="75617816" w14:textId="77777777" w:rsidR="00FC752D" w:rsidRPr="00BC4AFE" w:rsidRDefault="00FC752D" w:rsidP="006211D7">
            <w:pPr>
              <w:widowControl w:val="0"/>
              <w:ind w:left="144" w:hanging="144"/>
              <w:rPr>
                <w:sz w:val="18"/>
                <w:szCs w:val="18"/>
              </w:rPr>
            </w:pPr>
            <w:r w:rsidRPr="00BC4AFE">
              <w:rPr>
                <w:sz w:val="18"/>
                <w:szCs w:val="18"/>
              </w:rPr>
              <w:t>Liechtenstein</w:t>
            </w:r>
          </w:p>
        </w:tc>
        <w:tc>
          <w:tcPr>
            <w:tcW w:w="1182" w:type="dxa"/>
            <w:shd w:val="clear" w:color="auto" w:fill="auto"/>
            <w:vAlign w:val="center"/>
            <w:hideMark/>
          </w:tcPr>
          <w:p w14:paraId="3748D596"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00369D0F" w14:textId="77777777" w:rsidR="00FC752D" w:rsidRPr="00BC4AFE" w:rsidRDefault="00FC752D" w:rsidP="006211D7">
            <w:pPr>
              <w:widowControl w:val="0"/>
              <w:ind w:right="144"/>
              <w:jc w:val="right"/>
              <w:rPr>
                <w:sz w:val="18"/>
                <w:szCs w:val="18"/>
              </w:rPr>
            </w:pPr>
            <w:r w:rsidRPr="00BC4AFE">
              <w:rPr>
                <w:sz w:val="18"/>
                <w:szCs w:val="18"/>
              </w:rPr>
              <w:t>0.013</w:t>
            </w:r>
          </w:p>
        </w:tc>
        <w:tc>
          <w:tcPr>
            <w:tcW w:w="1182" w:type="dxa"/>
            <w:shd w:val="clear" w:color="auto" w:fill="auto"/>
            <w:noWrap/>
            <w:vAlign w:val="center"/>
            <w:hideMark/>
          </w:tcPr>
          <w:p w14:paraId="4A33F974" w14:textId="77777777" w:rsidR="00FC752D" w:rsidRPr="00BC4AFE" w:rsidRDefault="00FC752D" w:rsidP="006211D7">
            <w:pPr>
              <w:widowControl w:val="0"/>
              <w:ind w:right="144"/>
              <w:jc w:val="right"/>
              <w:rPr>
                <w:sz w:val="18"/>
                <w:szCs w:val="18"/>
              </w:rPr>
            </w:pPr>
            <w:r w:rsidRPr="00BC4AFE">
              <w:rPr>
                <w:sz w:val="18"/>
                <w:szCs w:val="18"/>
              </w:rPr>
              <w:t>1,628</w:t>
            </w:r>
          </w:p>
        </w:tc>
        <w:tc>
          <w:tcPr>
            <w:tcW w:w="1182" w:type="dxa"/>
            <w:shd w:val="clear" w:color="auto" w:fill="auto"/>
            <w:noWrap/>
            <w:vAlign w:val="center"/>
            <w:hideMark/>
          </w:tcPr>
          <w:p w14:paraId="46F5A90A" w14:textId="77777777" w:rsidR="00FC752D" w:rsidRPr="00BC4AFE" w:rsidRDefault="00FC752D" w:rsidP="006211D7">
            <w:pPr>
              <w:widowControl w:val="0"/>
              <w:ind w:right="144"/>
              <w:jc w:val="right"/>
              <w:rPr>
                <w:sz w:val="18"/>
                <w:szCs w:val="18"/>
              </w:rPr>
            </w:pPr>
            <w:r w:rsidRPr="00BC4AFE">
              <w:rPr>
                <w:sz w:val="18"/>
                <w:szCs w:val="18"/>
              </w:rPr>
              <w:t>1,786</w:t>
            </w:r>
          </w:p>
        </w:tc>
        <w:tc>
          <w:tcPr>
            <w:tcW w:w="1171" w:type="dxa"/>
            <w:shd w:val="clear" w:color="auto" w:fill="auto"/>
            <w:noWrap/>
            <w:vAlign w:val="center"/>
            <w:hideMark/>
          </w:tcPr>
          <w:p w14:paraId="5962BAF3" w14:textId="77777777" w:rsidR="00FC752D" w:rsidRPr="00BC4AFE" w:rsidRDefault="00FC752D" w:rsidP="006211D7">
            <w:pPr>
              <w:widowControl w:val="0"/>
              <w:ind w:right="144"/>
              <w:jc w:val="right"/>
              <w:rPr>
                <w:sz w:val="18"/>
                <w:szCs w:val="18"/>
              </w:rPr>
            </w:pPr>
            <w:r w:rsidRPr="00BC4AFE">
              <w:rPr>
                <w:sz w:val="18"/>
                <w:szCs w:val="18"/>
              </w:rPr>
              <w:t>3,415</w:t>
            </w:r>
          </w:p>
        </w:tc>
      </w:tr>
      <w:tr w:rsidR="00FC752D" w:rsidRPr="00BC4AFE" w14:paraId="5D968434" w14:textId="77777777" w:rsidTr="00A60395">
        <w:trPr>
          <w:cantSplit/>
          <w:trHeight w:val="245"/>
        </w:trPr>
        <w:tc>
          <w:tcPr>
            <w:tcW w:w="3605" w:type="dxa"/>
            <w:shd w:val="clear" w:color="auto" w:fill="auto"/>
            <w:vAlign w:val="center"/>
            <w:hideMark/>
          </w:tcPr>
          <w:p w14:paraId="2554FE05" w14:textId="77777777" w:rsidR="00FC752D" w:rsidRPr="00BC4AFE" w:rsidRDefault="00FC752D" w:rsidP="006211D7">
            <w:pPr>
              <w:widowControl w:val="0"/>
              <w:ind w:left="144" w:hanging="144"/>
              <w:rPr>
                <w:sz w:val="18"/>
                <w:szCs w:val="18"/>
              </w:rPr>
            </w:pPr>
            <w:r w:rsidRPr="00BC4AFE">
              <w:rPr>
                <w:sz w:val="18"/>
                <w:szCs w:val="18"/>
              </w:rPr>
              <w:t>Lithuania</w:t>
            </w:r>
          </w:p>
        </w:tc>
        <w:tc>
          <w:tcPr>
            <w:tcW w:w="1182" w:type="dxa"/>
            <w:shd w:val="clear" w:color="auto" w:fill="auto"/>
            <w:vAlign w:val="center"/>
            <w:hideMark/>
          </w:tcPr>
          <w:p w14:paraId="48A1C26F" w14:textId="77777777" w:rsidR="00FC752D" w:rsidRPr="00BC4AFE" w:rsidRDefault="00FC752D" w:rsidP="006211D7">
            <w:pPr>
              <w:widowControl w:val="0"/>
              <w:ind w:right="144"/>
              <w:jc w:val="right"/>
              <w:rPr>
                <w:sz w:val="18"/>
                <w:szCs w:val="18"/>
              </w:rPr>
            </w:pPr>
            <w:r w:rsidRPr="00BC4AFE">
              <w:rPr>
                <w:sz w:val="18"/>
                <w:szCs w:val="18"/>
              </w:rPr>
              <w:t>0.077</w:t>
            </w:r>
          </w:p>
        </w:tc>
        <w:tc>
          <w:tcPr>
            <w:tcW w:w="1182" w:type="dxa"/>
            <w:shd w:val="clear" w:color="auto" w:fill="auto"/>
            <w:noWrap/>
            <w:vAlign w:val="center"/>
            <w:hideMark/>
          </w:tcPr>
          <w:p w14:paraId="00ACF425" w14:textId="77777777" w:rsidR="00FC752D" w:rsidRPr="00BC4AFE" w:rsidRDefault="00FC752D" w:rsidP="006211D7">
            <w:pPr>
              <w:widowControl w:val="0"/>
              <w:ind w:right="144"/>
              <w:jc w:val="right"/>
              <w:rPr>
                <w:sz w:val="18"/>
                <w:szCs w:val="18"/>
              </w:rPr>
            </w:pPr>
            <w:r w:rsidRPr="00BC4AFE">
              <w:rPr>
                <w:sz w:val="18"/>
                <w:szCs w:val="18"/>
              </w:rPr>
              <w:t>0.096</w:t>
            </w:r>
          </w:p>
        </w:tc>
        <w:tc>
          <w:tcPr>
            <w:tcW w:w="1182" w:type="dxa"/>
            <w:shd w:val="clear" w:color="auto" w:fill="auto"/>
            <w:noWrap/>
            <w:vAlign w:val="center"/>
            <w:hideMark/>
          </w:tcPr>
          <w:p w14:paraId="061EDE6D" w14:textId="77777777" w:rsidR="00FC752D" w:rsidRPr="00BC4AFE" w:rsidRDefault="00FC752D" w:rsidP="006211D7">
            <w:pPr>
              <w:widowControl w:val="0"/>
              <w:ind w:right="144"/>
              <w:jc w:val="right"/>
              <w:rPr>
                <w:sz w:val="18"/>
                <w:szCs w:val="18"/>
              </w:rPr>
            </w:pPr>
            <w:r w:rsidRPr="00BC4AFE">
              <w:rPr>
                <w:sz w:val="18"/>
                <w:szCs w:val="18"/>
              </w:rPr>
              <w:t>12,539</w:t>
            </w:r>
          </w:p>
        </w:tc>
        <w:tc>
          <w:tcPr>
            <w:tcW w:w="1182" w:type="dxa"/>
            <w:shd w:val="clear" w:color="auto" w:fill="auto"/>
            <w:noWrap/>
            <w:vAlign w:val="center"/>
            <w:hideMark/>
          </w:tcPr>
          <w:p w14:paraId="6947AACD" w14:textId="77777777" w:rsidR="00FC752D" w:rsidRPr="00BC4AFE" w:rsidRDefault="00FC752D" w:rsidP="006211D7">
            <w:pPr>
              <w:widowControl w:val="0"/>
              <w:ind w:right="144"/>
              <w:jc w:val="right"/>
              <w:rPr>
                <w:sz w:val="18"/>
                <w:szCs w:val="18"/>
              </w:rPr>
            </w:pPr>
            <w:r w:rsidRPr="00BC4AFE">
              <w:rPr>
                <w:sz w:val="18"/>
                <w:szCs w:val="18"/>
              </w:rPr>
              <w:t>13,753</w:t>
            </w:r>
          </w:p>
        </w:tc>
        <w:tc>
          <w:tcPr>
            <w:tcW w:w="1171" w:type="dxa"/>
            <w:shd w:val="clear" w:color="auto" w:fill="auto"/>
            <w:noWrap/>
            <w:vAlign w:val="center"/>
            <w:hideMark/>
          </w:tcPr>
          <w:p w14:paraId="7D707070" w14:textId="77777777" w:rsidR="00FC752D" w:rsidRPr="00BC4AFE" w:rsidRDefault="00FC752D" w:rsidP="006211D7">
            <w:pPr>
              <w:widowControl w:val="0"/>
              <w:ind w:right="144"/>
              <w:jc w:val="right"/>
              <w:rPr>
                <w:sz w:val="18"/>
                <w:szCs w:val="18"/>
              </w:rPr>
            </w:pPr>
            <w:r w:rsidRPr="00BC4AFE">
              <w:rPr>
                <w:sz w:val="18"/>
                <w:szCs w:val="18"/>
              </w:rPr>
              <w:t>26,293</w:t>
            </w:r>
          </w:p>
        </w:tc>
      </w:tr>
      <w:tr w:rsidR="00FC752D" w:rsidRPr="00BC4AFE" w14:paraId="3643826B" w14:textId="77777777" w:rsidTr="00A60395">
        <w:trPr>
          <w:cantSplit/>
          <w:trHeight w:val="245"/>
        </w:trPr>
        <w:tc>
          <w:tcPr>
            <w:tcW w:w="3605" w:type="dxa"/>
            <w:shd w:val="clear" w:color="auto" w:fill="auto"/>
            <w:vAlign w:val="center"/>
            <w:hideMark/>
          </w:tcPr>
          <w:p w14:paraId="725AA11E" w14:textId="77777777" w:rsidR="00FC752D" w:rsidRPr="00BC4AFE" w:rsidRDefault="00FC752D" w:rsidP="006211D7">
            <w:pPr>
              <w:widowControl w:val="0"/>
              <w:ind w:left="144" w:hanging="144"/>
              <w:rPr>
                <w:sz w:val="18"/>
                <w:szCs w:val="18"/>
              </w:rPr>
            </w:pPr>
            <w:r w:rsidRPr="00BC4AFE">
              <w:rPr>
                <w:sz w:val="18"/>
                <w:szCs w:val="18"/>
              </w:rPr>
              <w:t>Luxembourg</w:t>
            </w:r>
          </w:p>
        </w:tc>
        <w:tc>
          <w:tcPr>
            <w:tcW w:w="1182" w:type="dxa"/>
            <w:shd w:val="clear" w:color="auto" w:fill="auto"/>
            <w:vAlign w:val="center"/>
            <w:hideMark/>
          </w:tcPr>
          <w:p w14:paraId="19E40120" w14:textId="77777777" w:rsidR="00FC752D" w:rsidRPr="00BC4AFE" w:rsidRDefault="00FC752D" w:rsidP="006211D7">
            <w:pPr>
              <w:widowControl w:val="0"/>
              <w:ind w:right="144"/>
              <w:jc w:val="right"/>
              <w:rPr>
                <w:sz w:val="18"/>
                <w:szCs w:val="18"/>
              </w:rPr>
            </w:pPr>
            <w:r w:rsidRPr="00BC4AFE">
              <w:rPr>
                <w:sz w:val="18"/>
                <w:szCs w:val="18"/>
              </w:rPr>
              <w:t>0.068</w:t>
            </w:r>
          </w:p>
        </w:tc>
        <w:tc>
          <w:tcPr>
            <w:tcW w:w="1182" w:type="dxa"/>
            <w:shd w:val="clear" w:color="auto" w:fill="auto"/>
            <w:noWrap/>
            <w:vAlign w:val="center"/>
            <w:hideMark/>
          </w:tcPr>
          <w:p w14:paraId="5B0BDA9A" w14:textId="77777777" w:rsidR="00FC752D" w:rsidRPr="00BC4AFE" w:rsidRDefault="00FC752D" w:rsidP="006211D7">
            <w:pPr>
              <w:widowControl w:val="0"/>
              <w:ind w:right="144"/>
              <w:jc w:val="right"/>
              <w:rPr>
                <w:sz w:val="18"/>
                <w:szCs w:val="18"/>
              </w:rPr>
            </w:pPr>
            <w:r w:rsidRPr="00BC4AFE">
              <w:rPr>
                <w:sz w:val="18"/>
                <w:szCs w:val="18"/>
              </w:rPr>
              <w:t>0.085</w:t>
            </w:r>
          </w:p>
        </w:tc>
        <w:tc>
          <w:tcPr>
            <w:tcW w:w="1182" w:type="dxa"/>
            <w:shd w:val="clear" w:color="auto" w:fill="auto"/>
            <w:noWrap/>
            <w:vAlign w:val="center"/>
            <w:hideMark/>
          </w:tcPr>
          <w:p w14:paraId="70CE25B3" w14:textId="77777777" w:rsidR="00FC752D" w:rsidRPr="00BC4AFE" w:rsidRDefault="00FC752D" w:rsidP="006211D7">
            <w:pPr>
              <w:widowControl w:val="0"/>
              <w:ind w:right="144"/>
              <w:jc w:val="right"/>
              <w:rPr>
                <w:sz w:val="18"/>
                <w:szCs w:val="18"/>
              </w:rPr>
            </w:pPr>
            <w:r w:rsidRPr="00BC4AFE">
              <w:rPr>
                <w:sz w:val="18"/>
                <w:szCs w:val="18"/>
              </w:rPr>
              <w:t>11,074</w:t>
            </w:r>
          </w:p>
        </w:tc>
        <w:tc>
          <w:tcPr>
            <w:tcW w:w="1182" w:type="dxa"/>
            <w:shd w:val="clear" w:color="auto" w:fill="auto"/>
            <w:noWrap/>
            <w:vAlign w:val="center"/>
            <w:hideMark/>
          </w:tcPr>
          <w:p w14:paraId="2F89497A" w14:textId="77777777" w:rsidR="00FC752D" w:rsidRPr="00BC4AFE" w:rsidRDefault="00FC752D" w:rsidP="006211D7">
            <w:pPr>
              <w:widowControl w:val="0"/>
              <w:ind w:right="144"/>
              <w:jc w:val="right"/>
              <w:rPr>
                <w:sz w:val="18"/>
                <w:szCs w:val="18"/>
              </w:rPr>
            </w:pPr>
            <w:r w:rsidRPr="00BC4AFE">
              <w:rPr>
                <w:sz w:val="18"/>
                <w:szCs w:val="18"/>
              </w:rPr>
              <w:t>12,146</w:t>
            </w:r>
          </w:p>
        </w:tc>
        <w:tc>
          <w:tcPr>
            <w:tcW w:w="1171" w:type="dxa"/>
            <w:shd w:val="clear" w:color="auto" w:fill="auto"/>
            <w:noWrap/>
            <w:vAlign w:val="center"/>
            <w:hideMark/>
          </w:tcPr>
          <w:p w14:paraId="40D49421" w14:textId="77777777" w:rsidR="00FC752D" w:rsidRPr="00BC4AFE" w:rsidRDefault="00FC752D" w:rsidP="006211D7">
            <w:pPr>
              <w:widowControl w:val="0"/>
              <w:ind w:right="144"/>
              <w:jc w:val="right"/>
              <w:rPr>
                <w:sz w:val="18"/>
                <w:szCs w:val="18"/>
              </w:rPr>
            </w:pPr>
            <w:r w:rsidRPr="00BC4AFE">
              <w:rPr>
                <w:sz w:val="18"/>
                <w:szCs w:val="18"/>
              </w:rPr>
              <w:t>23,220</w:t>
            </w:r>
          </w:p>
        </w:tc>
      </w:tr>
      <w:tr w:rsidR="00FC752D" w:rsidRPr="00BC4AFE" w14:paraId="08E77C91" w14:textId="77777777" w:rsidTr="00A60395">
        <w:trPr>
          <w:cantSplit/>
          <w:trHeight w:val="245"/>
        </w:trPr>
        <w:tc>
          <w:tcPr>
            <w:tcW w:w="3605" w:type="dxa"/>
            <w:shd w:val="clear" w:color="auto" w:fill="auto"/>
            <w:vAlign w:val="center"/>
            <w:hideMark/>
          </w:tcPr>
          <w:p w14:paraId="56EF00D6" w14:textId="77777777" w:rsidR="00FC752D" w:rsidRPr="00BC4AFE" w:rsidRDefault="00FC752D" w:rsidP="006211D7">
            <w:pPr>
              <w:widowControl w:val="0"/>
              <w:ind w:left="144" w:hanging="144"/>
              <w:rPr>
                <w:sz w:val="18"/>
                <w:szCs w:val="18"/>
              </w:rPr>
            </w:pPr>
            <w:r w:rsidRPr="00BC4AFE">
              <w:rPr>
                <w:sz w:val="18"/>
                <w:szCs w:val="18"/>
              </w:rPr>
              <w:t>Madagascar</w:t>
            </w:r>
          </w:p>
        </w:tc>
        <w:tc>
          <w:tcPr>
            <w:tcW w:w="1182" w:type="dxa"/>
            <w:shd w:val="clear" w:color="auto" w:fill="auto"/>
            <w:vAlign w:val="center"/>
            <w:hideMark/>
          </w:tcPr>
          <w:p w14:paraId="29FFF3E6"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5B3C9672"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3E646FBA" w14:textId="77777777" w:rsidR="00FC752D" w:rsidRPr="00BC4AFE" w:rsidRDefault="00FC752D" w:rsidP="006211D7">
            <w:pPr>
              <w:widowControl w:val="0"/>
              <w:ind w:right="144"/>
              <w:jc w:val="right"/>
              <w:rPr>
                <w:sz w:val="18"/>
                <w:szCs w:val="18"/>
              </w:rPr>
            </w:pPr>
            <w:r w:rsidRPr="00BC4AFE">
              <w:rPr>
                <w:sz w:val="18"/>
                <w:szCs w:val="18"/>
              </w:rPr>
              <w:t>651</w:t>
            </w:r>
          </w:p>
        </w:tc>
        <w:tc>
          <w:tcPr>
            <w:tcW w:w="1182" w:type="dxa"/>
            <w:shd w:val="clear" w:color="auto" w:fill="auto"/>
            <w:noWrap/>
            <w:vAlign w:val="center"/>
            <w:hideMark/>
          </w:tcPr>
          <w:p w14:paraId="2E1F0405" w14:textId="77777777" w:rsidR="00FC752D" w:rsidRPr="00BC4AFE" w:rsidRDefault="00FC752D" w:rsidP="006211D7">
            <w:pPr>
              <w:widowControl w:val="0"/>
              <w:ind w:right="144"/>
              <w:jc w:val="right"/>
              <w:rPr>
                <w:sz w:val="18"/>
                <w:szCs w:val="18"/>
              </w:rPr>
            </w:pPr>
            <w:r w:rsidRPr="00BC4AFE">
              <w:rPr>
                <w:sz w:val="18"/>
                <w:szCs w:val="18"/>
              </w:rPr>
              <w:t>714</w:t>
            </w:r>
          </w:p>
        </w:tc>
        <w:tc>
          <w:tcPr>
            <w:tcW w:w="1171" w:type="dxa"/>
            <w:shd w:val="clear" w:color="auto" w:fill="auto"/>
            <w:noWrap/>
            <w:vAlign w:val="center"/>
            <w:hideMark/>
          </w:tcPr>
          <w:p w14:paraId="76E9F84C" w14:textId="77777777" w:rsidR="00FC752D" w:rsidRPr="00BC4AFE" w:rsidRDefault="00FC752D" w:rsidP="006211D7">
            <w:pPr>
              <w:widowControl w:val="0"/>
              <w:ind w:right="144"/>
              <w:jc w:val="right"/>
              <w:rPr>
                <w:sz w:val="18"/>
                <w:szCs w:val="18"/>
              </w:rPr>
            </w:pPr>
            <w:r w:rsidRPr="00BC4AFE">
              <w:rPr>
                <w:sz w:val="18"/>
                <w:szCs w:val="18"/>
              </w:rPr>
              <w:t>1,366</w:t>
            </w:r>
          </w:p>
        </w:tc>
      </w:tr>
      <w:tr w:rsidR="00FC752D" w:rsidRPr="00BC4AFE" w14:paraId="29205722" w14:textId="77777777" w:rsidTr="00A60395">
        <w:trPr>
          <w:cantSplit/>
          <w:trHeight w:val="245"/>
        </w:trPr>
        <w:tc>
          <w:tcPr>
            <w:tcW w:w="3605" w:type="dxa"/>
            <w:shd w:val="clear" w:color="auto" w:fill="auto"/>
            <w:vAlign w:val="center"/>
            <w:hideMark/>
          </w:tcPr>
          <w:p w14:paraId="33A26B04" w14:textId="77777777" w:rsidR="00FC752D" w:rsidRPr="00BC4AFE" w:rsidRDefault="00FC752D" w:rsidP="006211D7">
            <w:pPr>
              <w:widowControl w:val="0"/>
              <w:ind w:left="144" w:hanging="144"/>
              <w:rPr>
                <w:sz w:val="18"/>
                <w:szCs w:val="18"/>
              </w:rPr>
            </w:pPr>
            <w:r w:rsidRPr="00BC4AFE">
              <w:rPr>
                <w:sz w:val="18"/>
                <w:szCs w:val="18"/>
              </w:rPr>
              <w:t>Malawi</w:t>
            </w:r>
          </w:p>
        </w:tc>
        <w:tc>
          <w:tcPr>
            <w:tcW w:w="1182" w:type="dxa"/>
            <w:shd w:val="clear" w:color="auto" w:fill="auto"/>
            <w:vAlign w:val="center"/>
            <w:hideMark/>
          </w:tcPr>
          <w:p w14:paraId="78F055F6"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shd w:val="clear" w:color="auto" w:fill="auto"/>
            <w:noWrap/>
            <w:vAlign w:val="center"/>
            <w:hideMark/>
          </w:tcPr>
          <w:p w14:paraId="371EB295"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2FB5CD7B"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shd w:val="clear" w:color="auto" w:fill="auto"/>
            <w:noWrap/>
            <w:vAlign w:val="center"/>
            <w:hideMark/>
          </w:tcPr>
          <w:p w14:paraId="6C98A8DE"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shd w:val="clear" w:color="auto" w:fill="auto"/>
            <w:noWrap/>
            <w:vAlign w:val="center"/>
            <w:hideMark/>
          </w:tcPr>
          <w:p w14:paraId="37934DE7"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687447B1" w14:textId="77777777" w:rsidTr="00A60395">
        <w:trPr>
          <w:cantSplit/>
          <w:trHeight w:val="245"/>
        </w:trPr>
        <w:tc>
          <w:tcPr>
            <w:tcW w:w="3605" w:type="dxa"/>
            <w:shd w:val="clear" w:color="auto" w:fill="auto"/>
            <w:vAlign w:val="center"/>
            <w:hideMark/>
          </w:tcPr>
          <w:p w14:paraId="58BB8060" w14:textId="77777777" w:rsidR="00FC752D" w:rsidRPr="00BC4AFE" w:rsidRDefault="00FC752D" w:rsidP="006211D7">
            <w:pPr>
              <w:widowControl w:val="0"/>
              <w:ind w:left="144" w:hanging="144"/>
              <w:rPr>
                <w:sz w:val="18"/>
                <w:szCs w:val="18"/>
              </w:rPr>
            </w:pPr>
            <w:r w:rsidRPr="00BC4AFE">
              <w:rPr>
                <w:sz w:val="18"/>
                <w:szCs w:val="18"/>
              </w:rPr>
              <w:t>Malaysia</w:t>
            </w:r>
          </w:p>
        </w:tc>
        <w:tc>
          <w:tcPr>
            <w:tcW w:w="1182" w:type="dxa"/>
            <w:shd w:val="clear" w:color="auto" w:fill="auto"/>
            <w:vAlign w:val="center"/>
            <w:hideMark/>
          </w:tcPr>
          <w:p w14:paraId="2C38D897" w14:textId="77777777" w:rsidR="00FC752D" w:rsidRPr="00BC4AFE" w:rsidRDefault="00FC752D" w:rsidP="006211D7">
            <w:pPr>
              <w:widowControl w:val="0"/>
              <w:ind w:right="144"/>
              <w:jc w:val="right"/>
              <w:rPr>
                <w:sz w:val="18"/>
                <w:szCs w:val="18"/>
              </w:rPr>
            </w:pPr>
            <w:r w:rsidRPr="00BC4AFE">
              <w:rPr>
                <w:sz w:val="18"/>
                <w:szCs w:val="18"/>
              </w:rPr>
              <w:t>0.348</w:t>
            </w:r>
          </w:p>
        </w:tc>
        <w:tc>
          <w:tcPr>
            <w:tcW w:w="1182" w:type="dxa"/>
            <w:shd w:val="clear" w:color="auto" w:fill="auto"/>
            <w:noWrap/>
            <w:vAlign w:val="center"/>
            <w:hideMark/>
          </w:tcPr>
          <w:p w14:paraId="1BD9DA0C" w14:textId="77777777" w:rsidR="00FC752D" w:rsidRPr="00BC4AFE" w:rsidRDefault="00FC752D" w:rsidP="006211D7">
            <w:pPr>
              <w:widowControl w:val="0"/>
              <w:ind w:right="144"/>
              <w:jc w:val="right"/>
              <w:rPr>
                <w:sz w:val="18"/>
                <w:szCs w:val="18"/>
              </w:rPr>
            </w:pPr>
            <w:r w:rsidRPr="00BC4AFE">
              <w:rPr>
                <w:sz w:val="18"/>
                <w:szCs w:val="18"/>
              </w:rPr>
              <w:t>0.435</w:t>
            </w:r>
          </w:p>
        </w:tc>
        <w:tc>
          <w:tcPr>
            <w:tcW w:w="1182" w:type="dxa"/>
            <w:shd w:val="clear" w:color="auto" w:fill="auto"/>
            <w:noWrap/>
            <w:vAlign w:val="center"/>
            <w:hideMark/>
          </w:tcPr>
          <w:p w14:paraId="0F8EB2E3" w14:textId="77777777" w:rsidR="00FC752D" w:rsidRPr="00BC4AFE" w:rsidRDefault="00FC752D" w:rsidP="006211D7">
            <w:pPr>
              <w:widowControl w:val="0"/>
              <w:ind w:right="144"/>
              <w:jc w:val="right"/>
              <w:rPr>
                <w:sz w:val="18"/>
                <w:szCs w:val="18"/>
              </w:rPr>
            </w:pPr>
            <w:r w:rsidRPr="00BC4AFE">
              <w:rPr>
                <w:sz w:val="18"/>
                <w:szCs w:val="18"/>
              </w:rPr>
              <w:t>56,671</w:t>
            </w:r>
          </w:p>
        </w:tc>
        <w:tc>
          <w:tcPr>
            <w:tcW w:w="1182" w:type="dxa"/>
            <w:shd w:val="clear" w:color="auto" w:fill="auto"/>
            <w:noWrap/>
            <w:vAlign w:val="center"/>
            <w:hideMark/>
          </w:tcPr>
          <w:p w14:paraId="70716E9A" w14:textId="77777777" w:rsidR="00FC752D" w:rsidRPr="00BC4AFE" w:rsidRDefault="00FC752D" w:rsidP="006211D7">
            <w:pPr>
              <w:widowControl w:val="0"/>
              <w:ind w:right="144"/>
              <w:jc w:val="right"/>
              <w:rPr>
                <w:sz w:val="18"/>
                <w:szCs w:val="18"/>
              </w:rPr>
            </w:pPr>
            <w:r w:rsidRPr="00BC4AFE">
              <w:rPr>
                <w:sz w:val="18"/>
                <w:szCs w:val="18"/>
              </w:rPr>
              <w:t>62,159</w:t>
            </w:r>
          </w:p>
        </w:tc>
        <w:tc>
          <w:tcPr>
            <w:tcW w:w="1171" w:type="dxa"/>
            <w:shd w:val="clear" w:color="auto" w:fill="auto"/>
            <w:noWrap/>
            <w:vAlign w:val="center"/>
            <w:hideMark/>
          </w:tcPr>
          <w:p w14:paraId="4AACF65E" w14:textId="77777777" w:rsidR="00FC752D" w:rsidRPr="00BC4AFE" w:rsidRDefault="00FC752D" w:rsidP="006211D7">
            <w:pPr>
              <w:widowControl w:val="0"/>
              <w:ind w:right="144"/>
              <w:jc w:val="right"/>
              <w:rPr>
                <w:sz w:val="18"/>
                <w:szCs w:val="18"/>
              </w:rPr>
            </w:pPr>
            <w:r w:rsidRPr="00BC4AFE">
              <w:rPr>
                <w:sz w:val="18"/>
                <w:szCs w:val="18"/>
              </w:rPr>
              <w:t>118,829</w:t>
            </w:r>
          </w:p>
        </w:tc>
      </w:tr>
      <w:tr w:rsidR="00FC752D" w:rsidRPr="00BC4AFE" w14:paraId="31ECA870" w14:textId="77777777" w:rsidTr="00A60395">
        <w:trPr>
          <w:cantSplit/>
          <w:trHeight w:val="245"/>
        </w:trPr>
        <w:tc>
          <w:tcPr>
            <w:tcW w:w="3605" w:type="dxa"/>
            <w:shd w:val="clear" w:color="auto" w:fill="auto"/>
            <w:vAlign w:val="center"/>
            <w:hideMark/>
          </w:tcPr>
          <w:p w14:paraId="4FEF3F72" w14:textId="77777777" w:rsidR="00FC752D" w:rsidRPr="00BC4AFE" w:rsidRDefault="00FC752D" w:rsidP="006211D7">
            <w:pPr>
              <w:widowControl w:val="0"/>
              <w:ind w:left="144" w:hanging="144"/>
              <w:rPr>
                <w:sz w:val="18"/>
                <w:szCs w:val="18"/>
              </w:rPr>
            </w:pPr>
            <w:r w:rsidRPr="00BC4AFE">
              <w:rPr>
                <w:sz w:val="18"/>
                <w:szCs w:val="18"/>
              </w:rPr>
              <w:t>Maldives</w:t>
            </w:r>
          </w:p>
        </w:tc>
        <w:tc>
          <w:tcPr>
            <w:tcW w:w="1182" w:type="dxa"/>
            <w:shd w:val="clear" w:color="auto" w:fill="auto"/>
            <w:vAlign w:val="center"/>
            <w:hideMark/>
          </w:tcPr>
          <w:p w14:paraId="2861D2B4"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4BDD1882"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7C021A40" w14:textId="77777777" w:rsidR="00FC752D" w:rsidRPr="00BC4AFE" w:rsidRDefault="00FC752D" w:rsidP="006211D7">
            <w:pPr>
              <w:widowControl w:val="0"/>
              <w:ind w:right="144"/>
              <w:jc w:val="right"/>
              <w:rPr>
                <w:sz w:val="18"/>
                <w:szCs w:val="18"/>
              </w:rPr>
            </w:pPr>
            <w:r w:rsidRPr="00BC4AFE">
              <w:rPr>
                <w:sz w:val="18"/>
                <w:szCs w:val="18"/>
              </w:rPr>
              <w:t>651</w:t>
            </w:r>
          </w:p>
        </w:tc>
        <w:tc>
          <w:tcPr>
            <w:tcW w:w="1182" w:type="dxa"/>
            <w:shd w:val="clear" w:color="auto" w:fill="auto"/>
            <w:noWrap/>
            <w:vAlign w:val="center"/>
            <w:hideMark/>
          </w:tcPr>
          <w:p w14:paraId="77B60015" w14:textId="77777777" w:rsidR="00FC752D" w:rsidRPr="00BC4AFE" w:rsidRDefault="00FC752D" w:rsidP="006211D7">
            <w:pPr>
              <w:widowControl w:val="0"/>
              <w:ind w:right="144"/>
              <w:jc w:val="right"/>
              <w:rPr>
                <w:sz w:val="18"/>
                <w:szCs w:val="18"/>
              </w:rPr>
            </w:pPr>
            <w:r w:rsidRPr="00BC4AFE">
              <w:rPr>
                <w:sz w:val="18"/>
                <w:szCs w:val="18"/>
              </w:rPr>
              <w:t>714</w:t>
            </w:r>
          </w:p>
        </w:tc>
        <w:tc>
          <w:tcPr>
            <w:tcW w:w="1171" w:type="dxa"/>
            <w:shd w:val="clear" w:color="auto" w:fill="auto"/>
            <w:noWrap/>
            <w:vAlign w:val="center"/>
            <w:hideMark/>
          </w:tcPr>
          <w:p w14:paraId="1C2E2921" w14:textId="77777777" w:rsidR="00FC752D" w:rsidRPr="00BC4AFE" w:rsidRDefault="00FC752D" w:rsidP="006211D7">
            <w:pPr>
              <w:widowControl w:val="0"/>
              <w:ind w:right="144"/>
              <w:jc w:val="right"/>
              <w:rPr>
                <w:sz w:val="18"/>
                <w:szCs w:val="18"/>
              </w:rPr>
            </w:pPr>
            <w:r w:rsidRPr="00BC4AFE">
              <w:rPr>
                <w:sz w:val="18"/>
                <w:szCs w:val="18"/>
              </w:rPr>
              <w:t>1,366</w:t>
            </w:r>
          </w:p>
        </w:tc>
      </w:tr>
      <w:tr w:rsidR="00FC752D" w:rsidRPr="00BC4AFE" w14:paraId="7256DD4C" w14:textId="77777777" w:rsidTr="00A60395">
        <w:trPr>
          <w:cantSplit/>
          <w:trHeight w:val="245"/>
        </w:trPr>
        <w:tc>
          <w:tcPr>
            <w:tcW w:w="3605" w:type="dxa"/>
            <w:shd w:val="clear" w:color="auto" w:fill="auto"/>
            <w:vAlign w:val="center"/>
            <w:hideMark/>
          </w:tcPr>
          <w:p w14:paraId="5F06952C" w14:textId="77777777" w:rsidR="00FC752D" w:rsidRPr="00BC4AFE" w:rsidRDefault="00FC752D" w:rsidP="006211D7">
            <w:pPr>
              <w:widowControl w:val="0"/>
              <w:ind w:left="144" w:hanging="144"/>
              <w:rPr>
                <w:sz w:val="18"/>
                <w:szCs w:val="18"/>
              </w:rPr>
            </w:pPr>
            <w:r w:rsidRPr="00BC4AFE">
              <w:rPr>
                <w:sz w:val="18"/>
                <w:szCs w:val="18"/>
              </w:rPr>
              <w:t>Mali</w:t>
            </w:r>
          </w:p>
        </w:tc>
        <w:tc>
          <w:tcPr>
            <w:tcW w:w="1182" w:type="dxa"/>
            <w:shd w:val="clear" w:color="auto" w:fill="auto"/>
            <w:vAlign w:val="center"/>
            <w:hideMark/>
          </w:tcPr>
          <w:p w14:paraId="1A959393"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774B3907" w14:textId="77777777" w:rsidR="00FC752D" w:rsidRPr="00BC4AFE" w:rsidRDefault="00FC752D" w:rsidP="006211D7">
            <w:pPr>
              <w:widowControl w:val="0"/>
              <w:ind w:right="144"/>
              <w:jc w:val="right"/>
              <w:rPr>
                <w:sz w:val="18"/>
                <w:szCs w:val="18"/>
              </w:rPr>
            </w:pPr>
            <w:r w:rsidRPr="00BC4AFE">
              <w:rPr>
                <w:sz w:val="18"/>
                <w:szCs w:val="18"/>
              </w:rPr>
              <w:t>0.006</w:t>
            </w:r>
          </w:p>
        </w:tc>
        <w:tc>
          <w:tcPr>
            <w:tcW w:w="1182" w:type="dxa"/>
            <w:shd w:val="clear" w:color="auto" w:fill="auto"/>
            <w:noWrap/>
            <w:vAlign w:val="center"/>
            <w:hideMark/>
          </w:tcPr>
          <w:p w14:paraId="1BD7BE73" w14:textId="77777777" w:rsidR="00FC752D" w:rsidRPr="00BC4AFE" w:rsidRDefault="00FC752D" w:rsidP="006211D7">
            <w:pPr>
              <w:widowControl w:val="0"/>
              <w:ind w:right="144"/>
              <w:jc w:val="right"/>
              <w:rPr>
                <w:sz w:val="18"/>
                <w:szCs w:val="18"/>
              </w:rPr>
            </w:pPr>
            <w:r w:rsidRPr="00BC4AFE">
              <w:rPr>
                <w:sz w:val="18"/>
                <w:szCs w:val="18"/>
              </w:rPr>
              <w:t>814</w:t>
            </w:r>
          </w:p>
        </w:tc>
        <w:tc>
          <w:tcPr>
            <w:tcW w:w="1182" w:type="dxa"/>
            <w:shd w:val="clear" w:color="auto" w:fill="auto"/>
            <w:noWrap/>
            <w:vAlign w:val="center"/>
            <w:hideMark/>
          </w:tcPr>
          <w:p w14:paraId="3EB213D3" w14:textId="77777777" w:rsidR="00FC752D" w:rsidRPr="00BC4AFE" w:rsidRDefault="00FC752D" w:rsidP="006211D7">
            <w:pPr>
              <w:widowControl w:val="0"/>
              <w:ind w:right="144"/>
              <w:jc w:val="right"/>
              <w:rPr>
                <w:sz w:val="18"/>
                <w:szCs w:val="18"/>
              </w:rPr>
            </w:pPr>
            <w:r w:rsidRPr="00BC4AFE">
              <w:rPr>
                <w:sz w:val="18"/>
                <w:szCs w:val="18"/>
              </w:rPr>
              <w:t>893</w:t>
            </w:r>
          </w:p>
        </w:tc>
        <w:tc>
          <w:tcPr>
            <w:tcW w:w="1171" w:type="dxa"/>
            <w:shd w:val="clear" w:color="auto" w:fill="auto"/>
            <w:noWrap/>
            <w:vAlign w:val="center"/>
            <w:hideMark/>
          </w:tcPr>
          <w:p w14:paraId="50AF5B85" w14:textId="77777777" w:rsidR="00FC752D" w:rsidRPr="00BC4AFE" w:rsidRDefault="00FC752D" w:rsidP="006211D7">
            <w:pPr>
              <w:widowControl w:val="0"/>
              <w:ind w:right="144"/>
              <w:jc w:val="right"/>
              <w:rPr>
                <w:sz w:val="18"/>
                <w:szCs w:val="18"/>
              </w:rPr>
            </w:pPr>
            <w:r w:rsidRPr="00BC4AFE">
              <w:rPr>
                <w:sz w:val="18"/>
                <w:szCs w:val="18"/>
              </w:rPr>
              <w:t>1,707</w:t>
            </w:r>
          </w:p>
        </w:tc>
      </w:tr>
      <w:tr w:rsidR="00FC752D" w:rsidRPr="00BC4AFE" w14:paraId="0E7A8F63" w14:textId="77777777" w:rsidTr="00A60395">
        <w:trPr>
          <w:cantSplit/>
          <w:trHeight w:val="245"/>
        </w:trPr>
        <w:tc>
          <w:tcPr>
            <w:tcW w:w="3605" w:type="dxa"/>
            <w:shd w:val="clear" w:color="auto" w:fill="auto"/>
            <w:vAlign w:val="center"/>
            <w:hideMark/>
          </w:tcPr>
          <w:p w14:paraId="0974A09A" w14:textId="77777777" w:rsidR="00FC752D" w:rsidRPr="00BC4AFE" w:rsidRDefault="00FC752D" w:rsidP="006211D7">
            <w:pPr>
              <w:widowControl w:val="0"/>
              <w:ind w:left="144" w:hanging="144"/>
              <w:rPr>
                <w:sz w:val="18"/>
                <w:szCs w:val="18"/>
              </w:rPr>
            </w:pPr>
            <w:r w:rsidRPr="00BC4AFE">
              <w:rPr>
                <w:sz w:val="18"/>
                <w:szCs w:val="18"/>
              </w:rPr>
              <w:t>Malta</w:t>
            </w:r>
          </w:p>
        </w:tc>
        <w:tc>
          <w:tcPr>
            <w:tcW w:w="1182" w:type="dxa"/>
            <w:shd w:val="clear" w:color="auto" w:fill="auto"/>
            <w:vAlign w:val="center"/>
            <w:hideMark/>
          </w:tcPr>
          <w:p w14:paraId="5A41EE50" w14:textId="77777777" w:rsidR="00FC752D" w:rsidRPr="00BC4AFE" w:rsidRDefault="00FC752D" w:rsidP="006211D7">
            <w:pPr>
              <w:widowControl w:val="0"/>
              <w:ind w:right="144"/>
              <w:jc w:val="right"/>
              <w:rPr>
                <w:sz w:val="18"/>
                <w:szCs w:val="18"/>
              </w:rPr>
            </w:pPr>
            <w:r w:rsidRPr="00BC4AFE">
              <w:rPr>
                <w:sz w:val="18"/>
                <w:szCs w:val="18"/>
              </w:rPr>
              <w:t>0.019</w:t>
            </w:r>
          </w:p>
        </w:tc>
        <w:tc>
          <w:tcPr>
            <w:tcW w:w="1182" w:type="dxa"/>
            <w:shd w:val="clear" w:color="auto" w:fill="auto"/>
            <w:noWrap/>
            <w:vAlign w:val="center"/>
            <w:hideMark/>
          </w:tcPr>
          <w:p w14:paraId="2E606002" w14:textId="77777777" w:rsidR="00FC752D" w:rsidRPr="00BC4AFE" w:rsidRDefault="00FC752D" w:rsidP="006211D7">
            <w:pPr>
              <w:widowControl w:val="0"/>
              <w:ind w:right="144"/>
              <w:jc w:val="right"/>
              <w:rPr>
                <w:sz w:val="18"/>
                <w:szCs w:val="18"/>
              </w:rPr>
            </w:pPr>
            <w:r w:rsidRPr="00BC4AFE">
              <w:rPr>
                <w:sz w:val="18"/>
                <w:szCs w:val="18"/>
              </w:rPr>
              <w:t>0.024</w:t>
            </w:r>
          </w:p>
        </w:tc>
        <w:tc>
          <w:tcPr>
            <w:tcW w:w="1182" w:type="dxa"/>
            <w:shd w:val="clear" w:color="auto" w:fill="auto"/>
            <w:noWrap/>
            <w:vAlign w:val="center"/>
            <w:hideMark/>
          </w:tcPr>
          <w:p w14:paraId="42500A9D" w14:textId="77777777" w:rsidR="00FC752D" w:rsidRPr="00BC4AFE" w:rsidRDefault="00FC752D" w:rsidP="006211D7">
            <w:pPr>
              <w:widowControl w:val="0"/>
              <w:ind w:right="144"/>
              <w:jc w:val="right"/>
              <w:rPr>
                <w:sz w:val="18"/>
                <w:szCs w:val="18"/>
              </w:rPr>
            </w:pPr>
            <w:r w:rsidRPr="00BC4AFE">
              <w:rPr>
                <w:sz w:val="18"/>
                <w:szCs w:val="18"/>
              </w:rPr>
              <w:t>3,094</w:t>
            </w:r>
          </w:p>
        </w:tc>
        <w:tc>
          <w:tcPr>
            <w:tcW w:w="1182" w:type="dxa"/>
            <w:shd w:val="clear" w:color="auto" w:fill="auto"/>
            <w:noWrap/>
            <w:vAlign w:val="center"/>
            <w:hideMark/>
          </w:tcPr>
          <w:p w14:paraId="13B3F35E" w14:textId="77777777" w:rsidR="00FC752D" w:rsidRPr="00BC4AFE" w:rsidRDefault="00FC752D" w:rsidP="006211D7">
            <w:pPr>
              <w:widowControl w:val="0"/>
              <w:ind w:right="144"/>
              <w:jc w:val="right"/>
              <w:rPr>
                <w:sz w:val="18"/>
                <w:szCs w:val="18"/>
              </w:rPr>
            </w:pPr>
            <w:r w:rsidRPr="00BC4AFE">
              <w:rPr>
                <w:sz w:val="18"/>
                <w:szCs w:val="18"/>
              </w:rPr>
              <w:t>3,394</w:t>
            </w:r>
          </w:p>
        </w:tc>
        <w:tc>
          <w:tcPr>
            <w:tcW w:w="1171" w:type="dxa"/>
            <w:shd w:val="clear" w:color="auto" w:fill="auto"/>
            <w:noWrap/>
            <w:vAlign w:val="center"/>
            <w:hideMark/>
          </w:tcPr>
          <w:p w14:paraId="798C17D0" w14:textId="77777777" w:rsidR="00FC752D" w:rsidRPr="00BC4AFE" w:rsidRDefault="00FC752D" w:rsidP="006211D7">
            <w:pPr>
              <w:widowControl w:val="0"/>
              <w:ind w:right="144"/>
              <w:jc w:val="right"/>
              <w:rPr>
                <w:sz w:val="18"/>
                <w:szCs w:val="18"/>
              </w:rPr>
            </w:pPr>
            <w:r w:rsidRPr="00BC4AFE">
              <w:rPr>
                <w:sz w:val="18"/>
                <w:szCs w:val="18"/>
              </w:rPr>
              <w:t>6,488</w:t>
            </w:r>
          </w:p>
        </w:tc>
      </w:tr>
      <w:tr w:rsidR="00FC752D" w:rsidRPr="00BC4AFE" w14:paraId="4DC7E5F3" w14:textId="77777777" w:rsidTr="00A60395">
        <w:trPr>
          <w:cantSplit/>
          <w:trHeight w:val="245"/>
        </w:trPr>
        <w:tc>
          <w:tcPr>
            <w:tcW w:w="3605" w:type="dxa"/>
            <w:shd w:val="clear" w:color="auto" w:fill="auto"/>
            <w:vAlign w:val="center"/>
            <w:hideMark/>
          </w:tcPr>
          <w:p w14:paraId="0EDB7028" w14:textId="77777777" w:rsidR="00FC752D" w:rsidRPr="00BC4AFE" w:rsidRDefault="00FC752D" w:rsidP="006211D7">
            <w:pPr>
              <w:widowControl w:val="0"/>
              <w:ind w:left="144" w:hanging="144"/>
              <w:rPr>
                <w:sz w:val="18"/>
                <w:szCs w:val="18"/>
              </w:rPr>
            </w:pPr>
            <w:r w:rsidRPr="00BC4AFE">
              <w:rPr>
                <w:sz w:val="18"/>
                <w:szCs w:val="18"/>
              </w:rPr>
              <w:t>Marshall Islands</w:t>
            </w:r>
          </w:p>
        </w:tc>
        <w:tc>
          <w:tcPr>
            <w:tcW w:w="1182" w:type="dxa"/>
            <w:shd w:val="clear" w:color="auto" w:fill="auto"/>
            <w:vAlign w:val="center"/>
            <w:hideMark/>
          </w:tcPr>
          <w:p w14:paraId="136A61EF"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733BD886"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59EE908D"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302C6570"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323C48F6"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6439A2D5" w14:textId="77777777" w:rsidTr="00A60395">
        <w:trPr>
          <w:cantSplit/>
          <w:trHeight w:val="245"/>
        </w:trPr>
        <w:tc>
          <w:tcPr>
            <w:tcW w:w="3605" w:type="dxa"/>
            <w:shd w:val="clear" w:color="auto" w:fill="auto"/>
            <w:vAlign w:val="center"/>
            <w:hideMark/>
          </w:tcPr>
          <w:p w14:paraId="08CD7A4A" w14:textId="77777777" w:rsidR="00FC752D" w:rsidRPr="00BC4AFE" w:rsidRDefault="00FC752D" w:rsidP="006211D7">
            <w:pPr>
              <w:widowControl w:val="0"/>
              <w:ind w:left="144" w:hanging="144"/>
              <w:rPr>
                <w:sz w:val="18"/>
                <w:szCs w:val="18"/>
              </w:rPr>
            </w:pPr>
            <w:r w:rsidRPr="00BC4AFE">
              <w:rPr>
                <w:sz w:val="18"/>
                <w:szCs w:val="18"/>
              </w:rPr>
              <w:t>Mauritania</w:t>
            </w:r>
          </w:p>
        </w:tc>
        <w:tc>
          <w:tcPr>
            <w:tcW w:w="1182" w:type="dxa"/>
            <w:shd w:val="clear" w:color="auto" w:fill="auto"/>
            <w:vAlign w:val="center"/>
            <w:hideMark/>
          </w:tcPr>
          <w:p w14:paraId="4DD928A5"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shd w:val="clear" w:color="auto" w:fill="auto"/>
            <w:noWrap/>
            <w:vAlign w:val="center"/>
            <w:hideMark/>
          </w:tcPr>
          <w:p w14:paraId="1EF931E3"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58FB932D"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shd w:val="clear" w:color="auto" w:fill="auto"/>
            <w:noWrap/>
            <w:vAlign w:val="center"/>
            <w:hideMark/>
          </w:tcPr>
          <w:p w14:paraId="464A0AA7"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shd w:val="clear" w:color="auto" w:fill="auto"/>
            <w:noWrap/>
            <w:vAlign w:val="center"/>
            <w:hideMark/>
          </w:tcPr>
          <w:p w14:paraId="21877253"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6931A3D9" w14:textId="77777777" w:rsidTr="00A60395">
        <w:trPr>
          <w:cantSplit/>
          <w:trHeight w:val="245"/>
        </w:trPr>
        <w:tc>
          <w:tcPr>
            <w:tcW w:w="3605" w:type="dxa"/>
            <w:shd w:val="clear" w:color="auto" w:fill="auto"/>
            <w:vAlign w:val="center"/>
            <w:hideMark/>
          </w:tcPr>
          <w:p w14:paraId="1228A690" w14:textId="77777777" w:rsidR="00FC752D" w:rsidRPr="00BC4AFE" w:rsidRDefault="00FC752D" w:rsidP="006211D7">
            <w:pPr>
              <w:widowControl w:val="0"/>
              <w:ind w:left="144" w:hanging="144"/>
              <w:rPr>
                <w:sz w:val="18"/>
                <w:szCs w:val="18"/>
              </w:rPr>
            </w:pPr>
            <w:r w:rsidRPr="00BC4AFE">
              <w:rPr>
                <w:sz w:val="18"/>
                <w:szCs w:val="18"/>
              </w:rPr>
              <w:t>Mauritius</w:t>
            </w:r>
          </w:p>
        </w:tc>
        <w:tc>
          <w:tcPr>
            <w:tcW w:w="1182" w:type="dxa"/>
            <w:shd w:val="clear" w:color="auto" w:fill="auto"/>
            <w:vAlign w:val="center"/>
            <w:hideMark/>
          </w:tcPr>
          <w:p w14:paraId="3C8AAC58" w14:textId="77777777" w:rsidR="00FC752D" w:rsidRPr="00BC4AFE" w:rsidRDefault="00FC752D" w:rsidP="006211D7">
            <w:pPr>
              <w:widowControl w:val="0"/>
              <w:ind w:right="144"/>
              <w:jc w:val="right"/>
              <w:rPr>
                <w:sz w:val="18"/>
                <w:szCs w:val="18"/>
              </w:rPr>
            </w:pPr>
            <w:r w:rsidRPr="00BC4AFE">
              <w:rPr>
                <w:sz w:val="18"/>
                <w:szCs w:val="18"/>
              </w:rPr>
              <w:t>0.019</w:t>
            </w:r>
          </w:p>
        </w:tc>
        <w:tc>
          <w:tcPr>
            <w:tcW w:w="1182" w:type="dxa"/>
            <w:shd w:val="clear" w:color="auto" w:fill="auto"/>
            <w:noWrap/>
            <w:vAlign w:val="center"/>
            <w:hideMark/>
          </w:tcPr>
          <w:p w14:paraId="2F027121" w14:textId="77777777" w:rsidR="00FC752D" w:rsidRPr="00BC4AFE" w:rsidRDefault="00FC752D" w:rsidP="006211D7">
            <w:pPr>
              <w:widowControl w:val="0"/>
              <w:ind w:right="144"/>
              <w:jc w:val="right"/>
              <w:rPr>
                <w:sz w:val="18"/>
                <w:szCs w:val="18"/>
              </w:rPr>
            </w:pPr>
            <w:r w:rsidRPr="00BC4AFE">
              <w:rPr>
                <w:sz w:val="18"/>
                <w:szCs w:val="18"/>
              </w:rPr>
              <w:t>0.024</w:t>
            </w:r>
          </w:p>
        </w:tc>
        <w:tc>
          <w:tcPr>
            <w:tcW w:w="1182" w:type="dxa"/>
            <w:shd w:val="clear" w:color="auto" w:fill="auto"/>
            <w:noWrap/>
            <w:vAlign w:val="center"/>
            <w:hideMark/>
          </w:tcPr>
          <w:p w14:paraId="0BBACB92" w14:textId="77777777" w:rsidR="00FC752D" w:rsidRPr="00BC4AFE" w:rsidRDefault="00FC752D" w:rsidP="006211D7">
            <w:pPr>
              <w:widowControl w:val="0"/>
              <w:ind w:right="144"/>
              <w:jc w:val="right"/>
              <w:rPr>
                <w:sz w:val="18"/>
                <w:szCs w:val="18"/>
              </w:rPr>
            </w:pPr>
            <w:r w:rsidRPr="00BC4AFE">
              <w:rPr>
                <w:sz w:val="18"/>
                <w:szCs w:val="18"/>
              </w:rPr>
              <w:t>3,094</w:t>
            </w:r>
          </w:p>
        </w:tc>
        <w:tc>
          <w:tcPr>
            <w:tcW w:w="1182" w:type="dxa"/>
            <w:shd w:val="clear" w:color="auto" w:fill="auto"/>
            <w:noWrap/>
            <w:vAlign w:val="center"/>
            <w:hideMark/>
          </w:tcPr>
          <w:p w14:paraId="18204595" w14:textId="77777777" w:rsidR="00FC752D" w:rsidRPr="00BC4AFE" w:rsidRDefault="00FC752D" w:rsidP="006211D7">
            <w:pPr>
              <w:widowControl w:val="0"/>
              <w:ind w:right="144"/>
              <w:jc w:val="right"/>
              <w:rPr>
                <w:sz w:val="18"/>
                <w:szCs w:val="18"/>
              </w:rPr>
            </w:pPr>
            <w:r w:rsidRPr="00BC4AFE">
              <w:rPr>
                <w:sz w:val="18"/>
                <w:szCs w:val="18"/>
              </w:rPr>
              <w:t>3,394</w:t>
            </w:r>
          </w:p>
        </w:tc>
        <w:tc>
          <w:tcPr>
            <w:tcW w:w="1171" w:type="dxa"/>
            <w:shd w:val="clear" w:color="auto" w:fill="auto"/>
            <w:noWrap/>
            <w:vAlign w:val="center"/>
            <w:hideMark/>
          </w:tcPr>
          <w:p w14:paraId="291A18AE" w14:textId="77777777" w:rsidR="00FC752D" w:rsidRPr="00BC4AFE" w:rsidRDefault="00FC752D" w:rsidP="006211D7">
            <w:pPr>
              <w:widowControl w:val="0"/>
              <w:ind w:right="144"/>
              <w:jc w:val="right"/>
              <w:rPr>
                <w:sz w:val="18"/>
                <w:szCs w:val="18"/>
              </w:rPr>
            </w:pPr>
            <w:r w:rsidRPr="00BC4AFE">
              <w:rPr>
                <w:sz w:val="18"/>
                <w:szCs w:val="18"/>
              </w:rPr>
              <w:t>6,488</w:t>
            </w:r>
          </w:p>
        </w:tc>
      </w:tr>
      <w:tr w:rsidR="00FC752D" w:rsidRPr="00BC4AFE" w14:paraId="377CAB72" w14:textId="77777777" w:rsidTr="00A60395">
        <w:trPr>
          <w:cantSplit/>
          <w:trHeight w:val="245"/>
        </w:trPr>
        <w:tc>
          <w:tcPr>
            <w:tcW w:w="3605" w:type="dxa"/>
            <w:shd w:val="clear" w:color="auto" w:fill="auto"/>
            <w:vAlign w:val="center"/>
            <w:hideMark/>
          </w:tcPr>
          <w:p w14:paraId="3067B777" w14:textId="77777777" w:rsidR="00FC752D" w:rsidRPr="00BC4AFE" w:rsidRDefault="00FC752D" w:rsidP="006211D7">
            <w:pPr>
              <w:widowControl w:val="0"/>
              <w:ind w:left="144" w:hanging="144"/>
              <w:rPr>
                <w:sz w:val="18"/>
                <w:szCs w:val="18"/>
              </w:rPr>
            </w:pPr>
            <w:r w:rsidRPr="00BC4AFE">
              <w:rPr>
                <w:sz w:val="18"/>
                <w:szCs w:val="18"/>
              </w:rPr>
              <w:t>Mexico</w:t>
            </w:r>
          </w:p>
        </w:tc>
        <w:tc>
          <w:tcPr>
            <w:tcW w:w="1182" w:type="dxa"/>
            <w:shd w:val="clear" w:color="auto" w:fill="auto"/>
            <w:vAlign w:val="center"/>
            <w:hideMark/>
          </w:tcPr>
          <w:p w14:paraId="15F61ED5" w14:textId="77777777" w:rsidR="00FC752D" w:rsidRPr="00BC4AFE" w:rsidRDefault="00FC752D" w:rsidP="006211D7">
            <w:pPr>
              <w:widowControl w:val="0"/>
              <w:ind w:right="144"/>
              <w:jc w:val="right"/>
              <w:rPr>
                <w:sz w:val="18"/>
                <w:szCs w:val="18"/>
              </w:rPr>
            </w:pPr>
            <w:r w:rsidRPr="00BC4AFE">
              <w:rPr>
                <w:sz w:val="18"/>
                <w:szCs w:val="18"/>
              </w:rPr>
              <w:t>1.221</w:t>
            </w:r>
          </w:p>
        </w:tc>
        <w:tc>
          <w:tcPr>
            <w:tcW w:w="1182" w:type="dxa"/>
            <w:shd w:val="clear" w:color="auto" w:fill="auto"/>
            <w:noWrap/>
            <w:vAlign w:val="center"/>
            <w:hideMark/>
          </w:tcPr>
          <w:p w14:paraId="1E09999D" w14:textId="77777777" w:rsidR="00FC752D" w:rsidRPr="00BC4AFE" w:rsidRDefault="00FC752D" w:rsidP="006211D7">
            <w:pPr>
              <w:widowControl w:val="0"/>
              <w:ind w:right="144"/>
              <w:jc w:val="right"/>
              <w:rPr>
                <w:sz w:val="18"/>
                <w:szCs w:val="18"/>
              </w:rPr>
            </w:pPr>
            <w:r w:rsidRPr="00BC4AFE">
              <w:rPr>
                <w:sz w:val="18"/>
                <w:szCs w:val="18"/>
              </w:rPr>
              <w:t>1.526</w:t>
            </w:r>
          </w:p>
        </w:tc>
        <w:tc>
          <w:tcPr>
            <w:tcW w:w="1182" w:type="dxa"/>
            <w:shd w:val="clear" w:color="auto" w:fill="auto"/>
            <w:noWrap/>
            <w:vAlign w:val="center"/>
            <w:hideMark/>
          </w:tcPr>
          <w:p w14:paraId="7156D368" w14:textId="77777777" w:rsidR="00FC752D" w:rsidRPr="00BC4AFE" w:rsidRDefault="00FC752D" w:rsidP="006211D7">
            <w:pPr>
              <w:widowControl w:val="0"/>
              <w:ind w:right="144"/>
              <w:jc w:val="right"/>
              <w:rPr>
                <w:sz w:val="18"/>
                <w:szCs w:val="18"/>
              </w:rPr>
            </w:pPr>
            <w:r w:rsidRPr="00BC4AFE">
              <w:rPr>
                <w:sz w:val="18"/>
                <w:szCs w:val="18"/>
              </w:rPr>
              <w:t>198,836</w:t>
            </w:r>
          </w:p>
        </w:tc>
        <w:tc>
          <w:tcPr>
            <w:tcW w:w="1182" w:type="dxa"/>
            <w:shd w:val="clear" w:color="auto" w:fill="auto"/>
            <w:noWrap/>
            <w:vAlign w:val="center"/>
            <w:hideMark/>
          </w:tcPr>
          <w:p w14:paraId="2AF91F8A" w14:textId="77777777" w:rsidR="00FC752D" w:rsidRPr="00BC4AFE" w:rsidRDefault="00FC752D" w:rsidP="006211D7">
            <w:pPr>
              <w:widowControl w:val="0"/>
              <w:ind w:right="144"/>
              <w:jc w:val="right"/>
              <w:rPr>
                <w:sz w:val="18"/>
                <w:szCs w:val="18"/>
              </w:rPr>
            </w:pPr>
            <w:r w:rsidRPr="00BC4AFE">
              <w:rPr>
                <w:sz w:val="18"/>
                <w:szCs w:val="18"/>
              </w:rPr>
              <w:t>218,091</w:t>
            </w:r>
          </w:p>
        </w:tc>
        <w:tc>
          <w:tcPr>
            <w:tcW w:w="1171" w:type="dxa"/>
            <w:shd w:val="clear" w:color="auto" w:fill="auto"/>
            <w:noWrap/>
            <w:vAlign w:val="center"/>
            <w:hideMark/>
          </w:tcPr>
          <w:p w14:paraId="323BB432" w14:textId="77777777" w:rsidR="00FC752D" w:rsidRPr="00BC4AFE" w:rsidRDefault="00FC752D" w:rsidP="006211D7">
            <w:pPr>
              <w:widowControl w:val="0"/>
              <w:ind w:right="144"/>
              <w:jc w:val="right"/>
              <w:rPr>
                <w:sz w:val="18"/>
                <w:szCs w:val="18"/>
              </w:rPr>
            </w:pPr>
            <w:r w:rsidRPr="00BC4AFE">
              <w:rPr>
                <w:sz w:val="18"/>
                <w:szCs w:val="18"/>
              </w:rPr>
              <w:t>416,927</w:t>
            </w:r>
          </w:p>
        </w:tc>
      </w:tr>
      <w:tr w:rsidR="00FC752D" w:rsidRPr="00BC4AFE" w14:paraId="422A805A" w14:textId="77777777" w:rsidTr="00A60395">
        <w:trPr>
          <w:cantSplit/>
          <w:trHeight w:val="245"/>
        </w:trPr>
        <w:tc>
          <w:tcPr>
            <w:tcW w:w="3605" w:type="dxa"/>
            <w:shd w:val="clear" w:color="auto" w:fill="auto"/>
            <w:vAlign w:val="center"/>
            <w:hideMark/>
          </w:tcPr>
          <w:p w14:paraId="44CA009E" w14:textId="77777777" w:rsidR="00FC752D" w:rsidRPr="00BC4AFE" w:rsidRDefault="00FC752D" w:rsidP="006211D7">
            <w:pPr>
              <w:widowControl w:val="0"/>
              <w:ind w:left="144" w:hanging="144"/>
              <w:rPr>
                <w:sz w:val="18"/>
                <w:szCs w:val="18"/>
              </w:rPr>
            </w:pPr>
            <w:r w:rsidRPr="00BC4AFE">
              <w:rPr>
                <w:sz w:val="18"/>
                <w:szCs w:val="18"/>
              </w:rPr>
              <w:t>Micronesia (Federated States of)</w:t>
            </w:r>
          </w:p>
        </w:tc>
        <w:tc>
          <w:tcPr>
            <w:tcW w:w="1182" w:type="dxa"/>
            <w:shd w:val="clear" w:color="auto" w:fill="auto"/>
            <w:vAlign w:val="center"/>
            <w:hideMark/>
          </w:tcPr>
          <w:p w14:paraId="14867CD3"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066F72D0"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7C9445F6"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5F4CFB9B"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275D5249"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191F113A" w14:textId="77777777" w:rsidTr="00A60395">
        <w:trPr>
          <w:cantSplit/>
          <w:trHeight w:val="245"/>
        </w:trPr>
        <w:tc>
          <w:tcPr>
            <w:tcW w:w="3605" w:type="dxa"/>
            <w:shd w:val="clear" w:color="auto" w:fill="auto"/>
            <w:vAlign w:val="center"/>
            <w:hideMark/>
          </w:tcPr>
          <w:p w14:paraId="738AE19F" w14:textId="77777777" w:rsidR="00FC752D" w:rsidRPr="00BC4AFE" w:rsidRDefault="00FC752D" w:rsidP="006211D7">
            <w:pPr>
              <w:widowControl w:val="0"/>
              <w:ind w:left="144" w:hanging="144"/>
              <w:rPr>
                <w:sz w:val="18"/>
                <w:szCs w:val="18"/>
              </w:rPr>
            </w:pPr>
            <w:r w:rsidRPr="00BC4AFE">
              <w:rPr>
                <w:sz w:val="18"/>
                <w:szCs w:val="18"/>
              </w:rPr>
              <w:t>Monaco</w:t>
            </w:r>
          </w:p>
        </w:tc>
        <w:tc>
          <w:tcPr>
            <w:tcW w:w="1182" w:type="dxa"/>
            <w:shd w:val="clear" w:color="auto" w:fill="auto"/>
            <w:vAlign w:val="center"/>
            <w:hideMark/>
          </w:tcPr>
          <w:p w14:paraId="31FE844D" w14:textId="77777777" w:rsidR="00FC752D" w:rsidRPr="00BC4AFE" w:rsidRDefault="00FC752D" w:rsidP="006211D7">
            <w:pPr>
              <w:widowControl w:val="0"/>
              <w:ind w:right="144"/>
              <w:jc w:val="right"/>
              <w:rPr>
                <w:sz w:val="18"/>
                <w:szCs w:val="18"/>
              </w:rPr>
            </w:pPr>
            <w:r w:rsidRPr="00BC4AFE">
              <w:rPr>
                <w:sz w:val="18"/>
                <w:szCs w:val="18"/>
              </w:rPr>
              <w:t>0.011</w:t>
            </w:r>
          </w:p>
        </w:tc>
        <w:tc>
          <w:tcPr>
            <w:tcW w:w="1182" w:type="dxa"/>
            <w:shd w:val="clear" w:color="auto" w:fill="auto"/>
            <w:noWrap/>
            <w:vAlign w:val="center"/>
            <w:hideMark/>
          </w:tcPr>
          <w:p w14:paraId="0C265B69" w14:textId="77777777" w:rsidR="00FC752D" w:rsidRPr="00BC4AFE" w:rsidRDefault="00FC752D" w:rsidP="006211D7">
            <w:pPr>
              <w:widowControl w:val="0"/>
              <w:ind w:right="144"/>
              <w:jc w:val="right"/>
              <w:rPr>
                <w:sz w:val="18"/>
                <w:szCs w:val="18"/>
              </w:rPr>
            </w:pPr>
            <w:r w:rsidRPr="00BC4AFE">
              <w:rPr>
                <w:sz w:val="18"/>
                <w:szCs w:val="18"/>
              </w:rPr>
              <w:t>0.014</w:t>
            </w:r>
          </w:p>
        </w:tc>
        <w:tc>
          <w:tcPr>
            <w:tcW w:w="1182" w:type="dxa"/>
            <w:shd w:val="clear" w:color="auto" w:fill="auto"/>
            <w:noWrap/>
            <w:vAlign w:val="center"/>
            <w:hideMark/>
          </w:tcPr>
          <w:p w14:paraId="368D9207" w14:textId="77777777" w:rsidR="00FC752D" w:rsidRPr="00BC4AFE" w:rsidRDefault="00FC752D" w:rsidP="006211D7">
            <w:pPr>
              <w:widowControl w:val="0"/>
              <w:ind w:right="144"/>
              <w:jc w:val="right"/>
              <w:rPr>
                <w:sz w:val="18"/>
                <w:szCs w:val="18"/>
              </w:rPr>
            </w:pPr>
            <w:r w:rsidRPr="00BC4AFE">
              <w:rPr>
                <w:sz w:val="18"/>
                <w:szCs w:val="18"/>
              </w:rPr>
              <w:t>1,791</w:t>
            </w:r>
          </w:p>
        </w:tc>
        <w:tc>
          <w:tcPr>
            <w:tcW w:w="1182" w:type="dxa"/>
            <w:shd w:val="clear" w:color="auto" w:fill="auto"/>
            <w:noWrap/>
            <w:vAlign w:val="center"/>
            <w:hideMark/>
          </w:tcPr>
          <w:p w14:paraId="7027E9EF" w14:textId="77777777" w:rsidR="00FC752D" w:rsidRPr="00BC4AFE" w:rsidRDefault="00FC752D" w:rsidP="006211D7">
            <w:pPr>
              <w:widowControl w:val="0"/>
              <w:ind w:right="144"/>
              <w:jc w:val="right"/>
              <w:rPr>
                <w:sz w:val="18"/>
                <w:szCs w:val="18"/>
              </w:rPr>
            </w:pPr>
            <w:r w:rsidRPr="00BC4AFE">
              <w:rPr>
                <w:sz w:val="18"/>
                <w:szCs w:val="18"/>
              </w:rPr>
              <w:t>1,965</w:t>
            </w:r>
          </w:p>
        </w:tc>
        <w:tc>
          <w:tcPr>
            <w:tcW w:w="1171" w:type="dxa"/>
            <w:shd w:val="clear" w:color="auto" w:fill="auto"/>
            <w:noWrap/>
            <w:vAlign w:val="center"/>
            <w:hideMark/>
          </w:tcPr>
          <w:p w14:paraId="46467C65" w14:textId="77777777" w:rsidR="00FC752D" w:rsidRPr="00BC4AFE" w:rsidRDefault="00FC752D" w:rsidP="006211D7">
            <w:pPr>
              <w:widowControl w:val="0"/>
              <w:ind w:right="144"/>
              <w:jc w:val="right"/>
              <w:rPr>
                <w:sz w:val="18"/>
                <w:szCs w:val="18"/>
              </w:rPr>
            </w:pPr>
            <w:r w:rsidRPr="00BC4AFE">
              <w:rPr>
                <w:sz w:val="18"/>
                <w:szCs w:val="18"/>
              </w:rPr>
              <w:t>3,756</w:t>
            </w:r>
          </w:p>
        </w:tc>
      </w:tr>
      <w:tr w:rsidR="00FC752D" w:rsidRPr="00BC4AFE" w14:paraId="7A7E9D88" w14:textId="77777777" w:rsidTr="00A60395">
        <w:trPr>
          <w:cantSplit/>
          <w:trHeight w:val="245"/>
        </w:trPr>
        <w:tc>
          <w:tcPr>
            <w:tcW w:w="3605" w:type="dxa"/>
            <w:shd w:val="clear" w:color="auto" w:fill="auto"/>
            <w:vAlign w:val="center"/>
            <w:hideMark/>
          </w:tcPr>
          <w:p w14:paraId="57E48C13" w14:textId="77777777" w:rsidR="00FC752D" w:rsidRPr="00BC4AFE" w:rsidRDefault="00FC752D" w:rsidP="006211D7">
            <w:pPr>
              <w:widowControl w:val="0"/>
              <w:ind w:left="144" w:hanging="144"/>
              <w:rPr>
                <w:sz w:val="18"/>
                <w:szCs w:val="18"/>
              </w:rPr>
            </w:pPr>
            <w:r w:rsidRPr="00BC4AFE">
              <w:rPr>
                <w:sz w:val="18"/>
                <w:szCs w:val="18"/>
              </w:rPr>
              <w:t>Mongolia</w:t>
            </w:r>
          </w:p>
        </w:tc>
        <w:tc>
          <w:tcPr>
            <w:tcW w:w="1182" w:type="dxa"/>
            <w:shd w:val="clear" w:color="auto" w:fill="auto"/>
            <w:vAlign w:val="center"/>
            <w:hideMark/>
          </w:tcPr>
          <w:p w14:paraId="75DEA2F8"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791EFDC6"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34FA9489" w14:textId="77777777" w:rsidR="00FC752D" w:rsidRPr="00BC4AFE" w:rsidRDefault="00FC752D" w:rsidP="006211D7">
            <w:pPr>
              <w:widowControl w:val="0"/>
              <w:ind w:right="144"/>
              <w:jc w:val="right"/>
              <w:rPr>
                <w:sz w:val="18"/>
                <w:szCs w:val="18"/>
              </w:rPr>
            </w:pPr>
            <w:r w:rsidRPr="00BC4AFE">
              <w:rPr>
                <w:sz w:val="18"/>
                <w:szCs w:val="18"/>
              </w:rPr>
              <w:t>651</w:t>
            </w:r>
          </w:p>
        </w:tc>
        <w:tc>
          <w:tcPr>
            <w:tcW w:w="1182" w:type="dxa"/>
            <w:shd w:val="clear" w:color="auto" w:fill="auto"/>
            <w:noWrap/>
            <w:vAlign w:val="center"/>
            <w:hideMark/>
          </w:tcPr>
          <w:p w14:paraId="0C210C23" w14:textId="77777777" w:rsidR="00FC752D" w:rsidRPr="00BC4AFE" w:rsidRDefault="00FC752D" w:rsidP="006211D7">
            <w:pPr>
              <w:widowControl w:val="0"/>
              <w:ind w:right="144"/>
              <w:jc w:val="right"/>
              <w:rPr>
                <w:sz w:val="18"/>
                <w:szCs w:val="18"/>
              </w:rPr>
            </w:pPr>
            <w:r w:rsidRPr="00BC4AFE">
              <w:rPr>
                <w:sz w:val="18"/>
                <w:szCs w:val="18"/>
              </w:rPr>
              <w:t>714</w:t>
            </w:r>
          </w:p>
        </w:tc>
        <w:tc>
          <w:tcPr>
            <w:tcW w:w="1171" w:type="dxa"/>
            <w:shd w:val="clear" w:color="auto" w:fill="auto"/>
            <w:noWrap/>
            <w:vAlign w:val="center"/>
            <w:hideMark/>
          </w:tcPr>
          <w:p w14:paraId="6ADB4F50" w14:textId="77777777" w:rsidR="00FC752D" w:rsidRPr="00BC4AFE" w:rsidRDefault="00FC752D" w:rsidP="006211D7">
            <w:pPr>
              <w:widowControl w:val="0"/>
              <w:ind w:right="144"/>
              <w:jc w:val="right"/>
              <w:rPr>
                <w:sz w:val="18"/>
                <w:szCs w:val="18"/>
              </w:rPr>
            </w:pPr>
            <w:r w:rsidRPr="00BC4AFE">
              <w:rPr>
                <w:sz w:val="18"/>
                <w:szCs w:val="18"/>
              </w:rPr>
              <w:t>1,366</w:t>
            </w:r>
          </w:p>
        </w:tc>
      </w:tr>
      <w:tr w:rsidR="00FC752D" w:rsidRPr="00BC4AFE" w14:paraId="7AE5C344" w14:textId="77777777" w:rsidTr="00A60395">
        <w:trPr>
          <w:cantSplit/>
          <w:trHeight w:val="245"/>
        </w:trPr>
        <w:tc>
          <w:tcPr>
            <w:tcW w:w="3605" w:type="dxa"/>
            <w:shd w:val="clear" w:color="auto" w:fill="auto"/>
            <w:vAlign w:val="center"/>
            <w:hideMark/>
          </w:tcPr>
          <w:p w14:paraId="666E52C8" w14:textId="77777777" w:rsidR="00FC752D" w:rsidRPr="00BC4AFE" w:rsidRDefault="00FC752D" w:rsidP="006211D7">
            <w:pPr>
              <w:widowControl w:val="0"/>
              <w:ind w:left="144" w:hanging="144"/>
              <w:rPr>
                <w:sz w:val="18"/>
                <w:szCs w:val="18"/>
              </w:rPr>
            </w:pPr>
            <w:r w:rsidRPr="00BC4AFE">
              <w:rPr>
                <w:sz w:val="18"/>
                <w:szCs w:val="18"/>
              </w:rPr>
              <w:t>Montenegro</w:t>
            </w:r>
          </w:p>
        </w:tc>
        <w:tc>
          <w:tcPr>
            <w:tcW w:w="1182" w:type="dxa"/>
            <w:shd w:val="clear" w:color="auto" w:fill="auto"/>
            <w:vAlign w:val="center"/>
            <w:hideMark/>
          </w:tcPr>
          <w:p w14:paraId="316A9D8C"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622AC3FF"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1DADFA0F" w14:textId="77777777" w:rsidR="00FC752D" w:rsidRPr="00BC4AFE" w:rsidRDefault="00FC752D" w:rsidP="006211D7">
            <w:pPr>
              <w:widowControl w:val="0"/>
              <w:ind w:right="144"/>
              <w:jc w:val="right"/>
              <w:rPr>
                <w:sz w:val="18"/>
                <w:szCs w:val="18"/>
              </w:rPr>
            </w:pPr>
            <w:r w:rsidRPr="00BC4AFE">
              <w:rPr>
                <w:sz w:val="18"/>
                <w:szCs w:val="18"/>
              </w:rPr>
              <w:t>651</w:t>
            </w:r>
          </w:p>
        </w:tc>
        <w:tc>
          <w:tcPr>
            <w:tcW w:w="1182" w:type="dxa"/>
            <w:shd w:val="clear" w:color="auto" w:fill="auto"/>
            <w:noWrap/>
            <w:vAlign w:val="center"/>
            <w:hideMark/>
          </w:tcPr>
          <w:p w14:paraId="365EE4EC" w14:textId="77777777" w:rsidR="00FC752D" w:rsidRPr="00BC4AFE" w:rsidRDefault="00FC752D" w:rsidP="006211D7">
            <w:pPr>
              <w:widowControl w:val="0"/>
              <w:ind w:right="144"/>
              <w:jc w:val="right"/>
              <w:rPr>
                <w:sz w:val="18"/>
                <w:szCs w:val="18"/>
              </w:rPr>
            </w:pPr>
            <w:r w:rsidRPr="00BC4AFE">
              <w:rPr>
                <w:sz w:val="18"/>
                <w:szCs w:val="18"/>
              </w:rPr>
              <w:t>714</w:t>
            </w:r>
          </w:p>
        </w:tc>
        <w:tc>
          <w:tcPr>
            <w:tcW w:w="1171" w:type="dxa"/>
            <w:shd w:val="clear" w:color="auto" w:fill="auto"/>
            <w:noWrap/>
            <w:vAlign w:val="center"/>
            <w:hideMark/>
          </w:tcPr>
          <w:p w14:paraId="7180F28B" w14:textId="77777777" w:rsidR="00FC752D" w:rsidRPr="00BC4AFE" w:rsidRDefault="00FC752D" w:rsidP="006211D7">
            <w:pPr>
              <w:widowControl w:val="0"/>
              <w:ind w:right="144"/>
              <w:jc w:val="right"/>
              <w:rPr>
                <w:sz w:val="18"/>
                <w:szCs w:val="18"/>
              </w:rPr>
            </w:pPr>
            <w:r w:rsidRPr="00BC4AFE">
              <w:rPr>
                <w:sz w:val="18"/>
                <w:szCs w:val="18"/>
              </w:rPr>
              <w:t>1,366</w:t>
            </w:r>
          </w:p>
        </w:tc>
      </w:tr>
      <w:tr w:rsidR="00FC752D" w:rsidRPr="00BC4AFE" w14:paraId="0ADD26B7" w14:textId="77777777" w:rsidTr="00A60395">
        <w:trPr>
          <w:cantSplit/>
          <w:trHeight w:val="245"/>
        </w:trPr>
        <w:tc>
          <w:tcPr>
            <w:tcW w:w="3605" w:type="dxa"/>
            <w:shd w:val="clear" w:color="auto" w:fill="auto"/>
            <w:vAlign w:val="center"/>
            <w:hideMark/>
          </w:tcPr>
          <w:p w14:paraId="5B8102CF" w14:textId="77777777" w:rsidR="00FC752D" w:rsidRPr="00BC4AFE" w:rsidRDefault="00FC752D" w:rsidP="006211D7">
            <w:pPr>
              <w:widowControl w:val="0"/>
              <w:ind w:left="144" w:hanging="144"/>
              <w:rPr>
                <w:sz w:val="18"/>
                <w:szCs w:val="18"/>
              </w:rPr>
            </w:pPr>
            <w:r w:rsidRPr="00BC4AFE">
              <w:rPr>
                <w:sz w:val="18"/>
                <w:szCs w:val="18"/>
              </w:rPr>
              <w:t>Morocco</w:t>
            </w:r>
          </w:p>
        </w:tc>
        <w:tc>
          <w:tcPr>
            <w:tcW w:w="1182" w:type="dxa"/>
            <w:shd w:val="clear" w:color="auto" w:fill="auto"/>
            <w:vAlign w:val="center"/>
            <w:hideMark/>
          </w:tcPr>
          <w:p w14:paraId="7F55A9D2" w14:textId="77777777" w:rsidR="00FC752D" w:rsidRPr="00BC4AFE" w:rsidRDefault="00FC752D" w:rsidP="006211D7">
            <w:pPr>
              <w:widowControl w:val="0"/>
              <w:ind w:right="144"/>
              <w:jc w:val="right"/>
              <w:rPr>
                <w:sz w:val="18"/>
                <w:szCs w:val="18"/>
              </w:rPr>
            </w:pPr>
            <w:r w:rsidRPr="00BC4AFE">
              <w:rPr>
                <w:sz w:val="18"/>
                <w:szCs w:val="18"/>
              </w:rPr>
              <w:t>0.055</w:t>
            </w:r>
          </w:p>
        </w:tc>
        <w:tc>
          <w:tcPr>
            <w:tcW w:w="1182" w:type="dxa"/>
            <w:shd w:val="clear" w:color="auto" w:fill="auto"/>
            <w:noWrap/>
            <w:vAlign w:val="center"/>
            <w:hideMark/>
          </w:tcPr>
          <w:p w14:paraId="1460C957" w14:textId="77777777" w:rsidR="00FC752D" w:rsidRPr="00BC4AFE" w:rsidRDefault="00FC752D" w:rsidP="006211D7">
            <w:pPr>
              <w:widowControl w:val="0"/>
              <w:ind w:right="144"/>
              <w:jc w:val="right"/>
              <w:rPr>
                <w:sz w:val="18"/>
                <w:szCs w:val="18"/>
              </w:rPr>
            </w:pPr>
            <w:r w:rsidRPr="00BC4AFE">
              <w:rPr>
                <w:sz w:val="18"/>
                <w:szCs w:val="18"/>
              </w:rPr>
              <w:t>0.069</w:t>
            </w:r>
          </w:p>
        </w:tc>
        <w:tc>
          <w:tcPr>
            <w:tcW w:w="1182" w:type="dxa"/>
            <w:shd w:val="clear" w:color="auto" w:fill="auto"/>
            <w:noWrap/>
            <w:vAlign w:val="center"/>
            <w:hideMark/>
          </w:tcPr>
          <w:p w14:paraId="6018BF62" w14:textId="77777777" w:rsidR="00FC752D" w:rsidRPr="00BC4AFE" w:rsidRDefault="00FC752D" w:rsidP="006211D7">
            <w:pPr>
              <w:widowControl w:val="0"/>
              <w:ind w:right="144"/>
              <w:jc w:val="right"/>
              <w:rPr>
                <w:sz w:val="18"/>
                <w:szCs w:val="18"/>
              </w:rPr>
            </w:pPr>
            <w:r w:rsidRPr="00BC4AFE">
              <w:rPr>
                <w:sz w:val="18"/>
                <w:szCs w:val="18"/>
              </w:rPr>
              <w:t>8,957</w:t>
            </w:r>
          </w:p>
        </w:tc>
        <w:tc>
          <w:tcPr>
            <w:tcW w:w="1182" w:type="dxa"/>
            <w:shd w:val="clear" w:color="auto" w:fill="auto"/>
            <w:noWrap/>
            <w:vAlign w:val="center"/>
            <w:hideMark/>
          </w:tcPr>
          <w:p w14:paraId="3072F5F5" w14:textId="77777777" w:rsidR="00FC752D" w:rsidRPr="00BC4AFE" w:rsidRDefault="00FC752D" w:rsidP="006211D7">
            <w:pPr>
              <w:widowControl w:val="0"/>
              <w:ind w:right="144"/>
              <w:jc w:val="right"/>
              <w:rPr>
                <w:sz w:val="18"/>
                <w:szCs w:val="18"/>
              </w:rPr>
            </w:pPr>
            <w:r w:rsidRPr="00BC4AFE">
              <w:rPr>
                <w:sz w:val="18"/>
                <w:szCs w:val="18"/>
              </w:rPr>
              <w:t>9,824</w:t>
            </w:r>
          </w:p>
        </w:tc>
        <w:tc>
          <w:tcPr>
            <w:tcW w:w="1171" w:type="dxa"/>
            <w:shd w:val="clear" w:color="auto" w:fill="auto"/>
            <w:noWrap/>
            <w:vAlign w:val="center"/>
            <w:hideMark/>
          </w:tcPr>
          <w:p w14:paraId="45528C4C" w14:textId="77777777" w:rsidR="00FC752D" w:rsidRPr="00BC4AFE" w:rsidRDefault="00FC752D" w:rsidP="006211D7">
            <w:pPr>
              <w:widowControl w:val="0"/>
              <w:ind w:right="144"/>
              <w:jc w:val="right"/>
              <w:rPr>
                <w:sz w:val="18"/>
                <w:szCs w:val="18"/>
              </w:rPr>
            </w:pPr>
            <w:r w:rsidRPr="00BC4AFE">
              <w:rPr>
                <w:sz w:val="18"/>
                <w:szCs w:val="18"/>
              </w:rPr>
              <w:t>18,781</w:t>
            </w:r>
          </w:p>
        </w:tc>
      </w:tr>
      <w:tr w:rsidR="00FC752D" w:rsidRPr="00BC4AFE" w14:paraId="0344503C" w14:textId="77777777" w:rsidTr="00A60395">
        <w:trPr>
          <w:cantSplit/>
          <w:trHeight w:val="245"/>
        </w:trPr>
        <w:tc>
          <w:tcPr>
            <w:tcW w:w="3605" w:type="dxa"/>
            <w:shd w:val="clear" w:color="auto" w:fill="auto"/>
            <w:vAlign w:val="center"/>
            <w:hideMark/>
          </w:tcPr>
          <w:p w14:paraId="6122EB8F" w14:textId="77777777" w:rsidR="00FC752D" w:rsidRPr="00BC4AFE" w:rsidRDefault="00FC752D" w:rsidP="006211D7">
            <w:pPr>
              <w:widowControl w:val="0"/>
              <w:ind w:left="144" w:hanging="144"/>
              <w:rPr>
                <w:sz w:val="18"/>
                <w:szCs w:val="18"/>
              </w:rPr>
            </w:pPr>
            <w:r w:rsidRPr="00BC4AFE">
              <w:rPr>
                <w:sz w:val="18"/>
                <w:szCs w:val="18"/>
              </w:rPr>
              <w:t>Mozambique</w:t>
            </w:r>
          </w:p>
        </w:tc>
        <w:tc>
          <w:tcPr>
            <w:tcW w:w="1182" w:type="dxa"/>
            <w:shd w:val="clear" w:color="auto" w:fill="auto"/>
            <w:vAlign w:val="center"/>
            <w:hideMark/>
          </w:tcPr>
          <w:p w14:paraId="13B3A5D1"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6DED06BC"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392842E6" w14:textId="77777777" w:rsidR="00FC752D" w:rsidRPr="00BC4AFE" w:rsidRDefault="00FC752D" w:rsidP="006211D7">
            <w:pPr>
              <w:widowControl w:val="0"/>
              <w:ind w:right="144"/>
              <w:jc w:val="right"/>
              <w:rPr>
                <w:sz w:val="18"/>
                <w:szCs w:val="18"/>
              </w:rPr>
            </w:pPr>
            <w:r w:rsidRPr="00BC4AFE">
              <w:rPr>
                <w:sz w:val="18"/>
                <w:szCs w:val="18"/>
              </w:rPr>
              <w:t>651</w:t>
            </w:r>
          </w:p>
        </w:tc>
        <w:tc>
          <w:tcPr>
            <w:tcW w:w="1182" w:type="dxa"/>
            <w:shd w:val="clear" w:color="auto" w:fill="auto"/>
            <w:noWrap/>
            <w:vAlign w:val="center"/>
            <w:hideMark/>
          </w:tcPr>
          <w:p w14:paraId="589B3AE9" w14:textId="77777777" w:rsidR="00FC752D" w:rsidRPr="00BC4AFE" w:rsidRDefault="00FC752D" w:rsidP="006211D7">
            <w:pPr>
              <w:widowControl w:val="0"/>
              <w:ind w:right="144"/>
              <w:jc w:val="right"/>
              <w:rPr>
                <w:sz w:val="18"/>
                <w:szCs w:val="18"/>
              </w:rPr>
            </w:pPr>
            <w:r w:rsidRPr="00BC4AFE">
              <w:rPr>
                <w:sz w:val="18"/>
                <w:szCs w:val="18"/>
              </w:rPr>
              <w:t>714</w:t>
            </w:r>
          </w:p>
        </w:tc>
        <w:tc>
          <w:tcPr>
            <w:tcW w:w="1171" w:type="dxa"/>
            <w:shd w:val="clear" w:color="auto" w:fill="auto"/>
            <w:noWrap/>
            <w:vAlign w:val="center"/>
            <w:hideMark/>
          </w:tcPr>
          <w:p w14:paraId="562FCFD0" w14:textId="77777777" w:rsidR="00FC752D" w:rsidRPr="00BC4AFE" w:rsidRDefault="00FC752D" w:rsidP="006211D7">
            <w:pPr>
              <w:widowControl w:val="0"/>
              <w:ind w:right="144"/>
              <w:jc w:val="right"/>
              <w:rPr>
                <w:sz w:val="18"/>
                <w:szCs w:val="18"/>
              </w:rPr>
            </w:pPr>
            <w:r w:rsidRPr="00BC4AFE">
              <w:rPr>
                <w:sz w:val="18"/>
                <w:szCs w:val="18"/>
              </w:rPr>
              <w:t>1,366</w:t>
            </w:r>
          </w:p>
        </w:tc>
      </w:tr>
      <w:tr w:rsidR="00FC752D" w:rsidRPr="00BC4AFE" w14:paraId="0ECBAAB0" w14:textId="77777777" w:rsidTr="00A60395">
        <w:trPr>
          <w:cantSplit/>
          <w:trHeight w:val="245"/>
        </w:trPr>
        <w:tc>
          <w:tcPr>
            <w:tcW w:w="3605" w:type="dxa"/>
            <w:shd w:val="clear" w:color="auto" w:fill="auto"/>
            <w:vAlign w:val="center"/>
            <w:hideMark/>
          </w:tcPr>
          <w:p w14:paraId="6EC6AFF6" w14:textId="77777777" w:rsidR="00FC752D" w:rsidRPr="00BC4AFE" w:rsidRDefault="00FC752D" w:rsidP="006211D7">
            <w:pPr>
              <w:widowControl w:val="0"/>
              <w:ind w:left="144" w:hanging="144"/>
              <w:rPr>
                <w:sz w:val="18"/>
                <w:szCs w:val="18"/>
              </w:rPr>
            </w:pPr>
            <w:r w:rsidRPr="00BC4AFE">
              <w:rPr>
                <w:sz w:val="18"/>
                <w:szCs w:val="18"/>
              </w:rPr>
              <w:t>Myanmar</w:t>
            </w:r>
          </w:p>
        </w:tc>
        <w:tc>
          <w:tcPr>
            <w:tcW w:w="1182" w:type="dxa"/>
            <w:shd w:val="clear" w:color="auto" w:fill="auto"/>
            <w:vAlign w:val="center"/>
            <w:hideMark/>
          </w:tcPr>
          <w:p w14:paraId="575969FA"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1C438519"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6555CB6C"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2769E90B"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251E19AC"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3F68BF22" w14:textId="77777777" w:rsidTr="00A60395">
        <w:trPr>
          <w:cantSplit/>
          <w:trHeight w:val="245"/>
        </w:trPr>
        <w:tc>
          <w:tcPr>
            <w:tcW w:w="3605" w:type="dxa"/>
            <w:shd w:val="clear" w:color="auto" w:fill="auto"/>
            <w:vAlign w:val="center"/>
            <w:hideMark/>
          </w:tcPr>
          <w:p w14:paraId="365FD530" w14:textId="77777777" w:rsidR="00FC752D" w:rsidRPr="00BC4AFE" w:rsidRDefault="00FC752D" w:rsidP="006211D7">
            <w:pPr>
              <w:widowControl w:val="0"/>
              <w:ind w:left="144" w:hanging="144"/>
              <w:rPr>
                <w:sz w:val="18"/>
                <w:szCs w:val="18"/>
              </w:rPr>
            </w:pPr>
            <w:r w:rsidRPr="00BC4AFE">
              <w:rPr>
                <w:sz w:val="18"/>
                <w:szCs w:val="18"/>
              </w:rPr>
              <w:t>Namibia</w:t>
            </w:r>
          </w:p>
        </w:tc>
        <w:tc>
          <w:tcPr>
            <w:tcW w:w="1182" w:type="dxa"/>
            <w:shd w:val="clear" w:color="auto" w:fill="auto"/>
            <w:vAlign w:val="center"/>
            <w:hideMark/>
          </w:tcPr>
          <w:p w14:paraId="15827592" w14:textId="77777777" w:rsidR="00FC752D" w:rsidRPr="00BC4AFE" w:rsidRDefault="00FC752D" w:rsidP="006211D7">
            <w:pPr>
              <w:widowControl w:val="0"/>
              <w:ind w:right="144"/>
              <w:jc w:val="right"/>
              <w:rPr>
                <w:sz w:val="18"/>
                <w:szCs w:val="18"/>
              </w:rPr>
            </w:pPr>
            <w:r w:rsidRPr="00BC4AFE">
              <w:rPr>
                <w:sz w:val="18"/>
                <w:szCs w:val="18"/>
              </w:rPr>
              <w:t>0.009</w:t>
            </w:r>
          </w:p>
        </w:tc>
        <w:tc>
          <w:tcPr>
            <w:tcW w:w="1182" w:type="dxa"/>
            <w:shd w:val="clear" w:color="auto" w:fill="auto"/>
            <w:noWrap/>
            <w:vAlign w:val="center"/>
            <w:hideMark/>
          </w:tcPr>
          <w:p w14:paraId="48E5216E" w14:textId="77777777" w:rsidR="00FC752D" w:rsidRPr="00BC4AFE" w:rsidRDefault="00FC752D" w:rsidP="006211D7">
            <w:pPr>
              <w:widowControl w:val="0"/>
              <w:ind w:right="144"/>
              <w:jc w:val="right"/>
              <w:rPr>
                <w:sz w:val="18"/>
                <w:szCs w:val="18"/>
              </w:rPr>
            </w:pPr>
            <w:r w:rsidRPr="00BC4AFE">
              <w:rPr>
                <w:sz w:val="18"/>
                <w:szCs w:val="18"/>
              </w:rPr>
              <w:t>0.011</w:t>
            </w:r>
          </w:p>
        </w:tc>
        <w:tc>
          <w:tcPr>
            <w:tcW w:w="1182" w:type="dxa"/>
            <w:shd w:val="clear" w:color="auto" w:fill="auto"/>
            <w:noWrap/>
            <w:vAlign w:val="center"/>
            <w:hideMark/>
          </w:tcPr>
          <w:p w14:paraId="19404611" w14:textId="77777777" w:rsidR="00FC752D" w:rsidRPr="00BC4AFE" w:rsidRDefault="00FC752D" w:rsidP="006211D7">
            <w:pPr>
              <w:widowControl w:val="0"/>
              <w:ind w:right="144"/>
              <w:jc w:val="right"/>
              <w:rPr>
                <w:sz w:val="18"/>
                <w:szCs w:val="18"/>
              </w:rPr>
            </w:pPr>
            <w:r w:rsidRPr="00BC4AFE">
              <w:rPr>
                <w:sz w:val="18"/>
                <w:szCs w:val="18"/>
              </w:rPr>
              <w:t>1,466</w:t>
            </w:r>
          </w:p>
        </w:tc>
        <w:tc>
          <w:tcPr>
            <w:tcW w:w="1182" w:type="dxa"/>
            <w:shd w:val="clear" w:color="auto" w:fill="auto"/>
            <w:noWrap/>
            <w:vAlign w:val="center"/>
            <w:hideMark/>
          </w:tcPr>
          <w:p w14:paraId="51CCAA21" w14:textId="77777777" w:rsidR="00FC752D" w:rsidRPr="00BC4AFE" w:rsidRDefault="00FC752D" w:rsidP="006211D7">
            <w:pPr>
              <w:widowControl w:val="0"/>
              <w:ind w:right="144"/>
              <w:jc w:val="right"/>
              <w:rPr>
                <w:sz w:val="18"/>
                <w:szCs w:val="18"/>
              </w:rPr>
            </w:pPr>
            <w:r w:rsidRPr="00BC4AFE">
              <w:rPr>
                <w:sz w:val="18"/>
                <w:szCs w:val="18"/>
              </w:rPr>
              <w:t>1,608</w:t>
            </w:r>
          </w:p>
        </w:tc>
        <w:tc>
          <w:tcPr>
            <w:tcW w:w="1171" w:type="dxa"/>
            <w:shd w:val="clear" w:color="auto" w:fill="auto"/>
            <w:noWrap/>
            <w:vAlign w:val="center"/>
            <w:hideMark/>
          </w:tcPr>
          <w:p w14:paraId="33A7976B" w14:textId="77777777" w:rsidR="00FC752D" w:rsidRPr="00BC4AFE" w:rsidRDefault="00FC752D" w:rsidP="006211D7">
            <w:pPr>
              <w:widowControl w:val="0"/>
              <w:ind w:right="144"/>
              <w:jc w:val="right"/>
              <w:rPr>
                <w:sz w:val="18"/>
                <w:szCs w:val="18"/>
              </w:rPr>
            </w:pPr>
            <w:r w:rsidRPr="00BC4AFE">
              <w:rPr>
                <w:sz w:val="18"/>
                <w:szCs w:val="18"/>
              </w:rPr>
              <w:t>3,073</w:t>
            </w:r>
          </w:p>
        </w:tc>
      </w:tr>
      <w:tr w:rsidR="00FC752D" w:rsidRPr="00BC4AFE" w14:paraId="733CBCDF" w14:textId="77777777" w:rsidTr="00A60395">
        <w:trPr>
          <w:cantSplit/>
          <w:trHeight w:val="245"/>
        </w:trPr>
        <w:tc>
          <w:tcPr>
            <w:tcW w:w="3605" w:type="dxa"/>
            <w:shd w:val="clear" w:color="auto" w:fill="auto"/>
            <w:vAlign w:val="center"/>
            <w:hideMark/>
          </w:tcPr>
          <w:p w14:paraId="30795E55" w14:textId="77777777" w:rsidR="00FC752D" w:rsidRPr="00BC4AFE" w:rsidRDefault="00FC752D" w:rsidP="006211D7">
            <w:pPr>
              <w:widowControl w:val="0"/>
              <w:ind w:left="144" w:hanging="144"/>
              <w:rPr>
                <w:sz w:val="18"/>
                <w:szCs w:val="18"/>
              </w:rPr>
            </w:pPr>
            <w:r w:rsidRPr="00BC4AFE">
              <w:rPr>
                <w:sz w:val="18"/>
                <w:szCs w:val="18"/>
              </w:rPr>
              <w:t>Nauru</w:t>
            </w:r>
          </w:p>
        </w:tc>
        <w:tc>
          <w:tcPr>
            <w:tcW w:w="1182" w:type="dxa"/>
            <w:shd w:val="clear" w:color="auto" w:fill="auto"/>
            <w:vAlign w:val="center"/>
            <w:hideMark/>
          </w:tcPr>
          <w:p w14:paraId="3B24BAB2"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0B1B1403"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28DB664C"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03F035B9"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3149B1F4"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2072E93D" w14:textId="77777777" w:rsidTr="00A60395">
        <w:trPr>
          <w:cantSplit/>
          <w:trHeight w:val="245"/>
        </w:trPr>
        <w:tc>
          <w:tcPr>
            <w:tcW w:w="3605" w:type="dxa"/>
            <w:shd w:val="clear" w:color="auto" w:fill="auto"/>
            <w:vAlign w:val="center"/>
            <w:hideMark/>
          </w:tcPr>
          <w:p w14:paraId="7C26B20A" w14:textId="77777777" w:rsidR="00FC752D" w:rsidRPr="00BC4AFE" w:rsidRDefault="00FC752D" w:rsidP="006211D7">
            <w:pPr>
              <w:widowControl w:val="0"/>
              <w:ind w:left="144" w:hanging="144"/>
              <w:rPr>
                <w:sz w:val="18"/>
                <w:szCs w:val="18"/>
              </w:rPr>
            </w:pPr>
            <w:r w:rsidRPr="00BC4AFE">
              <w:rPr>
                <w:sz w:val="18"/>
                <w:szCs w:val="18"/>
              </w:rPr>
              <w:t>Nepal</w:t>
            </w:r>
          </w:p>
        </w:tc>
        <w:tc>
          <w:tcPr>
            <w:tcW w:w="1182" w:type="dxa"/>
            <w:shd w:val="clear" w:color="auto" w:fill="auto"/>
            <w:vAlign w:val="center"/>
            <w:hideMark/>
          </w:tcPr>
          <w:p w14:paraId="738933B9"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7192376A"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1164DD6A"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658EE161"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35693715"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09353C4F" w14:textId="77777777" w:rsidTr="00A60395">
        <w:trPr>
          <w:cantSplit/>
          <w:trHeight w:val="245"/>
        </w:trPr>
        <w:tc>
          <w:tcPr>
            <w:tcW w:w="3605" w:type="dxa"/>
            <w:shd w:val="clear" w:color="auto" w:fill="auto"/>
            <w:vAlign w:val="center"/>
            <w:hideMark/>
          </w:tcPr>
          <w:p w14:paraId="736A7D02" w14:textId="77777777" w:rsidR="00FC752D" w:rsidRPr="00BC4AFE" w:rsidRDefault="00FC752D" w:rsidP="006211D7">
            <w:pPr>
              <w:widowControl w:val="0"/>
              <w:ind w:left="144" w:hanging="144"/>
              <w:rPr>
                <w:sz w:val="18"/>
                <w:szCs w:val="18"/>
              </w:rPr>
            </w:pPr>
            <w:r w:rsidRPr="00BC4AFE">
              <w:rPr>
                <w:sz w:val="18"/>
                <w:szCs w:val="18"/>
              </w:rPr>
              <w:t>Netherlands</w:t>
            </w:r>
          </w:p>
        </w:tc>
        <w:tc>
          <w:tcPr>
            <w:tcW w:w="1182" w:type="dxa"/>
            <w:shd w:val="clear" w:color="auto" w:fill="auto"/>
            <w:vAlign w:val="center"/>
            <w:hideMark/>
          </w:tcPr>
          <w:p w14:paraId="574AAA3D" w14:textId="77777777" w:rsidR="00FC752D" w:rsidRPr="00BC4AFE" w:rsidRDefault="00FC752D" w:rsidP="006211D7">
            <w:pPr>
              <w:widowControl w:val="0"/>
              <w:ind w:right="144"/>
              <w:jc w:val="right"/>
              <w:rPr>
                <w:sz w:val="18"/>
                <w:szCs w:val="18"/>
              </w:rPr>
            </w:pPr>
            <w:r w:rsidRPr="00BC4AFE">
              <w:rPr>
                <w:sz w:val="18"/>
                <w:szCs w:val="18"/>
              </w:rPr>
              <w:t>1.377</w:t>
            </w:r>
          </w:p>
        </w:tc>
        <w:tc>
          <w:tcPr>
            <w:tcW w:w="1182" w:type="dxa"/>
            <w:shd w:val="clear" w:color="auto" w:fill="auto"/>
            <w:noWrap/>
            <w:vAlign w:val="center"/>
            <w:hideMark/>
          </w:tcPr>
          <w:p w14:paraId="6671D161" w14:textId="77777777" w:rsidR="00FC752D" w:rsidRPr="00BC4AFE" w:rsidRDefault="00FC752D" w:rsidP="006211D7">
            <w:pPr>
              <w:widowControl w:val="0"/>
              <w:ind w:right="144"/>
              <w:jc w:val="right"/>
              <w:rPr>
                <w:sz w:val="18"/>
                <w:szCs w:val="18"/>
              </w:rPr>
            </w:pPr>
            <w:r w:rsidRPr="00BC4AFE">
              <w:rPr>
                <w:sz w:val="18"/>
                <w:szCs w:val="18"/>
              </w:rPr>
              <w:t>1.721</w:t>
            </w:r>
          </w:p>
        </w:tc>
        <w:tc>
          <w:tcPr>
            <w:tcW w:w="1182" w:type="dxa"/>
            <w:shd w:val="clear" w:color="auto" w:fill="auto"/>
            <w:noWrap/>
            <w:vAlign w:val="center"/>
            <w:hideMark/>
          </w:tcPr>
          <w:p w14:paraId="377A73AB" w14:textId="77777777" w:rsidR="00FC752D" w:rsidRPr="00BC4AFE" w:rsidRDefault="00FC752D" w:rsidP="006211D7">
            <w:pPr>
              <w:widowControl w:val="0"/>
              <w:ind w:right="144"/>
              <w:jc w:val="right"/>
              <w:rPr>
                <w:sz w:val="18"/>
                <w:szCs w:val="18"/>
              </w:rPr>
            </w:pPr>
            <w:r w:rsidRPr="00BC4AFE">
              <w:rPr>
                <w:sz w:val="18"/>
                <w:szCs w:val="18"/>
              </w:rPr>
              <w:t>224,241</w:t>
            </w:r>
          </w:p>
        </w:tc>
        <w:tc>
          <w:tcPr>
            <w:tcW w:w="1182" w:type="dxa"/>
            <w:shd w:val="clear" w:color="auto" w:fill="auto"/>
            <w:noWrap/>
            <w:vAlign w:val="center"/>
            <w:hideMark/>
          </w:tcPr>
          <w:p w14:paraId="6FB44381" w14:textId="77777777" w:rsidR="00FC752D" w:rsidRPr="00BC4AFE" w:rsidRDefault="00FC752D" w:rsidP="006211D7">
            <w:pPr>
              <w:widowControl w:val="0"/>
              <w:ind w:right="144"/>
              <w:jc w:val="right"/>
              <w:rPr>
                <w:sz w:val="18"/>
                <w:szCs w:val="18"/>
              </w:rPr>
            </w:pPr>
            <w:r w:rsidRPr="00BC4AFE">
              <w:rPr>
                <w:sz w:val="18"/>
                <w:szCs w:val="18"/>
              </w:rPr>
              <w:t>245,955</w:t>
            </w:r>
          </w:p>
        </w:tc>
        <w:tc>
          <w:tcPr>
            <w:tcW w:w="1171" w:type="dxa"/>
            <w:shd w:val="clear" w:color="auto" w:fill="auto"/>
            <w:noWrap/>
            <w:vAlign w:val="center"/>
            <w:hideMark/>
          </w:tcPr>
          <w:p w14:paraId="718EAAA4" w14:textId="77777777" w:rsidR="00FC752D" w:rsidRPr="00BC4AFE" w:rsidRDefault="00FC752D" w:rsidP="006211D7">
            <w:pPr>
              <w:widowControl w:val="0"/>
              <w:ind w:right="144"/>
              <w:jc w:val="right"/>
              <w:rPr>
                <w:sz w:val="18"/>
                <w:szCs w:val="18"/>
              </w:rPr>
            </w:pPr>
            <w:r w:rsidRPr="00BC4AFE">
              <w:rPr>
                <w:sz w:val="18"/>
                <w:szCs w:val="18"/>
              </w:rPr>
              <w:t>470,196</w:t>
            </w:r>
          </w:p>
        </w:tc>
      </w:tr>
      <w:tr w:rsidR="00FC752D" w:rsidRPr="00BC4AFE" w14:paraId="470C051C" w14:textId="77777777" w:rsidTr="00A60395">
        <w:trPr>
          <w:cantSplit/>
          <w:trHeight w:val="245"/>
        </w:trPr>
        <w:tc>
          <w:tcPr>
            <w:tcW w:w="3605" w:type="dxa"/>
            <w:shd w:val="clear" w:color="auto" w:fill="auto"/>
            <w:vAlign w:val="center"/>
            <w:hideMark/>
          </w:tcPr>
          <w:p w14:paraId="5A57575F" w14:textId="77777777" w:rsidR="00FC752D" w:rsidRPr="00BC4AFE" w:rsidRDefault="00FC752D" w:rsidP="006211D7">
            <w:pPr>
              <w:widowControl w:val="0"/>
              <w:ind w:left="144" w:hanging="144"/>
              <w:rPr>
                <w:sz w:val="18"/>
                <w:szCs w:val="18"/>
              </w:rPr>
            </w:pPr>
            <w:r w:rsidRPr="00BC4AFE">
              <w:rPr>
                <w:sz w:val="18"/>
                <w:szCs w:val="18"/>
              </w:rPr>
              <w:t>New Zealand</w:t>
            </w:r>
          </w:p>
        </w:tc>
        <w:tc>
          <w:tcPr>
            <w:tcW w:w="1182" w:type="dxa"/>
            <w:shd w:val="clear" w:color="auto" w:fill="auto"/>
            <w:vAlign w:val="center"/>
            <w:hideMark/>
          </w:tcPr>
          <w:p w14:paraId="63BFCBF3" w14:textId="77777777" w:rsidR="00FC752D" w:rsidRPr="00BC4AFE" w:rsidRDefault="00FC752D" w:rsidP="006211D7">
            <w:pPr>
              <w:widowControl w:val="0"/>
              <w:ind w:right="144"/>
              <w:jc w:val="right"/>
              <w:rPr>
                <w:sz w:val="18"/>
                <w:szCs w:val="18"/>
              </w:rPr>
            </w:pPr>
            <w:r w:rsidRPr="00BC4AFE">
              <w:rPr>
                <w:sz w:val="18"/>
                <w:szCs w:val="18"/>
              </w:rPr>
              <w:t>0.309</w:t>
            </w:r>
          </w:p>
        </w:tc>
        <w:tc>
          <w:tcPr>
            <w:tcW w:w="1182" w:type="dxa"/>
            <w:shd w:val="clear" w:color="auto" w:fill="auto"/>
            <w:noWrap/>
            <w:vAlign w:val="center"/>
            <w:hideMark/>
          </w:tcPr>
          <w:p w14:paraId="50000D75" w14:textId="77777777" w:rsidR="00FC752D" w:rsidRPr="00BC4AFE" w:rsidRDefault="00FC752D" w:rsidP="006211D7">
            <w:pPr>
              <w:widowControl w:val="0"/>
              <w:ind w:right="144"/>
              <w:jc w:val="right"/>
              <w:rPr>
                <w:sz w:val="18"/>
                <w:szCs w:val="18"/>
              </w:rPr>
            </w:pPr>
            <w:r w:rsidRPr="00BC4AFE">
              <w:rPr>
                <w:sz w:val="18"/>
                <w:szCs w:val="18"/>
              </w:rPr>
              <w:t>0.386</w:t>
            </w:r>
          </w:p>
        </w:tc>
        <w:tc>
          <w:tcPr>
            <w:tcW w:w="1182" w:type="dxa"/>
            <w:shd w:val="clear" w:color="auto" w:fill="auto"/>
            <w:noWrap/>
            <w:vAlign w:val="center"/>
            <w:hideMark/>
          </w:tcPr>
          <w:p w14:paraId="2D1115BA" w14:textId="77777777" w:rsidR="00FC752D" w:rsidRPr="00BC4AFE" w:rsidRDefault="00FC752D" w:rsidP="006211D7">
            <w:pPr>
              <w:widowControl w:val="0"/>
              <w:ind w:right="144"/>
              <w:jc w:val="right"/>
              <w:rPr>
                <w:sz w:val="18"/>
                <w:szCs w:val="18"/>
              </w:rPr>
            </w:pPr>
            <w:r w:rsidRPr="00BC4AFE">
              <w:rPr>
                <w:sz w:val="18"/>
                <w:szCs w:val="18"/>
              </w:rPr>
              <w:t>50,320</w:t>
            </w:r>
          </w:p>
        </w:tc>
        <w:tc>
          <w:tcPr>
            <w:tcW w:w="1182" w:type="dxa"/>
            <w:shd w:val="clear" w:color="auto" w:fill="auto"/>
            <w:noWrap/>
            <w:vAlign w:val="center"/>
            <w:hideMark/>
          </w:tcPr>
          <w:p w14:paraId="037B3A58" w14:textId="77777777" w:rsidR="00FC752D" w:rsidRPr="00BC4AFE" w:rsidRDefault="00FC752D" w:rsidP="006211D7">
            <w:pPr>
              <w:widowControl w:val="0"/>
              <w:ind w:right="144"/>
              <w:jc w:val="right"/>
              <w:rPr>
                <w:sz w:val="18"/>
                <w:szCs w:val="18"/>
              </w:rPr>
            </w:pPr>
            <w:r w:rsidRPr="00BC4AFE">
              <w:rPr>
                <w:sz w:val="18"/>
                <w:szCs w:val="18"/>
              </w:rPr>
              <w:t>55,193</w:t>
            </w:r>
          </w:p>
        </w:tc>
        <w:tc>
          <w:tcPr>
            <w:tcW w:w="1171" w:type="dxa"/>
            <w:shd w:val="clear" w:color="auto" w:fill="auto"/>
            <w:noWrap/>
            <w:vAlign w:val="center"/>
            <w:hideMark/>
          </w:tcPr>
          <w:p w14:paraId="2979F72B" w14:textId="77777777" w:rsidR="00FC752D" w:rsidRPr="00BC4AFE" w:rsidRDefault="00FC752D" w:rsidP="006211D7">
            <w:pPr>
              <w:widowControl w:val="0"/>
              <w:ind w:right="144"/>
              <w:jc w:val="right"/>
              <w:rPr>
                <w:sz w:val="18"/>
                <w:szCs w:val="18"/>
              </w:rPr>
            </w:pPr>
            <w:r w:rsidRPr="00BC4AFE">
              <w:rPr>
                <w:sz w:val="18"/>
                <w:szCs w:val="18"/>
              </w:rPr>
              <w:t>105,512</w:t>
            </w:r>
          </w:p>
        </w:tc>
      </w:tr>
      <w:tr w:rsidR="00FC752D" w:rsidRPr="00BC4AFE" w14:paraId="3DD0F678" w14:textId="77777777" w:rsidTr="00A60395">
        <w:trPr>
          <w:cantSplit/>
          <w:trHeight w:val="245"/>
        </w:trPr>
        <w:tc>
          <w:tcPr>
            <w:tcW w:w="3605" w:type="dxa"/>
            <w:shd w:val="clear" w:color="auto" w:fill="auto"/>
            <w:vAlign w:val="center"/>
            <w:hideMark/>
          </w:tcPr>
          <w:p w14:paraId="332CF0DE" w14:textId="77777777" w:rsidR="00FC752D" w:rsidRPr="00BC4AFE" w:rsidRDefault="00FC752D" w:rsidP="006211D7">
            <w:pPr>
              <w:widowControl w:val="0"/>
              <w:ind w:left="144" w:hanging="144"/>
              <w:rPr>
                <w:sz w:val="18"/>
                <w:szCs w:val="18"/>
              </w:rPr>
            </w:pPr>
            <w:r w:rsidRPr="00BC4AFE">
              <w:rPr>
                <w:sz w:val="18"/>
                <w:szCs w:val="18"/>
              </w:rPr>
              <w:t>Nicaragua</w:t>
            </w:r>
          </w:p>
        </w:tc>
        <w:tc>
          <w:tcPr>
            <w:tcW w:w="1182" w:type="dxa"/>
            <w:shd w:val="clear" w:color="auto" w:fill="auto"/>
            <w:vAlign w:val="center"/>
            <w:hideMark/>
          </w:tcPr>
          <w:p w14:paraId="5E214B7D"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3E59E841" w14:textId="77777777" w:rsidR="00FC752D" w:rsidRPr="00BC4AFE" w:rsidRDefault="00FC752D" w:rsidP="006211D7">
            <w:pPr>
              <w:widowControl w:val="0"/>
              <w:ind w:right="144"/>
              <w:jc w:val="right"/>
              <w:rPr>
                <w:sz w:val="18"/>
                <w:szCs w:val="18"/>
              </w:rPr>
            </w:pPr>
            <w:r w:rsidRPr="00BC4AFE">
              <w:rPr>
                <w:sz w:val="18"/>
                <w:szCs w:val="18"/>
              </w:rPr>
              <w:t>0.006</w:t>
            </w:r>
          </w:p>
        </w:tc>
        <w:tc>
          <w:tcPr>
            <w:tcW w:w="1182" w:type="dxa"/>
            <w:shd w:val="clear" w:color="auto" w:fill="auto"/>
            <w:noWrap/>
            <w:vAlign w:val="center"/>
            <w:hideMark/>
          </w:tcPr>
          <w:p w14:paraId="1A2FEA65" w14:textId="77777777" w:rsidR="00FC752D" w:rsidRPr="00BC4AFE" w:rsidRDefault="00FC752D" w:rsidP="006211D7">
            <w:pPr>
              <w:widowControl w:val="0"/>
              <w:ind w:right="144"/>
              <w:jc w:val="right"/>
              <w:rPr>
                <w:sz w:val="18"/>
                <w:szCs w:val="18"/>
              </w:rPr>
            </w:pPr>
            <w:r w:rsidRPr="00BC4AFE">
              <w:rPr>
                <w:sz w:val="18"/>
                <w:szCs w:val="18"/>
              </w:rPr>
              <w:t>814</w:t>
            </w:r>
          </w:p>
        </w:tc>
        <w:tc>
          <w:tcPr>
            <w:tcW w:w="1182" w:type="dxa"/>
            <w:shd w:val="clear" w:color="auto" w:fill="auto"/>
            <w:noWrap/>
            <w:vAlign w:val="center"/>
            <w:hideMark/>
          </w:tcPr>
          <w:p w14:paraId="3B3FE3EE" w14:textId="77777777" w:rsidR="00FC752D" w:rsidRPr="00BC4AFE" w:rsidRDefault="00FC752D" w:rsidP="006211D7">
            <w:pPr>
              <w:widowControl w:val="0"/>
              <w:ind w:right="144"/>
              <w:jc w:val="right"/>
              <w:rPr>
                <w:sz w:val="18"/>
                <w:szCs w:val="18"/>
              </w:rPr>
            </w:pPr>
            <w:r w:rsidRPr="00BC4AFE">
              <w:rPr>
                <w:sz w:val="18"/>
                <w:szCs w:val="18"/>
              </w:rPr>
              <w:t>893</w:t>
            </w:r>
          </w:p>
        </w:tc>
        <w:tc>
          <w:tcPr>
            <w:tcW w:w="1171" w:type="dxa"/>
            <w:shd w:val="clear" w:color="auto" w:fill="auto"/>
            <w:noWrap/>
            <w:vAlign w:val="center"/>
            <w:hideMark/>
          </w:tcPr>
          <w:p w14:paraId="1D1806FE" w14:textId="77777777" w:rsidR="00FC752D" w:rsidRPr="00BC4AFE" w:rsidRDefault="00FC752D" w:rsidP="006211D7">
            <w:pPr>
              <w:widowControl w:val="0"/>
              <w:ind w:right="144"/>
              <w:jc w:val="right"/>
              <w:rPr>
                <w:sz w:val="18"/>
                <w:szCs w:val="18"/>
              </w:rPr>
            </w:pPr>
            <w:r w:rsidRPr="00BC4AFE">
              <w:rPr>
                <w:sz w:val="18"/>
                <w:szCs w:val="18"/>
              </w:rPr>
              <w:t>1,707</w:t>
            </w:r>
          </w:p>
        </w:tc>
      </w:tr>
      <w:tr w:rsidR="00FC752D" w:rsidRPr="00BC4AFE" w14:paraId="7F89D04F" w14:textId="77777777" w:rsidTr="00A60395">
        <w:trPr>
          <w:cantSplit/>
          <w:trHeight w:val="245"/>
        </w:trPr>
        <w:tc>
          <w:tcPr>
            <w:tcW w:w="3605" w:type="dxa"/>
            <w:shd w:val="clear" w:color="auto" w:fill="auto"/>
            <w:vAlign w:val="center"/>
            <w:hideMark/>
          </w:tcPr>
          <w:p w14:paraId="148C3C47" w14:textId="77777777" w:rsidR="00FC752D" w:rsidRPr="00BC4AFE" w:rsidRDefault="00FC752D" w:rsidP="006211D7">
            <w:pPr>
              <w:widowControl w:val="0"/>
              <w:ind w:left="144" w:hanging="144"/>
              <w:rPr>
                <w:sz w:val="18"/>
                <w:szCs w:val="18"/>
              </w:rPr>
            </w:pPr>
            <w:r w:rsidRPr="00BC4AFE">
              <w:rPr>
                <w:sz w:val="18"/>
                <w:szCs w:val="18"/>
              </w:rPr>
              <w:t>Niger</w:t>
            </w:r>
          </w:p>
        </w:tc>
        <w:tc>
          <w:tcPr>
            <w:tcW w:w="1182" w:type="dxa"/>
            <w:shd w:val="clear" w:color="auto" w:fill="auto"/>
            <w:vAlign w:val="center"/>
            <w:hideMark/>
          </w:tcPr>
          <w:p w14:paraId="62F12BBC"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5927B120"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62C2ECB1" w14:textId="77777777" w:rsidR="00FC752D" w:rsidRPr="00BC4AFE" w:rsidRDefault="00FC752D" w:rsidP="006211D7">
            <w:pPr>
              <w:widowControl w:val="0"/>
              <w:ind w:right="144"/>
              <w:jc w:val="right"/>
              <w:rPr>
                <w:sz w:val="18"/>
                <w:szCs w:val="18"/>
              </w:rPr>
            </w:pPr>
            <w:r w:rsidRPr="00BC4AFE">
              <w:rPr>
                <w:sz w:val="18"/>
                <w:szCs w:val="18"/>
              </w:rPr>
              <w:t>489</w:t>
            </w:r>
          </w:p>
        </w:tc>
        <w:tc>
          <w:tcPr>
            <w:tcW w:w="1182" w:type="dxa"/>
            <w:shd w:val="clear" w:color="auto" w:fill="auto"/>
            <w:noWrap/>
            <w:vAlign w:val="center"/>
            <w:hideMark/>
          </w:tcPr>
          <w:p w14:paraId="6AFF3ADC" w14:textId="77777777" w:rsidR="00FC752D" w:rsidRPr="00BC4AFE" w:rsidRDefault="00FC752D" w:rsidP="006211D7">
            <w:pPr>
              <w:widowControl w:val="0"/>
              <w:ind w:right="144"/>
              <w:jc w:val="right"/>
              <w:rPr>
                <w:sz w:val="18"/>
                <w:szCs w:val="18"/>
              </w:rPr>
            </w:pPr>
            <w:r w:rsidRPr="00BC4AFE">
              <w:rPr>
                <w:sz w:val="18"/>
                <w:szCs w:val="18"/>
              </w:rPr>
              <w:t>536</w:t>
            </w:r>
          </w:p>
        </w:tc>
        <w:tc>
          <w:tcPr>
            <w:tcW w:w="1171" w:type="dxa"/>
            <w:shd w:val="clear" w:color="auto" w:fill="auto"/>
            <w:noWrap/>
            <w:vAlign w:val="center"/>
            <w:hideMark/>
          </w:tcPr>
          <w:p w14:paraId="5C81EDBA" w14:textId="77777777" w:rsidR="00FC752D" w:rsidRPr="00BC4AFE" w:rsidRDefault="00FC752D" w:rsidP="006211D7">
            <w:pPr>
              <w:widowControl w:val="0"/>
              <w:ind w:right="144"/>
              <w:jc w:val="right"/>
              <w:rPr>
                <w:sz w:val="18"/>
                <w:szCs w:val="18"/>
              </w:rPr>
            </w:pPr>
            <w:r w:rsidRPr="00BC4AFE">
              <w:rPr>
                <w:sz w:val="18"/>
                <w:szCs w:val="18"/>
              </w:rPr>
              <w:t>1,024</w:t>
            </w:r>
          </w:p>
        </w:tc>
      </w:tr>
      <w:tr w:rsidR="00FC752D" w:rsidRPr="00BC4AFE" w14:paraId="2708DCE1" w14:textId="77777777" w:rsidTr="00A60395">
        <w:trPr>
          <w:cantSplit/>
          <w:trHeight w:val="245"/>
        </w:trPr>
        <w:tc>
          <w:tcPr>
            <w:tcW w:w="3605" w:type="dxa"/>
            <w:shd w:val="clear" w:color="auto" w:fill="auto"/>
            <w:vAlign w:val="center"/>
            <w:hideMark/>
          </w:tcPr>
          <w:p w14:paraId="65095B70" w14:textId="77777777" w:rsidR="00FC752D" w:rsidRPr="00BC4AFE" w:rsidRDefault="00FC752D" w:rsidP="006211D7">
            <w:pPr>
              <w:widowControl w:val="0"/>
              <w:ind w:left="144" w:hanging="144"/>
              <w:rPr>
                <w:sz w:val="18"/>
                <w:szCs w:val="18"/>
              </w:rPr>
            </w:pPr>
            <w:r w:rsidRPr="00BC4AFE">
              <w:rPr>
                <w:sz w:val="18"/>
                <w:szCs w:val="18"/>
              </w:rPr>
              <w:t>Nigeria</w:t>
            </w:r>
          </w:p>
        </w:tc>
        <w:tc>
          <w:tcPr>
            <w:tcW w:w="1182" w:type="dxa"/>
            <w:shd w:val="clear" w:color="auto" w:fill="auto"/>
            <w:vAlign w:val="center"/>
            <w:hideMark/>
          </w:tcPr>
          <w:p w14:paraId="3305B187" w14:textId="77777777" w:rsidR="00FC752D" w:rsidRPr="00BC4AFE" w:rsidRDefault="00FC752D" w:rsidP="006211D7">
            <w:pPr>
              <w:widowControl w:val="0"/>
              <w:ind w:right="144"/>
              <w:jc w:val="right"/>
              <w:rPr>
                <w:sz w:val="18"/>
                <w:szCs w:val="18"/>
              </w:rPr>
            </w:pPr>
            <w:r w:rsidRPr="00BC4AFE">
              <w:rPr>
                <w:sz w:val="18"/>
                <w:szCs w:val="18"/>
              </w:rPr>
              <w:t>0.182</w:t>
            </w:r>
          </w:p>
        </w:tc>
        <w:tc>
          <w:tcPr>
            <w:tcW w:w="1182" w:type="dxa"/>
            <w:shd w:val="clear" w:color="auto" w:fill="auto"/>
            <w:noWrap/>
            <w:vAlign w:val="center"/>
            <w:hideMark/>
          </w:tcPr>
          <w:p w14:paraId="7C7859B6" w14:textId="77777777" w:rsidR="00FC752D" w:rsidRPr="00BC4AFE" w:rsidRDefault="00FC752D" w:rsidP="006211D7">
            <w:pPr>
              <w:widowControl w:val="0"/>
              <w:ind w:right="144"/>
              <w:jc w:val="right"/>
              <w:rPr>
                <w:sz w:val="18"/>
                <w:szCs w:val="18"/>
              </w:rPr>
            </w:pPr>
            <w:r w:rsidRPr="00BC4AFE">
              <w:rPr>
                <w:sz w:val="18"/>
                <w:szCs w:val="18"/>
              </w:rPr>
              <w:t>0.228</w:t>
            </w:r>
          </w:p>
        </w:tc>
        <w:tc>
          <w:tcPr>
            <w:tcW w:w="1182" w:type="dxa"/>
            <w:shd w:val="clear" w:color="auto" w:fill="auto"/>
            <w:noWrap/>
            <w:vAlign w:val="center"/>
            <w:hideMark/>
          </w:tcPr>
          <w:p w14:paraId="30169ADF" w14:textId="77777777" w:rsidR="00FC752D" w:rsidRPr="00BC4AFE" w:rsidRDefault="00FC752D" w:rsidP="006211D7">
            <w:pPr>
              <w:widowControl w:val="0"/>
              <w:ind w:right="144"/>
              <w:jc w:val="right"/>
              <w:rPr>
                <w:sz w:val="18"/>
                <w:szCs w:val="18"/>
              </w:rPr>
            </w:pPr>
            <w:r w:rsidRPr="00BC4AFE">
              <w:rPr>
                <w:sz w:val="18"/>
                <w:szCs w:val="18"/>
              </w:rPr>
              <w:t>29,638</w:t>
            </w:r>
          </w:p>
        </w:tc>
        <w:tc>
          <w:tcPr>
            <w:tcW w:w="1182" w:type="dxa"/>
            <w:shd w:val="clear" w:color="auto" w:fill="auto"/>
            <w:noWrap/>
            <w:vAlign w:val="center"/>
            <w:hideMark/>
          </w:tcPr>
          <w:p w14:paraId="6E402B4F" w14:textId="77777777" w:rsidR="00FC752D" w:rsidRPr="00BC4AFE" w:rsidRDefault="00FC752D" w:rsidP="006211D7">
            <w:pPr>
              <w:widowControl w:val="0"/>
              <w:ind w:right="144"/>
              <w:jc w:val="right"/>
              <w:rPr>
                <w:sz w:val="18"/>
                <w:szCs w:val="18"/>
              </w:rPr>
            </w:pPr>
            <w:r w:rsidRPr="00BC4AFE">
              <w:rPr>
                <w:sz w:val="18"/>
                <w:szCs w:val="18"/>
              </w:rPr>
              <w:t>32,508</w:t>
            </w:r>
          </w:p>
        </w:tc>
        <w:tc>
          <w:tcPr>
            <w:tcW w:w="1171" w:type="dxa"/>
            <w:shd w:val="clear" w:color="auto" w:fill="auto"/>
            <w:noWrap/>
            <w:vAlign w:val="center"/>
            <w:hideMark/>
          </w:tcPr>
          <w:p w14:paraId="2ECA6EC9" w14:textId="77777777" w:rsidR="00FC752D" w:rsidRPr="00BC4AFE" w:rsidRDefault="00FC752D" w:rsidP="006211D7">
            <w:pPr>
              <w:widowControl w:val="0"/>
              <w:ind w:right="144"/>
              <w:jc w:val="right"/>
              <w:rPr>
                <w:sz w:val="18"/>
                <w:szCs w:val="18"/>
              </w:rPr>
            </w:pPr>
            <w:r w:rsidRPr="00BC4AFE">
              <w:rPr>
                <w:sz w:val="18"/>
                <w:szCs w:val="18"/>
              </w:rPr>
              <w:t>62,146</w:t>
            </w:r>
          </w:p>
        </w:tc>
      </w:tr>
      <w:tr w:rsidR="00FC752D" w:rsidRPr="00BC4AFE" w14:paraId="1AAF8BE9" w14:textId="77777777" w:rsidTr="00A60395">
        <w:trPr>
          <w:cantSplit/>
          <w:trHeight w:val="245"/>
        </w:trPr>
        <w:tc>
          <w:tcPr>
            <w:tcW w:w="3605" w:type="dxa"/>
            <w:shd w:val="clear" w:color="auto" w:fill="auto"/>
            <w:vAlign w:val="center"/>
            <w:hideMark/>
          </w:tcPr>
          <w:p w14:paraId="1A0E5EA2" w14:textId="77777777" w:rsidR="00FC752D" w:rsidRPr="00BC4AFE" w:rsidRDefault="00FC752D" w:rsidP="006211D7">
            <w:pPr>
              <w:widowControl w:val="0"/>
              <w:ind w:left="144" w:hanging="144"/>
              <w:rPr>
                <w:sz w:val="18"/>
                <w:szCs w:val="18"/>
              </w:rPr>
            </w:pPr>
            <w:r w:rsidRPr="00BC4AFE">
              <w:rPr>
                <w:sz w:val="18"/>
                <w:szCs w:val="18"/>
              </w:rPr>
              <w:t>Niue</w:t>
            </w:r>
          </w:p>
        </w:tc>
        <w:tc>
          <w:tcPr>
            <w:tcW w:w="1182" w:type="dxa"/>
            <w:shd w:val="clear" w:color="auto" w:fill="auto"/>
            <w:vAlign w:val="center"/>
            <w:hideMark/>
          </w:tcPr>
          <w:p w14:paraId="34513DDA"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2BBE953C"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496FEBBF"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65B3ED21"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429CF6A9"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13DE1182" w14:textId="77777777" w:rsidTr="00A60395">
        <w:trPr>
          <w:cantSplit/>
          <w:trHeight w:val="245"/>
        </w:trPr>
        <w:tc>
          <w:tcPr>
            <w:tcW w:w="3605" w:type="dxa"/>
            <w:shd w:val="clear" w:color="auto" w:fill="auto"/>
            <w:vAlign w:val="center"/>
          </w:tcPr>
          <w:p w14:paraId="5B972D4E" w14:textId="77777777" w:rsidR="00FC752D" w:rsidRPr="00BC4AFE" w:rsidRDefault="00FC752D" w:rsidP="006211D7">
            <w:pPr>
              <w:widowControl w:val="0"/>
              <w:ind w:left="144" w:hanging="144"/>
              <w:rPr>
                <w:sz w:val="18"/>
                <w:szCs w:val="18"/>
              </w:rPr>
            </w:pPr>
            <w:r w:rsidRPr="00BC4AFE">
              <w:rPr>
                <w:sz w:val="18"/>
                <w:szCs w:val="18"/>
              </w:rPr>
              <w:t>North Macedonia</w:t>
            </w:r>
          </w:p>
        </w:tc>
        <w:tc>
          <w:tcPr>
            <w:tcW w:w="1182" w:type="dxa"/>
            <w:shd w:val="clear" w:color="auto" w:fill="auto"/>
            <w:vAlign w:val="center"/>
          </w:tcPr>
          <w:p w14:paraId="51B1E400" w14:textId="77777777" w:rsidR="00FC752D" w:rsidRPr="00BC4AFE" w:rsidRDefault="00FC752D" w:rsidP="006211D7">
            <w:pPr>
              <w:widowControl w:val="0"/>
              <w:ind w:right="144"/>
              <w:jc w:val="right"/>
              <w:rPr>
                <w:sz w:val="18"/>
                <w:szCs w:val="18"/>
              </w:rPr>
            </w:pPr>
            <w:r w:rsidRPr="00BC4AFE">
              <w:rPr>
                <w:sz w:val="18"/>
                <w:szCs w:val="18"/>
              </w:rPr>
              <w:t>0.007</w:t>
            </w:r>
          </w:p>
        </w:tc>
        <w:tc>
          <w:tcPr>
            <w:tcW w:w="1182" w:type="dxa"/>
            <w:shd w:val="clear" w:color="auto" w:fill="auto"/>
            <w:noWrap/>
            <w:vAlign w:val="center"/>
          </w:tcPr>
          <w:p w14:paraId="3084A599" w14:textId="77777777" w:rsidR="00FC752D" w:rsidRPr="00BC4AFE" w:rsidRDefault="00FC752D" w:rsidP="006211D7">
            <w:pPr>
              <w:widowControl w:val="0"/>
              <w:ind w:right="144"/>
              <w:jc w:val="right"/>
              <w:rPr>
                <w:sz w:val="18"/>
                <w:szCs w:val="18"/>
              </w:rPr>
            </w:pPr>
            <w:r w:rsidRPr="00BC4AFE">
              <w:rPr>
                <w:sz w:val="18"/>
                <w:szCs w:val="18"/>
              </w:rPr>
              <w:t>0.009</w:t>
            </w:r>
          </w:p>
        </w:tc>
        <w:tc>
          <w:tcPr>
            <w:tcW w:w="1182" w:type="dxa"/>
            <w:shd w:val="clear" w:color="auto" w:fill="auto"/>
            <w:noWrap/>
            <w:vAlign w:val="center"/>
          </w:tcPr>
          <w:p w14:paraId="6BD1B100" w14:textId="77777777" w:rsidR="00FC752D" w:rsidRPr="00BC4AFE" w:rsidRDefault="00FC752D" w:rsidP="006211D7">
            <w:pPr>
              <w:widowControl w:val="0"/>
              <w:ind w:right="144"/>
              <w:jc w:val="right"/>
              <w:rPr>
                <w:sz w:val="18"/>
                <w:szCs w:val="18"/>
              </w:rPr>
            </w:pPr>
            <w:r w:rsidRPr="00BC4AFE">
              <w:rPr>
                <w:sz w:val="18"/>
                <w:szCs w:val="18"/>
              </w:rPr>
              <w:t>1,140</w:t>
            </w:r>
          </w:p>
        </w:tc>
        <w:tc>
          <w:tcPr>
            <w:tcW w:w="1182" w:type="dxa"/>
            <w:shd w:val="clear" w:color="auto" w:fill="auto"/>
            <w:noWrap/>
            <w:vAlign w:val="center"/>
          </w:tcPr>
          <w:p w14:paraId="668045B5" w14:textId="77777777" w:rsidR="00FC752D" w:rsidRPr="00BC4AFE" w:rsidRDefault="00FC752D" w:rsidP="006211D7">
            <w:pPr>
              <w:widowControl w:val="0"/>
              <w:ind w:right="144"/>
              <w:jc w:val="right"/>
              <w:rPr>
                <w:sz w:val="18"/>
                <w:szCs w:val="18"/>
              </w:rPr>
            </w:pPr>
            <w:r w:rsidRPr="00BC4AFE">
              <w:rPr>
                <w:sz w:val="18"/>
                <w:szCs w:val="18"/>
              </w:rPr>
              <w:t>1,250</w:t>
            </w:r>
          </w:p>
        </w:tc>
        <w:tc>
          <w:tcPr>
            <w:tcW w:w="1171" w:type="dxa"/>
            <w:shd w:val="clear" w:color="auto" w:fill="auto"/>
            <w:noWrap/>
            <w:vAlign w:val="center"/>
          </w:tcPr>
          <w:p w14:paraId="61FF2291" w14:textId="77777777" w:rsidR="00FC752D" w:rsidRPr="00BC4AFE" w:rsidRDefault="00FC752D" w:rsidP="006211D7">
            <w:pPr>
              <w:widowControl w:val="0"/>
              <w:ind w:right="144"/>
              <w:jc w:val="right"/>
              <w:rPr>
                <w:sz w:val="18"/>
                <w:szCs w:val="18"/>
              </w:rPr>
            </w:pPr>
            <w:r w:rsidRPr="00BC4AFE">
              <w:rPr>
                <w:sz w:val="18"/>
                <w:szCs w:val="18"/>
              </w:rPr>
              <w:t>2,390</w:t>
            </w:r>
          </w:p>
        </w:tc>
      </w:tr>
      <w:tr w:rsidR="00FC752D" w:rsidRPr="00BC4AFE" w14:paraId="4EA43D9A" w14:textId="77777777" w:rsidTr="00A60395">
        <w:trPr>
          <w:cantSplit/>
          <w:trHeight w:val="245"/>
        </w:trPr>
        <w:tc>
          <w:tcPr>
            <w:tcW w:w="3605" w:type="dxa"/>
            <w:shd w:val="clear" w:color="auto" w:fill="auto"/>
            <w:vAlign w:val="center"/>
            <w:hideMark/>
          </w:tcPr>
          <w:p w14:paraId="4952733B" w14:textId="77777777" w:rsidR="00FC752D" w:rsidRPr="00BC4AFE" w:rsidRDefault="00FC752D" w:rsidP="006211D7">
            <w:pPr>
              <w:widowControl w:val="0"/>
              <w:ind w:left="144" w:hanging="144"/>
              <w:rPr>
                <w:sz w:val="18"/>
                <w:szCs w:val="18"/>
              </w:rPr>
            </w:pPr>
            <w:r w:rsidRPr="00BC4AFE">
              <w:rPr>
                <w:sz w:val="18"/>
                <w:szCs w:val="18"/>
              </w:rPr>
              <w:t>Norway</w:t>
            </w:r>
          </w:p>
        </w:tc>
        <w:tc>
          <w:tcPr>
            <w:tcW w:w="1182" w:type="dxa"/>
            <w:shd w:val="clear" w:color="auto" w:fill="auto"/>
            <w:vAlign w:val="center"/>
            <w:hideMark/>
          </w:tcPr>
          <w:p w14:paraId="7B1B7173" w14:textId="77777777" w:rsidR="00FC752D" w:rsidRPr="00BC4AFE" w:rsidRDefault="00FC752D" w:rsidP="006211D7">
            <w:pPr>
              <w:widowControl w:val="0"/>
              <w:ind w:right="144"/>
              <w:jc w:val="right"/>
              <w:rPr>
                <w:sz w:val="18"/>
                <w:szCs w:val="18"/>
              </w:rPr>
            </w:pPr>
            <w:r w:rsidRPr="00BC4AFE">
              <w:rPr>
                <w:sz w:val="18"/>
                <w:szCs w:val="18"/>
              </w:rPr>
              <w:t>0.679</w:t>
            </w:r>
          </w:p>
        </w:tc>
        <w:tc>
          <w:tcPr>
            <w:tcW w:w="1182" w:type="dxa"/>
            <w:shd w:val="clear" w:color="auto" w:fill="auto"/>
            <w:noWrap/>
            <w:vAlign w:val="center"/>
            <w:hideMark/>
          </w:tcPr>
          <w:p w14:paraId="66DC52DE" w14:textId="77777777" w:rsidR="00FC752D" w:rsidRPr="00BC4AFE" w:rsidRDefault="00FC752D" w:rsidP="006211D7">
            <w:pPr>
              <w:widowControl w:val="0"/>
              <w:ind w:right="144"/>
              <w:jc w:val="right"/>
              <w:rPr>
                <w:sz w:val="18"/>
                <w:szCs w:val="18"/>
              </w:rPr>
            </w:pPr>
            <w:r w:rsidRPr="00BC4AFE">
              <w:rPr>
                <w:sz w:val="18"/>
                <w:szCs w:val="18"/>
              </w:rPr>
              <w:t>0.849</w:t>
            </w:r>
          </w:p>
        </w:tc>
        <w:tc>
          <w:tcPr>
            <w:tcW w:w="1182" w:type="dxa"/>
            <w:shd w:val="clear" w:color="auto" w:fill="auto"/>
            <w:noWrap/>
            <w:vAlign w:val="center"/>
            <w:hideMark/>
          </w:tcPr>
          <w:p w14:paraId="2D6405DC" w14:textId="77777777" w:rsidR="00FC752D" w:rsidRPr="00BC4AFE" w:rsidRDefault="00FC752D" w:rsidP="006211D7">
            <w:pPr>
              <w:widowControl w:val="0"/>
              <w:ind w:right="144"/>
              <w:jc w:val="right"/>
              <w:rPr>
                <w:sz w:val="18"/>
                <w:szCs w:val="18"/>
              </w:rPr>
            </w:pPr>
            <w:r w:rsidRPr="00BC4AFE">
              <w:rPr>
                <w:sz w:val="18"/>
                <w:szCs w:val="18"/>
              </w:rPr>
              <w:t>110,573</w:t>
            </w:r>
          </w:p>
        </w:tc>
        <w:tc>
          <w:tcPr>
            <w:tcW w:w="1182" w:type="dxa"/>
            <w:shd w:val="clear" w:color="auto" w:fill="auto"/>
            <w:noWrap/>
            <w:vAlign w:val="center"/>
            <w:hideMark/>
          </w:tcPr>
          <w:p w14:paraId="7141A262" w14:textId="77777777" w:rsidR="00FC752D" w:rsidRPr="00BC4AFE" w:rsidRDefault="00FC752D" w:rsidP="006211D7">
            <w:pPr>
              <w:widowControl w:val="0"/>
              <w:ind w:right="144"/>
              <w:jc w:val="right"/>
              <w:rPr>
                <w:sz w:val="18"/>
                <w:szCs w:val="18"/>
              </w:rPr>
            </w:pPr>
            <w:r w:rsidRPr="00BC4AFE">
              <w:rPr>
                <w:sz w:val="18"/>
                <w:szCs w:val="18"/>
              </w:rPr>
              <w:t>121,281</w:t>
            </w:r>
          </w:p>
        </w:tc>
        <w:tc>
          <w:tcPr>
            <w:tcW w:w="1171" w:type="dxa"/>
            <w:shd w:val="clear" w:color="auto" w:fill="auto"/>
            <w:noWrap/>
            <w:vAlign w:val="center"/>
            <w:hideMark/>
          </w:tcPr>
          <w:p w14:paraId="7DFF8528" w14:textId="77777777" w:rsidR="00FC752D" w:rsidRPr="00BC4AFE" w:rsidRDefault="00FC752D" w:rsidP="006211D7">
            <w:pPr>
              <w:widowControl w:val="0"/>
              <w:ind w:right="144"/>
              <w:jc w:val="right"/>
              <w:rPr>
                <w:sz w:val="18"/>
                <w:szCs w:val="18"/>
              </w:rPr>
            </w:pPr>
            <w:r w:rsidRPr="00BC4AFE">
              <w:rPr>
                <w:sz w:val="18"/>
                <w:szCs w:val="18"/>
              </w:rPr>
              <w:t>231,854</w:t>
            </w:r>
          </w:p>
        </w:tc>
      </w:tr>
      <w:tr w:rsidR="00FC752D" w:rsidRPr="00BC4AFE" w14:paraId="02490498" w14:textId="77777777" w:rsidTr="00A60395">
        <w:trPr>
          <w:cantSplit/>
          <w:trHeight w:val="245"/>
        </w:trPr>
        <w:tc>
          <w:tcPr>
            <w:tcW w:w="3605" w:type="dxa"/>
            <w:shd w:val="clear" w:color="auto" w:fill="auto"/>
            <w:vAlign w:val="center"/>
            <w:hideMark/>
          </w:tcPr>
          <w:p w14:paraId="0DDC1058" w14:textId="77777777" w:rsidR="00FC752D" w:rsidRPr="00BC4AFE" w:rsidRDefault="00FC752D" w:rsidP="006211D7">
            <w:pPr>
              <w:widowControl w:val="0"/>
              <w:ind w:left="144" w:hanging="144"/>
              <w:rPr>
                <w:sz w:val="18"/>
                <w:szCs w:val="18"/>
              </w:rPr>
            </w:pPr>
            <w:r w:rsidRPr="00BC4AFE">
              <w:rPr>
                <w:sz w:val="18"/>
                <w:szCs w:val="18"/>
              </w:rPr>
              <w:t>Oman</w:t>
            </w:r>
          </w:p>
        </w:tc>
        <w:tc>
          <w:tcPr>
            <w:tcW w:w="1182" w:type="dxa"/>
            <w:shd w:val="clear" w:color="auto" w:fill="auto"/>
            <w:vAlign w:val="center"/>
            <w:hideMark/>
          </w:tcPr>
          <w:p w14:paraId="4E6BB9D0" w14:textId="77777777" w:rsidR="00FC752D" w:rsidRPr="00BC4AFE" w:rsidRDefault="00FC752D" w:rsidP="006211D7">
            <w:pPr>
              <w:widowControl w:val="0"/>
              <w:ind w:right="144"/>
              <w:jc w:val="right"/>
              <w:rPr>
                <w:sz w:val="18"/>
                <w:szCs w:val="18"/>
              </w:rPr>
            </w:pPr>
            <w:r w:rsidRPr="00BC4AFE">
              <w:rPr>
                <w:sz w:val="18"/>
                <w:szCs w:val="18"/>
              </w:rPr>
              <w:t>0.111</w:t>
            </w:r>
          </w:p>
        </w:tc>
        <w:tc>
          <w:tcPr>
            <w:tcW w:w="1182" w:type="dxa"/>
            <w:shd w:val="clear" w:color="auto" w:fill="auto"/>
            <w:noWrap/>
            <w:vAlign w:val="center"/>
            <w:hideMark/>
          </w:tcPr>
          <w:p w14:paraId="15C44319" w14:textId="77777777" w:rsidR="00FC752D" w:rsidRPr="00BC4AFE" w:rsidRDefault="00FC752D" w:rsidP="006211D7">
            <w:pPr>
              <w:widowControl w:val="0"/>
              <w:ind w:right="144"/>
              <w:jc w:val="right"/>
              <w:rPr>
                <w:sz w:val="18"/>
                <w:szCs w:val="18"/>
              </w:rPr>
            </w:pPr>
            <w:r w:rsidRPr="00BC4AFE">
              <w:rPr>
                <w:sz w:val="18"/>
                <w:szCs w:val="18"/>
              </w:rPr>
              <w:t>0.139</w:t>
            </w:r>
          </w:p>
        </w:tc>
        <w:tc>
          <w:tcPr>
            <w:tcW w:w="1182" w:type="dxa"/>
            <w:shd w:val="clear" w:color="auto" w:fill="auto"/>
            <w:noWrap/>
            <w:vAlign w:val="center"/>
            <w:hideMark/>
          </w:tcPr>
          <w:p w14:paraId="254EC417" w14:textId="77777777" w:rsidR="00FC752D" w:rsidRPr="00BC4AFE" w:rsidRDefault="00FC752D" w:rsidP="006211D7">
            <w:pPr>
              <w:widowControl w:val="0"/>
              <w:ind w:right="144"/>
              <w:jc w:val="right"/>
              <w:rPr>
                <w:sz w:val="18"/>
                <w:szCs w:val="18"/>
              </w:rPr>
            </w:pPr>
            <w:r w:rsidRPr="00BC4AFE">
              <w:rPr>
                <w:sz w:val="18"/>
                <w:szCs w:val="18"/>
              </w:rPr>
              <w:t>18,076</w:t>
            </w:r>
          </w:p>
        </w:tc>
        <w:tc>
          <w:tcPr>
            <w:tcW w:w="1182" w:type="dxa"/>
            <w:shd w:val="clear" w:color="auto" w:fill="auto"/>
            <w:noWrap/>
            <w:vAlign w:val="center"/>
            <w:hideMark/>
          </w:tcPr>
          <w:p w14:paraId="59C56E10" w14:textId="77777777" w:rsidR="00FC752D" w:rsidRPr="00BC4AFE" w:rsidRDefault="00FC752D" w:rsidP="006211D7">
            <w:pPr>
              <w:widowControl w:val="0"/>
              <w:ind w:right="144"/>
              <w:jc w:val="right"/>
              <w:rPr>
                <w:sz w:val="18"/>
                <w:szCs w:val="18"/>
              </w:rPr>
            </w:pPr>
            <w:r w:rsidRPr="00BC4AFE">
              <w:rPr>
                <w:sz w:val="18"/>
                <w:szCs w:val="18"/>
              </w:rPr>
              <w:t>19,826</w:t>
            </w:r>
          </w:p>
        </w:tc>
        <w:tc>
          <w:tcPr>
            <w:tcW w:w="1171" w:type="dxa"/>
            <w:shd w:val="clear" w:color="auto" w:fill="auto"/>
            <w:noWrap/>
            <w:vAlign w:val="center"/>
            <w:hideMark/>
          </w:tcPr>
          <w:p w14:paraId="061C2F23" w14:textId="77777777" w:rsidR="00FC752D" w:rsidRPr="00BC4AFE" w:rsidRDefault="00FC752D" w:rsidP="006211D7">
            <w:pPr>
              <w:widowControl w:val="0"/>
              <w:ind w:right="144"/>
              <w:jc w:val="right"/>
              <w:rPr>
                <w:sz w:val="18"/>
                <w:szCs w:val="18"/>
              </w:rPr>
            </w:pPr>
            <w:r w:rsidRPr="00BC4AFE">
              <w:rPr>
                <w:sz w:val="18"/>
                <w:szCs w:val="18"/>
              </w:rPr>
              <w:t>37,902</w:t>
            </w:r>
          </w:p>
        </w:tc>
      </w:tr>
      <w:tr w:rsidR="00FC752D" w:rsidRPr="00BC4AFE" w14:paraId="21B8E887" w14:textId="77777777" w:rsidTr="00A60395">
        <w:trPr>
          <w:cantSplit/>
          <w:trHeight w:val="245"/>
        </w:trPr>
        <w:tc>
          <w:tcPr>
            <w:tcW w:w="3605" w:type="dxa"/>
            <w:shd w:val="clear" w:color="auto" w:fill="auto"/>
            <w:vAlign w:val="center"/>
            <w:hideMark/>
          </w:tcPr>
          <w:p w14:paraId="4641FB82" w14:textId="77777777" w:rsidR="00FC752D" w:rsidRPr="00BC4AFE" w:rsidRDefault="00FC752D" w:rsidP="006211D7">
            <w:pPr>
              <w:widowControl w:val="0"/>
              <w:ind w:left="144" w:hanging="144"/>
              <w:rPr>
                <w:sz w:val="18"/>
                <w:szCs w:val="18"/>
              </w:rPr>
            </w:pPr>
            <w:r w:rsidRPr="00BC4AFE">
              <w:rPr>
                <w:sz w:val="18"/>
                <w:szCs w:val="18"/>
              </w:rPr>
              <w:t>Pakistan</w:t>
            </w:r>
          </w:p>
        </w:tc>
        <w:tc>
          <w:tcPr>
            <w:tcW w:w="1182" w:type="dxa"/>
            <w:shd w:val="clear" w:color="auto" w:fill="auto"/>
            <w:vAlign w:val="center"/>
            <w:hideMark/>
          </w:tcPr>
          <w:p w14:paraId="6C5A7E39" w14:textId="77777777" w:rsidR="00FC752D" w:rsidRPr="00BC4AFE" w:rsidRDefault="00FC752D" w:rsidP="006211D7">
            <w:pPr>
              <w:widowControl w:val="0"/>
              <w:ind w:right="144"/>
              <w:jc w:val="right"/>
              <w:rPr>
                <w:sz w:val="18"/>
                <w:szCs w:val="18"/>
              </w:rPr>
            </w:pPr>
            <w:r w:rsidRPr="00BC4AFE">
              <w:rPr>
                <w:sz w:val="18"/>
                <w:szCs w:val="18"/>
              </w:rPr>
              <w:t>0.114</w:t>
            </w:r>
          </w:p>
        </w:tc>
        <w:tc>
          <w:tcPr>
            <w:tcW w:w="1182" w:type="dxa"/>
            <w:shd w:val="clear" w:color="auto" w:fill="auto"/>
            <w:noWrap/>
            <w:vAlign w:val="center"/>
            <w:hideMark/>
          </w:tcPr>
          <w:p w14:paraId="66A932F0" w14:textId="77777777" w:rsidR="00FC752D" w:rsidRPr="00BC4AFE" w:rsidRDefault="00FC752D" w:rsidP="006211D7">
            <w:pPr>
              <w:widowControl w:val="0"/>
              <w:ind w:right="144"/>
              <w:jc w:val="right"/>
              <w:rPr>
                <w:sz w:val="18"/>
                <w:szCs w:val="18"/>
              </w:rPr>
            </w:pPr>
            <w:r w:rsidRPr="00BC4AFE">
              <w:rPr>
                <w:sz w:val="18"/>
                <w:szCs w:val="18"/>
              </w:rPr>
              <w:t>0.143</w:t>
            </w:r>
          </w:p>
        </w:tc>
        <w:tc>
          <w:tcPr>
            <w:tcW w:w="1182" w:type="dxa"/>
            <w:shd w:val="clear" w:color="auto" w:fill="auto"/>
            <w:noWrap/>
            <w:vAlign w:val="center"/>
            <w:hideMark/>
          </w:tcPr>
          <w:p w14:paraId="04140020" w14:textId="77777777" w:rsidR="00FC752D" w:rsidRPr="00BC4AFE" w:rsidRDefault="00FC752D" w:rsidP="006211D7">
            <w:pPr>
              <w:widowControl w:val="0"/>
              <w:ind w:right="144"/>
              <w:jc w:val="right"/>
              <w:rPr>
                <w:sz w:val="18"/>
                <w:szCs w:val="18"/>
              </w:rPr>
            </w:pPr>
            <w:r w:rsidRPr="00BC4AFE">
              <w:rPr>
                <w:sz w:val="18"/>
                <w:szCs w:val="18"/>
              </w:rPr>
              <w:t>18,565</w:t>
            </w:r>
          </w:p>
        </w:tc>
        <w:tc>
          <w:tcPr>
            <w:tcW w:w="1182" w:type="dxa"/>
            <w:shd w:val="clear" w:color="auto" w:fill="auto"/>
            <w:noWrap/>
            <w:vAlign w:val="center"/>
            <w:hideMark/>
          </w:tcPr>
          <w:p w14:paraId="0E55846D" w14:textId="77777777" w:rsidR="00FC752D" w:rsidRPr="00BC4AFE" w:rsidRDefault="00FC752D" w:rsidP="006211D7">
            <w:pPr>
              <w:widowControl w:val="0"/>
              <w:ind w:right="144"/>
              <w:jc w:val="right"/>
              <w:rPr>
                <w:sz w:val="18"/>
                <w:szCs w:val="18"/>
              </w:rPr>
            </w:pPr>
            <w:r w:rsidRPr="00BC4AFE">
              <w:rPr>
                <w:sz w:val="18"/>
                <w:szCs w:val="18"/>
              </w:rPr>
              <w:t>20,362</w:t>
            </w:r>
          </w:p>
        </w:tc>
        <w:tc>
          <w:tcPr>
            <w:tcW w:w="1171" w:type="dxa"/>
            <w:shd w:val="clear" w:color="auto" w:fill="auto"/>
            <w:noWrap/>
            <w:vAlign w:val="center"/>
            <w:hideMark/>
          </w:tcPr>
          <w:p w14:paraId="01C5F0F0" w14:textId="77777777" w:rsidR="00FC752D" w:rsidRPr="00BC4AFE" w:rsidRDefault="00FC752D" w:rsidP="006211D7">
            <w:pPr>
              <w:widowControl w:val="0"/>
              <w:ind w:right="144"/>
              <w:jc w:val="right"/>
              <w:rPr>
                <w:sz w:val="18"/>
                <w:szCs w:val="18"/>
              </w:rPr>
            </w:pPr>
            <w:r w:rsidRPr="00BC4AFE">
              <w:rPr>
                <w:sz w:val="18"/>
                <w:szCs w:val="18"/>
              </w:rPr>
              <w:t>38,927</w:t>
            </w:r>
          </w:p>
        </w:tc>
      </w:tr>
      <w:tr w:rsidR="00FC752D" w:rsidRPr="00BC4AFE" w14:paraId="4B440297" w14:textId="77777777" w:rsidTr="00A60395">
        <w:trPr>
          <w:cantSplit/>
          <w:trHeight w:val="245"/>
        </w:trPr>
        <w:tc>
          <w:tcPr>
            <w:tcW w:w="3605" w:type="dxa"/>
            <w:shd w:val="clear" w:color="auto" w:fill="auto"/>
            <w:vAlign w:val="center"/>
            <w:hideMark/>
          </w:tcPr>
          <w:p w14:paraId="4DBD4582" w14:textId="77777777" w:rsidR="00FC752D" w:rsidRPr="00BC4AFE" w:rsidRDefault="00FC752D" w:rsidP="006211D7">
            <w:pPr>
              <w:widowControl w:val="0"/>
              <w:ind w:left="144" w:hanging="144"/>
              <w:rPr>
                <w:sz w:val="18"/>
                <w:szCs w:val="18"/>
              </w:rPr>
            </w:pPr>
            <w:r w:rsidRPr="00BC4AFE">
              <w:rPr>
                <w:sz w:val="18"/>
                <w:szCs w:val="18"/>
              </w:rPr>
              <w:t>Palau</w:t>
            </w:r>
          </w:p>
        </w:tc>
        <w:tc>
          <w:tcPr>
            <w:tcW w:w="1182" w:type="dxa"/>
            <w:shd w:val="clear" w:color="auto" w:fill="auto"/>
            <w:vAlign w:val="center"/>
            <w:hideMark/>
          </w:tcPr>
          <w:p w14:paraId="71205B20"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0154BEBC"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2B25D930"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6609C454"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1FBDB135"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4762B272" w14:textId="77777777" w:rsidTr="00A60395">
        <w:trPr>
          <w:cantSplit/>
          <w:trHeight w:val="245"/>
        </w:trPr>
        <w:tc>
          <w:tcPr>
            <w:tcW w:w="3605" w:type="dxa"/>
            <w:shd w:val="clear" w:color="auto" w:fill="auto"/>
            <w:vAlign w:val="center"/>
            <w:hideMark/>
          </w:tcPr>
          <w:p w14:paraId="0B242783" w14:textId="77777777" w:rsidR="00FC752D" w:rsidRPr="00BC4AFE" w:rsidRDefault="00FC752D" w:rsidP="006211D7">
            <w:pPr>
              <w:widowControl w:val="0"/>
              <w:ind w:left="144" w:hanging="144"/>
              <w:rPr>
                <w:sz w:val="18"/>
                <w:szCs w:val="18"/>
              </w:rPr>
            </w:pPr>
            <w:r w:rsidRPr="00BC4AFE">
              <w:rPr>
                <w:sz w:val="18"/>
                <w:szCs w:val="18"/>
              </w:rPr>
              <w:t>Panama</w:t>
            </w:r>
          </w:p>
        </w:tc>
        <w:tc>
          <w:tcPr>
            <w:tcW w:w="1182" w:type="dxa"/>
            <w:shd w:val="clear" w:color="auto" w:fill="auto"/>
            <w:vAlign w:val="center"/>
            <w:hideMark/>
          </w:tcPr>
          <w:p w14:paraId="050C791A" w14:textId="77777777" w:rsidR="00FC752D" w:rsidRPr="00BC4AFE" w:rsidRDefault="00FC752D" w:rsidP="006211D7">
            <w:pPr>
              <w:widowControl w:val="0"/>
              <w:ind w:right="144"/>
              <w:jc w:val="right"/>
              <w:rPr>
                <w:sz w:val="18"/>
                <w:szCs w:val="18"/>
              </w:rPr>
            </w:pPr>
            <w:r w:rsidRPr="00BC4AFE">
              <w:rPr>
                <w:sz w:val="18"/>
                <w:szCs w:val="18"/>
              </w:rPr>
              <w:t>0.090</w:t>
            </w:r>
          </w:p>
        </w:tc>
        <w:tc>
          <w:tcPr>
            <w:tcW w:w="1182" w:type="dxa"/>
            <w:shd w:val="clear" w:color="auto" w:fill="auto"/>
            <w:noWrap/>
            <w:vAlign w:val="center"/>
            <w:hideMark/>
          </w:tcPr>
          <w:p w14:paraId="4A8E89E0" w14:textId="77777777" w:rsidR="00FC752D" w:rsidRPr="00BC4AFE" w:rsidRDefault="00FC752D" w:rsidP="006211D7">
            <w:pPr>
              <w:widowControl w:val="0"/>
              <w:ind w:right="144"/>
              <w:jc w:val="right"/>
              <w:rPr>
                <w:sz w:val="18"/>
                <w:szCs w:val="18"/>
              </w:rPr>
            </w:pPr>
            <w:r w:rsidRPr="00BC4AFE">
              <w:rPr>
                <w:sz w:val="18"/>
                <w:szCs w:val="18"/>
              </w:rPr>
              <w:t>0.113</w:t>
            </w:r>
          </w:p>
        </w:tc>
        <w:tc>
          <w:tcPr>
            <w:tcW w:w="1182" w:type="dxa"/>
            <w:shd w:val="clear" w:color="auto" w:fill="auto"/>
            <w:noWrap/>
            <w:vAlign w:val="center"/>
            <w:hideMark/>
          </w:tcPr>
          <w:p w14:paraId="594C2F63" w14:textId="77777777" w:rsidR="00FC752D" w:rsidRPr="00BC4AFE" w:rsidRDefault="00FC752D" w:rsidP="006211D7">
            <w:pPr>
              <w:widowControl w:val="0"/>
              <w:ind w:right="144"/>
              <w:jc w:val="right"/>
              <w:rPr>
                <w:sz w:val="18"/>
                <w:szCs w:val="18"/>
              </w:rPr>
            </w:pPr>
            <w:r w:rsidRPr="00BC4AFE">
              <w:rPr>
                <w:sz w:val="18"/>
                <w:szCs w:val="18"/>
              </w:rPr>
              <w:t>14,656</w:t>
            </w:r>
          </w:p>
        </w:tc>
        <w:tc>
          <w:tcPr>
            <w:tcW w:w="1182" w:type="dxa"/>
            <w:shd w:val="clear" w:color="auto" w:fill="auto"/>
            <w:noWrap/>
            <w:vAlign w:val="center"/>
            <w:hideMark/>
          </w:tcPr>
          <w:p w14:paraId="5AC2E113" w14:textId="77777777" w:rsidR="00FC752D" w:rsidRPr="00BC4AFE" w:rsidRDefault="00FC752D" w:rsidP="006211D7">
            <w:pPr>
              <w:widowControl w:val="0"/>
              <w:ind w:right="144"/>
              <w:jc w:val="right"/>
              <w:rPr>
                <w:sz w:val="18"/>
                <w:szCs w:val="18"/>
              </w:rPr>
            </w:pPr>
            <w:r w:rsidRPr="00BC4AFE">
              <w:rPr>
                <w:sz w:val="18"/>
                <w:szCs w:val="18"/>
              </w:rPr>
              <w:t>16,075</w:t>
            </w:r>
          </w:p>
        </w:tc>
        <w:tc>
          <w:tcPr>
            <w:tcW w:w="1171" w:type="dxa"/>
            <w:shd w:val="clear" w:color="auto" w:fill="auto"/>
            <w:noWrap/>
            <w:vAlign w:val="center"/>
            <w:hideMark/>
          </w:tcPr>
          <w:p w14:paraId="01417644" w14:textId="77777777" w:rsidR="00FC752D" w:rsidRPr="00BC4AFE" w:rsidRDefault="00FC752D" w:rsidP="006211D7">
            <w:pPr>
              <w:widowControl w:val="0"/>
              <w:ind w:right="144"/>
              <w:jc w:val="right"/>
              <w:rPr>
                <w:sz w:val="18"/>
                <w:szCs w:val="18"/>
              </w:rPr>
            </w:pPr>
            <w:r w:rsidRPr="00BC4AFE">
              <w:rPr>
                <w:sz w:val="18"/>
                <w:szCs w:val="18"/>
              </w:rPr>
              <w:t>30,732</w:t>
            </w:r>
          </w:p>
        </w:tc>
      </w:tr>
      <w:tr w:rsidR="00FC752D" w:rsidRPr="00BC4AFE" w14:paraId="56387003" w14:textId="77777777" w:rsidTr="00A60395">
        <w:trPr>
          <w:cantSplit/>
          <w:trHeight w:val="245"/>
        </w:trPr>
        <w:tc>
          <w:tcPr>
            <w:tcW w:w="3605" w:type="dxa"/>
            <w:shd w:val="clear" w:color="auto" w:fill="auto"/>
            <w:vAlign w:val="center"/>
            <w:hideMark/>
          </w:tcPr>
          <w:p w14:paraId="30648B8B" w14:textId="77777777" w:rsidR="00FC752D" w:rsidRPr="00BC4AFE" w:rsidRDefault="00FC752D" w:rsidP="006211D7">
            <w:pPr>
              <w:widowControl w:val="0"/>
              <w:ind w:left="144" w:hanging="144"/>
              <w:rPr>
                <w:sz w:val="18"/>
                <w:szCs w:val="18"/>
              </w:rPr>
            </w:pPr>
            <w:r w:rsidRPr="00BC4AFE">
              <w:rPr>
                <w:sz w:val="18"/>
                <w:szCs w:val="18"/>
              </w:rPr>
              <w:t>Papua New Guinea</w:t>
            </w:r>
          </w:p>
        </w:tc>
        <w:tc>
          <w:tcPr>
            <w:tcW w:w="1182" w:type="dxa"/>
            <w:shd w:val="clear" w:color="auto" w:fill="auto"/>
            <w:vAlign w:val="center"/>
            <w:hideMark/>
          </w:tcPr>
          <w:p w14:paraId="1C4A276B"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63D6F821" w14:textId="77777777" w:rsidR="00FC752D" w:rsidRPr="00BC4AFE" w:rsidRDefault="00FC752D" w:rsidP="006211D7">
            <w:pPr>
              <w:widowControl w:val="0"/>
              <w:ind w:right="144"/>
              <w:jc w:val="right"/>
              <w:rPr>
                <w:sz w:val="18"/>
                <w:szCs w:val="18"/>
              </w:rPr>
            </w:pPr>
            <w:r w:rsidRPr="00BC4AFE">
              <w:rPr>
                <w:sz w:val="18"/>
                <w:szCs w:val="18"/>
              </w:rPr>
              <w:t>0.013</w:t>
            </w:r>
          </w:p>
        </w:tc>
        <w:tc>
          <w:tcPr>
            <w:tcW w:w="1182" w:type="dxa"/>
            <w:shd w:val="clear" w:color="auto" w:fill="auto"/>
            <w:noWrap/>
            <w:vAlign w:val="center"/>
            <w:hideMark/>
          </w:tcPr>
          <w:p w14:paraId="48F9F609" w14:textId="77777777" w:rsidR="00FC752D" w:rsidRPr="00BC4AFE" w:rsidRDefault="00FC752D" w:rsidP="006211D7">
            <w:pPr>
              <w:widowControl w:val="0"/>
              <w:ind w:right="144"/>
              <w:jc w:val="right"/>
              <w:rPr>
                <w:sz w:val="18"/>
                <w:szCs w:val="18"/>
              </w:rPr>
            </w:pPr>
            <w:r w:rsidRPr="00BC4AFE">
              <w:rPr>
                <w:sz w:val="18"/>
                <w:szCs w:val="18"/>
              </w:rPr>
              <w:t>1,628</w:t>
            </w:r>
          </w:p>
        </w:tc>
        <w:tc>
          <w:tcPr>
            <w:tcW w:w="1182" w:type="dxa"/>
            <w:shd w:val="clear" w:color="auto" w:fill="auto"/>
            <w:noWrap/>
            <w:vAlign w:val="center"/>
            <w:hideMark/>
          </w:tcPr>
          <w:p w14:paraId="38608E43" w14:textId="77777777" w:rsidR="00FC752D" w:rsidRPr="00BC4AFE" w:rsidRDefault="00FC752D" w:rsidP="006211D7">
            <w:pPr>
              <w:widowControl w:val="0"/>
              <w:ind w:right="144"/>
              <w:jc w:val="right"/>
              <w:rPr>
                <w:sz w:val="18"/>
                <w:szCs w:val="18"/>
              </w:rPr>
            </w:pPr>
            <w:r w:rsidRPr="00BC4AFE">
              <w:rPr>
                <w:sz w:val="18"/>
                <w:szCs w:val="18"/>
              </w:rPr>
              <w:t>1,786</w:t>
            </w:r>
          </w:p>
        </w:tc>
        <w:tc>
          <w:tcPr>
            <w:tcW w:w="1171" w:type="dxa"/>
            <w:shd w:val="clear" w:color="auto" w:fill="auto"/>
            <w:noWrap/>
            <w:vAlign w:val="center"/>
            <w:hideMark/>
          </w:tcPr>
          <w:p w14:paraId="6B3E75C1" w14:textId="77777777" w:rsidR="00FC752D" w:rsidRPr="00BC4AFE" w:rsidRDefault="00FC752D" w:rsidP="006211D7">
            <w:pPr>
              <w:widowControl w:val="0"/>
              <w:ind w:right="144"/>
              <w:jc w:val="right"/>
              <w:rPr>
                <w:sz w:val="18"/>
                <w:szCs w:val="18"/>
              </w:rPr>
            </w:pPr>
            <w:r w:rsidRPr="00BC4AFE">
              <w:rPr>
                <w:sz w:val="18"/>
                <w:szCs w:val="18"/>
              </w:rPr>
              <w:t>3,415</w:t>
            </w:r>
          </w:p>
        </w:tc>
      </w:tr>
      <w:tr w:rsidR="00FC752D" w:rsidRPr="00BC4AFE" w14:paraId="01163571" w14:textId="77777777" w:rsidTr="00A60395">
        <w:trPr>
          <w:cantSplit/>
          <w:trHeight w:val="245"/>
        </w:trPr>
        <w:tc>
          <w:tcPr>
            <w:tcW w:w="3605" w:type="dxa"/>
            <w:shd w:val="clear" w:color="auto" w:fill="auto"/>
            <w:vAlign w:val="center"/>
            <w:hideMark/>
          </w:tcPr>
          <w:p w14:paraId="4E2E0984" w14:textId="77777777" w:rsidR="00FC752D" w:rsidRPr="00BC4AFE" w:rsidRDefault="00FC752D" w:rsidP="006211D7">
            <w:pPr>
              <w:widowControl w:val="0"/>
              <w:ind w:left="144" w:hanging="144"/>
              <w:rPr>
                <w:sz w:val="18"/>
                <w:szCs w:val="18"/>
              </w:rPr>
            </w:pPr>
            <w:r w:rsidRPr="00BC4AFE">
              <w:rPr>
                <w:sz w:val="18"/>
                <w:szCs w:val="18"/>
              </w:rPr>
              <w:t>Paraguay</w:t>
            </w:r>
          </w:p>
        </w:tc>
        <w:tc>
          <w:tcPr>
            <w:tcW w:w="1182" w:type="dxa"/>
            <w:shd w:val="clear" w:color="auto" w:fill="auto"/>
            <w:vAlign w:val="center"/>
            <w:hideMark/>
          </w:tcPr>
          <w:p w14:paraId="572FF268" w14:textId="77777777" w:rsidR="00FC752D" w:rsidRPr="00BC4AFE" w:rsidRDefault="00FC752D" w:rsidP="006211D7">
            <w:pPr>
              <w:widowControl w:val="0"/>
              <w:ind w:right="144"/>
              <w:jc w:val="right"/>
              <w:rPr>
                <w:sz w:val="18"/>
                <w:szCs w:val="18"/>
              </w:rPr>
            </w:pPr>
            <w:r w:rsidRPr="00BC4AFE">
              <w:rPr>
                <w:sz w:val="18"/>
                <w:szCs w:val="18"/>
              </w:rPr>
              <w:t>0.026</w:t>
            </w:r>
          </w:p>
        </w:tc>
        <w:tc>
          <w:tcPr>
            <w:tcW w:w="1182" w:type="dxa"/>
            <w:shd w:val="clear" w:color="auto" w:fill="auto"/>
            <w:noWrap/>
            <w:vAlign w:val="center"/>
            <w:hideMark/>
          </w:tcPr>
          <w:p w14:paraId="6573575F" w14:textId="77777777" w:rsidR="00FC752D" w:rsidRPr="00BC4AFE" w:rsidRDefault="00FC752D" w:rsidP="006211D7">
            <w:pPr>
              <w:widowControl w:val="0"/>
              <w:ind w:right="144"/>
              <w:jc w:val="right"/>
              <w:rPr>
                <w:sz w:val="18"/>
                <w:szCs w:val="18"/>
              </w:rPr>
            </w:pPr>
            <w:r w:rsidRPr="00BC4AFE">
              <w:rPr>
                <w:sz w:val="18"/>
                <w:szCs w:val="18"/>
              </w:rPr>
              <w:t>0.033</w:t>
            </w:r>
          </w:p>
        </w:tc>
        <w:tc>
          <w:tcPr>
            <w:tcW w:w="1182" w:type="dxa"/>
            <w:shd w:val="clear" w:color="auto" w:fill="auto"/>
            <w:noWrap/>
            <w:vAlign w:val="center"/>
            <w:hideMark/>
          </w:tcPr>
          <w:p w14:paraId="14EBBE51" w14:textId="77777777" w:rsidR="00FC752D" w:rsidRPr="00BC4AFE" w:rsidRDefault="00FC752D" w:rsidP="006211D7">
            <w:pPr>
              <w:widowControl w:val="0"/>
              <w:ind w:right="144"/>
              <w:jc w:val="right"/>
              <w:rPr>
                <w:sz w:val="18"/>
                <w:szCs w:val="18"/>
              </w:rPr>
            </w:pPr>
            <w:r w:rsidRPr="00BC4AFE">
              <w:rPr>
                <w:sz w:val="18"/>
                <w:szCs w:val="18"/>
              </w:rPr>
              <w:t>4,234</w:t>
            </w:r>
          </w:p>
        </w:tc>
        <w:tc>
          <w:tcPr>
            <w:tcW w:w="1182" w:type="dxa"/>
            <w:shd w:val="clear" w:color="auto" w:fill="auto"/>
            <w:noWrap/>
            <w:vAlign w:val="center"/>
            <w:hideMark/>
          </w:tcPr>
          <w:p w14:paraId="32F0E4FF" w14:textId="77777777" w:rsidR="00FC752D" w:rsidRPr="00BC4AFE" w:rsidRDefault="00FC752D" w:rsidP="006211D7">
            <w:pPr>
              <w:widowControl w:val="0"/>
              <w:ind w:right="144"/>
              <w:jc w:val="right"/>
              <w:rPr>
                <w:sz w:val="18"/>
                <w:szCs w:val="18"/>
              </w:rPr>
            </w:pPr>
            <w:r w:rsidRPr="00BC4AFE">
              <w:rPr>
                <w:sz w:val="18"/>
                <w:szCs w:val="18"/>
              </w:rPr>
              <w:t>4,644</w:t>
            </w:r>
          </w:p>
        </w:tc>
        <w:tc>
          <w:tcPr>
            <w:tcW w:w="1171" w:type="dxa"/>
            <w:shd w:val="clear" w:color="auto" w:fill="auto"/>
            <w:noWrap/>
            <w:vAlign w:val="center"/>
            <w:hideMark/>
          </w:tcPr>
          <w:p w14:paraId="5E8DCD9F" w14:textId="77777777" w:rsidR="00FC752D" w:rsidRPr="00BC4AFE" w:rsidRDefault="00FC752D" w:rsidP="006211D7">
            <w:pPr>
              <w:widowControl w:val="0"/>
              <w:ind w:right="144"/>
              <w:jc w:val="right"/>
              <w:rPr>
                <w:sz w:val="18"/>
                <w:szCs w:val="18"/>
              </w:rPr>
            </w:pPr>
            <w:r w:rsidRPr="00BC4AFE">
              <w:rPr>
                <w:sz w:val="18"/>
                <w:szCs w:val="18"/>
              </w:rPr>
              <w:t>8,878</w:t>
            </w:r>
          </w:p>
        </w:tc>
      </w:tr>
      <w:tr w:rsidR="00FC752D" w:rsidRPr="00BC4AFE" w14:paraId="41EB5445" w14:textId="77777777" w:rsidTr="00A60395">
        <w:trPr>
          <w:cantSplit/>
          <w:trHeight w:val="245"/>
        </w:trPr>
        <w:tc>
          <w:tcPr>
            <w:tcW w:w="3605" w:type="dxa"/>
            <w:shd w:val="clear" w:color="auto" w:fill="auto"/>
            <w:vAlign w:val="center"/>
            <w:hideMark/>
          </w:tcPr>
          <w:p w14:paraId="4C0CDA03" w14:textId="77777777" w:rsidR="00FC752D" w:rsidRPr="00BC4AFE" w:rsidRDefault="00FC752D" w:rsidP="006211D7">
            <w:pPr>
              <w:widowControl w:val="0"/>
              <w:ind w:left="144" w:hanging="144"/>
              <w:rPr>
                <w:sz w:val="18"/>
                <w:szCs w:val="18"/>
              </w:rPr>
            </w:pPr>
            <w:r w:rsidRPr="00BC4AFE">
              <w:rPr>
                <w:sz w:val="18"/>
                <w:szCs w:val="18"/>
              </w:rPr>
              <w:t>Peru</w:t>
            </w:r>
          </w:p>
        </w:tc>
        <w:tc>
          <w:tcPr>
            <w:tcW w:w="1182" w:type="dxa"/>
            <w:shd w:val="clear" w:color="auto" w:fill="auto"/>
            <w:vAlign w:val="center"/>
            <w:hideMark/>
          </w:tcPr>
          <w:p w14:paraId="24147424" w14:textId="77777777" w:rsidR="00FC752D" w:rsidRPr="00BC4AFE" w:rsidRDefault="00FC752D" w:rsidP="006211D7">
            <w:pPr>
              <w:widowControl w:val="0"/>
              <w:ind w:right="144"/>
              <w:jc w:val="right"/>
              <w:rPr>
                <w:sz w:val="18"/>
                <w:szCs w:val="18"/>
              </w:rPr>
            </w:pPr>
            <w:r w:rsidRPr="00BC4AFE">
              <w:rPr>
                <w:sz w:val="18"/>
                <w:szCs w:val="18"/>
              </w:rPr>
              <w:t>0.163</w:t>
            </w:r>
          </w:p>
        </w:tc>
        <w:tc>
          <w:tcPr>
            <w:tcW w:w="1182" w:type="dxa"/>
            <w:shd w:val="clear" w:color="auto" w:fill="auto"/>
            <w:noWrap/>
            <w:vAlign w:val="center"/>
            <w:hideMark/>
          </w:tcPr>
          <w:p w14:paraId="3FB86038" w14:textId="77777777" w:rsidR="00FC752D" w:rsidRPr="00BC4AFE" w:rsidRDefault="00FC752D" w:rsidP="006211D7">
            <w:pPr>
              <w:widowControl w:val="0"/>
              <w:ind w:right="144"/>
              <w:jc w:val="right"/>
              <w:rPr>
                <w:sz w:val="18"/>
                <w:szCs w:val="18"/>
              </w:rPr>
            </w:pPr>
            <w:r w:rsidRPr="00BC4AFE">
              <w:rPr>
                <w:sz w:val="18"/>
                <w:szCs w:val="18"/>
              </w:rPr>
              <w:t>0.204</w:t>
            </w:r>
          </w:p>
        </w:tc>
        <w:tc>
          <w:tcPr>
            <w:tcW w:w="1182" w:type="dxa"/>
            <w:shd w:val="clear" w:color="auto" w:fill="auto"/>
            <w:noWrap/>
            <w:vAlign w:val="center"/>
            <w:hideMark/>
          </w:tcPr>
          <w:p w14:paraId="1F5027B3" w14:textId="77777777" w:rsidR="00FC752D" w:rsidRPr="00BC4AFE" w:rsidRDefault="00FC752D" w:rsidP="006211D7">
            <w:pPr>
              <w:widowControl w:val="0"/>
              <w:ind w:right="144"/>
              <w:jc w:val="right"/>
              <w:rPr>
                <w:sz w:val="18"/>
                <w:szCs w:val="18"/>
              </w:rPr>
            </w:pPr>
            <w:r w:rsidRPr="00BC4AFE">
              <w:rPr>
                <w:sz w:val="18"/>
                <w:szCs w:val="18"/>
              </w:rPr>
              <w:t>26,544</w:t>
            </w:r>
          </w:p>
        </w:tc>
        <w:tc>
          <w:tcPr>
            <w:tcW w:w="1182" w:type="dxa"/>
            <w:shd w:val="clear" w:color="auto" w:fill="auto"/>
            <w:noWrap/>
            <w:vAlign w:val="center"/>
            <w:hideMark/>
          </w:tcPr>
          <w:p w14:paraId="610FD252" w14:textId="77777777" w:rsidR="00FC752D" w:rsidRPr="00BC4AFE" w:rsidRDefault="00FC752D" w:rsidP="006211D7">
            <w:pPr>
              <w:widowControl w:val="0"/>
              <w:ind w:right="144"/>
              <w:jc w:val="right"/>
              <w:rPr>
                <w:sz w:val="18"/>
                <w:szCs w:val="18"/>
              </w:rPr>
            </w:pPr>
            <w:r w:rsidRPr="00BC4AFE">
              <w:rPr>
                <w:sz w:val="18"/>
                <w:szCs w:val="18"/>
              </w:rPr>
              <w:t>29,115</w:t>
            </w:r>
          </w:p>
        </w:tc>
        <w:tc>
          <w:tcPr>
            <w:tcW w:w="1171" w:type="dxa"/>
            <w:shd w:val="clear" w:color="auto" w:fill="auto"/>
            <w:noWrap/>
            <w:vAlign w:val="center"/>
            <w:hideMark/>
          </w:tcPr>
          <w:p w14:paraId="37047AE4" w14:textId="77777777" w:rsidR="00FC752D" w:rsidRPr="00BC4AFE" w:rsidRDefault="00FC752D" w:rsidP="006211D7">
            <w:pPr>
              <w:widowControl w:val="0"/>
              <w:ind w:right="144"/>
              <w:jc w:val="right"/>
              <w:rPr>
                <w:sz w:val="18"/>
                <w:szCs w:val="18"/>
              </w:rPr>
            </w:pPr>
            <w:r w:rsidRPr="00BC4AFE">
              <w:rPr>
                <w:sz w:val="18"/>
                <w:szCs w:val="18"/>
              </w:rPr>
              <w:t>55,659</w:t>
            </w:r>
          </w:p>
        </w:tc>
      </w:tr>
      <w:tr w:rsidR="00FC752D" w:rsidRPr="00BC4AFE" w14:paraId="3F2856A6" w14:textId="77777777" w:rsidTr="00A60395">
        <w:trPr>
          <w:cantSplit/>
          <w:trHeight w:val="245"/>
        </w:trPr>
        <w:tc>
          <w:tcPr>
            <w:tcW w:w="3605" w:type="dxa"/>
            <w:shd w:val="clear" w:color="auto" w:fill="auto"/>
            <w:vAlign w:val="center"/>
            <w:hideMark/>
          </w:tcPr>
          <w:p w14:paraId="7C0CB3EE" w14:textId="77777777" w:rsidR="00FC752D" w:rsidRPr="00BC4AFE" w:rsidRDefault="00FC752D" w:rsidP="006211D7">
            <w:pPr>
              <w:widowControl w:val="0"/>
              <w:ind w:left="144" w:hanging="144"/>
              <w:rPr>
                <w:sz w:val="18"/>
                <w:szCs w:val="18"/>
              </w:rPr>
            </w:pPr>
            <w:r w:rsidRPr="00BC4AFE">
              <w:rPr>
                <w:sz w:val="18"/>
                <w:szCs w:val="18"/>
              </w:rPr>
              <w:t>Philippines</w:t>
            </w:r>
          </w:p>
        </w:tc>
        <w:tc>
          <w:tcPr>
            <w:tcW w:w="1182" w:type="dxa"/>
            <w:shd w:val="clear" w:color="auto" w:fill="auto"/>
            <w:vAlign w:val="center"/>
            <w:hideMark/>
          </w:tcPr>
          <w:p w14:paraId="0E5F9BA3" w14:textId="77777777" w:rsidR="00FC752D" w:rsidRPr="00BC4AFE" w:rsidRDefault="00FC752D" w:rsidP="006211D7">
            <w:pPr>
              <w:widowControl w:val="0"/>
              <w:ind w:right="144"/>
              <w:jc w:val="right"/>
              <w:rPr>
                <w:sz w:val="18"/>
                <w:szCs w:val="18"/>
              </w:rPr>
            </w:pPr>
            <w:r w:rsidRPr="00BC4AFE">
              <w:rPr>
                <w:sz w:val="18"/>
                <w:szCs w:val="18"/>
              </w:rPr>
              <w:t>0.212</w:t>
            </w:r>
          </w:p>
        </w:tc>
        <w:tc>
          <w:tcPr>
            <w:tcW w:w="1182" w:type="dxa"/>
            <w:shd w:val="clear" w:color="auto" w:fill="auto"/>
            <w:noWrap/>
            <w:vAlign w:val="center"/>
            <w:hideMark/>
          </w:tcPr>
          <w:p w14:paraId="04E27E88" w14:textId="77777777" w:rsidR="00FC752D" w:rsidRPr="00BC4AFE" w:rsidRDefault="00FC752D" w:rsidP="006211D7">
            <w:pPr>
              <w:widowControl w:val="0"/>
              <w:ind w:right="144"/>
              <w:jc w:val="right"/>
              <w:rPr>
                <w:sz w:val="18"/>
                <w:szCs w:val="18"/>
              </w:rPr>
            </w:pPr>
            <w:r w:rsidRPr="00BC4AFE">
              <w:rPr>
                <w:sz w:val="18"/>
                <w:szCs w:val="18"/>
              </w:rPr>
              <w:t>0.265</w:t>
            </w:r>
          </w:p>
        </w:tc>
        <w:tc>
          <w:tcPr>
            <w:tcW w:w="1182" w:type="dxa"/>
            <w:shd w:val="clear" w:color="auto" w:fill="auto"/>
            <w:noWrap/>
            <w:vAlign w:val="center"/>
            <w:hideMark/>
          </w:tcPr>
          <w:p w14:paraId="001CD15F" w14:textId="77777777" w:rsidR="00FC752D" w:rsidRPr="00BC4AFE" w:rsidRDefault="00FC752D" w:rsidP="006211D7">
            <w:pPr>
              <w:widowControl w:val="0"/>
              <w:ind w:right="144"/>
              <w:jc w:val="right"/>
              <w:rPr>
                <w:sz w:val="18"/>
                <w:szCs w:val="18"/>
              </w:rPr>
            </w:pPr>
            <w:r w:rsidRPr="00BC4AFE">
              <w:rPr>
                <w:sz w:val="18"/>
                <w:szCs w:val="18"/>
              </w:rPr>
              <w:t>34,524</w:t>
            </w:r>
          </w:p>
        </w:tc>
        <w:tc>
          <w:tcPr>
            <w:tcW w:w="1182" w:type="dxa"/>
            <w:shd w:val="clear" w:color="auto" w:fill="auto"/>
            <w:noWrap/>
            <w:vAlign w:val="center"/>
            <w:hideMark/>
          </w:tcPr>
          <w:p w14:paraId="6C98D232" w14:textId="77777777" w:rsidR="00FC752D" w:rsidRPr="00BC4AFE" w:rsidRDefault="00FC752D" w:rsidP="006211D7">
            <w:pPr>
              <w:widowControl w:val="0"/>
              <w:ind w:right="144"/>
              <w:jc w:val="right"/>
              <w:rPr>
                <w:sz w:val="18"/>
                <w:szCs w:val="18"/>
              </w:rPr>
            </w:pPr>
            <w:r w:rsidRPr="00BC4AFE">
              <w:rPr>
                <w:sz w:val="18"/>
                <w:szCs w:val="18"/>
              </w:rPr>
              <w:t>37,867</w:t>
            </w:r>
          </w:p>
        </w:tc>
        <w:tc>
          <w:tcPr>
            <w:tcW w:w="1171" w:type="dxa"/>
            <w:shd w:val="clear" w:color="auto" w:fill="auto"/>
            <w:noWrap/>
            <w:vAlign w:val="center"/>
            <w:hideMark/>
          </w:tcPr>
          <w:p w14:paraId="3DC4BA35" w14:textId="77777777" w:rsidR="00FC752D" w:rsidRPr="00BC4AFE" w:rsidRDefault="00FC752D" w:rsidP="006211D7">
            <w:pPr>
              <w:widowControl w:val="0"/>
              <w:ind w:right="144"/>
              <w:jc w:val="right"/>
              <w:rPr>
                <w:sz w:val="18"/>
                <w:szCs w:val="18"/>
              </w:rPr>
            </w:pPr>
            <w:r w:rsidRPr="00BC4AFE">
              <w:rPr>
                <w:sz w:val="18"/>
                <w:szCs w:val="18"/>
              </w:rPr>
              <w:t>72,390</w:t>
            </w:r>
          </w:p>
        </w:tc>
      </w:tr>
      <w:tr w:rsidR="00FC752D" w:rsidRPr="00BC4AFE" w14:paraId="29B620FD" w14:textId="77777777" w:rsidTr="00A60395">
        <w:trPr>
          <w:cantSplit/>
          <w:trHeight w:val="245"/>
        </w:trPr>
        <w:tc>
          <w:tcPr>
            <w:tcW w:w="3605" w:type="dxa"/>
            <w:shd w:val="clear" w:color="auto" w:fill="auto"/>
            <w:vAlign w:val="center"/>
            <w:hideMark/>
          </w:tcPr>
          <w:p w14:paraId="0990FE84" w14:textId="77777777" w:rsidR="00FC752D" w:rsidRPr="00BC4AFE" w:rsidRDefault="00FC752D" w:rsidP="006211D7">
            <w:pPr>
              <w:widowControl w:val="0"/>
              <w:ind w:left="144" w:hanging="144"/>
              <w:rPr>
                <w:sz w:val="18"/>
                <w:szCs w:val="18"/>
              </w:rPr>
            </w:pPr>
            <w:r w:rsidRPr="00BC4AFE">
              <w:rPr>
                <w:sz w:val="18"/>
                <w:szCs w:val="18"/>
              </w:rPr>
              <w:t>Poland</w:t>
            </w:r>
          </w:p>
        </w:tc>
        <w:tc>
          <w:tcPr>
            <w:tcW w:w="1182" w:type="dxa"/>
            <w:shd w:val="clear" w:color="auto" w:fill="auto"/>
            <w:vAlign w:val="center"/>
            <w:hideMark/>
          </w:tcPr>
          <w:p w14:paraId="1A80CA20" w14:textId="77777777" w:rsidR="00FC752D" w:rsidRPr="00BC4AFE" w:rsidRDefault="00FC752D" w:rsidP="006211D7">
            <w:pPr>
              <w:widowControl w:val="0"/>
              <w:ind w:right="144"/>
              <w:jc w:val="right"/>
              <w:rPr>
                <w:sz w:val="18"/>
                <w:szCs w:val="18"/>
              </w:rPr>
            </w:pPr>
            <w:r w:rsidRPr="00BC4AFE">
              <w:rPr>
                <w:sz w:val="18"/>
                <w:szCs w:val="18"/>
              </w:rPr>
              <w:t>0.837</w:t>
            </w:r>
          </w:p>
        </w:tc>
        <w:tc>
          <w:tcPr>
            <w:tcW w:w="1182" w:type="dxa"/>
            <w:shd w:val="clear" w:color="auto" w:fill="auto"/>
            <w:noWrap/>
            <w:vAlign w:val="center"/>
            <w:hideMark/>
          </w:tcPr>
          <w:p w14:paraId="59D6DBA1" w14:textId="77777777" w:rsidR="00FC752D" w:rsidRPr="00BC4AFE" w:rsidRDefault="00FC752D" w:rsidP="006211D7">
            <w:pPr>
              <w:widowControl w:val="0"/>
              <w:ind w:right="144"/>
              <w:jc w:val="right"/>
              <w:rPr>
                <w:sz w:val="18"/>
                <w:szCs w:val="18"/>
              </w:rPr>
            </w:pPr>
            <w:r w:rsidRPr="00BC4AFE">
              <w:rPr>
                <w:sz w:val="18"/>
                <w:szCs w:val="18"/>
              </w:rPr>
              <w:t>1.046</w:t>
            </w:r>
          </w:p>
        </w:tc>
        <w:tc>
          <w:tcPr>
            <w:tcW w:w="1182" w:type="dxa"/>
            <w:shd w:val="clear" w:color="auto" w:fill="auto"/>
            <w:noWrap/>
            <w:vAlign w:val="center"/>
            <w:hideMark/>
          </w:tcPr>
          <w:p w14:paraId="22B49D8F" w14:textId="77777777" w:rsidR="00FC752D" w:rsidRPr="00BC4AFE" w:rsidRDefault="00FC752D" w:rsidP="006211D7">
            <w:pPr>
              <w:widowControl w:val="0"/>
              <w:ind w:right="144"/>
              <w:jc w:val="right"/>
              <w:rPr>
                <w:sz w:val="18"/>
                <w:szCs w:val="18"/>
              </w:rPr>
            </w:pPr>
            <w:r w:rsidRPr="00BC4AFE">
              <w:rPr>
                <w:sz w:val="18"/>
                <w:szCs w:val="18"/>
              </w:rPr>
              <w:t>136,303</w:t>
            </w:r>
          </w:p>
        </w:tc>
        <w:tc>
          <w:tcPr>
            <w:tcW w:w="1182" w:type="dxa"/>
            <w:shd w:val="clear" w:color="auto" w:fill="auto"/>
            <w:noWrap/>
            <w:vAlign w:val="center"/>
            <w:hideMark/>
          </w:tcPr>
          <w:p w14:paraId="060D4A46" w14:textId="77777777" w:rsidR="00FC752D" w:rsidRPr="00BC4AFE" w:rsidRDefault="00FC752D" w:rsidP="006211D7">
            <w:pPr>
              <w:widowControl w:val="0"/>
              <w:ind w:right="144"/>
              <w:jc w:val="right"/>
              <w:rPr>
                <w:sz w:val="18"/>
                <w:szCs w:val="18"/>
              </w:rPr>
            </w:pPr>
            <w:r w:rsidRPr="00BC4AFE">
              <w:rPr>
                <w:sz w:val="18"/>
                <w:szCs w:val="18"/>
              </w:rPr>
              <w:t>149,502</w:t>
            </w:r>
          </w:p>
        </w:tc>
        <w:tc>
          <w:tcPr>
            <w:tcW w:w="1171" w:type="dxa"/>
            <w:shd w:val="clear" w:color="auto" w:fill="auto"/>
            <w:noWrap/>
            <w:vAlign w:val="center"/>
            <w:hideMark/>
          </w:tcPr>
          <w:p w14:paraId="46E7124E" w14:textId="77777777" w:rsidR="00FC752D" w:rsidRPr="00BC4AFE" w:rsidRDefault="00FC752D" w:rsidP="006211D7">
            <w:pPr>
              <w:widowControl w:val="0"/>
              <w:ind w:right="144"/>
              <w:jc w:val="right"/>
              <w:rPr>
                <w:sz w:val="18"/>
                <w:szCs w:val="18"/>
              </w:rPr>
            </w:pPr>
            <w:r w:rsidRPr="00BC4AFE">
              <w:rPr>
                <w:sz w:val="18"/>
                <w:szCs w:val="18"/>
              </w:rPr>
              <w:t>285,805</w:t>
            </w:r>
          </w:p>
        </w:tc>
      </w:tr>
      <w:tr w:rsidR="00FC752D" w:rsidRPr="00BC4AFE" w14:paraId="651239F2" w14:textId="77777777" w:rsidTr="00A60395">
        <w:trPr>
          <w:cantSplit/>
          <w:trHeight w:val="245"/>
        </w:trPr>
        <w:tc>
          <w:tcPr>
            <w:tcW w:w="3605" w:type="dxa"/>
            <w:shd w:val="clear" w:color="auto" w:fill="auto"/>
            <w:vAlign w:val="center"/>
            <w:hideMark/>
          </w:tcPr>
          <w:p w14:paraId="4B1C5DE8" w14:textId="77777777" w:rsidR="00FC752D" w:rsidRPr="00BC4AFE" w:rsidRDefault="00FC752D" w:rsidP="006211D7">
            <w:pPr>
              <w:widowControl w:val="0"/>
              <w:ind w:left="144" w:hanging="144"/>
              <w:rPr>
                <w:sz w:val="18"/>
                <w:szCs w:val="18"/>
              </w:rPr>
            </w:pPr>
            <w:r w:rsidRPr="00BC4AFE">
              <w:rPr>
                <w:sz w:val="18"/>
                <w:szCs w:val="18"/>
              </w:rPr>
              <w:t>Portugal</w:t>
            </w:r>
          </w:p>
        </w:tc>
        <w:tc>
          <w:tcPr>
            <w:tcW w:w="1182" w:type="dxa"/>
            <w:shd w:val="clear" w:color="auto" w:fill="auto"/>
            <w:vAlign w:val="center"/>
            <w:hideMark/>
          </w:tcPr>
          <w:p w14:paraId="1A4B5883" w14:textId="77777777" w:rsidR="00FC752D" w:rsidRPr="00BC4AFE" w:rsidRDefault="00FC752D" w:rsidP="006211D7">
            <w:pPr>
              <w:widowControl w:val="0"/>
              <w:ind w:right="144"/>
              <w:jc w:val="right"/>
              <w:rPr>
                <w:sz w:val="18"/>
                <w:szCs w:val="18"/>
              </w:rPr>
            </w:pPr>
            <w:r w:rsidRPr="00BC4AFE">
              <w:rPr>
                <w:sz w:val="18"/>
                <w:szCs w:val="18"/>
              </w:rPr>
              <w:t>0.353</w:t>
            </w:r>
          </w:p>
        </w:tc>
        <w:tc>
          <w:tcPr>
            <w:tcW w:w="1182" w:type="dxa"/>
            <w:shd w:val="clear" w:color="auto" w:fill="auto"/>
            <w:noWrap/>
            <w:vAlign w:val="center"/>
            <w:hideMark/>
          </w:tcPr>
          <w:p w14:paraId="578F5B27" w14:textId="77777777" w:rsidR="00FC752D" w:rsidRPr="00BC4AFE" w:rsidRDefault="00FC752D" w:rsidP="006211D7">
            <w:pPr>
              <w:widowControl w:val="0"/>
              <w:ind w:right="144"/>
              <w:jc w:val="right"/>
              <w:rPr>
                <w:sz w:val="18"/>
                <w:szCs w:val="18"/>
              </w:rPr>
            </w:pPr>
            <w:r w:rsidRPr="00BC4AFE">
              <w:rPr>
                <w:sz w:val="18"/>
                <w:szCs w:val="18"/>
              </w:rPr>
              <w:t>0.441</w:t>
            </w:r>
          </w:p>
        </w:tc>
        <w:tc>
          <w:tcPr>
            <w:tcW w:w="1182" w:type="dxa"/>
            <w:shd w:val="clear" w:color="auto" w:fill="auto"/>
            <w:noWrap/>
            <w:vAlign w:val="center"/>
            <w:hideMark/>
          </w:tcPr>
          <w:p w14:paraId="31A8BE89" w14:textId="77777777" w:rsidR="00FC752D" w:rsidRPr="00BC4AFE" w:rsidRDefault="00FC752D" w:rsidP="006211D7">
            <w:pPr>
              <w:widowControl w:val="0"/>
              <w:ind w:right="144"/>
              <w:jc w:val="right"/>
              <w:rPr>
                <w:sz w:val="18"/>
                <w:szCs w:val="18"/>
              </w:rPr>
            </w:pPr>
            <w:r w:rsidRPr="00BC4AFE">
              <w:rPr>
                <w:sz w:val="18"/>
                <w:szCs w:val="18"/>
              </w:rPr>
              <w:t>57,485</w:t>
            </w:r>
          </w:p>
        </w:tc>
        <w:tc>
          <w:tcPr>
            <w:tcW w:w="1182" w:type="dxa"/>
            <w:shd w:val="clear" w:color="auto" w:fill="auto"/>
            <w:noWrap/>
            <w:vAlign w:val="center"/>
            <w:hideMark/>
          </w:tcPr>
          <w:p w14:paraId="31A25FAB" w14:textId="77777777" w:rsidR="00FC752D" w:rsidRPr="00BC4AFE" w:rsidRDefault="00FC752D" w:rsidP="006211D7">
            <w:pPr>
              <w:widowControl w:val="0"/>
              <w:ind w:right="144"/>
              <w:jc w:val="right"/>
              <w:rPr>
                <w:sz w:val="18"/>
                <w:szCs w:val="18"/>
              </w:rPr>
            </w:pPr>
            <w:r w:rsidRPr="00BC4AFE">
              <w:rPr>
                <w:sz w:val="18"/>
                <w:szCs w:val="18"/>
              </w:rPr>
              <w:t>63,052</w:t>
            </w:r>
          </w:p>
        </w:tc>
        <w:tc>
          <w:tcPr>
            <w:tcW w:w="1171" w:type="dxa"/>
            <w:shd w:val="clear" w:color="auto" w:fill="auto"/>
            <w:noWrap/>
            <w:vAlign w:val="center"/>
            <w:hideMark/>
          </w:tcPr>
          <w:p w14:paraId="3D3CEB0E" w14:textId="77777777" w:rsidR="00FC752D" w:rsidRPr="00BC4AFE" w:rsidRDefault="00FC752D" w:rsidP="006211D7">
            <w:pPr>
              <w:widowControl w:val="0"/>
              <w:ind w:right="144"/>
              <w:jc w:val="right"/>
              <w:rPr>
                <w:sz w:val="18"/>
                <w:szCs w:val="18"/>
              </w:rPr>
            </w:pPr>
            <w:r w:rsidRPr="00BC4AFE">
              <w:rPr>
                <w:sz w:val="18"/>
                <w:szCs w:val="18"/>
              </w:rPr>
              <w:t>120,537</w:t>
            </w:r>
          </w:p>
        </w:tc>
      </w:tr>
      <w:tr w:rsidR="00FC752D" w:rsidRPr="00BC4AFE" w14:paraId="63A0E174" w14:textId="77777777" w:rsidTr="00A60395">
        <w:trPr>
          <w:cantSplit/>
          <w:trHeight w:val="245"/>
        </w:trPr>
        <w:tc>
          <w:tcPr>
            <w:tcW w:w="3605" w:type="dxa"/>
            <w:shd w:val="clear" w:color="auto" w:fill="auto"/>
            <w:vAlign w:val="center"/>
            <w:hideMark/>
          </w:tcPr>
          <w:p w14:paraId="0745EC28" w14:textId="77777777" w:rsidR="00FC752D" w:rsidRPr="00BC4AFE" w:rsidRDefault="00FC752D" w:rsidP="006211D7">
            <w:pPr>
              <w:widowControl w:val="0"/>
              <w:ind w:left="144" w:hanging="144"/>
              <w:rPr>
                <w:sz w:val="18"/>
                <w:szCs w:val="18"/>
              </w:rPr>
            </w:pPr>
            <w:r w:rsidRPr="00BC4AFE">
              <w:rPr>
                <w:sz w:val="18"/>
                <w:szCs w:val="18"/>
              </w:rPr>
              <w:t>Qatar</w:t>
            </w:r>
          </w:p>
        </w:tc>
        <w:tc>
          <w:tcPr>
            <w:tcW w:w="1182" w:type="dxa"/>
            <w:shd w:val="clear" w:color="auto" w:fill="auto"/>
            <w:vAlign w:val="center"/>
            <w:hideMark/>
          </w:tcPr>
          <w:p w14:paraId="20817BF2" w14:textId="77777777" w:rsidR="00FC752D" w:rsidRPr="00BC4AFE" w:rsidRDefault="00FC752D" w:rsidP="006211D7">
            <w:pPr>
              <w:widowControl w:val="0"/>
              <w:ind w:right="144"/>
              <w:jc w:val="right"/>
              <w:rPr>
                <w:sz w:val="18"/>
                <w:szCs w:val="18"/>
              </w:rPr>
            </w:pPr>
            <w:r w:rsidRPr="00BC4AFE">
              <w:rPr>
                <w:sz w:val="18"/>
                <w:szCs w:val="18"/>
              </w:rPr>
              <w:t>0.269</w:t>
            </w:r>
          </w:p>
        </w:tc>
        <w:tc>
          <w:tcPr>
            <w:tcW w:w="1182" w:type="dxa"/>
            <w:shd w:val="clear" w:color="auto" w:fill="auto"/>
            <w:noWrap/>
            <w:vAlign w:val="center"/>
            <w:hideMark/>
          </w:tcPr>
          <w:p w14:paraId="227CBC59" w14:textId="77777777" w:rsidR="00FC752D" w:rsidRPr="00BC4AFE" w:rsidRDefault="00FC752D" w:rsidP="006211D7">
            <w:pPr>
              <w:widowControl w:val="0"/>
              <w:ind w:right="144"/>
              <w:jc w:val="right"/>
              <w:rPr>
                <w:sz w:val="18"/>
                <w:szCs w:val="18"/>
              </w:rPr>
            </w:pPr>
            <w:r w:rsidRPr="00BC4AFE">
              <w:rPr>
                <w:sz w:val="18"/>
                <w:szCs w:val="18"/>
              </w:rPr>
              <w:t>0.336</w:t>
            </w:r>
          </w:p>
        </w:tc>
        <w:tc>
          <w:tcPr>
            <w:tcW w:w="1182" w:type="dxa"/>
            <w:shd w:val="clear" w:color="auto" w:fill="auto"/>
            <w:noWrap/>
            <w:vAlign w:val="center"/>
            <w:hideMark/>
          </w:tcPr>
          <w:p w14:paraId="2652561C" w14:textId="77777777" w:rsidR="00FC752D" w:rsidRPr="00BC4AFE" w:rsidRDefault="00FC752D" w:rsidP="006211D7">
            <w:pPr>
              <w:widowControl w:val="0"/>
              <w:ind w:right="144"/>
              <w:jc w:val="right"/>
              <w:rPr>
                <w:sz w:val="18"/>
                <w:szCs w:val="18"/>
              </w:rPr>
            </w:pPr>
            <w:r w:rsidRPr="00BC4AFE">
              <w:rPr>
                <w:sz w:val="18"/>
                <w:szCs w:val="18"/>
              </w:rPr>
              <w:t>43,806</w:t>
            </w:r>
          </w:p>
        </w:tc>
        <w:tc>
          <w:tcPr>
            <w:tcW w:w="1182" w:type="dxa"/>
            <w:shd w:val="clear" w:color="auto" w:fill="auto"/>
            <w:noWrap/>
            <w:vAlign w:val="center"/>
            <w:hideMark/>
          </w:tcPr>
          <w:p w14:paraId="3FBE375B" w14:textId="77777777" w:rsidR="00FC752D" w:rsidRPr="00BC4AFE" w:rsidRDefault="00FC752D" w:rsidP="006211D7">
            <w:pPr>
              <w:widowControl w:val="0"/>
              <w:ind w:right="144"/>
              <w:jc w:val="right"/>
              <w:rPr>
                <w:sz w:val="18"/>
                <w:szCs w:val="18"/>
              </w:rPr>
            </w:pPr>
            <w:r w:rsidRPr="00BC4AFE">
              <w:rPr>
                <w:sz w:val="18"/>
                <w:szCs w:val="18"/>
              </w:rPr>
              <w:t>48,048</w:t>
            </w:r>
          </w:p>
        </w:tc>
        <w:tc>
          <w:tcPr>
            <w:tcW w:w="1171" w:type="dxa"/>
            <w:shd w:val="clear" w:color="auto" w:fill="auto"/>
            <w:noWrap/>
            <w:vAlign w:val="center"/>
            <w:hideMark/>
          </w:tcPr>
          <w:p w14:paraId="7F5E66F6" w14:textId="77777777" w:rsidR="00FC752D" w:rsidRPr="00BC4AFE" w:rsidRDefault="00FC752D" w:rsidP="006211D7">
            <w:pPr>
              <w:widowControl w:val="0"/>
              <w:ind w:right="144"/>
              <w:jc w:val="right"/>
              <w:rPr>
                <w:sz w:val="18"/>
                <w:szCs w:val="18"/>
              </w:rPr>
            </w:pPr>
            <w:r w:rsidRPr="00BC4AFE">
              <w:rPr>
                <w:sz w:val="18"/>
                <w:szCs w:val="18"/>
              </w:rPr>
              <w:t>91,854</w:t>
            </w:r>
          </w:p>
        </w:tc>
      </w:tr>
      <w:tr w:rsidR="00FC752D" w:rsidRPr="00BC4AFE" w14:paraId="44915DC3" w14:textId="77777777" w:rsidTr="00A60395">
        <w:trPr>
          <w:cantSplit/>
          <w:trHeight w:val="245"/>
        </w:trPr>
        <w:tc>
          <w:tcPr>
            <w:tcW w:w="3605" w:type="dxa"/>
            <w:shd w:val="clear" w:color="auto" w:fill="auto"/>
            <w:vAlign w:val="center"/>
            <w:hideMark/>
          </w:tcPr>
          <w:p w14:paraId="2DF6032C" w14:textId="77777777" w:rsidR="00FC752D" w:rsidRPr="00BC4AFE" w:rsidRDefault="00FC752D" w:rsidP="006211D7">
            <w:pPr>
              <w:widowControl w:val="0"/>
              <w:ind w:left="144" w:hanging="144"/>
              <w:rPr>
                <w:sz w:val="18"/>
                <w:szCs w:val="18"/>
              </w:rPr>
            </w:pPr>
            <w:r w:rsidRPr="00BC4AFE">
              <w:rPr>
                <w:sz w:val="18"/>
                <w:szCs w:val="18"/>
              </w:rPr>
              <w:t>Republic of Korea</w:t>
            </w:r>
          </w:p>
        </w:tc>
        <w:tc>
          <w:tcPr>
            <w:tcW w:w="1182" w:type="dxa"/>
            <w:shd w:val="clear" w:color="auto" w:fill="auto"/>
            <w:vAlign w:val="center"/>
            <w:hideMark/>
          </w:tcPr>
          <w:p w14:paraId="51E47544" w14:textId="77777777" w:rsidR="00FC752D" w:rsidRPr="00BC4AFE" w:rsidRDefault="00FC752D" w:rsidP="006211D7">
            <w:pPr>
              <w:widowControl w:val="0"/>
              <w:ind w:right="144"/>
              <w:jc w:val="right"/>
              <w:rPr>
                <w:sz w:val="18"/>
                <w:szCs w:val="18"/>
              </w:rPr>
            </w:pPr>
            <w:r w:rsidRPr="00BC4AFE">
              <w:rPr>
                <w:sz w:val="18"/>
                <w:szCs w:val="18"/>
              </w:rPr>
              <w:t>2.574</w:t>
            </w:r>
          </w:p>
        </w:tc>
        <w:tc>
          <w:tcPr>
            <w:tcW w:w="1182" w:type="dxa"/>
            <w:shd w:val="clear" w:color="auto" w:fill="auto"/>
            <w:noWrap/>
            <w:vAlign w:val="center"/>
            <w:hideMark/>
          </w:tcPr>
          <w:p w14:paraId="44739A14" w14:textId="77777777" w:rsidR="00FC752D" w:rsidRPr="00BC4AFE" w:rsidRDefault="00FC752D" w:rsidP="006211D7">
            <w:pPr>
              <w:widowControl w:val="0"/>
              <w:ind w:right="144"/>
              <w:jc w:val="right"/>
              <w:rPr>
                <w:sz w:val="18"/>
                <w:szCs w:val="18"/>
              </w:rPr>
            </w:pPr>
            <w:r w:rsidRPr="00BC4AFE">
              <w:rPr>
                <w:sz w:val="18"/>
                <w:szCs w:val="18"/>
              </w:rPr>
              <w:t>3.218</w:t>
            </w:r>
          </w:p>
        </w:tc>
        <w:tc>
          <w:tcPr>
            <w:tcW w:w="1182" w:type="dxa"/>
            <w:shd w:val="clear" w:color="auto" w:fill="auto"/>
            <w:noWrap/>
            <w:vAlign w:val="center"/>
            <w:hideMark/>
          </w:tcPr>
          <w:p w14:paraId="21EACC15" w14:textId="77777777" w:rsidR="00FC752D" w:rsidRPr="00BC4AFE" w:rsidRDefault="00FC752D" w:rsidP="006211D7">
            <w:pPr>
              <w:widowControl w:val="0"/>
              <w:ind w:right="144"/>
              <w:jc w:val="right"/>
              <w:rPr>
                <w:sz w:val="18"/>
                <w:szCs w:val="18"/>
              </w:rPr>
            </w:pPr>
            <w:r w:rsidRPr="00BC4AFE">
              <w:rPr>
                <w:sz w:val="18"/>
                <w:szCs w:val="18"/>
              </w:rPr>
              <w:t>419,169</w:t>
            </w:r>
          </w:p>
        </w:tc>
        <w:tc>
          <w:tcPr>
            <w:tcW w:w="1182" w:type="dxa"/>
            <w:shd w:val="clear" w:color="auto" w:fill="auto"/>
            <w:noWrap/>
            <w:vAlign w:val="center"/>
            <w:hideMark/>
          </w:tcPr>
          <w:p w14:paraId="47A3FACD" w14:textId="77777777" w:rsidR="00FC752D" w:rsidRPr="00BC4AFE" w:rsidRDefault="00FC752D" w:rsidP="006211D7">
            <w:pPr>
              <w:widowControl w:val="0"/>
              <w:ind w:right="144"/>
              <w:jc w:val="right"/>
              <w:rPr>
                <w:sz w:val="18"/>
                <w:szCs w:val="18"/>
              </w:rPr>
            </w:pPr>
            <w:r w:rsidRPr="00BC4AFE">
              <w:rPr>
                <w:sz w:val="18"/>
                <w:szCs w:val="18"/>
              </w:rPr>
              <w:t>459,759</w:t>
            </w:r>
          </w:p>
        </w:tc>
        <w:tc>
          <w:tcPr>
            <w:tcW w:w="1171" w:type="dxa"/>
            <w:shd w:val="clear" w:color="auto" w:fill="auto"/>
            <w:noWrap/>
            <w:vAlign w:val="center"/>
            <w:hideMark/>
          </w:tcPr>
          <w:p w14:paraId="78D954A6" w14:textId="77777777" w:rsidR="00FC752D" w:rsidRPr="00BC4AFE" w:rsidRDefault="00FC752D" w:rsidP="006211D7">
            <w:pPr>
              <w:widowControl w:val="0"/>
              <w:ind w:right="144"/>
              <w:jc w:val="right"/>
              <w:rPr>
                <w:sz w:val="18"/>
                <w:szCs w:val="18"/>
              </w:rPr>
            </w:pPr>
            <w:r w:rsidRPr="00BC4AFE">
              <w:rPr>
                <w:sz w:val="18"/>
                <w:szCs w:val="18"/>
              </w:rPr>
              <w:t>878,928</w:t>
            </w:r>
          </w:p>
        </w:tc>
      </w:tr>
      <w:tr w:rsidR="00FC752D" w:rsidRPr="00BC4AFE" w14:paraId="5F0052ED" w14:textId="77777777" w:rsidTr="00A60395">
        <w:trPr>
          <w:cantSplit/>
          <w:trHeight w:val="245"/>
        </w:trPr>
        <w:tc>
          <w:tcPr>
            <w:tcW w:w="3605" w:type="dxa"/>
            <w:shd w:val="clear" w:color="auto" w:fill="auto"/>
            <w:vAlign w:val="center"/>
            <w:hideMark/>
          </w:tcPr>
          <w:p w14:paraId="17C6EC9E" w14:textId="77777777" w:rsidR="00FC752D" w:rsidRPr="00BC4AFE" w:rsidRDefault="00FC752D" w:rsidP="006211D7">
            <w:pPr>
              <w:widowControl w:val="0"/>
              <w:ind w:left="144" w:hanging="144"/>
              <w:rPr>
                <w:sz w:val="18"/>
                <w:szCs w:val="18"/>
              </w:rPr>
            </w:pPr>
            <w:r w:rsidRPr="00BC4AFE">
              <w:rPr>
                <w:sz w:val="18"/>
                <w:szCs w:val="18"/>
              </w:rPr>
              <w:t>Republic of Moldova</w:t>
            </w:r>
          </w:p>
        </w:tc>
        <w:tc>
          <w:tcPr>
            <w:tcW w:w="1182" w:type="dxa"/>
            <w:shd w:val="clear" w:color="auto" w:fill="auto"/>
            <w:vAlign w:val="center"/>
            <w:hideMark/>
          </w:tcPr>
          <w:p w14:paraId="457016A8" w14:textId="77777777" w:rsidR="00FC752D" w:rsidRPr="00BC4AFE" w:rsidRDefault="00FC752D" w:rsidP="006211D7">
            <w:pPr>
              <w:widowControl w:val="0"/>
              <w:ind w:right="144"/>
              <w:jc w:val="right"/>
              <w:rPr>
                <w:sz w:val="18"/>
                <w:szCs w:val="18"/>
              </w:rPr>
            </w:pPr>
            <w:r w:rsidRPr="00BC4AFE">
              <w:rPr>
                <w:sz w:val="18"/>
                <w:szCs w:val="18"/>
              </w:rPr>
              <w:t>0.005</w:t>
            </w:r>
          </w:p>
        </w:tc>
        <w:tc>
          <w:tcPr>
            <w:tcW w:w="1182" w:type="dxa"/>
            <w:shd w:val="clear" w:color="auto" w:fill="auto"/>
            <w:noWrap/>
            <w:vAlign w:val="center"/>
            <w:hideMark/>
          </w:tcPr>
          <w:p w14:paraId="7821F9C7" w14:textId="77777777" w:rsidR="00FC752D" w:rsidRPr="00BC4AFE" w:rsidRDefault="00FC752D" w:rsidP="006211D7">
            <w:pPr>
              <w:widowControl w:val="0"/>
              <w:ind w:right="144"/>
              <w:jc w:val="right"/>
              <w:rPr>
                <w:sz w:val="18"/>
                <w:szCs w:val="18"/>
              </w:rPr>
            </w:pPr>
            <w:r w:rsidRPr="00BC4AFE">
              <w:rPr>
                <w:sz w:val="18"/>
                <w:szCs w:val="18"/>
              </w:rPr>
              <w:t>0.006</w:t>
            </w:r>
          </w:p>
        </w:tc>
        <w:tc>
          <w:tcPr>
            <w:tcW w:w="1182" w:type="dxa"/>
            <w:shd w:val="clear" w:color="auto" w:fill="auto"/>
            <w:noWrap/>
            <w:vAlign w:val="center"/>
            <w:hideMark/>
          </w:tcPr>
          <w:p w14:paraId="4A7843D3" w14:textId="77777777" w:rsidR="00FC752D" w:rsidRPr="00BC4AFE" w:rsidRDefault="00FC752D" w:rsidP="006211D7">
            <w:pPr>
              <w:widowControl w:val="0"/>
              <w:ind w:right="144"/>
              <w:jc w:val="right"/>
              <w:rPr>
                <w:sz w:val="18"/>
                <w:szCs w:val="18"/>
              </w:rPr>
            </w:pPr>
            <w:r w:rsidRPr="00BC4AFE">
              <w:rPr>
                <w:sz w:val="18"/>
                <w:szCs w:val="18"/>
              </w:rPr>
              <w:t>814</w:t>
            </w:r>
          </w:p>
        </w:tc>
        <w:tc>
          <w:tcPr>
            <w:tcW w:w="1182" w:type="dxa"/>
            <w:shd w:val="clear" w:color="auto" w:fill="auto"/>
            <w:noWrap/>
            <w:vAlign w:val="center"/>
            <w:hideMark/>
          </w:tcPr>
          <w:p w14:paraId="02CECB4D" w14:textId="77777777" w:rsidR="00FC752D" w:rsidRPr="00BC4AFE" w:rsidRDefault="00FC752D" w:rsidP="006211D7">
            <w:pPr>
              <w:widowControl w:val="0"/>
              <w:ind w:right="144"/>
              <w:jc w:val="right"/>
              <w:rPr>
                <w:sz w:val="18"/>
                <w:szCs w:val="18"/>
              </w:rPr>
            </w:pPr>
            <w:r w:rsidRPr="00BC4AFE">
              <w:rPr>
                <w:sz w:val="18"/>
                <w:szCs w:val="18"/>
              </w:rPr>
              <w:t>893</w:t>
            </w:r>
          </w:p>
        </w:tc>
        <w:tc>
          <w:tcPr>
            <w:tcW w:w="1171" w:type="dxa"/>
            <w:shd w:val="clear" w:color="auto" w:fill="auto"/>
            <w:noWrap/>
            <w:vAlign w:val="center"/>
            <w:hideMark/>
          </w:tcPr>
          <w:p w14:paraId="5259EDB0" w14:textId="77777777" w:rsidR="00FC752D" w:rsidRPr="00BC4AFE" w:rsidRDefault="00FC752D" w:rsidP="006211D7">
            <w:pPr>
              <w:widowControl w:val="0"/>
              <w:ind w:right="144"/>
              <w:jc w:val="right"/>
              <w:rPr>
                <w:sz w:val="18"/>
                <w:szCs w:val="18"/>
              </w:rPr>
            </w:pPr>
            <w:r w:rsidRPr="00BC4AFE">
              <w:rPr>
                <w:sz w:val="18"/>
                <w:szCs w:val="18"/>
              </w:rPr>
              <w:t>1,707</w:t>
            </w:r>
          </w:p>
        </w:tc>
      </w:tr>
      <w:tr w:rsidR="00FC752D" w:rsidRPr="00BC4AFE" w14:paraId="310429FF" w14:textId="77777777" w:rsidTr="00A60395">
        <w:trPr>
          <w:cantSplit/>
          <w:trHeight w:val="245"/>
        </w:trPr>
        <w:tc>
          <w:tcPr>
            <w:tcW w:w="3605" w:type="dxa"/>
            <w:shd w:val="clear" w:color="auto" w:fill="auto"/>
            <w:vAlign w:val="center"/>
            <w:hideMark/>
          </w:tcPr>
          <w:p w14:paraId="2A7A44B6" w14:textId="77777777" w:rsidR="00FC752D" w:rsidRPr="00BC4AFE" w:rsidRDefault="00FC752D" w:rsidP="006211D7">
            <w:pPr>
              <w:widowControl w:val="0"/>
              <w:ind w:left="144" w:hanging="144"/>
              <w:rPr>
                <w:sz w:val="18"/>
                <w:szCs w:val="18"/>
              </w:rPr>
            </w:pPr>
            <w:r w:rsidRPr="00BC4AFE">
              <w:rPr>
                <w:sz w:val="18"/>
                <w:szCs w:val="18"/>
              </w:rPr>
              <w:t>Romania</w:t>
            </w:r>
          </w:p>
        </w:tc>
        <w:tc>
          <w:tcPr>
            <w:tcW w:w="1182" w:type="dxa"/>
            <w:shd w:val="clear" w:color="auto" w:fill="auto"/>
            <w:vAlign w:val="center"/>
            <w:hideMark/>
          </w:tcPr>
          <w:p w14:paraId="2FAAC233" w14:textId="77777777" w:rsidR="00FC752D" w:rsidRPr="00BC4AFE" w:rsidRDefault="00FC752D" w:rsidP="006211D7">
            <w:pPr>
              <w:widowControl w:val="0"/>
              <w:ind w:right="144"/>
              <w:jc w:val="right"/>
              <w:rPr>
                <w:sz w:val="18"/>
                <w:szCs w:val="18"/>
              </w:rPr>
            </w:pPr>
            <w:r w:rsidRPr="00BC4AFE">
              <w:rPr>
                <w:sz w:val="18"/>
                <w:szCs w:val="18"/>
              </w:rPr>
              <w:t>0.312</w:t>
            </w:r>
          </w:p>
        </w:tc>
        <w:tc>
          <w:tcPr>
            <w:tcW w:w="1182" w:type="dxa"/>
            <w:shd w:val="clear" w:color="auto" w:fill="auto"/>
            <w:noWrap/>
            <w:vAlign w:val="center"/>
            <w:hideMark/>
          </w:tcPr>
          <w:p w14:paraId="44E8EE53" w14:textId="77777777" w:rsidR="00FC752D" w:rsidRPr="00BC4AFE" w:rsidRDefault="00FC752D" w:rsidP="006211D7">
            <w:pPr>
              <w:widowControl w:val="0"/>
              <w:ind w:right="144"/>
              <w:jc w:val="right"/>
              <w:rPr>
                <w:sz w:val="18"/>
                <w:szCs w:val="18"/>
              </w:rPr>
            </w:pPr>
            <w:r w:rsidRPr="00BC4AFE">
              <w:rPr>
                <w:sz w:val="18"/>
                <w:szCs w:val="18"/>
              </w:rPr>
              <w:t>0.390</w:t>
            </w:r>
          </w:p>
        </w:tc>
        <w:tc>
          <w:tcPr>
            <w:tcW w:w="1182" w:type="dxa"/>
            <w:shd w:val="clear" w:color="auto" w:fill="auto"/>
            <w:noWrap/>
            <w:vAlign w:val="center"/>
            <w:hideMark/>
          </w:tcPr>
          <w:p w14:paraId="370BD127" w14:textId="77777777" w:rsidR="00FC752D" w:rsidRPr="00BC4AFE" w:rsidRDefault="00FC752D" w:rsidP="006211D7">
            <w:pPr>
              <w:widowControl w:val="0"/>
              <w:ind w:right="144"/>
              <w:jc w:val="right"/>
              <w:rPr>
                <w:sz w:val="18"/>
                <w:szCs w:val="18"/>
              </w:rPr>
            </w:pPr>
            <w:r w:rsidRPr="00BC4AFE">
              <w:rPr>
                <w:sz w:val="18"/>
                <w:szCs w:val="18"/>
              </w:rPr>
              <w:t>50,808</w:t>
            </w:r>
          </w:p>
        </w:tc>
        <w:tc>
          <w:tcPr>
            <w:tcW w:w="1182" w:type="dxa"/>
            <w:shd w:val="clear" w:color="auto" w:fill="auto"/>
            <w:noWrap/>
            <w:vAlign w:val="center"/>
            <w:hideMark/>
          </w:tcPr>
          <w:p w14:paraId="5B638754" w14:textId="77777777" w:rsidR="00FC752D" w:rsidRPr="00BC4AFE" w:rsidRDefault="00FC752D" w:rsidP="006211D7">
            <w:pPr>
              <w:widowControl w:val="0"/>
              <w:ind w:right="144"/>
              <w:jc w:val="right"/>
              <w:rPr>
                <w:sz w:val="18"/>
                <w:szCs w:val="18"/>
              </w:rPr>
            </w:pPr>
            <w:r w:rsidRPr="00BC4AFE">
              <w:rPr>
                <w:sz w:val="18"/>
                <w:szCs w:val="18"/>
              </w:rPr>
              <w:t>55,728</w:t>
            </w:r>
          </w:p>
        </w:tc>
        <w:tc>
          <w:tcPr>
            <w:tcW w:w="1171" w:type="dxa"/>
            <w:shd w:val="clear" w:color="auto" w:fill="auto"/>
            <w:noWrap/>
            <w:vAlign w:val="center"/>
            <w:hideMark/>
          </w:tcPr>
          <w:p w14:paraId="144B8A45" w14:textId="77777777" w:rsidR="00FC752D" w:rsidRPr="00BC4AFE" w:rsidRDefault="00FC752D" w:rsidP="006211D7">
            <w:pPr>
              <w:widowControl w:val="0"/>
              <w:ind w:right="144"/>
              <w:jc w:val="right"/>
              <w:rPr>
                <w:sz w:val="18"/>
                <w:szCs w:val="18"/>
              </w:rPr>
            </w:pPr>
            <w:r w:rsidRPr="00BC4AFE">
              <w:rPr>
                <w:sz w:val="18"/>
                <w:szCs w:val="18"/>
              </w:rPr>
              <w:t>106,537</w:t>
            </w:r>
          </w:p>
        </w:tc>
      </w:tr>
      <w:tr w:rsidR="00FC752D" w:rsidRPr="00BC4AFE" w14:paraId="3971C26C" w14:textId="77777777" w:rsidTr="00A60395">
        <w:trPr>
          <w:cantSplit/>
          <w:trHeight w:val="245"/>
        </w:trPr>
        <w:tc>
          <w:tcPr>
            <w:tcW w:w="3605" w:type="dxa"/>
            <w:shd w:val="clear" w:color="auto" w:fill="auto"/>
            <w:vAlign w:val="center"/>
            <w:hideMark/>
          </w:tcPr>
          <w:p w14:paraId="07CBE692" w14:textId="77777777" w:rsidR="00FC752D" w:rsidRPr="00BC4AFE" w:rsidRDefault="00FC752D" w:rsidP="006211D7">
            <w:pPr>
              <w:widowControl w:val="0"/>
              <w:ind w:left="144" w:hanging="144"/>
              <w:rPr>
                <w:sz w:val="18"/>
                <w:szCs w:val="18"/>
              </w:rPr>
            </w:pPr>
            <w:r w:rsidRPr="00BC4AFE">
              <w:rPr>
                <w:sz w:val="18"/>
                <w:szCs w:val="18"/>
              </w:rPr>
              <w:t>Russian Federation</w:t>
            </w:r>
          </w:p>
        </w:tc>
        <w:tc>
          <w:tcPr>
            <w:tcW w:w="1182" w:type="dxa"/>
            <w:shd w:val="clear" w:color="auto" w:fill="auto"/>
            <w:vAlign w:val="center"/>
            <w:hideMark/>
          </w:tcPr>
          <w:p w14:paraId="345914BB" w14:textId="77777777" w:rsidR="00FC752D" w:rsidRPr="00BC4AFE" w:rsidRDefault="00FC752D" w:rsidP="006211D7">
            <w:pPr>
              <w:widowControl w:val="0"/>
              <w:ind w:right="144"/>
              <w:jc w:val="right"/>
              <w:rPr>
                <w:sz w:val="18"/>
                <w:szCs w:val="18"/>
              </w:rPr>
            </w:pPr>
            <w:r w:rsidRPr="00BC4AFE">
              <w:rPr>
                <w:sz w:val="18"/>
                <w:szCs w:val="18"/>
              </w:rPr>
              <w:t>1.866</w:t>
            </w:r>
          </w:p>
        </w:tc>
        <w:tc>
          <w:tcPr>
            <w:tcW w:w="1182" w:type="dxa"/>
            <w:shd w:val="clear" w:color="auto" w:fill="auto"/>
            <w:noWrap/>
            <w:vAlign w:val="center"/>
            <w:hideMark/>
          </w:tcPr>
          <w:p w14:paraId="587D0B6B" w14:textId="77777777" w:rsidR="00FC752D" w:rsidRPr="00BC4AFE" w:rsidRDefault="00FC752D" w:rsidP="006211D7">
            <w:pPr>
              <w:widowControl w:val="0"/>
              <w:ind w:right="144"/>
              <w:jc w:val="right"/>
              <w:rPr>
                <w:sz w:val="18"/>
                <w:szCs w:val="18"/>
              </w:rPr>
            </w:pPr>
            <w:r w:rsidRPr="00BC4AFE">
              <w:rPr>
                <w:sz w:val="18"/>
                <w:szCs w:val="18"/>
              </w:rPr>
              <w:t>2.333</w:t>
            </w:r>
          </w:p>
        </w:tc>
        <w:tc>
          <w:tcPr>
            <w:tcW w:w="1182" w:type="dxa"/>
            <w:shd w:val="clear" w:color="auto" w:fill="auto"/>
            <w:noWrap/>
            <w:vAlign w:val="center"/>
            <w:hideMark/>
          </w:tcPr>
          <w:p w14:paraId="502BFEA2" w14:textId="77777777" w:rsidR="00FC752D" w:rsidRPr="00BC4AFE" w:rsidRDefault="00FC752D" w:rsidP="006211D7">
            <w:pPr>
              <w:widowControl w:val="0"/>
              <w:ind w:right="144"/>
              <w:jc w:val="right"/>
              <w:rPr>
                <w:sz w:val="18"/>
                <w:szCs w:val="18"/>
              </w:rPr>
            </w:pPr>
            <w:r w:rsidRPr="00BC4AFE">
              <w:rPr>
                <w:sz w:val="18"/>
                <w:szCs w:val="18"/>
              </w:rPr>
              <w:t>303,873</w:t>
            </w:r>
          </w:p>
        </w:tc>
        <w:tc>
          <w:tcPr>
            <w:tcW w:w="1182" w:type="dxa"/>
            <w:shd w:val="clear" w:color="auto" w:fill="auto"/>
            <w:noWrap/>
            <w:vAlign w:val="center"/>
            <w:hideMark/>
          </w:tcPr>
          <w:p w14:paraId="42D462DF" w14:textId="77777777" w:rsidR="00FC752D" w:rsidRPr="00BC4AFE" w:rsidRDefault="00FC752D" w:rsidP="006211D7">
            <w:pPr>
              <w:widowControl w:val="0"/>
              <w:ind w:right="144"/>
              <w:jc w:val="right"/>
              <w:rPr>
                <w:sz w:val="18"/>
                <w:szCs w:val="18"/>
              </w:rPr>
            </w:pPr>
            <w:r w:rsidRPr="00BC4AFE">
              <w:rPr>
                <w:sz w:val="18"/>
                <w:szCs w:val="18"/>
              </w:rPr>
              <w:t>333,299</w:t>
            </w:r>
          </w:p>
        </w:tc>
        <w:tc>
          <w:tcPr>
            <w:tcW w:w="1171" w:type="dxa"/>
            <w:shd w:val="clear" w:color="auto" w:fill="auto"/>
            <w:noWrap/>
            <w:vAlign w:val="center"/>
            <w:hideMark/>
          </w:tcPr>
          <w:p w14:paraId="68E1CC91" w14:textId="77777777" w:rsidR="00FC752D" w:rsidRPr="00BC4AFE" w:rsidRDefault="00FC752D" w:rsidP="006211D7">
            <w:pPr>
              <w:widowControl w:val="0"/>
              <w:ind w:right="144"/>
              <w:jc w:val="right"/>
              <w:rPr>
                <w:sz w:val="18"/>
                <w:szCs w:val="18"/>
              </w:rPr>
            </w:pPr>
            <w:r w:rsidRPr="00BC4AFE">
              <w:rPr>
                <w:sz w:val="18"/>
                <w:szCs w:val="18"/>
              </w:rPr>
              <w:t>637,171</w:t>
            </w:r>
          </w:p>
        </w:tc>
      </w:tr>
      <w:tr w:rsidR="00FC752D" w:rsidRPr="00BC4AFE" w14:paraId="1F5ED4DC" w14:textId="77777777" w:rsidTr="00A60395">
        <w:trPr>
          <w:cantSplit/>
          <w:trHeight w:val="245"/>
        </w:trPr>
        <w:tc>
          <w:tcPr>
            <w:tcW w:w="3605" w:type="dxa"/>
            <w:shd w:val="clear" w:color="auto" w:fill="auto"/>
            <w:vAlign w:val="center"/>
            <w:hideMark/>
          </w:tcPr>
          <w:p w14:paraId="5C3C8AB7" w14:textId="77777777" w:rsidR="00FC752D" w:rsidRPr="00BC4AFE" w:rsidRDefault="00FC752D" w:rsidP="006211D7">
            <w:pPr>
              <w:widowControl w:val="0"/>
              <w:ind w:left="144" w:hanging="144"/>
              <w:rPr>
                <w:sz w:val="18"/>
                <w:szCs w:val="18"/>
              </w:rPr>
            </w:pPr>
            <w:r w:rsidRPr="00BC4AFE">
              <w:rPr>
                <w:sz w:val="18"/>
                <w:szCs w:val="18"/>
              </w:rPr>
              <w:t>Rwanda</w:t>
            </w:r>
          </w:p>
        </w:tc>
        <w:tc>
          <w:tcPr>
            <w:tcW w:w="1182" w:type="dxa"/>
            <w:shd w:val="clear" w:color="auto" w:fill="auto"/>
            <w:vAlign w:val="center"/>
            <w:hideMark/>
          </w:tcPr>
          <w:p w14:paraId="19A27463"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0857AEA5"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shd w:val="clear" w:color="auto" w:fill="auto"/>
            <w:noWrap/>
            <w:vAlign w:val="center"/>
            <w:hideMark/>
          </w:tcPr>
          <w:p w14:paraId="26D397A8" w14:textId="77777777" w:rsidR="00FC752D" w:rsidRPr="00BC4AFE" w:rsidRDefault="00FC752D" w:rsidP="006211D7">
            <w:pPr>
              <w:widowControl w:val="0"/>
              <w:ind w:right="144"/>
              <w:jc w:val="right"/>
              <w:rPr>
                <w:sz w:val="18"/>
                <w:szCs w:val="18"/>
              </w:rPr>
            </w:pPr>
            <w:r w:rsidRPr="00BC4AFE">
              <w:rPr>
                <w:sz w:val="18"/>
                <w:szCs w:val="18"/>
              </w:rPr>
              <w:t>489</w:t>
            </w:r>
          </w:p>
        </w:tc>
        <w:tc>
          <w:tcPr>
            <w:tcW w:w="1182" w:type="dxa"/>
            <w:shd w:val="clear" w:color="auto" w:fill="auto"/>
            <w:noWrap/>
            <w:vAlign w:val="center"/>
            <w:hideMark/>
          </w:tcPr>
          <w:p w14:paraId="1E6DC5D9" w14:textId="77777777" w:rsidR="00FC752D" w:rsidRPr="00BC4AFE" w:rsidRDefault="00FC752D" w:rsidP="006211D7">
            <w:pPr>
              <w:widowControl w:val="0"/>
              <w:ind w:right="144"/>
              <w:jc w:val="right"/>
              <w:rPr>
                <w:sz w:val="18"/>
                <w:szCs w:val="18"/>
              </w:rPr>
            </w:pPr>
            <w:r w:rsidRPr="00BC4AFE">
              <w:rPr>
                <w:sz w:val="18"/>
                <w:szCs w:val="18"/>
              </w:rPr>
              <w:t>536</w:t>
            </w:r>
          </w:p>
        </w:tc>
        <w:tc>
          <w:tcPr>
            <w:tcW w:w="1171" w:type="dxa"/>
            <w:shd w:val="clear" w:color="auto" w:fill="auto"/>
            <w:noWrap/>
            <w:vAlign w:val="center"/>
            <w:hideMark/>
          </w:tcPr>
          <w:p w14:paraId="744BEA0C" w14:textId="77777777" w:rsidR="00FC752D" w:rsidRPr="00BC4AFE" w:rsidRDefault="00FC752D" w:rsidP="006211D7">
            <w:pPr>
              <w:widowControl w:val="0"/>
              <w:ind w:right="144"/>
              <w:jc w:val="right"/>
              <w:rPr>
                <w:sz w:val="18"/>
                <w:szCs w:val="18"/>
              </w:rPr>
            </w:pPr>
            <w:r w:rsidRPr="00BC4AFE">
              <w:rPr>
                <w:sz w:val="18"/>
                <w:szCs w:val="18"/>
              </w:rPr>
              <w:t>1,024</w:t>
            </w:r>
          </w:p>
        </w:tc>
      </w:tr>
      <w:tr w:rsidR="00FC752D" w:rsidRPr="00BC4AFE" w14:paraId="22AF0CEA" w14:textId="77777777" w:rsidTr="00A60395">
        <w:trPr>
          <w:cantSplit/>
          <w:trHeight w:val="245"/>
        </w:trPr>
        <w:tc>
          <w:tcPr>
            <w:tcW w:w="3605" w:type="dxa"/>
            <w:shd w:val="clear" w:color="auto" w:fill="auto"/>
            <w:vAlign w:val="center"/>
            <w:hideMark/>
          </w:tcPr>
          <w:p w14:paraId="1418B133" w14:textId="77777777" w:rsidR="00FC752D" w:rsidRPr="00BC4AFE" w:rsidRDefault="00FC752D" w:rsidP="006211D7">
            <w:pPr>
              <w:widowControl w:val="0"/>
              <w:ind w:left="144" w:hanging="144"/>
              <w:rPr>
                <w:sz w:val="18"/>
                <w:szCs w:val="18"/>
              </w:rPr>
            </w:pPr>
            <w:r w:rsidRPr="00BC4AFE">
              <w:rPr>
                <w:sz w:val="18"/>
                <w:szCs w:val="18"/>
              </w:rPr>
              <w:t>Saint Kitts and Nevis</w:t>
            </w:r>
          </w:p>
        </w:tc>
        <w:tc>
          <w:tcPr>
            <w:tcW w:w="1182" w:type="dxa"/>
            <w:shd w:val="clear" w:color="auto" w:fill="auto"/>
            <w:vAlign w:val="center"/>
            <w:hideMark/>
          </w:tcPr>
          <w:p w14:paraId="1252AAA0"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shd w:val="clear" w:color="auto" w:fill="auto"/>
            <w:noWrap/>
            <w:vAlign w:val="center"/>
            <w:hideMark/>
          </w:tcPr>
          <w:p w14:paraId="08687F57"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2BE9DD76"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shd w:val="clear" w:color="auto" w:fill="auto"/>
            <w:noWrap/>
            <w:vAlign w:val="center"/>
            <w:hideMark/>
          </w:tcPr>
          <w:p w14:paraId="45E1BBD4"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shd w:val="clear" w:color="auto" w:fill="auto"/>
            <w:noWrap/>
            <w:vAlign w:val="center"/>
            <w:hideMark/>
          </w:tcPr>
          <w:p w14:paraId="7FEF842F"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4C3CB3D3" w14:textId="77777777" w:rsidTr="00A60395">
        <w:trPr>
          <w:cantSplit/>
          <w:trHeight w:val="245"/>
        </w:trPr>
        <w:tc>
          <w:tcPr>
            <w:tcW w:w="3605" w:type="dxa"/>
            <w:shd w:val="clear" w:color="auto" w:fill="auto"/>
            <w:vAlign w:val="center"/>
            <w:hideMark/>
          </w:tcPr>
          <w:p w14:paraId="308F4101" w14:textId="77777777" w:rsidR="00FC752D" w:rsidRPr="00BC4AFE" w:rsidRDefault="00FC752D" w:rsidP="006211D7">
            <w:pPr>
              <w:widowControl w:val="0"/>
              <w:ind w:left="144" w:hanging="144"/>
              <w:rPr>
                <w:sz w:val="18"/>
                <w:szCs w:val="18"/>
              </w:rPr>
            </w:pPr>
            <w:r w:rsidRPr="00BC4AFE">
              <w:rPr>
                <w:sz w:val="18"/>
                <w:szCs w:val="18"/>
              </w:rPr>
              <w:t>Saint Lucia</w:t>
            </w:r>
          </w:p>
        </w:tc>
        <w:tc>
          <w:tcPr>
            <w:tcW w:w="1182" w:type="dxa"/>
            <w:shd w:val="clear" w:color="auto" w:fill="auto"/>
            <w:vAlign w:val="center"/>
            <w:hideMark/>
          </w:tcPr>
          <w:p w14:paraId="02BD8E98"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shd w:val="clear" w:color="auto" w:fill="auto"/>
            <w:noWrap/>
            <w:vAlign w:val="center"/>
            <w:hideMark/>
          </w:tcPr>
          <w:p w14:paraId="3D141EC8"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47EDB606"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shd w:val="clear" w:color="auto" w:fill="auto"/>
            <w:noWrap/>
            <w:vAlign w:val="center"/>
            <w:hideMark/>
          </w:tcPr>
          <w:p w14:paraId="056CED15"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shd w:val="clear" w:color="auto" w:fill="auto"/>
            <w:noWrap/>
            <w:vAlign w:val="center"/>
            <w:hideMark/>
          </w:tcPr>
          <w:p w14:paraId="3ECFFD7F"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4AA440AD" w14:textId="77777777" w:rsidTr="00A60395">
        <w:trPr>
          <w:cantSplit/>
          <w:trHeight w:val="245"/>
        </w:trPr>
        <w:tc>
          <w:tcPr>
            <w:tcW w:w="3605" w:type="dxa"/>
            <w:shd w:val="clear" w:color="auto" w:fill="auto"/>
            <w:vAlign w:val="center"/>
            <w:hideMark/>
          </w:tcPr>
          <w:p w14:paraId="4FCB7274" w14:textId="77777777" w:rsidR="00FC752D" w:rsidRPr="00BC4AFE" w:rsidRDefault="00FC752D" w:rsidP="006211D7">
            <w:pPr>
              <w:widowControl w:val="0"/>
              <w:ind w:left="144" w:hanging="144"/>
              <w:rPr>
                <w:sz w:val="18"/>
                <w:szCs w:val="18"/>
              </w:rPr>
            </w:pPr>
            <w:r w:rsidRPr="00BC4AFE">
              <w:rPr>
                <w:sz w:val="18"/>
                <w:szCs w:val="18"/>
              </w:rPr>
              <w:t>Saint Vincent and the Grenadines</w:t>
            </w:r>
          </w:p>
        </w:tc>
        <w:tc>
          <w:tcPr>
            <w:tcW w:w="1182" w:type="dxa"/>
            <w:shd w:val="clear" w:color="auto" w:fill="auto"/>
            <w:vAlign w:val="center"/>
            <w:hideMark/>
          </w:tcPr>
          <w:p w14:paraId="4AF2ACF3"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5AE1B3D4"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FBCA5C8"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2330B45D"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1E840AEF"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5246D9A7" w14:textId="77777777" w:rsidTr="00A60395">
        <w:trPr>
          <w:cantSplit/>
          <w:trHeight w:val="245"/>
        </w:trPr>
        <w:tc>
          <w:tcPr>
            <w:tcW w:w="3605" w:type="dxa"/>
            <w:shd w:val="clear" w:color="auto" w:fill="auto"/>
            <w:vAlign w:val="center"/>
            <w:hideMark/>
          </w:tcPr>
          <w:p w14:paraId="1A51FC20" w14:textId="77777777" w:rsidR="00FC752D" w:rsidRPr="00BC4AFE" w:rsidRDefault="00FC752D" w:rsidP="006211D7">
            <w:pPr>
              <w:widowControl w:val="0"/>
              <w:ind w:left="144" w:hanging="144"/>
              <w:rPr>
                <w:sz w:val="18"/>
                <w:szCs w:val="18"/>
              </w:rPr>
            </w:pPr>
            <w:r w:rsidRPr="00BC4AFE">
              <w:rPr>
                <w:sz w:val="18"/>
                <w:szCs w:val="18"/>
              </w:rPr>
              <w:t>Samoa</w:t>
            </w:r>
          </w:p>
        </w:tc>
        <w:tc>
          <w:tcPr>
            <w:tcW w:w="1182" w:type="dxa"/>
            <w:shd w:val="clear" w:color="auto" w:fill="auto"/>
            <w:vAlign w:val="center"/>
            <w:hideMark/>
          </w:tcPr>
          <w:p w14:paraId="564211D8"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3FB36A7A"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6108B072"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2565F55C"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53828C22"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240927CD" w14:textId="77777777" w:rsidTr="00A60395">
        <w:trPr>
          <w:cantSplit/>
          <w:trHeight w:val="245"/>
        </w:trPr>
        <w:tc>
          <w:tcPr>
            <w:tcW w:w="3605" w:type="dxa"/>
            <w:shd w:val="clear" w:color="auto" w:fill="auto"/>
            <w:vAlign w:val="center"/>
            <w:hideMark/>
          </w:tcPr>
          <w:p w14:paraId="0318CBB1" w14:textId="77777777" w:rsidR="00FC752D" w:rsidRPr="00BC4AFE" w:rsidRDefault="00FC752D" w:rsidP="006211D7">
            <w:pPr>
              <w:widowControl w:val="0"/>
              <w:ind w:left="144" w:hanging="144"/>
              <w:rPr>
                <w:sz w:val="18"/>
                <w:szCs w:val="18"/>
              </w:rPr>
            </w:pPr>
            <w:r w:rsidRPr="00BC4AFE">
              <w:rPr>
                <w:sz w:val="18"/>
                <w:szCs w:val="18"/>
              </w:rPr>
              <w:t>San Marino</w:t>
            </w:r>
          </w:p>
        </w:tc>
        <w:tc>
          <w:tcPr>
            <w:tcW w:w="1182" w:type="dxa"/>
            <w:shd w:val="clear" w:color="auto" w:fill="auto"/>
            <w:vAlign w:val="center"/>
            <w:hideMark/>
          </w:tcPr>
          <w:p w14:paraId="694AE79E"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shd w:val="clear" w:color="auto" w:fill="auto"/>
            <w:noWrap/>
            <w:vAlign w:val="center"/>
            <w:hideMark/>
          </w:tcPr>
          <w:p w14:paraId="79A47994"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shd w:val="clear" w:color="auto" w:fill="auto"/>
            <w:noWrap/>
            <w:vAlign w:val="center"/>
            <w:hideMark/>
          </w:tcPr>
          <w:p w14:paraId="35D92A29"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shd w:val="clear" w:color="auto" w:fill="auto"/>
            <w:noWrap/>
            <w:vAlign w:val="center"/>
            <w:hideMark/>
          </w:tcPr>
          <w:p w14:paraId="6733496C"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shd w:val="clear" w:color="auto" w:fill="auto"/>
            <w:noWrap/>
            <w:vAlign w:val="center"/>
            <w:hideMark/>
          </w:tcPr>
          <w:p w14:paraId="3594AEF8"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7141379E" w14:textId="77777777" w:rsidTr="00A60395">
        <w:trPr>
          <w:cantSplit/>
          <w:trHeight w:val="245"/>
        </w:trPr>
        <w:tc>
          <w:tcPr>
            <w:tcW w:w="3605" w:type="dxa"/>
            <w:shd w:val="clear" w:color="auto" w:fill="auto"/>
            <w:vAlign w:val="center"/>
            <w:hideMark/>
          </w:tcPr>
          <w:p w14:paraId="0E48B6CC" w14:textId="77777777" w:rsidR="00FC752D" w:rsidRPr="00BC4AFE" w:rsidRDefault="00FC752D" w:rsidP="006211D7">
            <w:pPr>
              <w:widowControl w:val="0"/>
              <w:ind w:left="144" w:hanging="144"/>
              <w:rPr>
                <w:sz w:val="18"/>
                <w:szCs w:val="18"/>
              </w:rPr>
            </w:pPr>
            <w:r w:rsidRPr="00BC4AFE">
              <w:rPr>
                <w:sz w:val="18"/>
                <w:szCs w:val="18"/>
              </w:rPr>
              <w:t>Sao Tome and Principe</w:t>
            </w:r>
          </w:p>
        </w:tc>
        <w:tc>
          <w:tcPr>
            <w:tcW w:w="1182" w:type="dxa"/>
            <w:shd w:val="clear" w:color="auto" w:fill="auto"/>
            <w:vAlign w:val="center"/>
            <w:hideMark/>
          </w:tcPr>
          <w:p w14:paraId="169962FD"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5774434"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B802C86"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1F38DBE9"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63593B34"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09AFE55E" w14:textId="77777777" w:rsidTr="00A60395">
        <w:trPr>
          <w:cantSplit/>
          <w:trHeight w:val="245"/>
        </w:trPr>
        <w:tc>
          <w:tcPr>
            <w:tcW w:w="3605" w:type="dxa"/>
            <w:shd w:val="clear" w:color="auto" w:fill="auto"/>
            <w:vAlign w:val="center"/>
            <w:hideMark/>
          </w:tcPr>
          <w:p w14:paraId="6DFFA0A8" w14:textId="77777777" w:rsidR="00FC752D" w:rsidRPr="00BC4AFE" w:rsidRDefault="00FC752D" w:rsidP="006211D7">
            <w:pPr>
              <w:widowControl w:val="0"/>
              <w:ind w:left="144" w:hanging="144"/>
              <w:rPr>
                <w:sz w:val="18"/>
                <w:szCs w:val="18"/>
              </w:rPr>
            </w:pPr>
            <w:r w:rsidRPr="00BC4AFE">
              <w:rPr>
                <w:sz w:val="18"/>
                <w:szCs w:val="18"/>
              </w:rPr>
              <w:t>Saudi Arabia</w:t>
            </w:r>
          </w:p>
        </w:tc>
        <w:tc>
          <w:tcPr>
            <w:tcW w:w="1182" w:type="dxa"/>
            <w:shd w:val="clear" w:color="auto" w:fill="auto"/>
            <w:vAlign w:val="center"/>
            <w:hideMark/>
          </w:tcPr>
          <w:p w14:paraId="02C33B68" w14:textId="77777777" w:rsidR="00FC752D" w:rsidRPr="00BC4AFE" w:rsidRDefault="00FC752D" w:rsidP="006211D7">
            <w:pPr>
              <w:widowControl w:val="0"/>
              <w:ind w:right="144"/>
              <w:jc w:val="right"/>
              <w:rPr>
                <w:sz w:val="18"/>
                <w:szCs w:val="18"/>
              </w:rPr>
            </w:pPr>
            <w:r w:rsidRPr="00BC4AFE">
              <w:rPr>
                <w:sz w:val="18"/>
                <w:szCs w:val="18"/>
              </w:rPr>
              <w:t>1.184</w:t>
            </w:r>
          </w:p>
        </w:tc>
        <w:tc>
          <w:tcPr>
            <w:tcW w:w="1182" w:type="dxa"/>
            <w:shd w:val="clear" w:color="auto" w:fill="auto"/>
            <w:noWrap/>
            <w:vAlign w:val="center"/>
            <w:hideMark/>
          </w:tcPr>
          <w:p w14:paraId="16CAA753" w14:textId="77777777" w:rsidR="00FC752D" w:rsidRPr="00BC4AFE" w:rsidRDefault="00FC752D" w:rsidP="006211D7">
            <w:pPr>
              <w:widowControl w:val="0"/>
              <w:ind w:right="144"/>
              <w:jc w:val="right"/>
              <w:rPr>
                <w:sz w:val="18"/>
                <w:szCs w:val="18"/>
              </w:rPr>
            </w:pPr>
            <w:r w:rsidRPr="00BC4AFE">
              <w:rPr>
                <w:sz w:val="18"/>
                <w:szCs w:val="18"/>
              </w:rPr>
              <w:t>1.480</w:t>
            </w:r>
          </w:p>
        </w:tc>
        <w:tc>
          <w:tcPr>
            <w:tcW w:w="1182" w:type="dxa"/>
            <w:shd w:val="clear" w:color="auto" w:fill="auto"/>
            <w:noWrap/>
            <w:vAlign w:val="center"/>
            <w:hideMark/>
          </w:tcPr>
          <w:p w14:paraId="7781EAE0" w14:textId="77777777" w:rsidR="00FC752D" w:rsidRPr="00BC4AFE" w:rsidRDefault="00FC752D" w:rsidP="006211D7">
            <w:pPr>
              <w:widowControl w:val="0"/>
              <w:ind w:right="144"/>
              <w:jc w:val="right"/>
              <w:rPr>
                <w:sz w:val="18"/>
                <w:szCs w:val="18"/>
              </w:rPr>
            </w:pPr>
            <w:r w:rsidRPr="00BC4AFE">
              <w:rPr>
                <w:sz w:val="18"/>
                <w:szCs w:val="18"/>
              </w:rPr>
              <w:t>192,811</w:t>
            </w:r>
          </w:p>
        </w:tc>
        <w:tc>
          <w:tcPr>
            <w:tcW w:w="1182" w:type="dxa"/>
            <w:shd w:val="clear" w:color="auto" w:fill="auto"/>
            <w:noWrap/>
            <w:vAlign w:val="center"/>
            <w:hideMark/>
          </w:tcPr>
          <w:p w14:paraId="4E1C8E68" w14:textId="77777777" w:rsidR="00FC752D" w:rsidRPr="00BC4AFE" w:rsidRDefault="00FC752D" w:rsidP="006211D7">
            <w:pPr>
              <w:widowControl w:val="0"/>
              <w:ind w:right="144"/>
              <w:jc w:val="right"/>
              <w:rPr>
                <w:sz w:val="18"/>
                <w:szCs w:val="18"/>
              </w:rPr>
            </w:pPr>
            <w:r w:rsidRPr="00BC4AFE">
              <w:rPr>
                <w:sz w:val="18"/>
                <w:szCs w:val="18"/>
              </w:rPr>
              <w:t>211,482</w:t>
            </w:r>
          </w:p>
        </w:tc>
        <w:tc>
          <w:tcPr>
            <w:tcW w:w="1171" w:type="dxa"/>
            <w:shd w:val="clear" w:color="auto" w:fill="auto"/>
            <w:noWrap/>
            <w:vAlign w:val="center"/>
            <w:hideMark/>
          </w:tcPr>
          <w:p w14:paraId="38900F83" w14:textId="77777777" w:rsidR="00FC752D" w:rsidRPr="00BC4AFE" w:rsidRDefault="00FC752D" w:rsidP="006211D7">
            <w:pPr>
              <w:widowControl w:val="0"/>
              <w:ind w:right="144"/>
              <w:jc w:val="right"/>
              <w:rPr>
                <w:sz w:val="18"/>
                <w:szCs w:val="18"/>
              </w:rPr>
            </w:pPr>
            <w:r w:rsidRPr="00BC4AFE">
              <w:rPr>
                <w:sz w:val="18"/>
                <w:szCs w:val="18"/>
              </w:rPr>
              <w:t>404,293</w:t>
            </w:r>
          </w:p>
        </w:tc>
      </w:tr>
      <w:tr w:rsidR="00FC752D" w:rsidRPr="00BC4AFE" w14:paraId="4A89F2BC" w14:textId="77777777" w:rsidTr="00A60395">
        <w:trPr>
          <w:cantSplit/>
          <w:trHeight w:val="245"/>
        </w:trPr>
        <w:tc>
          <w:tcPr>
            <w:tcW w:w="3605" w:type="dxa"/>
            <w:shd w:val="clear" w:color="auto" w:fill="auto"/>
            <w:vAlign w:val="center"/>
            <w:hideMark/>
          </w:tcPr>
          <w:p w14:paraId="3BFEF348" w14:textId="77777777" w:rsidR="00FC752D" w:rsidRPr="00BC4AFE" w:rsidRDefault="00FC752D" w:rsidP="006211D7">
            <w:pPr>
              <w:widowControl w:val="0"/>
              <w:ind w:left="144" w:hanging="144"/>
              <w:rPr>
                <w:sz w:val="18"/>
                <w:szCs w:val="18"/>
              </w:rPr>
            </w:pPr>
            <w:r w:rsidRPr="00BC4AFE">
              <w:rPr>
                <w:sz w:val="18"/>
                <w:szCs w:val="18"/>
              </w:rPr>
              <w:t>Senegal</w:t>
            </w:r>
          </w:p>
        </w:tc>
        <w:tc>
          <w:tcPr>
            <w:tcW w:w="1182" w:type="dxa"/>
            <w:shd w:val="clear" w:color="auto" w:fill="auto"/>
            <w:vAlign w:val="center"/>
            <w:hideMark/>
          </w:tcPr>
          <w:p w14:paraId="3EC7EA79" w14:textId="77777777" w:rsidR="00FC752D" w:rsidRPr="00BC4AFE" w:rsidRDefault="00FC752D" w:rsidP="006211D7">
            <w:pPr>
              <w:widowControl w:val="0"/>
              <w:ind w:right="144"/>
              <w:jc w:val="right"/>
              <w:rPr>
                <w:sz w:val="18"/>
                <w:szCs w:val="18"/>
              </w:rPr>
            </w:pPr>
            <w:r w:rsidRPr="00BC4AFE">
              <w:rPr>
                <w:sz w:val="18"/>
                <w:szCs w:val="18"/>
              </w:rPr>
              <w:t>0.007</w:t>
            </w:r>
          </w:p>
        </w:tc>
        <w:tc>
          <w:tcPr>
            <w:tcW w:w="1182" w:type="dxa"/>
            <w:shd w:val="clear" w:color="auto" w:fill="auto"/>
            <w:noWrap/>
            <w:vAlign w:val="center"/>
            <w:hideMark/>
          </w:tcPr>
          <w:p w14:paraId="167AEB37" w14:textId="77777777" w:rsidR="00FC752D" w:rsidRPr="00BC4AFE" w:rsidRDefault="00FC752D" w:rsidP="006211D7">
            <w:pPr>
              <w:widowControl w:val="0"/>
              <w:ind w:right="144"/>
              <w:jc w:val="right"/>
              <w:rPr>
                <w:sz w:val="18"/>
                <w:szCs w:val="18"/>
              </w:rPr>
            </w:pPr>
            <w:r w:rsidRPr="00BC4AFE">
              <w:rPr>
                <w:sz w:val="18"/>
                <w:szCs w:val="18"/>
              </w:rPr>
              <w:t>0.009</w:t>
            </w:r>
          </w:p>
        </w:tc>
        <w:tc>
          <w:tcPr>
            <w:tcW w:w="1182" w:type="dxa"/>
            <w:shd w:val="clear" w:color="auto" w:fill="auto"/>
            <w:noWrap/>
            <w:vAlign w:val="center"/>
            <w:hideMark/>
          </w:tcPr>
          <w:p w14:paraId="049E6CDC" w14:textId="77777777" w:rsidR="00FC752D" w:rsidRPr="00BC4AFE" w:rsidRDefault="00FC752D" w:rsidP="006211D7">
            <w:pPr>
              <w:widowControl w:val="0"/>
              <w:ind w:right="144"/>
              <w:jc w:val="right"/>
              <w:rPr>
                <w:sz w:val="18"/>
                <w:szCs w:val="18"/>
              </w:rPr>
            </w:pPr>
            <w:r w:rsidRPr="00BC4AFE">
              <w:rPr>
                <w:sz w:val="18"/>
                <w:szCs w:val="18"/>
              </w:rPr>
              <w:t>1,140</w:t>
            </w:r>
          </w:p>
        </w:tc>
        <w:tc>
          <w:tcPr>
            <w:tcW w:w="1182" w:type="dxa"/>
            <w:shd w:val="clear" w:color="auto" w:fill="auto"/>
            <w:noWrap/>
            <w:vAlign w:val="center"/>
            <w:hideMark/>
          </w:tcPr>
          <w:p w14:paraId="4CC2D929" w14:textId="77777777" w:rsidR="00FC752D" w:rsidRPr="00BC4AFE" w:rsidRDefault="00FC752D" w:rsidP="006211D7">
            <w:pPr>
              <w:widowControl w:val="0"/>
              <w:ind w:right="144"/>
              <w:jc w:val="right"/>
              <w:rPr>
                <w:sz w:val="18"/>
                <w:szCs w:val="18"/>
              </w:rPr>
            </w:pPr>
            <w:r w:rsidRPr="00BC4AFE">
              <w:rPr>
                <w:sz w:val="18"/>
                <w:szCs w:val="18"/>
              </w:rPr>
              <w:t>1,250</w:t>
            </w:r>
          </w:p>
        </w:tc>
        <w:tc>
          <w:tcPr>
            <w:tcW w:w="1171" w:type="dxa"/>
            <w:shd w:val="clear" w:color="auto" w:fill="auto"/>
            <w:noWrap/>
            <w:vAlign w:val="center"/>
            <w:hideMark/>
          </w:tcPr>
          <w:p w14:paraId="6A11DE4C" w14:textId="77777777" w:rsidR="00FC752D" w:rsidRPr="00BC4AFE" w:rsidRDefault="00FC752D" w:rsidP="006211D7">
            <w:pPr>
              <w:widowControl w:val="0"/>
              <w:ind w:right="144"/>
              <w:jc w:val="right"/>
              <w:rPr>
                <w:sz w:val="18"/>
                <w:szCs w:val="18"/>
              </w:rPr>
            </w:pPr>
            <w:r w:rsidRPr="00BC4AFE">
              <w:rPr>
                <w:sz w:val="18"/>
                <w:szCs w:val="18"/>
              </w:rPr>
              <w:t>2,390</w:t>
            </w:r>
          </w:p>
        </w:tc>
      </w:tr>
      <w:tr w:rsidR="00FC752D" w:rsidRPr="00BC4AFE" w14:paraId="7B275B4C" w14:textId="77777777" w:rsidTr="00A60395">
        <w:trPr>
          <w:cantSplit/>
          <w:trHeight w:val="245"/>
        </w:trPr>
        <w:tc>
          <w:tcPr>
            <w:tcW w:w="3605" w:type="dxa"/>
            <w:tcBorders>
              <w:right w:val="single" w:sz="4" w:space="0" w:color="auto"/>
            </w:tcBorders>
            <w:shd w:val="clear" w:color="auto" w:fill="auto"/>
            <w:vAlign w:val="center"/>
            <w:hideMark/>
          </w:tcPr>
          <w:p w14:paraId="2931EA12" w14:textId="77777777" w:rsidR="00FC752D" w:rsidRPr="00BC4AFE" w:rsidRDefault="00FC752D" w:rsidP="006211D7">
            <w:pPr>
              <w:widowControl w:val="0"/>
              <w:ind w:left="144" w:hanging="144"/>
              <w:rPr>
                <w:sz w:val="18"/>
                <w:szCs w:val="18"/>
              </w:rPr>
            </w:pPr>
            <w:r w:rsidRPr="00BC4AFE">
              <w:rPr>
                <w:sz w:val="18"/>
                <w:szCs w:val="18"/>
              </w:rPr>
              <w:t>Serbia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D6ADC" w14:textId="77777777" w:rsidR="00FC752D" w:rsidRPr="00BC4AFE" w:rsidRDefault="00FC752D" w:rsidP="006211D7">
            <w:pPr>
              <w:widowControl w:val="0"/>
              <w:ind w:right="144"/>
              <w:jc w:val="right"/>
              <w:rPr>
                <w:sz w:val="18"/>
                <w:szCs w:val="18"/>
              </w:rPr>
            </w:pPr>
            <w:r w:rsidRPr="00BC4AFE">
              <w:rPr>
                <w:sz w:val="18"/>
                <w:szCs w:val="18"/>
              </w:rPr>
              <w:t>0.032</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96E37" w14:textId="77777777" w:rsidR="00FC752D" w:rsidRPr="00BC4AFE" w:rsidRDefault="00FC752D" w:rsidP="006211D7">
            <w:pPr>
              <w:widowControl w:val="0"/>
              <w:ind w:right="144"/>
              <w:jc w:val="right"/>
              <w:rPr>
                <w:sz w:val="18"/>
                <w:szCs w:val="18"/>
              </w:rPr>
            </w:pPr>
            <w:r w:rsidRPr="00BC4AFE">
              <w:rPr>
                <w:sz w:val="18"/>
                <w:szCs w:val="18"/>
              </w:rPr>
              <w:t>0.040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E3DC" w14:textId="77777777" w:rsidR="00FC752D" w:rsidRPr="00BC4AFE" w:rsidRDefault="00FC752D" w:rsidP="006211D7">
            <w:pPr>
              <w:widowControl w:val="0"/>
              <w:ind w:right="144"/>
              <w:jc w:val="right"/>
              <w:rPr>
                <w:sz w:val="18"/>
                <w:szCs w:val="18"/>
              </w:rPr>
            </w:pPr>
            <w:r w:rsidRPr="00BC4AFE">
              <w:rPr>
                <w:sz w:val="18"/>
                <w:szCs w:val="18"/>
              </w:rPr>
              <w:t>5,211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34B63" w14:textId="77777777" w:rsidR="00FC752D" w:rsidRPr="00BC4AFE" w:rsidRDefault="00FC752D" w:rsidP="006211D7">
            <w:pPr>
              <w:widowControl w:val="0"/>
              <w:ind w:right="144"/>
              <w:jc w:val="right"/>
              <w:rPr>
                <w:sz w:val="18"/>
                <w:szCs w:val="18"/>
              </w:rPr>
            </w:pPr>
            <w:r w:rsidRPr="00BC4AFE">
              <w:rPr>
                <w:sz w:val="18"/>
                <w:szCs w:val="18"/>
              </w:rPr>
              <w:t>5,716</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FD97C" w14:textId="77777777" w:rsidR="00FC752D" w:rsidRPr="00BC4AFE" w:rsidRDefault="00FC752D" w:rsidP="006211D7">
            <w:pPr>
              <w:widowControl w:val="0"/>
              <w:ind w:right="144"/>
              <w:jc w:val="right"/>
              <w:rPr>
                <w:sz w:val="18"/>
                <w:szCs w:val="18"/>
              </w:rPr>
            </w:pPr>
            <w:r w:rsidRPr="00BC4AFE">
              <w:rPr>
                <w:sz w:val="18"/>
                <w:szCs w:val="18"/>
              </w:rPr>
              <w:t>10,927</w:t>
            </w:r>
          </w:p>
        </w:tc>
      </w:tr>
      <w:tr w:rsidR="00FC752D" w:rsidRPr="00BC4AFE" w14:paraId="01B4196D" w14:textId="77777777" w:rsidTr="00A60395">
        <w:trPr>
          <w:cantSplit/>
          <w:trHeight w:val="245"/>
        </w:trPr>
        <w:tc>
          <w:tcPr>
            <w:tcW w:w="3605" w:type="dxa"/>
            <w:tcBorders>
              <w:right w:val="single" w:sz="4" w:space="0" w:color="auto"/>
            </w:tcBorders>
            <w:shd w:val="clear" w:color="auto" w:fill="auto"/>
            <w:vAlign w:val="center"/>
            <w:hideMark/>
          </w:tcPr>
          <w:p w14:paraId="2FE674B0" w14:textId="77777777" w:rsidR="00FC752D" w:rsidRPr="00BC4AFE" w:rsidRDefault="00FC752D" w:rsidP="006211D7">
            <w:pPr>
              <w:widowControl w:val="0"/>
              <w:ind w:left="144" w:hanging="144"/>
              <w:rPr>
                <w:sz w:val="18"/>
                <w:szCs w:val="18"/>
              </w:rPr>
            </w:pPr>
            <w:r w:rsidRPr="00BC4AFE">
              <w:rPr>
                <w:sz w:val="18"/>
                <w:szCs w:val="18"/>
              </w:rPr>
              <w:t>Seychelles</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74401"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989975"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3CEBC"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EC2BC"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61883B"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73847A6C" w14:textId="77777777" w:rsidTr="00A60395">
        <w:trPr>
          <w:cantSplit/>
          <w:trHeight w:val="245"/>
        </w:trPr>
        <w:tc>
          <w:tcPr>
            <w:tcW w:w="3605" w:type="dxa"/>
            <w:tcBorders>
              <w:right w:val="single" w:sz="4" w:space="0" w:color="auto"/>
            </w:tcBorders>
            <w:shd w:val="clear" w:color="auto" w:fill="auto"/>
            <w:vAlign w:val="center"/>
            <w:hideMark/>
          </w:tcPr>
          <w:p w14:paraId="754023D7" w14:textId="77777777" w:rsidR="00FC752D" w:rsidRPr="00BC4AFE" w:rsidRDefault="00FC752D" w:rsidP="006211D7">
            <w:pPr>
              <w:widowControl w:val="0"/>
              <w:ind w:left="144" w:hanging="144"/>
              <w:rPr>
                <w:sz w:val="18"/>
                <w:szCs w:val="18"/>
              </w:rPr>
            </w:pPr>
            <w:r w:rsidRPr="00BC4AFE">
              <w:rPr>
                <w:sz w:val="18"/>
                <w:szCs w:val="18"/>
              </w:rPr>
              <w:t>Sierra Leone</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BE69F"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BB2160"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C41E1"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78450E"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FE0EA3"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24FEEE79" w14:textId="77777777" w:rsidTr="00A60395">
        <w:trPr>
          <w:cantSplit/>
          <w:trHeight w:val="245"/>
        </w:trPr>
        <w:tc>
          <w:tcPr>
            <w:tcW w:w="3605" w:type="dxa"/>
            <w:tcBorders>
              <w:right w:val="single" w:sz="4" w:space="0" w:color="auto"/>
            </w:tcBorders>
            <w:shd w:val="clear" w:color="auto" w:fill="auto"/>
            <w:vAlign w:val="center"/>
            <w:hideMark/>
          </w:tcPr>
          <w:p w14:paraId="3C598123" w14:textId="77777777" w:rsidR="00FC752D" w:rsidRPr="00BC4AFE" w:rsidRDefault="00FC752D" w:rsidP="006211D7">
            <w:pPr>
              <w:widowControl w:val="0"/>
              <w:ind w:left="144" w:hanging="144"/>
              <w:rPr>
                <w:sz w:val="18"/>
                <w:szCs w:val="18"/>
              </w:rPr>
            </w:pPr>
            <w:r w:rsidRPr="00BC4AFE">
              <w:rPr>
                <w:sz w:val="18"/>
                <w:szCs w:val="18"/>
              </w:rPr>
              <w:t>Singapore</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BF7F3" w14:textId="77777777" w:rsidR="00FC752D" w:rsidRPr="00BC4AFE" w:rsidRDefault="00FC752D" w:rsidP="006211D7">
            <w:pPr>
              <w:widowControl w:val="0"/>
              <w:ind w:right="144"/>
              <w:jc w:val="right"/>
              <w:rPr>
                <w:sz w:val="18"/>
                <w:szCs w:val="18"/>
              </w:rPr>
            </w:pPr>
            <w:r w:rsidRPr="00BC4AFE">
              <w:rPr>
                <w:sz w:val="18"/>
                <w:szCs w:val="18"/>
              </w:rPr>
              <w:t>0.504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24161E" w14:textId="77777777" w:rsidR="00FC752D" w:rsidRPr="00BC4AFE" w:rsidRDefault="00FC752D" w:rsidP="006211D7">
            <w:pPr>
              <w:widowControl w:val="0"/>
              <w:ind w:right="144"/>
              <w:jc w:val="right"/>
              <w:rPr>
                <w:sz w:val="18"/>
                <w:szCs w:val="18"/>
              </w:rPr>
            </w:pPr>
            <w:r w:rsidRPr="00BC4AFE">
              <w:rPr>
                <w:sz w:val="18"/>
                <w:szCs w:val="18"/>
              </w:rPr>
              <w:t>0.630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16BDE" w14:textId="77777777" w:rsidR="00FC752D" w:rsidRPr="00BC4AFE" w:rsidRDefault="00FC752D" w:rsidP="006211D7">
            <w:pPr>
              <w:widowControl w:val="0"/>
              <w:ind w:right="144"/>
              <w:jc w:val="right"/>
              <w:rPr>
                <w:sz w:val="18"/>
                <w:szCs w:val="18"/>
              </w:rPr>
            </w:pPr>
            <w:r w:rsidRPr="00BC4AFE">
              <w:rPr>
                <w:sz w:val="18"/>
                <w:szCs w:val="18"/>
              </w:rPr>
              <w:t>82,075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3FDDD" w14:textId="77777777" w:rsidR="00FC752D" w:rsidRPr="00BC4AFE" w:rsidRDefault="00FC752D" w:rsidP="006211D7">
            <w:pPr>
              <w:widowControl w:val="0"/>
              <w:ind w:right="144"/>
              <w:jc w:val="right"/>
              <w:rPr>
                <w:sz w:val="18"/>
                <w:szCs w:val="18"/>
              </w:rPr>
            </w:pPr>
            <w:r w:rsidRPr="00BC4AFE">
              <w:rPr>
                <w:sz w:val="18"/>
                <w:szCs w:val="18"/>
              </w:rPr>
              <w:t>90,023</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6ED56F" w14:textId="77777777" w:rsidR="00FC752D" w:rsidRPr="00BC4AFE" w:rsidRDefault="00FC752D" w:rsidP="006211D7">
            <w:pPr>
              <w:widowControl w:val="0"/>
              <w:ind w:right="144"/>
              <w:jc w:val="right"/>
              <w:rPr>
                <w:sz w:val="18"/>
                <w:szCs w:val="18"/>
              </w:rPr>
            </w:pPr>
            <w:r w:rsidRPr="00BC4AFE">
              <w:rPr>
                <w:sz w:val="18"/>
                <w:szCs w:val="18"/>
              </w:rPr>
              <w:t>172,098</w:t>
            </w:r>
          </w:p>
        </w:tc>
      </w:tr>
      <w:tr w:rsidR="00FC752D" w:rsidRPr="00BC4AFE" w14:paraId="133D5117" w14:textId="77777777" w:rsidTr="00A60395">
        <w:trPr>
          <w:cantSplit/>
          <w:trHeight w:val="245"/>
        </w:trPr>
        <w:tc>
          <w:tcPr>
            <w:tcW w:w="3605" w:type="dxa"/>
            <w:tcBorders>
              <w:right w:val="single" w:sz="4" w:space="0" w:color="auto"/>
            </w:tcBorders>
            <w:shd w:val="clear" w:color="auto" w:fill="auto"/>
            <w:vAlign w:val="center"/>
            <w:hideMark/>
          </w:tcPr>
          <w:p w14:paraId="630F680E" w14:textId="77777777" w:rsidR="00FC752D" w:rsidRPr="00BC4AFE" w:rsidRDefault="00FC752D" w:rsidP="006211D7">
            <w:pPr>
              <w:widowControl w:val="0"/>
              <w:ind w:left="144" w:hanging="144"/>
              <w:rPr>
                <w:sz w:val="18"/>
                <w:szCs w:val="18"/>
              </w:rPr>
            </w:pPr>
            <w:r w:rsidRPr="00BC4AFE">
              <w:rPr>
                <w:sz w:val="18"/>
                <w:szCs w:val="18"/>
              </w:rPr>
              <w:t>Slovakia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7C198" w14:textId="77777777" w:rsidR="00FC752D" w:rsidRPr="00BC4AFE" w:rsidRDefault="00FC752D" w:rsidP="006211D7">
            <w:pPr>
              <w:widowControl w:val="0"/>
              <w:ind w:right="144"/>
              <w:jc w:val="right"/>
              <w:rPr>
                <w:sz w:val="18"/>
                <w:szCs w:val="18"/>
              </w:rPr>
            </w:pPr>
            <w:r w:rsidRPr="00BC4AFE">
              <w:rPr>
                <w:sz w:val="18"/>
                <w:szCs w:val="18"/>
              </w:rPr>
              <w:t>0.155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ABC42" w14:textId="77777777" w:rsidR="00FC752D" w:rsidRPr="00BC4AFE" w:rsidRDefault="00FC752D" w:rsidP="006211D7">
            <w:pPr>
              <w:widowControl w:val="0"/>
              <w:ind w:right="144"/>
              <w:jc w:val="right"/>
              <w:rPr>
                <w:sz w:val="18"/>
                <w:szCs w:val="18"/>
              </w:rPr>
            </w:pPr>
            <w:r w:rsidRPr="00BC4AFE">
              <w:rPr>
                <w:sz w:val="18"/>
                <w:szCs w:val="18"/>
              </w:rPr>
              <w:t>0.194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51A3B" w14:textId="77777777" w:rsidR="00FC752D" w:rsidRPr="00BC4AFE" w:rsidRDefault="00FC752D" w:rsidP="006211D7">
            <w:pPr>
              <w:widowControl w:val="0"/>
              <w:ind w:right="144"/>
              <w:jc w:val="right"/>
              <w:rPr>
                <w:sz w:val="18"/>
                <w:szCs w:val="18"/>
              </w:rPr>
            </w:pPr>
            <w:r w:rsidRPr="00BC4AFE">
              <w:rPr>
                <w:sz w:val="18"/>
                <w:szCs w:val="18"/>
              </w:rPr>
              <w:t>25,241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BEC47" w14:textId="77777777" w:rsidR="00FC752D" w:rsidRPr="00BC4AFE" w:rsidRDefault="00FC752D" w:rsidP="006211D7">
            <w:pPr>
              <w:widowControl w:val="0"/>
              <w:ind w:right="144"/>
              <w:jc w:val="right"/>
              <w:rPr>
                <w:sz w:val="18"/>
                <w:szCs w:val="18"/>
              </w:rPr>
            </w:pPr>
            <w:r w:rsidRPr="00BC4AFE">
              <w:rPr>
                <w:sz w:val="18"/>
                <w:szCs w:val="18"/>
              </w:rPr>
              <w:t>27,686</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42507" w14:textId="77777777" w:rsidR="00FC752D" w:rsidRPr="00BC4AFE" w:rsidRDefault="00FC752D" w:rsidP="006211D7">
            <w:pPr>
              <w:widowControl w:val="0"/>
              <w:ind w:right="144"/>
              <w:jc w:val="right"/>
              <w:rPr>
                <w:sz w:val="18"/>
                <w:szCs w:val="18"/>
              </w:rPr>
            </w:pPr>
            <w:r w:rsidRPr="00BC4AFE">
              <w:rPr>
                <w:sz w:val="18"/>
                <w:szCs w:val="18"/>
              </w:rPr>
              <w:t>52,927</w:t>
            </w:r>
          </w:p>
        </w:tc>
      </w:tr>
      <w:tr w:rsidR="00FC752D" w:rsidRPr="00BC4AFE" w14:paraId="1DCAD8E8" w14:textId="77777777" w:rsidTr="00A60395">
        <w:trPr>
          <w:cantSplit/>
          <w:trHeight w:val="245"/>
        </w:trPr>
        <w:tc>
          <w:tcPr>
            <w:tcW w:w="3605" w:type="dxa"/>
            <w:tcBorders>
              <w:right w:val="single" w:sz="4" w:space="0" w:color="auto"/>
            </w:tcBorders>
            <w:shd w:val="clear" w:color="auto" w:fill="auto"/>
            <w:vAlign w:val="center"/>
            <w:hideMark/>
          </w:tcPr>
          <w:p w14:paraId="325CA723" w14:textId="77777777" w:rsidR="00FC752D" w:rsidRPr="00BC4AFE" w:rsidRDefault="00FC752D" w:rsidP="006211D7">
            <w:pPr>
              <w:widowControl w:val="0"/>
              <w:ind w:left="144" w:hanging="144"/>
              <w:rPr>
                <w:sz w:val="18"/>
                <w:szCs w:val="18"/>
              </w:rPr>
            </w:pPr>
            <w:r w:rsidRPr="00BC4AFE">
              <w:rPr>
                <w:sz w:val="18"/>
                <w:szCs w:val="18"/>
              </w:rPr>
              <w:t>Slovenia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84C401" w14:textId="77777777" w:rsidR="00FC752D" w:rsidRPr="00BC4AFE" w:rsidRDefault="00FC752D" w:rsidP="006211D7">
            <w:pPr>
              <w:widowControl w:val="0"/>
              <w:ind w:right="144"/>
              <w:jc w:val="right"/>
              <w:rPr>
                <w:sz w:val="18"/>
                <w:szCs w:val="18"/>
              </w:rPr>
            </w:pPr>
            <w:r w:rsidRPr="00BC4AFE">
              <w:rPr>
                <w:sz w:val="18"/>
                <w:szCs w:val="18"/>
              </w:rPr>
              <w:t>0.079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602F7C" w14:textId="77777777" w:rsidR="00FC752D" w:rsidRPr="00BC4AFE" w:rsidRDefault="00FC752D" w:rsidP="006211D7">
            <w:pPr>
              <w:widowControl w:val="0"/>
              <w:ind w:right="144"/>
              <w:jc w:val="right"/>
              <w:rPr>
                <w:sz w:val="18"/>
                <w:szCs w:val="18"/>
              </w:rPr>
            </w:pPr>
            <w:r w:rsidRPr="00BC4AFE">
              <w:rPr>
                <w:sz w:val="18"/>
                <w:szCs w:val="18"/>
              </w:rPr>
              <w:t>0.099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A68B6" w14:textId="77777777" w:rsidR="00FC752D" w:rsidRPr="00BC4AFE" w:rsidRDefault="00FC752D" w:rsidP="006211D7">
            <w:pPr>
              <w:widowControl w:val="0"/>
              <w:ind w:right="144"/>
              <w:jc w:val="right"/>
              <w:rPr>
                <w:sz w:val="18"/>
                <w:szCs w:val="18"/>
              </w:rPr>
            </w:pPr>
            <w:r w:rsidRPr="00BC4AFE">
              <w:rPr>
                <w:sz w:val="18"/>
                <w:szCs w:val="18"/>
              </w:rPr>
              <w:t>12,865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5FDE97" w14:textId="77777777" w:rsidR="00FC752D" w:rsidRPr="00BC4AFE" w:rsidRDefault="00FC752D" w:rsidP="006211D7">
            <w:pPr>
              <w:widowControl w:val="0"/>
              <w:ind w:right="144"/>
              <w:jc w:val="right"/>
              <w:rPr>
                <w:sz w:val="18"/>
                <w:szCs w:val="18"/>
              </w:rPr>
            </w:pPr>
            <w:r w:rsidRPr="00BC4AFE">
              <w:rPr>
                <w:sz w:val="18"/>
                <w:szCs w:val="18"/>
              </w:rPr>
              <w:t>14,111</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B23D7" w14:textId="77777777" w:rsidR="00FC752D" w:rsidRPr="00BC4AFE" w:rsidRDefault="00FC752D" w:rsidP="006211D7">
            <w:pPr>
              <w:widowControl w:val="0"/>
              <w:ind w:right="144"/>
              <w:jc w:val="right"/>
              <w:rPr>
                <w:sz w:val="18"/>
                <w:szCs w:val="18"/>
              </w:rPr>
            </w:pPr>
            <w:r w:rsidRPr="00BC4AFE">
              <w:rPr>
                <w:sz w:val="18"/>
                <w:szCs w:val="18"/>
              </w:rPr>
              <w:t>26,976</w:t>
            </w:r>
          </w:p>
        </w:tc>
      </w:tr>
      <w:tr w:rsidR="00FC752D" w:rsidRPr="00BC4AFE" w14:paraId="0EA037E2" w14:textId="77777777" w:rsidTr="00A60395">
        <w:trPr>
          <w:cantSplit/>
          <w:trHeight w:val="245"/>
        </w:trPr>
        <w:tc>
          <w:tcPr>
            <w:tcW w:w="3605" w:type="dxa"/>
            <w:tcBorders>
              <w:right w:val="single" w:sz="4" w:space="0" w:color="auto"/>
            </w:tcBorders>
            <w:shd w:val="clear" w:color="auto" w:fill="auto"/>
            <w:vAlign w:val="center"/>
            <w:hideMark/>
          </w:tcPr>
          <w:p w14:paraId="09F0020B" w14:textId="77777777" w:rsidR="00FC752D" w:rsidRPr="00BC4AFE" w:rsidRDefault="00FC752D" w:rsidP="006211D7">
            <w:pPr>
              <w:widowControl w:val="0"/>
              <w:ind w:left="144" w:hanging="144"/>
              <w:rPr>
                <w:sz w:val="18"/>
                <w:szCs w:val="18"/>
              </w:rPr>
            </w:pPr>
            <w:r w:rsidRPr="00BC4AFE">
              <w:rPr>
                <w:sz w:val="18"/>
                <w:szCs w:val="18"/>
              </w:rPr>
              <w:t>Solomon Islands</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8B1797"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4F385"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EEBDD"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B601E"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E328C6"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00DC4C4A" w14:textId="77777777" w:rsidTr="00A60395">
        <w:trPr>
          <w:cantSplit/>
          <w:trHeight w:val="245"/>
        </w:trPr>
        <w:tc>
          <w:tcPr>
            <w:tcW w:w="3605" w:type="dxa"/>
            <w:tcBorders>
              <w:right w:val="single" w:sz="4" w:space="0" w:color="auto"/>
            </w:tcBorders>
            <w:shd w:val="clear" w:color="auto" w:fill="auto"/>
            <w:vAlign w:val="center"/>
            <w:hideMark/>
          </w:tcPr>
          <w:p w14:paraId="338C87A2" w14:textId="77777777" w:rsidR="00FC752D" w:rsidRPr="00BC4AFE" w:rsidRDefault="00FC752D" w:rsidP="006211D7">
            <w:pPr>
              <w:widowControl w:val="0"/>
              <w:ind w:left="144" w:hanging="144"/>
              <w:rPr>
                <w:sz w:val="18"/>
                <w:szCs w:val="18"/>
              </w:rPr>
            </w:pPr>
            <w:r w:rsidRPr="00BC4AFE">
              <w:rPr>
                <w:sz w:val="18"/>
                <w:szCs w:val="18"/>
              </w:rPr>
              <w:t>Somalia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C23F9"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CE44A"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0EED1C"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B1952"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749F0"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07C33657" w14:textId="77777777" w:rsidTr="00A60395">
        <w:trPr>
          <w:cantSplit/>
          <w:trHeight w:val="245"/>
        </w:trPr>
        <w:tc>
          <w:tcPr>
            <w:tcW w:w="3605" w:type="dxa"/>
            <w:tcBorders>
              <w:right w:val="single" w:sz="4" w:space="0" w:color="auto"/>
            </w:tcBorders>
            <w:shd w:val="clear" w:color="auto" w:fill="auto"/>
            <w:vAlign w:val="center"/>
            <w:hideMark/>
          </w:tcPr>
          <w:p w14:paraId="1E676D08" w14:textId="77777777" w:rsidR="00FC752D" w:rsidRPr="00BC4AFE" w:rsidRDefault="00FC752D" w:rsidP="006211D7">
            <w:pPr>
              <w:widowControl w:val="0"/>
              <w:ind w:left="144" w:hanging="144"/>
              <w:rPr>
                <w:sz w:val="18"/>
                <w:szCs w:val="18"/>
              </w:rPr>
            </w:pPr>
            <w:r w:rsidRPr="00BC4AFE">
              <w:rPr>
                <w:sz w:val="18"/>
                <w:szCs w:val="18"/>
              </w:rPr>
              <w:t>South Africa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E7D97" w14:textId="77777777" w:rsidR="00FC752D" w:rsidRPr="00BC4AFE" w:rsidRDefault="00FC752D" w:rsidP="006211D7">
            <w:pPr>
              <w:widowControl w:val="0"/>
              <w:ind w:right="144"/>
              <w:jc w:val="right"/>
              <w:rPr>
                <w:sz w:val="18"/>
                <w:szCs w:val="18"/>
              </w:rPr>
            </w:pPr>
            <w:r w:rsidRPr="00BC4AFE">
              <w:rPr>
                <w:sz w:val="18"/>
                <w:szCs w:val="18"/>
              </w:rPr>
              <w:t>0.244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4B2E2" w14:textId="77777777" w:rsidR="00FC752D" w:rsidRPr="00BC4AFE" w:rsidRDefault="00FC752D" w:rsidP="006211D7">
            <w:pPr>
              <w:widowControl w:val="0"/>
              <w:ind w:right="144"/>
              <w:jc w:val="right"/>
              <w:rPr>
                <w:sz w:val="18"/>
                <w:szCs w:val="18"/>
              </w:rPr>
            </w:pPr>
            <w:r w:rsidRPr="00BC4AFE">
              <w:rPr>
                <w:sz w:val="18"/>
                <w:szCs w:val="18"/>
              </w:rPr>
              <w:t>0.305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F3999" w14:textId="77777777" w:rsidR="00FC752D" w:rsidRPr="00BC4AFE" w:rsidRDefault="00FC752D" w:rsidP="006211D7">
            <w:pPr>
              <w:widowControl w:val="0"/>
              <w:ind w:right="144"/>
              <w:jc w:val="right"/>
              <w:rPr>
                <w:sz w:val="18"/>
                <w:szCs w:val="18"/>
              </w:rPr>
            </w:pPr>
            <w:r w:rsidRPr="00BC4AFE">
              <w:rPr>
                <w:sz w:val="18"/>
                <w:szCs w:val="18"/>
              </w:rPr>
              <w:t>39,735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914D5E" w14:textId="77777777" w:rsidR="00FC752D" w:rsidRPr="00BC4AFE" w:rsidRDefault="00FC752D" w:rsidP="006211D7">
            <w:pPr>
              <w:widowControl w:val="0"/>
              <w:ind w:right="144"/>
              <w:jc w:val="right"/>
              <w:rPr>
                <w:sz w:val="18"/>
                <w:szCs w:val="18"/>
              </w:rPr>
            </w:pPr>
            <w:r w:rsidRPr="00BC4AFE">
              <w:rPr>
                <w:sz w:val="18"/>
                <w:szCs w:val="18"/>
              </w:rPr>
              <w:t>43,582</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51DE1F" w14:textId="77777777" w:rsidR="00FC752D" w:rsidRPr="00BC4AFE" w:rsidRDefault="00FC752D" w:rsidP="006211D7">
            <w:pPr>
              <w:widowControl w:val="0"/>
              <w:ind w:right="144"/>
              <w:jc w:val="right"/>
              <w:rPr>
                <w:sz w:val="18"/>
                <w:szCs w:val="18"/>
              </w:rPr>
            </w:pPr>
            <w:r w:rsidRPr="00BC4AFE">
              <w:rPr>
                <w:sz w:val="18"/>
                <w:szCs w:val="18"/>
              </w:rPr>
              <w:t>83,317</w:t>
            </w:r>
          </w:p>
        </w:tc>
      </w:tr>
      <w:tr w:rsidR="00FC752D" w:rsidRPr="00BC4AFE" w14:paraId="5C7A9ADA" w14:textId="77777777" w:rsidTr="00A60395">
        <w:trPr>
          <w:cantSplit/>
          <w:trHeight w:val="245"/>
        </w:trPr>
        <w:tc>
          <w:tcPr>
            <w:tcW w:w="3605" w:type="dxa"/>
            <w:tcBorders>
              <w:right w:val="single" w:sz="4" w:space="0" w:color="auto"/>
            </w:tcBorders>
            <w:shd w:val="clear" w:color="auto" w:fill="auto"/>
            <w:vAlign w:val="center"/>
            <w:hideMark/>
          </w:tcPr>
          <w:p w14:paraId="67084A5F" w14:textId="77777777" w:rsidR="00FC752D" w:rsidRPr="00BC4AFE" w:rsidRDefault="00FC752D" w:rsidP="006211D7">
            <w:pPr>
              <w:widowControl w:val="0"/>
              <w:ind w:left="144" w:hanging="144"/>
              <w:rPr>
                <w:sz w:val="18"/>
                <w:szCs w:val="18"/>
              </w:rPr>
            </w:pPr>
            <w:r w:rsidRPr="00BC4AFE">
              <w:rPr>
                <w:sz w:val="18"/>
                <w:szCs w:val="18"/>
              </w:rPr>
              <w:t>South Sudan</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A0324"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753BF"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548DCC"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D0828F"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D6B50"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678B68FC" w14:textId="77777777" w:rsidTr="00A60395">
        <w:trPr>
          <w:cantSplit/>
          <w:trHeight w:val="245"/>
        </w:trPr>
        <w:tc>
          <w:tcPr>
            <w:tcW w:w="3605" w:type="dxa"/>
            <w:tcBorders>
              <w:right w:val="single" w:sz="4" w:space="0" w:color="auto"/>
            </w:tcBorders>
            <w:shd w:val="clear" w:color="auto" w:fill="auto"/>
            <w:vAlign w:val="center"/>
            <w:hideMark/>
          </w:tcPr>
          <w:p w14:paraId="66937F46" w14:textId="77777777" w:rsidR="00FC752D" w:rsidRPr="00BC4AFE" w:rsidRDefault="00FC752D" w:rsidP="006211D7">
            <w:pPr>
              <w:widowControl w:val="0"/>
              <w:ind w:left="144" w:hanging="144"/>
              <w:rPr>
                <w:sz w:val="18"/>
                <w:szCs w:val="18"/>
              </w:rPr>
            </w:pPr>
            <w:r w:rsidRPr="00BC4AFE">
              <w:rPr>
                <w:sz w:val="18"/>
                <w:szCs w:val="18"/>
              </w:rPr>
              <w:t>Spain</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697B7" w14:textId="77777777" w:rsidR="00FC752D" w:rsidRPr="00BC4AFE" w:rsidRDefault="00FC752D" w:rsidP="006211D7">
            <w:pPr>
              <w:widowControl w:val="0"/>
              <w:ind w:right="144"/>
              <w:jc w:val="right"/>
              <w:rPr>
                <w:sz w:val="18"/>
                <w:szCs w:val="18"/>
              </w:rPr>
            </w:pPr>
            <w:r w:rsidRPr="00BC4AFE">
              <w:rPr>
                <w:sz w:val="18"/>
                <w:szCs w:val="18"/>
              </w:rPr>
              <w:t>2.134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727EA" w14:textId="77777777" w:rsidR="00FC752D" w:rsidRPr="00BC4AFE" w:rsidRDefault="00FC752D" w:rsidP="006211D7">
            <w:pPr>
              <w:widowControl w:val="0"/>
              <w:ind w:right="144"/>
              <w:jc w:val="right"/>
              <w:rPr>
                <w:sz w:val="18"/>
                <w:szCs w:val="18"/>
              </w:rPr>
            </w:pPr>
            <w:r w:rsidRPr="00BC4AFE">
              <w:rPr>
                <w:sz w:val="18"/>
                <w:szCs w:val="18"/>
              </w:rPr>
              <w:t>2.668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30D14" w14:textId="77777777" w:rsidR="00FC752D" w:rsidRPr="00BC4AFE" w:rsidRDefault="00FC752D" w:rsidP="006211D7">
            <w:pPr>
              <w:widowControl w:val="0"/>
              <w:ind w:right="144"/>
              <w:jc w:val="right"/>
              <w:rPr>
                <w:sz w:val="18"/>
                <w:szCs w:val="18"/>
              </w:rPr>
            </w:pPr>
            <w:r w:rsidRPr="00BC4AFE">
              <w:rPr>
                <w:sz w:val="18"/>
                <w:szCs w:val="18"/>
              </w:rPr>
              <w:t>347,516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9A6A2" w14:textId="77777777" w:rsidR="00FC752D" w:rsidRPr="00BC4AFE" w:rsidRDefault="00FC752D" w:rsidP="006211D7">
            <w:pPr>
              <w:widowControl w:val="0"/>
              <w:ind w:right="144"/>
              <w:jc w:val="right"/>
              <w:rPr>
                <w:sz w:val="18"/>
                <w:szCs w:val="18"/>
              </w:rPr>
            </w:pPr>
            <w:r w:rsidRPr="00BC4AFE">
              <w:rPr>
                <w:sz w:val="18"/>
                <w:szCs w:val="18"/>
              </w:rPr>
              <w:t>381,168</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5A841E" w14:textId="77777777" w:rsidR="00FC752D" w:rsidRPr="00BC4AFE" w:rsidRDefault="00FC752D" w:rsidP="006211D7">
            <w:pPr>
              <w:widowControl w:val="0"/>
              <w:ind w:right="144"/>
              <w:jc w:val="right"/>
              <w:rPr>
                <w:sz w:val="18"/>
                <w:szCs w:val="18"/>
              </w:rPr>
            </w:pPr>
            <w:r w:rsidRPr="00BC4AFE">
              <w:rPr>
                <w:sz w:val="18"/>
                <w:szCs w:val="18"/>
              </w:rPr>
              <w:t>728,684</w:t>
            </w:r>
          </w:p>
        </w:tc>
      </w:tr>
      <w:tr w:rsidR="00FC752D" w:rsidRPr="00BC4AFE" w14:paraId="02A173EC" w14:textId="77777777" w:rsidTr="00A60395">
        <w:trPr>
          <w:cantSplit/>
          <w:trHeight w:val="245"/>
        </w:trPr>
        <w:tc>
          <w:tcPr>
            <w:tcW w:w="3605" w:type="dxa"/>
            <w:tcBorders>
              <w:right w:val="single" w:sz="4" w:space="0" w:color="auto"/>
            </w:tcBorders>
            <w:shd w:val="clear" w:color="auto" w:fill="auto"/>
            <w:vAlign w:val="center"/>
            <w:hideMark/>
          </w:tcPr>
          <w:p w14:paraId="6A476F93" w14:textId="77777777" w:rsidR="00FC752D" w:rsidRPr="00BC4AFE" w:rsidRDefault="00FC752D" w:rsidP="006211D7">
            <w:pPr>
              <w:widowControl w:val="0"/>
              <w:ind w:left="144" w:hanging="144"/>
              <w:rPr>
                <w:sz w:val="18"/>
                <w:szCs w:val="18"/>
              </w:rPr>
            </w:pPr>
            <w:r w:rsidRPr="00BC4AFE">
              <w:rPr>
                <w:sz w:val="18"/>
                <w:szCs w:val="18"/>
              </w:rPr>
              <w:t>Sri Lanka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0470C" w14:textId="77777777" w:rsidR="00FC752D" w:rsidRPr="00BC4AFE" w:rsidRDefault="00FC752D" w:rsidP="006211D7">
            <w:pPr>
              <w:widowControl w:val="0"/>
              <w:ind w:right="144"/>
              <w:jc w:val="right"/>
              <w:rPr>
                <w:sz w:val="18"/>
                <w:szCs w:val="18"/>
              </w:rPr>
            </w:pPr>
            <w:r w:rsidRPr="00BC4AFE">
              <w:rPr>
                <w:sz w:val="18"/>
                <w:szCs w:val="18"/>
              </w:rPr>
              <w:t>0.045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027FBD" w14:textId="77777777" w:rsidR="00FC752D" w:rsidRPr="00BC4AFE" w:rsidRDefault="00FC752D" w:rsidP="006211D7">
            <w:pPr>
              <w:widowControl w:val="0"/>
              <w:ind w:right="144"/>
              <w:jc w:val="right"/>
              <w:rPr>
                <w:sz w:val="18"/>
                <w:szCs w:val="18"/>
              </w:rPr>
            </w:pPr>
            <w:r w:rsidRPr="00BC4AFE">
              <w:rPr>
                <w:sz w:val="18"/>
                <w:szCs w:val="18"/>
              </w:rPr>
              <w:t>0.056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B2A1D" w14:textId="77777777" w:rsidR="00FC752D" w:rsidRPr="00BC4AFE" w:rsidRDefault="00FC752D" w:rsidP="006211D7">
            <w:pPr>
              <w:widowControl w:val="0"/>
              <w:ind w:right="144"/>
              <w:jc w:val="right"/>
              <w:rPr>
                <w:sz w:val="18"/>
                <w:szCs w:val="18"/>
              </w:rPr>
            </w:pPr>
            <w:r w:rsidRPr="00BC4AFE">
              <w:rPr>
                <w:sz w:val="18"/>
                <w:szCs w:val="18"/>
              </w:rPr>
              <w:t>7,328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B53B5" w14:textId="77777777" w:rsidR="00FC752D" w:rsidRPr="00BC4AFE" w:rsidRDefault="00FC752D" w:rsidP="006211D7">
            <w:pPr>
              <w:widowControl w:val="0"/>
              <w:ind w:right="144"/>
              <w:jc w:val="right"/>
              <w:rPr>
                <w:sz w:val="18"/>
                <w:szCs w:val="18"/>
              </w:rPr>
            </w:pPr>
            <w:r w:rsidRPr="00BC4AFE">
              <w:rPr>
                <w:sz w:val="18"/>
                <w:szCs w:val="18"/>
              </w:rPr>
              <w:t>8,038</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710EF" w14:textId="77777777" w:rsidR="00FC752D" w:rsidRPr="00BC4AFE" w:rsidRDefault="00FC752D" w:rsidP="006211D7">
            <w:pPr>
              <w:widowControl w:val="0"/>
              <w:ind w:right="144"/>
              <w:jc w:val="right"/>
              <w:rPr>
                <w:sz w:val="18"/>
                <w:szCs w:val="18"/>
              </w:rPr>
            </w:pPr>
            <w:r w:rsidRPr="00BC4AFE">
              <w:rPr>
                <w:sz w:val="18"/>
                <w:szCs w:val="18"/>
              </w:rPr>
              <w:t>15,366</w:t>
            </w:r>
          </w:p>
        </w:tc>
      </w:tr>
      <w:tr w:rsidR="00FC752D" w:rsidRPr="00BC4AFE" w14:paraId="19683C7F" w14:textId="77777777" w:rsidTr="00A60395">
        <w:trPr>
          <w:cantSplit/>
          <w:trHeight w:val="245"/>
        </w:trPr>
        <w:tc>
          <w:tcPr>
            <w:tcW w:w="3605" w:type="dxa"/>
            <w:tcBorders>
              <w:right w:val="single" w:sz="4" w:space="0" w:color="auto"/>
            </w:tcBorders>
            <w:shd w:val="clear" w:color="auto" w:fill="auto"/>
            <w:vAlign w:val="center"/>
            <w:hideMark/>
          </w:tcPr>
          <w:p w14:paraId="06E8E913" w14:textId="77777777" w:rsidR="00FC752D" w:rsidRPr="00BC4AFE" w:rsidRDefault="00FC752D" w:rsidP="006211D7">
            <w:pPr>
              <w:widowControl w:val="0"/>
              <w:ind w:left="144" w:hanging="144"/>
              <w:rPr>
                <w:sz w:val="18"/>
                <w:szCs w:val="18"/>
              </w:rPr>
            </w:pPr>
            <w:r w:rsidRPr="00BC4AFE">
              <w:rPr>
                <w:sz w:val="18"/>
                <w:szCs w:val="18"/>
              </w:rPr>
              <w:t>State of Palestine</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22432" w14:textId="77777777" w:rsidR="00FC752D" w:rsidRPr="00BC4AFE" w:rsidRDefault="00FC752D" w:rsidP="006211D7">
            <w:pPr>
              <w:widowControl w:val="0"/>
              <w:ind w:right="144"/>
              <w:jc w:val="right"/>
              <w:rPr>
                <w:sz w:val="18"/>
                <w:szCs w:val="18"/>
              </w:rPr>
            </w:pPr>
            <w:r w:rsidRPr="00BC4AFE">
              <w:rPr>
                <w:sz w:val="18"/>
                <w:szCs w:val="18"/>
              </w:rPr>
              <w:t>0.011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355AA" w14:textId="77777777" w:rsidR="00FC752D" w:rsidRPr="00BC4AFE" w:rsidRDefault="00FC752D" w:rsidP="006211D7">
            <w:pPr>
              <w:widowControl w:val="0"/>
              <w:ind w:right="144"/>
              <w:jc w:val="right"/>
              <w:rPr>
                <w:sz w:val="18"/>
                <w:szCs w:val="18"/>
              </w:rPr>
            </w:pPr>
            <w:r w:rsidRPr="00BC4AFE">
              <w:rPr>
                <w:sz w:val="18"/>
                <w:szCs w:val="18"/>
              </w:rPr>
              <w:t>0.014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A3E9B" w14:textId="77777777" w:rsidR="00FC752D" w:rsidRPr="00BC4AFE" w:rsidRDefault="00FC752D" w:rsidP="006211D7">
            <w:pPr>
              <w:widowControl w:val="0"/>
              <w:ind w:right="144"/>
              <w:jc w:val="right"/>
              <w:rPr>
                <w:sz w:val="18"/>
                <w:szCs w:val="18"/>
              </w:rPr>
            </w:pPr>
            <w:r w:rsidRPr="00BC4AFE">
              <w:rPr>
                <w:sz w:val="18"/>
                <w:szCs w:val="18"/>
              </w:rPr>
              <w:t>1,791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30621A" w14:textId="77777777" w:rsidR="00FC752D" w:rsidRPr="00BC4AFE" w:rsidRDefault="00FC752D" w:rsidP="006211D7">
            <w:pPr>
              <w:widowControl w:val="0"/>
              <w:ind w:right="144"/>
              <w:jc w:val="right"/>
              <w:rPr>
                <w:sz w:val="18"/>
                <w:szCs w:val="18"/>
              </w:rPr>
            </w:pPr>
            <w:r w:rsidRPr="00BC4AFE">
              <w:rPr>
                <w:sz w:val="18"/>
                <w:szCs w:val="18"/>
              </w:rPr>
              <w:t>1,965</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305636" w14:textId="77777777" w:rsidR="00FC752D" w:rsidRPr="00BC4AFE" w:rsidRDefault="00FC752D" w:rsidP="006211D7">
            <w:pPr>
              <w:widowControl w:val="0"/>
              <w:ind w:right="144"/>
              <w:jc w:val="right"/>
              <w:rPr>
                <w:sz w:val="18"/>
                <w:szCs w:val="18"/>
              </w:rPr>
            </w:pPr>
            <w:r w:rsidRPr="00BC4AFE">
              <w:rPr>
                <w:sz w:val="18"/>
                <w:szCs w:val="18"/>
              </w:rPr>
              <w:t>3,756</w:t>
            </w:r>
          </w:p>
        </w:tc>
      </w:tr>
      <w:tr w:rsidR="00FC752D" w:rsidRPr="00BC4AFE" w14:paraId="1248B5A0" w14:textId="77777777" w:rsidTr="00A60395">
        <w:trPr>
          <w:cantSplit/>
          <w:trHeight w:val="245"/>
        </w:trPr>
        <w:tc>
          <w:tcPr>
            <w:tcW w:w="3605" w:type="dxa"/>
            <w:tcBorders>
              <w:right w:val="single" w:sz="4" w:space="0" w:color="auto"/>
            </w:tcBorders>
            <w:shd w:val="clear" w:color="auto" w:fill="auto"/>
            <w:vAlign w:val="center"/>
            <w:hideMark/>
          </w:tcPr>
          <w:p w14:paraId="4EE596AC" w14:textId="77777777" w:rsidR="00FC752D" w:rsidRPr="00BC4AFE" w:rsidRDefault="00FC752D" w:rsidP="006211D7">
            <w:pPr>
              <w:widowControl w:val="0"/>
              <w:ind w:left="144" w:hanging="144"/>
              <w:rPr>
                <w:sz w:val="18"/>
                <w:szCs w:val="18"/>
              </w:rPr>
            </w:pPr>
            <w:r w:rsidRPr="00BC4AFE">
              <w:rPr>
                <w:sz w:val="18"/>
                <w:szCs w:val="18"/>
              </w:rPr>
              <w:t>Sudan</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D229B6"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7142B"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D826C"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B14A0B"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2558C"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3839102D" w14:textId="77777777" w:rsidTr="00A60395">
        <w:trPr>
          <w:cantSplit/>
          <w:trHeight w:val="245"/>
        </w:trPr>
        <w:tc>
          <w:tcPr>
            <w:tcW w:w="3605" w:type="dxa"/>
            <w:tcBorders>
              <w:right w:val="single" w:sz="4" w:space="0" w:color="auto"/>
            </w:tcBorders>
            <w:shd w:val="clear" w:color="auto" w:fill="auto"/>
            <w:vAlign w:val="center"/>
            <w:hideMark/>
          </w:tcPr>
          <w:p w14:paraId="0A6C85D5" w14:textId="77777777" w:rsidR="00FC752D" w:rsidRPr="00BC4AFE" w:rsidRDefault="00FC752D" w:rsidP="006211D7">
            <w:pPr>
              <w:widowControl w:val="0"/>
              <w:ind w:left="144" w:hanging="144"/>
              <w:rPr>
                <w:sz w:val="18"/>
                <w:szCs w:val="18"/>
              </w:rPr>
            </w:pPr>
            <w:r w:rsidRPr="00BC4AFE">
              <w:rPr>
                <w:sz w:val="18"/>
                <w:szCs w:val="18"/>
              </w:rPr>
              <w:t>Suriname</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56F388"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94FE5"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0AD378" w14:textId="77777777" w:rsidR="00FC752D" w:rsidRPr="00BC4AFE" w:rsidRDefault="00FC752D" w:rsidP="006211D7">
            <w:pPr>
              <w:widowControl w:val="0"/>
              <w:ind w:right="144"/>
              <w:jc w:val="right"/>
              <w:rPr>
                <w:sz w:val="18"/>
                <w:szCs w:val="18"/>
              </w:rPr>
            </w:pPr>
            <w:r w:rsidRPr="00BC4AFE">
              <w:rPr>
                <w:sz w:val="18"/>
                <w:szCs w:val="18"/>
              </w:rPr>
              <w:t>489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F6B33" w14:textId="77777777" w:rsidR="00FC752D" w:rsidRPr="00BC4AFE" w:rsidRDefault="00FC752D" w:rsidP="006211D7">
            <w:pPr>
              <w:widowControl w:val="0"/>
              <w:ind w:right="144"/>
              <w:jc w:val="right"/>
              <w:rPr>
                <w:sz w:val="18"/>
                <w:szCs w:val="18"/>
              </w:rPr>
            </w:pPr>
            <w:r w:rsidRPr="00BC4AFE">
              <w:rPr>
                <w:sz w:val="18"/>
                <w:szCs w:val="18"/>
              </w:rPr>
              <w:t>536</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05DBE" w14:textId="77777777" w:rsidR="00FC752D" w:rsidRPr="00BC4AFE" w:rsidRDefault="00FC752D" w:rsidP="006211D7">
            <w:pPr>
              <w:widowControl w:val="0"/>
              <w:ind w:right="144"/>
              <w:jc w:val="right"/>
              <w:rPr>
                <w:sz w:val="18"/>
                <w:szCs w:val="18"/>
              </w:rPr>
            </w:pPr>
            <w:r w:rsidRPr="00BC4AFE">
              <w:rPr>
                <w:sz w:val="18"/>
                <w:szCs w:val="18"/>
              </w:rPr>
              <w:t>1,024</w:t>
            </w:r>
          </w:p>
        </w:tc>
      </w:tr>
      <w:tr w:rsidR="00FC752D" w:rsidRPr="00BC4AFE" w14:paraId="2BA37EBB" w14:textId="77777777" w:rsidTr="00A60395">
        <w:trPr>
          <w:cantSplit/>
          <w:trHeight w:val="245"/>
        </w:trPr>
        <w:tc>
          <w:tcPr>
            <w:tcW w:w="3605" w:type="dxa"/>
            <w:tcBorders>
              <w:right w:val="single" w:sz="4" w:space="0" w:color="auto"/>
            </w:tcBorders>
            <w:shd w:val="clear" w:color="auto" w:fill="auto"/>
            <w:vAlign w:val="center"/>
            <w:hideMark/>
          </w:tcPr>
          <w:p w14:paraId="002E5323" w14:textId="77777777" w:rsidR="00FC752D" w:rsidRPr="00BC4AFE" w:rsidRDefault="00FC752D" w:rsidP="006211D7">
            <w:pPr>
              <w:widowControl w:val="0"/>
              <w:ind w:left="144" w:hanging="144"/>
              <w:rPr>
                <w:sz w:val="18"/>
                <w:szCs w:val="18"/>
              </w:rPr>
            </w:pPr>
            <w:r w:rsidRPr="00BC4AFE">
              <w:rPr>
                <w:sz w:val="18"/>
                <w:szCs w:val="18"/>
              </w:rPr>
              <w:t>Sweden</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380F74" w14:textId="77777777" w:rsidR="00FC752D" w:rsidRPr="00BC4AFE" w:rsidRDefault="00FC752D" w:rsidP="006211D7">
            <w:pPr>
              <w:widowControl w:val="0"/>
              <w:ind w:right="144"/>
              <w:jc w:val="right"/>
              <w:rPr>
                <w:sz w:val="18"/>
                <w:szCs w:val="18"/>
              </w:rPr>
            </w:pPr>
            <w:r w:rsidRPr="00BC4AFE">
              <w:rPr>
                <w:sz w:val="18"/>
                <w:szCs w:val="18"/>
              </w:rPr>
              <w:t>0.871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B58F49" w14:textId="77777777" w:rsidR="00FC752D" w:rsidRPr="00BC4AFE" w:rsidRDefault="00FC752D" w:rsidP="006211D7">
            <w:pPr>
              <w:widowControl w:val="0"/>
              <w:ind w:right="144"/>
              <w:jc w:val="right"/>
              <w:rPr>
                <w:sz w:val="18"/>
                <w:szCs w:val="18"/>
              </w:rPr>
            </w:pPr>
            <w:r w:rsidRPr="00BC4AFE">
              <w:rPr>
                <w:sz w:val="18"/>
                <w:szCs w:val="18"/>
              </w:rPr>
              <w:t>1.089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6C9F1" w14:textId="77777777" w:rsidR="00FC752D" w:rsidRPr="00BC4AFE" w:rsidRDefault="00FC752D" w:rsidP="006211D7">
            <w:pPr>
              <w:widowControl w:val="0"/>
              <w:ind w:right="144"/>
              <w:jc w:val="right"/>
              <w:rPr>
                <w:sz w:val="18"/>
                <w:szCs w:val="18"/>
              </w:rPr>
            </w:pPr>
            <w:r w:rsidRPr="00BC4AFE">
              <w:rPr>
                <w:sz w:val="18"/>
                <w:szCs w:val="18"/>
              </w:rPr>
              <w:t>141,840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DD25B" w14:textId="77777777" w:rsidR="00FC752D" w:rsidRPr="00BC4AFE" w:rsidRDefault="00FC752D" w:rsidP="006211D7">
            <w:pPr>
              <w:widowControl w:val="0"/>
              <w:ind w:right="144"/>
              <w:jc w:val="right"/>
              <w:rPr>
                <w:sz w:val="18"/>
                <w:szCs w:val="18"/>
              </w:rPr>
            </w:pPr>
            <w:r w:rsidRPr="00BC4AFE">
              <w:rPr>
                <w:sz w:val="18"/>
                <w:szCs w:val="18"/>
              </w:rPr>
              <w:t>155,575</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3BC28D" w14:textId="77777777" w:rsidR="00FC752D" w:rsidRPr="00BC4AFE" w:rsidRDefault="00FC752D" w:rsidP="006211D7">
            <w:pPr>
              <w:widowControl w:val="0"/>
              <w:ind w:right="144"/>
              <w:jc w:val="right"/>
              <w:rPr>
                <w:sz w:val="18"/>
                <w:szCs w:val="18"/>
              </w:rPr>
            </w:pPr>
            <w:r w:rsidRPr="00BC4AFE">
              <w:rPr>
                <w:sz w:val="18"/>
                <w:szCs w:val="18"/>
              </w:rPr>
              <w:t>297,415</w:t>
            </w:r>
          </w:p>
        </w:tc>
      </w:tr>
      <w:tr w:rsidR="00FC752D" w:rsidRPr="00BC4AFE" w14:paraId="4DAB2B00" w14:textId="77777777" w:rsidTr="00A60395">
        <w:trPr>
          <w:cantSplit/>
          <w:trHeight w:val="245"/>
        </w:trPr>
        <w:tc>
          <w:tcPr>
            <w:tcW w:w="3605" w:type="dxa"/>
            <w:tcBorders>
              <w:right w:val="single" w:sz="4" w:space="0" w:color="auto"/>
            </w:tcBorders>
            <w:shd w:val="clear" w:color="auto" w:fill="auto"/>
            <w:vAlign w:val="center"/>
            <w:hideMark/>
          </w:tcPr>
          <w:p w14:paraId="3A4187CD" w14:textId="77777777" w:rsidR="00FC752D" w:rsidRPr="00BC4AFE" w:rsidRDefault="00FC752D" w:rsidP="006211D7">
            <w:pPr>
              <w:widowControl w:val="0"/>
              <w:ind w:left="144" w:hanging="144"/>
              <w:rPr>
                <w:sz w:val="18"/>
                <w:szCs w:val="18"/>
              </w:rPr>
            </w:pPr>
            <w:r w:rsidRPr="00BC4AFE">
              <w:rPr>
                <w:sz w:val="18"/>
                <w:szCs w:val="18"/>
              </w:rPr>
              <w:t>Switzerland</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03A254" w14:textId="77777777" w:rsidR="00FC752D" w:rsidRPr="00BC4AFE" w:rsidRDefault="00FC752D" w:rsidP="006211D7">
            <w:pPr>
              <w:widowControl w:val="0"/>
              <w:ind w:right="144"/>
              <w:jc w:val="right"/>
              <w:rPr>
                <w:sz w:val="18"/>
                <w:szCs w:val="18"/>
              </w:rPr>
            </w:pPr>
            <w:r w:rsidRPr="00BC4AFE">
              <w:rPr>
                <w:sz w:val="18"/>
                <w:szCs w:val="18"/>
              </w:rPr>
              <w:t>1.134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76F12" w14:textId="77777777" w:rsidR="00FC752D" w:rsidRPr="00BC4AFE" w:rsidRDefault="00FC752D" w:rsidP="006211D7">
            <w:pPr>
              <w:widowControl w:val="0"/>
              <w:ind w:right="144"/>
              <w:jc w:val="right"/>
              <w:rPr>
                <w:sz w:val="18"/>
                <w:szCs w:val="18"/>
              </w:rPr>
            </w:pPr>
            <w:r w:rsidRPr="00BC4AFE">
              <w:rPr>
                <w:sz w:val="18"/>
                <w:szCs w:val="18"/>
              </w:rPr>
              <w:t>1.418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CD771" w14:textId="77777777" w:rsidR="00FC752D" w:rsidRPr="00BC4AFE" w:rsidRDefault="00FC752D" w:rsidP="006211D7">
            <w:pPr>
              <w:widowControl w:val="0"/>
              <w:ind w:right="144"/>
              <w:jc w:val="right"/>
              <w:rPr>
                <w:sz w:val="18"/>
                <w:szCs w:val="18"/>
              </w:rPr>
            </w:pPr>
            <w:r w:rsidRPr="00BC4AFE">
              <w:rPr>
                <w:sz w:val="18"/>
                <w:szCs w:val="18"/>
              </w:rPr>
              <w:t>184,669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11AB9E" w14:textId="77777777" w:rsidR="00FC752D" w:rsidRPr="00BC4AFE" w:rsidRDefault="00FC752D" w:rsidP="006211D7">
            <w:pPr>
              <w:widowControl w:val="0"/>
              <w:ind w:right="144"/>
              <w:jc w:val="right"/>
              <w:rPr>
                <w:sz w:val="18"/>
                <w:szCs w:val="18"/>
              </w:rPr>
            </w:pPr>
            <w:r w:rsidRPr="00BC4AFE">
              <w:rPr>
                <w:sz w:val="18"/>
                <w:szCs w:val="18"/>
              </w:rPr>
              <w:t>202,551</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F1B4A0" w14:textId="77777777" w:rsidR="00FC752D" w:rsidRPr="00BC4AFE" w:rsidRDefault="00FC752D" w:rsidP="006211D7">
            <w:pPr>
              <w:widowControl w:val="0"/>
              <w:ind w:right="144"/>
              <w:jc w:val="right"/>
              <w:rPr>
                <w:sz w:val="18"/>
                <w:szCs w:val="18"/>
              </w:rPr>
            </w:pPr>
            <w:r w:rsidRPr="00BC4AFE">
              <w:rPr>
                <w:sz w:val="18"/>
                <w:szCs w:val="18"/>
              </w:rPr>
              <w:t>387,220</w:t>
            </w:r>
          </w:p>
        </w:tc>
      </w:tr>
      <w:tr w:rsidR="00FC752D" w:rsidRPr="00BC4AFE" w14:paraId="602921F8" w14:textId="77777777" w:rsidTr="00A60395">
        <w:trPr>
          <w:cantSplit/>
          <w:trHeight w:val="245"/>
        </w:trPr>
        <w:tc>
          <w:tcPr>
            <w:tcW w:w="3605" w:type="dxa"/>
            <w:tcBorders>
              <w:right w:val="single" w:sz="4" w:space="0" w:color="auto"/>
            </w:tcBorders>
            <w:shd w:val="clear" w:color="auto" w:fill="auto"/>
            <w:vAlign w:val="center"/>
            <w:hideMark/>
          </w:tcPr>
          <w:p w14:paraId="3A9D86C7" w14:textId="77777777" w:rsidR="00FC752D" w:rsidRPr="00BC4AFE" w:rsidRDefault="00FC752D" w:rsidP="006211D7">
            <w:pPr>
              <w:widowControl w:val="0"/>
              <w:ind w:left="144" w:hanging="144"/>
              <w:rPr>
                <w:sz w:val="18"/>
                <w:szCs w:val="18"/>
              </w:rPr>
            </w:pPr>
            <w:r w:rsidRPr="00BC4AFE">
              <w:rPr>
                <w:sz w:val="18"/>
                <w:szCs w:val="18"/>
              </w:rPr>
              <w:t>Syrian Arab Republic</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4849B9" w14:textId="77777777" w:rsidR="00FC752D" w:rsidRPr="00BC4AFE" w:rsidRDefault="00FC752D" w:rsidP="006211D7">
            <w:pPr>
              <w:widowControl w:val="0"/>
              <w:ind w:right="144"/>
              <w:jc w:val="right"/>
              <w:rPr>
                <w:sz w:val="18"/>
                <w:szCs w:val="18"/>
              </w:rPr>
            </w:pPr>
            <w:r w:rsidRPr="00BC4AFE">
              <w:rPr>
                <w:sz w:val="18"/>
                <w:szCs w:val="18"/>
              </w:rPr>
              <w:t>0.009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411859" w14:textId="77777777" w:rsidR="00FC752D" w:rsidRPr="00BC4AFE" w:rsidRDefault="00FC752D" w:rsidP="006211D7">
            <w:pPr>
              <w:widowControl w:val="0"/>
              <w:ind w:right="144"/>
              <w:jc w:val="right"/>
              <w:rPr>
                <w:sz w:val="18"/>
                <w:szCs w:val="18"/>
              </w:rPr>
            </w:pPr>
            <w:r w:rsidRPr="00BC4AFE">
              <w:rPr>
                <w:sz w:val="18"/>
                <w:szCs w:val="18"/>
              </w:rPr>
              <w:t>0.011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4FD584" w14:textId="77777777" w:rsidR="00FC752D" w:rsidRPr="00BC4AFE" w:rsidRDefault="00FC752D" w:rsidP="006211D7">
            <w:pPr>
              <w:widowControl w:val="0"/>
              <w:ind w:right="144"/>
              <w:jc w:val="right"/>
              <w:rPr>
                <w:sz w:val="18"/>
                <w:szCs w:val="18"/>
              </w:rPr>
            </w:pPr>
            <w:r w:rsidRPr="00BC4AFE">
              <w:rPr>
                <w:sz w:val="18"/>
                <w:szCs w:val="18"/>
              </w:rPr>
              <w:t>1,466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EF1DB" w14:textId="77777777" w:rsidR="00FC752D" w:rsidRPr="00BC4AFE" w:rsidRDefault="00FC752D" w:rsidP="006211D7">
            <w:pPr>
              <w:widowControl w:val="0"/>
              <w:ind w:right="144"/>
              <w:jc w:val="right"/>
              <w:rPr>
                <w:sz w:val="18"/>
                <w:szCs w:val="18"/>
              </w:rPr>
            </w:pPr>
            <w:r w:rsidRPr="00BC4AFE">
              <w:rPr>
                <w:sz w:val="18"/>
                <w:szCs w:val="18"/>
              </w:rPr>
              <w:t>1,608</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154A6" w14:textId="77777777" w:rsidR="00FC752D" w:rsidRPr="00BC4AFE" w:rsidRDefault="00FC752D" w:rsidP="006211D7">
            <w:pPr>
              <w:widowControl w:val="0"/>
              <w:ind w:right="144"/>
              <w:jc w:val="right"/>
              <w:rPr>
                <w:sz w:val="18"/>
                <w:szCs w:val="18"/>
              </w:rPr>
            </w:pPr>
            <w:r w:rsidRPr="00BC4AFE">
              <w:rPr>
                <w:sz w:val="18"/>
                <w:szCs w:val="18"/>
              </w:rPr>
              <w:t>3,073</w:t>
            </w:r>
          </w:p>
        </w:tc>
      </w:tr>
      <w:tr w:rsidR="00FC752D" w:rsidRPr="00BC4AFE" w14:paraId="37F9B66E" w14:textId="77777777" w:rsidTr="00A60395">
        <w:trPr>
          <w:cantSplit/>
          <w:trHeight w:val="245"/>
        </w:trPr>
        <w:tc>
          <w:tcPr>
            <w:tcW w:w="3605" w:type="dxa"/>
            <w:tcBorders>
              <w:right w:val="single" w:sz="4" w:space="0" w:color="auto"/>
            </w:tcBorders>
            <w:shd w:val="clear" w:color="auto" w:fill="auto"/>
            <w:vAlign w:val="center"/>
            <w:hideMark/>
          </w:tcPr>
          <w:p w14:paraId="250913BE" w14:textId="77777777" w:rsidR="00FC752D" w:rsidRPr="00BC4AFE" w:rsidRDefault="00FC752D" w:rsidP="006211D7">
            <w:pPr>
              <w:widowControl w:val="0"/>
              <w:ind w:left="144" w:hanging="144"/>
              <w:rPr>
                <w:sz w:val="18"/>
                <w:szCs w:val="18"/>
              </w:rPr>
            </w:pPr>
            <w:r w:rsidRPr="00BC4AFE">
              <w:rPr>
                <w:sz w:val="18"/>
                <w:szCs w:val="18"/>
              </w:rPr>
              <w:t>Tajikistan</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72208"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F18E16" w14:textId="77777777" w:rsidR="00FC752D" w:rsidRPr="00BC4AFE" w:rsidRDefault="00FC752D" w:rsidP="006211D7">
            <w:pPr>
              <w:widowControl w:val="0"/>
              <w:ind w:right="144"/>
              <w:jc w:val="right"/>
              <w:rPr>
                <w:sz w:val="18"/>
                <w:szCs w:val="18"/>
              </w:rPr>
            </w:pPr>
            <w:r w:rsidRPr="00BC4AFE">
              <w:rPr>
                <w:sz w:val="18"/>
                <w:szCs w:val="18"/>
              </w:rPr>
              <w:t>0.004</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E49B29" w14:textId="77777777" w:rsidR="00FC752D" w:rsidRPr="00BC4AFE" w:rsidRDefault="00FC752D" w:rsidP="006211D7">
            <w:pPr>
              <w:widowControl w:val="0"/>
              <w:ind w:right="144"/>
              <w:jc w:val="right"/>
              <w:rPr>
                <w:sz w:val="18"/>
                <w:szCs w:val="18"/>
              </w:rPr>
            </w:pPr>
            <w:r w:rsidRPr="00BC4AFE">
              <w:rPr>
                <w:sz w:val="18"/>
                <w:szCs w:val="18"/>
              </w:rPr>
              <w:t>489</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21646F" w14:textId="77777777" w:rsidR="00FC752D" w:rsidRPr="00BC4AFE" w:rsidRDefault="00FC752D" w:rsidP="006211D7">
            <w:pPr>
              <w:widowControl w:val="0"/>
              <w:ind w:right="144"/>
              <w:jc w:val="right"/>
              <w:rPr>
                <w:sz w:val="18"/>
                <w:szCs w:val="18"/>
              </w:rPr>
            </w:pPr>
            <w:r w:rsidRPr="00BC4AFE">
              <w:rPr>
                <w:sz w:val="18"/>
                <w:szCs w:val="18"/>
              </w:rPr>
              <w:t>536</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6EFC9" w14:textId="77777777" w:rsidR="00FC752D" w:rsidRPr="00BC4AFE" w:rsidRDefault="00FC752D" w:rsidP="006211D7">
            <w:pPr>
              <w:widowControl w:val="0"/>
              <w:ind w:right="144"/>
              <w:jc w:val="right"/>
              <w:rPr>
                <w:sz w:val="18"/>
                <w:szCs w:val="18"/>
              </w:rPr>
            </w:pPr>
            <w:r w:rsidRPr="00BC4AFE">
              <w:rPr>
                <w:sz w:val="18"/>
                <w:szCs w:val="18"/>
              </w:rPr>
              <w:t>1,024</w:t>
            </w:r>
          </w:p>
        </w:tc>
      </w:tr>
      <w:tr w:rsidR="00FC752D" w:rsidRPr="00BC4AFE" w14:paraId="4A5AA891" w14:textId="77777777" w:rsidTr="00A60395">
        <w:trPr>
          <w:cantSplit/>
          <w:trHeight w:val="245"/>
        </w:trPr>
        <w:tc>
          <w:tcPr>
            <w:tcW w:w="3605" w:type="dxa"/>
            <w:tcBorders>
              <w:right w:val="single" w:sz="4" w:space="0" w:color="auto"/>
            </w:tcBorders>
            <w:shd w:val="clear" w:color="auto" w:fill="auto"/>
            <w:vAlign w:val="center"/>
            <w:hideMark/>
          </w:tcPr>
          <w:p w14:paraId="01D86D96" w14:textId="77777777" w:rsidR="00FC752D" w:rsidRPr="00BC4AFE" w:rsidRDefault="00FC752D" w:rsidP="006211D7">
            <w:pPr>
              <w:widowControl w:val="0"/>
              <w:ind w:left="144" w:hanging="144"/>
              <w:rPr>
                <w:sz w:val="18"/>
                <w:szCs w:val="18"/>
              </w:rPr>
            </w:pPr>
            <w:r w:rsidRPr="00BC4AFE">
              <w:rPr>
                <w:sz w:val="18"/>
                <w:szCs w:val="18"/>
              </w:rPr>
              <w:t>Thailand</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0BBE0" w14:textId="77777777" w:rsidR="00FC752D" w:rsidRPr="00BC4AFE" w:rsidRDefault="00FC752D" w:rsidP="006211D7">
            <w:pPr>
              <w:widowControl w:val="0"/>
              <w:ind w:right="144"/>
              <w:jc w:val="right"/>
              <w:rPr>
                <w:sz w:val="18"/>
                <w:szCs w:val="18"/>
              </w:rPr>
            </w:pPr>
            <w:r w:rsidRPr="00BC4AFE">
              <w:rPr>
                <w:sz w:val="18"/>
                <w:szCs w:val="18"/>
              </w:rPr>
              <w:t>0.368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47CE9" w14:textId="77777777" w:rsidR="00FC752D" w:rsidRPr="00BC4AFE" w:rsidRDefault="00FC752D" w:rsidP="006211D7">
            <w:pPr>
              <w:widowControl w:val="0"/>
              <w:ind w:right="144"/>
              <w:jc w:val="right"/>
              <w:rPr>
                <w:sz w:val="18"/>
                <w:szCs w:val="18"/>
              </w:rPr>
            </w:pPr>
            <w:r w:rsidRPr="00BC4AFE">
              <w:rPr>
                <w:sz w:val="18"/>
                <w:szCs w:val="18"/>
              </w:rPr>
              <w:t>0.460</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8BCC6" w14:textId="77777777" w:rsidR="00FC752D" w:rsidRPr="00BC4AFE" w:rsidRDefault="00FC752D" w:rsidP="006211D7">
            <w:pPr>
              <w:widowControl w:val="0"/>
              <w:ind w:right="144"/>
              <w:jc w:val="right"/>
              <w:rPr>
                <w:sz w:val="18"/>
                <w:szCs w:val="18"/>
              </w:rPr>
            </w:pPr>
            <w:r w:rsidRPr="00BC4AFE">
              <w:rPr>
                <w:sz w:val="18"/>
                <w:szCs w:val="18"/>
              </w:rPr>
              <w:t>59,928</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EF8BC" w14:textId="77777777" w:rsidR="00FC752D" w:rsidRPr="00BC4AFE" w:rsidRDefault="00FC752D" w:rsidP="006211D7">
            <w:pPr>
              <w:widowControl w:val="0"/>
              <w:ind w:right="144"/>
              <w:jc w:val="right"/>
              <w:rPr>
                <w:sz w:val="18"/>
                <w:szCs w:val="18"/>
              </w:rPr>
            </w:pPr>
            <w:r w:rsidRPr="00BC4AFE">
              <w:rPr>
                <w:sz w:val="18"/>
                <w:szCs w:val="18"/>
              </w:rPr>
              <w:t>65,731</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90111" w14:textId="77777777" w:rsidR="00FC752D" w:rsidRPr="00BC4AFE" w:rsidRDefault="00FC752D" w:rsidP="006211D7">
            <w:pPr>
              <w:widowControl w:val="0"/>
              <w:ind w:right="144"/>
              <w:jc w:val="right"/>
              <w:rPr>
                <w:sz w:val="18"/>
                <w:szCs w:val="18"/>
              </w:rPr>
            </w:pPr>
            <w:r w:rsidRPr="00BC4AFE">
              <w:rPr>
                <w:sz w:val="18"/>
                <w:szCs w:val="18"/>
              </w:rPr>
              <w:t>125,659</w:t>
            </w:r>
          </w:p>
        </w:tc>
      </w:tr>
      <w:tr w:rsidR="00FC752D" w:rsidRPr="00BC4AFE" w14:paraId="1AF5D6C0" w14:textId="77777777" w:rsidTr="00A60395">
        <w:trPr>
          <w:cantSplit/>
          <w:trHeight w:val="245"/>
        </w:trPr>
        <w:tc>
          <w:tcPr>
            <w:tcW w:w="3605" w:type="dxa"/>
            <w:tcBorders>
              <w:right w:val="single" w:sz="4" w:space="0" w:color="auto"/>
            </w:tcBorders>
            <w:shd w:val="clear" w:color="auto" w:fill="auto"/>
            <w:vAlign w:val="center"/>
            <w:hideMark/>
          </w:tcPr>
          <w:p w14:paraId="13018FC8" w14:textId="77777777" w:rsidR="00FC752D" w:rsidRPr="00BC4AFE" w:rsidRDefault="00FC752D" w:rsidP="006211D7">
            <w:pPr>
              <w:widowControl w:val="0"/>
              <w:ind w:left="144" w:hanging="144"/>
              <w:rPr>
                <w:sz w:val="18"/>
                <w:szCs w:val="18"/>
              </w:rPr>
            </w:pPr>
            <w:r w:rsidRPr="00BC4AFE">
              <w:rPr>
                <w:sz w:val="18"/>
                <w:szCs w:val="18"/>
              </w:rPr>
              <w:t>Timor-Leste</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F59B9C"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F931B"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9B27B4"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F2DBD"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A5D2F"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1F6E1AF9" w14:textId="77777777" w:rsidTr="00A60395">
        <w:trPr>
          <w:cantSplit/>
          <w:trHeight w:val="245"/>
        </w:trPr>
        <w:tc>
          <w:tcPr>
            <w:tcW w:w="3605" w:type="dxa"/>
            <w:tcBorders>
              <w:right w:val="single" w:sz="4" w:space="0" w:color="auto"/>
            </w:tcBorders>
            <w:shd w:val="clear" w:color="auto" w:fill="auto"/>
            <w:vAlign w:val="center"/>
            <w:hideMark/>
          </w:tcPr>
          <w:p w14:paraId="643C5532" w14:textId="77777777" w:rsidR="00FC752D" w:rsidRPr="00BC4AFE" w:rsidRDefault="00FC752D" w:rsidP="006211D7">
            <w:pPr>
              <w:widowControl w:val="0"/>
              <w:ind w:left="144" w:hanging="144"/>
              <w:rPr>
                <w:sz w:val="18"/>
                <w:szCs w:val="18"/>
              </w:rPr>
            </w:pPr>
            <w:r w:rsidRPr="00BC4AFE">
              <w:rPr>
                <w:sz w:val="18"/>
                <w:szCs w:val="18"/>
              </w:rPr>
              <w:t>Togo</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D4A02" w14:textId="77777777" w:rsidR="00FC752D" w:rsidRPr="00BC4AFE" w:rsidRDefault="00FC752D" w:rsidP="006211D7">
            <w:pPr>
              <w:widowControl w:val="0"/>
              <w:ind w:right="144"/>
              <w:jc w:val="right"/>
              <w:rPr>
                <w:sz w:val="18"/>
                <w:szCs w:val="18"/>
              </w:rPr>
            </w:pPr>
            <w:r w:rsidRPr="00BC4AFE">
              <w:rPr>
                <w:sz w:val="18"/>
                <w:szCs w:val="18"/>
              </w:rPr>
              <w:t>0.002</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D2FAE" w14:textId="77777777" w:rsidR="00FC752D" w:rsidRPr="00BC4AFE" w:rsidRDefault="00FC752D" w:rsidP="006211D7">
            <w:pPr>
              <w:widowControl w:val="0"/>
              <w:ind w:right="144"/>
              <w:jc w:val="right"/>
              <w:rPr>
                <w:sz w:val="18"/>
                <w:szCs w:val="18"/>
              </w:rPr>
            </w:pPr>
            <w:r w:rsidRPr="00BC4AFE">
              <w:rPr>
                <w:sz w:val="18"/>
                <w:szCs w:val="18"/>
              </w:rPr>
              <w:t>0.003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8AF0EA" w14:textId="77777777" w:rsidR="00FC752D" w:rsidRPr="00BC4AFE" w:rsidRDefault="00FC752D" w:rsidP="006211D7">
            <w:pPr>
              <w:widowControl w:val="0"/>
              <w:ind w:right="144"/>
              <w:jc w:val="right"/>
              <w:rPr>
                <w:sz w:val="18"/>
                <w:szCs w:val="18"/>
              </w:rPr>
            </w:pPr>
            <w:r w:rsidRPr="00BC4AFE">
              <w:rPr>
                <w:sz w:val="18"/>
                <w:szCs w:val="18"/>
              </w:rPr>
              <w:t>326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491E84" w14:textId="77777777" w:rsidR="00FC752D" w:rsidRPr="00BC4AFE" w:rsidRDefault="00FC752D" w:rsidP="006211D7">
            <w:pPr>
              <w:widowControl w:val="0"/>
              <w:ind w:right="144"/>
              <w:jc w:val="right"/>
              <w:rPr>
                <w:sz w:val="18"/>
                <w:szCs w:val="18"/>
              </w:rPr>
            </w:pPr>
            <w:r w:rsidRPr="00BC4AFE">
              <w:rPr>
                <w:sz w:val="18"/>
                <w:szCs w:val="18"/>
              </w:rPr>
              <w:t>357</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24A22B" w14:textId="77777777" w:rsidR="00FC752D" w:rsidRPr="00BC4AFE" w:rsidRDefault="00FC752D" w:rsidP="006211D7">
            <w:pPr>
              <w:widowControl w:val="0"/>
              <w:ind w:right="144"/>
              <w:jc w:val="right"/>
              <w:rPr>
                <w:sz w:val="18"/>
                <w:szCs w:val="18"/>
              </w:rPr>
            </w:pPr>
            <w:r w:rsidRPr="00BC4AFE">
              <w:rPr>
                <w:sz w:val="18"/>
                <w:szCs w:val="18"/>
              </w:rPr>
              <w:t>683</w:t>
            </w:r>
          </w:p>
        </w:tc>
      </w:tr>
      <w:tr w:rsidR="00FC752D" w:rsidRPr="00BC4AFE" w14:paraId="7FFBD897" w14:textId="77777777" w:rsidTr="00A60395">
        <w:trPr>
          <w:cantSplit/>
          <w:trHeight w:val="245"/>
        </w:trPr>
        <w:tc>
          <w:tcPr>
            <w:tcW w:w="3605" w:type="dxa"/>
            <w:tcBorders>
              <w:right w:val="single" w:sz="4" w:space="0" w:color="auto"/>
            </w:tcBorders>
            <w:shd w:val="clear" w:color="auto" w:fill="auto"/>
            <w:vAlign w:val="center"/>
            <w:hideMark/>
          </w:tcPr>
          <w:p w14:paraId="5E0D83A5" w14:textId="77777777" w:rsidR="00FC752D" w:rsidRPr="00BC4AFE" w:rsidRDefault="00FC752D" w:rsidP="006211D7">
            <w:pPr>
              <w:widowControl w:val="0"/>
              <w:ind w:left="144" w:hanging="144"/>
              <w:rPr>
                <w:sz w:val="18"/>
                <w:szCs w:val="18"/>
              </w:rPr>
            </w:pPr>
            <w:r w:rsidRPr="00BC4AFE">
              <w:rPr>
                <w:sz w:val="18"/>
                <w:szCs w:val="18"/>
              </w:rPr>
              <w:t>Tonga</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02BD4"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E4A85"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D965F"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1EB459"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F97B4B"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4E08A9CD" w14:textId="77777777" w:rsidTr="00A60395">
        <w:trPr>
          <w:cantSplit/>
          <w:trHeight w:val="245"/>
        </w:trPr>
        <w:tc>
          <w:tcPr>
            <w:tcW w:w="3605" w:type="dxa"/>
            <w:tcBorders>
              <w:right w:val="single" w:sz="4" w:space="0" w:color="auto"/>
            </w:tcBorders>
            <w:shd w:val="clear" w:color="auto" w:fill="auto"/>
            <w:vAlign w:val="center"/>
            <w:hideMark/>
          </w:tcPr>
          <w:p w14:paraId="7BB10BDE" w14:textId="77777777" w:rsidR="00FC752D" w:rsidRPr="00BC4AFE" w:rsidRDefault="00FC752D" w:rsidP="006211D7">
            <w:pPr>
              <w:widowControl w:val="0"/>
              <w:ind w:left="144" w:hanging="144"/>
              <w:rPr>
                <w:sz w:val="18"/>
                <w:szCs w:val="18"/>
              </w:rPr>
            </w:pPr>
            <w:r w:rsidRPr="00BC4AFE">
              <w:rPr>
                <w:sz w:val="18"/>
                <w:szCs w:val="18"/>
              </w:rPr>
              <w:t>Trinidad and Tobago</w:t>
            </w:r>
          </w:p>
        </w:tc>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13CF5" w14:textId="77777777" w:rsidR="00FC752D" w:rsidRPr="00BC4AFE" w:rsidRDefault="00FC752D" w:rsidP="006211D7">
            <w:pPr>
              <w:widowControl w:val="0"/>
              <w:ind w:right="144"/>
              <w:jc w:val="right"/>
              <w:rPr>
                <w:sz w:val="18"/>
                <w:szCs w:val="18"/>
              </w:rPr>
            </w:pPr>
            <w:r w:rsidRPr="00BC4AFE">
              <w:rPr>
                <w:sz w:val="18"/>
                <w:szCs w:val="18"/>
              </w:rPr>
              <w:t>0.037</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C5FD7" w14:textId="77777777" w:rsidR="00FC752D" w:rsidRPr="00BC4AFE" w:rsidRDefault="00FC752D" w:rsidP="006211D7">
            <w:pPr>
              <w:widowControl w:val="0"/>
              <w:ind w:right="144"/>
              <w:jc w:val="right"/>
              <w:rPr>
                <w:sz w:val="18"/>
                <w:szCs w:val="18"/>
              </w:rPr>
            </w:pPr>
            <w:r w:rsidRPr="00BC4AFE">
              <w:rPr>
                <w:sz w:val="18"/>
                <w:szCs w:val="18"/>
              </w:rPr>
              <w:t>0.046</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6596F8" w14:textId="77777777" w:rsidR="00FC752D" w:rsidRPr="00BC4AFE" w:rsidRDefault="00FC752D" w:rsidP="006211D7">
            <w:pPr>
              <w:widowControl w:val="0"/>
              <w:ind w:right="144"/>
              <w:jc w:val="right"/>
              <w:rPr>
                <w:sz w:val="18"/>
                <w:szCs w:val="18"/>
              </w:rPr>
            </w:pPr>
            <w:r w:rsidRPr="00BC4AFE">
              <w:rPr>
                <w:sz w:val="18"/>
                <w:szCs w:val="18"/>
              </w:rPr>
              <w:t>6,025</w:t>
            </w:r>
          </w:p>
        </w:tc>
        <w:tc>
          <w:tcPr>
            <w:tcW w:w="11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5D7618" w14:textId="77777777" w:rsidR="00FC752D" w:rsidRPr="00BC4AFE" w:rsidRDefault="00FC752D" w:rsidP="006211D7">
            <w:pPr>
              <w:widowControl w:val="0"/>
              <w:ind w:right="144"/>
              <w:jc w:val="right"/>
              <w:rPr>
                <w:sz w:val="18"/>
                <w:szCs w:val="18"/>
              </w:rPr>
            </w:pPr>
            <w:r w:rsidRPr="00BC4AFE">
              <w:rPr>
                <w:sz w:val="18"/>
                <w:szCs w:val="18"/>
              </w:rPr>
              <w:t>6,609</w:t>
            </w:r>
          </w:p>
        </w:tc>
        <w:tc>
          <w:tcPr>
            <w:tcW w:w="11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8853EF" w14:textId="77777777" w:rsidR="00FC752D" w:rsidRPr="00BC4AFE" w:rsidRDefault="00FC752D" w:rsidP="006211D7">
            <w:pPr>
              <w:widowControl w:val="0"/>
              <w:ind w:right="144"/>
              <w:jc w:val="right"/>
              <w:rPr>
                <w:sz w:val="18"/>
                <w:szCs w:val="18"/>
              </w:rPr>
            </w:pPr>
            <w:r w:rsidRPr="00BC4AFE">
              <w:rPr>
                <w:sz w:val="18"/>
                <w:szCs w:val="18"/>
              </w:rPr>
              <w:t>12,634</w:t>
            </w:r>
          </w:p>
        </w:tc>
      </w:tr>
      <w:tr w:rsidR="00FC752D" w:rsidRPr="00BC4AFE" w14:paraId="0BC97B44" w14:textId="77777777" w:rsidTr="00A60395">
        <w:trPr>
          <w:cantSplit/>
          <w:trHeight w:val="245"/>
        </w:trPr>
        <w:tc>
          <w:tcPr>
            <w:tcW w:w="3605" w:type="dxa"/>
            <w:shd w:val="clear" w:color="auto" w:fill="auto"/>
            <w:vAlign w:val="center"/>
            <w:hideMark/>
          </w:tcPr>
          <w:p w14:paraId="3D66FD3B" w14:textId="77777777" w:rsidR="00FC752D" w:rsidRPr="00BC4AFE" w:rsidRDefault="00FC752D" w:rsidP="006211D7">
            <w:pPr>
              <w:widowControl w:val="0"/>
              <w:ind w:left="144" w:hanging="144"/>
              <w:rPr>
                <w:sz w:val="18"/>
                <w:szCs w:val="18"/>
              </w:rPr>
            </w:pPr>
            <w:r w:rsidRPr="00BC4AFE">
              <w:rPr>
                <w:sz w:val="18"/>
                <w:szCs w:val="18"/>
              </w:rPr>
              <w:t>Tunisia</w:t>
            </w:r>
          </w:p>
        </w:tc>
        <w:tc>
          <w:tcPr>
            <w:tcW w:w="1182" w:type="dxa"/>
            <w:shd w:val="clear" w:color="auto" w:fill="auto"/>
            <w:vAlign w:val="center"/>
            <w:hideMark/>
          </w:tcPr>
          <w:p w14:paraId="330D9F85" w14:textId="77777777" w:rsidR="00FC752D" w:rsidRPr="00BC4AFE" w:rsidRDefault="00FC752D" w:rsidP="006211D7">
            <w:pPr>
              <w:widowControl w:val="0"/>
              <w:ind w:right="144"/>
              <w:jc w:val="right"/>
              <w:rPr>
                <w:sz w:val="18"/>
                <w:szCs w:val="18"/>
              </w:rPr>
            </w:pPr>
            <w:r w:rsidRPr="00BC4AFE">
              <w:rPr>
                <w:sz w:val="18"/>
                <w:szCs w:val="18"/>
              </w:rPr>
              <w:t>0.019</w:t>
            </w:r>
          </w:p>
        </w:tc>
        <w:tc>
          <w:tcPr>
            <w:tcW w:w="1182" w:type="dxa"/>
            <w:shd w:val="clear" w:color="auto" w:fill="auto"/>
            <w:noWrap/>
            <w:vAlign w:val="center"/>
            <w:hideMark/>
          </w:tcPr>
          <w:p w14:paraId="2CAD780D" w14:textId="77777777" w:rsidR="00FC752D" w:rsidRPr="00BC4AFE" w:rsidRDefault="00FC752D" w:rsidP="006211D7">
            <w:pPr>
              <w:widowControl w:val="0"/>
              <w:ind w:right="144"/>
              <w:jc w:val="right"/>
              <w:rPr>
                <w:sz w:val="18"/>
                <w:szCs w:val="18"/>
              </w:rPr>
            </w:pPr>
            <w:r w:rsidRPr="00BC4AFE">
              <w:rPr>
                <w:sz w:val="18"/>
                <w:szCs w:val="18"/>
              </w:rPr>
              <w:t>0.024</w:t>
            </w:r>
          </w:p>
        </w:tc>
        <w:tc>
          <w:tcPr>
            <w:tcW w:w="1182" w:type="dxa"/>
            <w:shd w:val="clear" w:color="auto" w:fill="auto"/>
            <w:noWrap/>
            <w:vAlign w:val="center"/>
            <w:hideMark/>
          </w:tcPr>
          <w:p w14:paraId="15E3502F" w14:textId="77777777" w:rsidR="00FC752D" w:rsidRPr="00BC4AFE" w:rsidRDefault="00FC752D" w:rsidP="006211D7">
            <w:pPr>
              <w:widowControl w:val="0"/>
              <w:ind w:right="144"/>
              <w:jc w:val="right"/>
              <w:rPr>
                <w:sz w:val="18"/>
                <w:szCs w:val="18"/>
              </w:rPr>
            </w:pPr>
            <w:r w:rsidRPr="00BC4AFE">
              <w:rPr>
                <w:sz w:val="18"/>
                <w:szCs w:val="18"/>
              </w:rPr>
              <w:t>3,094</w:t>
            </w:r>
          </w:p>
        </w:tc>
        <w:tc>
          <w:tcPr>
            <w:tcW w:w="1182" w:type="dxa"/>
            <w:shd w:val="clear" w:color="auto" w:fill="auto"/>
            <w:noWrap/>
            <w:vAlign w:val="center"/>
            <w:hideMark/>
          </w:tcPr>
          <w:p w14:paraId="4C87DD29" w14:textId="77777777" w:rsidR="00FC752D" w:rsidRPr="00BC4AFE" w:rsidRDefault="00FC752D" w:rsidP="006211D7">
            <w:pPr>
              <w:widowControl w:val="0"/>
              <w:ind w:right="144"/>
              <w:jc w:val="right"/>
              <w:rPr>
                <w:sz w:val="18"/>
                <w:szCs w:val="18"/>
              </w:rPr>
            </w:pPr>
            <w:r w:rsidRPr="00BC4AFE">
              <w:rPr>
                <w:sz w:val="18"/>
                <w:szCs w:val="18"/>
              </w:rPr>
              <w:t>3,394</w:t>
            </w:r>
          </w:p>
        </w:tc>
        <w:tc>
          <w:tcPr>
            <w:tcW w:w="1171" w:type="dxa"/>
            <w:shd w:val="clear" w:color="auto" w:fill="auto"/>
            <w:noWrap/>
            <w:vAlign w:val="center"/>
            <w:hideMark/>
          </w:tcPr>
          <w:p w14:paraId="133C4FAE" w14:textId="77777777" w:rsidR="00FC752D" w:rsidRPr="00BC4AFE" w:rsidRDefault="00FC752D" w:rsidP="006211D7">
            <w:pPr>
              <w:widowControl w:val="0"/>
              <w:ind w:right="144"/>
              <w:jc w:val="right"/>
              <w:rPr>
                <w:sz w:val="18"/>
                <w:szCs w:val="18"/>
              </w:rPr>
            </w:pPr>
            <w:r w:rsidRPr="00BC4AFE">
              <w:rPr>
                <w:sz w:val="18"/>
                <w:szCs w:val="18"/>
              </w:rPr>
              <w:t>6,488</w:t>
            </w:r>
          </w:p>
        </w:tc>
      </w:tr>
      <w:tr w:rsidR="00FC752D" w:rsidRPr="00BC4AFE" w14:paraId="2E4DA83B" w14:textId="77777777" w:rsidTr="00A60395">
        <w:trPr>
          <w:cantSplit/>
          <w:trHeight w:val="245"/>
        </w:trPr>
        <w:tc>
          <w:tcPr>
            <w:tcW w:w="3605" w:type="dxa"/>
            <w:shd w:val="clear" w:color="auto" w:fill="auto"/>
            <w:vAlign w:val="center"/>
            <w:hideMark/>
          </w:tcPr>
          <w:p w14:paraId="4B8A83E5" w14:textId="77777777" w:rsidR="00FC752D" w:rsidRPr="00BC4AFE" w:rsidRDefault="00FC752D" w:rsidP="006211D7">
            <w:pPr>
              <w:widowControl w:val="0"/>
              <w:ind w:left="144" w:hanging="144"/>
              <w:rPr>
                <w:sz w:val="18"/>
                <w:szCs w:val="18"/>
              </w:rPr>
            </w:pPr>
            <w:r w:rsidRPr="00BC4AFE">
              <w:rPr>
                <w:sz w:val="18"/>
                <w:szCs w:val="18"/>
              </w:rPr>
              <w:t>Türkiye</w:t>
            </w:r>
          </w:p>
        </w:tc>
        <w:tc>
          <w:tcPr>
            <w:tcW w:w="1182" w:type="dxa"/>
            <w:shd w:val="clear" w:color="auto" w:fill="auto"/>
            <w:vAlign w:val="center"/>
            <w:hideMark/>
          </w:tcPr>
          <w:p w14:paraId="1BF2B7C5" w14:textId="77777777" w:rsidR="00FC752D" w:rsidRPr="00BC4AFE" w:rsidRDefault="00FC752D" w:rsidP="006211D7">
            <w:pPr>
              <w:widowControl w:val="0"/>
              <w:ind w:right="144"/>
              <w:jc w:val="right"/>
              <w:rPr>
                <w:sz w:val="18"/>
                <w:szCs w:val="18"/>
              </w:rPr>
            </w:pPr>
            <w:r w:rsidRPr="00BC4AFE">
              <w:rPr>
                <w:sz w:val="18"/>
                <w:szCs w:val="18"/>
              </w:rPr>
              <w:t>0.845</w:t>
            </w:r>
          </w:p>
        </w:tc>
        <w:tc>
          <w:tcPr>
            <w:tcW w:w="1182" w:type="dxa"/>
            <w:shd w:val="clear" w:color="auto" w:fill="auto"/>
            <w:noWrap/>
            <w:vAlign w:val="center"/>
            <w:hideMark/>
          </w:tcPr>
          <w:p w14:paraId="4980B04C" w14:textId="77777777" w:rsidR="00FC752D" w:rsidRPr="00BC4AFE" w:rsidRDefault="00FC752D" w:rsidP="006211D7">
            <w:pPr>
              <w:widowControl w:val="0"/>
              <w:ind w:right="144"/>
              <w:jc w:val="right"/>
              <w:rPr>
                <w:sz w:val="18"/>
                <w:szCs w:val="18"/>
              </w:rPr>
            </w:pPr>
            <w:r w:rsidRPr="00BC4AFE">
              <w:rPr>
                <w:sz w:val="18"/>
                <w:szCs w:val="18"/>
              </w:rPr>
              <w:t>1.056</w:t>
            </w:r>
          </w:p>
        </w:tc>
        <w:tc>
          <w:tcPr>
            <w:tcW w:w="1182" w:type="dxa"/>
            <w:shd w:val="clear" w:color="auto" w:fill="auto"/>
            <w:noWrap/>
            <w:vAlign w:val="center"/>
            <w:hideMark/>
          </w:tcPr>
          <w:p w14:paraId="68F82222" w14:textId="77777777" w:rsidR="00FC752D" w:rsidRPr="00BC4AFE" w:rsidRDefault="00FC752D" w:rsidP="006211D7">
            <w:pPr>
              <w:widowControl w:val="0"/>
              <w:ind w:right="144"/>
              <w:jc w:val="right"/>
              <w:rPr>
                <w:sz w:val="18"/>
                <w:szCs w:val="18"/>
              </w:rPr>
            </w:pPr>
            <w:r w:rsidRPr="00BC4AFE">
              <w:rPr>
                <w:sz w:val="18"/>
                <w:szCs w:val="18"/>
              </w:rPr>
              <w:t>137,606</w:t>
            </w:r>
          </w:p>
        </w:tc>
        <w:tc>
          <w:tcPr>
            <w:tcW w:w="1182" w:type="dxa"/>
            <w:shd w:val="clear" w:color="auto" w:fill="auto"/>
            <w:noWrap/>
            <w:vAlign w:val="center"/>
            <w:hideMark/>
          </w:tcPr>
          <w:p w14:paraId="124259FB" w14:textId="77777777" w:rsidR="00FC752D" w:rsidRPr="00BC4AFE" w:rsidRDefault="00FC752D" w:rsidP="006211D7">
            <w:pPr>
              <w:widowControl w:val="0"/>
              <w:ind w:right="144"/>
              <w:jc w:val="right"/>
              <w:rPr>
                <w:sz w:val="18"/>
                <w:szCs w:val="18"/>
              </w:rPr>
            </w:pPr>
            <w:r w:rsidRPr="00BC4AFE">
              <w:rPr>
                <w:sz w:val="18"/>
                <w:szCs w:val="18"/>
              </w:rPr>
              <w:t>150,931</w:t>
            </w:r>
          </w:p>
        </w:tc>
        <w:tc>
          <w:tcPr>
            <w:tcW w:w="1171" w:type="dxa"/>
            <w:shd w:val="clear" w:color="auto" w:fill="auto"/>
            <w:noWrap/>
            <w:vAlign w:val="center"/>
            <w:hideMark/>
          </w:tcPr>
          <w:p w14:paraId="1682ADAE" w14:textId="77777777" w:rsidR="00FC752D" w:rsidRPr="00BC4AFE" w:rsidRDefault="00FC752D" w:rsidP="006211D7">
            <w:pPr>
              <w:widowControl w:val="0"/>
              <w:ind w:right="144"/>
              <w:jc w:val="right"/>
              <w:rPr>
                <w:sz w:val="18"/>
                <w:szCs w:val="18"/>
              </w:rPr>
            </w:pPr>
            <w:r w:rsidRPr="00BC4AFE">
              <w:rPr>
                <w:sz w:val="18"/>
                <w:szCs w:val="18"/>
              </w:rPr>
              <w:t>288,537</w:t>
            </w:r>
          </w:p>
        </w:tc>
      </w:tr>
      <w:tr w:rsidR="00FC752D" w:rsidRPr="00BC4AFE" w14:paraId="16316F73" w14:textId="77777777" w:rsidTr="00A60395">
        <w:trPr>
          <w:cantSplit/>
          <w:trHeight w:val="245"/>
        </w:trPr>
        <w:tc>
          <w:tcPr>
            <w:tcW w:w="3605" w:type="dxa"/>
            <w:shd w:val="clear" w:color="auto" w:fill="auto"/>
            <w:vAlign w:val="center"/>
            <w:hideMark/>
          </w:tcPr>
          <w:p w14:paraId="743BA5DD" w14:textId="77777777" w:rsidR="00FC752D" w:rsidRPr="00BC4AFE" w:rsidRDefault="00FC752D" w:rsidP="006211D7">
            <w:pPr>
              <w:widowControl w:val="0"/>
              <w:ind w:left="144" w:hanging="144"/>
              <w:rPr>
                <w:sz w:val="18"/>
                <w:szCs w:val="18"/>
              </w:rPr>
            </w:pPr>
            <w:r w:rsidRPr="00BC4AFE">
              <w:rPr>
                <w:sz w:val="18"/>
                <w:szCs w:val="18"/>
              </w:rPr>
              <w:t>Turkmenistan</w:t>
            </w:r>
          </w:p>
        </w:tc>
        <w:tc>
          <w:tcPr>
            <w:tcW w:w="1182" w:type="dxa"/>
            <w:shd w:val="clear" w:color="auto" w:fill="auto"/>
            <w:vAlign w:val="center"/>
            <w:hideMark/>
          </w:tcPr>
          <w:p w14:paraId="2F570599" w14:textId="77777777" w:rsidR="00FC752D" w:rsidRPr="00BC4AFE" w:rsidRDefault="00FC752D" w:rsidP="006211D7">
            <w:pPr>
              <w:widowControl w:val="0"/>
              <w:ind w:right="144"/>
              <w:jc w:val="right"/>
              <w:rPr>
                <w:sz w:val="18"/>
                <w:szCs w:val="18"/>
              </w:rPr>
            </w:pPr>
            <w:r w:rsidRPr="00BC4AFE">
              <w:rPr>
                <w:sz w:val="18"/>
                <w:szCs w:val="18"/>
              </w:rPr>
              <w:t>0.034</w:t>
            </w:r>
          </w:p>
        </w:tc>
        <w:tc>
          <w:tcPr>
            <w:tcW w:w="1182" w:type="dxa"/>
            <w:shd w:val="clear" w:color="auto" w:fill="auto"/>
            <w:noWrap/>
            <w:vAlign w:val="center"/>
            <w:hideMark/>
          </w:tcPr>
          <w:p w14:paraId="387E913B" w14:textId="77777777" w:rsidR="00FC752D" w:rsidRPr="00BC4AFE" w:rsidRDefault="00FC752D" w:rsidP="006211D7">
            <w:pPr>
              <w:widowControl w:val="0"/>
              <w:ind w:right="144"/>
              <w:jc w:val="right"/>
              <w:rPr>
                <w:sz w:val="18"/>
                <w:szCs w:val="18"/>
              </w:rPr>
            </w:pPr>
            <w:r w:rsidRPr="00BC4AFE">
              <w:rPr>
                <w:sz w:val="18"/>
                <w:szCs w:val="18"/>
              </w:rPr>
              <w:t>0.043</w:t>
            </w:r>
          </w:p>
        </w:tc>
        <w:tc>
          <w:tcPr>
            <w:tcW w:w="1182" w:type="dxa"/>
            <w:shd w:val="clear" w:color="auto" w:fill="auto"/>
            <w:noWrap/>
            <w:vAlign w:val="center"/>
            <w:hideMark/>
          </w:tcPr>
          <w:p w14:paraId="6A964552" w14:textId="77777777" w:rsidR="00FC752D" w:rsidRPr="00BC4AFE" w:rsidRDefault="00FC752D" w:rsidP="006211D7">
            <w:pPr>
              <w:widowControl w:val="0"/>
              <w:ind w:right="144"/>
              <w:jc w:val="right"/>
              <w:rPr>
                <w:sz w:val="18"/>
                <w:szCs w:val="18"/>
              </w:rPr>
            </w:pPr>
            <w:r w:rsidRPr="00BC4AFE">
              <w:rPr>
                <w:sz w:val="18"/>
                <w:szCs w:val="18"/>
              </w:rPr>
              <w:t>5,537</w:t>
            </w:r>
          </w:p>
        </w:tc>
        <w:tc>
          <w:tcPr>
            <w:tcW w:w="1182" w:type="dxa"/>
            <w:shd w:val="clear" w:color="auto" w:fill="auto"/>
            <w:noWrap/>
            <w:vAlign w:val="center"/>
            <w:hideMark/>
          </w:tcPr>
          <w:p w14:paraId="21EE402B" w14:textId="77777777" w:rsidR="00FC752D" w:rsidRPr="00BC4AFE" w:rsidRDefault="00FC752D" w:rsidP="006211D7">
            <w:pPr>
              <w:widowControl w:val="0"/>
              <w:ind w:right="144"/>
              <w:jc w:val="right"/>
              <w:rPr>
                <w:sz w:val="18"/>
                <w:szCs w:val="18"/>
              </w:rPr>
            </w:pPr>
            <w:r w:rsidRPr="00BC4AFE">
              <w:rPr>
                <w:sz w:val="18"/>
                <w:szCs w:val="18"/>
              </w:rPr>
              <w:t>6,073</w:t>
            </w:r>
          </w:p>
        </w:tc>
        <w:tc>
          <w:tcPr>
            <w:tcW w:w="1171" w:type="dxa"/>
            <w:shd w:val="clear" w:color="auto" w:fill="auto"/>
            <w:noWrap/>
            <w:vAlign w:val="center"/>
            <w:hideMark/>
          </w:tcPr>
          <w:p w14:paraId="4C20823E" w14:textId="77777777" w:rsidR="00FC752D" w:rsidRPr="00BC4AFE" w:rsidRDefault="00FC752D" w:rsidP="006211D7">
            <w:pPr>
              <w:widowControl w:val="0"/>
              <w:ind w:right="144"/>
              <w:jc w:val="right"/>
              <w:rPr>
                <w:sz w:val="18"/>
                <w:szCs w:val="18"/>
              </w:rPr>
            </w:pPr>
            <w:r w:rsidRPr="00BC4AFE">
              <w:rPr>
                <w:sz w:val="18"/>
                <w:szCs w:val="18"/>
              </w:rPr>
              <w:t>11,610</w:t>
            </w:r>
          </w:p>
        </w:tc>
      </w:tr>
      <w:tr w:rsidR="00FC752D" w:rsidRPr="00BC4AFE" w14:paraId="46F6EC92" w14:textId="77777777" w:rsidTr="00A60395">
        <w:trPr>
          <w:cantSplit/>
          <w:trHeight w:val="245"/>
        </w:trPr>
        <w:tc>
          <w:tcPr>
            <w:tcW w:w="3605" w:type="dxa"/>
            <w:shd w:val="clear" w:color="auto" w:fill="auto"/>
            <w:vAlign w:val="center"/>
            <w:hideMark/>
          </w:tcPr>
          <w:p w14:paraId="018D49FA" w14:textId="77777777" w:rsidR="00FC752D" w:rsidRPr="00BC4AFE" w:rsidRDefault="00FC752D" w:rsidP="006211D7">
            <w:pPr>
              <w:widowControl w:val="0"/>
              <w:ind w:left="144" w:hanging="144"/>
              <w:rPr>
                <w:sz w:val="18"/>
                <w:szCs w:val="18"/>
              </w:rPr>
            </w:pPr>
            <w:r w:rsidRPr="00BC4AFE">
              <w:rPr>
                <w:sz w:val="18"/>
                <w:szCs w:val="18"/>
              </w:rPr>
              <w:t>Tuvalu</w:t>
            </w:r>
          </w:p>
        </w:tc>
        <w:tc>
          <w:tcPr>
            <w:tcW w:w="1182" w:type="dxa"/>
            <w:shd w:val="clear" w:color="auto" w:fill="auto"/>
            <w:vAlign w:val="center"/>
            <w:hideMark/>
          </w:tcPr>
          <w:p w14:paraId="245B9BF7"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697B29A5"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34F99F42"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675F6FF4"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5356E0B2"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06C89BC3" w14:textId="77777777" w:rsidTr="00A60395">
        <w:trPr>
          <w:cantSplit/>
          <w:trHeight w:val="245"/>
        </w:trPr>
        <w:tc>
          <w:tcPr>
            <w:tcW w:w="3605" w:type="dxa"/>
            <w:shd w:val="clear" w:color="auto" w:fill="auto"/>
            <w:vAlign w:val="center"/>
            <w:hideMark/>
          </w:tcPr>
          <w:p w14:paraId="09DE8A10" w14:textId="77777777" w:rsidR="00FC752D" w:rsidRPr="00BC4AFE" w:rsidRDefault="00FC752D" w:rsidP="006211D7">
            <w:pPr>
              <w:widowControl w:val="0"/>
              <w:ind w:left="144" w:hanging="144"/>
              <w:rPr>
                <w:sz w:val="18"/>
                <w:szCs w:val="18"/>
              </w:rPr>
            </w:pPr>
            <w:r w:rsidRPr="00BC4AFE">
              <w:rPr>
                <w:sz w:val="18"/>
                <w:szCs w:val="18"/>
              </w:rPr>
              <w:t>Uganda</w:t>
            </w:r>
          </w:p>
        </w:tc>
        <w:tc>
          <w:tcPr>
            <w:tcW w:w="1182" w:type="dxa"/>
            <w:shd w:val="clear" w:color="auto" w:fill="auto"/>
            <w:vAlign w:val="center"/>
            <w:hideMark/>
          </w:tcPr>
          <w:p w14:paraId="3963464E"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308CE48C"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282889E8"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363F41DA"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33CE275B"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1D4A7FBC" w14:textId="77777777" w:rsidTr="00A60395">
        <w:trPr>
          <w:cantSplit/>
          <w:trHeight w:val="245"/>
        </w:trPr>
        <w:tc>
          <w:tcPr>
            <w:tcW w:w="3605" w:type="dxa"/>
            <w:shd w:val="clear" w:color="auto" w:fill="auto"/>
            <w:vAlign w:val="center"/>
            <w:hideMark/>
          </w:tcPr>
          <w:p w14:paraId="590C492D" w14:textId="77777777" w:rsidR="00FC752D" w:rsidRPr="00BC4AFE" w:rsidRDefault="00FC752D" w:rsidP="006211D7">
            <w:pPr>
              <w:widowControl w:val="0"/>
              <w:ind w:left="144" w:hanging="144"/>
              <w:rPr>
                <w:sz w:val="18"/>
                <w:szCs w:val="18"/>
              </w:rPr>
            </w:pPr>
            <w:r w:rsidRPr="00BC4AFE">
              <w:rPr>
                <w:sz w:val="18"/>
                <w:szCs w:val="18"/>
              </w:rPr>
              <w:t>Ukraine</w:t>
            </w:r>
          </w:p>
        </w:tc>
        <w:tc>
          <w:tcPr>
            <w:tcW w:w="1182" w:type="dxa"/>
            <w:shd w:val="clear" w:color="auto" w:fill="auto"/>
            <w:vAlign w:val="center"/>
            <w:hideMark/>
          </w:tcPr>
          <w:p w14:paraId="47602C2C" w14:textId="77777777" w:rsidR="00FC752D" w:rsidRPr="00BC4AFE" w:rsidRDefault="00FC752D" w:rsidP="006211D7">
            <w:pPr>
              <w:widowControl w:val="0"/>
              <w:ind w:right="144"/>
              <w:jc w:val="right"/>
              <w:rPr>
                <w:sz w:val="18"/>
                <w:szCs w:val="18"/>
              </w:rPr>
            </w:pPr>
            <w:r w:rsidRPr="00BC4AFE">
              <w:rPr>
                <w:sz w:val="18"/>
                <w:szCs w:val="18"/>
              </w:rPr>
              <w:t>0.056</w:t>
            </w:r>
          </w:p>
        </w:tc>
        <w:tc>
          <w:tcPr>
            <w:tcW w:w="1182" w:type="dxa"/>
            <w:shd w:val="clear" w:color="auto" w:fill="auto"/>
            <w:noWrap/>
            <w:vAlign w:val="center"/>
            <w:hideMark/>
          </w:tcPr>
          <w:p w14:paraId="4F8B723E" w14:textId="77777777" w:rsidR="00FC752D" w:rsidRPr="00BC4AFE" w:rsidRDefault="00FC752D" w:rsidP="006211D7">
            <w:pPr>
              <w:widowControl w:val="0"/>
              <w:ind w:right="144"/>
              <w:jc w:val="right"/>
              <w:rPr>
                <w:sz w:val="18"/>
                <w:szCs w:val="18"/>
              </w:rPr>
            </w:pPr>
            <w:r w:rsidRPr="00BC4AFE">
              <w:rPr>
                <w:sz w:val="18"/>
                <w:szCs w:val="18"/>
              </w:rPr>
              <w:t>0.070</w:t>
            </w:r>
          </w:p>
        </w:tc>
        <w:tc>
          <w:tcPr>
            <w:tcW w:w="1182" w:type="dxa"/>
            <w:shd w:val="clear" w:color="auto" w:fill="auto"/>
            <w:noWrap/>
            <w:vAlign w:val="center"/>
            <w:hideMark/>
          </w:tcPr>
          <w:p w14:paraId="33AAA1B2" w14:textId="77777777" w:rsidR="00FC752D" w:rsidRPr="00BC4AFE" w:rsidRDefault="00FC752D" w:rsidP="006211D7">
            <w:pPr>
              <w:widowControl w:val="0"/>
              <w:ind w:right="144"/>
              <w:jc w:val="right"/>
              <w:rPr>
                <w:sz w:val="18"/>
                <w:szCs w:val="18"/>
              </w:rPr>
            </w:pPr>
            <w:r w:rsidRPr="00BC4AFE">
              <w:rPr>
                <w:sz w:val="18"/>
                <w:szCs w:val="18"/>
              </w:rPr>
              <w:t>9,119</w:t>
            </w:r>
          </w:p>
        </w:tc>
        <w:tc>
          <w:tcPr>
            <w:tcW w:w="1182" w:type="dxa"/>
            <w:shd w:val="clear" w:color="auto" w:fill="auto"/>
            <w:noWrap/>
            <w:vAlign w:val="center"/>
            <w:hideMark/>
          </w:tcPr>
          <w:p w14:paraId="3409F618" w14:textId="77777777" w:rsidR="00FC752D" w:rsidRPr="00BC4AFE" w:rsidRDefault="00FC752D" w:rsidP="006211D7">
            <w:pPr>
              <w:widowControl w:val="0"/>
              <w:ind w:right="144"/>
              <w:jc w:val="right"/>
              <w:rPr>
                <w:sz w:val="18"/>
                <w:szCs w:val="18"/>
              </w:rPr>
            </w:pPr>
            <w:r w:rsidRPr="00BC4AFE">
              <w:rPr>
                <w:sz w:val="18"/>
                <w:szCs w:val="18"/>
              </w:rPr>
              <w:t>10,003</w:t>
            </w:r>
          </w:p>
        </w:tc>
        <w:tc>
          <w:tcPr>
            <w:tcW w:w="1171" w:type="dxa"/>
            <w:shd w:val="clear" w:color="auto" w:fill="auto"/>
            <w:noWrap/>
            <w:vAlign w:val="center"/>
            <w:hideMark/>
          </w:tcPr>
          <w:p w14:paraId="7D32B4AE" w14:textId="77777777" w:rsidR="00FC752D" w:rsidRPr="00BC4AFE" w:rsidRDefault="00FC752D" w:rsidP="006211D7">
            <w:pPr>
              <w:widowControl w:val="0"/>
              <w:ind w:right="144"/>
              <w:jc w:val="right"/>
              <w:rPr>
                <w:sz w:val="18"/>
                <w:szCs w:val="18"/>
              </w:rPr>
            </w:pPr>
            <w:r w:rsidRPr="00BC4AFE">
              <w:rPr>
                <w:sz w:val="18"/>
                <w:szCs w:val="18"/>
              </w:rPr>
              <w:t>19,122</w:t>
            </w:r>
          </w:p>
        </w:tc>
      </w:tr>
      <w:tr w:rsidR="00FC752D" w:rsidRPr="00BC4AFE" w14:paraId="6CDE09BE" w14:textId="77777777" w:rsidTr="00A60395">
        <w:trPr>
          <w:cantSplit/>
          <w:trHeight w:val="245"/>
        </w:trPr>
        <w:tc>
          <w:tcPr>
            <w:tcW w:w="3605" w:type="dxa"/>
            <w:shd w:val="clear" w:color="auto" w:fill="auto"/>
            <w:vAlign w:val="center"/>
            <w:hideMark/>
          </w:tcPr>
          <w:p w14:paraId="4E1300F9" w14:textId="77777777" w:rsidR="00FC752D" w:rsidRPr="00BC4AFE" w:rsidRDefault="00FC752D" w:rsidP="006211D7">
            <w:pPr>
              <w:widowControl w:val="0"/>
              <w:ind w:left="144" w:hanging="144"/>
              <w:rPr>
                <w:sz w:val="18"/>
                <w:szCs w:val="18"/>
              </w:rPr>
            </w:pPr>
            <w:r w:rsidRPr="00BC4AFE">
              <w:rPr>
                <w:sz w:val="18"/>
                <w:szCs w:val="18"/>
              </w:rPr>
              <w:t>United Arab Emirates</w:t>
            </w:r>
          </w:p>
        </w:tc>
        <w:tc>
          <w:tcPr>
            <w:tcW w:w="1182" w:type="dxa"/>
            <w:shd w:val="clear" w:color="auto" w:fill="auto"/>
            <w:vAlign w:val="center"/>
            <w:hideMark/>
          </w:tcPr>
          <w:p w14:paraId="4A193AB4" w14:textId="77777777" w:rsidR="00FC752D" w:rsidRPr="00BC4AFE" w:rsidRDefault="00FC752D" w:rsidP="006211D7">
            <w:pPr>
              <w:widowControl w:val="0"/>
              <w:ind w:right="144"/>
              <w:jc w:val="right"/>
              <w:rPr>
                <w:sz w:val="18"/>
                <w:szCs w:val="18"/>
              </w:rPr>
            </w:pPr>
            <w:r w:rsidRPr="00BC4AFE">
              <w:rPr>
                <w:sz w:val="18"/>
                <w:szCs w:val="18"/>
              </w:rPr>
              <w:t>0.635</w:t>
            </w:r>
          </w:p>
        </w:tc>
        <w:tc>
          <w:tcPr>
            <w:tcW w:w="1182" w:type="dxa"/>
            <w:shd w:val="clear" w:color="auto" w:fill="auto"/>
            <w:noWrap/>
            <w:vAlign w:val="center"/>
            <w:hideMark/>
          </w:tcPr>
          <w:p w14:paraId="44EDFAF5" w14:textId="77777777" w:rsidR="00FC752D" w:rsidRPr="00BC4AFE" w:rsidRDefault="00FC752D" w:rsidP="006211D7">
            <w:pPr>
              <w:widowControl w:val="0"/>
              <w:ind w:right="144"/>
              <w:jc w:val="right"/>
              <w:rPr>
                <w:sz w:val="18"/>
                <w:szCs w:val="18"/>
              </w:rPr>
            </w:pPr>
            <w:r w:rsidRPr="00BC4AFE">
              <w:rPr>
                <w:sz w:val="18"/>
                <w:szCs w:val="18"/>
              </w:rPr>
              <w:t>0.794</w:t>
            </w:r>
          </w:p>
        </w:tc>
        <w:tc>
          <w:tcPr>
            <w:tcW w:w="1182" w:type="dxa"/>
            <w:shd w:val="clear" w:color="auto" w:fill="auto"/>
            <w:noWrap/>
            <w:vAlign w:val="center"/>
            <w:hideMark/>
          </w:tcPr>
          <w:p w14:paraId="78C17499" w14:textId="77777777" w:rsidR="00FC752D" w:rsidRPr="00BC4AFE" w:rsidRDefault="00FC752D" w:rsidP="006211D7">
            <w:pPr>
              <w:widowControl w:val="0"/>
              <w:ind w:right="144"/>
              <w:jc w:val="right"/>
              <w:rPr>
                <w:sz w:val="18"/>
                <w:szCs w:val="18"/>
              </w:rPr>
            </w:pPr>
            <w:r w:rsidRPr="00BC4AFE">
              <w:rPr>
                <w:sz w:val="18"/>
                <w:szCs w:val="18"/>
              </w:rPr>
              <w:t>103,408</w:t>
            </w:r>
          </w:p>
        </w:tc>
        <w:tc>
          <w:tcPr>
            <w:tcW w:w="1182" w:type="dxa"/>
            <w:shd w:val="clear" w:color="auto" w:fill="auto"/>
            <w:noWrap/>
            <w:vAlign w:val="center"/>
            <w:hideMark/>
          </w:tcPr>
          <w:p w14:paraId="30A30B7E" w14:textId="77777777" w:rsidR="00FC752D" w:rsidRPr="00BC4AFE" w:rsidRDefault="00FC752D" w:rsidP="006211D7">
            <w:pPr>
              <w:widowControl w:val="0"/>
              <w:ind w:right="144"/>
              <w:jc w:val="right"/>
              <w:rPr>
                <w:sz w:val="18"/>
                <w:szCs w:val="18"/>
              </w:rPr>
            </w:pPr>
            <w:r w:rsidRPr="00BC4AFE">
              <w:rPr>
                <w:sz w:val="18"/>
                <w:szCs w:val="18"/>
              </w:rPr>
              <w:t>113,422</w:t>
            </w:r>
          </w:p>
        </w:tc>
        <w:tc>
          <w:tcPr>
            <w:tcW w:w="1171" w:type="dxa"/>
            <w:shd w:val="clear" w:color="auto" w:fill="auto"/>
            <w:noWrap/>
            <w:vAlign w:val="center"/>
            <w:hideMark/>
          </w:tcPr>
          <w:p w14:paraId="79FCA8A0" w14:textId="77777777" w:rsidR="00FC752D" w:rsidRPr="00BC4AFE" w:rsidRDefault="00FC752D" w:rsidP="006211D7">
            <w:pPr>
              <w:widowControl w:val="0"/>
              <w:ind w:right="144"/>
              <w:jc w:val="right"/>
              <w:rPr>
                <w:sz w:val="18"/>
                <w:szCs w:val="18"/>
              </w:rPr>
            </w:pPr>
            <w:r w:rsidRPr="00BC4AFE">
              <w:rPr>
                <w:sz w:val="18"/>
                <w:szCs w:val="18"/>
              </w:rPr>
              <w:t>216,829</w:t>
            </w:r>
          </w:p>
        </w:tc>
      </w:tr>
      <w:tr w:rsidR="00FC752D" w:rsidRPr="00BC4AFE" w14:paraId="2E7DECE7" w14:textId="77777777" w:rsidTr="00A60395">
        <w:trPr>
          <w:cantSplit/>
          <w:trHeight w:val="245"/>
        </w:trPr>
        <w:tc>
          <w:tcPr>
            <w:tcW w:w="3605" w:type="dxa"/>
            <w:shd w:val="clear" w:color="auto" w:fill="auto"/>
            <w:vAlign w:val="center"/>
            <w:hideMark/>
          </w:tcPr>
          <w:p w14:paraId="1D28B589" w14:textId="77777777" w:rsidR="00FC752D" w:rsidRPr="00BC4AFE" w:rsidRDefault="00FC752D" w:rsidP="006211D7">
            <w:pPr>
              <w:widowControl w:val="0"/>
              <w:ind w:left="144" w:hanging="144"/>
              <w:rPr>
                <w:sz w:val="18"/>
                <w:szCs w:val="18"/>
              </w:rPr>
            </w:pPr>
            <w:r w:rsidRPr="00BC4AFE">
              <w:rPr>
                <w:sz w:val="18"/>
                <w:szCs w:val="18"/>
              </w:rPr>
              <w:t>United Kingdom of Great Britain and Northern Ireland</w:t>
            </w:r>
          </w:p>
        </w:tc>
        <w:tc>
          <w:tcPr>
            <w:tcW w:w="1182" w:type="dxa"/>
            <w:shd w:val="clear" w:color="auto" w:fill="auto"/>
            <w:vAlign w:val="center"/>
            <w:hideMark/>
          </w:tcPr>
          <w:p w14:paraId="3DC917D2" w14:textId="77777777" w:rsidR="00FC752D" w:rsidRPr="00BC4AFE" w:rsidRDefault="00FC752D" w:rsidP="006211D7">
            <w:pPr>
              <w:widowControl w:val="0"/>
              <w:ind w:right="144"/>
              <w:jc w:val="right"/>
              <w:rPr>
                <w:sz w:val="18"/>
                <w:szCs w:val="18"/>
              </w:rPr>
            </w:pPr>
            <w:r w:rsidRPr="00BC4AFE">
              <w:rPr>
                <w:sz w:val="18"/>
                <w:szCs w:val="18"/>
              </w:rPr>
              <w:t>4.375</w:t>
            </w:r>
          </w:p>
        </w:tc>
        <w:tc>
          <w:tcPr>
            <w:tcW w:w="1182" w:type="dxa"/>
            <w:shd w:val="clear" w:color="auto" w:fill="auto"/>
            <w:noWrap/>
            <w:vAlign w:val="center"/>
            <w:hideMark/>
          </w:tcPr>
          <w:p w14:paraId="66A39EF7" w14:textId="77777777" w:rsidR="00FC752D" w:rsidRPr="00BC4AFE" w:rsidRDefault="00FC752D" w:rsidP="006211D7">
            <w:pPr>
              <w:widowControl w:val="0"/>
              <w:ind w:right="144"/>
              <w:jc w:val="right"/>
              <w:rPr>
                <w:sz w:val="18"/>
                <w:szCs w:val="18"/>
              </w:rPr>
            </w:pPr>
            <w:r w:rsidRPr="00BC4AFE">
              <w:rPr>
                <w:sz w:val="18"/>
                <w:szCs w:val="18"/>
              </w:rPr>
              <w:t>5.469</w:t>
            </w:r>
          </w:p>
        </w:tc>
        <w:tc>
          <w:tcPr>
            <w:tcW w:w="1182" w:type="dxa"/>
            <w:shd w:val="clear" w:color="auto" w:fill="auto"/>
            <w:noWrap/>
            <w:vAlign w:val="center"/>
            <w:hideMark/>
          </w:tcPr>
          <w:p w14:paraId="2E16551B" w14:textId="77777777" w:rsidR="00FC752D" w:rsidRPr="00BC4AFE" w:rsidRDefault="00FC752D" w:rsidP="006211D7">
            <w:pPr>
              <w:widowControl w:val="0"/>
              <w:ind w:right="144"/>
              <w:jc w:val="right"/>
              <w:rPr>
                <w:sz w:val="18"/>
                <w:szCs w:val="18"/>
              </w:rPr>
            </w:pPr>
            <w:r w:rsidRPr="00BC4AFE">
              <w:rPr>
                <w:sz w:val="18"/>
                <w:szCs w:val="18"/>
              </w:rPr>
              <w:t>712,456</w:t>
            </w:r>
          </w:p>
        </w:tc>
        <w:tc>
          <w:tcPr>
            <w:tcW w:w="1182" w:type="dxa"/>
            <w:shd w:val="clear" w:color="auto" w:fill="auto"/>
            <w:noWrap/>
            <w:vAlign w:val="center"/>
            <w:hideMark/>
          </w:tcPr>
          <w:p w14:paraId="29CBAB73" w14:textId="77777777" w:rsidR="00FC752D" w:rsidRPr="00BC4AFE" w:rsidRDefault="00FC752D" w:rsidP="006211D7">
            <w:pPr>
              <w:widowControl w:val="0"/>
              <w:ind w:right="144"/>
              <w:jc w:val="right"/>
              <w:rPr>
                <w:sz w:val="18"/>
                <w:szCs w:val="18"/>
              </w:rPr>
            </w:pPr>
            <w:r w:rsidRPr="00BC4AFE">
              <w:rPr>
                <w:sz w:val="18"/>
                <w:szCs w:val="18"/>
              </w:rPr>
              <w:t>781,448</w:t>
            </w:r>
          </w:p>
        </w:tc>
        <w:tc>
          <w:tcPr>
            <w:tcW w:w="1171" w:type="dxa"/>
            <w:shd w:val="clear" w:color="auto" w:fill="auto"/>
            <w:noWrap/>
            <w:vAlign w:val="center"/>
            <w:hideMark/>
          </w:tcPr>
          <w:p w14:paraId="057D2EED" w14:textId="77777777" w:rsidR="00FC752D" w:rsidRPr="00BC4AFE" w:rsidRDefault="00FC752D" w:rsidP="006211D7">
            <w:pPr>
              <w:widowControl w:val="0"/>
              <w:ind w:right="144"/>
              <w:jc w:val="right"/>
              <w:rPr>
                <w:sz w:val="18"/>
                <w:szCs w:val="18"/>
              </w:rPr>
            </w:pPr>
            <w:r w:rsidRPr="00BC4AFE">
              <w:rPr>
                <w:sz w:val="18"/>
                <w:szCs w:val="18"/>
              </w:rPr>
              <w:t>1,493,904</w:t>
            </w:r>
          </w:p>
        </w:tc>
      </w:tr>
      <w:tr w:rsidR="00FC752D" w:rsidRPr="00BC4AFE" w14:paraId="3787F328" w14:textId="77777777" w:rsidTr="00A60395">
        <w:trPr>
          <w:cantSplit/>
          <w:trHeight w:val="245"/>
        </w:trPr>
        <w:tc>
          <w:tcPr>
            <w:tcW w:w="3605" w:type="dxa"/>
            <w:shd w:val="clear" w:color="auto" w:fill="auto"/>
            <w:vAlign w:val="center"/>
            <w:hideMark/>
          </w:tcPr>
          <w:p w14:paraId="2FF6133D" w14:textId="77777777" w:rsidR="00FC752D" w:rsidRPr="00BC4AFE" w:rsidRDefault="00FC752D" w:rsidP="006211D7">
            <w:pPr>
              <w:widowControl w:val="0"/>
              <w:ind w:left="144" w:hanging="144"/>
              <w:rPr>
                <w:sz w:val="18"/>
                <w:szCs w:val="18"/>
              </w:rPr>
            </w:pPr>
            <w:r w:rsidRPr="00BC4AFE">
              <w:rPr>
                <w:sz w:val="18"/>
                <w:szCs w:val="18"/>
              </w:rPr>
              <w:t>United Republic of Tanzania</w:t>
            </w:r>
          </w:p>
        </w:tc>
        <w:tc>
          <w:tcPr>
            <w:tcW w:w="1182" w:type="dxa"/>
            <w:shd w:val="clear" w:color="auto" w:fill="auto"/>
            <w:vAlign w:val="center"/>
            <w:hideMark/>
          </w:tcPr>
          <w:p w14:paraId="0E4CE347"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36B7E5A6"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47F1D663"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23BA7FF0"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44CAEA36"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6C8B611C" w14:textId="77777777" w:rsidTr="00A60395">
        <w:trPr>
          <w:cantSplit/>
          <w:trHeight w:val="245"/>
        </w:trPr>
        <w:tc>
          <w:tcPr>
            <w:tcW w:w="3605" w:type="dxa"/>
            <w:shd w:val="clear" w:color="auto" w:fill="auto"/>
            <w:vAlign w:val="center"/>
            <w:hideMark/>
          </w:tcPr>
          <w:p w14:paraId="758821B1" w14:textId="77777777" w:rsidR="00FC752D" w:rsidRPr="00BC4AFE" w:rsidRDefault="00FC752D" w:rsidP="006211D7">
            <w:pPr>
              <w:widowControl w:val="0"/>
              <w:ind w:left="144" w:hanging="144"/>
              <w:rPr>
                <w:sz w:val="18"/>
                <w:szCs w:val="18"/>
              </w:rPr>
            </w:pPr>
            <w:r w:rsidRPr="00BC4AFE">
              <w:rPr>
                <w:sz w:val="18"/>
                <w:szCs w:val="18"/>
              </w:rPr>
              <w:t>Uruguay</w:t>
            </w:r>
          </w:p>
        </w:tc>
        <w:tc>
          <w:tcPr>
            <w:tcW w:w="1182" w:type="dxa"/>
            <w:shd w:val="clear" w:color="auto" w:fill="auto"/>
            <w:vAlign w:val="center"/>
            <w:hideMark/>
          </w:tcPr>
          <w:p w14:paraId="02816D2E" w14:textId="77777777" w:rsidR="00FC752D" w:rsidRPr="00BC4AFE" w:rsidRDefault="00FC752D" w:rsidP="006211D7">
            <w:pPr>
              <w:widowControl w:val="0"/>
              <w:ind w:right="144"/>
              <w:jc w:val="right"/>
              <w:rPr>
                <w:sz w:val="18"/>
                <w:szCs w:val="18"/>
              </w:rPr>
            </w:pPr>
            <w:r w:rsidRPr="00BC4AFE">
              <w:rPr>
                <w:sz w:val="18"/>
                <w:szCs w:val="18"/>
              </w:rPr>
              <w:t>0.092</w:t>
            </w:r>
          </w:p>
        </w:tc>
        <w:tc>
          <w:tcPr>
            <w:tcW w:w="1182" w:type="dxa"/>
            <w:shd w:val="clear" w:color="auto" w:fill="auto"/>
            <w:noWrap/>
            <w:vAlign w:val="center"/>
            <w:hideMark/>
          </w:tcPr>
          <w:p w14:paraId="3A462426" w14:textId="77777777" w:rsidR="00FC752D" w:rsidRPr="00BC4AFE" w:rsidRDefault="00FC752D" w:rsidP="006211D7">
            <w:pPr>
              <w:widowControl w:val="0"/>
              <w:ind w:right="144"/>
              <w:jc w:val="right"/>
              <w:rPr>
                <w:sz w:val="18"/>
                <w:szCs w:val="18"/>
              </w:rPr>
            </w:pPr>
            <w:r w:rsidRPr="00BC4AFE">
              <w:rPr>
                <w:sz w:val="18"/>
                <w:szCs w:val="18"/>
              </w:rPr>
              <w:t>0.115</w:t>
            </w:r>
          </w:p>
        </w:tc>
        <w:tc>
          <w:tcPr>
            <w:tcW w:w="1182" w:type="dxa"/>
            <w:shd w:val="clear" w:color="auto" w:fill="auto"/>
            <w:noWrap/>
            <w:vAlign w:val="center"/>
            <w:hideMark/>
          </w:tcPr>
          <w:p w14:paraId="2FE5A69E" w14:textId="77777777" w:rsidR="00FC752D" w:rsidRPr="00BC4AFE" w:rsidRDefault="00FC752D" w:rsidP="006211D7">
            <w:pPr>
              <w:widowControl w:val="0"/>
              <w:ind w:right="144"/>
              <w:jc w:val="right"/>
              <w:rPr>
                <w:sz w:val="18"/>
                <w:szCs w:val="18"/>
              </w:rPr>
            </w:pPr>
            <w:r w:rsidRPr="00BC4AFE">
              <w:rPr>
                <w:sz w:val="18"/>
                <w:szCs w:val="18"/>
              </w:rPr>
              <w:t>14,982</w:t>
            </w:r>
          </w:p>
        </w:tc>
        <w:tc>
          <w:tcPr>
            <w:tcW w:w="1182" w:type="dxa"/>
            <w:shd w:val="clear" w:color="auto" w:fill="auto"/>
            <w:noWrap/>
            <w:vAlign w:val="center"/>
            <w:hideMark/>
          </w:tcPr>
          <w:p w14:paraId="1835B997" w14:textId="77777777" w:rsidR="00FC752D" w:rsidRPr="00BC4AFE" w:rsidRDefault="00FC752D" w:rsidP="006211D7">
            <w:pPr>
              <w:widowControl w:val="0"/>
              <w:ind w:right="144"/>
              <w:jc w:val="right"/>
              <w:rPr>
                <w:sz w:val="18"/>
                <w:szCs w:val="18"/>
              </w:rPr>
            </w:pPr>
            <w:r w:rsidRPr="00BC4AFE">
              <w:rPr>
                <w:sz w:val="18"/>
                <w:szCs w:val="18"/>
              </w:rPr>
              <w:t>16,433</w:t>
            </w:r>
          </w:p>
        </w:tc>
        <w:tc>
          <w:tcPr>
            <w:tcW w:w="1171" w:type="dxa"/>
            <w:shd w:val="clear" w:color="auto" w:fill="auto"/>
            <w:noWrap/>
            <w:vAlign w:val="center"/>
            <w:hideMark/>
          </w:tcPr>
          <w:p w14:paraId="601DA68D" w14:textId="77777777" w:rsidR="00FC752D" w:rsidRPr="00BC4AFE" w:rsidRDefault="00FC752D" w:rsidP="006211D7">
            <w:pPr>
              <w:widowControl w:val="0"/>
              <w:ind w:right="144"/>
              <w:jc w:val="right"/>
              <w:rPr>
                <w:sz w:val="18"/>
                <w:szCs w:val="18"/>
              </w:rPr>
            </w:pPr>
            <w:r w:rsidRPr="00BC4AFE">
              <w:rPr>
                <w:sz w:val="18"/>
                <w:szCs w:val="18"/>
              </w:rPr>
              <w:t>31,415</w:t>
            </w:r>
          </w:p>
        </w:tc>
      </w:tr>
      <w:tr w:rsidR="00FC752D" w:rsidRPr="00BC4AFE" w14:paraId="428FD359" w14:textId="77777777" w:rsidTr="00A60395">
        <w:trPr>
          <w:cantSplit/>
          <w:trHeight w:val="245"/>
        </w:trPr>
        <w:tc>
          <w:tcPr>
            <w:tcW w:w="3605" w:type="dxa"/>
            <w:shd w:val="clear" w:color="auto" w:fill="auto"/>
            <w:vAlign w:val="center"/>
            <w:hideMark/>
          </w:tcPr>
          <w:p w14:paraId="3A1972F9" w14:textId="77777777" w:rsidR="00FC752D" w:rsidRPr="00BC4AFE" w:rsidRDefault="00FC752D" w:rsidP="006211D7">
            <w:pPr>
              <w:widowControl w:val="0"/>
              <w:ind w:left="144" w:hanging="144"/>
              <w:rPr>
                <w:sz w:val="18"/>
                <w:szCs w:val="18"/>
              </w:rPr>
            </w:pPr>
            <w:r w:rsidRPr="00BC4AFE">
              <w:rPr>
                <w:sz w:val="18"/>
                <w:szCs w:val="18"/>
              </w:rPr>
              <w:t>Uzbekistan</w:t>
            </w:r>
          </w:p>
        </w:tc>
        <w:tc>
          <w:tcPr>
            <w:tcW w:w="1182" w:type="dxa"/>
            <w:shd w:val="clear" w:color="auto" w:fill="auto"/>
            <w:vAlign w:val="center"/>
            <w:hideMark/>
          </w:tcPr>
          <w:p w14:paraId="7D5C8169" w14:textId="77777777" w:rsidR="00FC752D" w:rsidRPr="00BC4AFE" w:rsidRDefault="00FC752D" w:rsidP="006211D7">
            <w:pPr>
              <w:widowControl w:val="0"/>
              <w:ind w:right="144"/>
              <w:jc w:val="right"/>
              <w:rPr>
                <w:sz w:val="18"/>
                <w:szCs w:val="18"/>
              </w:rPr>
            </w:pPr>
            <w:r w:rsidRPr="00BC4AFE">
              <w:rPr>
                <w:sz w:val="18"/>
                <w:szCs w:val="18"/>
              </w:rPr>
              <w:t>0.027</w:t>
            </w:r>
          </w:p>
        </w:tc>
        <w:tc>
          <w:tcPr>
            <w:tcW w:w="1182" w:type="dxa"/>
            <w:shd w:val="clear" w:color="auto" w:fill="auto"/>
            <w:noWrap/>
            <w:vAlign w:val="center"/>
            <w:hideMark/>
          </w:tcPr>
          <w:p w14:paraId="60DD99DF" w14:textId="77777777" w:rsidR="00FC752D" w:rsidRPr="00BC4AFE" w:rsidRDefault="00FC752D" w:rsidP="006211D7">
            <w:pPr>
              <w:widowControl w:val="0"/>
              <w:ind w:right="144"/>
              <w:jc w:val="right"/>
              <w:rPr>
                <w:sz w:val="18"/>
                <w:szCs w:val="18"/>
              </w:rPr>
            </w:pPr>
            <w:r w:rsidRPr="00BC4AFE">
              <w:rPr>
                <w:sz w:val="18"/>
                <w:szCs w:val="18"/>
              </w:rPr>
              <w:t>0.034</w:t>
            </w:r>
          </w:p>
        </w:tc>
        <w:tc>
          <w:tcPr>
            <w:tcW w:w="1182" w:type="dxa"/>
            <w:shd w:val="clear" w:color="auto" w:fill="auto"/>
            <w:noWrap/>
            <w:vAlign w:val="center"/>
            <w:hideMark/>
          </w:tcPr>
          <w:p w14:paraId="3064DC40" w14:textId="77777777" w:rsidR="00FC752D" w:rsidRPr="00BC4AFE" w:rsidRDefault="00FC752D" w:rsidP="006211D7">
            <w:pPr>
              <w:widowControl w:val="0"/>
              <w:ind w:right="144"/>
              <w:jc w:val="right"/>
              <w:rPr>
                <w:sz w:val="18"/>
                <w:szCs w:val="18"/>
              </w:rPr>
            </w:pPr>
            <w:r w:rsidRPr="00BC4AFE">
              <w:rPr>
                <w:sz w:val="18"/>
                <w:szCs w:val="18"/>
              </w:rPr>
              <w:t>4,397</w:t>
            </w:r>
          </w:p>
        </w:tc>
        <w:tc>
          <w:tcPr>
            <w:tcW w:w="1182" w:type="dxa"/>
            <w:shd w:val="clear" w:color="auto" w:fill="auto"/>
            <w:noWrap/>
            <w:vAlign w:val="center"/>
            <w:hideMark/>
          </w:tcPr>
          <w:p w14:paraId="28624DBB" w14:textId="77777777" w:rsidR="00FC752D" w:rsidRPr="00BC4AFE" w:rsidRDefault="00FC752D" w:rsidP="006211D7">
            <w:pPr>
              <w:widowControl w:val="0"/>
              <w:ind w:right="144"/>
              <w:jc w:val="right"/>
              <w:rPr>
                <w:sz w:val="18"/>
                <w:szCs w:val="18"/>
              </w:rPr>
            </w:pPr>
            <w:r w:rsidRPr="00BC4AFE">
              <w:rPr>
                <w:sz w:val="18"/>
                <w:szCs w:val="18"/>
              </w:rPr>
              <w:t>4,823</w:t>
            </w:r>
          </w:p>
        </w:tc>
        <w:tc>
          <w:tcPr>
            <w:tcW w:w="1171" w:type="dxa"/>
            <w:shd w:val="clear" w:color="auto" w:fill="auto"/>
            <w:noWrap/>
            <w:vAlign w:val="center"/>
            <w:hideMark/>
          </w:tcPr>
          <w:p w14:paraId="5E4CC78A" w14:textId="77777777" w:rsidR="00FC752D" w:rsidRPr="00BC4AFE" w:rsidRDefault="00FC752D" w:rsidP="006211D7">
            <w:pPr>
              <w:widowControl w:val="0"/>
              <w:ind w:right="144"/>
              <w:jc w:val="right"/>
              <w:rPr>
                <w:sz w:val="18"/>
                <w:szCs w:val="18"/>
              </w:rPr>
            </w:pPr>
            <w:r w:rsidRPr="00BC4AFE">
              <w:rPr>
                <w:sz w:val="18"/>
                <w:szCs w:val="18"/>
              </w:rPr>
              <w:t>9,220</w:t>
            </w:r>
          </w:p>
        </w:tc>
      </w:tr>
      <w:tr w:rsidR="00FC752D" w:rsidRPr="00BC4AFE" w14:paraId="06A5B373" w14:textId="77777777" w:rsidTr="00A60395">
        <w:trPr>
          <w:cantSplit/>
          <w:trHeight w:val="245"/>
        </w:trPr>
        <w:tc>
          <w:tcPr>
            <w:tcW w:w="3605" w:type="dxa"/>
            <w:shd w:val="clear" w:color="auto" w:fill="auto"/>
            <w:vAlign w:val="center"/>
            <w:hideMark/>
          </w:tcPr>
          <w:p w14:paraId="22ABCB7C" w14:textId="77777777" w:rsidR="00FC752D" w:rsidRPr="00BC4AFE" w:rsidRDefault="00FC752D" w:rsidP="006211D7">
            <w:pPr>
              <w:widowControl w:val="0"/>
              <w:ind w:left="144" w:hanging="144"/>
              <w:rPr>
                <w:sz w:val="18"/>
                <w:szCs w:val="18"/>
              </w:rPr>
            </w:pPr>
            <w:r w:rsidRPr="00BC4AFE">
              <w:rPr>
                <w:sz w:val="18"/>
                <w:szCs w:val="18"/>
              </w:rPr>
              <w:t>Vanuatu</w:t>
            </w:r>
          </w:p>
        </w:tc>
        <w:tc>
          <w:tcPr>
            <w:tcW w:w="1182" w:type="dxa"/>
            <w:shd w:val="clear" w:color="auto" w:fill="auto"/>
            <w:vAlign w:val="center"/>
            <w:hideMark/>
          </w:tcPr>
          <w:p w14:paraId="33AA18D5"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1F87737B" w14:textId="77777777" w:rsidR="00FC752D" w:rsidRPr="00BC4AFE" w:rsidRDefault="00FC752D" w:rsidP="006211D7">
            <w:pPr>
              <w:widowControl w:val="0"/>
              <w:ind w:right="144"/>
              <w:jc w:val="right"/>
              <w:rPr>
                <w:sz w:val="18"/>
                <w:szCs w:val="18"/>
              </w:rPr>
            </w:pPr>
            <w:r w:rsidRPr="00BC4AFE">
              <w:rPr>
                <w:sz w:val="18"/>
                <w:szCs w:val="18"/>
              </w:rPr>
              <w:t>0.001</w:t>
            </w:r>
          </w:p>
        </w:tc>
        <w:tc>
          <w:tcPr>
            <w:tcW w:w="1182" w:type="dxa"/>
            <w:shd w:val="clear" w:color="auto" w:fill="auto"/>
            <w:noWrap/>
            <w:vAlign w:val="center"/>
            <w:hideMark/>
          </w:tcPr>
          <w:p w14:paraId="2A65EFD4" w14:textId="77777777" w:rsidR="00FC752D" w:rsidRPr="00BC4AFE" w:rsidRDefault="00FC752D" w:rsidP="006211D7">
            <w:pPr>
              <w:widowControl w:val="0"/>
              <w:ind w:right="144"/>
              <w:jc w:val="right"/>
              <w:rPr>
                <w:sz w:val="18"/>
                <w:szCs w:val="18"/>
              </w:rPr>
            </w:pPr>
            <w:r w:rsidRPr="00BC4AFE">
              <w:rPr>
                <w:sz w:val="18"/>
                <w:szCs w:val="18"/>
              </w:rPr>
              <w:t>163</w:t>
            </w:r>
          </w:p>
        </w:tc>
        <w:tc>
          <w:tcPr>
            <w:tcW w:w="1182" w:type="dxa"/>
            <w:shd w:val="clear" w:color="auto" w:fill="auto"/>
            <w:noWrap/>
            <w:vAlign w:val="center"/>
            <w:hideMark/>
          </w:tcPr>
          <w:p w14:paraId="23AE700F" w14:textId="77777777" w:rsidR="00FC752D" w:rsidRPr="00BC4AFE" w:rsidRDefault="00FC752D" w:rsidP="006211D7">
            <w:pPr>
              <w:widowControl w:val="0"/>
              <w:ind w:right="144"/>
              <w:jc w:val="right"/>
              <w:rPr>
                <w:sz w:val="18"/>
                <w:szCs w:val="18"/>
              </w:rPr>
            </w:pPr>
            <w:r w:rsidRPr="00BC4AFE">
              <w:rPr>
                <w:sz w:val="18"/>
                <w:szCs w:val="18"/>
              </w:rPr>
              <w:t>179</w:t>
            </w:r>
          </w:p>
        </w:tc>
        <w:tc>
          <w:tcPr>
            <w:tcW w:w="1171" w:type="dxa"/>
            <w:shd w:val="clear" w:color="auto" w:fill="auto"/>
            <w:noWrap/>
            <w:vAlign w:val="center"/>
            <w:hideMark/>
          </w:tcPr>
          <w:p w14:paraId="760DB355" w14:textId="77777777" w:rsidR="00FC752D" w:rsidRPr="00BC4AFE" w:rsidRDefault="00FC752D" w:rsidP="006211D7">
            <w:pPr>
              <w:widowControl w:val="0"/>
              <w:ind w:right="144"/>
              <w:jc w:val="right"/>
              <w:rPr>
                <w:sz w:val="18"/>
                <w:szCs w:val="18"/>
              </w:rPr>
            </w:pPr>
            <w:r w:rsidRPr="00BC4AFE">
              <w:rPr>
                <w:sz w:val="18"/>
                <w:szCs w:val="18"/>
              </w:rPr>
              <w:t>341</w:t>
            </w:r>
          </w:p>
        </w:tc>
      </w:tr>
      <w:tr w:rsidR="00FC752D" w:rsidRPr="00BC4AFE" w14:paraId="5808895A" w14:textId="77777777" w:rsidTr="00A60395">
        <w:trPr>
          <w:cantSplit/>
          <w:trHeight w:val="245"/>
        </w:trPr>
        <w:tc>
          <w:tcPr>
            <w:tcW w:w="3605" w:type="dxa"/>
            <w:shd w:val="clear" w:color="auto" w:fill="auto"/>
            <w:vAlign w:val="center"/>
            <w:hideMark/>
          </w:tcPr>
          <w:p w14:paraId="1DE20817" w14:textId="77777777" w:rsidR="00FC752D" w:rsidRPr="00BC4AFE" w:rsidRDefault="00FC752D" w:rsidP="006211D7">
            <w:pPr>
              <w:widowControl w:val="0"/>
              <w:ind w:left="144" w:hanging="144"/>
              <w:rPr>
                <w:sz w:val="18"/>
                <w:szCs w:val="18"/>
              </w:rPr>
            </w:pPr>
            <w:r w:rsidRPr="00BC4AFE">
              <w:rPr>
                <w:sz w:val="18"/>
                <w:szCs w:val="18"/>
              </w:rPr>
              <w:t>Venezuela (Bolivarian Republic of)</w:t>
            </w:r>
          </w:p>
        </w:tc>
        <w:tc>
          <w:tcPr>
            <w:tcW w:w="1182" w:type="dxa"/>
            <w:shd w:val="clear" w:color="auto" w:fill="auto"/>
            <w:vAlign w:val="center"/>
            <w:hideMark/>
          </w:tcPr>
          <w:p w14:paraId="035D0E82" w14:textId="77777777" w:rsidR="00FC752D" w:rsidRPr="00BC4AFE" w:rsidRDefault="00FC752D" w:rsidP="006211D7">
            <w:pPr>
              <w:widowControl w:val="0"/>
              <w:ind w:right="144"/>
              <w:jc w:val="right"/>
              <w:rPr>
                <w:sz w:val="18"/>
                <w:szCs w:val="18"/>
              </w:rPr>
            </w:pPr>
            <w:r w:rsidRPr="00BC4AFE">
              <w:rPr>
                <w:sz w:val="18"/>
                <w:szCs w:val="18"/>
              </w:rPr>
              <w:t>0.175</w:t>
            </w:r>
          </w:p>
        </w:tc>
        <w:tc>
          <w:tcPr>
            <w:tcW w:w="1182" w:type="dxa"/>
            <w:shd w:val="clear" w:color="auto" w:fill="auto"/>
            <w:noWrap/>
            <w:vAlign w:val="center"/>
            <w:hideMark/>
          </w:tcPr>
          <w:p w14:paraId="240254E4" w14:textId="77777777" w:rsidR="00FC752D" w:rsidRPr="00BC4AFE" w:rsidRDefault="00FC752D" w:rsidP="006211D7">
            <w:pPr>
              <w:widowControl w:val="0"/>
              <w:ind w:right="144"/>
              <w:jc w:val="right"/>
              <w:rPr>
                <w:sz w:val="18"/>
                <w:szCs w:val="18"/>
              </w:rPr>
            </w:pPr>
            <w:r w:rsidRPr="00BC4AFE">
              <w:rPr>
                <w:sz w:val="18"/>
                <w:szCs w:val="18"/>
              </w:rPr>
              <w:t>0.219</w:t>
            </w:r>
          </w:p>
        </w:tc>
        <w:tc>
          <w:tcPr>
            <w:tcW w:w="1182" w:type="dxa"/>
            <w:shd w:val="clear" w:color="auto" w:fill="auto"/>
            <w:noWrap/>
            <w:vAlign w:val="center"/>
            <w:hideMark/>
          </w:tcPr>
          <w:p w14:paraId="087F6322" w14:textId="77777777" w:rsidR="00FC752D" w:rsidRPr="00BC4AFE" w:rsidRDefault="00FC752D" w:rsidP="006211D7">
            <w:pPr>
              <w:widowControl w:val="0"/>
              <w:ind w:right="144"/>
              <w:jc w:val="right"/>
              <w:rPr>
                <w:sz w:val="18"/>
                <w:szCs w:val="18"/>
              </w:rPr>
            </w:pPr>
            <w:r w:rsidRPr="00BC4AFE">
              <w:rPr>
                <w:sz w:val="18"/>
                <w:szCs w:val="18"/>
              </w:rPr>
              <w:t>28,498</w:t>
            </w:r>
          </w:p>
        </w:tc>
        <w:tc>
          <w:tcPr>
            <w:tcW w:w="1182" w:type="dxa"/>
            <w:shd w:val="clear" w:color="auto" w:fill="auto"/>
            <w:noWrap/>
            <w:vAlign w:val="center"/>
            <w:hideMark/>
          </w:tcPr>
          <w:p w14:paraId="1A0ABA96" w14:textId="77777777" w:rsidR="00FC752D" w:rsidRPr="00BC4AFE" w:rsidRDefault="00FC752D" w:rsidP="006211D7">
            <w:pPr>
              <w:widowControl w:val="0"/>
              <w:ind w:right="144"/>
              <w:jc w:val="right"/>
              <w:rPr>
                <w:sz w:val="18"/>
                <w:szCs w:val="18"/>
              </w:rPr>
            </w:pPr>
            <w:r w:rsidRPr="00BC4AFE">
              <w:rPr>
                <w:sz w:val="18"/>
                <w:szCs w:val="18"/>
              </w:rPr>
              <w:t>31,258</w:t>
            </w:r>
          </w:p>
        </w:tc>
        <w:tc>
          <w:tcPr>
            <w:tcW w:w="1171" w:type="dxa"/>
            <w:shd w:val="clear" w:color="auto" w:fill="auto"/>
            <w:noWrap/>
            <w:vAlign w:val="center"/>
            <w:hideMark/>
          </w:tcPr>
          <w:p w14:paraId="28A4DEEA" w14:textId="77777777" w:rsidR="00FC752D" w:rsidRPr="00BC4AFE" w:rsidRDefault="00FC752D" w:rsidP="006211D7">
            <w:pPr>
              <w:widowControl w:val="0"/>
              <w:ind w:right="144"/>
              <w:jc w:val="right"/>
              <w:rPr>
                <w:sz w:val="18"/>
                <w:szCs w:val="18"/>
              </w:rPr>
            </w:pPr>
            <w:r w:rsidRPr="00BC4AFE">
              <w:rPr>
                <w:sz w:val="18"/>
                <w:szCs w:val="18"/>
              </w:rPr>
              <w:t>59,756</w:t>
            </w:r>
          </w:p>
        </w:tc>
      </w:tr>
      <w:tr w:rsidR="00FC752D" w:rsidRPr="00BC4AFE" w14:paraId="435E9524" w14:textId="77777777" w:rsidTr="00A60395">
        <w:trPr>
          <w:cantSplit/>
          <w:trHeight w:val="245"/>
        </w:trPr>
        <w:tc>
          <w:tcPr>
            <w:tcW w:w="3605" w:type="dxa"/>
            <w:shd w:val="clear" w:color="auto" w:fill="auto"/>
            <w:vAlign w:val="center"/>
            <w:hideMark/>
          </w:tcPr>
          <w:p w14:paraId="5A8A336F" w14:textId="77777777" w:rsidR="00FC752D" w:rsidRPr="00BC4AFE" w:rsidRDefault="00FC752D" w:rsidP="006211D7">
            <w:pPr>
              <w:widowControl w:val="0"/>
              <w:ind w:left="144" w:hanging="144"/>
              <w:rPr>
                <w:sz w:val="18"/>
                <w:szCs w:val="18"/>
              </w:rPr>
            </w:pPr>
            <w:r w:rsidRPr="00BC4AFE">
              <w:rPr>
                <w:sz w:val="18"/>
                <w:szCs w:val="18"/>
              </w:rPr>
              <w:t>Viet Nam</w:t>
            </w:r>
          </w:p>
        </w:tc>
        <w:tc>
          <w:tcPr>
            <w:tcW w:w="1182" w:type="dxa"/>
            <w:shd w:val="clear" w:color="auto" w:fill="auto"/>
            <w:vAlign w:val="center"/>
            <w:hideMark/>
          </w:tcPr>
          <w:p w14:paraId="02E41F31" w14:textId="77777777" w:rsidR="00FC752D" w:rsidRPr="00BC4AFE" w:rsidRDefault="00FC752D" w:rsidP="006211D7">
            <w:pPr>
              <w:widowControl w:val="0"/>
              <w:ind w:right="144"/>
              <w:jc w:val="right"/>
              <w:rPr>
                <w:sz w:val="18"/>
                <w:szCs w:val="18"/>
              </w:rPr>
            </w:pPr>
            <w:r w:rsidRPr="00BC4AFE">
              <w:rPr>
                <w:sz w:val="18"/>
                <w:szCs w:val="18"/>
              </w:rPr>
              <w:t>0.093</w:t>
            </w:r>
          </w:p>
        </w:tc>
        <w:tc>
          <w:tcPr>
            <w:tcW w:w="1182" w:type="dxa"/>
            <w:shd w:val="clear" w:color="auto" w:fill="auto"/>
            <w:noWrap/>
            <w:vAlign w:val="center"/>
            <w:hideMark/>
          </w:tcPr>
          <w:p w14:paraId="048D4391" w14:textId="77777777" w:rsidR="00FC752D" w:rsidRPr="00BC4AFE" w:rsidRDefault="00FC752D" w:rsidP="006211D7">
            <w:pPr>
              <w:widowControl w:val="0"/>
              <w:ind w:right="144"/>
              <w:jc w:val="right"/>
              <w:rPr>
                <w:sz w:val="18"/>
                <w:szCs w:val="18"/>
              </w:rPr>
            </w:pPr>
            <w:r w:rsidRPr="00BC4AFE">
              <w:rPr>
                <w:sz w:val="18"/>
                <w:szCs w:val="18"/>
              </w:rPr>
              <w:t>0.116</w:t>
            </w:r>
          </w:p>
        </w:tc>
        <w:tc>
          <w:tcPr>
            <w:tcW w:w="1182" w:type="dxa"/>
            <w:shd w:val="clear" w:color="auto" w:fill="auto"/>
            <w:noWrap/>
            <w:vAlign w:val="center"/>
            <w:hideMark/>
          </w:tcPr>
          <w:p w14:paraId="3A65BDF6" w14:textId="77777777" w:rsidR="00FC752D" w:rsidRPr="00BC4AFE" w:rsidRDefault="00FC752D" w:rsidP="006211D7">
            <w:pPr>
              <w:widowControl w:val="0"/>
              <w:ind w:right="144"/>
              <w:jc w:val="right"/>
              <w:rPr>
                <w:sz w:val="18"/>
                <w:szCs w:val="18"/>
              </w:rPr>
            </w:pPr>
            <w:r w:rsidRPr="00BC4AFE">
              <w:rPr>
                <w:sz w:val="18"/>
                <w:szCs w:val="18"/>
              </w:rPr>
              <w:t>15,145</w:t>
            </w:r>
          </w:p>
        </w:tc>
        <w:tc>
          <w:tcPr>
            <w:tcW w:w="1182" w:type="dxa"/>
            <w:shd w:val="clear" w:color="auto" w:fill="auto"/>
            <w:noWrap/>
            <w:vAlign w:val="center"/>
            <w:hideMark/>
          </w:tcPr>
          <w:p w14:paraId="6C355E3F" w14:textId="77777777" w:rsidR="00FC752D" w:rsidRPr="00BC4AFE" w:rsidRDefault="00FC752D" w:rsidP="006211D7">
            <w:pPr>
              <w:widowControl w:val="0"/>
              <w:ind w:right="144"/>
              <w:jc w:val="right"/>
              <w:rPr>
                <w:sz w:val="18"/>
                <w:szCs w:val="18"/>
              </w:rPr>
            </w:pPr>
            <w:r w:rsidRPr="00BC4AFE">
              <w:rPr>
                <w:sz w:val="18"/>
                <w:szCs w:val="18"/>
              </w:rPr>
              <w:t>16,611</w:t>
            </w:r>
          </w:p>
        </w:tc>
        <w:tc>
          <w:tcPr>
            <w:tcW w:w="1171" w:type="dxa"/>
            <w:shd w:val="clear" w:color="auto" w:fill="auto"/>
            <w:noWrap/>
            <w:vAlign w:val="center"/>
            <w:hideMark/>
          </w:tcPr>
          <w:p w14:paraId="566D8A46" w14:textId="77777777" w:rsidR="00FC752D" w:rsidRPr="00BC4AFE" w:rsidRDefault="00FC752D" w:rsidP="006211D7">
            <w:pPr>
              <w:widowControl w:val="0"/>
              <w:ind w:right="144"/>
              <w:jc w:val="right"/>
              <w:rPr>
                <w:sz w:val="18"/>
                <w:szCs w:val="18"/>
              </w:rPr>
            </w:pPr>
            <w:r w:rsidRPr="00BC4AFE">
              <w:rPr>
                <w:sz w:val="18"/>
                <w:szCs w:val="18"/>
              </w:rPr>
              <w:t>31,756</w:t>
            </w:r>
          </w:p>
        </w:tc>
      </w:tr>
      <w:tr w:rsidR="00FC752D" w:rsidRPr="00BC4AFE" w14:paraId="38AA1C5A" w14:textId="77777777" w:rsidTr="00A60395">
        <w:trPr>
          <w:cantSplit/>
          <w:trHeight w:val="245"/>
        </w:trPr>
        <w:tc>
          <w:tcPr>
            <w:tcW w:w="3605" w:type="dxa"/>
            <w:shd w:val="clear" w:color="auto" w:fill="auto"/>
            <w:vAlign w:val="center"/>
            <w:hideMark/>
          </w:tcPr>
          <w:p w14:paraId="1E8C6DA2" w14:textId="77777777" w:rsidR="00FC752D" w:rsidRPr="00BC4AFE" w:rsidRDefault="00FC752D" w:rsidP="006211D7">
            <w:pPr>
              <w:widowControl w:val="0"/>
              <w:ind w:left="144" w:hanging="144"/>
              <w:rPr>
                <w:sz w:val="18"/>
                <w:szCs w:val="18"/>
              </w:rPr>
            </w:pPr>
            <w:r w:rsidRPr="00BC4AFE">
              <w:rPr>
                <w:sz w:val="18"/>
                <w:szCs w:val="18"/>
              </w:rPr>
              <w:t>Yemen</w:t>
            </w:r>
          </w:p>
        </w:tc>
        <w:tc>
          <w:tcPr>
            <w:tcW w:w="1182" w:type="dxa"/>
            <w:shd w:val="clear" w:color="auto" w:fill="auto"/>
            <w:vAlign w:val="center"/>
            <w:hideMark/>
          </w:tcPr>
          <w:p w14:paraId="0C569461" w14:textId="77777777" w:rsidR="00FC752D" w:rsidRPr="00BC4AFE" w:rsidRDefault="00FC752D" w:rsidP="006211D7">
            <w:pPr>
              <w:widowControl w:val="0"/>
              <w:ind w:right="144"/>
              <w:jc w:val="right"/>
              <w:rPr>
                <w:sz w:val="18"/>
                <w:szCs w:val="18"/>
              </w:rPr>
            </w:pPr>
            <w:r w:rsidRPr="00BC4AFE">
              <w:rPr>
                <w:sz w:val="18"/>
                <w:szCs w:val="18"/>
              </w:rPr>
              <w:t>0.008</w:t>
            </w:r>
          </w:p>
        </w:tc>
        <w:tc>
          <w:tcPr>
            <w:tcW w:w="1182" w:type="dxa"/>
            <w:shd w:val="clear" w:color="auto" w:fill="auto"/>
            <w:noWrap/>
            <w:vAlign w:val="center"/>
            <w:hideMark/>
          </w:tcPr>
          <w:p w14:paraId="70870D60"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0819084D"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43601F28"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59980950"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39FFA543" w14:textId="77777777" w:rsidTr="00A60395">
        <w:trPr>
          <w:cantSplit/>
          <w:trHeight w:val="245"/>
        </w:trPr>
        <w:tc>
          <w:tcPr>
            <w:tcW w:w="3605" w:type="dxa"/>
            <w:shd w:val="clear" w:color="auto" w:fill="auto"/>
            <w:vAlign w:val="center"/>
            <w:hideMark/>
          </w:tcPr>
          <w:p w14:paraId="710E7DD0" w14:textId="77777777" w:rsidR="00FC752D" w:rsidRPr="00BC4AFE" w:rsidRDefault="00FC752D" w:rsidP="006211D7">
            <w:pPr>
              <w:widowControl w:val="0"/>
              <w:ind w:left="144" w:hanging="144"/>
              <w:rPr>
                <w:sz w:val="18"/>
                <w:szCs w:val="18"/>
              </w:rPr>
            </w:pPr>
            <w:r w:rsidRPr="00BC4AFE">
              <w:rPr>
                <w:sz w:val="18"/>
                <w:szCs w:val="18"/>
              </w:rPr>
              <w:t>Zambia</w:t>
            </w:r>
          </w:p>
        </w:tc>
        <w:tc>
          <w:tcPr>
            <w:tcW w:w="1182" w:type="dxa"/>
            <w:shd w:val="clear" w:color="auto" w:fill="auto"/>
            <w:vAlign w:val="center"/>
            <w:hideMark/>
          </w:tcPr>
          <w:p w14:paraId="53FD7B97" w14:textId="77777777" w:rsidR="00FC752D" w:rsidRPr="00BC4AFE" w:rsidRDefault="00FC752D" w:rsidP="006211D7">
            <w:pPr>
              <w:widowControl w:val="0"/>
              <w:ind w:right="144"/>
              <w:jc w:val="right"/>
              <w:rPr>
                <w:sz w:val="18"/>
                <w:szCs w:val="18"/>
              </w:rPr>
            </w:pPr>
            <w:r w:rsidRPr="00BC4AFE">
              <w:rPr>
                <w:sz w:val="18"/>
                <w:szCs w:val="18"/>
              </w:rPr>
              <w:t>0.008</w:t>
            </w:r>
          </w:p>
        </w:tc>
        <w:tc>
          <w:tcPr>
            <w:tcW w:w="1182" w:type="dxa"/>
            <w:shd w:val="clear" w:color="auto" w:fill="auto"/>
            <w:noWrap/>
            <w:vAlign w:val="center"/>
            <w:hideMark/>
          </w:tcPr>
          <w:p w14:paraId="3E7B2067" w14:textId="77777777" w:rsidR="00FC752D" w:rsidRPr="00BC4AFE" w:rsidRDefault="00FC752D" w:rsidP="006211D7">
            <w:pPr>
              <w:widowControl w:val="0"/>
              <w:ind w:right="144"/>
              <w:jc w:val="right"/>
              <w:rPr>
                <w:sz w:val="18"/>
                <w:szCs w:val="18"/>
              </w:rPr>
            </w:pPr>
            <w:r w:rsidRPr="00BC4AFE">
              <w:rPr>
                <w:sz w:val="18"/>
                <w:szCs w:val="18"/>
              </w:rPr>
              <w:t>0.010</w:t>
            </w:r>
          </w:p>
        </w:tc>
        <w:tc>
          <w:tcPr>
            <w:tcW w:w="1182" w:type="dxa"/>
            <w:shd w:val="clear" w:color="auto" w:fill="auto"/>
            <w:noWrap/>
            <w:vAlign w:val="center"/>
            <w:hideMark/>
          </w:tcPr>
          <w:p w14:paraId="1496F360" w14:textId="77777777" w:rsidR="00FC752D" w:rsidRPr="00BC4AFE" w:rsidRDefault="00FC752D" w:rsidP="006211D7">
            <w:pPr>
              <w:widowControl w:val="0"/>
              <w:ind w:right="144"/>
              <w:jc w:val="right"/>
              <w:rPr>
                <w:sz w:val="18"/>
                <w:szCs w:val="18"/>
              </w:rPr>
            </w:pPr>
            <w:r w:rsidRPr="00BC4AFE">
              <w:rPr>
                <w:sz w:val="18"/>
                <w:szCs w:val="18"/>
              </w:rPr>
              <w:t>1,303</w:t>
            </w:r>
          </w:p>
        </w:tc>
        <w:tc>
          <w:tcPr>
            <w:tcW w:w="1182" w:type="dxa"/>
            <w:shd w:val="clear" w:color="auto" w:fill="auto"/>
            <w:noWrap/>
            <w:vAlign w:val="center"/>
            <w:hideMark/>
          </w:tcPr>
          <w:p w14:paraId="7E036930" w14:textId="77777777" w:rsidR="00FC752D" w:rsidRPr="00BC4AFE" w:rsidRDefault="00FC752D" w:rsidP="006211D7">
            <w:pPr>
              <w:widowControl w:val="0"/>
              <w:ind w:right="144"/>
              <w:jc w:val="right"/>
              <w:rPr>
                <w:sz w:val="18"/>
                <w:szCs w:val="18"/>
              </w:rPr>
            </w:pPr>
            <w:r w:rsidRPr="00BC4AFE">
              <w:rPr>
                <w:sz w:val="18"/>
                <w:szCs w:val="18"/>
              </w:rPr>
              <w:t>1,429</w:t>
            </w:r>
          </w:p>
        </w:tc>
        <w:tc>
          <w:tcPr>
            <w:tcW w:w="1171" w:type="dxa"/>
            <w:shd w:val="clear" w:color="auto" w:fill="auto"/>
            <w:noWrap/>
            <w:vAlign w:val="center"/>
            <w:hideMark/>
          </w:tcPr>
          <w:p w14:paraId="63E742EF" w14:textId="77777777" w:rsidR="00FC752D" w:rsidRPr="00BC4AFE" w:rsidRDefault="00FC752D" w:rsidP="006211D7">
            <w:pPr>
              <w:widowControl w:val="0"/>
              <w:ind w:right="144"/>
              <w:jc w:val="right"/>
              <w:rPr>
                <w:sz w:val="18"/>
                <w:szCs w:val="18"/>
              </w:rPr>
            </w:pPr>
            <w:r w:rsidRPr="00BC4AFE">
              <w:rPr>
                <w:sz w:val="18"/>
                <w:szCs w:val="18"/>
              </w:rPr>
              <w:t>2,732</w:t>
            </w:r>
          </w:p>
        </w:tc>
      </w:tr>
      <w:tr w:rsidR="00FC752D" w:rsidRPr="00BC4AFE" w14:paraId="557CF6A0" w14:textId="77777777" w:rsidTr="00A60395">
        <w:trPr>
          <w:cantSplit/>
          <w:trHeight w:val="245"/>
        </w:trPr>
        <w:tc>
          <w:tcPr>
            <w:tcW w:w="3605" w:type="dxa"/>
            <w:shd w:val="clear" w:color="auto" w:fill="auto"/>
            <w:vAlign w:val="center"/>
            <w:hideMark/>
          </w:tcPr>
          <w:p w14:paraId="1F73DE66" w14:textId="77777777" w:rsidR="00FC752D" w:rsidRPr="00BC4AFE" w:rsidRDefault="00FC752D" w:rsidP="006211D7">
            <w:pPr>
              <w:widowControl w:val="0"/>
              <w:ind w:left="144" w:hanging="144"/>
              <w:rPr>
                <w:sz w:val="18"/>
                <w:szCs w:val="18"/>
              </w:rPr>
            </w:pPr>
            <w:r w:rsidRPr="00BC4AFE">
              <w:rPr>
                <w:sz w:val="18"/>
                <w:szCs w:val="18"/>
              </w:rPr>
              <w:t>Zimbabwe</w:t>
            </w:r>
          </w:p>
        </w:tc>
        <w:tc>
          <w:tcPr>
            <w:tcW w:w="1182" w:type="dxa"/>
            <w:shd w:val="clear" w:color="auto" w:fill="auto"/>
            <w:vAlign w:val="center"/>
            <w:hideMark/>
          </w:tcPr>
          <w:p w14:paraId="3B27A77A" w14:textId="77777777" w:rsidR="00FC752D" w:rsidRPr="00BC4AFE" w:rsidRDefault="00FC752D" w:rsidP="006211D7">
            <w:pPr>
              <w:widowControl w:val="0"/>
              <w:ind w:right="144"/>
              <w:jc w:val="right"/>
              <w:rPr>
                <w:sz w:val="18"/>
                <w:szCs w:val="18"/>
              </w:rPr>
            </w:pPr>
            <w:r w:rsidRPr="00BC4AFE">
              <w:rPr>
                <w:sz w:val="18"/>
                <w:szCs w:val="18"/>
              </w:rPr>
              <w:t>0.007</w:t>
            </w:r>
          </w:p>
        </w:tc>
        <w:tc>
          <w:tcPr>
            <w:tcW w:w="1182" w:type="dxa"/>
            <w:shd w:val="clear" w:color="auto" w:fill="auto"/>
            <w:noWrap/>
            <w:vAlign w:val="center"/>
            <w:hideMark/>
          </w:tcPr>
          <w:p w14:paraId="7B50C48A" w14:textId="77777777" w:rsidR="00FC752D" w:rsidRPr="00BC4AFE" w:rsidRDefault="00FC752D" w:rsidP="006211D7">
            <w:pPr>
              <w:widowControl w:val="0"/>
              <w:ind w:right="144"/>
              <w:jc w:val="right"/>
              <w:rPr>
                <w:sz w:val="18"/>
                <w:szCs w:val="18"/>
              </w:rPr>
            </w:pPr>
            <w:r w:rsidRPr="00BC4AFE">
              <w:rPr>
                <w:sz w:val="18"/>
                <w:szCs w:val="18"/>
              </w:rPr>
              <w:t>0.009</w:t>
            </w:r>
          </w:p>
        </w:tc>
        <w:tc>
          <w:tcPr>
            <w:tcW w:w="1182" w:type="dxa"/>
            <w:shd w:val="clear" w:color="auto" w:fill="auto"/>
            <w:noWrap/>
            <w:vAlign w:val="center"/>
            <w:hideMark/>
          </w:tcPr>
          <w:p w14:paraId="6490DE70" w14:textId="77777777" w:rsidR="00FC752D" w:rsidRPr="00BC4AFE" w:rsidRDefault="00FC752D" w:rsidP="006211D7">
            <w:pPr>
              <w:widowControl w:val="0"/>
              <w:ind w:right="144"/>
              <w:jc w:val="right"/>
              <w:rPr>
                <w:sz w:val="18"/>
                <w:szCs w:val="18"/>
              </w:rPr>
            </w:pPr>
            <w:r w:rsidRPr="00BC4AFE">
              <w:rPr>
                <w:sz w:val="18"/>
                <w:szCs w:val="18"/>
              </w:rPr>
              <w:t>1,140</w:t>
            </w:r>
          </w:p>
        </w:tc>
        <w:tc>
          <w:tcPr>
            <w:tcW w:w="1182" w:type="dxa"/>
            <w:shd w:val="clear" w:color="auto" w:fill="auto"/>
            <w:noWrap/>
            <w:vAlign w:val="center"/>
            <w:hideMark/>
          </w:tcPr>
          <w:p w14:paraId="24B255B7" w14:textId="77777777" w:rsidR="00FC752D" w:rsidRPr="00BC4AFE" w:rsidRDefault="00FC752D" w:rsidP="006211D7">
            <w:pPr>
              <w:widowControl w:val="0"/>
              <w:ind w:right="144"/>
              <w:jc w:val="right"/>
              <w:rPr>
                <w:sz w:val="18"/>
                <w:szCs w:val="18"/>
              </w:rPr>
            </w:pPr>
            <w:r w:rsidRPr="00BC4AFE">
              <w:rPr>
                <w:sz w:val="18"/>
                <w:szCs w:val="18"/>
              </w:rPr>
              <w:t>1,250</w:t>
            </w:r>
          </w:p>
        </w:tc>
        <w:tc>
          <w:tcPr>
            <w:tcW w:w="1171" w:type="dxa"/>
            <w:shd w:val="clear" w:color="auto" w:fill="auto"/>
            <w:noWrap/>
            <w:vAlign w:val="center"/>
            <w:hideMark/>
          </w:tcPr>
          <w:p w14:paraId="688F1DF4" w14:textId="77777777" w:rsidR="00FC752D" w:rsidRPr="00BC4AFE" w:rsidRDefault="00FC752D" w:rsidP="006211D7">
            <w:pPr>
              <w:widowControl w:val="0"/>
              <w:ind w:right="144"/>
              <w:jc w:val="right"/>
              <w:rPr>
                <w:sz w:val="18"/>
                <w:szCs w:val="18"/>
              </w:rPr>
            </w:pPr>
            <w:r w:rsidRPr="00BC4AFE">
              <w:rPr>
                <w:sz w:val="18"/>
                <w:szCs w:val="18"/>
              </w:rPr>
              <w:t>2,390</w:t>
            </w:r>
          </w:p>
        </w:tc>
      </w:tr>
      <w:tr w:rsidR="00FC752D" w:rsidRPr="00BC4AFE" w14:paraId="2D657A44" w14:textId="77777777" w:rsidTr="00A60395">
        <w:trPr>
          <w:cantSplit/>
          <w:trHeight w:val="288"/>
        </w:trPr>
        <w:tc>
          <w:tcPr>
            <w:tcW w:w="3605" w:type="dxa"/>
            <w:shd w:val="clear" w:color="auto" w:fill="auto"/>
            <w:noWrap/>
            <w:vAlign w:val="center"/>
            <w:hideMark/>
          </w:tcPr>
          <w:p w14:paraId="360E41ED" w14:textId="77777777" w:rsidR="00FC752D" w:rsidRPr="00BC4AFE" w:rsidRDefault="00FC752D" w:rsidP="006211D7">
            <w:pPr>
              <w:widowControl w:val="0"/>
              <w:ind w:left="144" w:hanging="144"/>
              <w:rPr>
                <w:b/>
                <w:bCs/>
                <w:sz w:val="18"/>
                <w:szCs w:val="18"/>
              </w:rPr>
            </w:pPr>
            <w:r w:rsidRPr="00BC4AFE">
              <w:rPr>
                <w:b/>
                <w:bCs/>
                <w:sz w:val="18"/>
                <w:szCs w:val="18"/>
              </w:rPr>
              <w:t xml:space="preserve">Total </w:t>
            </w:r>
          </w:p>
        </w:tc>
        <w:tc>
          <w:tcPr>
            <w:tcW w:w="1182" w:type="dxa"/>
            <w:shd w:val="clear" w:color="auto" w:fill="auto"/>
            <w:noWrap/>
            <w:vAlign w:val="center"/>
            <w:hideMark/>
          </w:tcPr>
          <w:p w14:paraId="5C03E6DB" w14:textId="77777777" w:rsidR="00FC752D" w:rsidRPr="00BC4AFE" w:rsidRDefault="00FC752D" w:rsidP="006211D7">
            <w:pPr>
              <w:widowControl w:val="0"/>
              <w:ind w:right="144"/>
              <w:jc w:val="right"/>
              <w:rPr>
                <w:b/>
                <w:bCs/>
                <w:sz w:val="18"/>
                <w:szCs w:val="18"/>
              </w:rPr>
            </w:pPr>
            <w:r w:rsidRPr="00BC4AFE">
              <w:rPr>
                <w:b/>
                <w:bCs/>
                <w:sz w:val="18"/>
                <w:szCs w:val="18"/>
              </w:rPr>
              <w:t>78.013</w:t>
            </w:r>
          </w:p>
        </w:tc>
        <w:tc>
          <w:tcPr>
            <w:tcW w:w="1182" w:type="dxa"/>
            <w:shd w:val="clear" w:color="auto" w:fill="auto"/>
            <w:noWrap/>
            <w:vAlign w:val="center"/>
            <w:hideMark/>
          </w:tcPr>
          <w:p w14:paraId="1CBC3D85" w14:textId="77777777" w:rsidR="00FC752D" w:rsidRPr="00BC4AFE" w:rsidRDefault="00FC752D" w:rsidP="006211D7">
            <w:pPr>
              <w:widowControl w:val="0"/>
              <w:ind w:right="144"/>
              <w:jc w:val="right"/>
              <w:rPr>
                <w:b/>
                <w:bCs/>
                <w:sz w:val="18"/>
                <w:szCs w:val="18"/>
              </w:rPr>
            </w:pPr>
            <w:r w:rsidRPr="00BC4AFE">
              <w:rPr>
                <w:b/>
                <w:bCs/>
                <w:sz w:val="18"/>
                <w:szCs w:val="18"/>
              </w:rPr>
              <w:t>100</w:t>
            </w:r>
          </w:p>
        </w:tc>
        <w:tc>
          <w:tcPr>
            <w:tcW w:w="1182" w:type="dxa"/>
            <w:shd w:val="clear" w:color="auto" w:fill="auto"/>
            <w:noWrap/>
            <w:vAlign w:val="center"/>
            <w:hideMark/>
          </w:tcPr>
          <w:p w14:paraId="7C90E89C" w14:textId="77777777" w:rsidR="00FC752D" w:rsidRPr="00BC4AFE" w:rsidRDefault="00FC752D" w:rsidP="006211D7">
            <w:pPr>
              <w:widowControl w:val="0"/>
              <w:ind w:right="144"/>
              <w:jc w:val="right"/>
              <w:rPr>
                <w:b/>
                <w:bCs/>
                <w:sz w:val="18"/>
                <w:szCs w:val="18"/>
              </w:rPr>
            </w:pPr>
            <w:r w:rsidRPr="00BC4AFE">
              <w:rPr>
                <w:b/>
                <w:bCs/>
                <w:sz w:val="18"/>
                <w:szCs w:val="18"/>
              </w:rPr>
              <w:t>13,026,935</w:t>
            </w:r>
          </w:p>
        </w:tc>
        <w:tc>
          <w:tcPr>
            <w:tcW w:w="1182" w:type="dxa"/>
            <w:shd w:val="clear" w:color="auto" w:fill="auto"/>
            <w:noWrap/>
            <w:vAlign w:val="center"/>
            <w:hideMark/>
          </w:tcPr>
          <w:p w14:paraId="5E38ABF2" w14:textId="77777777" w:rsidR="00FC752D" w:rsidRPr="00BC4AFE" w:rsidRDefault="00FC752D" w:rsidP="006211D7">
            <w:pPr>
              <w:widowControl w:val="0"/>
              <w:ind w:right="144"/>
              <w:jc w:val="right"/>
              <w:rPr>
                <w:b/>
                <w:bCs/>
                <w:sz w:val="18"/>
                <w:szCs w:val="18"/>
              </w:rPr>
            </w:pPr>
            <w:r w:rsidRPr="00BC4AFE">
              <w:rPr>
                <w:b/>
                <w:bCs/>
                <w:sz w:val="18"/>
                <w:szCs w:val="18"/>
              </w:rPr>
              <w:t>14,288,410</w:t>
            </w:r>
          </w:p>
        </w:tc>
        <w:tc>
          <w:tcPr>
            <w:tcW w:w="1171" w:type="dxa"/>
            <w:shd w:val="clear" w:color="auto" w:fill="auto"/>
            <w:noWrap/>
            <w:vAlign w:val="center"/>
            <w:hideMark/>
          </w:tcPr>
          <w:p w14:paraId="3F2945BF" w14:textId="77777777" w:rsidR="00FC752D" w:rsidRPr="00BC4AFE" w:rsidRDefault="00FC752D" w:rsidP="006211D7">
            <w:pPr>
              <w:widowControl w:val="0"/>
              <w:ind w:right="144"/>
              <w:jc w:val="right"/>
              <w:rPr>
                <w:b/>
                <w:bCs/>
                <w:sz w:val="18"/>
                <w:szCs w:val="18"/>
              </w:rPr>
            </w:pPr>
            <w:r w:rsidRPr="00BC4AFE">
              <w:rPr>
                <w:b/>
                <w:bCs/>
                <w:sz w:val="18"/>
                <w:szCs w:val="18"/>
              </w:rPr>
              <w:t>27,315,345</w:t>
            </w:r>
          </w:p>
        </w:tc>
      </w:tr>
    </w:tbl>
    <w:p w14:paraId="00E2556F" w14:textId="77777777" w:rsidR="00AC55F4" w:rsidRDefault="00AC55F4" w:rsidP="00150221">
      <w:pPr>
        <w:pStyle w:val="decision"/>
        <w:sectPr w:rsidR="00AC55F4" w:rsidSect="00796161">
          <w:footnotePr>
            <w:numRestart w:val="eachSect"/>
          </w:footnotePr>
          <w:pgSz w:w="12240" w:h="15840"/>
          <w:pgMar w:top="567" w:right="1440" w:bottom="1134" w:left="1440" w:header="709" w:footer="709" w:gutter="0"/>
          <w:cols w:space="708"/>
          <w:docGrid w:linePitch="360"/>
        </w:sectPr>
      </w:pPr>
      <w:bookmarkStart w:id="397" w:name="_Toc150438833"/>
      <w:bookmarkStart w:id="398" w:name="_Toc150670540"/>
      <w:bookmarkStart w:id="399" w:name="_Toc150670650"/>
    </w:p>
    <w:p w14:paraId="0742C331" w14:textId="77777777" w:rsidR="004A28CC" w:rsidRDefault="004A28CC" w:rsidP="00150221">
      <w:pPr>
        <w:pStyle w:val="decision"/>
        <w:rPr>
          <w:lang w:val="en-CA"/>
        </w:rPr>
      </w:pPr>
      <w:bookmarkStart w:id="400" w:name="_Toc150761145"/>
      <w:r>
        <w:t>15/35.</w:t>
      </w:r>
      <w:r>
        <w:tab/>
      </w:r>
      <w:r w:rsidRPr="00421A18">
        <w:t>Date and venue of future meetings of the Conference of the Parties</w:t>
      </w:r>
      <w:bookmarkEnd w:id="397"/>
      <w:bookmarkEnd w:id="398"/>
      <w:bookmarkEnd w:id="399"/>
      <w:bookmarkEnd w:id="400"/>
      <w:r w:rsidRPr="00421A18">
        <w:rPr>
          <w:lang w:val="en-CA"/>
        </w:rPr>
        <w:t xml:space="preserve"> </w:t>
      </w:r>
    </w:p>
    <w:p w14:paraId="2746F383" w14:textId="77777777" w:rsidR="004A28CC" w:rsidRPr="00857488" w:rsidRDefault="004A28CC" w:rsidP="00421A18">
      <w:pPr>
        <w:snapToGrid w:val="0"/>
        <w:spacing w:before="120" w:after="120"/>
        <w:ind w:firstLine="720"/>
        <w:rPr>
          <w:i/>
          <w:kern w:val="22"/>
          <w:szCs w:val="18"/>
        </w:rPr>
      </w:pPr>
      <w:r w:rsidRPr="00857488">
        <w:rPr>
          <w:i/>
          <w:kern w:val="22"/>
          <w:szCs w:val="18"/>
        </w:rPr>
        <w:t>The Conference of the Parties,</w:t>
      </w:r>
    </w:p>
    <w:p w14:paraId="67F8B1B8" w14:textId="77777777" w:rsidR="004A28CC" w:rsidRDefault="004A28CC" w:rsidP="004472B4">
      <w:pPr>
        <w:snapToGrid w:val="0"/>
        <w:spacing w:before="120" w:after="120"/>
        <w:ind w:firstLine="567"/>
        <w:rPr>
          <w:kern w:val="22"/>
          <w:szCs w:val="18"/>
        </w:rPr>
      </w:pPr>
      <w:r w:rsidRPr="00857488">
        <w:rPr>
          <w:i/>
          <w:kern w:val="22"/>
          <w:szCs w:val="18"/>
        </w:rPr>
        <w:t>Recalling</w:t>
      </w:r>
      <w:r w:rsidRPr="00857488">
        <w:rPr>
          <w:kern w:val="22"/>
          <w:szCs w:val="18"/>
        </w:rPr>
        <w:t xml:space="preserve"> </w:t>
      </w:r>
      <w:r>
        <w:rPr>
          <w:kern w:val="22"/>
          <w:szCs w:val="18"/>
        </w:rPr>
        <w:t xml:space="preserve">its </w:t>
      </w:r>
      <w:r w:rsidRPr="00857488">
        <w:rPr>
          <w:kern w:val="22"/>
          <w:szCs w:val="18"/>
        </w:rPr>
        <w:t>decision</w:t>
      </w:r>
      <w:r>
        <w:rPr>
          <w:kern w:val="22"/>
          <w:szCs w:val="18"/>
        </w:rPr>
        <w:t xml:space="preserve"> 15/32 of 19 December 2022</w:t>
      </w:r>
      <w:r w:rsidRPr="00857488">
        <w:rPr>
          <w:kern w:val="22"/>
          <w:szCs w:val="18"/>
        </w:rPr>
        <w:t>,</w:t>
      </w:r>
    </w:p>
    <w:p w14:paraId="4AC6C479" w14:textId="77777777" w:rsidR="004A28CC" w:rsidRPr="00857488" w:rsidRDefault="004A28CC" w:rsidP="004472B4">
      <w:pPr>
        <w:snapToGrid w:val="0"/>
        <w:spacing w:before="120" w:after="120"/>
        <w:ind w:firstLine="567"/>
        <w:rPr>
          <w:kern w:val="22"/>
          <w:szCs w:val="18"/>
        </w:rPr>
      </w:pPr>
      <w:r w:rsidRPr="00C5340E">
        <w:rPr>
          <w:i/>
          <w:iCs/>
          <w:kern w:val="22"/>
          <w:szCs w:val="18"/>
        </w:rPr>
        <w:t>Noting</w:t>
      </w:r>
      <w:r>
        <w:rPr>
          <w:kern w:val="22"/>
          <w:szCs w:val="18"/>
        </w:rPr>
        <w:t xml:space="preserve"> the withdrawal by the Government of Türkiye of its offer to host the sixteenth meeting of the Conference of the </w:t>
      </w:r>
      <w:r w:rsidRPr="00077FE3">
        <w:rPr>
          <w:kern w:val="22"/>
          <w:szCs w:val="18"/>
        </w:rPr>
        <w:t xml:space="preserve">Parties </w:t>
      </w:r>
      <w:r>
        <w:rPr>
          <w:kern w:val="22"/>
          <w:szCs w:val="18"/>
        </w:rPr>
        <w:t xml:space="preserve">to the Convention on </w:t>
      </w:r>
      <w:r w:rsidRPr="00B15DFC">
        <w:rPr>
          <w:kern w:val="22"/>
          <w:szCs w:val="18"/>
        </w:rPr>
        <w:t>Biological Diversity,</w:t>
      </w:r>
      <w:r w:rsidRPr="00610646">
        <w:rPr>
          <w:rStyle w:val="FootnoteReference"/>
        </w:rPr>
        <w:footnoteReference w:id="392"/>
      </w:r>
      <w:r w:rsidRPr="00B15DFC">
        <w:rPr>
          <w:kern w:val="22"/>
          <w:szCs w:val="18"/>
        </w:rPr>
        <w:t xml:space="preserve"> </w:t>
      </w:r>
      <w:r w:rsidRPr="00F14EBD">
        <w:rPr>
          <w:kern w:val="22"/>
          <w:szCs w:val="18"/>
        </w:rPr>
        <w:t>owing to</w:t>
      </w:r>
      <w:r>
        <w:rPr>
          <w:kern w:val="22"/>
          <w:szCs w:val="18"/>
        </w:rPr>
        <w:t xml:space="preserve"> the challenges of recovery from the damage caused by the tragic earthquakes suffered by the country in February 2023, </w:t>
      </w:r>
    </w:p>
    <w:p w14:paraId="466C2DA0" w14:textId="654DECC5" w:rsidR="004A28CC" w:rsidRPr="00430CD0" w:rsidRDefault="004A28CC" w:rsidP="004472B4">
      <w:pPr>
        <w:tabs>
          <w:tab w:val="num" w:pos="360"/>
        </w:tabs>
        <w:snapToGrid w:val="0"/>
        <w:spacing w:before="120" w:after="120"/>
        <w:ind w:firstLine="567"/>
        <w:rPr>
          <w:iCs/>
          <w:kern w:val="22"/>
          <w:szCs w:val="18"/>
        </w:rPr>
      </w:pPr>
      <w:r w:rsidRPr="00C62287">
        <w:rPr>
          <w:i/>
          <w:kern w:val="22"/>
          <w:szCs w:val="18"/>
        </w:rPr>
        <w:t>Recall</w:t>
      </w:r>
      <w:r>
        <w:rPr>
          <w:i/>
          <w:kern w:val="22"/>
          <w:szCs w:val="18"/>
        </w:rPr>
        <w:t xml:space="preserve">ing </w:t>
      </w:r>
      <w:r w:rsidRPr="00D06B72">
        <w:rPr>
          <w:iCs/>
          <w:kern w:val="22"/>
          <w:szCs w:val="18"/>
        </w:rPr>
        <w:t xml:space="preserve">notification </w:t>
      </w:r>
      <w:r>
        <w:rPr>
          <w:iCs/>
          <w:kern w:val="22"/>
          <w:szCs w:val="18"/>
        </w:rPr>
        <w:t>No. </w:t>
      </w:r>
      <w:hyperlink r:id="rId68" w:history="1">
        <w:r w:rsidRPr="00F14EBD">
          <w:rPr>
            <w:rStyle w:val="Hyperlink"/>
            <w:iCs/>
            <w:kern w:val="22"/>
            <w:sz w:val="22"/>
            <w:szCs w:val="18"/>
          </w:rPr>
          <w:t>2023-082</w:t>
        </w:r>
      </w:hyperlink>
      <w:r w:rsidRPr="00DD0926">
        <w:rPr>
          <w:rFonts w:ascii="Segoe UI" w:hAnsi="Segoe UI" w:cs="Segoe UI"/>
          <w:color w:val="00483A"/>
          <w:spacing w:val="6"/>
          <w:shd w:val="clear" w:color="auto" w:fill="FFFFFF"/>
        </w:rPr>
        <w:t xml:space="preserve"> </w:t>
      </w:r>
      <w:r>
        <w:rPr>
          <w:iCs/>
          <w:kern w:val="22"/>
          <w:szCs w:val="18"/>
        </w:rPr>
        <w:t xml:space="preserve">of 31 July 2023, in which the Secretariat invited Parties to submit </w:t>
      </w:r>
      <w:r w:rsidRPr="00430CD0">
        <w:rPr>
          <w:iCs/>
          <w:kern w:val="22"/>
          <w:szCs w:val="18"/>
        </w:rPr>
        <w:t xml:space="preserve">as soon as possible their </w:t>
      </w:r>
      <w:r>
        <w:rPr>
          <w:iCs/>
          <w:kern w:val="22"/>
          <w:szCs w:val="18"/>
        </w:rPr>
        <w:t>expression of interest in</w:t>
      </w:r>
      <w:r w:rsidRPr="00430CD0">
        <w:rPr>
          <w:iCs/>
          <w:kern w:val="22"/>
          <w:szCs w:val="18"/>
        </w:rPr>
        <w:t xml:space="preserve"> host</w:t>
      </w:r>
      <w:r>
        <w:rPr>
          <w:iCs/>
          <w:kern w:val="22"/>
          <w:szCs w:val="18"/>
        </w:rPr>
        <w:t>ing</w:t>
      </w:r>
      <w:r>
        <w:rPr>
          <w:i/>
          <w:kern w:val="22"/>
          <w:szCs w:val="18"/>
        </w:rPr>
        <w:t xml:space="preserve"> </w:t>
      </w:r>
      <w:r w:rsidRPr="00857488">
        <w:rPr>
          <w:kern w:val="22"/>
          <w:szCs w:val="18"/>
        </w:rPr>
        <w:t>the sixteenth meeting of the Conference of the Parties</w:t>
      </w:r>
      <w:r>
        <w:rPr>
          <w:kern w:val="22"/>
          <w:szCs w:val="18"/>
        </w:rPr>
        <w:t xml:space="preserve">, </w:t>
      </w:r>
      <w:r w:rsidRPr="00DC5DEF">
        <w:rPr>
          <w:kern w:val="22"/>
          <w:szCs w:val="18"/>
        </w:rPr>
        <w:t xml:space="preserve">the eleventh meeting of the Conference of the Parties serving as the meeting of the Parties to the Cartagena Protocol </w:t>
      </w:r>
      <w:r w:rsidRPr="00BE4655">
        <w:t>on Biosafety</w:t>
      </w:r>
      <w:r w:rsidRPr="00610646">
        <w:rPr>
          <w:rStyle w:val="FootnoteReference"/>
        </w:rPr>
        <w:footnoteReference w:id="393"/>
      </w:r>
      <w:r w:rsidRPr="00BE4655">
        <w:t xml:space="preserve"> </w:t>
      </w:r>
      <w:r w:rsidRPr="00DC5DEF">
        <w:rPr>
          <w:kern w:val="22"/>
          <w:szCs w:val="18"/>
        </w:rPr>
        <w:t xml:space="preserve">and the fifth meeting of the Conference of the Parties </w:t>
      </w:r>
      <w:r>
        <w:rPr>
          <w:kern w:val="22"/>
          <w:szCs w:val="18"/>
        </w:rPr>
        <w:t xml:space="preserve">serving as the meeting of the Parties </w:t>
      </w:r>
      <w:r w:rsidRPr="00DC5DEF">
        <w:rPr>
          <w:kern w:val="22"/>
          <w:szCs w:val="18"/>
        </w:rPr>
        <w:t>to the Nagoya Protocol</w:t>
      </w:r>
      <w:r w:rsidRPr="004F3687">
        <w:t xml:space="preserve"> </w:t>
      </w:r>
      <w:r w:rsidRPr="00BE4655">
        <w:t>on Access to Genetic Resources and the Fair and Equitable Sharing of Benefits Arising from their Utilization</w:t>
      </w:r>
      <w:r>
        <w:rPr>
          <w:kern w:val="22"/>
          <w:szCs w:val="18"/>
        </w:rPr>
        <w:t>,</w:t>
      </w:r>
      <w:r w:rsidRPr="00610646">
        <w:rPr>
          <w:rStyle w:val="FootnoteReference"/>
        </w:rPr>
        <w:footnoteReference w:id="394"/>
      </w:r>
    </w:p>
    <w:p w14:paraId="3F1F1A88" w14:textId="77777777" w:rsidR="004A28CC" w:rsidRDefault="004A28CC" w:rsidP="004472B4">
      <w:pPr>
        <w:tabs>
          <w:tab w:val="num" w:pos="360"/>
          <w:tab w:val="left" w:pos="1134"/>
        </w:tabs>
        <w:snapToGrid w:val="0"/>
        <w:spacing w:before="120" w:after="120"/>
        <w:ind w:firstLine="567"/>
        <w:rPr>
          <w:iCs/>
          <w:kern w:val="22"/>
          <w:szCs w:val="18"/>
        </w:rPr>
      </w:pPr>
      <w:r w:rsidRPr="00857488">
        <w:rPr>
          <w:iCs/>
          <w:kern w:val="22"/>
          <w:szCs w:val="18"/>
        </w:rPr>
        <w:t>1.</w:t>
      </w:r>
      <w:r>
        <w:rPr>
          <w:i/>
          <w:kern w:val="22"/>
          <w:szCs w:val="18"/>
        </w:rPr>
        <w:tab/>
        <w:t xml:space="preserve">Expresses </w:t>
      </w:r>
      <w:r w:rsidRPr="009D0C10">
        <w:rPr>
          <w:iCs/>
          <w:kern w:val="22"/>
          <w:szCs w:val="18"/>
        </w:rPr>
        <w:t xml:space="preserve">its </w:t>
      </w:r>
      <w:r>
        <w:rPr>
          <w:iCs/>
          <w:kern w:val="22"/>
          <w:szCs w:val="18"/>
        </w:rPr>
        <w:t>sympathy and solidarity to the people and Government of Türkiye for the losses that they have suffered in the aftermath of the earthquakes;</w:t>
      </w:r>
    </w:p>
    <w:p w14:paraId="2749B138" w14:textId="77777777" w:rsidR="004A28CC" w:rsidRPr="00F14EBD" w:rsidRDefault="004A28CC" w:rsidP="004472B4">
      <w:pPr>
        <w:tabs>
          <w:tab w:val="left" w:pos="1134"/>
        </w:tabs>
        <w:spacing w:before="120" w:after="120"/>
        <w:ind w:firstLine="567"/>
        <w:rPr>
          <w:iCs/>
          <w:kern w:val="22"/>
          <w:szCs w:val="18"/>
        </w:rPr>
      </w:pPr>
      <w:r>
        <w:rPr>
          <w:iCs/>
          <w:kern w:val="22"/>
          <w:szCs w:val="18"/>
        </w:rPr>
        <w:t>2</w:t>
      </w:r>
      <w:r w:rsidRPr="00B4009F">
        <w:rPr>
          <w:iCs/>
          <w:kern w:val="22"/>
          <w:szCs w:val="18"/>
        </w:rPr>
        <w:t>.</w:t>
      </w:r>
      <w:r w:rsidRPr="00B4009F">
        <w:rPr>
          <w:i/>
          <w:kern w:val="22"/>
          <w:szCs w:val="18"/>
        </w:rPr>
        <w:tab/>
      </w:r>
      <w:r>
        <w:rPr>
          <w:i/>
          <w:kern w:val="22"/>
          <w:szCs w:val="18"/>
        </w:rPr>
        <w:t xml:space="preserve">Requests </w:t>
      </w:r>
      <w:r>
        <w:rPr>
          <w:iCs/>
          <w:kern w:val="22"/>
          <w:szCs w:val="18"/>
        </w:rPr>
        <w:t xml:space="preserve">that </w:t>
      </w:r>
      <w:r w:rsidRPr="00430CD0">
        <w:rPr>
          <w:iCs/>
          <w:kern w:val="22"/>
          <w:szCs w:val="18"/>
        </w:rPr>
        <w:t>the Executive Secretary</w:t>
      </w:r>
      <w:r>
        <w:rPr>
          <w:iCs/>
          <w:kern w:val="22"/>
          <w:szCs w:val="18"/>
        </w:rPr>
        <w:t xml:space="preserve"> expedite consultations with Parties on the date and venue of the sixteenth meeting of the Conference of the Parties, </w:t>
      </w:r>
      <w:r w:rsidRPr="00DC5DEF">
        <w:rPr>
          <w:kern w:val="22"/>
          <w:szCs w:val="18"/>
        </w:rPr>
        <w:t xml:space="preserve">the eleventh meeting of the Conference of the Parties serving as the meeting of the Parties to the Cartagena Protocol and the fifth meeting of the Conference of the Parties </w:t>
      </w:r>
      <w:r>
        <w:rPr>
          <w:kern w:val="22"/>
          <w:szCs w:val="18"/>
        </w:rPr>
        <w:t xml:space="preserve">serving as the meeting of the Parties </w:t>
      </w:r>
      <w:r w:rsidRPr="00DC5DEF">
        <w:rPr>
          <w:kern w:val="22"/>
          <w:szCs w:val="18"/>
        </w:rPr>
        <w:t>to the Nagoya Protocol</w:t>
      </w:r>
      <w:r>
        <w:rPr>
          <w:iCs/>
          <w:kern w:val="22"/>
          <w:szCs w:val="18"/>
        </w:rPr>
        <w:t xml:space="preserve"> and, in the absence of any viable offer from a Party by the end of December 2023, explore, in consultation with the Bureau, arrangements to hold the meetings at the seat of the Secretariat.</w:t>
      </w:r>
    </w:p>
    <w:p w14:paraId="41005A2B" w14:textId="5E7D9ED9" w:rsidR="00CF6C56" w:rsidRPr="00DA3884" w:rsidRDefault="00CF6C56" w:rsidP="00504D94">
      <w:pPr>
        <w:suppressLineNumbers/>
        <w:suppressAutoHyphens/>
        <w:spacing w:before="120" w:after="120"/>
        <w:ind w:right="144"/>
        <w:rPr>
          <w:kern w:val="22"/>
          <w:szCs w:val="22"/>
        </w:rPr>
      </w:pPr>
    </w:p>
    <w:p w14:paraId="501D0FF7" w14:textId="77777777" w:rsidR="00441700" w:rsidRPr="00230BC2" w:rsidRDefault="00441700" w:rsidP="00441700"/>
    <w:p w14:paraId="143668A9" w14:textId="77777777" w:rsidR="00441700" w:rsidRPr="00230BC2" w:rsidRDefault="00441700" w:rsidP="00441700"/>
    <w:p w14:paraId="7639B1B4" w14:textId="77777777" w:rsidR="009734FB" w:rsidRDefault="009734FB" w:rsidP="00E351DE">
      <w:pPr>
        <w:pStyle w:val="Heading1"/>
        <w:tabs>
          <w:tab w:val="clear" w:pos="720"/>
          <w:tab w:val="left" w:pos="567"/>
        </w:tabs>
        <w:rPr>
          <w:rFonts w:asciiTheme="majorBidi" w:hAnsiTheme="majorBidi" w:cstheme="majorBidi"/>
          <w:caps w:val="0"/>
          <w:snapToGrid w:val="0"/>
          <w:sz w:val="28"/>
          <w:szCs w:val="28"/>
        </w:rPr>
        <w:sectPr w:rsidR="009734FB" w:rsidSect="00AC55F4">
          <w:footnotePr>
            <w:numRestart w:val="eachSect"/>
          </w:footnotePr>
          <w:pgSz w:w="12240" w:h="15840"/>
          <w:pgMar w:top="567" w:right="1440" w:bottom="1134" w:left="1440" w:header="709" w:footer="709" w:gutter="0"/>
          <w:cols w:space="708"/>
          <w:docGrid w:linePitch="360"/>
        </w:sectPr>
      </w:pPr>
      <w:bookmarkStart w:id="401" w:name="_Toc150438834"/>
    </w:p>
    <w:p w14:paraId="497E433D" w14:textId="6F17C86D" w:rsidR="00441700" w:rsidRPr="00230BC2" w:rsidRDefault="00E351DE" w:rsidP="00E351DE">
      <w:pPr>
        <w:pStyle w:val="Heading1"/>
        <w:tabs>
          <w:tab w:val="clear" w:pos="720"/>
          <w:tab w:val="left" w:pos="567"/>
        </w:tabs>
        <w:rPr>
          <w:rFonts w:asciiTheme="majorBidi" w:hAnsiTheme="majorBidi" w:cstheme="majorBidi"/>
          <w:caps w:val="0"/>
          <w:snapToGrid w:val="0"/>
          <w:sz w:val="40"/>
          <w:szCs w:val="40"/>
        </w:rPr>
      </w:pPr>
      <w:bookmarkStart w:id="402" w:name="_Toc150670541"/>
      <w:bookmarkStart w:id="403" w:name="_Toc150670651"/>
      <w:bookmarkStart w:id="404" w:name="_Toc150761146"/>
      <w:r w:rsidRPr="00230BC2">
        <w:rPr>
          <w:rFonts w:asciiTheme="majorBidi" w:hAnsiTheme="majorBidi" w:cstheme="majorBidi"/>
          <w:caps w:val="0"/>
          <w:snapToGrid w:val="0"/>
          <w:sz w:val="28"/>
          <w:szCs w:val="28"/>
        </w:rPr>
        <w:t>II.</w:t>
      </w:r>
      <w:r w:rsidRPr="00230BC2">
        <w:rPr>
          <w:rFonts w:asciiTheme="majorBidi" w:hAnsiTheme="majorBidi" w:cstheme="majorBidi"/>
          <w:caps w:val="0"/>
          <w:snapToGrid w:val="0"/>
          <w:sz w:val="28"/>
          <w:szCs w:val="28"/>
        </w:rPr>
        <w:tab/>
        <w:t>ACCOUNT OF PROCEEDINGS</w:t>
      </w:r>
      <w:bookmarkEnd w:id="401"/>
      <w:bookmarkEnd w:id="402"/>
      <w:bookmarkEnd w:id="403"/>
      <w:bookmarkEnd w:id="404"/>
    </w:p>
    <w:p w14:paraId="1A9BE3D9" w14:textId="052C3B5A" w:rsidR="00D77560" w:rsidRPr="00950BE4" w:rsidRDefault="00360376"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950BE4">
        <w:rPr>
          <w:b/>
          <w:bCs/>
          <w:snapToGrid w:val="0"/>
          <w:kern w:val="22"/>
          <w:szCs w:val="22"/>
        </w:rPr>
        <w:t>Introduction</w:t>
      </w:r>
    </w:p>
    <w:p w14:paraId="247DA404" w14:textId="7F2E9C61" w:rsidR="00AA3C0A" w:rsidRPr="00950BE4" w:rsidRDefault="00AA3C0A" w:rsidP="00427C19">
      <w:pPr>
        <w:keepNext/>
        <w:suppressLineNumbers/>
        <w:tabs>
          <w:tab w:val="left" w:pos="567"/>
        </w:tabs>
        <w:suppressAutoHyphens/>
        <w:kinsoku w:val="0"/>
        <w:overflowPunct w:val="0"/>
        <w:autoSpaceDE w:val="0"/>
        <w:autoSpaceDN w:val="0"/>
        <w:adjustRightInd w:val="0"/>
        <w:snapToGrid w:val="0"/>
        <w:spacing w:before="240" w:after="120"/>
        <w:jc w:val="center"/>
        <w:rPr>
          <w:b/>
          <w:bCs/>
          <w:snapToGrid w:val="0"/>
          <w:kern w:val="22"/>
          <w:szCs w:val="22"/>
        </w:rPr>
      </w:pPr>
      <w:bookmarkStart w:id="405" w:name="_Hlk121913417"/>
      <w:r w:rsidRPr="00950BE4">
        <w:rPr>
          <w:b/>
          <w:bCs/>
          <w:snapToGrid w:val="0"/>
          <w:kern w:val="22"/>
          <w:szCs w:val="22"/>
        </w:rPr>
        <w:t>A.</w:t>
      </w:r>
      <w:r w:rsidRPr="00950BE4">
        <w:rPr>
          <w:b/>
          <w:bCs/>
          <w:snapToGrid w:val="0"/>
          <w:kern w:val="22"/>
          <w:szCs w:val="22"/>
        </w:rPr>
        <w:tab/>
        <w:t>Background</w:t>
      </w:r>
    </w:p>
    <w:bookmarkEnd w:id="405"/>
    <w:p w14:paraId="2B9FF8D3" w14:textId="67C62648" w:rsidR="00725EA1" w:rsidRPr="00230BC2" w:rsidRDefault="00A528BE" w:rsidP="00950BE4">
      <w:pPr>
        <w:pStyle w:val="Para1"/>
        <w:numPr>
          <w:ilvl w:val="0"/>
          <w:numId w:val="84"/>
        </w:numPr>
      </w:pPr>
      <w:r w:rsidRPr="00230BC2">
        <w:t>T</w:t>
      </w:r>
      <w:r w:rsidR="00725EA1" w:rsidRPr="00230BC2">
        <w:t xml:space="preserve">he Conference of the Parties </w:t>
      </w:r>
      <w:r w:rsidR="000377DB" w:rsidRPr="00230BC2">
        <w:t xml:space="preserve">to the Convention on Biological Diversity </w:t>
      </w:r>
      <w:r w:rsidR="00725EA1" w:rsidRPr="00230BC2">
        <w:t xml:space="preserve">held its fifteenth meeting </w:t>
      </w:r>
      <w:r w:rsidRPr="00230BC2">
        <w:t xml:space="preserve">in </w:t>
      </w:r>
      <w:r w:rsidR="00725EA1" w:rsidRPr="00230BC2">
        <w:t xml:space="preserve">conjunction with the tenth meeting of the Conference of the Parties serving as the meeting of the Parties to the Cartagena Protocol on Biosafety and the </w:t>
      </w:r>
      <w:bookmarkStart w:id="406" w:name="_Hlk121417724"/>
      <w:r w:rsidR="00725EA1" w:rsidRPr="00230BC2">
        <w:t>fourth meeting of the Conference of the Parties serving as the meeting of the Parties to the Nagoya Protocol on Access to Genetic Resources and the Fair and Equitable Sharing of Benefits Arising from their Utilization</w:t>
      </w:r>
      <w:r w:rsidR="003F0441" w:rsidRPr="00230BC2">
        <w:t>.</w:t>
      </w:r>
      <w:bookmarkEnd w:id="406"/>
      <w:r w:rsidR="00725EA1" w:rsidRPr="00230BC2">
        <w:t xml:space="preserve"> </w:t>
      </w:r>
    </w:p>
    <w:p w14:paraId="3A0C5C18" w14:textId="57CA750E" w:rsidR="007234A6" w:rsidRPr="00230BC2" w:rsidRDefault="00A528BE" w:rsidP="003466FC">
      <w:pPr>
        <w:pStyle w:val="Para1"/>
        <w:rPr>
          <w:rFonts w:asciiTheme="majorBidi" w:hAnsiTheme="majorBidi" w:cstheme="majorBidi"/>
          <w:bCs/>
        </w:rPr>
      </w:pPr>
      <w:r w:rsidRPr="00230BC2">
        <w:t xml:space="preserve">Owing to the circumstances surrounding the coronavirus disease </w:t>
      </w:r>
      <w:r w:rsidR="006D5797" w:rsidRPr="00230BC2">
        <w:t>(COVID-19) pandemic</w:t>
      </w:r>
      <w:r w:rsidRPr="00230BC2">
        <w:t>, the meeting was held in two parts</w:t>
      </w:r>
      <w:r w:rsidR="0062748E" w:rsidRPr="00230BC2">
        <w:t>.</w:t>
      </w:r>
      <w:r w:rsidRPr="00230BC2">
        <w:t xml:space="preserve"> </w:t>
      </w:r>
      <w:r w:rsidR="0062748E" w:rsidRPr="00230BC2">
        <w:t>T</w:t>
      </w:r>
      <w:r w:rsidR="006D5797" w:rsidRPr="00230BC2">
        <w:t xml:space="preserve">he first part </w:t>
      </w:r>
      <w:r w:rsidR="0062748E" w:rsidRPr="00230BC2">
        <w:t xml:space="preserve">was </w:t>
      </w:r>
      <w:r w:rsidRPr="00230BC2">
        <w:t>held online with limited in-person participation in Kunming, China, on 12 and 13 October 2021</w:t>
      </w:r>
      <w:r w:rsidR="0062748E" w:rsidRPr="00230BC2">
        <w:t>.</w:t>
      </w:r>
      <w:r w:rsidRPr="00230BC2">
        <w:t xml:space="preserve"> </w:t>
      </w:r>
      <w:r w:rsidR="0062748E" w:rsidRPr="00230BC2">
        <w:t>T</w:t>
      </w:r>
      <w:r w:rsidR="006D5797" w:rsidRPr="00230BC2">
        <w:t>he second part</w:t>
      </w:r>
      <w:r w:rsidRPr="00230BC2">
        <w:t xml:space="preserve"> </w:t>
      </w:r>
      <w:r w:rsidR="0062748E" w:rsidRPr="00230BC2">
        <w:t xml:space="preserve">was </w:t>
      </w:r>
      <w:r w:rsidR="00725EA1" w:rsidRPr="00230BC2">
        <w:t>held in person</w:t>
      </w:r>
      <w:r w:rsidR="006C2AEC" w:rsidRPr="00230BC2">
        <w:t>.</w:t>
      </w:r>
      <w:r w:rsidR="0062748E" w:rsidRPr="00230BC2">
        <w:t xml:space="preserve"> </w:t>
      </w:r>
      <w:r w:rsidR="006C2AEC" w:rsidRPr="00230BC2">
        <w:t>It</w:t>
      </w:r>
      <w:r w:rsidR="0062748E" w:rsidRPr="00230BC2">
        <w:t xml:space="preserve"> commenced</w:t>
      </w:r>
      <w:r w:rsidR="00725EA1" w:rsidRPr="00230BC2">
        <w:t xml:space="preserve"> in Montreal, Canada, </w:t>
      </w:r>
      <w:r w:rsidR="0062748E" w:rsidRPr="00230BC2">
        <w:t xml:space="preserve">on 7 December 2022, </w:t>
      </w:r>
      <w:r w:rsidR="006C2AEC" w:rsidRPr="00230BC2">
        <w:t xml:space="preserve">was </w:t>
      </w:r>
      <w:r w:rsidR="0062748E" w:rsidRPr="00230BC2">
        <w:t>suspended on 19 December 2022</w:t>
      </w:r>
      <w:r w:rsidR="003E7F46" w:rsidRPr="00230BC2">
        <w:t>,</w:t>
      </w:r>
      <w:r w:rsidR="0062748E" w:rsidRPr="00230BC2">
        <w:t xml:space="preserve"> resumed </w:t>
      </w:r>
      <w:r w:rsidR="00664403" w:rsidRPr="00230BC2">
        <w:t>in Nairobi</w:t>
      </w:r>
      <w:r w:rsidR="0002290A" w:rsidRPr="00230BC2">
        <w:t xml:space="preserve"> on 19</w:t>
      </w:r>
      <w:r w:rsidR="00E2455F" w:rsidRPr="00230BC2">
        <w:t> </w:t>
      </w:r>
      <w:r w:rsidR="0002290A" w:rsidRPr="00230BC2">
        <w:t>October 2023</w:t>
      </w:r>
      <w:r w:rsidR="003E7F46" w:rsidRPr="00230BC2">
        <w:t xml:space="preserve"> and </w:t>
      </w:r>
      <w:r w:rsidR="00643F0A" w:rsidRPr="00230BC2">
        <w:t xml:space="preserve">was </w:t>
      </w:r>
      <w:r w:rsidR="003E7F46" w:rsidRPr="00230BC2">
        <w:t xml:space="preserve">closed on 20 </w:t>
      </w:r>
      <w:r w:rsidR="003220D3" w:rsidRPr="00230BC2">
        <w:t>October</w:t>
      </w:r>
      <w:r w:rsidR="003E7F46" w:rsidRPr="00230BC2">
        <w:t xml:space="preserve"> 2023</w:t>
      </w:r>
      <w:r w:rsidR="00725EA1" w:rsidRPr="00230BC2">
        <w:t xml:space="preserve">. </w:t>
      </w:r>
    </w:p>
    <w:p w14:paraId="0C0A32A0" w14:textId="791F1F9A" w:rsidR="003E3B07" w:rsidRPr="00230BC2" w:rsidRDefault="006D5797" w:rsidP="003466FC">
      <w:pPr>
        <w:pStyle w:val="Para1"/>
        <w:rPr>
          <w:rFonts w:asciiTheme="majorBidi" w:hAnsiTheme="majorBidi" w:cstheme="majorBidi"/>
          <w:bCs/>
        </w:rPr>
      </w:pPr>
      <w:r w:rsidRPr="00230BC2">
        <w:t xml:space="preserve">The present report </w:t>
      </w:r>
      <w:r w:rsidR="001F5487" w:rsidRPr="00230BC2">
        <w:t>contains</w:t>
      </w:r>
      <w:r w:rsidRPr="00230BC2">
        <w:t xml:space="preserve"> the proceedings of </w:t>
      </w:r>
      <w:r w:rsidR="000121A6" w:rsidRPr="00230BC2">
        <w:t xml:space="preserve">the second </w:t>
      </w:r>
      <w:r w:rsidRPr="00230BC2">
        <w:t>part of the meeting.</w:t>
      </w:r>
      <w:r w:rsidRPr="00610646">
        <w:rPr>
          <w:rStyle w:val="FootnoteReference"/>
        </w:rPr>
        <w:footnoteReference w:id="395"/>
      </w:r>
      <w:r w:rsidRPr="00230BC2">
        <w:t xml:space="preserve"> </w:t>
      </w:r>
    </w:p>
    <w:p w14:paraId="6AFE4488" w14:textId="3E0D158B" w:rsidR="00A528BE" w:rsidRPr="00230BC2" w:rsidRDefault="000121A6" w:rsidP="003466FC">
      <w:pPr>
        <w:pStyle w:val="Para1"/>
        <w:rPr>
          <w:rFonts w:asciiTheme="majorBidi" w:hAnsiTheme="majorBidi" w:cstheme="majorBidi"/>
          <w:bCs/>
        </w:rPr>
      </w:pPr>
      <w:r w:rsidRPr="00230BC2">
        <w:t>The second p</w:t>
      </w:r>
      <w:r w:rsidR="00C23C4F" w:rsidRPr="00230BC2">
        <w:t xml:space="preserve">art </w:t>
      </w:r>
      <w:r w:rsidR="00A528BE" w:rsidRPr="00230BC2">
        <w:t xml:space="preserve">of the meeting was preceded by </w:t>
      </w:r>
      <w:r w:rsidR="00E723FD" w:rsidRPr="00230BC2">
        <w:t>a ce</w:t>
      </w:r>
      <w:r w:rsidR="00E723FD" w:rsidRPr="00230BC2">
        <w:rPr>
          <w:bdr w:val="none" w:sz="0" w:space="0" w:color="auto" w:frame="1"/>
          <w:lang w:eastAsia="en-CA"/>
        </w:rPr>
        <w:t>remonial welcome</w:t>
      </w:r>
      <w:r w:rsidR="00AF7E74" w:rsidRPr="00230BC2">
        <w:rPr>
          <w:bdr w:val="none" w:sz="0" w:space="0" w:color="auto" w:frame="1"/>
          <w:lang w:eastAsia="en-CA"/>
        </w:rPr>
        <w:t xml:space="preserve"> </w:t>
      </w:r>
      <w:r w:rsidR="00E723FD" w:rsidRPr="00230BC2">
        <w:rPr>
          <w:bdr w:val="none" w:sz="0" w:space="0" w:color="auto" w:frame="1"/>
          <w:lang w:eastAsia="en-CA"/>
        </w:rPr>
        <w:t xml:space="preserve">by </w:t>
      </w:r>
      <w:r w:rsidR="00EB148E" w:rsidRPr="00230BC2">
        <w:rPr>
          <w:bdr w:val="none" w:sz="0" w:space="0" w:color="auto" w:frame="1"/>
          <w:lang w:eastAsia="en-CA"/>
        </w:rPr>
        <w:t>the</w:t>
      </w:r>
      <w:r w:rsidR="00E723FD" w:rsidRPr="00230BC2">
        <w:rPr>
          <w:bdr w:val="none" w:sz="0" w:space="0" w:color="auto" w:frame="1"/>
          <w:lang w:eastAsia="en-CA"/>
        </w:rPr>
        <w:t xml:space="preserve"> Traditional Chief of the Onondaga Nation</w:t>
      </w:r>
      <w:r w:rsidR="001B2FBF" w:rsidRPr="00230BC2">
        <w:rPr>
          <w:bdr w:val="none" w:sz="0" w:space="0" w:color="auto" w:frame="1"/>
          <w:lang w:eastAsia="en-CA"/>
        </w:rPr>
        <w:t>,</w:t>
      </w:r>
      <w:r w:rsidR="00E36CA8" w:rsidRPr="00230BC2">
        <w:rPr>
          <w:bdr w:val="none" w:sz="0" w:space="0" w:color="auto" w:frame="1"/>
          <w:lang w:eastAsia="en-CA"/>
        </w:rPr>
        <w:t xml:space="preserve"> </w:t>
      </w:r>
      <w:r w:rsidR="00754ABC" w:rsidRPr="00230BC2">
        <w:rPr>
          <w:bdr w:val="none" w:sz="0" w:space="0" w:color="auto" w:frame="1"/>
          <w:lang w:eastAsia="en-CA"/>
        </w:rPr>
        <w:t xml:space="preserve">Tadodaho Sid Hill, </w:t>
      </w:r>
      <w:r w:rsidR="00E36CA8" w:rsidRPr="00230BC2">
        <w:rPr>
          <w:bdr w:val="none" w:sz="0" w:space="0" w:color="auto" w:frame="1"/>
          <w:lang w:eastAsia="en-CA"/>
        </w:rPr>
        <w:t>followed by</w:t>
      </w:r>
      <w:r w:rsidR="00E723FD" w:rsidRPr="00230BC2">
        <w:rPr>
          <w:bdr w:val="none" w:sz="0" w:space="0" w:color="auto" w:frame="1"/>
          <w:lang w:eastAsia="en-CA"/>
        </w:rPr>
        <w:t xml:space="preserve"> </w:t>
      </w:r>
      <w:r w:rsidR="00E723FD" w:rsidRPr="00230BC2">
        <w:t xml:space="preserve">statements by </w:t>
      </w:r>
      <w:r w:rsidR="009D67B0" w:rsidRPr="00230BC2">
        <w:t xml:space="preserve">the </w:t>
      </w:r>
      <w:r w:rsidR="00F953E8" w:rsidRPr="00230BC2">
        <w:t xml:space="preserve">Prime Minister of Canada, </w:t>
      </w:r>
      <w:r w:rsidR="009D67B0" w:rsidRPr="00230BC2">
        <w:t>Justin Trudeau, the</w:t>
      </w:r>
      <w:r w:rsidR="00F953E8" w:rsidRPr="00230BC2">
        <w:t xml:space="preserve"> </w:t>
      </w:r>
      <w:r w:rsidR="00A109C9" w:rsidRPr="00230BC2">
        <w:t>Secretary</w:t>
      </w:r>
      <w:r w:rsidR="00AA45D2" w:rsidRPr="00230BC2">
        <w:t>-</w:t>
      </w:r>
      <w:r w:rsidR="00A109C9" w:rsidRPr="00230BC2">
        <w:t xml:space="preserve">General of the United Nations, </w:t>
      </w:r>
      <w:r w:rsidR="009D67B0" w:rsidRPr="00230BC2">
        <w:t xml:space="preserve">the </w:t>
      </w:r>
      <w:r w:rsidR="002E3058" w:rsidRPr="00230BC2">
        <w:t xml:space="preserve">Minister of Ecology and Environment of China and </w:t>
      </w:r>
      <w:r w:rsidR="00230AF2" w:rsidRPr="00230BC2">
        <w:t>President</w:t>
      </w:r>
      <w:r w:rsidR="0091526F" w:rsidRPr="00230BC2">
        <w:t xml:space="preserve"> of the fifteenth meeting of the Conference of the Parties</w:t>
      </w:r>
      <w:r w:rsidR="00230AF2" w:rsidRPr="00230BC2">
        <w:t xml:space="preserve">, </w:t>
      </w:r>
      <w:r w:rsidR="00BE4D95" w:rsidRPr="00230BC2">
        <w:t xml:space="preserve">Huang Runqiu, the </w:t>
      </w:r>
      <w:r w:rsidR="00230AF2" w:rsidRPr="00230BC2">
        <w:t>Pr</w:t>
      </w:r>
      <w:r w:rsidR="007A1E68">
        <w:t>emier</w:t>
      </w:r>
      <w:r w:rsidR="00230AF2" w:rsidRPr="00230BC2">
        <w:t xml:space="preserve"> of Quebec, </w:t>
      </w:r>
      <w:r w:rsidR="00BE4D95" w:rsidRPr="00230BC2">
        <w:t xml:space="preserve">François Legault, the </w:t>
      </w:r>
      <w:r w:rsidR="00230AF2" w:rsidRPr="00230BC2">
        <w:t>Mayor of Montreal</w:t>
      </w:r>
      <w:r w:rsidR="004C5634" w:rsidRPr="00230BC2">
        <w:t>,</w:t>
      </w:r>
      <w:r w:rsidR="00230AF2" w:rsidRPr="00230BC2">
        <w:t xml:space="preserve"> </w:t>
      </w:r>
      <w:r w:rsidR="00BE4D95" w:rsidRPr="00230BC2">
        <w:t xml:space="preserve">Valérie Plante, </w:t>
      </w:r>
      <w:r w:rsidR="00044B98" w:rsidRPr="00230BC2">
        <w:t xml:space="preserve">and </w:t>
      </w:r>
      <w:r w:rsidR="00BE4D95" w:rsidRPr="00230BC2">
        <w:t xml:space="preserve">the </w:t>
      </w:r>
      <w:r w:rsidR="00230AF2" w:rsidRPr="00230BC2">
        <w:t>Mayor of Kunming</w:t>
      </w:r>
      <w:r w:rsidR="0041358D" w:rsidRPr="00230BC2">
        <w:t xml:space="preserve">, </w:t>
      </w:r>
      <w:r w:rsidR="00BE4D95" w:rsidRPr="00230BC2">
        <w:t xml:space="preserve">Liu Jiachen, </w:t>
      </w:r>
      <w:r w:rsidR="00AA45D2" w:rsidRPr="00230BC2">
        <w:t>as well as</w:t>
      </w:r>
      <w:r w:rsidR="00E477DF" w:rsidRPr="00230BC2">
        <w:t xml:space="preserve"> by</w:t>
      </w:r>
      <w:r w:rsidR="0041358D" w:rsidRPr="00230BC2">
        <w:t xml:space="preserve"> </w:t>
      </w:r>
      <w:r w:rsidR="00E723FD" w:rsidRPr="00230BC2">
        <w:t>a cultural presentation</w:t>
      </w:r>
      <w:r w:rsidR="00AF7E74" w:rsidRPr="00230BC2">
        <w:t>, on 6 December 2022</w:t>
      </w:r>
      <w:r w:rsidR="00E723FD" w:rsidRPr="00230BC2">
        <w:t>.</w:t>
      </w:r>
    </w:p>
    <w:p w14:paraId="6694A3D3" w14:textId="1E8DDC4C" w:rsidR="00AA3C0A" w:rsidRPr="00230BC2" w:rsidRDefault="00AA3C0A"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230BC2">
        <w:rPr>
          <w:b/>
          <w:bCs/>
          <w:snapToGrid w:val="0"/>
          <w:kern w:val="22"/>
          <w:szCs w:val="22"/>
        </w:rPr>
        <w:t>B.</w:t>
      </w:r>
      <w:r w:rsidRPr="00230BC2">
        <w:rPr>
          <w:b/>
          <w:bCs/>
          <w:snapToGrid w:val="0"/>
          <w:kern w:val="22"/>
          <w:szCs w:val="22"/>
        </w:rPr>
        <w:tab/>
        <w:t>Attendance</w:t>
      </w:r>
    </w:p>
    <w:p w14:paraId="2E1589AF" w14:textId="77777777" w:rsidR="00A444ED" w:rsidRDefault="00AA3C0A" w:rsidP="002272BD">
      <w:pPr>
        <w:pStyle w:val="Para1"/>
        <w:sectPr w:rsidR="00A444ED" w:rsidSect="00F85550">
          <w:footnotePr>
            <w:numRestart w:val="eachSect"/>
          </w:footnotePr>
          <w:pgSz w:w="12240" w:h="15840"/>
          <w:pgMar w:top="567" w:right="1440" w:bottom="1134" w:left="1440" w:header="709" w:footer="709" w:gutter="0"/>
          <w:cols w:space="708"/>
          <w:docGrid w:linePitch="360"/>
        </w:sectPr>
      </w:pPr>
      <w:r w:rsidRPr="00230BC2">
        <w:t xml:space="preserve">All States were invited to participate in </w:t>
      </w:r>
      <w:r w:rsidR="000121A6" w:rsidRPr="00230BC2">
        <w:t xml:space="preserve">the second </w:t>
      </w:r>
      <w:r w:rsidR="009E60C7" w:rsidRPr="00230BC2">
        <w:t xml:space="preserve">part of </w:t>
      </w:r>
      <w:r w:rsidRPr="00230BC2">
        <w:t xml:space="preserve">the meeting. The following </w:t>
      </w:r>
      <w:r w:rsidR="00014C27" w:rsidRPr="00230BC2">
        <w:t>P</w:t>
      </w:r>
      <w:r w:rsidRPr="00230BC2">
        <w:t>arties to the Convention attended:</w:t>
      </w:r>
    </w:p>
    <w:p w14:paraId="34A11411" w14:textId="6CCCF90D" w:rsidR="002F7B48" w:rsidRPr="00230BC2" w:rsidRDefault="002F7B48" w:rsidP="00322CF8">
      <w:pPr>
        <w:pStyle w:val="Para1"/>
        <w:numPr>
          <w:ilvl w:val="0"/>
          <w:numId w:val="0"/>
        </w:numPr>
        <w:spacing w:after="0"/>
        <w:ind w:left="142"/>
        <w:jc w:val="left"/>
      </w:pPr>
      <w:r w:rsidRPr="00230BC2">
        <w:t>Albania</w:t>
      </w:r>
      <w:r w:rsidR="00E77F70" w:rsidRPr="00230BC2">
        <w:rPr>
          <w:vertAlign w:val="superscript"/>
        </w:rPr>
        <w:t>a</w:t>
      </w:r>
    </w:p>
    <w:p w14:paraId="228B921D" w14:textId="77777777" w:rsidR="002F7B48" w:rsidRPr="00230BC2" w:rsidRDefault="002F7B48" w:rsidP="00322CF8">
      <w:pPr>
        <w:pStyle w:val="Para1"/>
        <w:numPr>
          <w:ilvl w:val="0"/>
          <w:numId w:val="0"/>
        </w:numPr>
        <w:spacing w:after="0"/>
        <w:ind w:left="142"/>
        <w:jc w:val="left"/>
      </w:pPr>
      <w:r w:rsidRPr="00230BC2">
        <w:t>Algeria</w:t>
      </w:r>
    </w:p>
    <w:p w14:paraId="5F713661" w14:textId="77777777" w:rsidR="002F7B48" w:rsidRPr="00230BC2" w:rsidRDefault="002F7B48" w:rsidP="00322CF8">
      <w:pPr>
        <w:pStyle w:val="Para1"/>
        <w:numPr>
          <w:ilvl w:val="0"/>
          <w:numId w:val="0"/>
        </w:numPr>
        <w:spacing w:after="0"/>
        <w:ind w:left="142"/>
        <w:jc w:val="left"/>
      </w:pPr>
      <w:r w:rsidRPr="00230BC2">
        <w:t>Angola</w:t>
      </w:r>
    </w:p>
    <w:p w14:paraId="15400AE5" w14:textId="77777777" w:rsidR="002F7B48" w:rsidRPr="00230BC2" w:rsidRDefault="002F7B48" w:rsidP="00322CF8">
      <w:pPr>
        <w:pStyle w:val="Para1"/>
        <w:numPr>
          <w:ilvl w:val="0"/>
          <w:numId w:val="0"/>
        </w:numPr>
        <w:spacing w:after="0"/>
        <w:ind w:left="142"/>
        <w:jc w:val="left"/>
      </w:pPr>
      <w:r w:rsidRPr="00230BC2">
        <w:t>Antigua and Barbuda</w:t>
      </w:r>
    </w:p>
    <w:p w14:paraId="54EEBCFF" w14:textId="77777777" w:rsidR="002F7B48" w:rsidRPr="00230BC2" w:rsidRDefault="002F7B48" w:rsidP="00322CF8">
      <w:pPr>
        <w:pStyle w:val="Para1"/>
        <w:numPr>
          <w:ilvl w:val="0"/>
          <w:numId w:val="0"/>
        </w:numPr>
        <w:spacing w:after="0"/>
        <w:ind w:left="142"/>
        <w:jc w:val="left"/>
      </w:pPr>
      <w:r w:rsidRPr="00230BC2">
        <w:t>Argentina</w:t>
      </w:r>
    </w:p>
    <w:p w14:paraId="65D55940" w14:textId="77777777" w:rsidR="002F7B48" w:rsidRPr="00230BC2" w:rsidRDefault="002F7B48" w:rsidP="00322CF8">
      <w:pPr>
        <w:pStyle w:val="Para1"/>
        <w:numPr>
          <w:ilvl w:val="0"/>
          <w:numId w:val="0"/>
        </w:numPr>
        <w:spacing w:after="0"/>
        <w:ind w:left="142"/>
        <w:jc w:val="left"/>
      </w:pPr>
      <w:r w:rsidRPr="00230BC2">
        <w:t>Armenia</w:t>
      </w:r>
    </w:p>
    <w:p w14:paraId="44CDEB8E" w14:textId="77777777" w:rsidR="002F7B48" w:rsidRPr="00230BC2" w:rsidRDefault="002F7B48" w:rsidP="00322CF8">
      <w:pPr>
        <w:pStyle w:val="Para1"/>
        <w:numPr>
          <w:ilvl w:val="0"/>
          <w:numId w:val="0"/>
        </w:numPr>
        <w:spacing w:after="0"/>
        <w:ind w:left="142"/>
        <w:jc w:val="left"/>
      </w:pPr>
      <w:r w:rsidRPr="00230BC2">
        <w:t>Australia</w:t>
      </w:r>
    </w:p>
    <w:p w14:paraId="2AD2715E" w14:textId="77777777" w:rsidR="002F7B48" w:rsidRPr="00230BC2" w:rsidRDefault="002F7B48" w:rsidP="00322CF8">
      <w:pPr>
        <w:pStyle w:val="Para1"/>
        <w:numPr>
          <w:ilvl w:val="0"/>
          <w:numId w:val="0"/>
        </w:numPr>
        <w:spacing w:after="0"/>
        <w:ind w:left="142"/>
        <w:jc w:val="left"/>
      </w:pPr>
      <w:r w:rsidRPr="00230BC2">
        <w:t>Austria</w:t>
      </w:r>
    </w:p>
    <w:p w14:paraId="6653E143" w14:textId="77777777" w:rsidR="002F7B48" w:rsidRPr="00230BC2" w:rsidRDefault="002F7B48" w:rsidP="00322CF8">
      <w:pPr>
        <w:pStyle w:val="Para1"/>
        <w:numPr>
          <w:ilvl w:val="0"/>
          <w:numId w:val="0"/>
        </w:numPr>
        <w:spacing w:after="0"/>
        <w:ind w:left="142"/>
        <w:jc w:val="left"/>
      </w:pPr>
      <w:r w:rsidRPr="00230BC2">
        <w:t>Azerbaijan</w:t>
      </w:r>
    </w:p>
    <w:p w14:paraId="3AF5B76F" w14:textId="666F94F3" w:rsidR="002F7B48" w:rsidRPr="00230BC2" w:rsidRDefault="002F7B48" w:rsidP="00322CF8">
      <w:pPr>
        <w:pStyle w:val="Para1"/>
        <w:numPr>
          <w:ilvl w:val="0"/>
          <w:numId w:val="0"/>
        </w:numPr>
        <w:spacing w:after="0"/>
        <w:ind w:left="142"/>
        <w:jc w:val="left"/>
      </w:pPr>
      <w:r w:rsidRPr="00230BC2">
        <w:t>Bahamas</w:t>
      </w:r>
      <w:r w:rsidR="00E77F70" w:rsidRPr="00230BC2">
        <w:rPr>
          <w:vertAlign w:val="superscript"/>
        </w:rPr>
        <w:t>a</w:t>
      </w:r>
    </w:p>
    <w:p w14:paraId="7F8AECF8" w14:textId="06201048" w:rsidR="002F7B48" w:rsidRPr="00230BC2" w:rsidRDefault="002F7B48" w:rsidP="00322CF8">
      <w:pPr>
        <w:pStyle w:val="Para1"/>
        <w:numPr>
          <w:ilvl w:val="0"/>
          <w:numId w:val="0"/>
        </w:numPr>
        <w:spacing w:after="0"/>
        <w:ind w:left="142"/>
        <w:jc w:val="left"/>
      </w:pPr>
      <w:r w:rsidRPr="00230BC2">
        <w:t>Bahrain</w:t>
      </w:r>
      <w:r w:rsidR="00E77F70" w:rsidRPr="00230BC2">
        <w:rPr>
          <w:vertAlign w:val="superscript"/>
        </w:rPr>
        <w:t>a</w:t>
      </w:r>
    </w:p>
    <w:p w14:paraId="0FB1E985" w14:textId="77777777" w:rsidR="002F7B48" w:rsidRPr="00230BC2" w:rsidRDefault="002F7B48" w:rsidP="00322CF8">
      <w:pPr>
        <w:pStyle w:val="Para1"/>
        <w:numPr>
          <w:ilvl w:val="0"/>
          <w:numId w:val="0"/>
        </w:numPr>
        <w:spacing w:after="0"/>
        <w:ind w:left="142"/>
        <w:jc w:val="left"/>
      </w:pPr>
      <w:r w:rsidRPr="00230BC2">
        <w:t>Bangladesh</w:t>
      </w:r>
    </w:p>
    <w:p w14:paraId="37585DDF" w14:textId="77777777" w:rsidR="002F7B48" w:rsidRPr="00230BC2" w:rsidRDefault="002F7B48" w:rsidP="00322CF8">
      <w:pPr>
        <w:pStyle w:val="Para1"/>
        <w:numPr>
          <w:ilvl w:val="0"/>
          <w:numId w:val="0"/>
        </w:numPr>
        <w:spacing w:after="0"/>
        <w:ind w:left="142"/>
        <w:jc w:val="left"/>
      </w:pPr>
      <w:r w:rsidRPr="00230BC2">
        <w:t>Barbados</w:t>
      </w:r>
    </w:p>
    <w:p w14:paraId="54160396" w14:textId="77777777" w:rsidR="002F7B48" w:rsidRPr="00230BC2" w:rsidRDefault="002F7B48" w:rsidP="00322CF8">
      <w:pPr>
        <w:pStyle w:val="Para1"/>
        <w:numPr>
          <w:ilvl w:val="0"/>
          <w:numId w:val="0"/>
        </w:numPr>
        <w:spacing w:after="0"/>
        <w:ind w:left="142"/>
        <w:jc w:val="left"/>
      </w:pPr>
      <w:r w:rsidRPr="00230BC2">
        <w:t>Belarus</w:t>
      </w:r>
    </w:p>
    <w:p w14:paraId="6B946795" w14:textId="77777777" w:rsidR="002F7B48" w:rsidRPr="00230BC2" w:rsidRDefault="002F7B48" w:rsidP="00322CF8">
      <w:pPr>
        <w:pStyle w:val="Para1"/>
        <w:numPr>
          <w:ilvl w:val="0"/>
          <w:numId w:val="0"/>
        </w:numPr>
        <w:spacing w:after="0"/>
        <w:ind w:left="142"/>
        <w:jc w:val="left"/>
      </w:pPr>
      <w:r w:rsidRPr="00230BC2">
        <w:t>Belgium</w:t>
      </w:r>
    </w:p>
    <w:p w14:paraId="3756B405" w14:textId="34CF2263" w:rsidR="002F7B48" w:rsidRPr="00230BC2" w:rsidRDefault="002F7B48" w:rsidP="00322CF8">
      <w:pPr>
        <w:pStyle w:val="Para1"/>
        <w:numPr>
          <w:ilvl w:val="0"/>
          <w:numId w:val="0"/>
        </w:numPr>
        <w:spacing w:after="0"/>
        <w:ind w:left="142"/>
        <w:jc w:val="left"/>
      </w:pPr>
      <w:r w:rsidRPr="00230BC2">
        <w:t>Belize</w:t>
      </w:r>
      <w:r w:rsidR="00E77F70" w:rsidRPr="00230BC2">
        <w:rPr>
          <w:vertAlign w:val="superscript"/>
        </w:rPr>
        <w:t>a</w:t>
      </w:r>
    </w:p>
    <w:p w14:paraId="1444E515" w14:textId="77777777" w:rsidR="002F7B48" w:rsidRPr="00230BC2" w:rsidRDefault="002F7B48" w:rsidP="00322CF8">
      <w:pPr>
        <w:pStyle w:val="Para1"/>
        <w:numPr>
          <w:ilvl w:val="0"/>
          <w:numId w:val="0"/>
        </w:numPr>
        <w:spacing w:after="0"/>
        <w:ind w:left="142"/>
        <w:jc w:val="left"/>
      </w:pPr>
      <w:r w:rsidRPr="00230BC2">
        <w:t>Benin</w:t>
      </w:r>
    </w:p>
    <w:p w14:paraId="32151220" w14:textId="77777777" w:rsidR="002F7B48" w:rsidRPr="00230BC2" w:rsidRDefault="002F7B48" w:rsidP="00322CF8">
      <w:pPr>
        <w:pStyle w:val="Para1"/>
        <w:numPr>
          <w:ilvl w:val="0"/>
          <w:numId w:val="0"/>
        </w:numPr>
        <w:spacing w:after="0"/>
        <w:ind w:left="142"/>
        <w:jc w:val="left"/>
      </w:pPr>
      <w:r w:rsidRPr="00230BC2">
        <w:t>Bhutan</w:t>
      </w:r>
    </w:p>
    <w:p w14:paraId="6D6511A4" w14:textId="1223D260" w:rsidR="002F7B48" w:rsidRPr="00230BC2" w:rsidRDefault="002F7B48" w:rsidP="00322CF8">
      <w:pPr>
        <w:pStyle w:val="Para1"/>
        <w:numPr>
          <w:ilvl w:val="0"/>
          <w:numId w:val="0"/>
        </w:numPr>
        <w:spacing w:after="0"/>
        <w:ind w:left="142"/>
        <w:jc w:val="left"/>
      </w:pPr>
      <w:r w:rsidRPr="00230BC2">
        <w:t>Bolivia (Plurinational State of)</w:t>
      </w:r>
      <w:r w:rsidR="00E77F70" w:rsidRPr="00230BC2">
        <w:rPr>
          <w:vertAlign w:val="superscript"/>
        </w:rPr>
        <w:t>a</w:t>
      </w:r>
    </w:p>
    <w:p w14:paraId="5962AD5F" w14:textId="77777777" w:rsidR="002F7B48" w:rsidRPr="00230BC2" w:rsidRDefault="002F7B48" w:rsidP="00322CF8">
      <w:pPr>
        <w:pStyle w:val="Para1"/>
        <w:numPr>
          <w:ilvl w:val="0"/>
          <w:numId w:val="0"/>
        </w:numPr>
        <w:spacing w:after="0"/>
        <w:ind w:left="142"/>
        <w:jc w:val="left"/>
      </w:pPr>
      <w:r w:rsidRPr="00230BC2">
        <w:t>Bosnia and Herzegovina</w:t>
      </w:r>
    </w:p>
    <w:p w14:paraId="39A20BD3" w14:textId="77777777" w:rsidR="002F7B48" w:rsidRPr="00230BC2" w:rsidRDefault="002F7B48" w:rsidP="00322CF8">
      <w:pPr>
        <w:pStyle w:val="Para1"/>
        <w:numPr>
          <w:ilvl w:val="0"/>
          <w:numId w:val="0"/>
        </w:numPr>
        <w:spacing w:after="0"/>
        <w:ind w:left="142"/>
        <w:jc w:val="left"/>
      </w:pPr>
      <w:r w:rsidRPr="00230BC2">
        <w:t>Botswana</w:t>
      </w:r>
    </w:p>
    <w:p w14:paraId="18AC703A" w14:textId="77777777" w:rsidR="002F7B48" w:rsidRPr="00230BC2" w:rsidRDefault="002F7B48" w:rsidP="00322CF8">
      <w:pPr>
        <w:pStyle w:val="Para1"/>
        <w:numPr>
          <w:ilvl w:val="0"/>
          <w:numId w:val="0"/>
        </w:numPr>
        <w:spacing w:after="0"/>
        <w:ind w:left="142"/>
        <w:jc w:val="left"/>
      </w:pPr>
      <w:r w:rsidRPr="00230BC2">
        <w:t>Brazil</w:t>
      </w:r>
    </w:p>
    <w:p w14:paraId="2A5A1AFE" w14:textId="77777777" w:rsidR="002F7B48" w:rsidRPr="00230BC2" w:rsidRDefault="002F7B48" w:rsidP="00322CF8">
      <w:pPr>
        <w:pStyle w:val="Para1"/>
        <w:numPr>
          <w:ilvl w:val="0"/>
          <w:numId w:val="0"/>
        </w:numPr>
        <w:spacing w:after="0"/>
        <w:ind w:left="142"/>
        <w:jc w:val="left"/>
      </w:pPr>
      <w:r w:rsidRPr="00230BC2">
        <w:t>Bulgaria</w:t>
      </w:r>
    </w:p>
    <w:p w14:paraId="5DCA4568" w14:textId="77777777" w:rsidR="002F7B48" w:rsidRPr="00230BC2" w:rsidRDefault="002F7B48" w:rsidP="00322CF8">
      <w:pPr>
        <w:pStyle w:val="Para1"/>
        <w:numPr>
          <w:ilvl w:val="0"/>
          <w:numId w:val="0"/>
        </w:numPr>
        <w:spacing w:after="0"/>
        <w:ind w:left="142"/>
        <w:jc w:val="left"/>
      </w:pPr>
      <w:r w:rsidRPr="00230BC2">
        <w:t>Burkina Faso</w:t>
      </w:r>
    </w:p>
    <w:p w14:paraId="33D59D65" w14:textId="77777777" w:rsidR="002F7B48" w:rsidRPr="00230BC2" w:rsidRDefault="002F7B48" w:rsidP="00322CF8">
      <w:pPr>
        <w:pStyle w:val="Para1"/>
        <w:numPr>
          <w:ilvl w:val="0"/>
          <w:numId w:val="0"/>
        </w:numPr>
        <w:spacing w:after="0"/>
        <w:ind w:left="142"/>
        <w:jc w:val="left"/>
      </w:pPr>
      <w:r w:rsidRPr="00230BC2">
        <w:t>Burundi</w:t>
      </w:r>
    </w:p>
    <w:p w14:paraId="2503F3C6" w14:textId="77777777" w:rsidR="002F7B48" w:rsidRPr="00230BC2" w:rsidRDefault="002F7B48" w:rsidP="00322CF8">
      <w:pPr>
        <w:pStyle w:val="Para1"/>
        <w:numPr>
          <w:ilvl w:val="0"/>
          <w:numId w:val="0"/>
        </w:numPr>
        <w:spacing w:after="0"/>
        <w:ind w:left="142"/>
        <w:jc w:val="left"/>
      </w:pPr>
      <w:r w:rsidRPr="00230BC2">
        <w:t>Cabo Verde</w:t>
      </w:r>
    </w:p>
    <w:p w14:paraId="23ABC2BB" w14:textId="77777777" w:rsidR="002F7B48" w:rsidRPr="00230BC2" w:rsidRDefault="002F7B48" w:rsidP="00322CF8">
      <w:pPr>
        <w:pStyle w:val="Para1"/>
        <w:numPr>
          <w:ilvl w:val="0"/>
          <w:numId w:val="0"/>
        </w:numPr>
        <w:spacing w:after="0"/>
        <w:ind w:left="142"/>
        <w:jc w:val="left"/>
      </w:pPr>
      <w:r w:rsidRPr="00230BC2">
        <w:t>Cambodia</w:t>
      </w:r>
    </w:p>
    <w:p w14:paraId="0F5A4492" w14:textId="77777777" w:rsidR="002F7B48" w:rsidRPr="00230BC2" w:rsidRDefault="002F7B48" w:rsidP="00322CF8">
      <w:pPr>
        <w:pStyle w:val="Para1"/>
        <w:numPr>
          <w:ilvl w:val="0"/>
          <w:numId w:val="0"/>
        </w:numPr>
        <w:spacing w:after="0"/>
        <w:ind w:left="142"/>
        <w:jc w:val="left"/>
      </w:pPr>
      <w:r w:rsidRPr="00230BC2">
        <w:t>Cameroon</w:t>
      </w:r>
    </w:p>
    <w:p w14:paraId="15055734" w14:textId="77777777" w:rsidR="002F7B48" w:rsidRPr="00230BC2" w:rsidRDefault="002F7B48" w:rsidP="00322CF8">
      <w:pPr>
        <w:pStyle w:val="Para1"/>
        <w:numPr>
          <w:ilvl w:val="0"/>
          <w:numId w:val="0"/>
        </w:numPr>
        <w:spacing w:after="0"/>
        <w:ind w:left="142"/>
        <w:jc w:val="left"/>
      </w:pPr>
      <w:r w:rsidRPr="00230BC2">
        <w:t>Canada</w:t>
      </w:r>
    </w:p>
    <w:p w14:paraId="08EF2848" w14:textId="77777777" w:rsidR="002F7B48" w:rsidRPr="00230BC2" w:rsidRDefault="002F7B48" w:rsidP="00322CF8">
      <w:pPr>
        <w:pStyle w:val="Para1"/>
        <w:numPr>
          <w:ilvl w:val="0"/>
          <w:numId w:val="0"/>
        </w:numPr>
        <w:spacing w:after="0"/>
        <w:ind w:left="142"/>
        <w:jc w:val="left"/>
      </w:pPr>
      <w:r w:rsidRPr="00230BC2">
        <w:t>Central African Republic</w:t>
      </w:r>
    </w:p>
    <w:p w14:paraId="59E90315" w14:textId="77777777" w:rsidR="002F7B48" w:rsidRPr="00230BC2" w:rsidRDefault="002F7B48" w:rsidP="00322CF8">
      <w:pPr>
        <w:pStyle w:val="Para1"/>
        <w:numPr>
          <w:ilvl w:val="0"/>
          <w:numId w:val="0"/>
        </w:numPr>
        <w:spacing w:after="0"/>
        <w:ind w:left="142"/>
        <w:jc w:val="left"/>
      </w:pPr>
      <w:r w:rsidRPr="00230BC2">
        <w:t>Chad</w:t>
      </w:r>
    </w:p>
    <w:p w14:paraId="5B282DEB" w14:textId="77777777" w:rsidR="002F7B48" w:rsidRPr="00230BC2" w:rsidRDefault="002F7B48" w:rsidP="00322CF8">
      <w:pPr>
        <w:pStyle w:val="Para1"/>
        <w:numPr>
          <w:ilvl w:val="0"/>
          <w:numId w:val="0"/>
        </w:numPr>
        <w:spacing w:after="0"/>
        <w:ind w:left="142"/>
        <w:jc w:val="left"/>
      </w:pPr>
      <w:r w:rsidRPr="00230BC2">
        <w:t>Chile</w:t>
      </w:r>
    </w:p>
    <w:p w14:paraId="2F7682CA" w14:textId="77777777" w:rsidR="002F7B48" w:rsidRPr="00230BC2" w:rsidRDefault="002F7B48" w:rsidP="00322CF8">
      <w:pPr>
        <w:pStyle w:val="Para1"/>
        <w:numPr>
          <w:ilvl w:val="0"/>
          <w:numId w:val="0"/>
        </w:numPr>
        <w:spacing w:after="0"/>
        <w:ind w:left="142"/>
        <w:jc w:val="left"/>
      </w:pPr>
      <w:r w:rsidRPr="00230BC2">
        <w:t>China</w:t>
      </w:r>
    </w:p>
    <w:p w14:paraId="708440DE" w14:textId="77777777" w:rsidR="002F7B48" w:rsidRPr="00230BC2" w:rsidRDefault="002F7B48" w:rsidP="00322CF8">
      <w:pPr>
        <w:pStyle w:val="Para1"/>
        <w:numPr>
          <w:ilvl w:val="0"/>
          <w:numId w:val="0"/>
        </w:numPr>
        <w:spacing w:after="0"/>
        <w:ind w:left="142"/>
        <w:jc w:val="left"/>
      </w:pPr>
      <w:r w:rsidRPr="00230BC2">
        <w:t>Colombia</w:t>
      </w:r>
    </w:p>
    <w:p w14:paraId="1CB97B6A" w14:textId="77777777" w:rsidR="002F7B48" w:rsidRPr="00230BC2" w:rsidRDefault="002F7B48" w:rsidP="00322CF8">
      <w:pPr>
        <w:pStyle w:val="Para1"/>
        <w:numPr>
          <w:ilvl w:val="0"/>
          <w:numId w:val="0"/>
        </w:numPr>
        <w:spacing w:after="0"/>
        <w:ind w:left="142"/>
        <w:jc w:val="left"/>
      </w:pPr>
      <w:r w:rsidRPr="00230BC2">
        <w:t>Comoros</w:t>
      </w:r>
    </w:p>
    <w:p w14:paraId="12C0413D" w14:textId="08E1E12B" w:rsidR="002F7B48" w:rsidRPr="00230BC2" w:rsidRDefault="002F7B48" w:rsidP="00322CF8">
      <w:pPr>
        <w:pStyle w:val="Para1"/>
        <w:numPr>
          <w:ilvl w:val="0"/>
          <w:numId w:val="0"/>
        </w:numPr>
        <w:spacing w:after="0"/>
        <w:ind w:left="142"/>
        <w:jc w:val="left"/>
      </w:pPr>
      <w:r w:rsidRPr="00230BC2">
        <w:t>Congo</w:t>
      </w:r>
      <w:r w:rsidR="00E77F70" w:rsidRPr="00230BC2">
        <w:rPr>
          <w:vertAlign w:val="superscript"/>
        </w:rPr>
        <w:t>a</w:t>
      </w:r>
    </w:p>
    <w:p w14:paraId="74938FAF" w14:textId="77777777" w:rsidR="002F7B48" w:rsidRPr="00230BC2" w:rsidRDefault="002F7B48" w:rsidP="00322CF8">
      <w:pPr>
        <w:pStyle w:val="Para1"/>
        <w:numPr>
          <w:ilvl w:val="0"/>
          <w:numId w:val="0"/>
        </w:numPr>
        <w:spacing w:after="0"/>
        <w:ind w:left="142"/>
        <w:jc w:val="left"/>
      </w:pPr>
      <w:r w:rsidRPr="00230BC2">
        <w:t>Cook Islands</w:t>
      </w:r>
    </w:p>
    <w:p w14:paraId="5BFC1433" w14:textId="77777777" w:rsidR="002F7B48" w:rsidRPr="00230BC2" w:rsidRDefault="002F7B48" w:rsidP="00322CF8">
      <w:pPr>
        <w:pStyle w:val="Para1"/>
        <w:numPr>
          <w:ilvl w:val="0"/>
          <w:numId w:val="0"/>
        </w:numPr>
        <w:spacing w:after="0"/>
        <w:ind w:left="142"/>
        <w:jc w:val="left"/>
      </w:pPr>
      <w:r w:rsidRPr="00230BC2">
        <w:t>Costa Rica</w:t>
      </w:r>
    </w:p>
    <w:p w14:paraId="709FCA75" w14:textId="7452C262" w:rsidR="002F7B48" w:rsidRPr="00230BC2" w:rsidRDefault="002F7B48" w:rsidP="00322CF8">
      <w:pPr>
        <w:pStyle w:val="Para1"/>
        <w:numPr>
          <w:ilvl w:val="0"/>
          <w:numId w:val="0"/>
        </w:numPr>
        <w:spacing w:after="0"/>
        <w:ind w:left="142"/>
        <w:jc w:val="left"/>
      </w:pPr>
      <w:r w:rsidRPr="00230BC2">
        <w:t>Côte d</w:t>
      </w:r>
      <w:r w:rsidR="00E91698" w:rsidRPr="00230BC2">
        <w:t>’</w:t>
      </w:r>
      <w:r w:rsidRPr="00230BC2">
        <w:t>Ivoire</w:t>
      </w:r>
    </w:p>
    <w:p w14:paraId="3D26D3DB" w14:textId="77777777" w:rsidR="002F7B48" w:rsidRPr="00230BC2" w:rsidRDefault="002F7B48" w:rsidP="00322CF8">
      <w:pPr>
        <w:pStyle w:val="Para1"/>
        <w:numPr>
          <w:ilvl w:val="0"/>
          <w:numId w:val="0"/>
        </w:numPr>
        <w:spacing w:after="0"/>
        <w:ind w:left="142"/>
        <w:jc w:val="left"/>
      </w:pPr>
      <w:r w:rsidRPr="00230BC2">
        <w:t>Croatia</w:t>
      </w:r>
    </w:p>
    <w:p w14:paraId="159A3B06" w14:textId="77777777" w:rsidR="002F7B48" w:rsidRPr="00230BC2" w:rsidRDefault="002F7B48" w:rsidP="00322CF8">
      <w:pPr>
        <w:pStyle w:val="Para1"/>
        <w:numPr>
          <w:ilvl w:val="0"/>
          <w:numId w:val="0"/>
        </w:numPr>
        <w:spacing w:after="0"/>
        <w:ind w:left="142"/>
        <w:jc w:val="left"/>
      </w:pPr>
      <w:r w:rsidRPr="00230BC2">
        <w:t>Cuba</w:t>
      </w:r>
    </w:p>
    <w:p w14:paraId="58D70D13" w14:textId="51216F96" w:rsidR="002F7B48" w:rsidRPr="00230BC2" w:rsidRDefault="002F7B48" w:rsidP="00322CF8">
      <w:pPr>
        <w:pStyle w:val="Para1"/>
        <w:numPr>
          <w:ilvl w:val="0"/>
          <w:numId w:val="0"/>
        </w:numPr>
        <w:spacing w:after="0"/>
        <w:ind w:left="142"/>
        <w:jc w:val="left"/>
      </w:pPr>
      <w:r w:rsidRPr="00230BC2">
        <w:t>Cyprus</w:t>
      </w:r>
      <w:r w:rsidR="006F5A31" w:rsidRPr="00230BC2">
        <w:rPr>
          <w:vertAlign w:val="superscript"/>
        </w:rPr>
        <w:t>a</w:t>
      </w:r>
    </w:p>
    <w:p w14:paraId="4D1D7F13" w14:textId="00647F71" w:rsidR="002F7B48" w:rsidRPr="00230BC2" w:rsidRDefault="002F7B48" w:rsidP="00322CF8">
      <w:pPr>
        <w:pStyle w:val="Para1"/>
        <w:numPr>
          <w:ilvl w:val="0"/>
          <w:numId w:val="0"/>
        </w:numPr>
        <w:spacing w:after="0"/>
        <w:ind w:left="142"/>
        <w:jc w:val="left"/>
      </w:pPr>
      <w:r w:rsidRPr="00230BC2">
        <w:t>Czech</w:t>
      </w:r>
      <w:r w:rsidR="00822701" w:rsidRPr="00230BC2">
        <w:t>ia</w:t>
      </w:r>
    </w:p>
    <w:p w14:paraId="7FA0C853" w14:textId="20957115" w:rsidR="002F7B48" w:rsidRPr="00230BC2" w:rsidRDefault="002F7B48" w:rsidP="00322CF8">
      <w:pPr>
        <w:pStyle w:val="Para1"/>
        <w:numPr>
          <w:ilvl w:val="0"/>
          <w:numId w:val="0"/>
        </w:numPr>
        <w:spacing w:after="0"/>
        <w:ind w:left="142"/>
        <w:jc w:val="left"/>
      </w:pPr>
      <w:r w:rsidRPr="00230BC2">
        <w:t>Democratic People</w:t>
      </w:r>
      <w:r w:rsidR="005D11FC" w:rsidRPr="00230BC2">
        <w:t>’</w:t>
      </w:r>
      <w:r w:rsidRPr="00230BC2">
        <w:t>s Republic of Korea</w:t>
      </w:r>
      <w:r w:rsidR="00E77F70" w:rsidRPr="00230BC2">
        <w:rPr>
          <w:vertAlign w:val="superscript"/>
        </w:rPr>
        <w:t>a</w:t>
      </w:r>
    </w:p>
    <w:p w14:paraId="563222D8" w14:textId="77777777" w:rsidR="002F7B48" w:rsidRPr="00230BC2" w:rsidRDefault="002F7B48" w:rsidP="00322CF8">
      <w:pPr>
        <w:pStyle w:val="Para1"/>
        <w:numPr>
          <w:ilvl w:val="0"/>
          <w:numId w:val="0"/>
        </w:numPr>
        <w:spacing w:after="0"/>
        <w:ind w:left="142"/>
        <w:jc w:val="left"/>
      </w:pPr>
      <w:r w:rsidRPr="00230BC2">
        <w:t>Democratic Republic of the Congo</w:t>
      </w:r>
    </w:p>
    <w:p w14:paraId="5C6F9AB3" w14:textId="77777777" w:rsidR="002F7B48" w:rsidRPr="00230BC2" w:rsidRDefault="002F7B48" w:rsidP="00322CF8">
      <w:pPr>
        <w:pStyle w:val="Para1"/>
        <w:numPr>
          <w:ilvl w:val="0"/>
          <w:numId w:val="0"/>
        </w:numPr>
        <w:spacing w:after="0"/>
        <w:ind w:left="142"/>
        <w:jc w:val="left"/>
      </w:pPr>
      <w:r w:rsidRPr="00230BC2">
        <w:t>Denmark</w:t>
      </w:r>
    </w:p>
    <w:p w14:paraId="408EA3E3" w14:textId="77777777" w:rsidR="002F7B48" w:rsidRPr="00230BC2" w:rsidRDefault="002F7B48" w:rsidP="00322CF8">
      <w:pPr>
        <w:pStyle w:val="Para1"/>
        <w:numPr>
          <w:ilvl w:val="0"/>
          <w:numId w:val="0"/>
        </w:numPr>
        <w:spacing w:after="0"/>
        <w:ind w:left="142"/>
        <w:jc w:val="left"/>
      </w:pPr>
      <w:r w:rsidRPr="00230BC2">
        <w:t>Djibouti</w:t>
      </w:r>
    </w:p>
    <w:p w14:paraId="3B3213A8" w14:textId="099DFF51" w:rsidR="002F7B48" w:rsidRPr="00230BC2" w:rsidRDefault="002F7B48" w:rsidP="00322CF8">
      <w:pPr>
        <w:pStyle w:val="Para1"/>
        <w:numPr>
          <w:ilvl w:val="0"/>
          <w:numId w:val="0"/>
        </w:numPr>
        <w:spacing w:after="0"/>
        <w:ind w:left="142"/>
        <w:jc w:val="left"/>
      </w:pPr>
      <w:r w:rsidRPr="00230BC2">
        <w:t>Dominica</w:t>
      </w:r>
      <w:r w:rsidR="006F5A31" w:rsidRPr="00230BC2">
        <w:rPr>
          <w:vertAlign w:val="superscript"/>
        </w:rPr>
        <w:t>a</w:t>
      </w:r>
    </w:p>
    <w:p w14:paraId="0B28E5DB" w14:textId="77777777" w:rsidR="002F7B48" w:rsidRPr="00230BC2" w:rsidRDefault="002F7B48" w:rsidP="00322CF8">
      <w:pPr>
        <w:pStyle w:val="Para1"/>
        <w:numPr>
          <w:ilvl w:val="0"/>
          <w:numId w:val="0"/>
        </w:numPr>
        <w:spacing w:after="0"/>
        <w:ind w:left="142"/>
        <w:jc w:val="left"/>
      </w:pPr>
      <w:r w:rsidRPr="00230BC2">
        <w:t>Dominican Republic</w:t>
      </w:r>
    </w:p>
    <w:p w14:paraId="3B06C386" w14:textId="246C24CA" w:rsidR="002F7B48" w:rsidRPr="00230BC2" w:rsidRDefault="002F7B48" w:rsidP="00322CF8">
      <w:pPr>
        <w:pStyle w:val="Para1"/>
        <w:numPr>
          <w:ilvl w:val="0"/>
          <w:numId w:val="0"/>
        </w:numPr>
        <w:spacing w:after="0"/>
        <w:ind w:left="142"/>
        <w:jc w:val="left"/>
      </w:pPr>
      <w:r w:rsidRPr="00230BC2">
        <w:t>Ecuador</w:t>
      </w:r>
      <w:r w:rsidR="00866BE2" w:rsidRPr="00230BC2">
        <w:rPr>
          <w:vertAlign w:val="superscript"/>
        </w:rPr>
        <w:t>a</w:t>
      </w:r>
    </w:p>
    <w:p w14:paraId="0D87B1AB" w14:textId="77777777" w:rsidR="002F7B48" w:rsidRPr="00230BC2" w:rsidRDefault="002F7B48" w:rsidP="00322CF8">
      <w:pPr>
        <w:pStyle w:val="Para1"/>
        <w:numPr>
          <w:ilvl w:val="0"/>
          <w:numId w:val="0"/>
        </w:numPr>
        <w:spacing w:after="0"/>
        <w:ind w:left="142"/>
        <w:jc w:val="left"/>
      </w:pPr>
      <w:r w:rsidRPr="00230BC2">
        <w:t>Egypt</w:t>
      </w:r>
    </w:p>
    <w:p w14:paraId="29B79343" w14:textId="6461D1EC" w:rsidR="002F7B48" w:rsidRPr="00230BC2" w:rsidRDefault="002F7B48" w:rsidP="00322CF8">
      <w:pPr>
        <w:pStyle w:val="Para1"/>
        <w:numPr>
          <w:ilvl w:val="0"/>
          <w:numId w:val="0"/>
        </w:numPr>
        <w:spacing w:after="0"/>
        <w:ind w:left="142"/>
        <w:jc w:val="left"/>
      </w:pPr>
      <w:r w:rsidRPr="00230BC2">
        <w:t>El Salvador</w:t>
      </w:r>
      <w:r w:rsidR="00866BE2" w:rsidRPr="00230BC2">
        <w:rPr>
          <w:vertAlign w:val="superscript"/>
        </w:rPr>
        <w:t>a</w:t>
      </w:r>
    </w:p>
    <w:p w14:paraId="02993647" w14:textId="77777777" w:rsidR="002F7B48" w:rsidRPr="00230BC2" w:rsidRDefault="002F7B48" w:rsidP="00322CF8">
      <w:pPr>
        <w:pStyle w:val="Para1"/>
        <w:numPr>
          <w:ilvl w:val="0"/>
          <w:numId w:val="0"/>
        </w:numPr>
        <w:spacing w:after="0"/>
        <w:ind w:left="142"/>
        <w:jc w:val="left"/>
      </w:pPr>
      <w:r w:rsidRPr="00230BC2">
        <w:t>Equatorial Guinea</w:t>
      </w:r>
    </w:p>
    <w:p w14:paraId="4AC3F977" w14:textId="77777777" w:rsidR="002F7B48" w:rsidRPr="00230BC2" w:rsidRDefault="002F7B48" w:rsidP="00322CF8">
      <w:pPr>
        <w:pStyle w:val="Para1"/>
        <w:numPr>
          <w:ilvl w:val="0"/>
          <w:numId w:val="0"/>
        </w:numPr>
        <w:spacing w:after="0"/>
        <w:ind w:left="142"/>
        <w:jc w:val="left"/>
      </w:pPr>
      <w:r w:rsidRPr="00230BC2">
        <w:t>Eritrea</w:t>
      </w:r>
    </w:p>
    <w:p w14:paraId="5B46227F" w14:textId="77777777" w:rsidR="002F7B48" w:rsidRPr="00230BC2" w:rsidRDefault="002F7B48" w:rsidP="00322CF8">
      <w:pPr>
        <w:pStyle w:val="Para1"/>
        <w:numPr>
          <w:ilvl w:val="0"/>
          <w:numId w:val="0"/>
        </w:numPr>
        <w:spacing w:after="0"/>
        <w:ind w:left="142"/>
        <w:jc w:val="left"/>
      </w:pPr>
      <w:r w:rsidRPr="00230BC2">
        <w:t>Estonia</w:t>
      </w:r>
    </w:p>
    <w:p w14:paraId="2CA651EE" w14:textId="77777777" w:rsidR="002F7B48" w:rsidRPr="00230BC2" w:rsidRDefault="002F7B48" w:rsidP="00322CF8">
      <w:pPr>
        <w:pStyle w:val="Para1"/>
        <w:numPr>
          <w:ilvl w:val="0"/>
          <w:numId w:val="0"/>
        </w:numPr>
        <w:spacing w:after="0"/>
        <w:ind w:left="142"/>
        <w:jc w:val="left"/>
      </w:pPr>
      <w:r w:rsidRPr="00230BC2">
        <w:t>Eswatini</w:t>
      </w:r>
    </w:p>
    <w:p w14:paraId="03A1F19B" w14:textId="77777777" w:rsidR="002F7B48" w:rsidRPr="00230BC2" w:rsidRDefault="002F7B48" w:rsidP="00322CF8">
      <w:pPr>
        <w:pStyle w:val="Para1"/>
        <w:numPr>
          <w:ilvl w:val="0"/>
          <w:numId w:val="0"/>
        </w:numPr>
        <w:spacing w:after="0"/>
        <w:ind w:left="142"/>
        <w:jc w:val="left"/>
      </w:pPr>
      <w:r w:rsidRPr="00230BC2">
        <w:t>Ethiopia</w:t>
      </w:r>
    </w:p>
    <w:p w14:paraId="76BE6820" w14:textId="77777777" w:rsidR="002F7B48" w:rsidRPr="00230BC2" w:rsidRDefault="002F7B48" w:rsidP="00322CF8">
      <w:pPr>
        <w:pStyle w:val="Para1"/>
        <w:numPr>
          <w:ilvl w:val="0"/>
          <w:numId w:val="0"/>
        </w:numPr>
        <w:spacing w:after="0"/>
        <w:ind w:left="142"/>
        <w:jc w:val="left"/>
      </w:pPr>
      <w:r w:rsidRPr="00230BC2">
        <w:t>European Union</w:t>
      </w:r>
    </w:p>
    <w:p w14:paraId="01AD82E6" w14:textId="77777777" w:rsidR="002F7B48" w:rsidRPr="00230BC2" w:rsidRDefault="002F7B48" w:rsidP="00322CF8">
      <w:pPr>
        <w:pStyle w:val="Para1"/>
        <w:numPr>
          <w:ilvl w:val="0"/>
          <w:numId w:val="0"/>
        </w:numPr>
        <w:spacing w:after="0"/>
        <w:ind w:left="142"/>
        <w:jc w:val="left"/>
      </w:pPr>
      <w:r w:rsidRPr="00230BC2">
        <w:t>Fiji</w:t>
      </w:r>
    </w:p>
    <w:p w14:paraId="78835AFD" w14:textId="77777777" w:rsidR="002F7B48" w:rsidRPr="00230BC2" w:rsidRDefault="002F7B48" w:rsidP="00322CF8">
      <w:pPr>
        <w:pStyle w:val="Para1"/>
        <w:numPr>
          <w:ilvl w:val="0"/>
          <w:numId w:val="0"/>
        </w:numPr>
        <w:spacing w:after="0"/>
        <w:ind w:left="142"/>
        <w:jc w:val="left"/>
      </w:pPr>
      <w:r w:rsidRPr="00230BC2">
        <w:t>Finland</w:t>
      </w:r>
    </w:p>
    <w:p w14:paraId="624686E9" w14:textId="77777777" w:rsidR="002F7B48" w:rsidRPr="00230BC2" w:rsidRDefault="002F7B48" w:rsidP="00322CF8">
      <w:pPr>
        <w:pStyle w:val="Para1"/>
        <w:numPr>
          <w:ilvl w:val="0"/>
          <w:numId w:val="0"/>
        </w:numPr>
        <w:spacing w:after="0"/>
        <w:ind w:left="142"/>
        <w:jc w:val="left"/>
      </w:pPr>
      <w:r w:rsidRPr="00230BC2">
        <w:t>France</w:t>
      </w:r>
    </w:p>
    <w:p w14:paraId="46B271E2" w14:textId="77777777" w:rsidR="002F7B48" w:rsidRPr="00230BC2" w:rsidRDefault="002F7B48" w:rsidP="00322CF8">
      <w:pPr>
        <w:pStyle w:val="Para1"/>
        <w:numPr>
          <w:ilvl w:val="0"/>
          <w:numId w:val="0"/>
        </w:numPr>
        <w:spacing w:after="0"/>
        <w:ind w:left="142"/>
        <w:jc w:val="left"/>
      </w:pPr>
      <w:r w:rsidRPr="00230BC2">
        <w:t>Gabon</w:t>
      </w:r>
    </w:p>
    <w:p w14:paraId="46C7D1C1" w14:textId="580EAA71" w:rsidR="002F7B48" w:rsidRPr="00230BC2" w:rsidRDefault="002F7B48" w:rsidP="00322CF8">
      <w:pPr>
        <w:pStyle w:val="Para1"/>
        <w:numPr>
          <w:ilvl w:val="0"/>
          <w:numId w:val="0"/>
        </w:numPr>
        <w:spacing w:after="0"/>
        <w:ind w:left="142"/>
        <w:jc w:val="left"/>
      </w:pPr>
      <w:r w:rsidRPr="00230BC2">
        <w:t>Gambia</w:t>
      </w:r>
    </w:p>
    <w:p w14:paraId="7AC6AD1B" w14:textId="77777777" w:rsidR="002F7B48" w:rsidRPr="00230BC2" w:rsidRDefault="002F7B48" w:rsidP="00322CF8">
      <w:pPr>
        <w:pStyle w:val="Para1"/>
        <w:numPr>
          <w:ilvl w:val="0"/>
          <w:numId w:val="0"/>
        </w:numPr>
        <w:spacing w:after="0"/>
        <w:ind w:left="142"/>
        <w:jc w:val="left"/>
      </w:pPr>
      <w:r w:rsidRPr="00230BC2">
        <w:t>Georgia</w:t>
      </w:r>
    </w:p>
    <w:p w14:paraId="32EBD667" w14:textId="77777777" w:rsidR="002F7B48" w:rsidRPr="00230BC2" w:rsidRDefault="002F7B48" w:rsidP="00322CF8">
      <w:pPr>
        <w:pStyle w:val="Para1"/>
        <w:numPr>
          <w:ilvl w:val="0"/>
          <w:numId w:val="0"/>
        </w:numPr>
        <w:spacing w:after="0"/>
        <w:ind w:left="142"/>
        <w:jc w:val="left"/>
      </w:pPr>
      <w:r w:rsidRPr="00230BC2">
        <w:t>Germany</w:t>
      </w:r>
    </w:p>
    <w:p w14:paraId="1C8CEEFC" w14:textId="77777777" w:rsidR="002F7B48" w:rsidRPr="00230BC2" w:rsidRDefault="002F7B48" w:rsidP="00322CF8">
      <w:pPr>
        <w:pStyle w:val="Para1"/>
        <w:numPr>
          <w:ilvl w:val="0"/>
          <w:numId w:val="0"/>
        </w:numPr>
        <w:spacing w:after="0"/>
        <w:ind w:left="142"/>
        <w:jc w:val="left"/>
      </w:pPr>
      <w:r w:rsidRPr="00230BC2">
        <w:t>Ghana</w:t>
      </w:r>
    </w:p>
    <w:p w14:paraId="65B8EA8C" w14:textId="77777777" w:rsidR="002F7B48" w:rsidRPr="00230BC2" w:rsidRDefault="002F7B48" w:rsidP="00322CF8">
      <w:pPr>
        <w:pStyle w:val="Para1"/>
        <w:numPr>
          <w:ilvl w:val="0"/>
          <w:numId w:val="0"/>
        </w:numPr>
        <w:spacing w:after="0"/>
        <w:ind w:left="142"/>
        <w:jc w:val="left"/>
      </w:pPr>
      <w:r w:rsidRPr="00230BC2">
        <w:t>Greece</w:t>
      </w:r>
    </w:p>
    <w:p w14:paraId="020AF520" w14:textId="77777777" w:rsidR="002F7B48" w:rsidRPr="00230BC2" w:rsidRDefault="002F7B48" w:rsidP="00322CF8">
      <w:pPr>
        <w:pStyle w:val="Para1"/>
        <w:numPr>
          <w:ilvl w:val="0"/>
          <w:numId w:val="0"/>
        </w:numPr>
        <w:spacing w:after="0"/>
        <w:ind w:left="142"/>
        <w:jc w:val="left"/>
      </w:pPr>
      <w:r w:rsidRPr="00230BC2">
        <w:t>Grenada</w:t>
      </w:r>
    </w:p>
    <w:p w14:paraId="796A6E31" w14:textId="77777777" w:rsidR="002F7B48" w:rsidRPr="00230BC2" w:rsidRDefault="002F7B48" w:rsidP="00322CF8">
      <w:pPr>
        <w:pStyle w:val="Para1"/>
        <w:numPr>
          <w:ilvl w:val="0"/>
          <w:numId w:val="0"/>
        </w:numPr>
        <w:spacing w:after="0"/>
        <w:ind w:left="142"/>
        <w:jc w:val="left"/>
      </w:pPr>
      <w:r w:rsidRPr="00230BC2">
        <w:t>Guatemala</w:t>
      </w:r>
    </w:p>
    <w:p w14:paraId="03123608" w14:textId="1EF4B802" w:rsidR="002F7B48" w:rsidRPr="00230BC2" w:rsidRDefault="002F7B48" w:rsidP="00322CF8">
      <w:pPr>
        <w:pStyle w:val="Para1"/>
        <w:numPr>
          <w:ilvl w:val="0"/>
          <w:numId w:val="0"/>
        </w:numPr>
        <w:spacing w:after="0"/>
        <w:ind w:left="142"/>
        <w:jc w:val="left"/>
      </w:pPr>
      <w:r w:rsidRPr="00230BC2">
        <w:t>Guinea</w:t>
      </w:r>
      <w:r w:rsidR="00866BE2" w:rsidRPr="00230BC2">
        <w:rPr>
          <w:vertAlign w:val="superscript"/>
        </w:rPr>
        <w:t>a</w:t>
      </w:r>
    </w:p>
    <w:p w14:paraId="6CAF8E6C" w14:textId="77777777" w:rsidR="002F7B48" w:rsidRPr="00230BC2" w:rsidRDefault="002F7B48" w:rsidP="00322CF8">
      <w:pPr>
        <w:pStyle w:val="Para1"/>
        <w:numPr>
          <w:ilvl w:val="0"/>
          <w:numId w:val="0"/>
        </w:numPr>
        <w:spacing w:after="0"/>
        <w:ind w:left="142"/>
        <w:jc w:val="left"/>
      </w:pPr>
      <w:r w:rsidRPr="00230BC2">
        <w:t>Guinea-Bissau</w:t>
      </w:r>
    </w:p>
    <w:p w14:paraId="25F7A3F3" w14:textId="48438A99" w:rsidR="002F7B48" w:rsidRPr="00230BC2" w:rsidRDefault="002F7B48" w:rsidP="00322CF8">
      <w:pPr>
        <w:pStyle w:val="Para1"/>
        <w:numPr>
          <w:ilvl w:val="0"/>
          <w:numId w:val="0"/>
        </w:numPr>
        <w:spacing w:after="0"/>
        <w:ind w:left="142"/>
        <w:jc w:val="left"/>
      </w:pPr>
      <w:r w:rsidRPr="00230BC2">
        <w:t>Guyana</w:t>
      </w:r>
      <w:r w:rsidR="00866BE2" w:rsidRPr="00230BC2">
        <w:rPr>
          <w:vertAlign w:val="superscript"/>
        </w:rPr>
        <w:t>a</w:t>
      </w:r>
    </w:p>
    <w:p w14:paraId="28595C3F" w14:textId="77777777" w:rsidR="002F7B48" w:rsidRPr="00230BC2" w:rsidRDefault="002F7B48" w:rsidP="00322CF8">
      <w:pPr>
        <w:pStyle w:val="Para1"/>
        <w:numPr>
          <w:ilvl w:val="0"/>
          <w:numId w:val="0"/>
        </w:numPr>
        <w:spacing w:after="0"/>
        <w:ind w:left="142"/>
        <w:jc w:val="left"/>
      </w:pPr>
      <w:r w:rsidRPr="00230BC2">
        <w:t>Haiti</w:t>
      </w:r>
    </w:p>
    <w:p w14:paraId="0734B4DB" w14:textId="66CC7BA7" w:rsidR="002F7B48" w:rsidRPr="00230BC2" w:rsidRDefault="002F7B48" w:rsidP="00322CF8">
      <w:pPr>
        <w:pStyle w:val="Para1"/>
        <w:numPr>
          <w:ilvl w:val="0"/>
          <w:numId w:val="0"/>
        </w:numPr>
        <w:spacing w:after="0"/>
        <w:ind w:left="142"/>
        <w:jc w:val="left"/>
      </w:pPr>
      <w:r w:rsidRPr="00230BC2">
        <w:t>Honduras</w:t>
      </w:r>
      <w:r w:rsidR="00866BE2" w:rsidRPr="00230BC2">
        <w:rPr>
          <w:vertAlign w:val="superscript"/>
        </w:rPr>
        <w:t>a</w:t>
      </w:r>
    </w:p>
    <w:p w14:paraId="0C0AF27B" w14:textId="77777777" w:rsidR="002F7B48" w:rsidRPr="00230BC2" w:rsidRDefault="002F7B48" w:rsidP="00322CF8">
      <w:pPr>
        <w:pStyle w:val="Para1"/>
        <w:numPr>
          <w:ilvl w:val="0"/>
          <w:numId w:val="0"/>
        </w:numPr>
        <w:spacing w:after="0"/>
        <w:ind w:left="142"/>
        <w:jc w:val="left"/>
      </w:pPr>
      <w:r w:rsidRPr="00230BC2">
        <w:t>Hungary</w:t>
      </w:r>
    </w:p>
    <w:p w14:paraId="1B04FFA6" w14:textId="77777777" w:rsidR="002F7B48" w:rsidRPr="00230BC2" w:rsidRDefault="002F7B48" w:rsidP="00322CF8">
      <w:pPr>
        <w:pStyle w:val="Para1"/>
        <w:numPr>
          <w:ilvl w:val="0"/>
          <w:numId w:val="0"/>
        </w:numPr>
        <w:spacing w:after="0"/>
        <w:ind w:left="142"/>
        <w:jc w:val="left"/>
      </w:pPr>
      <w:r w:rsidRPr="00230BC2">
        <w:t>Iceland</w:t>
      </w:r>
    </w:p>
    <w:p w14:paraId="29D0482A" w14:textId="77777777" w:rsidR="002F7B48" w:rsidRPr="00230BC2" w:rsidRDefault="002F7B48" w:rsidP="00322CF8">
      <w:pPr>
        <w:pStyle w:val="Para1"/>
        <w:numPr>
          <w:ilvl w:val="0"/>
          <w:numId w:val="0"/>
        </w:numPr>
        <w:spacing w:after="0"/>
        <w:ind w:left="142"/>
        <w:jc w:val="left"/>
      </w:pPr>
      <w:r w:rsidRPr="00230BC2">
        <w:t>India</w:t>
      </w:r>
    </w:p>
    <w:p w14:paraId="366D4A53" w14:textId="77777777" w:rsidR="002F7B48" w:rsidRPr="00230BC2" w:rsidRDefault="002F7B48" w:rsidP="00322CF8">
      <w:pPr>
        <w:pStyle w:val="Para1"/>
        <w:numPr>
          <w:ilvl w:val="0"/>
          <w:numId w:val="0"/>
        </w:numPr>
        <w:spacing w:after="0"/>
        <w:ind w:left="142"/>
        <w:jc w:val="left"/>
      </w:pPr>
      <w:r w:rsidRPr="00230BC2">
        <w:t>Indonesia</w:t>
      </w:r>
    </w:p>
    <w:p w14:paraId="19C92E8B" w14:textId="410F3FA4" w:rsidR="002F7B48" w:rsidRPr="00230BC2" w:rsidRDefault="002F7B48" w:rsidP="00322CF8">
      <w:pPr>
        <w:pStyle w:val="Para1"/>
        <w:numPr>
          <w:ilvl w:val="0"/>
          <w:numId w:val="0"/>
        </w:numPr>
        <w:spacing w:after="0"/>
        <w:ind w:left="142"/>
        <w:jc w:val="left"/>
      </w:pPr>
      <w:r w:rsidRPr="00230BC2">
        <w:t>Iran (Islamic Republic of)</w:t>
      </w:r>
      <w:r w:rsidR="001A618C">
        <w:rPr>
          <w:vertAlign w:val="superscript"/>
        </w:rPr>
        <w:t>a</w:t>
      </w:r>
    </w:p>
    <w:p w14:paraId="7A0900D2" w14:textId="5E072B5D" w:rsidR="004D2C4B" w:rsidRPr="00230BC2" w:rsidRDefault="004D2C4B" w:rsidP="00322CF8">
      <w:pPr>
        <w:pStyle w:val="Para1"/>
        <w:numPr>
          <w:ilvl w:val="0"/>
          <w:numId w:val="0"/>
        </w:numPr>
        <w:spacing w:after="0"/>
        <w:ind w:left="142"/>
        <w:jc w:val="left"/>
      </w:pPr>
      <w:r w:rsidRPr="00230BC2">
        <w:t>Iraq</w:t>
      </w:r>
      <w:r w:rsidR="00866BE2" w:rsidRPr="00230BC2">
        <w:rPr>
          <w:vertAlign w:val="superscript"/>
        </w:rPr>
        <w:t>b</w:t>
      </w:r>
    </w:p>
    <w:p w14:paraId="560B3C8C" w14:textId="26F0AC26" w:rsidR="002F7B48" w:rsidRPr="00230BC2" w:rsidRDefault="002F7B48" w:rsidP="00322CF8">
      <w:pPr>
        <w:pStyle w:val="Para1"/>
        <w:numPr>
          <w:ilvl w:val="0"/>
          <w:numId w:val="0"/>
        </w:numPr>
        <w:spacing w:after="0"/>
        <w:ind w:left="142"/>
        <w:jc w:val="left"/>
      </w:pPr>
      <w:r w:rsidRPr="00230BC2">
        <w:t>Ireland</w:t>
      </w:r>
    </w:p>
    <w:p w14:paraId="081EAD97" w14:textId="4C4BC798" w:rsidR="002F7B48" w:rsidRPr="00230BC2" w:rsidRDefault="002F7B48" w:rsidP="00322CF8">
      <w:pPr>
        <w:pStyle w:val="Para1"/>
        <w:numPr>
          <w:ilvl w:val="0"/>
          <w:numId w:val="0"/>
        </w:numPr>
        <w:spacing w:after="0"/>
        <w:ind w:left="142"/>
        <w:jc w:val="left"/>
      </w:pPr>
      <w:r w:rsidRPr="00230BC2">
        <w:t>Israel</w:t>
      </w:r>
      <w:r w:rsidR="00866BE2" w:rsidRPr="00230BC2">
        <w:rPr>
          <w:vertAlign w:val="superscript"/>
        </w:rPr>
        <w:t>a</w:t>
      </w:r>
    </w:p>
    <w:p w14:paraId="1BF62E75" w14:textId="77777777" w:rsidR="002F7B48" w:rsidRPr="00230BC2" w:rsidRDefault="002F7B48" w:rsidP="00322CF8">
      <w:pPr>
        <w:pStyle w:val="Para1"/>
        <w:numPr>
          <w:ilvl w:val="0"/>
          <w:numId w:val="0"/>
        </w:numPr>
        <w:spacing w:after="0"/>
        <w:ind w:left="142"/>
        <w:jc w:val="left"/>
      </w:pPr>
      <w:r w:rsidRPr="00230BC2">
        <w:t>Italy</w:t>
      </w:r>
    </w:p>
    <w:p w14:paraId="4E61059C" w14:textId="77777777" w:rsidR="002F7B48" w:rsidRPr="00230BC2" w:rsidRDefault="002F7B48" w:rsidP="00322CF8">
      <w:pPr>
        <w:pStyle w:val="Para1"/>
        <w:numPr>
          <w:ilvl w:val="0"/>
          <w:numId w:val="0"/>
        </w:numPr>
        <w:spacing w:after="0"/>
        <w:ind w:left="142"/>
        <w:jc w:val="left"/>
      </w:pPr>
      <w:r w:rsidRPr="00230BC2">
        <w:t>Jamaica</w:t>
      </w:r>
    </w:p>
    <w:p w14:paraId="7B2119F8" w14:textId="77777777" w:rsidR="002F7B48" w:rsidRPr="00230BC2" w:rsidRDefault="002F7B48" w:rsidP="00322CF8">
      <w:pPr>
        <w:pStyle w:val="Para1"/>
        <w:numPr>
          <w:ilvl w:val="0"/>
          <w:numId w:val="0"/>
        </w:numPr>
        <w:spacing w:after="0"/>
        <w:ind w:left="142"/>
        <w:jc w:val="left"/>
      </w:pPr>
      <w:r w:rsidRPr="00230BC2">
        <w:t>Japan</w:t>
      </w:r>
    </w:p>
    <w:p w14:paraId="3FEE394D" w14:textId="77777777" w:rsidR="002F7B48" w:rsidRPr="00230BC2" w:rsidRDefault="002F7B48" w:rsidP="00322CF8">
      <w:pPr>
        <w:pStyle w:val="Para1"/>
        <w:numPr>
          <w:ilvl w:val="0"/>
          <w:numId w:val="0"/>
        </w:numPr>
        <w:spacing w:after="0"/>
        <w:ind w:left="142"/>
        <w:jc w:val="left"/>
      </w:pPr>
      <w:r w:rsidRPr="00230BC2">
        <w:t>Jordan</w:t>
      </w:r>
    </w:p>
    <w:p w14:paraId="311922B4" w14:textId="2855F0A0" w:rsidR="002F7B48" w:rsidRPr="00230BC2" w:rsidRDefault="002F7B48" w:rsidP="00322CF8">
      <w:pPr>
        <w:pStyle w:val="Para1"/>
        <w:numPr>
          <w:ilvl w:val="0"/>
          <w:numId w:val="0"/>
        </w:numPr>
        <w:spacing w:after="0"/>
        <w:ind w:left="142"/>
        <w:jc w:val="left"/>
      </w:pPr>
      <w:r w:rsidRPr="00230BC2">
        <w:t>Kazakhstan</w:t>
      </w:r>
      <w:r w:rsidR="00866BE2" w:rsidRPr="00230BC2">
        <w:rPr>
          <w:vertAlign w:val="superscript"/>
        </w:rPr>
        <w:t>a</w:t>
      </w:r>
    </w:p>
    <w:p w14:paraId="2C55242A" w14:textId="77777777" w:rsidR="002F7B48" w:rsidRPr="00230BC2" w:rsidRDefault="002F7B48" w:rsidP="00322CF8">
      <w:pPr>
        <w:pStyle w:val="Para1"/>
        <w:numPr>
          <w:ilvl w:val="0"/>
          <w:numId w:val="0"/>
        </w:numPr>
        <w:spacing w:after="0"/>
        <w:ind w:left="142"/>
        <w:jc w:val="left"/>
      </w:pPr>
      <w:r w:rsidRPr="00230BC2">
        <w:t>Kenya</w:t>
      </w:r>
    </w:p>
    <w:p w14:paraId="595931C1" w14:textId="77777777" w:rsidR="002F7B48" w:rsidRPr="00230BC2" w:rsidRDefault="002F7B48" w:rsidP="00322CF8">
      <w:pPr>
        <w:pStyle w:val="Para1"/>
        <w:numPr>
          <w:ilvl w:val="0"/>
          <w:numId w:val="0"/>
        </w:numPr>
        <w:spacing w:after="0"/>
        <w:ind w:left="142"/>
        <w:jc w:val="left"/>
      </w:pPr>
      <w:r w:rsidRPr="00230BC2">
        <w:t>Kiribati</w:t>
      </w:r>
    </w:p>
    <w:p w14:paraId="4DD6926D" w14:textId="77777777" w:rsidR="002F7B48" w:rsidRPr="00230BC2" w:rsidRDefault="002F7B48" w:rsidP="00322CF8">
      <w:pPr>
        <w:pStyle w:val="Para1"/>
        <w:numPr>
          <w:ilvl w:val="0"/>
          <w:numId w:val="0"/>
        </w:numPr>
        <w:spacing w:after="0"/>
        <w:ind w:left="142"/>
        <w:jc w:val="left"/>
      </w:pPr>
      <w:r w:rsidRPr="00230BC2">
        <w:t>Kuwait</w:t>
      </w:r>
    </w:p>
    <w:p w14:paraId="3BBC4D38" w14:textId="4A697583" w:rsidR="002F7B48" w:rsidRPr="00230BC2" w:rsidRDefault="002F7B48" w:rsidP="00322CF8">
      <w:pPr>
        <w:pStyle w:val="Para1"/>
        <w:numPr>
          <w:ilvl w:val="0"/>
          <w:numId w:val="0"/>
        </w:numPr>
        <w:spacing w:after="0"/>
        <w:ind w:left="142"/>
        <w:jc w:val="left"/>
      </w:pPr>
      <w:r w:rsidRPr="00230BC2">
        <w:t>Kyrgyzstan</w:t>
      </w:r>
      <w:r w:rsidR="00866BE2" w:rsidRPr="00230BC2">
        <w:rPr>
          <w:vertAlign w:val="superscript"/>
        </w:rPr>
        <w:t>a</w:t>
      </w:r>
    </w:p>
    <w:p w14:paraId="41EB2D38" w14:textId="4A16F55B" w:rsidR="002F7B48" w:rsidRPr="00230BC2" w:rsidRDefault="002F7B48" w:rsidP="00322CF8">
      <w:pPr>
        <w:pStyle w:val="Para1"/>
        <w:numPr>
          <w:ilvl w:val="0"/>
          <w:numId w:val="0"/>
        </w:numPr>
        <w:spacing w:after="0"/>
        <w:ind w:left="142"/>
        <w:jc w:val="left"/>
      </w:pPr>
      <w:r w:rsidRPr="00230BC2">
        <w:t>Lao People</w:t>
      </w:r>
      <w:r w:rsidR="00EC2F6F" w:rsidRPr="00230BC2">
        <w:t>’</w:t>
      </w:r>
      <w:r w:rsidRPr="00230BC2">
        <w:t>s Democratic</w:t>
      </w:r>
      <w:r w:rsidR="00866BE2" w:rsidRPr="00230BC2">
        <w:rPr>
          <w:vertAlign w:val="superscript"/>
        </w:rPr>
        <w:t>a</w:t>
      </w:r>
      <w:r w:rsidRPr="00230BC2">
        <w:t xml:space="preserve"> Republic</w:t>
      </w:r>
    </w:p>
    <w:p w14:paraId="763288F2" w14:textId="77777777" w:rsidR="002F7B48" w:rsidRPr="00230BC2" w:rsidRDefault="002F7B48" w:rsidP="00322CF8">
      <w:pPr>
        <w:pStyle w:val="Para1"/>
        <w:numPr>
          <w:ilvl w:val="0"/>
          <w:numId w:val="0"/>
        </w:numPr>
        <w:spacing w:after="0"/>
        <w:ind w:left="142"/>
        <w:jc w:val="left"/>
      </w:pPr>
      <w:r w:rsidRPr="00230BC2">
        <w:t>Latvia</w:t>
      </w:r>
    </w:p>
    <w:p w14:paraId="0BBC9052" w14:textId="52E47CFF" w:rsidR="002F7B48" w:rsidRPr="00230BC2" w:rsidRDefault="002F7B48" w:rsidP="00322CF8">
      <w:pPr>
        <w:pStyle w:val="Para1"/>
        <w:numPr>
          <w:ilvl w:val="0"/>
          <w:numId w:val="0"/>
        </w:numPr>
        <w:spacing w:after="0"/>
        <w:ind w:left="142"/>
        <w:jc w:val="left"/>
      </w:pPr>
      <w:r w:rsidRPr="00230BC2">
        <w:t>Lebanon</w:t>
      </w:r>
      <w:r w:rsidR="00866BE2" w:rsidRPr="00230BC2">
        <w:rPr>
          <w:vertAlign w:val="superscript"/>
        </w:rPr>
        <w:t>a</w:t>
      </w:r>
    </w:p>
    <w:p w14:paraId="5BF95C8C" w14:textId="77777777" w:rsidR="002F7B48" w:rsidRPr="00230BC2" w:rsidRDefault="002F7B48" w:rsidP="00322CF8">
      <w:pPr>
        <w:pStyle w:val="Para1"/>
        <w:numPr>
          <w:ilvl w:val="0"/>
          <w:numId w:val="0"/>
        </w:numPr>
        <w:spacing w:after="0"/>
        <w:ind w:left="142"/>
        <w:jc w:val="left"/>
      </w:pPr>
      <w:r w:rsidRPr="00230BC2">
        <w:t>Lesotho</w:t>
      </w:r>
    </w:p>
    <w:p w14:paraId="086060FF" w14:textId="77777777" w:rsidR="002F7B48" w:rsidRPr="00230BC2" w:rsidRDefault="002F7B48" w:rsidP="00322CF8">
      <w:pPr>
        <w:pStyle w:val="Para1"/>
        <w:numPr>
          <w:ilvl w:val="0"/>
          <w:numId w:val="0"/>
        </w:numPr>
        <w:spacing w:after="0"/>
        <w:ind w:left="142"/>
        <w:jc w:val="left"/>
      </w:pPr>
      <w:r w:rsidRPr="00230BC2">
        <w:t>Liberia</w:t>
      </w:r>
    </w:p>
    <w:p w14:paraId="7475CCF5" w14:textId="647DE02F" w:rsidR="002F7B48" w:rsidRPr="00230BC2" w:rsidRDefault="002F7B48" w:rsidP="00322CF8">
      <w:pPr>
        <w:pStyle w:val="Para1"/>
        <w:numPr>
          <w:ilvl w:val="0"/>
          <w:numId w:val="0"/>
        </w:numPr>
        <w:spacing w:after="0"/>
        <w:ind w:left="142"/>
        <w:jc w:val="left"/>
      </w:pPr>
      <w:r w:rsidRPr="00230BC2">
        <w:t>Libya</w:t>
      </w:r>
      <w:r w:rsidR="00866BE2" w:rsidRPr="00230BC2">
        <w:rPr>
          <w:vertAlign w:val="superscript"/>
        </w:rPr>
        <w:t>a</w:t>
      </w:r>
    </w:p>
    <w:p w14:paraId="6644C74A" w14:textId="2BB40160" w:rsidR="002F7B48" w:rsidRPr="00230BC2" w:rsidRDefault="002F7B48" w:rsidP="00322CF8">
      <w:pPr>
        <w:pStyle w:val="Para1"/>
        <w:numPr>
          <w:ilvl w:val="0"/>
          <w:numId w:val="0"/>
        </w:numPr>
        <w:spacing w:after="0"/>
        <w:ind w:left="142"/>
        <w:jc w:val="left"/>
      </w:pPr>
      <w:r w:rsidRPr="00230BC2">
        <w:t>Liechtenstein</w:t>
      </w:r>
      <w:r w:rsidR="00866BE2" w:rsidRPr="00230BC2">
        <w:rPr>
          <w:vertAlign w:val="superscript"/>
        </w:rPr>
        <w:t>a</w:t>
      </w:r>
    </w:p>
    <w:p w14:paraId="779E5E7C" w14:textId="77777777" w:rsidR="002F7B48" w:rsidRPr="00230BC2" w:rsidRDefault="002F7B48" w:rsidP="00322CF8">
      <w:pPr>
        <w:pStyle w:val="Para1"/>
        <w:numPr>
          <w:ilvl w:val="0"/>
          <w:numId w:val="0"/>
        </w:numPr>
        <w:spacing w:after="0"/>
        <w:ind w:left="142"/>
        <w:jc w:val="left"/>
      </w:pPr>
      <w:r w:rsidRPr="00230BC2">
        <w:t>Lithuania</w:t>
      </w:r>
    </w:p>
    <w:p w14:paraId="119BBDE0" w14:textId="77777777" w:rsidR="002F7B48" w:rsidRPr="00230BC2" w:rsidRDefault="002F7B48" w:rsidP="00322CF8">
      <w:pPr>
        <w:pStyle w:val="Para1"/>
        <w:numPr>
          <w:ilvl w:val="0"/>
          <w:numId w:val="0"/>
        </w:numPr>
        <w:spacing w:after="0"/>
        <w:ind w:left="142"/>
        <w:jc w:val="left"/>
      </w:pPr>
      <w:r w:rsidRPr="00230BC2">
        <w:t>Luxembourg</w:t>
      </w:r>
    </w:p>
    <w:p w14:paraId="1ECFF38C" w14:textId="77777777" w:rsidR="002F7B48" w:rsidRPr="00230BC2" w:rsidRDefault="002F7B48" w:rsidP="00322CF8">
      <w:pPr>
        <w:pStyle w:val="Para1"/>
        <w:numPr>
          <w:ilvl w:val="0"/>
          <w:numId w:val="0"/>
        </w:numPr>
        <w:spacing w:after="0"/>
        <w:ind w:left="142"/>
        <w:jc w:val="left"/>
      </w:pPr>
      <w:r w:rsidRPr="00230BC2">
        <w:t>Madagascar</w:t>
      </w:r>
    </w:p>
    <w:p w14:paraId="2ABF0C0A" w14:textId="77777777" w:rsidR="002F7B48" w:rsidRPr="00230BC2" w:rsidRDefault="002F7B48" w:rsidP="00322CF8">
      <w:pPr>
        <w:pStyle w:val="Para1"/>
        <w:numPr>
          <w:ilvl w:val="0"/>
          <w:numId w:val="0"/>
        </w:numPr>
        <w:spacing w:after="0"/>
        <w:ind w:left="142"/>
        <w:jc w:val="left"/>
      </w:pPr>
      <w:r w:rsidRPr="00230BC2">
        <w:t>Malawi</w:t>
      </w:r>
    </w:p>
    <w:p w14:paraId="7E3DAEBA" w14:textId="77777777" w:rsidR="002F7B48" w:rsidRPr="00230BC2" w:rsidRDefault="002F7B48" w:rsidP="00322CF8">
      <w:pPr>
        <w:pStyle w:val="Para1"/>
        <w:numPr>
          <w:ilvl w:val="0"/>
          <w:numId w:val="0"/>
        </w:numPr>
        <w:spacing w:after="0"/>
        <w:ind w:left="142"/>
        <w:jc w:val="left"/>
      </w:pPr>
      <w:r w:rsidRPr="00230BC2">
        <w:t>Malaysia</w:t>
      </w:r>
    </w:p>
    <w:p w14:paraId="1F650045" w14:textId="77777777" w:rsidR="002F7B48" w:rsidRPr="00230BC2" w:rsidRDefault="002F7B48" w:rsidP="00322CF8">
      <w:pPr>
        <w:pStyle w:val="Para1"/>
        <w:numPr>
          <w:ilvl w:val="0"/>
          <w:numId w:val="0"/>
        </w:numPr>
        <w:spacing w:after="0"/>
        <w:ind w:left="142"/>
        <w:jc w:val="left"/>
      </w:pPr>
      <w:r w:rsidRPr="00230BC2">
        <w:t>Maldives</w:t>
      </w:r>
    </w:p>
    <w:p w14:paraId="00C823B9" w14:textId="77777777" w:rsidR="002F7B48" w:rsidRPr="00230BC2" w:rsidRDefault="002F7B48" w:rsidP="00322CF8">
      <w:pPr>
        <w:pStyle w:val="Para1"/>
        <w:numPr>
          <w:ilvl w:val="0"/>
          <w:numId w:val="0"/>
        </w:numPr>
        <w:spacing w:after="0"/>
        <w:ind w:left="142"/>
        <w:jc w:val="left"/>
      </w:pPr>
      <w:r w:rsidRPr="00230BC2">
        <w:t>Mali</w:t>
      </w:r>
    </w:p>
    <w:p w14:paraId="190F1CB8" w14:textId="1407ACEE" w:rsidR="002F7B48" w:rsidRPr="00230BC2" w:rsidRDefault="002F7B48" w:rsidP="00322CF8">
      <w:pPr>
        <w:pStyle w:val="Para1"/>
        <w:numPr>
          <w:ilvl w:val="0"/>
          <w:numId w:val="0"/>
        </w:numPr>
        <w:spacing w:after="0"/>
        <w:ind w:left="142"/>
        <w:jc w:val="left"/>
      </w:pPr>
      <w:r w:rsidRPr="00230BC2">
        <w:t>Malta</w:t>
      </w:r>
      <w:r w:rsidR="00C75D50" w:rsidRPr="00230BC2">
        <w:rPr>
          <w:vertAlign w:val="superscript"/>
        </w:rPr>
        <w:t>a</w:t>
      </w:r>
    </w:p>
    <w:p w14:paraId="73CD6E46" w14:textId="77777777" w:rsidR="002F7B48" w:rsidRPr="00230BC2" w:rsidRDefault="002F7B48" w:rsidP="00322CF8">
      <w:pPr>
        <w:pStyle w:val="Para1"/>
        <w:numPr>
          <w:ilvl w:val="0"/>
          <w:numId w:val="0"/>
        </w:numPr>
        <w:spacing w:after="0"/>
        <w:ind w:left="142"/>
        <w:jc w:val="left"/>
      </w:pPr>
      <w:r w:rsidRPr="00230BC2">
        <w:t>Marshall Islands</w:t>
      </w:r>
    </w:p>
    <w:p w14:paraId="2B0C57F3" w14:textId="77777777" w:rsidR="002F7B48" w:rsidRPr="00230BC2" w:rsidRDefault="002F7B48" w:rsidP="00322CF8">
      <w:pPr>
        <w:pStyle w:val="Para1"/>
        <w:numPr>
          <w:ilvl w:val="0"/>
          <w:numId w:val="0"/>
        </w:numPr>
        <w:spacing w:after="0"/>
        <w:ind w:left="142"/>
        <w:jc w:val="left"/>
      </w:pPr>
      <w:r w:rsidRPr="00230BC2">
        <w:t>Mauritania</w:t>
      </w:r>
    </w:p>
    <w:p w14:paraId="1396BF5A" w14:textId="77777777" w:rsidR="002F7B48" w:rsidRPr="00230BC2" w:rsidRDefault="002F7B48" w:rsidP="00322CF8">
      <w:pPr>
        <w:pStyle w:val="Para1"/>
        <w:numPr>
          <w:ilvl w:val="0"/>
          <w:numId w:val="0"/>
        </w:numPr>
        <w:spacing w:after="0"/>
        <w:ind w:left="142"/>
        <w:jc w:val="left"/>
      </w:pPr>
      <w:r w:rsidRPr="00230BC2">
        <w:t>Mauritius</w:t>
      </w:r>
    </w:p>
    <w:p w14:paraId="19378A68" w14:textId="77777777" w:rsidR="002F7B48" w:rsidRPr="00230BC2" w:rsidRDefault="002F7B48" w:rsidP="00322CF8">
      <w:pPr>
        <w:pStyle w:val="Para1"/>
        <w:numPr>
          <w:ilvl w:val="0"/>
          <w:numId w:val="0"/>
        </w:numPr>
        <w:spacing w:after="0"/>
        <w:ind w:left="142"/>
        <w:jc w:val="left"/>
      </w:pPr>
      <w:r w:rsidRPr="00230BC2">
        <w:t>Mexico</w:t>
      </w:r>
    </w:p>
    <w:p w14:paraId="02C57FCB" w14:textId="292B2001" w:rsidR="002F7B48" w:rsidRPr="00230BC2" w:rsidRDefault="002F7B48" w:rsidP="00322CF8">
      <w:pPr>
        <w:pStyle w:val="Para1"/>
        <w:numPr>
          <w:ilvl w:val="0"/>
          <w:numId w:val="0"/>
        </w:numPr>
        <w:spacing w:after="0"/>
        <w:ind w:left="142"/>
        <w:jc w:val="left"/>
      </w:pPr>
      <w:r w:rsidRPr="00230BC2">
        <w:t>Micronesia (Federated States of)</w:t>
      </w:r>
      <w:r w:rsidR="00866BE2" w:rsidRPr="00230BC2">
        <w:rPr>
          <w:vertAlign w:val="superscript"/>
        </w:rPr>
        <w:t>a</w:t>
      </w:r>
    </w:p>
    <w:p w14:paraId="6DC43136" w14:textId="14D8734C" w:rsidR="002F7B48" w:rsidRPr="00230BC2" w:rsidRDefault="002F7B48" w:rsidP="00322CF8">
      <w:pPr>
        <w:pStyle w:val="Para1"/>
        <w:numPr>
          <w:ilvl w:val="0"/>
          <w:numId w:val="0"/>
        </w:numPr>
        <w:spacing w:after="0"/>
        <w:ind w:left="142"/>
        <w:jc w:val="left"/>
      </w:pPr>
      <w:r w:rsidRPr="00230BC2">
        <w:t>Monaco</w:t>
      </w:r>
      <w:r w:rsidR="00866BE2" w:rsidRPr="00230BC2">
        <w:rPr>
          <w:vertAlign w:val="superscript"/>
        </w:rPr>
        <w:t>a</w:t>
      </w:r>
    </w:p>
    <w:p w14:paraId="1AA0D3BE" w14:textId="0990754F" w:rsidR="002F7B48" w:rsidRPr="00230BC2" w:rsidRDefault="002F7B48" w:rsidP="00322CF8">
      <w:pPr>
        <w:pStyle w:val="Para1"/>
        <w:numPr>
          <w:ilvl w:val="0"/>
          <w:numId w:val="0"/>
        </w:numPr>
        <w:spacing w:after="0"/>
        <w:ind w:left="142"/>
        <w:jc w:val="left"/>
      </w:pPr>
      <w:r w:rsidRPr="00230BC2">
        <w:t>Mongolia</w:t>
      </w:r>
      <w:r w:rsidR="00866BE2" w:rsidRPr="00230BC2">
        <w:rPr>
          <w:vertAlign w:val="superscript"/>
        </w:rPr>
        <w:t>a</w:t>
      </w:r>
    </w:p>
    <w:p w14:paraId="04E12508" w14:textId="235B0061" w:rsidR="00F706F4" w:rsidRPr="00230BC2" w:rsidRDefault="00F706F4" w:rsidP="00322CF8">
      <w:pPr>
        <w:pStyle w:val="Para1"/>
        <w:numPr>
          <w:ilvl w:val="0"/>
          <w:numId w:val="0"/>
        </w:numPr>
        <w:spacing w:after="0"/>
        <w:ind w:left="142"/>
        <w:jc w:val="left"/>
      </w:pPr>
      <w:r w:rsidRPr="00230BC2">
        <w:t>Montenegro</w:t>
      </w:r>
      <w:r w:rsidR="00866BE2" w:rsidRPr="00230BC2">
        <w:rPr>
          <w:vertAlign w:val="superscript"/>
        </w:rPr>
        <w:t>b</w:t>
      </w:r>
    </w:p>
    <w:p w14:paraId="26E7D274" w14:textId="6EA68249" w:rsidR="002F7B48" w:rsidRPr="00230BC2" w:rsidRDefault="002F7B48" w:rsidP="00322CF8">
      <w:pPr>
        <w:pStyle w:val="Para1"/>
        <w:numPr>
          <w:ilvl w:val="0"/>
          <w:numId w:val="0"/>
        </w:numPr>
        <w:spacing w:after="0"/>
        <w:ind w:left="142"/>
        <w:jc w:val="left"/>
      </w:pPr>
      <w:r w:rsidRPr="00230BC2">
        <w:t>Morocco</w:t>
      </w:r>
    </w:p>
    <w:p w14:paraId="268168FC" w14:textId="77777777" w:rsidR="002F7B48" w:rsidRPr="00230BC2" w:rsidRDefault="002F7B48" w:rsidP="00322CF8">
      <w:pPr>
        <w:pStyle w:val="Para1"/>
        <w:numPr>
          <w:ilvl w:val="0"/>
          <w:numId w:val="0"/>
        </w:numPr>
        <w:spacing w:after="0"/>
        <w:ind w:left="142"/>
        <w:jc w:val="left"/>
      </w:pPr>
      <w:r w:rsidRPr="00230BC2">
        <w:t>Mozambique</w:t>
      </w:r>
    </w:p>
    <w:p w14:paraId="4DA551E7" w14:textId="77777777" w:rsidR="002F7B48" w:rsidRPr="00230BC2" w:rsidRDefault="002F7B48" w:rsidP="00322CF8">
      <w:pPr>
        <w:pStyle w:val="Para1"/>
        <w:numPr>
          <w:ilvl w:val="0"/>
          <w:numId w:val="0"/>
        </w:numPr>
        <w:spacing w:after="0"/>
        <w:ind w:left="142"/>
        <w:jc w:val="left"/>
      </w:pPr>
      <w:r w:rsidRPr="00230BC2">
        <w:t>Namibia</w:t>
      </w:r>
    </w:p>
    <w:p w14:paraId="5A43FA43" w14:textId="2017C845" w:rsidR="002F7B48" w:rsidRPr="00230BC2" w:rsidRDefault="002F7B48" w:rsidP="00322CF8">
      <w:pPr>
        <w:pStyle w:val="Para1"/>
        <w:numPr>
          <w:ilvl w:val="0"/>
          <w:numId w:val="0"/>
        </w:numPr>
        <w:spacing w:after="0"/>
        <w:ind w:left="142"/>
        <w:jc w:val="left"/>
      </w:pPr>
      <w:r w:rsidRPr="00230BC2">
        <w:t>Nauru</w:t>
      </w:r>
      <w:r w:rsidR="00866BE2" w:rsidRPr="00230BC2">
        <w:rPr>
          <w:vertAlign w:val="superscript"/>
        </w:rPr>
        <w:t>a</w:t>
      </w:r>
    </w:p>
    <w:p w14:paraId="7CE4B307" w14:textId="32C757AB" w:rsidR="002F7B48" w:rsidRPr="00230BC2" w:rsidRDefault="002F7B48" w:rsidP="00322CF8">
      <w:pPr>
        <w:pStyle w:val="Para1"/>
        <w:numPr>
          <w:ilvl w:val="0"/>
          <w:numId w:val="0"/>
        </w:numPr>
        <w:spacing w:after="0"/>
        <w:ind w:left="142"/>
        <w:jc w:val="left"/>
      </w:pPr>
      <w:r w:rsidRPr="00230BC2">
        <w:t>Nepal</w:t>
      </w:r>
      <w:r w:rsidR="00866BE2" w:rsidRPr="00230BC2">
        <w:rPr>
          <w:vertAlign w:val="superscript"/>
        </w:rPr>
        <w:t>a</w:t>
      </w:r>
    </w:p>
    <w:p w14:paraId="6CB519D0" w14:textId="22899152" w:rsidR="002F7B48" w:rsidRPr="00230BC2" w:rsidRDefault="002F7B48" w:rsidP="00322CF8">
      <w:pPr>
        <w:pStyle w:val="Para1"/>
        <w:numPr>
          <w:ilvl w:val="0"/>
          <w:numId w:val="0"/>
        </w:numPr>
        <w:spacing w:after="0"/>
        <w:ind w:left="142"/>
        <w:jc w:val="left"/>
      </w:pPr>
      <w:r w:rsidRPr="00230BC2">
        <w:t>Netherlands</w:t>
      </w:r>
      <w:r w:rsidR="00770F8D" w:rsidRPr="00230BC2">
        <w:t xml:space="preserve"> (Kingdom of the)</w:t>
      </w:r>
    </w:p>
    <w:p w14:paraId="7AAC2D94" w14:textId="77777777" w:rsidR="002F7B48" w:rsidRPr="00230BC2" w:rsidRDefault="002F7B48" w:rsidP="00322CF8">
      <w:pPr>
        <w:pStyle w:val="Para1"/>
        <w:numPr>
          <w:ilvl w:val="0"/>
          <w:numId w:val="0"/>
        </w:numPr>
        <w:spacing w:after="0"/>
        <w:ind w:left="142"/>
        <w:jc w:val="left"/>
      </w:pPr>
      <w:r w:rsidRPr="00230BC2">
        <w:t>New Zealand</w:t>
      </w:r>
    </w:p>
    <w:p w14:paraId="3A5D920F" w14:textId="77777777" w:rsidR="002F7B48" w:rsidRPr="00230BC2" w:rsidRDefault="002F7B48" w:rsidP="00322CF8">
      <w:pPr>
        <w:pStyle w:val="Para1"/>
        <w:numPr>
          <w:ilvl w:val="0"/>
          <w:numId w:val="0"/>
        </w:numPr>
        <w:spacing w:after="0"/>
        <w:ind w:left="142"/>
        <w:jc w:val="left"/>
      </w:pPr>
      <w:r w:rsidRPr="00230BC2">
        <w:t>Nicaragua</w:t>
      </w:r>
    </w:p>
    <w:p w14:paraId="32B916B4" w14:textId="77777777" w:rsidR="002F7B48" w:rsidRPr="00230BC2" w:rsidRDefault="002F7B48" w:rsidP="00322CF8">
      <w:pPr>
        <w:pStyle w:val="Para1"/>
        <w:numPr>
          <w:ilvl w:val="0"/>
          <w:numId w:val="0"/>
        </w:numPr>
        <w:spacing w:after="0"/>
        <w:ind w:left="142"/>
        <w:jc w:val="left"/>
      </w:pPr>
      <w:r w:rsidRPr="00230BC2">
        <w:t>Niger</w:t>
      </w:r>
    </w:p>
    <w:p w14:paraId="01A8B549" w14:textId="77777777" w:rsidR="002F7B48" w:rsidRPr="00230BC2" w:rsidRDefault="002F7B48" w:rsidP="00322CF8">
      <w:pPr>
        <w:pStyle w:val="Para1"/>
        <w:numPr>
          <w:ilvl w:val="0"/>
          <w:numId w:val="0"/>
        </w:numPr>
        <w:spacing w:after="0"/>
        <w:ind w:left="142"/>
        <w:jc w:val="left"/>
      </w:pPr>
      <w:r w:rsidRPr="00230BC2">
        <w:t>Nigeria</w:t>
      </w:r>
    </w:p>
    <w:p w14:paraId="403F6658" w14:textId="5E050EFC" w:rsidR="002F7B48" w:rsidRPr="00230BC2" w:rsidRDefault="002F7B48" w:rsidP="00322CF8">
      <w:pPr>
        <w:pStyle w:val="Para1"/>
        <w:numPr>
          <w:ilvl w:val="0"/>
          <w:numId w:val="0"/>
        </w:numPr>
        <w:spacing w:after="0"/>
        <w:ind w:left="142"/>
        <w:jc w:val="left"/>
      </w:pPr>
      <w:r w:rsidRPr="00230BC2">
        <w:t>Niue</w:t>
      </w:r>
      <w:r w:rsidR="00866BE2" w:rsidRPr="00230BC2">
        <w:rPr>
          <w:vertAlign w:val="superscript"/>
        </w:rPr>
        <w:t>a</w:t>
      </w:r>
    </w:p>
    <w:p w14:paraId="5B4619FB" w14:textId="38151FFF" w:rsidR="002F7B48" w:rsidRPr="00230BC2" w:rsidRDefault="002F7B48" w:rsidP="00322CF8">
      <w:pPr>
        <w:pStyle w:val="Para1"/>
        <w:numPr>
          <w:ilvl w:val="0"/>
          <w:numId w:val="0"/>
        </w:numPr>
        <w:spacing w:after="0"/>
        <w:ind w:left="142"/>
        <w:jc w:val="left"/>
      </w:pPr>
      <w:r w:rsidRPr="00230BC2">
        <w:t>North Macedonia</w:t>
      </w:r>
      <w:r w:rsidR="00866BE2" w:rsidRPr="00230BC2">
        <w:rPr>
          <w:vertAlign w:val="superscript"/>
        </w:rPr>
        <w:t>a</w:t>
      </w:r>
    </w:p>
    <w:p w14:paraId="2B5F9996" w14:textId="77777777" w:rsidR="002F7B48" w:rsidRPr="00230BC2" w:rsidRDefault="002F7B48" w:rsidP="00322CF8">
      <w:pPr>
        <w:pStyle w:val="Para1"/>
        <w:numPr>
          <w:ilvl w:val="0"/>
          <w:numId w:val="0"/>
        </w:numPr>
        <w:spacing w:after="0"/>
        <w:ind w:left="142"/>
        <w:jc w:val="left"/>
      </w:pPr>
      <w:r w:rsidRPr="00230BC2">
        <w:t>Norway</w:t>
      </w:r>
    </w:p>
    <w:p w14:paraId="0D93DC72" w14:textId="77777777" w:rsidR="002F7B48" w:rsidRPr="00230BC2" w:rsidRDefault="002F7B48" w:rsidP="00322CF8">
      <w:pPr>
        <w:pStyle w:val="Para1"/>
        <w:numPr>
          <w:ilvl w:val="0"/>
          <w:numId w:val="0"/>
        </w:numPr>
        <w:spacing w:after="0"/>
        <w:ind w:left="142"/>
        <w:jc w:val="left"/>
      </w:pPr>
      <w:r w:rsidRPr="00230BC2">
        <w:t>Oman</w:t>
      </w:r>
    </w:p>
    <w:p w14:paraId="7C7CC9CB" w14:textId="77777777" w:rsidR="002F7B48" w:rsidRPr="00230BC2" w:rsidRDefault="002F7B48" w:rsidP="00322CF8">
      <w:pPr>
        <w:pStyle w:val="Para1"/>
        <w:numPr>
          <w:ilvl w:val="0"/>
          <w:numId w:val="0"/>
        </w:numPr>
        <w:spacing w:after="0"/>
        <w:ind w:left="142"/>
        <w:jc w:val="left"/>
      </w:pPr>
      <w:r w:rsidRPr="00230BC2">
        <w:t>Pakistan</w:t>
      </w:r>
    </w:p>
    <w:p w14:paraId="5A565C6B" w14:textId="69DEC618" w:rsidR="002F7B48" w:rsidRPr="00230BC2" w:rsidRDefault="002F7B48" w:rsidP="00322CF8">
      <w:pPr>
        <w:pStyle w:val="Para1"/>
        <w:numPr>
          <w:ilvl w:val="0"/>
          <w:numId w:val="0"/>
        </w:numPr>
        <w:spacing w:after="0"/>
        <w:ind w:left="142"/>
        <w:jc w:val="left"/>
      </w:pPr>
      <w:r w:rsidRPr="00230BC2">
        <w:t>Palau</w:t>
      </w:r>
      <w:r w:rsidR="00866BE2" w:rsidRPr="00230BC2">
        <w:rPr>
          <w:vertAlign w:val="superscript"/>
        </w:rPr>
        <w:t>a</w:t>
      </w:r>
    </w:p>
    <w:p w14:paraId="3E244F76" w14:textId="6BE6766B" w:rsidR="002F7B48" w:rsidRPr="00230BC2" w:rsidRDefault="002F7B48" w:rsidP="00322CF8">
      <w:pPr>
        <w:pStyle w:val="Para1"/>
        <w:numPr>
          <w:ilvl w:val="0"/>
          <w:numId w:val="0"/>
        </w:numPr>
        <w:spacing w:after="0"/>
        <w:ind w:left="142"/>
        <w:jc w:val="left"/>
      </w:pPr>
      <w:r w:rsidRPr="00230BC2">
        <w:t>Panama</w:t>
      </w:r>
      <w:r w:rsidR="00866BE2" w:rsidRPr="00230BC2">
        <w:rPr>
          <w:vertAlign w:val="superscript"/>
        </w:rPr>
        <w:t>a</w:t>
      </w:r>
    </w:p>
    <w:p w14:paraId="12092C80" w14:textId="56833BFE" w:rsidR="002F7B48" w:rsidRPr="00230BC2" w:rsidRDefault="002F7B48" w:rsidP="00322CF8">
      <w:pPr>
        <w:pStyle w:val="Para1"/>
        <w:numPr>
          <w:ilvl w:val="0"/>
          <w:numId w:val="0"/>
        </w:numPr>
        <w:spacing w:after="0"/>
        <w:ind w:left="142"/>
        <w:jc w:val="left"/>
      </w:pPr>
      <w:r w:rsidRPr="00230BC2">
        <w:t>Papua New Guinea</w:t>
      </w:r>
      <w:r w:rsidR="00866BE2" w:rsidRPr="00230BC2">
        <w:rPr>
          <w:vertAlign w:val="superscript"/>
        </w:rPr>
        <w:t>a</w:t>
      </w:r>
    </w:p>
    <w:p w14:paraId="04FCDAAF" w14:textId="6A9D644B" w:rsidR="002F7B48" w:rsidRPr="00230BC2" w:rsidRDefault="002F7B48" w:rsidP="00322CF8">
      <w:pPr>
        <w:pStyle w:val="Para1"/>
        <w:numPr>
          <w:ilvl w:val="0"/>
          <w:numId w:val="0"/>
        </w:numPr>
        <w:spacing w:after="0"/>
        <w:ind w:left="142"/>
        <w:jc w:val="left"/>
      </w:pPr>
      <w:r w:rsidRPr="00230BC2">
        <w:t>Paraguay</w:t>
      </w:r>
      <w:r w:rsidR="00866BE2" w:rsidRPr="00230BC2">
        <w:rPr>
          <w:vertAlign w:val="superscript"/>
        </w:rPr>
        <w:t>a</w:t>
      </w:r>
    </w:p>
    <w:p w14:paraId="735E172E" w14:textId="77777777" w:rsidR="002F7B48" w:rsidRPr="00230BC2" w:rsidRDefault="002F7B48" w:rsidP="00322CF8">
      <w:pPr>
        <w:pStyle w:val="Para1"/>
        <w:numPr>
          <w:ilvl w:val="0"/>
          <w:numId w:val="0"/>
        </w:numPr>
        <w:spacing w:after="0"/>
        <w:ind w:left="142"/>
        <w:jc w:val="left"/>
      </w:pPr>
      <w:r w:rsidRPr="00230BC2">
        <w:t>Peru</w:t>
      </w:r>
    </w:p>
    <w:p w14:paraId="7BAC34F8" w14:textId="77777777" w:rsidR="002F7B48" w:rsidRPr="00230BC2" w:rsidRDefault="002F7B48" w:rsidP="00322CF8">
      <w:pPr>
        <w:pStyle w:val="Para1"/>
        <w:numPr>
          <w:ilvl w:val="0"/>
          <w:numId w:val="0"/>
        </w:numPr>
        <w:spacing w:after="0"/>
        <w:ind w:left="142"/>
        <w:jc w:val="left"/>
      </w:pPr>
      <w:r w:rsidRPr="00230BC2">
        <w:t>Philippines</w:t>
      </w:r>
    </w:p>
    <w:p w14:paraId="187918A4" w14:textId="37ADC153" w:rsidR="002F7B48" w:rsidRPr="00230BC2" w:rsidRDefault="002F7B48" w:rsidP="00322CF8">
      <w:pPr>
        <w:pStyle w:val="Para1"/>
        <w:numPr>
          <w:ilvl w:val="0"/>
          <w:numId w:val="0"/>
        </w:numPr>
        <w:spacing w:after="0"/>
        <w:ind w:left="142"/>
        <w:jc w:val="left"/>
      </w:pPr>
      <w:r w:rsidRPr="00230BC2">
        <w:t>Poland</w:t>
      </w:r>
      <w:r w:rsidR="00866BE2" w:rsidRPr="00230BC2">
        <w:rPr>
          <w:vertAlign w:val="superscript"/>
        </w:rPr>
        <w:t>a</w:t>
      </w:r>
    </w:p>
    <w:p w14:paraId="78B2F982" w14:textId="77777777" w:rsidR="002F7B48" w:rsidRPr="00230BC2" w:rsidRDefault="002F7B48" w:rsidP="00322CF8">
      <w:pPr>
        <w:pStyle w:val="Para1"/>
        <w:numPr>
          <w:ilvl w:val="0"/>
          <w:numId w:val="0"/>
        </w:numPr>
        <w:spacing w:after="0"/>
        <w:ind w:left="142"/>
        <w:jc w:val="left"/>
      </w:pPr>
      <w:r w:rsidRPr="00230BC2">
        <w:t>Portugal</w:t>
      </w:r>
    </w:p>
    <w:p w14:paraId="051AD755" w14:textId="77777777" w:rsidR="002F7B48" w:rsidRPr="00230BC2" w:rsidRDefault="002F7B48" w:rsidP="00322CF8">
      <w:pPr>
        <w:pStyle w:val="Para1"/>
        <w:numPr>
          <w:ilvl w:val="0"/>
          <w:numId w:val="0"/>
        </w:numPr>
        <w:spacing w:after="0"/>
        <w:ind w:left="142"/>
        <w:jc w:val="left"/>
      </w:pPr>
      <w:r w:rsidRPr="00230BC2">
        <w:t>Qatar</w:t>
      </w:r>
    </w:p>
    <w:p w14:paraId="71C388F4" w14:textId="77777777" w:rsidR="002F7B48" w:rsidRPr="00230BC2" w:rsidRDefault="002F7B48" w:rsidP="00322CF8">
      <w:pPr>
        <w:pStyle w:val="Para1"/>
        <w:numPr>
          <w:ilvl w:val="0"/>
          <w:numId w:val="0"/>
        </w:numPr>
        <w:spacing w:after="0"/>
        <w:ind w:left="142"/>
        <w:jc w:val="left"/>
      </w:pPr>
      <w:r w:rsidRPr="00230BC2">
        <w:t>Republic of Korea</w:t>
      </w:r>
    </w:p>
    <w:p w14:paraId="7569F7DE" w14:textId="77777777" w:rsidR="002F7B48" w:rsidRPr="00230BC2" w:rsidRDefault="002F7B48" w:rsidP="00322CF8">
      <w:pPr>
        <w:pStyle w:val="Para1"/>
        <w:numPr>
          <w:ilvl w:val="0"/>
          <w:numId w:val="0"/>
        </w:numPr>
        <w:spacing w:after="0"/>
        <w:ind w:left="142"/>
        <w:jc w:val="left"/>
      </w:pPr>
      <w:r w:rsidRPr="00230BC2">
        <w:t>Republic of Moldova</w:t>
      </w:r>
    </w:p>
    <w:p w14:paraId="7D56E9F8" w14:textId="77777777" w:rsidR="002F7B48" w:rsidRPr="00230BC2" w:rsidRDefault="002F7B48" w:rsidP="00322CF8">
      <w:pPr>
        <w:pStyle w:val="Para1"/>
        <w:numPr>
          <w:ilvl w:val="0"/>
          <w:numId w:val="0"/>
        </w:numPr>
        <w:spacing w:after="0"/>
        <w:ind w:left="142"/>
        <w:jc w:val="left"/>
      </w:pPr>
      <w:r w:rsidRPr="00230BC2">
        <w:t>Romania</w:t>
      </w:r>
    </w:p>
    <w:p w14:paraId="0A5AC5B5" w14:textId="77777777" w:rsidR="002F7B48" w:rsidRPr="00230BC2" w:rsidRDefault="002F7B48" w:rsidP="00322CF8">
      <w:pPr>
        <w:pStyle w:val="Para1"/>
        <w:numPr>
          <w:ilvl w:val="0"/>
          <w:numId w:val="0"/>
        </w:numPr>
        <w:spacing w:after="0"/>
        <w:ind w:left="142"/>
        <w:jc w:val="left"/>
      </w:pPr>
      <w:r w:rsidRPr="00230BC2">
        <w:t>Russian Federation</w:t>
      </w:r>
    </w:p>
    <w:p w14:paraId="575F78E9" w14:textId="77777777" w:rsidR="002F7B48" w:rsidRPr="00230BC2" w:rsidRDefault="002F7B48" w:rsidP="00322CF8">
      <w:pPr>
        <w:pStyle w:val="Para1"/>
        <w:numPr>
          <w:ilvl w:val="0"/>
          <w:numId w:val="0"/>
        </w:numPr>
        <w:spacing w:after="0"/>
        <w:ind w:left="142"/>
        <w:jc w:val="left"/>
      </w:pPr>
      <w:r w:rsidRPr="00230BC2">
        <w:t>Rwanda</w:t>
      </w:r>
    </w:p>
    <w:p w14:paraId="04AE596A" w14:textId="652A46E4" w:rsidR="002F7B48" w:rsidRPr="00230BC2" w:rsidRDefault="002F7B48" w:rsidP="00322CF8">
      <w:pPr>
        <w:pStyle w:val="Para1"/>
        <w:numPr>
          <w:ilvl w:val="0"/>
          <w:numId w:val="0"/>
        </w:numPr>
        <w:spacing w:after="0"/>
        <w:ind w:left="142"/>
        <w:jc w:val="left"/>
      </w:pPr>
      <w:r w:rsidRPr="00230BC2">
        <w:t>Saint Kitts and Nevis</w:t>
      </w:r>
    </w:p>
    <w:p w14:paraId="2FA8F806" w14:textId="77777777" w:rsidR="002F7B48" w:rsidRPr="00230BC2" w:rsidRDefault="002F7B48" w:rsidP="00322CF8">
      <w:pPr>
        <w:pStyle w:val="Para1"/>
        <w:numPr>
          <w:ilvl w:val="0"/>
          <w:numId w:val="0"/>
        </w:numPr>
        <w:spacing w:after="0"/>
        <w:ind w:left="142"/>
        <w:jc w:val="left"/>
      </w:pPr>
      <w:r w:rsidRPr="00230BC2">
        <w:t>Saint Lucia</w:t>
      </w:r>
    </w:p>
    <w:p w14:paraId="003FC0B8" w14:textId="72491AEF" w:rsidR="002F7B48" w:rsidRPr="00230BC2" w:rsidRDefault="002F7B48" w:rsidP="00322CF8">
      <w:pPr>
        <w:pStyle w:val="Para1"/>
        <w:numPr>
          <w:ilvl w:val="0"/>
          <w:numId w:val="0"/>
        </w:numPr>
        <w:spacing w:after="0"/>
        <w:ind w:left="142"/>
        <w:jc w:val="left"/>
      </w:pPr>
      <w:r w:rsidRPr="00230BC2">
        <w:t>Saint Vincent and the Grenadines</w:t>
      </w:r>
      <w:r w:rsidR="00866BE2" w:rsidRPr="00230BC2">
        <w:rPr>
          <w:vertAlign w:val="superscript"/>
        </w:rPr>
        <w:t>a</w:t>
      </w:r>
    </w:p>
    <w:p w14:paraId="28D111B6" w14:textId="0EE8B2D9" w:rsidR="002F7B48" w:rsidRPr="00230BC2" w:rsidRDefault="002F7B48" w:rsidP="00322CF8">
      <w:pPr>
        <w:pStyle w:val="Para1"/>
        <w:numPr>
          <w:ilvl w:val="0"/>
          <w:numId w:val="0"/>
        </w:numPr>
        <w:spacing w:after="0"/>
        <w:ind w:left="142"/>
        <w:jc w:val="left"/>
      </w:pPr>
      <w:r w:rsidRPr="00230BC2">
        <w:t>Samoa</w:t>
      </w:r>
      <w:r w:rsidR="00866BE2" w:rsidRPr="00230BC2">
        <w:rPr>
          <w:vertAlign w:val="superscript"/>
        </w:rPr>
        <w:t>a</w:t>
      </w:r>
    </w:p>
    <w:p w14:paraId="77A135CD" w14:textId="77777777" w:rsidR="002F7B48" w:rsidRPr="00230BC2" w:rsidRDefault="002F7B48" w:rsidP="00322CF8">
      <w:pPr>
        <w:pStyle w:val="Para1"/>
        <w:numPr>
          <w:ilvl w:val="0"/>
          <w:numId w:val="0"/>
        </w:numPr>
        <w:spacing w:after="0"/>
        <w:ind w:left="142"/>
        <w:jc w:val="left"/>
      </w:pPr>
      <w:r w:rsidRPr="00230BC2">
        <w:t>Sao Tome and Principe</w:t>
      </w:r>
    </w:p>
    <w:p w14:paraId="7E99FB05" w14:textId="77777777" w:rsidR="002F7B48" w:rsidRPr="00230BC2" w:rsidRDefault="002F7B48" w:rsidP="00322CF8">
      <w:pPr>
        <w:pStyle w:val="Para1"/>
        <w:numPr>
          <w:ilvl w:val="0"/>
          <w:numId w:val="0"/>
        </w:numPr>
        <w:spacing w:after="0"/>
        <w:ind w:left="142"/>
        <w:jc w:val="left"/>
      </w:pPr>
      <w:r w:rsidRPr="00230BC2">
        <w:t>Saudi Arabia</w:t>
      </w:r>
    </w:p>
    <w:p w14:paraId="743FF144" w14:textId="77777777" w:rsidR="002F7B48" w:rsidRPr="00230BC2" w:rsidRDefault="002F7B48" w:rsidP="00322CF8">
      <w:pPr>
        <w:pStyle w:val="Para1"/>
        <w:numPr>
          <w:ilvl w:val="0"/>
          <w:numId w:val="0"/>
        </w:numPr>
        <w:spacing w:after="0"/>
        <w:ind w:left="142"/>
        <w:jc w:val="left"/>
      </w:pPr>
      <w:r w:rsidRPr="00230BC2">
        <w:t>Senegal</w:t>
      </w:r>
    </w:p>
    <w:p w14:paraId="5417A0AF" w14:textId="7F77554B" w:rsidR="002F7B48" w:rsidRPr="00230BC2" w:rsidRDefault="002F7B48" w:rsidP="00322CF8">
      <w:pPr>
        <w:pStyle w:val="Para1"/>
        <w:numPr>
          <w:ilvl w:val="0"/>
          <w:numId w:val="0"/>
        </w:numPr>
        <w:spacing w:after="0"/>
        <w:ind w:left="142"/>
        <w:jc w:val="left"/>
      </w:pPr>
      <w:r w:rsidRPr="00230BC2">
        <w:t>Serbia</w:t>
      </w:r>
      <w:r w:rsidR="00866BE2" w:rsidRPr="00230BC2">
        <w:rPr>
          <w:vertAlign w:val="superscript"/>
        </w:rPr>
        <w:t>a</w:t>
      </w:r>
    </w:p>
    <w:p w14:paraId="297C3178" w14:textId="77777777" w:rsidR="002F7B48" w:rsidRPr="00230BC2" w:rsidRDefault="002F7B48" w:rsidP="00322CF8">
      <w:pPr>
        <w:pStyle w:val="Para1"/>
        <w:numPr>
          <w:ilvl w:val="0"/>
          <w:numId w:val="0"/>
        </w:numPr>
        <w:spacing w:after="0"/>
        <w:ind w:left="142"/>
        <w:jc w:val="left"/>
      </w:pPr>
      <w:r w:rsidRPr="00230BC2">
        <w:t>Seychelles</w:t>
      </w:r>
    </w:p>
    <w:p w14:paraId="1C827E8B" w14:textId="77777777" w:rsidR="002F7B48" w:rsidRPr="00230BC2" w:rsidRDefault="002F7B48" w:rsidP="00322CF8">
      <w:pPr>
        <w:pStyle w:val="Para1"/>
        <w:numPr>
          <w:ilvl w:val="0"/>
          <w:numId w:val="0"/>
        </w:numPr>
        <w:spacing w:after="0"/>
        <w:ind w:left="142"/>
        <w:jc w:val="left"/>
      </w:pPr>
      <w:r w:rsidRPr="00230BC2">
        <w:t>Sierra Leone</w:t>
      </w:r>
    </w:p>
    <w:p w14:paraId="553D6BF1" w14:textId="77777777" w:rsidR="002F7B48" w:rsidRPr="00230BC2" w:rsidRDefault="002F7B48" w:rsidP="00322CF8">
      <w:pPr>
        <w:pStyle w:val="Para1"/>
        <w:numPr>
          <w:ilvl w:val="0"/>
          <w:numId w:val="0"/>
        </w:numPr>
        <w:spacing w:after="0"/>
        <w:ind w:left="142"/>
        <w:jc w:val="left"/>
      </w:pPr>
      <w:r w:rsidRPr="00230BC2">
        <w:t>Singapore</w:t>
      </w:r>
    </w:p>
    <w:p w14:paraId="3062E766" w14:textId="77777777" w:rsidR="002F7B48" w:rsidRPr="00230BC2" w:rsidRDefault="002F7B48" w:rsidP="00322CF8">
      <w:pPr>
        <w:pStyle w:val="Para1"/>
        <w:numPr>
          <w:ilvl w:val="0"/>
          <w:numId w:val="0"/>
        </w:numPr>
        <w:spacing w:after="0"/>
        <w:ind w:left="142"/>
        <w:jc w:val="left"/>
      </w:pPr>
      <w:r w:rsidRPr="00230BC2">
        <w:t>Slovakia</w:t>
      </w:r>
    </w:p>
    <w:p w14:paraId="5D540EA4" w14:textId="77777777" w:rsidR="002F7B48" w:rsidRPr="00230BC2" w:rsidRDefault="002F7B48" w:rsidP="00322CF8">
      <w:pPr>
        <w:pStyle w:val="Para1"/>
        <w:numPr>
          <w:ilvl w:val="0"/>
          <w:numId w:val="0"/>
        </w:numPr>
        <w:spacing w:after="0"/>
        <w:ind w:left="142"/>
        <w:jc w:val="left"/>
      </w:pPr>
      <w:r w:rsidRPr="00230BC2">
        <w:t>Slovenia</w:t>
      </w:r>
    </w:p>
    <w:p w14:paraId="7CC29A91" w14:textId="69CAD28F" w:rsidR="002F7B48" w:rsidRPr="00230BC2" w:rsidRDefault="002F7B48" w:rsidP="00322CF8">
      <w:pPr>
        <w:pStyle w:val="Para1"/>
        <w:numPr>
          <w:ilvl w:val="0"/>
          <w:numId w:val="0"/>
        </w:numPr>
        <w:spacing w:after="0"/>
        <w:ind w:left="142"/>
        <w:jc w:val="left"/>
      </w:pPr>
      <w:r w:rsidRPr="00230BC2">
        <w:t>Solomon Islands</w:t>
      </w:r>
      <w:r w:rsidR="00866BE2" w:rsidRPr="00230BC2">
        <w:rPr>
          <w:vertAlign w:val="superscript"/>
        </w:rPr>
        <w:t>a</w:t>
      </w:r>
    </w:p>
    <w:p w14:paraId="50B0A995" w14:textId="77777777" w:rsidR="002F7B48" w:rsidRPr="00230BC2" w:rsidRDefault="002F7B48" w:rsidP="00322CF8">
      <w:pPr>
        <w:pStyle w:val="Para1"/>
        <w:numPr>
          <w:ilvl w:val="0"/>
          <w:numId w:val="0"/>
        </w:numPr>
        <w:spacing w:after="0"/>
        <w:ind w:left="142"/>
        <w:jc w:val="left"/>
      </w:pPr>
      <w:r w:rsidRPr="00230BC2">
        <w:t>Somalia</w:t>
      </w:r>
    </w:p>
    <w:p w14:paraId="24668B2D" w14:textId="77777777" w:rsidR="002F7B48" w:rsidRPr="00230BC2" w:rsidRDefault="002F7B48" w:rsidP="00322CF8">
      <w:pPr>
        <w:pStyle w:val="Para1"/>
        <w:numPr>
          <w:ilvl w:val="0"/>
          <w:numId w:val="0"/>
        </w:numPr>
        <w:spacing w:after="0"/>
        <w:ind w:left="142"/>
        <w:jc w:val="left"/>
      </w:pPr>
      <w:r w:rsidRPr="00230BC2">
        <w:t>South Africa</w:t>
      </w:r>
    </w:p>
    <w:p w14:paraId="0CF61338" w14:textId="77777777" w:rsidR="002F7B48" w:rsidRPr="00230BC2" w:rsidRDefault="002F7B48" w:rsidP="00322CF8">
      <w:pPr>
        <w:pStyle w:val="Para1"/>
        <w:numPr>
          <w:ilvl w:val="0"/>
          <w:numId w:val="0"/>
        </w:numPr>
        <w:spacing w:after="0"/>
        <w:ind w:left="142"/>
        <w:jc w:val="left"/>
      </w:pPr>
      <w:r w:rsidRPr="00230BC2">
        <w:t>South Sudan</w:t>
      </w:r>
    </w:p>
    <w:p w14:paraId="574C04F6" w14:textId="77777777" w:rsidR="002F7B48" w:rsidRPr="00230BC2" w:rsidRDefault="002F7B48" w:rsidP="00322CF8">
      <w:pPr>
        <w:pStyle w:val="Para1"/>
        <w:numPr>
          <w:ilvl w:val="0"/>
          <w:numId w:val="0"/>
        </w:numPr>
        <w:spacing w:after="0"/>
        <w:ind w:left="142"/>
        <w:jc w:val="left"/>
      </w:pPr>
      <w:r w:rsidRPr="00230BC2">
        <w:t>Spain</w:t>
      </w:r>
    </w:p>
    <w:p w14:paraId="1A67455C" w14:textId="77777777" w:rsidR="002F7B48" w:rsidRPr="00230BC2" w:rsidRDefault="002F7B48" w:rsidP="00322CF8">
      <w:pPr>
        <w:pStyle w:val="Para1"/>
        <w:numPr>
          <w:ilvl w:val="0"/>
          <w:numId w:val="0"/>
        </w:numPr>
        <w:spacing w:after="0"/>
        <w:ind w:left="142"/>
        <w:jc w:val="left"/>
      </w:pPr>
      <w:r w:rsidRPr="00230BC2">
        <w:t>Sri Lanka</w:t>
      </w:r>
    </w:p>
    <w:p w14:paraId="06DC94CB" w14:textId="77777777" w:rsidR="002F7B48" w:rsidRPr="00230BC2" w:rsidRDefault="002F7B48" w:rsidP="00322CF8">
      <w:pPr>
        <w:pStyle w:val="Para1"/>
        <w:numPr>
          <w:ilvl w:val="0"/>
          <w:numId w:val="0"/>
        </w:numPr>
        <w:spacing w:after="0"/>
        <w:ind w:left="142"/>
        <w:jc w:val="left"/>
      </w:pPr>
      <w:r w:rsidRPr="00230BC2">
        <w:t>State of Palestine</w:t>
      </w:r>
    </w:p>
    <w:p w14:paraId="5744F654" w14:textId="77777777" w:rsidR="002F7B48" w:rsidRPr="00230BC2" w:rsidRDefault="002F7B48" w:rsidP="00322CF8">
      <w:pPr>
        <w:pStyle w:val="Para1"/>
        <w:numPr>
          <w:ilvl w:val="0"/>
          <w:numId w:val="0"/>
        </w:numPr>
        <w:spacing w:after="0"/>
        <w:ind w:left="142"/>
        <w:jc w:val="left"/>
      </w:pPr>
      <w:r w:rsidRPr="00230BC2">
        <w:t>Sudan</w:t>
      </w:r>
    </w:p>
    <w:p w14:paraId="0BAAD267" w14:textId="02BDD7F6" w:rsidR="002F7B48" w:rsidRPr="00230BC2" w:rsidRDefault="002F7B48" w:rsidP="00322CF8">
      <w:pPr>
        <w:pStyle w:val="Para1"/>
        <w:numPr>
          <w:ilvl w:val="0"/>
          <w:numId w:val="0"/>
        </w:numPr>
        <w:spacing w:after="0"/>
        <w:ind w:left="142"/>
        <w:jc w:val="left"/>
      </w:pPr>
      <w:r w:rsidRPr="00230BC2">
        <w:t>Suriname</w:t>
      </w:r>
      <w:r w:rsidR="00866BE2" w:rsidRPr="00230BC2">
        <w:rPr>
          <w:vertAlign w:val="superscript"/>
        </w:rPr>
        <w:t>a</w:t>
      </w:r>
    </w:p>
    <w:p w14:paraId="335683BF" w14:textId="77777777" w:rsidR="002F7B48" w:rsidRPr="00230BC2" w:rsidRDefault="002F7B48" w:rsidP="00322CF8">
      <w:pPr>
        <w:pStyle w:val="Para1"/>
        <w:numPr>
          <w:ilvl w:val="0"/>
          <w:numId w:val="0"/>
        </w:numPr>
        <w:spacing w:after="0"/>
        <w:ind w:left="142"/>
        <w:jc w:val="left"/>
      </w:pPr>
      <w:r w:rsidRPr="00230BC2">
        <w:t>Sweden</w:t>
      </w:r>
    </w:p>
    <w:p w14:paraId="1909176C" w14:textId="77777777" w:rsidR="002F7B48" w:rsidRPr="00230BC2" w:rsidRDefault="002F7B48" w:rsidP="00322CF8">
      <w:pPr>
        <w:pStyle w:val="Para1"/>
        <w:numPr>
          <w:ilvl w:val="0"/>
          <w:numId w:val="0"/>
        </w:numPr>
        <w:spacing w:after="0"/>
        <w:ind w:left="142"/>
        <w:jc w:val="left"/>
      </w:pPr>
      <w:r w:rsidRPr="00230BC2">
        <w:t>Switzerland</w:t>
      </w:r>
    </w:p>
    <w:p w14:paraId="0CD44655" w14:textId="77777777" w:rsidR="002F7B48" w:rsidRPr="00230BC2" w:rsidRDefault="002F7B48" w:rsidP="00322CF8">
      <w:pPr>
        <w:pStyle w:val="Para1"/>
        <w:numPr>
          <w:ilvl w:val="0"/>
          <w:numId w:val="0"/>
        </w:numPr>
        <w:spacing w:after="0"/>
        <w:ind w:left="142"/>
        <w:jc w:val="left"/>
      </w:pPr>
      <w:r w:rsidRPr="00230BC2">
        <w:t>Syrian Arab Republic</w:t>
      </w:r>
    </w:p>
    <w:p w14:paraId="469AD1EB" w14:textId="77777777" w:rsidR="002F7B48" w:rsidRPr="00230BC2" w:rsidRDefault="002F7B48" w:rsidP="00322CF8">
      <w:pPr>
        <w:pStyle w:val="Para1"/>
        <w:numPr>
          <w:ilvl w:val="0"/>
          <w:numId w:val="0"/>
        </w:numPr>
        <w:spacing w:after="0"/>
        <w:ind w:left="142"/>
        <w:jc w:val="left"/>
      </w:pPr>
      <w:r w:rsidRPr="00230BC2">
        <w:t>Tajikistan</w:t>
      </w:r>
    </w:p>
    <w:p w14:paraId="3C73F033" w14:textId="77777777" w:rsidR="002F7B48" w:rsidRPr="00230BC2" w:rsidRDefault="002F7B48" w:rsidP="00322CF8">
      <w:pPr>
        <w:pStyle w:val="Para1"/>
        <w:numPr>
          <w:ilvl w:val="0"/>
          <w:numId w:val="0"/>
        </w:numPr>
        <w:spacing w:after="0"/>
        <w:ind w:left="142"/>
        <w:jc w:val="left"/>
      </w:pPr>
      <w:r w:rsidRPr="00230BC2">
        <w:t>Thailand</w:t>
      </w:r>
    </w:p>
    <w:p w14:paraId="46D2A779" w14:textId="6CF83BA1" w:rsidR="002F7B48" w:rsidRPr="00230BC2" w:rsidRDefault="002F7B48" w:rsidP="00322CF8">
      <w:pPr>
        <w:pStyle w:val="Para1"/>
        <w:numPr>
          <w:ilvl w:val="0"/>
          <w:numId w:val="0"/>
        </w:numPr>
        <w:spacing w:after="0"/>
        <w:ind w:left="142"/>
        <w:jc w:val="left"/>
      </w:pPr>
      <w:r w:rsidRPr="00230BC2">
        <w:t>Timor-Leste</w:t>
      </w:r>
      <w:r w:rsidR="00866BE2" w:rsidRPr="00230BC2">
        <w:rPr>
          <w:vertAlign w:val="superscript"/>
        </w:rPr>
        <w:t>a</w:t>
      </w:r>
    </w:p>
    <w:p w14:paraId="1A6FA9B9" w14:textId="77777777" w:rsidR="002F7B48" w:rsidRPr="00230BC2" w:rsidRDefault="002F7B48" w:rsidP="00322CF8">
      <w:pPr>
        <w:pStyle w:val="Para1"/>
        <w:numPr>
          <w:ilvl w:val="0"/>
          <w:numId w:val="0"/>
        </w:numPr>
        <w:spacing w:after="0"/>
        <w:ind w:left="142"/>
        <w:jc w:val="left"/>
      </w:pPr>
      <w:r w:rsidRPr="00230BC2">
        <w:t>Togo</w:t>
      </w:r>
    </w:p>
    <w:p w14:paraId="48CECCBD" w14:textId="77777777" w:rsidR="002F7B48" w:rsidRPr="00230BC2" w:rsidRDefault="002F7B48" w:rsidP="00322CF8">
      <w:pPr>
        <w:pStyle w:val="Para1"/>
        <w:numPr>
          <w:ilvl w:val="0"/>
          <w:numId w:val="0"/>
        </w:numPr>
        <w:spacing w:after="0"/>
        <w:ind w:left="142"/>
        <w:jc w:val="left"/>
      </w:pPr>
      <w:r w:rsidRPr="00230BC2">
        <w:t>Tonga</w:t>
      </w:r>
    </w:p>
    <w:p w14:paraId="409140C8" w14:textId="77777777" w:rsidR="002F7B48" w:rsidRPr="00230BC2" w:rsidRDefault="002F7B48" w:rsidP="00322CF8">
      <w:pPr>
        <w:pStyle w:val="Para1"/>
        <w:numPr>
          <w:ilvl w:val="0"/>
          <w:numId w:val="0"/>
        </w:numPr>
        <w:spacing w:after="0"/>
        <w:ind w:left="142"/>
        <w:jc w:val="left"/>
      </w:pPr>
      <w:r w:rsidRPr="00230BC2">
        <w:t>Trinidad and Tobago</w:t>
      </w:r>
    </w:p>
    <w:p w14:paraId="1F6F157F" w14:textId="77777777" w:rsidR="002F7B48" w:rsidRPr="00230BC2" w:rsidRDefault="002F7B48" w:rsidP="00322CF8">
      <w:pPr>
        <w:pStyle w:val="Para1"/>
        <w:numPr>
          <w:ilvl w:val="0"/>
          <w:numId w:val="0"/>
        </w:numPr>
        <w:spacing w:after="0"/>
        <w:ind w:left="142"/>
        <w:jc w:val="left"/>
      </w:pPr>
      <w:r w:rsidRPr="00230BC2">
        <w:t>Tunisia</w:t>
      </w:r>
    </w:p>
    <w:p w14:paraId="03985EA4" w14:textId="77777777" w:rsidR="002F7B48" w:rsidRPr="00230BC2" w:rsidRDefault="002F7B48" w:rsidP="00322CF8">
      <w:pPr>
        <w:pStyle w:val="Para1"/>
        <w:numPr>
          <w:ilvl w:val="0"/>
          <w:numId w:val="0"/>
        </w:numPr>
        <w:spacing w:after="0"/>
        <w:ind w:left="142"/>
        <w:jc w:val="left"/>
      </w:pPr>
      <w:r w:rsidRPr="00230BC2">
        <w:t>Türkiye</w:t>
      </w:r>
    </w:p>
    <w:p w14:paraId="07736138" w14:textId="77777777" w:rsidR="002F7B48" w:rsidRPr="00230BC2" w:rsidRDefault="002F7B48" w:rsidP="00322CF8">
      <w:pPr>
        <w:pStyle w:val="Para1"/>
        <w:numPr>
          <w:ilvl w:val="0"/>
          <w:numId w:val="0"/>
        </w:numPr>
        <w:spacing w:after="0"/>
        <w:ind w:left="142"/>
        <w:jc w:val="left"/>
      </w:pPr>
      <w:r w:rsidRPr="00230BC2">
        <w:t>Turkmenistan</w:t>
      </w:r>
    </w:p>
    <w:p w14:paraId="70655830" w14:textId="77777777" w:rsidR="002F7B48" w:rsidRPr="00230BC2" w:rsidRDefault="002F7B48" w:rsidP="00322CF8">
      <w:pPr>
        <w:pStyle w:val="Para1"/>
        <w:numPr>
          <w:ilvl w:val="0"/>
          <w:numId w:val="0"/>
        </w:numPr>
        <w:spacing w:after="0"/>
        <w:ind w:left="142"/>
        <w:jc w:val="left"/>
      </w:pPr>
      <w:r w:rsidRPr="00230BC2">
        <w:t>Tuvalu</w:t>
      </w:r>
    </w:p>
    <w:p w14:paraId="7AF52823" w14:textId="77777777" w:rsidR="002F7B48" w:rsidRPr="00230BC2" w:rsidRDefault="002F7B48" w:rsidP="00322CF8">
      <w:pPr>
        <w:pStyle w:val="Para1"/>
        <w:numPr>
          <w:ilvl w:val="0"/>
          <w:numId w:val="0"/>
        </w:numPr>
        <w:spacing w:after="0"/>
        <w:ind w:left="142"/>
        <w:jc w:val="left"/>
      </w:pPr>
      <w:r w:rsidRPr="00230BC2">
        <w:t>Uganda</w:t>
      </w:r>
    </w:p>
    <w:p w14:paraId="2A11CCEA" w14:textId="77777777" w:rsidR="002F7B48" w:rsidRPr="00230BC2" w:rsidRDefault="002F7B48" w:rsidP="00322CF8">
      <w:pPr>
        <w:pStyle w:val="Para1"/>
        <w:numPr>
          <w:ilvl w:val="0"/>
          <w:numId w:val="0"/>
        </w:numPr>
        <w:spacing w:after="0"/>
        <w:ind w:left="142"/>
        <w:jc w:val="left"/>
      </w:pPr>
      <w:r w:rsidRPr="00230BC2">
        <w:t>Ukraine</w:t>
      </w:r>
    </w:p>
    <w:p w14:paraId="07EEECC7" w14:textId="77777777" w:rsidR="002F7B48" w:rsidRPr="00230BC2" w:rsidRDefault="002F7B48" w:rsidP="00322CF8">
      <w:pPr>
        <w:pStyle w:val="Para1"/>
        <w:numPr>
          <w:ilvl w:val="0"/>
          <w:numId w:val="0"/>
        </w:numPr>
        <w:spacing w:after="0"/>
        <w:ind w:left="142"/>
        <w:jc w:val="left"/>
      </w:pPr>
      <w:r w:rsidRPr="00230BC2">
        <w:t>United Arab Emirates</w:t>
      </w:r>
    </w:p>
    <w:p w14:paraId="73FE3182" w14:textId="77777777" w:rsidR="002F7B48" w:rsidRPr="00230BC2" w:rsidRDefault="002F7B48" w:rsidP="00322CF8">
      <w:pPr>
        <w:pStyle w:val="Para1"/>
        <w:numPr>
          <w:ilvl w:val="0"/>
          <w:numId w:val="0"/>
        </w:numPr>
        <w:spacing w:after="0"/>
        <w:ind w:left="142"/>
        <w:jc w:val="left"/>
      </w:pPr>
      <w:r w:rsidRPr="00230BC2">
        <w:t>United Kingdom of Great Britain and Northern Ireland</w:t>
      </w:r>
    </w:p>
    <w:p w14:paraId="79BE304C" w14:textId="77777777" w:rsidR="002F7B48" w:rsidRPr="00230BC2" w:rsidRDefault="002F7B48" w:rsidP="00322CF8">
      <w:pPr>
        <w:pStyle w:val="Para1"/>
        <w:numPr>
          <w:ilvl w:val="0"/>
          <w:numId w:val="0"/>
        </w:numPr>
        <w:spacing w:after="0"/>
        <w:ind w:left="142"/>
        <w:jc w:val="left"/>
      </w:pPr>
      <w:r w:rsidRPr="00230BC2">
        <w:t>United Republic of Tanzania</w:t>
      </w:r>
    </w:p>
    <w:p w14:paraId="104FDF5B" w14:textId="77777777" w:rsidR="002F7B48" w:rsidRPr="00230BC2" w:rsidRDefault="002F7B48" w:rsidP="00322CF8">
      <w:pPr>
        <w:pStyle w:val="Para1"/>
        <w:numPr>
          <w:ilvl w:val="0"/>
          <w:numId w:val="0"/>
        </w:numPr>
        <w:spacing w:after="0"/>
        <w:ind w:left="142"/>
        <w:jc w:val="left"/>
      </w:pPr>
      <w:r w:rsidRPr="00230BC2">
        <w:t>Uruguay</w:t>
      </w:r>
    </w:p>
    <w:p w14:paraId="63385064" w14:textId="0F7B5DFC" w:rsidR="002F7B48" w:rsidRPr="00230BC2" w:rsidRDefault="002F7B48" w:rsidP="00322CF8">
      <w:pPr>
        <w:pStyle w:val="Para1"/>
        <w:numPr>
          <w:ilvl w:val="0"/>
          <w:numId w:val="0"/>
        </w:numPr>
        <w:spacing w:after="0"/>
        <w:ind w:left="142"/>
        <w:jc w:val="left"/>
      </w:pPr>
      <w:r w:rsidRPr="00230BC2">
        <w:t>Uzbekistan</w:t>
      </w:r>
      <w:r w:rsidR="00866BE2" w:rsidRPr="00230BC2">
        <w:rPr>
          <w:vertAlign w:val="superscript"/>
        </w:rPr>
        <w:t>a</w:t>
      </w:r>
    </w:p>
    <w:p w14:paraId="0270FE39" w14:textId="77777777" w:rsidR="002F7B48" w:rsidRPr="00311AAE" w:rsidRDefault="002F7B48" w:rsidP="00322CF8">
      <w:pPr>
        <w:pStyle w:val="Para1"/>
        <w:numPr>
          <w:ilvl w:val="0"/>
          <w:numId w:val="0"/>
        </w:numPr>
        <w:spacing w:after="0"/>
        <w:ind w:left="142"/>
        <w:jc w:val="left"/>
        <w:rPr>
          <w:lang w:val="es-ES"/>
        </w:rPr>
      </w:pPr>
      <w:r w:rsidRPr="00311AAE">
        <w:rPr>
          <w:lang w:val="es-ES"/>
        </w:rPr>
        <w:t>Vanuatu</w:t>
      </w:r>
    </w:p>
    <w:p w14:paraId="43D587C8" w14:textId="77777777" w:rsidR="002F7B48" w:rsidRPr="00311AAE" w:rsidRDefault="002F7B48" w:rsidP="00322CF8">
      <w:pPr>
        <w:pStyle w:val="Para1"/>
        <w:numPr>
          <w:ilvl w:val="0"/>
          <w:numId w:val="0"/>
        </w:numPr>
        <w:spacing w:after="0"/>
        <w:ind w:left="144"/>
        <w:jc w:val="left"/>
        <w:rPr>
          <w:lang w:val="es-ES"/>
        </w:rPr>
      </w:pPr>
      <w:r w:rsidRPr="00311AAE">
        <w:rPr>
          <w:lang w:val="es-ES"/>
        </w:rPr>
        <w:t>Venezuela (Bolivarian Republic of)</w:t>
      </w:r>
    </w:p>
    <w:p w14:paraId="71C6CA8A" w14:textId="2598DB79" w:rsidR="002F7B48" w:rsidRPr="00230BC2" w:rsidRDefault="002F7B48" w:rsidP="00322CF8">
      <w:pPr>
        <w:pStyle w:val="Para1"/>
        <w:numPr>
          <w:ilvl w:val="0"/>
          <w:numId w:val="0"/>
        </w:numPr>
        <w:spacing w:after="0"/>
        <w:ind w:left="144"/>
        <w:jc w:val="left"/>
      </w:pPr>
      <w:r w:rsidRPr="00230BC2">
        <w:t>Viet Nam</w:t>
      </w:r>
      <w:r w:rsidR="00866BE2" w:rsidRPr="00230BC2">
        <w:rPr>
          <w:vertAlign w:val="superscript"/>
        </w:rPr>
        <w:t>a</w:t>
      </w:r>
    </w:p>
    <w:p w14:paraId="7254FA87" w14:textId="77777777" w:rsidR="002F7B48" w:rsidRPr="00230BC2" w:rsidRDefault="002F7B48" w:rsidP="00322CF8">
      <w:pPr>
        <w:pStyle w:val="Para1"/>
        <w:numPr>
          <w:ilvl w:val="0"/>
          <w:numId w:val="0"/>
        </w:numPr>
        <w:spacing w:after="0"/>
        <w:ind w:left="144"/>
        <w:jc w:val="left"/>
      </w:pPr>
      <w:r w:rsidRPr="00230BC2">
        <w:t>Yemen</w:t>
      </w:r>
    </w:p>
    <w:p w14:paraId="411C0A8C" w14:textId="77777777" w:rsidR="002F7B48" w:rsidRPr="00230BC2" w:rsidRDefault="002F7B48" w:rsidP="00322CF8">
      <w:pPr>
        <w:pStyle w:val="Para1"/>
        <w:numPr>
          <w:ilvl w:val="0"/>
          <w:numId w:val="0"/>
        </w:numPr>
        <w:spacing w:after="0"/>
        <w:ind w:left="144"/>
        <w:jc w:val="left"/>
      </w:pPr>
      <w:r w:rsidRPr="00230BC2">
        <w:t>Zambia</w:t>
      </w:r>
    </w:p>
    <w:p w14:paraId="55F4FE37" w14:textId="7DB95529" w:rsidR="002F7B48" w:rsidRDefault="002F7B48" w:rsidP="00322CF8">
      <w:pPr>
        <w:pStyle w:val="Para1"/>
        <w:numPr>
          <w:ilvl w:val="0"/>
          <w:numId w:val="0"/>
        </w:numPr>
        <w:spacing w:after="0"/>
        <w:ind w:left="144"/>
        <w:jc w:val="left"/>
      </w:pPr>
      <w:r w:rsidRPr="00230BC2">
        <w:t>Zimbabwe</w:t>
      </w:r>
    </w:p>
    <w:p w14:paraId="444DCB76" w14:textId="77777777" w:rsidR="006A3658" w:rsidRDefault="006A3658" w:rsidP="004A3DE9">
      <w:pPr>
        <w:pStyle w:val="Para1"/>
        <w:numPr>
          <w:ilvl w:val="0"/>
          <w:numId w:val="0"/>
        </w:numPr>
        <w:spacing w:before="120"/>
        <w:rPr>
          <w:i/>
          <w:iCs/>
          <w:sz w:val="18"/>
          <w:szCs w:val="18"/>
        </w:rPr>
        <w:sectPr w:rsidR="006A3658" w:rsidSect="006A3658">
          <w:footnotePr>
            <w:numRestart w:val="eachSect"/>
          </w:footnotePr>
          <w:type w:val="continuous"/>
          <w:pgSz w:w="12240" w:h="15840"/>
          <w:pgMar w:top="567" w:right="1440" w:bottom="1134" w:left="1440" w:header="709" w:footer="709" w:gutter="0"/>
          <w:cols w:num="3" w:space="708"/>
          <w:titlePg/>
          <w:docGrid w:linePitch="360"/>
        </w:sectPr>
      </w:pPr>
    </w:p>
    <w:p w14:paraId="756E82E2" w14:textId="77777777" w:rsidR="004A3DE9" w:rsidRPr="00230BC2" w:rsidRDefault="004A3DE9" w:rsidP="004A3DE9">
      <w:pPr>
        <w:pStyle w:val="Para1"/>
        <w:numPr>
          <w:ilvl w:val="0"/>
          <w:numId w:val="0"/>
        </w:numPr>
        <w:spacing w:before="120"/>
        <w:rPr>
          <w:i/>
          <w:iCs/>
          <w:sz w:val="18"/>
          <w:szCs w:val="18"/>
        </w:rPr>
      </w:pPr>
    </w:p>
    <w:p w14:paraId="7F62B14E" w14:textId="77777777" w:rsidR="00E0044C" w:rsidRDefault="007D420A" w:rsidP="007D420A">
      <w:pPr>
        <w:pStyle w:val="Para1"/>
        <w:numPr>
          <w:ilvl w:val="0"/>
          <w:numId w:val="0"/>
        </w:numPr>
        <w:spacing w:before="120"/>
        <w:rPr>
          <w:sz w:val="18"/>
          <w:szCs w:val="18"/>
        </w:rPr>
        <w:sectPr w:rsidR="00E0044C" w:rsidSect="006A3658">
          <w:footnotePr>
            <w:numStart w:val="2"/>
          </w:footnotePr>
          <w:type w:val="continuous"/>
          <w:pgSz w:w="12240" w:h="15840"/>
          <w:pgMar w:top="567" w:right="1440" w:bottom="1134" w:left="1440" w:header="709" w:footer="709" w:gutter="0"/>
          <w:cols w:space="708"/>
          <w:titlePg/>
          <w:docGrid w:linePitch="360"/>
        </w:sectPr>
      </w:pPr>
      <w:r w:rsidRPr="00230BC2">
        <w:rPr>
          <w:i/>
          <w:iCs/>
          <w:sz w:val="18"/>
          <w:szCs w:val="18"/>
        </w:rPr>
        <w:t>Note</w:t>
      </w:r>
      <w:r w:rsidRPr="00230BC2">
        <w:rPr>
          <w:sz w:val="18"/>
          <w:szCs w:val="18"/>
        </w:rPr>
        <w:t>: Parties with indicator “</w:t>
      </w:r>
      <w:r w:rsidR="00DC36D9" w:rsidRPr="00230BC2">
        <w:rPr>
          <w:sz w:val="18"/>
          <w:szCs w:val="18"/>
        </w:rPr>
        <w:t>a</w:t>
      </w:r>
      <w:r w:rsidRPr="00230BC2">
        <w:rPr>
          <w:sz w:val="18"/>
          <w:szCs w:val="18"/>
        </w:rPr>
        <w:t>” were represented at the Montreal segment of the second part of the meeting</w:t>
      </w:r>
      <w:r w:rsidR="00B53507" w:rsidRPr="00230BC2">
        <w:rPr>
          <w:sz w:val="18"/>
          <w:szCs w:val="18"/>
        </w:rPr>
        <w:t xml:space="preserve"> only</w:t>
      </w:r>
      <w:r w:rsidRPr="00230BC2">
        <w:rPr>
          <w:sz w:val="18"/>
          <w:szCs w:val="18"/>
        </w:rPr>
        <w:t>; those with indicator “</w:t>
      </w:r>
      <w:r w:rsidR="00DC36D9" w:rsidRPr="00230BC2">
        <w:rPr>
          <w:sz w:val="18"/>
          <w:szCs w:val="18"/>
        </w:rPr>
        <w:t>b</w:t>
      </w:r>
      <w:r w:rsidRPr="00230BC2">
        <w:rPr>
          <w:sz w:val="18"/>
          <w:szCs w:val="18"/>
        </w:rPr>
        <w:t xml:space="preserve">” were represented at the </w:t>
      </w:r>
      <w:r w:rsidR="00B53507" w:rsidRPr="00230BC2">
        <w:rPr>
          <w:sz w:val="18"/>
          <w:szCs w:val="18"/>
        </w:rPr>
        <w:t xml:space="preserve">Nairobi segment of </w:t>
      </w:r>
      <w:r w:rsidR="00CB2619" w:rsidRPr="00230BC2">
        <w:rPr>
          <w:sz w:val="18"/>
          <w:szCs w:val="18"/>
        </w:rPr>
        <w:t xml:space="preserve">the </w:t>
      </w:r>
      <w:r w:rsidRPr="00230BC2">
        <w:rPr>
          <w:sz w:val="18"/>
          <w:szCs w:val="18"/>
        </w:rPr>
        <w:t>second part of the meeting</w:t>
      </w:r>
      <w:r w:rsidR="00CB2619" w:rsidRPr="00230BC2">
        <w:rPr>
          <w:sz w:val="18"/>
          <w:szCs w:val="18"/>
        </w:rPr>
        <w:t xml:space="preserve"> only</w:t>
      </w:r>
      <w:r w:rsidRPr="00230BC2">
        <w:rPr>
          <w:sz w:val="18"/>
          <w:szCs w:val="18"/>
        </w:rPr>
        <w:t>; and those with no indicator were represented at both segments.</w:t>
      </w:r>
    </w:p>
    <w:p w14:paraId="69D0407D" w14:textId="7897B70A" w:rsidR="00AA3C0A" w:rsidRPr="00230BC2" w:rsidRDefault="00AA3C0A" w:rsidP="003466FC">
      <w:pPr>
        <w:pStyle w:val="Para1"/>
      </w:pPr>
      <w:r w:rsidRPr="00230BC2" w:rsidDel="00822701">
        <w:t>The following State</w:t>
      </w:r>
      <w:r w:rsidR="0048615E" w:rsidRPr="00230BC2" w:rsidDel="00822701">
        <w:t>s</w:t>
      </w:r>
      <w:r w:rsidRPr="00230BC2" w:rsidDel="00822701">
        <w:t xml:space="preserve"> not party to the Convention </w:t>
      </w:r>
      <w:r w:rsidR="00CA769D" w:rsidRPr="00230BC2">
        <w:t xml:space="preserve">were </w:t>
      </w:r>
      <w:r w:rsidRPr="00230BC2" w:rsidDel="00822701">
        <w:t>also represented</w:t>
      </w:r>
      <w:r w:rsidR="00F63E2E" w:rsidRPr="00230BC2">
        <w:t>:</w:t>
      </w:r>
      <w:r w:rsidRPr="00230BC2" w:rsidDel="00822701">
        <w:t xml:space="preserve"> </w:t>
      </w:r>
      <w:r w:rsidR="00E6071E" w:rsidRPr="00230BC2">
        <w:t xml:space="preserve">Holy See </w:t>
      </w:r>
      <w:r w:rsidR="009B3C83" w:rsidRPr="00230BC2">
        <w:t>(</w:t>
      </w:r>
      <w:r w:rsidR="00D071C2" w:rsidRPr="00230BC2">
        <w:t>Montreal segment only</w:t>
      </w:r>
      <w:r w:rsidR="009B3C83" w:rsidRPr="00230BC2">
        <w:t xml:space="preserve">) </w:t>
      </w:r>
      <w:r w:rsidR="00E6071E" w:rsidRPr="00230BC2">
        <w:t xml:space="preserve">and </w:t>
      </w:r>
      <w:r w:rsidR="00604838" w:rsidRPr="00230BC2" w:rsidDel="00822701">
        <w:t>United States of America</w:t>
      </w:r>
      <w:r w:rsidR="009B3C83" w:rsidRPr="00230BC2">
        <w:t xml:space="preserve"> (</w:t>
      </w:r>
      <w:r w:rsidR="00D071C2" w:rsidRPr="00230BC2">
        <w:t>Montreal and Nairobi segments</w:t>
      </w:r>
      <w:r w:rsidR="00F63E2E" w:rsidRPr="00230BC2">
        <w:t>)</w:t>
      </w:r>
      <w:r w:rsidR="00604838" w:rsidRPr="00230BC2" w:rsidDel="00822701">
        <w:t>.</w:t>
      </w:r>
    </w:p>
    <w:p w14:paraId="20FB6DCE" w14:textId="6F55FE34" w:rsidR="008C47BB" w:rsidRPr="00230BC2" w:rsidDel="00822701" w:rsidRDefault="00BD2FD1" w:rsidP="003466FC">
      <w:pPr>
        <w:pStyle w:val="Para1"/>
      </w:pPr>
      <w:r w:rsidRPr="00230BC2">
        <w:t xml:space="preserve">The list of organizations represented at the meeting is set out in </w:t>
      </w:r>
      <w:r w:rsidR="00E34619" w:rsidRPr="00230BC2">
        <w:t>document CBD/COP/15/17/Add.1</w:t>
      </w:r>
      <w:r w:rsidRPr="00230BC2">
        <w:t>.</w:t>
      </w:r>
    </w:p>
    <w:p w14:paraId="018415F1" w14:textId="65207ACC" w:rsidR="00D77560" w:rsidRPr="00230BC2" w:rsidRDefault="007A26CC" w:rsidP="00BC525B">
      <w:pPr>
        <w:keepNext/>
        <w:suppressLineNumbers/>
        <w:suppressAutoHyphens/>
        <w:kinsoku w:val="0"/>
        <w:overflowPunct w:val="0"/>
        <w:autoSpaceDE w:val="0"/>
        <w:autoSpaceDN w:val="0"/>
        <w:adjustRightInd w:val="0"/>
        <w:snapToGrid w:val="0"/>
        <w:spacing w:before="240" w:after="120"/>
        <w:jc w:val="center"/>
        <w:rPr>
          <w:b/>
          <w:bCs/>
          <w:snapToGrid w:val="0"/>
          <w:kern w:val="22"/>
          <w:szCs w:val="22"/>
        </w:rPr>
      </w:pPr>
      <w:r w:rsidRPr="00230BC2">
        <w:rPr>
          <w:b/>
          <w:bCs/>
          <w:snapToGrid w:val="0"/>
          <w:kern w:val="22"/>
          <w:szCs w:val="22"/>
        </w:rPr>
        <w:t>I.</w:t>
      </w:r>
      <w:r w:rsidRPr="00230BC2">
        <w:rPr>
          <w:b/>
          <w:bCs/>
          <w:snapToGrid w:val="0"/>
          <w:kern w:val="22"/>
          <w:szCs w:val="22"/>
        </w:rPr>
        <w:tab/>
        <w:t>ORGANIZATIONAL MATTERS</w:t>
      </w:r>
    </w:p>
    <w:p w14:paraId="434A7DF1" w14:textId="6FFF3FF2" w:rsidR="00D77560" w:rsidRPr="00950BE4" w:rsidRDefault="00D77560"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bookmarkStart w:id="407" w:name="Item01"/>
      <w:r w:rsidRPr="00950BE4">
        <w:rPr>
          <w:b/>
          <w:bCs/>
          <w:snapToGrid w:val="0"/>
          <w:kern w:val="22"/>
          <w:szCs w:val="22"/>
        </w:rPr>
        <w:t>Item 1.</w:t>
      </w:r>
      <w:r w:rsidRPr="00950BE4">
        <w:rPr>
          <w:b/>
          <w:bCs/>
          <w:snapToGrid w:val="0"/>
          <w:kern w:val="22"/>
          <w:szCs w:val="22"/>
        </w:rPr>
        <w:tab/>
        <w:t>Opening of the meeting</w:t>
      </w:r>
      <w:bookmarkEnd w:id="407"/>
    </w:p>
    <w:p w14:paraId="27778D8D" w14:textId="3A87D7D5" w:rsidR="00CA4FFF" w:rsidRPr="00230BC2" w:rsidRDefault="003D62BB" w:rsidP="003466FC">
      <w:pPr>
        <w:pStyle w:val="Para1"/>
      </w:pPr>
      <w:r w:rsidRPr="00230BC2">
        <w:t xml:space="preserve">The 1st plenary session was held jointly with those of the </w:t>
      </w:r>
      <w:r w:rsidR="00D565D2" w:rsidRPr="00230BC2">
        <w:t>Conference of the Parties serving as the meeting of the Parties to the Cartagena Protocol</w:t>
      </w:r>
      <w:r w:rsidRPr="00230BC2">
        <w:t xml:space="preserve"> and of the Conference of the Parties serving as the meeting of the Parties to the Nagoya Protocol, on 7 December 2022. The President of the three bodies, the Minister of Ecology and Environment of China, declared the second part of the meeting</w:t>
      </w:r>
      <w:r w:rsidR="00505ABC" w:rsidRPr="00230BC2">
        <w:t>s</w:t>
      </w:r>
      <w:r w:rsidRPr="00230BC2">
        <w:t xml:space="preserve"> open at 10.25 a.m</w:t>
      </w:r>
      <w:r w:rsidR="008E2D53" w:rsidRPr="00230BC2">
        <w:t>.</w:t>
      </w:r>
    </w:p>
    <w:p w14:paraId="307E12A5" w14:textId="13FA9365" w:rsidR="00CA4FFF" w:rsidRPr="00230BC2" w:rsidRDefault="00CA4FFF" w:rsidP="003466FC">
      <w:pPr>
        <w:pStyle w:val="Para1"/>
      </w:pPr>
      <w:bookmarkStart w:id="408" w:name="_Hlk123472359"/>
      <w:r w:rsidRPr="00230BC2">
        <w:t xml:space="preserve">Opening </w:t>
      </w:r>
      <w:r w:rsidR="00CD39F7" w:rsidRPr="00230BC2">
        <w:t xml:space="preserve">remarks </w:t>
      </w:r>
      <w:r w:rsidRPr="00230BC2">
        <w:t xml:space="preserve">were delivered by </w:t>
      </w:r>
      <w:r w:rsidR="00C86797" w:rsidRPr="00230BC2">
        <w:t>the President</w:t>
      </w:r>
      <w:r w:rsidR="004F6112" w:rsidRPr="00230BC2">
        <w:t xml:space="preserve">, </w:t>
      </w:r>
      <w:r w:rsidR="00B3118F" w:rsidRPr="00230BC2">
        <w:t xml:space="preserve">the </w:t>
      </w:r>
      <w:r w:rsidRPr="00230BC2">
        <w:t xml:space="preserve">Executive Director of </w:t>
      </w:r>
      <w:r w:rsidR="001B627E" w:rsidRPr="00230BC2">
        <w:t>the United Nations Environment Programme</w:t>
      </w:r>
      <w:r w:rsidR="009F15B2" w:rsidRPr="00230BC2">
        <w:t xml:space="preserve"> (UNEP)</w:t>
      </w:r>
      <w:r w:rsidR="00C66F61" w:rsidRPr="00230BC2">
        <w:t>,</w:t>
      </w:r>
      <w:r w:rsidRPr="00230BC2">
        <w:t xml:space="preserve"> </w:t>
      </w:r>
      <w:r w:rsidR="00B3118F" w:rsidRPr="00230BC2">
        <w:t xml:space="preserve">the </w:t>
      </w:r>
      <w:r w:rsidRPr="00230BC2">
        <w:t>Minister of Environment and Climate Change of Canada</w:t>
      </w:r>
      <w:r w:rsidR="00B3118F" w:rsidRPr="00230BC2">
        <w:t>, Steven Guilbeault,</w:t>
      </w:r>
      <w:r w:rsidR="00C86797" w:rsidRPr="00230BC2">
        <w:t xml:space="preserve"> and </w:t>
      </w:r>
      <w:r w:rsidR="001D42C2" w:rsidRPr="00230BC2">
        <w:t xml:space="preserve">the </w:t>
      </w:r>
      <w:r w:rsidR="00C86797" w:rsidRPr="00230BC2">
        <w:t>Executive Secretary of the Convention on Biological Diversity</w:t>
      </w:r>
      <w:r w:rsidRPr="00230BC2">
        <w:t>.</w:t>
      </w:r>
    </w:p>
    <w:p w14:paraId="6DD3BDD0" w14:textId="26281722" w:rsidR="001B627E" w:rsidRPr="00230BC2" w:rsidRDefault="001B627E" w:rsidP="003466FC">
      <w:pPr>
        <w:pStyle w:val="Para1"/>
      </w:pPr>
      <w:r w:rsidRPr="00230BC2">
        <w:t xml:space="preserve">In his statement, the President said that the current </w:t>
      </w:r>
      <w:r w:rsidR="009E60C7" w:rsidRPr="00230BC2">
        <w:t xml:space="preserve">part of the </w:t>
      </w:r>
      <w:r w:rsidRPr="00230BC2">
        <w:t xml:space="preserve">meeting – for which the </w:t>
      </w:r>
      <w:r w:rsidR="000E2CDB" w:rsidRPr="00230BC2">
        <w:t xml:space="preserve">first </w:t>
      </w:r>
      <w:r w:rsidRPr="00230BC2">
        <w:t xml:space="preserve">part had laid a solid foundation – was the chance to conclude a peace pact with nature </w:t>
      </w:r>
      <w:r w:rsidR="006407C0" w:rsidRPr="00230BC2">
        <w:t>by adopting the post</w:t>
      </w:r>
      <w:r w:rsidR="001E2522" w:rsidRPr="00230BC2">
        <w:t>-</w:t>
      </w:r>
      <w:r w:rsidR="006407C0" w:rsidRPr="00230BC2">
        <w:t>2020 global biodiversity framew</w:t>
      </w:r>
      <w:r w:rsidR="00EA4765" w:rsidRPr="00230BC2">
        <w:t>o</w:t>
      </w:r>
      <w:r w:rsidR="006407C0" w:rsidRPr="00230BC2">
        <w:t>rk</w:t>
      </w:r>
      <w:r w:rsidRPr="00230BC2">
        <w:t xml:space="preserve">. In that context, he looked forward to a demonstration of international cooperation, political determination, </w:t>
      </w:r>
      <w:r w:rsidR="0048615E" w:rsidRPr="00230BC2">
        <w:t xml:space="preserve">the </w:t>
      </w:r>
      <w:r w:rsidRPr="00230BC2">
        <w:t xml:space="preserve">utmost goodwill, flexibility, compromise on key issues and positive commitments to continued increases in funding aimed at promoting the consultation process. The primary focus should be on resolving difficulties and forging the greatest possible consensus so as to achieve a framework document that would </w:t>
      </w:r>
      <w:r w:rsidR="00233416" w:rsidRPr="00230BC2">
        <w:t>represent</w:t>
      </w:r>
      <w:r w:rsidRPr="00230BC2">
        <w:t xml:space="preserve"> a landmark and write a new chapter in global biodiversity governance.</w:t>
      </w:r>
    </w:p>
    <w:p w14:paraId="1A182CAD" w14:textId="56093808" w:rsidR="001B627E" w:rsidRPr="00230BC2" w:rsidRDefault="001B627E" w:rsidP="003466FC">
      <w:pPr>
        <w:pStyle w:val="Para1"/>
      </w:pPr>
      <w:r w:rsidRPr="00230BC2">
        <w:t xml:space="preserve">In her remarks, </w:t>
      </w:r>
      <w:r w:rsidR="009F15B2" w:rsidRPr="00230BC2">
        <w:t xml:space="preserve">the Executive Director of UNEP </w:t>
      </w:r>
      <w:r w:rsidRPr="00230BC2">
        <w:t xml:space="preserve">said that the </w:t>
      </w:r>
      <w:r w:rsidR="0046365B" w:rsidRPr="00230BC2">
        <w:t xml:space="preserve">Conference </w:t>
      </w:r>
      <w:r w:rsidRPr="00230BC2">
        <w:t>must secure the future of the planetary life support system by delivering an ambitious post</w:t>
      </w:r>
      <w:r w:rsidR="000D647C" w:rsidRPr="00230BC2">
        <w:noBreakHyphen/>
      </w:r>
      <w:r w:rsidRPr="00230BC2">
        <w:t xml:space="preserve">2020 global biodiversity framework that </w:t>
      </w:r>
      <w:r w:rsidR="00677F62" w:rsidRPr="00230BC2">
        <w:t xml:space="preserve">not only </w:t>
      </w:r>
      <w:r w:rsidR="002D7511" w:rsidRPr="00230BC2">
        <w:t xml:space="preserve">tackled changing land and sea use, species overexploitation, climate change, pollution and invasive </w:t>
      </w:r>
      <w:r w:rsidR="00DE1C23" w:rsidRPr="00230BC2">
        <w:t>alien</w:t>
      </w:r>
      <w:r w:rsidR="002D7511" w:rsidRPr="00230BC2">
        <w:t xml:space="preserve"> species</w:t>
      </w:r>
      <w:r w:rsidR="00BA5F4F" w:rsidRPr="00230BC2">
        <w:t>,</w:t>
      </w:r>
      <w:r w:rsidR="002D7511" w:rsidRPr="00230BC2">
        <w:t xml:space="preserve"> but also </w:t>
      </w:r>
      <w:r w:rsidRPr="00230BC2">
        <w:t xml:space="preserve">addressed the underlying drivers of biodiversity loss and recognized and protected the rights of </w:t>
      </w:r>
      <w:r w:rsidR="00CA769D" w:rsidRPr="00230BC2">
        <w:t>i</w:t>
      </w:r>
      <w:r w:rsidRPr="00230BC2">
        <w:t xml:space="preserve">ndigenous </w:t>
      </w:r>
      <w:r w:rsidR="00CA769D" w:rsidRPr="00230BC2">
        <w:t>p</w:t>
      </w:r>
      <w:r w:rsidRPr="00230BC2">
        <w:t xml:space="preserve">eoples and local communities. The framework </w:t>
      </w:r>
      <w:r w:rsidR="00677F62" w:rsidRPr="00230BC2">
        <w:t>would</w:t>
      </w:r>
      <w:r w:rsidR="003A3ADD" w:rsidRPr="00230BC2">
        <w:t xml:space="preserve"> </w:t>
      </w:r>
      <w:r w:rsidRPr="00230BC2">
        <w:t xml:space="preserve">also </w:t>
      </w:r>
      <w:r w:rsidR="00677F62" w:rsidRPr="00230BC2">
        <w:t xml:space="preserve">need to </w:t>
      </w:r>
      <w:r w:rsidRPr="00230BC2">
        <w:t>dovetail with the Paris Agreement and other instruments of relevance, be adequately resourced and be implemented with great transparency and accountability on progress. It was vital</w:t>
      </w:r>
      <w:r w:rsidR="002D7511" w:rsidRPr="00230BC2">
        <w:t xml:space="preserve"> </w:t>
      </w:r>
      <w:r w:rsidRPr="00230BC2">
        <w:t xml:space="preserve">to accelerate the negotiating pace, with all stakeholders </w:t>
      </w:r>
      <w:r w:rsidR="00A27B24" w:rsidRPr="00230BC2">
        <w:t>bearing a</w:t>
      </w:r>
      <w:r w:rsidRPr="00230BC2">
        <w:t xml:space="preserve"> unique responsibility </w:t>
      </w:r>
      <w:r w:rsidR="00A27B24" w:rsidRPr="00230BC2">
        <w:t xml:space="preserve">for </w:t>
      </w:r>
      <w:r w:rsidRPr="00230BC2">
        <w:t>agree</w:t>
      </w:r>
      <w:r w:rsidR="00A27B24" w:rsidRPr="00230BC2">
        <w:t>ing</w:t>
      </w:r>
      <w:r w:rsidRPr="00230BC2">
        <w:t xml:space="preserve"> on a plan for making peace with nature as the irreplaceable essence of life.</w:t>
      </w:r>
    </w:p>
    <w:p w14:paraId="6BDB8F85" w14:textId="766FC432" w:rsidR="00952864" w:rsidRPr="00230BC2" w:rsidRDefault="00B3118F" w:rsidP="003466FC">
      <w:pPr>
        <w:pStyle w:val="Para1"/>
      </w:pPr>
      <w:r w:rsidRPr="00230BC2">
        <w:t xml:space="preserve">The Minister of Environment and Climate Change of Canada </w:t>
      </w:r>
      <w:r w:rsidR="00952864" w:rsidRPr="00230BC2">
        <w:t>stressed that the post-2020 global biodiversity framework must halt and reverse the drivers causing rapid ecosystem collapse and put nature on a path to recovery. Crucially, the framework must include a commitment to conserv</w:t>
      </w:r>
      <w:r w:rsidR="00CF6173" w:rsidRPr="00230BC2">
        <w:t>ing</w:t>
      </w:r>
      <w:r w:rsidR="00952864" w:rsidRPr="00230BC2">
        <w:t xml:space="preserve"> a minimum of 30 per cent of the world’s lands and oceans by 2030. Ambitious goals must be matched by real action. Government had a central role but must work closely with civil society, the private sector, foundations, academia, citizens and the </w:t>
      </w:r>
      <w:r w:rsidR="00CA769D" w:rsidRPr="00230BC2">
        <w:t>i</w:t>
      </w:r>
      <w:r w:rsidR="00952864" w:rsidRPr="00230BC2">
        <w:t xml:space="preserve">ndigenous and </w:t>
      </w:r>
      <w:r w:rsidR="006E6C52" w:rsidRPr="00230BC2">
        <w:t>F</w:t>
      </w:r>
      <w:r w:rsidR="00952864" w:rsidRPr="00230BC2">
        <w:t xml:space="preserve">irst </w:t>
      </w:r>
      <w:r w:rsidR="006E6C52" w:rsidRPr="00230BC2">
        <w:t>N</w:t>
      </w:r>
      <w:r w:rsidR="00952864" w:rsidRPr="00230BC2">
        <w:t xml:space="preserve">ations </w:t>
      </w:r>
      <w:r w:rsidR="00CA769D" w:rsidRPr="00230BC2">
        <w:t>p</w:t>
      </w:r>
      <w:r w:rsidR="00952864" w:rsidRPr="00230BC2">
        <w:t xml:space="preserve">eoples. The post-2020 global biodiversity framework must unite all </w:t>
      </w:r>
      <w:r w:rsidR="008D11CE" w:rsidRPr="00230BC2">
        <w:t xml:space="preserve">people </w:t>
      </w:r>
      <w:r w:rsidR="00952864" w:rsidRPr="00230BC2">
        <w:t>in efforts to halt biodiversity loss and set the world on a path to living in harmony with nature by 2050.</w:t>
      </w:r>
    </w:p>
    <w:p w14:paraId="2D055E5F" w14:textId="3DF79FC6" w:rsidR="00C86797" w:rsidRPr="00230BC2" w:rsidRDefault="00AA073F" w:rsidP="003466FC">
      <w:pPr>
        <w:pStyle w:val="Para1"/>
      </w:pPr>
      <w:r w:rsidRPr="00230BC2">
        <w:t xml:space="preserve">The Executive Secretary </w:t>
      </w:r>
      <w:r w:rsidR="00C86797" w:rsidRPr="00230BC2">
        <w:t>thanked the Government of China for its strong support for the post-2020 global biodiversity framework</w:t>
      </w:r>
      <w:r w:rsidR="00395481" w:rsidRPr="00230BC2">
        <w:t xml:space="preserve"> preparation process</w:t>
      </w:r>
      <w:r w:rsidR="00C86797" w:rsidRPr="00230BC2">
        <w:t xml:space="preserve">. She also thanked the many donor countries and stakeholders present, </w:t>
      </w:r>
      <w:r w:rsidR="00430758" w:rsidRPr="00230BC2">
        <w:t xml:space="preserve">the </w:t>
      </w:r>
      <w:r w:rsidR="00C86797" w:rsidRPr="00230BC2">
        <w:t xml:space="preserve">generosity </w:t>
      </w:r>
      <w:r w:rsidR="00430758" w:rsidRPr="00230BC2">
        <w:t xml:space="preserve">of which </w:t>
      </w:r>
      <w:r w:rsidR="00C86797" w:rsidRPr="00230BC2">
        <w:t xml:space="preserve">had made the participation of developing </w:t>
      </w:r>
      <w:r w:rsidR="006E6C52" w:rsidRPr="00230BC2">
        <w:t xml:space="preserve">countries </w:t>
      </w:r>
      <w:r w:rsidR="00C86797" w:rsidRPr="00230BC2">
        <w:t xml:space="preserve">and </w:t>
      </w:r>
      <w:r w:rsidR="00365508" w:rsidRPr="00230BC2">
        <w:t xml:space="preserve">representatives of </w:t>
      </w:r>
      <w:r w:rsidR="00CA769D" w:rsidRPr="00230BC2">
        <w:t>i</w:t>
      </w:r>
      <w:r w:rsidR="00C86797" w:rsidRPr="00230BC2">
        <w:t xml:space="preserve">ndigenous </w:t>
      </w:r>
      <w:r w:rsidR="00CA769D" w:rsidRPr="00230BC2">
        <w:t xml:space="preserve">peoples and local </w:t>
      </w:r>
      <w:r w:rsidR="00C86797" w:rsidRPr="00230BC2">
        <w:t>communit</w:t>
      </w:r>
      <w:r w:rsidR="00CA769D" w:rsidRPr="00230BC2">
        <w:t>ies</w:t>
      </w:r>
      <w:r w:rsidR="005D783E" w:rsidRPr="00230BC2">
        <w:t xml:space="preserve"> possible</w:t>
      </w:r>
      <w:r w:rsidR="00C86797" w:rsidRPr="00230BC2">
        <w:t>. She urged participants to blend their individual voices as a chorus and to develop a text that reflected consensus, compromise and ambition.</w:t>
      </w:r>
    </w:p>
    <w:p w14:paraId="2EAC7520" w14:textId="77794897" w:rsidR="00CD39F7" w:rsidRPr="00230BC2" w:rsidRDefault="005805B0" w:rsidP="003466FC">
      <w:pPr>
        <w:pStyle w:val="Para1"/>
      </w:pPr>
      <w:r w:rsidRPr="00230BC2">
        <w:t>T</w:t>
      </w:r>
      <w:r w:rsidR="008E315A" w:rsidRPr="00230BC2">
        <w:t xml:space="preserve">he Conference of the Parties </w:t>
      </w:r>
      <w:r w:rsidR="00821BA5" w:rsidRPr="00230BC2">
        <w:t xml:space="preserve">also </w:t>
      </w:r>
      <w:r w:rsidR="008E315A" w:rsidRPr="00230BC2">
        <w:t xml:space="preserve">heard general statements by representatives of </w:t>
      </w:r>
      <w:r w:rsidR="00CD39F7" w:rsidRPr="00230BC2">
        <w:t xml:space="preserve">regions, groups of countries, individual countries, United Nations entities and major groups and other stakeholders. </w:t>
      </w:r>
    </w:p>
    <w:p w14:paraId="6F9E1529" w14:textId="6995332C" w:rsidR="00CA4FFF" w:rsidRPr="00230BC2" w:rsidRDefault="00CD39F7" w:rsidP="003466FC">
      <w:pPr>
        <w:pStyle w:val="Para1"/>
      </w:pPr>
      <w:r w:rsidRPr="00230BC2">
        <w:t xml:space="preserve">Statements </w:t>
      </w:r>
      <w:r w:rsidR="008E315A" w:rsidRPr="00230BC2">
        <w:t xml:space="preserve">were </w:t>
      </w:r>
      <w:r w:rsidRPr="00230BC2">
        <w:t>delivered</w:t>
      </w:r>
      <w:r w:rsidR="008E315A" w:rsidRPr="00230BC2">
        <w:t xml:space="preserve"> by </w:t>
      </w:r>
      <w:r w:rsidR="00CA4FFF" w:rsidRPr="00230BC2">
        <w:t xml:space="preserve">the representatives of </w:t>
      </w:r>
      <w:r w:rsidR="00054511" w:rsidRPr="00230BC2">
        <w:t xml:space="preserve">the following Parties: </w:t>
      </w:r>
      <w:r w:rsidR="00CA4FFF" w:rsidRPr="00230BC2">
        <w:t xml:space="preserve">Costa Rica </w:t>
      </w:r>
      <w:r w:rsidR="009072D7" w:rsidRPr="00230BC2">
        <w:t>(</w:t>
      </w:r>
      <w:r w:rsidR="00CA4FFF" w:rsidRPr="00230BC2">
        <w:t>on behalf of the Latin American and Caribbean States</w:t>
      </w:r>
      <w:r w:rsidR="009072D7" w:rsidRPr="00230BC2">
        <w:t>)</w:t>
      </w:r>
      <w:r w:rsidR="0054013D" w:rsidRPr="00230BC2">
        <w:t>,</w:t>
      </w:r>
      <w:r w:rsidR="00CA4FFF" w:rsidRPr="00230BC2">
        <w:t xml:space="preserve"> Palau </w:t>
      </w:r>
      <w:r w:rsidR="009072D7" w:rsidRPr="00230BC2">
        <w:t>(</w:t>
      </w:r>
      <w:r w:rsidR="00CA4FFF" w:rsidRPr="00230BC2">
        <w:t>on behalf of the Asia</w:t>
      </w:r>
      <w:r w:rsidR="00D34EF4" w:rsidRPr="00230BC2">
        <w:t>-</w:t>
      </w:r>
      <w:r w:rsidR="00CA4FFF" w:rsidRPr="00230BC2">
        <w:t>Pacific States</w:t>
      </w:r>
      <w:r w:rsidR="009072D7" w:rsidRPr="00230BC2">
        <w:t>)</w:t>
      </w:r>
      <w:r w:rsidR="00CA4FFF" w:rsidRPr="00230BC2">
        <w:t xml:space="preserve"> and Senegal </w:t>
      </w:r>
      <w:r w:rsidR="009072D7" w:rsidRPr="00230BC2">
        <w:t>(</w:t>
      </w:r>
      <w:r w:rsidR="00CA4FFF" w:rsidRPr="00230BC2">
        <w:t>on behalf of the African States</w:t>
      </w:r>
      <w:r w:rsidR="009072D7" w:rsidRPr="00230BC2">
        <w:t>)</w:t>
      </w:r>
      <w:r w:rsidR="00CA4FFF" w:rsidRPr="00230BC2">
        <w:t>.</w:t>
      </w:r>
    </w:p>
    <w:p w14:paraId="1E9EC234" w14:textId="6DD2E8CD" w:rsidR="00CA4FFF" w:rsidRPr="00230BC2" w:rsidRDefault="00CA4FFF" w:rsidP="003466FC">
      <w:pPr>
        <w:pStyle w:val="Para1"/>
      </w:pPr>
      <w:r w:rsidRPr="00230BC2">
        <w:t xml:space="preserve">Statements were </w:t>
      </w:r>
      <w:r w:rsidR="008E315A" w:rsidRPr="00230BC2">
        <w:t>made</w:t>
      </w:r>
      <w:r w:rsidRPr="00230BC2">
        <w:t xml:space="preserve"> by representatives of </w:t>
      </w:r>
      <w:r w:rsidR="00A32B67" w:rsidRPr="00230BC2">
        <w:t xml:space="preserve">the following Parties: </w:t>
      </w:r>
      <w:r w:rsidRPr="00230BC2">
        <w:t xml:space="preserve">Antigua and Barbuda </w:t>
      </w:r>
      <w:r w:rsidR="009072D7" w:rsidRPr="00230BC2">
        <w:t>(</w:t>
      </w:r>
      <w:r w:rsidRPr="00230BC2">
        <w:t>on behalf of the small island developing States</w:t>
      </w:r>
      <w:r w:rsidR="009072D7" w:rsidRPr="00230BC2">
        <w:t>)</w:t>
      </w:r>
      <w:r w:rsidR="001B28B6" w:rsidRPr="00230BC2">
        <w:t>,</w:t>
      </w:r>
      <w:r w:rsidRPr="00230BC2">
        <w:t xml:space="preserve"> Ethiopia </w:t>
      </w:r>
      <w:r w:rsidR="005A106B" w:rsidRPr="00230BC2">
        <w:t>(</w:t>
      </w:r>
      <w:r w:rsidRPr="00230BC2">
        <w:t>on behalf of the Group of Like-minded Megadiverse Countries</w:t>
      </w:r>
      <w:r w:rsidR="005A106B" w:rsidRPr="00230BC2">
        <w:t>)</w:t>
      </w:r>
      <w:r w:rsidR="001B28B6" w:rsidRPr="00230BC2">
        <w:t>,</w:t>
      </w:r>
      <w:r w:rsidRPr="00230BC2">
        <w:t xml:space="preserve"> </w:t>
      </w:r>
      <w:r w:rsidR="00203B10" w:rsidRPr="00230BC2">
        <w:t xml:space="preserve">European Union and its 27 member States, </w:t>
      </w:r>
      <w:r w:rsidRPr="00230BC2">
        <w:t xml:space="preserve">Mexico </w:t>
      </w:r>
      <w:r w:rsidR="00A23F76" w:rsidRPr="00230BC2">
        <w:t>(</w:t>
      </w:r>
      <w:r w:rsidR="00395481" w:rsidRPr="00230BC2">
        <w:t xml:space="preserve">also </w:t>
      </w:r>
      <w:r w:rsidRPr="00230BC2">
        <w:t>on behalf of</w:t>
      </w:r>
      <w:bookmarkStart w:id="409" w:name="_Hlk121286576"/>
      <w:r w:rsidR="001E58E6" w:rsidRPr="00230BC2">
        <w:t xml:space="preserve"> Australia, Canada, Colombia, Costa Rica, the European Union and its</w:t>
      </w:r>
      <w:r w:rsidR="002A510B" w:rsidRPr="00230BC2">
        <w:t xml:space="preserve"> 27</w:t>
      </w:r>
      <w:r w:rsidR="001E58E6" w:rsidRPr="00230BC2">
        <w:t xml:space="preserve"> member States, Gabon, Japan, Malawi, Monaco, New Zealand, Nigeria, Norway, Palau, the Republic of Korea, Switzerland, the United Kingdom</w:t>
      </w:r>
      <w:r w:rsidR="00406FCE" w:rsidRPr="00230BC2">
        <w:t>,</w:t>
      </w:r>
      <w:r w:rsidR="007F4170" w:rsidRPr="00230BC2">
        <w:t xml:space="preserve"> </w:t>
      </w:r>
      <w:r w:rsidR="001E58E6" w:rsidRPr="00230BC2">
        <w:t>Vanuatu</w:t>
      </w:r>
      <w:r w:rsidR="003F4B13" w:rsidRPr="00230BC2">
        <w:t>,</w:t>
      </w:r>
      <w:r w:rsidR="001E58E6" w:rsidRPr="00230BC2">
        <w:t xml:space="preserve"> Zambia</w:t>
      </w:r>
      <w:bookmarkEnd w:id="409"/>
      <w:r w:rsidR="009857CD" w:rsidRPr="00230BC2">
        <w:t xml:space="preserve"> and</w:t>
      </w:r>
      <w:r w:rsidR="001E58E6" w:rsidRPr="00230BC2">
        <w:t xml:space="preserve"> the United States</w:t>
      </w:r>
      <w:r w:rsidR="00A23F76" w:rsidRPr="00230BC2">
        <w:t>)</w:t>
      </w:r>
      <w:r w:rsidR="001B28B6" w:rsidRPr="00230BC2">
        <w:t>,</w:t>
      </w:r>
      <w:r w:rsidRPr="00230BC2">
        <w:t xml:space="preserve"> New Zealand </w:t>
      </w:r>
      <w:r w:rsidR="00A23F76" w:rsidRPr="00230BC2">
        <w:t>(</w:t>
      </w:r>
      <w:r w:rsidRPr="00230BC2">
        <w:t>also on behalf of Australia, Canada, Iceland, Japan, Mexico, New Zealand, Norway, the Republic of Korea, Switzerland and the United States</w:t>
      </w:r>
      <w:r w:rsidR="00A23F76" w:rsidRPr="00230BC2">
        <w:t>)</w:t>
      </w:r>
      <w:r w:rsidRPr="00230BC2">
        <w:t xml:space="preserve"> and Philippines </w:t>
      </w:r>
      <w:r w:rsidR="00F7529F" w:rsidRPr="00230BC2">
        <w:t>(</w:t>
      </w:r>
      <w:r w:rsidRPr="00230BC2">
        <w:t>on behalf of the States members of the High Ambition Coalition for Nature and People and the Global Ocean Alliance</w:t>
      </w:r>
      <w:r w:rsidR="00F7529F" w:rsidRPr="00230BC2">
        <w:t>)</w:t>
      </w:r>
      <w:r w:rsidRPr="00230BC2">
        <w:t>.</w:t>
      </w:r>
    </w:p>
    <w:p w14:paraId="4B8D058E" w14:textId="1693E92B" w:rsidR="00CA4FFF" w:rsidRPr="00230BC2" w:rsidRDefault="00CA4FFF" w:rsidP="003466FC">
      <w:pPr>
        <w:pStyle w:val="Para1"/>
      </w:pPr>
      <w:r w:rsidRPr="00230BC2">
        <w:t xml:space="preserve">Statements were </w:t>
      </w:r>
      <w:r w:rsidR="00CD39F7" w:rsidRPr="00230BC2">
        <w:t xml:space="preserve">also </w:t>
      </w:r>
      <w:r w:rsidRPr="00230BC2">
        <w:t>made by the representatives of the Food and Agriculture Organization of the United Nations</w:t>
      </w:r>
      <w:r w:rsidR="0066734A" w:rsidRPr="00230BC2">
        <w:t xml:space="preserve"> (FAO)</w:t>
      </w:r>
      <w:r w:rsidRPr="00230BC2">
        <w:t xml:space="preserve"> and the </w:t>
      </w:r>
      <w:r w:rsidR="002F2A3E" w:rsidRPr="00230BC2">
        <w:t>S</w:t>
      </w:r>
      <w:r w:rsidRPr="00230BC2">
        <w:t xml:space="preserve">ecretariat of the Convention on the Conservation of Migratory Species of Wild Animals, </w:t>
      </w:r>
      <w:r w:rsidR="00812132" w:rsidRPr="00230BC2">
        <w:t xml:space="preserve">the latter </w:t>
      </w:r>
      <w:r w:rsidRPr="00230BC2">
        <w:t>on behalf of the Liaison Group of Biodiversity-related Conventions.</w:t>
      </w:r>
    </w:p>
    <w:p w14:paraId="7C1AE90E" w14:textId="0BA73E66" w:rsidR="00CA4FFF" w:rsidRPr="00230BC2" w:rsidRDefault="00CA4FFF" w:rsidP="003466FC">
      <w:pPr>
        <w:pStyle w:val="Para1"/>
      </w:pPr>
      <w:r w:rsidRPr="00230BC2">
        <w:t xml:space="preserve">Statements were </w:t>
      </w:r>
      <w:r w:rsidR="00C27C18" w:rsidRPr="00230BC2">
        <w:t xml:space="preserve">further </w:t>
      </w:r>
      <w:r w:rsidRPr="00230BC2">
        <w:t>made by the representatives of the Advisory Committee on Subnational Governments and Biodiversity (coordinated by Regions4 and the government of Quebec), the CBD Women’s Caucus, the Global Youth Biodiversity Network and the International Indigenous Forum on Biodiversity</w:t>
      </w:r>
      <w:r w:rsidR="007165B5" w:rsidRPr="00230BC2">
        <w:t>.</w:t>
      </w:r>
    </w:p>
    <w:p w14:paraId="216B1346" w14:textId="397E72BE" w:rsidR="008E315A" w:rsidRPr="00230BC2" w:rsidRDefault="008E315A" w:rsidP="003466FC">
      <w:pPr>
        <w:pStyle w:val="Para1"/>
      </w:pPr>
      <w:r w:rsidRPr="00230BC2">
        <w:t>The representative of the Russian Federation made a statement in exercise of his right of reply.</w:t>
      </w:r>
    </w:p>
    <w:p w14:paraId="49F94D8A" w14:textId="3EA0ECF1" w:rsidR="002F6FCC" w:rsidRPr="00230BC2" w:rsidRDefault="001D650C" w:rsidP="003466FC">
      <w:pPr>
        <w:pStyle w:val="Para1"/>
      </w:pPr>
      <w:r w:rsidRPr="00230BC2">
        <w:t xml:space="preserve">At </w:t>
      </w:r>
      <w:r w:rsidR="00DA2C31" w:rsidRPr="00230BC2">
        <w:t xml:space="preserve">its </w:t>
      </w:r>
      <w:r w:rsidR="00E4615C" w:rsidRPr="00230BC2">
        <w:t xml:space="preserve">2nd </w:t>
      </w:r>
      <w:r w:rsidR="004A478A" w:rsidRPr="00230BC2">
        <w:t xml:space="preserve">plenary </w:t>
      </w:r>
      <w:r w:rsidRPr="00230BC2">
        <w:t>session, on 10 December</w:t>
      </w:r>
      <w:r w:rsidR="00C12920" w:rsidRPr="00230BC2">
        <w:t xml:space="preserve"> 2022</w:t>
      </w:r>
      <w:r w:rsidRPr="00230BC2">
        <w:t xml:space="preserve">, </w:t>
      </w:r>
      <w:r w:rsidR="00BB5B29" w:rsidRPr="00230BC2">
        <w:t xml:space="preserve">the Conference of the Parties heard additional </w:t>
      </w:r>
      <w:r w:rsidR="002F6FCC" w:rsidRPr="00230BC2">
        <w:t xml:space="preserve">statements </w:t>
      </w:r>
      <w:r w:rsidR="009857CD" w:rsidRPr="00230BC2">
        <w:t>by the representatives of</w:t>
      </w:r>
      <w:r w:rsidR="00995EFB" w:rsidRPr="00230BC2">
        <w:t xml:space="preserve"> </w:t>
      </w:r>
      <w:r w:rsidR="0066734A" w:rsidRPr="00230BC2">
        <w:t xml:space="preserve">FAO </w:t>
      </w:r>
      <w:r w:rsidR="009857CD" w:rsidRPr="00230BC2">
        <w:t xml:space="preserve">and </w:t>
      </w:r>
      <w:r w:rsidR="000B261F" w:rsidRPr="00230BC2">
        <w:t xml:space="preserve">of </w:t>
      </w:r>
      <w:r w:rsidR="009857CD" w:rsidRPr="00230BC2">
        <w:t>major groups and other stakeholders</w:t>
      </w:r>
      <w:r w:rsidR="002F6FCC" w:rsidRPr="00230BC2">
        <w:t>.</w:t>
      </w:r>
    </w:p>
    <w:p w14:paraId="0F894EDE" w14:textId="2C81CF77" w:rsidR="001D650C" w:rsidRPr="00230BC2" w:rsidRDefault="002F6FCC" w:rsidP="003466FC">
      <w:pPr>
        <w:pStyle w:val="Para1"/>
      </w:pPr>
      <w:r w:rsidRPr="00230BC2">
        <w:t>A</w:t>
      </w:r>
      <w:r w:rsidR="001D650C" w:rsidRPr="00230BC2">
        <w:t xml:space="preserve"> statement was made by a representative of the Office of the United Nations High Commissioner for Human Rights. </w:t>
      </w:r>
    </w:p>
    <w:p w14:paraId="4506203A" w14:textId="6914A77F" w:rsidR="001D650C" w:rsidRPr="00230BC2" w:rsidRDefault="009857CD" w:rsidP="003466FC">
      <w:pPr>
        <w:pStyle w:val="Para1"/>
      </w:pPr>
      <w:r w:rsidRPr="00230BC2">
        <w:t>S</w:t>
      </w:r>
      <w:r w:rsidR="001D650C" w:rsidRPr="00230BC2">
        <w:t xml:space="preserve">tatements were </w:t>
      </w:r>
      <w:r w:rsidRPr="00230BC2">
        <w:t xml:space="preserve">also </w:t>
      </w:r>
      <w:r w:rsidR="001D650C" w:rsidRPr="00230BC2">
        <w:t xml:space="preserve">made by representatives of BirdLife International </w:t>
      </w:r>
      <w:r w:rsidR="008A7C0D" w:rsidRPr="00230BC2">
        <w:t>(</w:t>
      </w:r>
      <w:r w:rsidR="001D650C" w:rsidRPr="00230BC2">
        <w:t>also on behalf of Conservation International, the Campaign for Nature, the Nature and Biodiversity Conservation Union, Panthera, the Royal Society for the Protection of Birds, The Nature Conservancy, the Wildlife Conservation Society, the World Wide Fund for Nature and the Zoological Society of London</w:t>
      </w:r>
      <w:r w:rsidR="008A7C0D" w:rsidRPr="00230BC2">
        <w:t>),</w:t>
      </w:r>
      <w:r w:rsidR="001D650C" w:rsidRPr="00230BC2">
        <w:t xml:space="preserve"> the Business for Nature Coalition</w:t>
      </w:r>
      <w:r w:rsidR="008A7C0D" w:rsidRPr="00230BC2">
        <w:t>,</w:t>
      </w:r>
      <w:r w:rsidR="001D650C" w:rsidRPr="00230BC2">
        <w:t xml:space="preserve"> the Finance for Biodiversity Foundation</w:t>
      </w:r>
      <w:r w:rsidR="008A7C0D" w:rsidRPr="00230BC2">
        <w:t>,</w:t>
      </w:r>
      <w:r w:rsidR="001D650C" w:rsidRPr="00230BC2">
        <w:t xml:space="preserve"> the Grantham Institute – Climate Change and Environment</w:t>
      </w:r>
      <w:r w:rsidR="008A7C0D" w:rsidRPr="00230BC2">
        <w:t>,</w:t>
      </w:r>
      <w:r w:rsidR="001D650C" w:rsidRPr="00230BC2">
        <w:t xml:space="preserve"> the International Planning Committee for Food Sovereignty and the International Union for Conservation of Nature</w:t>
      </w:r>
      <w:r w:rsidR="00A35D22" w:rsidRPr="00230BC2">
        <w:t>.</w:t>
      </w:r>
      <w:r w:rsidR="001D650C" w:rsidRPr="00230BC2">
        <w:t xml:space="preserve"> </w:t>
      </w:r>
    </w:p>
    <w:p w14:paraId="4304AA95" w14:textId="77932CDB" w:rsidR="00821BA5" w:rsidRPr="00230BC2" w:rsidRDefault="00D75673" w:rsidP="003466FC">
      <w:pPr>
        <w:pStyle w:val="Para1"/>
      </w:pPr>
      <w:r w:rsidRPr="00230BC2">
        <w:t>S</w:t>
      </w:r>
      <w:r w:rsidR="00821BA5" w:rsidRPr="00230BC2">
        <w:t>tatements</w:t>
      </w:r>
      <w:r w:rsidR="000C2CBE" w:rsidRPr="00230BC2">
        <w:t xml:space="preserve"> </w:t>
      </w:r>
      <w:r w:rsidR="00DB71FF" w:rsidRPr="00230BC2">
        <w:t xml:space="preserve">that were </w:t>
      </w:r>
      <w:r w:rsidR="00821BA5" w:rsidRPr="00230BC2">
        <w:t>submitted</w:t>
      </w:r>
      <w:r w:rsidRPr="00230BC2">
        <w:t xml:space="preserve"> to the Secretariat</w:t>
      </w:r>
      <w:r w:rsidR="00821BA5" w:rsidRPr="00230BC2">
        <w:t xml:space="preserve"> </w:t>
      </w:r>
      <w:r w:rsidR="00394322" w:rsidRPr="00230BC2">
        <w:t>are available on the Conference website.</w:t>
      </w:r>
      <w:r w:rsidR="006903C1">
        <w:rPr>
          <w:rStyle w:val="FootnoteReference"/>
        </w:rPr>
        <w:footnoteReference w:customMarkFollows="1" w:id="396"/>
        <w:t>2</w:t>
      </w:r>
    </w:p>
    <w:p w14:paraId="64B7F016" w14:textId="77777777" w:rsidR="00BD2FD1" w:rsidRPr="007F6FAD" w:rsidRDefault="00BD2FD1" w:rsidP="007F6FAD">
      <w:pPr>
        <w:pStyle w:val="BodyText"/>
        <w:ind w:firstLine="0"/>
        <w:rPr>
          <w:i/>
          <w:iCs w:val="0"/>
        </w:rPr>
      </w:pPr>
      <w:r w:rsidRPr="007F6FAD">
        <w:rPr>
          <w:i/>
          <w:iCs w:val="0"/>
        </w:rPr>
        <w:t>Resumed second part</w:t>
      </w:r>
    </w:p>
    <w:p w14:paraId="5AFDAFBC" w14:textId="4A6F0A50" w:rsidR="003F7C78" w:rsidRPr="00230BC2" w:rsidRDefault="003E7F46" w:rsidP="003466FC">
      <w:pPr>
        <w:pStyle w:val="Para1"/>
      </w:pPr>
      <w:r w:rsidRPr="00230BC2">
        <w:t xml:space="preserve">Following the suspension of the meeting on 19 December 2022, the meeting </w:t>
      </w:r>
      <w:r w:rsidR="00BD2FD1" w:rsidRPr="00230BC2">
        <w:t xml:space="preserve">was </w:t>
      </w:r>
      <w:r w:rsidRPr="00230BC2">
        <w:t>resumed on 19</w:t>
      </w:r>
      <w:r w:rsidR="00015368" w:rsidRPr="00230BC2">
        <w:t> </w:t>
      </w:r>
      <w:r w:rsidRPr="00230BC2">
        <w:t xml:space="preserve">October 2023, at the 6th plenary </w:t>
      </w:r>
      <w:r w:rsidR="003F7C78" w:rsidRPr="00230BC2">
        <w:t xml:space="preserve">session of the Conference of the Parties. </w:t>
      </w:r>
    </w:p>
    <w:p w14:paraId="60177D42" w14:textId="3B1650BC" w:rsidR="00AD056A" w:rsidRPr="00230BC2" w:rsidRDefault="00243255" w:rsidP="003466FC">
      <w:pPr>
        <w:pStyle w:val="Para1"/>
      </w:pPr>
      <w:r w:rsidRPr="00230BC2">
        <w:t>The resumed meeting was opened at 4.05 p</w:t>
      </w:r>
      <w:r w:rsidR="007B1EE1" w:rsidRPr="00230BC2">
        <w:t>.</w:t>
      </w:r>
      <w:r w:rsidRPr="00230BC2">
        <w:t>m</w:t>
      </w:r>
      <w:r w:rsidR="007B1EE1" w:rsidRPr="00230BC2">
        <w:t>.</w:t>
      </w:r>
      <w:r w:rsidRPr="00230BC2">
        <w:t xml:space="preserve"> by the Chair, Guomei Zhou, representing the President, Runqiu Huang, Minister of Ecology and Environment of China.</w:t>
      </w:r>
    </w:p>
    <w:p w14:paraId="1F759AD2" w14:textId="03A6F1D0" w:rsidR="00AD056A" w:rsidRPr="00230BC2" w:rsidRDefault="00243255" w:rsidP="00243255">
      <w:pPr>
        <w:pStyle w:val="Para1"/>
      </w:pPr>
      <w:r w:rsidRPr="00230BC2">
        <w:t>Opening remarks were made by the Chair and the Acting Executive Secretary of the Convention on Biological Diversity, David Cooper.</w:t>
      </w:r>
    </w:p>
    <w:p w14:paraId="53C3EA4B" w14:textId="7F9D5A24" w:rsidR="00243255" w:rsidRPr="00230BC2" w:rsidRDefault="00161F8B" w:rsidP="005B18D2">
      <w:pPr>
        <w:pStyle w:val="Para1"/>
        <w:numPr>
          <w:ilvl w:val="0"/>
          <w:numId w:val="4"/>
        </w:numPr>
      </w:pPr>
      <w:r w:rsidRPr="00230BC2">
        <w:rPr>
          <w:rStyle w:val="ui-provider"/>
        </w:rPr>
        <w:t xml:space="preserve">In her </w:t>
      </w:r>
      <w:r w:rsidRPr="00230BC2">
        <w:t>opening</w:t>
      </w:r>
      <w:r w:rsidRPr="00230BC2">
        <w:rPr>
          <w:rStyle w:val="ui-provider"/>
        </w:rPr>
        <w:t xml:space="preserve"> remarks, the Chair said that the full and effective implementation of the Kunming-Montreal Global Biodiversity Framework, and how to translate consensus into action, was an issue of common concern to the international community. She emphasized that Parties needed to accelerate the updat</w:t>
      </w:r>
      <w:r w:rsidR="00194862" w:rsidRPr="00230BC2">
        <w:rPr>
          <w:rStyle w:val="ui-provider"/>
        </w:rPr>
        <w:t>ing</w:t>
      </w:r>
      <w:r w:rsidRPr="00230BC2">
        <w:rPr>
          <w:rStyle w:val="ui-provider"/>
        </w:rPr>
        <w:t xml:space="preserve"> of their national biodiversity strategies and action plans in line with the Framework, and she welcomed the </w:t>
      </w:r>
      <w:r w:rsidRPr="00230BC2">
        <w:t xml:space="preserve">Global Biodiversity Framework </w:t>
      </w:r>
      <w:r w:rsidRPr="00230BC2">
        <w:rPr>
          <w:rStyle w:val="ui-provider"/>
        </w:rPr>
        <w:t>Fund, launched in August 2023 at the seventh Assembly of the Global Environment Facility. She said that the international community was looking forward to the successful conclusion of the present meeting and she called for all stakeholders to work together to implement the Framework and to restore global biodiversity.</w:t>
      </w:r>
    </w:p>
    <w:p w14:paraId="5DD58D0E" w14:textId="6D23DF3A" w:rsidR="00023FC0" w:rsidRPr="00230BC2" w:rsidRDefault="0016328B" w:rsidP="00243255">
      <w:pPr>
        <w:pStyle w:val="Para1"/>
      </w:pPr>
      <w:r w:rsidRPr="00230BC2">
        <w:rPr>
          <w:rStyle w:val="ui-provider"/>
        </w:rPr>
        <w:t xml:space="preserve">In his opening remarks, the Acting Executive Secretary acknowledged the procedural hurdles that had required </w:t>
      </w:r>
      <w:r w:rsidR="000C406D" w:rsidRPr="00230BC2">
        <w:rPr>
          <w:rStyle w:val="ui-provider"/>
        </w:rPr>
        <w:t xml:space="preserve">the </w:t>
      </w:r>
      <w:r w:rsidRPr="00230BC2">
        <w:rPr>
          <w:rStyle w:val="ui-provider"/>
        </w:rPr>
        <w:t xml:space="preserve">suspension of the meeting in December 2022 and he called for cooperation, flexibility and understanding to ensure the finalization of outstanding items, including the election of officers. It was </w:t>
      </w:r>
      <w:r w:rsidR="00194862" w:rsidRPr="00230BC2">
        <w:rPr>
          <w:rStyle w:val="ui-provider"/>
        </w:rPr>
        <w:t>important</w:t>
      </w:r>
      <w:r w:rsidR="007B1EE1" w:rsidRPr="00230BC2">
        <w:rPr>
          <w:rStyle w:val="ui-provider"/>
        </w:rPr>
        <w:t xml:space="preserve">, he said, </w:t>
      </w:r>
      <w:r w:rsidRPr="00230BC2">
        <w:rPr>
          <w:rStyle w:val="ui-provider"/>
        </w:rPr>
        <w:t>to continue to strengthen multilateralism</w:t>
      </w:r>
      <w:r w:rsidR="00194862" w:rsidRPr="00230BC2">
        <w:rPr>
          <w:rStyle w:val="ui-provider"/>
        </w:rPr>
        <w:t xml:space="preserve"> and</w:t>
      </w:r>
      <w:r w:rsidRPr="00230BC2">
        <w:rPr>
          <w:rStyle w:val="ui-provider"/>
        </w:rPr>
        <w:t xml:space="preserve"> work together to achieve the goals and targets of the Framework. He thanked members of the Bureau for their guidance and expressed gratitude to those Parties that, through their financial contributions, had enabled the Secretariat to </w:t>
      </w:r>
      <w:r w:rsidR="00194862" w:rsidRPr="00230BC2">
        <w:rPr>
          <w:rStyle w:val="ui-provider"/>
        </w:rPr>
        <w:t>support</w:t>
      </w:r>
      <w:r w:rsidRPr="00230BC2">
        <w:rPr>
          <w:rStyle w:val="ui-provider"/>
        </w:rPr>
        <w:t xml:space="preserve"> the participation of representatives of developing </w:t>
      </w:r>
      <w:r w:rsidR="00194862" w:rsidRPr="00230BC2">
        <w:rPr>
          <w:rStyle w:val="ui-provider"/>
        </w:rPr>
        <w:t xml:space="preserve">countries </w:t>
      </w:r>
      <w:r w:rsidRPr="00230BC2">
        <w:rPr>
          <w:rStyle w:val="ui-provider"/>
        </w:rPr>
        <w:t xml:space="preserve">and </w:t>
      </w:r>
      <w:r w:rsidR="00194862" w:rsidRPr="00230BC2">
        <w:rPr>
          <w:rStyle w:val="ui-provider"/>
        </w:rPr>
        <w:t xml:space="preserve">countries with </w:t>
      </w:r>
      <w:r w:rsidRPr="00230BC2">
        <w:rPr>
          <w:rStyle w:val="ui-provider"/>
        </w:rPr>
        <w:t>economies</w:t>
      </w:r>
      <w:r w:rsidR="00194862" w:rsidRPr="00230BC2">
        <w:rPr>
          <w:rStyle w:val="ui-provider"/>
        </w:rPr>
        <w:t xml:space="preserve"> in transition</w:t>
      </w:r>
      <w:r w:rsidR="00100179" w:rsidRPr="00230BC2">
        <w:rPr>
          <w:rStyle w:val="ui-provider"/>
        </w:rPr>
        <w:t xml:space="preserve"> party to the Convention</w:t>
      </w:r>
      <w:r w:rsidR="00A37B47" w:rsidRPr="00230BC2">
        <w:rPr>
          <w:rStyle w:val="ui-provider"/>
        </w:rPr>
        <w:t>.</w:t>
      </w:r>
    </w:p>
    <w:bookmarkEnd w:id="408"/>
    <w:p w14:paraId="7464EB17" w14:textId="69B5411E" w:rsidR="00D77560" w:rsidRPr="00230BC2" w:rsidRDefault="00D77560"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230BC2">
        <w:rPr>
          <w:b/>
          <w:bCs/>
          <w:snapToGrid w:val="0"/>
          <w:kern w:val="22"/>
          <w:szCs w:val="22"/>
        </w:rPr>
        <w:t>Item 2.</w:t>
      </w:r>
      <w:r w:rsidRPr="00230BC2">
        <w:rPr>
          <w:b/>
          <w:bCs/>
          <w:snapToGrid w:val="0"/>
          <w:kern w:val="22"/>
          <w:szCs w:val="22"/>
        </w:rPr>
        <w:tab/>
        <w:t xml:space="preserve">Organizational </w:t>
      </w:r>
      <w:r w:rsidRPr="00950BE4">
        <w:rPr>
          <w:b/>
          <w:bCs/>
          <w:snapToGrid w:val="0"/>
          <w:kern w:val="22"/>
          <w:szCs w:val="22"/>
        </w:rPr>
        <w:t>matters</w:t>
      </w:r>
    </w:p>
    <w:p w14:paraId="725B0652" w14:textId="0F8F55BE" w:rsidR="0088174B" w:rsidRPr="00950BE4" w:rsidRDefault="00352D5E"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bookmarkStart w:id="410" w:name="_Toc150438835"/>
      <w:bookmarkStart w:id="411" w:name="_Hlk121910637"/>
      <w:r w:rsidRPr="00950BE4">
        <w:rPr>
          <w:b/>
          <w:bCs/>
          <w:snapToGrid w:val="0"/>
          <w:kern w:val="22"/>
          <w:szCs w:val="22"/>
        </w:rPr>
        <w:t>A.</w:t>
      </w:r>
      <w:r w:rsidRPr="00950BE4">
        <w:rPr>
          <w:b/>
          <w:bCs/>
          <w:snapToGrid w:val="0"/>
          <w:kern w:val="22"/>
          <w:szCs w:val="22"/>
        </w:rPr>
        <w:tab/>
      </w:r>
      <w:r w:rsidR="00AD3928" w:rsidRPr="00950BE4">
        <w:rPr>
          <w:b/>
          <w:bCs/>
          <w:snapToGrid w:val="0"/>
          <w:kern w:val="22"/>
          <w:szCs w:val="22"/>
        </w:rPr>
        <w:t>Election of officers</w:t>
      </w:r>
      <w:bookmarkEnd w:id="410"/>
    </w:p>
    <w:p w14:paraId="0ED5973F" w14:textId="03F81FF4" w:rsidR="00F2697C" w:rsidRPr="00230BC2" w:rsidRDefault="00F2697C" w:rsidP="003466FC">
      <w:pPr>
        <w:pStyle w:val="Para1"/>
        <w:rPr>
          <w:lang w:eastAsia="en-CA"/>
        </w:rPr>
      </w:pPr>
      <w:r w:rsidRPr="00230BC2">
        <w:t xml:space="preserve">At </w:t>
      </w:r>
      <w:r w:rsidR="00F12685" w:rsidRPr="00230BC2">
        <w:t xml:space="preserve">its </w:t>
      </w:r>
      <w:r w:rsidR="00E4615C" w:rsidRPr="00230BC2">
        <w:t xml:space="preserve">1st </w:t>
      </w:r>
      <w:r w:rsidR="004A478A" w:rsidRPr="00230BC2">
        <w:t xml:space="preserve">plenary </w:t>
      </w:r>
      <w:r w:rsidRPr="00230BC2">
        <w:t>session</w:t>
      </w:r>
      <w:r w:rsidR="004217CC" w:rsidRPr="00230BC2">
        <w:t>,</w:t>
      </w:r>
      <w:r w:rsidRPr="00230BC2">
        <w:t xml:space="preserve"> t</w:t>
      </w:r>
      <w:r w:rsidR="00821BA5" w:rsidRPr="00230BC2">
        <w:t xml:space="preserve">he Conference of the Parties </w:t>
      </w:r>
      <w:r w:rsidR="00FA0704" w:rsidRPr="00230BC2">
        <w:t>note</w:t>
      </w:r>
      <w:r w:rsidR="007E5803" w:rsidRPr="00230BC2">
        <w:t>d</w:t>
      </w:r>
      <w:r w:rsidR="00821BA5" w:rsidRPr="00230BC2">
        <w:t xml:space="preserve"> that </w:t>
      </w:r>
      <w:r w:rsidR="00537522" w:rsidRPr="00230BC2">
        <w:t xml:space="preserve">the President, </w:t>
      </w:r>
      <w:r w:rsidR="000B47B5" w:rsidRPr="00230BC2">
        <w:t xml:space="preserve">the </w:t>
      </w:r>
      <w:r w:rsidR="00AD3928" w:rsidRPr="00230BC2">
        <w:t>V</w:t>
      </w:r>
      <w:r w:rsidR="00537522" w:rsidRPr="00230BC2">
        <w:t>ice-</w:t>
      </w:r>
      <w:r w:rsidR="00AD3928" w:rsidRPr="00230BC2">
        <w:t>P</w:t>
      </w:r>
      <w:r w:rsidR="00537522" w:rsidRPr="00230BC2">
        <w:t xml:space="preserve">residents and </w:t>
      </w:r>
      <w:r w:rsidR="000B47B5" w:rsidRPr="00230BC2">
        <w:t xml:space="preserve">the </w:t>
      </w:r>
      <w:r w:rsidR="00AD3928" w:rsidRPr="00230BC2">
        <w:t>R</w:t>
      </w:r>
      <w:r w:rsidR="00537522" w:rsidRPr="00230BC2">
        <w:t xml:space="preserve">apporteur </w:t>
      </w:r>
      <w:r w:rsidR="00F32E6B" w:rsidRPr="00230BC2">
        <w:t xml:space="preserve">who </w:t>
      </w:r>
      <w:r w:rsidR="00537522" w:rsidRPr="00230BC2">
        <w:t xml:space="preserve">had served </w:t>
      </w:r>
      <w:r w:rsidR="00F32E6B" w:rsidRPr="00230BC2">
        <w:t>during</w:t>
      </w:r>
      <w:r w:rsidR="00537522" w:rsidRPr="00230BC2">
        <w:t xml:space="preserve"> </w:t>
      </w:r>
      <w:r w:rsidR="00206628" w:rsidRPr="00230BC2">
        <w:t xml:space="preserve">the first </w:t>
      </w:r>
      <w:r w:rsidR="00537522" w:rsidRPr="00230BC2">
        <w:t xml:space="preserve">part of the </w:t>
      </w:r>
      <w:r w:rsidR="00055432" w:rsidRPr="00230BC2">
        <w:t xml:space="preserve">fifteenth </w:t>
      </w:r>
      <w:r w:rsidR="00537522" w:rsidRPr="00230BC2">
        <w:t xml:space="preserve">meeting would continue to fulfil their functions, with the exception of two </w:t>
      </w:r>
      <w:r w:rsidR="00AD3928" w:rsidRPr="00230BC2">
        <w:t>of the V</w:t>
      </w:r>
      <w:r w:rsidR="00537522" w:rsidRPr="00230BC2">
        <w:t>ice-</w:t>
      </w:r>
      <w:r w:rsidR="00AD3928" w:rsidRPr="00230BC2">
        <w:t>P</w:t>
      </w:r>
      <w:r w:rsidR="00537522" w:rsidRPr="00230BC2">
        <w:t>residents</w:t>
      </w:r>
      <w:r w:rsidR="00AD3928" w:rsidRPr="00230BC2">
        <w:t>, who</w:t>
      </w:r>
      <w:r w:rsidR="00537522" w:rsidRPr="00230BC2">
        <w:t xml:space="preserve"> had since been replaced</w:t>
      </w:r>
      <w:r w:rsidR="003744D1" w:rsidRPr="00230BC2">
        <w:t>.</w:t>
      </w:r>
      <w:r w:rsidR="009E7062">
        <w:rPr>
          <w:rStyle w:val="FootnoteReference"/>
        </w:rPr>
        <w:footnoteReference w:customMarkFollows="1" w:id="397"/>
        <w:t>3</w:t>
      </w:r>
    </w:p>
    <w:p w14:paraId="74132FD9" w14:textId="7070C57D" w:rsidR="00143700" w:rsidRPr="00230BC2" w:rsidRDefault="00B26151" w:rsidP="003466FC">
      <w:pPr>
        <w:pStyle w:val="Para1"/>
      </w:pPr>
      <w:r w:rsidRPr="00230BC2">
        <w:t xml:space="preserve">At the </w:t>
      </w:r>
      <w:r w:rsidR="00E4615C" w:rsidRPr="00230BC2">
        <w:t>5</w:t>
      </w:r>
      <w:r w:rsidRPr="00230BC2">
        <w:t>th plenary session, on 19 December</w:t>
      </w:r>
      <w:r w:rsidR="00B70992" w:rsidRPr="00230BC2">
        <w:t xml:space="preserve"> 2022</w:t>
      </w:r>
      <w:r w:rsidRPr="00230BC2">
        <w:t xml:space="preserve">, </w:t>
      </w:r>
      <w:bookmarkStart w:id="412" w:name="Item03"/>
      <w:bookmarkEnd w:id="411"/>
      <w:r w:rsidR="00E977D2" w:rsidRPr="00230BC2">
        <w:t xml:space="preserve">the </w:t>
      </w:r>
      <w:r w:rsidR="00EF3895" w:rsidRPr="00230BC2">
        <w:t xml:space="preserve">regional </w:t>
      </w:r>
      <w:r w:rsidR="00E977D2" w:rsidRPr="00230BC2">
        <w:t xml:space="preserve">representatives </w:t>
      </w:r>
      <w:r w:rsidR="00143700" w:rsidRPr="00230BC2">
        <w:t>announced the name</w:t>
      </w:r>
      <w:r w:rsidR="00F443E3" w:rsidRPr="00230BC2">
        <w:t>s</w:t>
      </w:r>
      <w:r w:rsidR="00143700" w:rsidRPr="00230BC2">
        <w:t xml:space="preserve"> of </w:t>
      </w:r>
      <w:r w:rsidR="00F443E3" w:rsidRPr="00230BC2">
        <w:t xml:space="preserve">the </w:t>
      </w:r>
      <w:r w:rsidR="00143700" w:rsidRPr="00230BC2">
        <w:t xml:space="preserve">representatives nominated to serve on the Bureau for a term of office commencing upon the closure of the fifteenth meeting of the Conference of the Parties and ending at the closure of its sixteenth meeting. Given their turn in the rotation to nominate a candidate, </w:t>
      </w:r>
      <w:r w:rsidR="00174BBF" w:rsidRPr="00230BC2">
        <w:t xml:space="preserve">the </w:t>
      </w:r>
      <w:r w:rsidR="00143700" w:rsidRPr="00230BC2">
        <w:t>Eastern Europe</w:t>
      </w:r>
      <w:r w:rsidR="009A7379" w:rsidRPr="00230BC2">
        <w:t>an</w:t>
      </w:r>
      <w:r w:rsidR="007032AD" w:rsidRPr="00230BC2">
        <w:t xml:space="preserve"> </w:t>
      </w:r>
      <w:r w:rsidR="009A7379" w:rsidRPr="00230BC2">
        <w:t>States</w:t>
      </w:r>
      <w:r w:rsidR="00143700" w:rsidRPr="00230BC2">
        <w:t xml:space="preserve"> and </w:t>
      </w:r>
      <w:r w:rsidR="006A6FB0" w:rsidRPr="00230BC2">
        <w:t xml:space="preserve">the </w:t>
      </w:r>
      <w:r w:rsidR="00143700" w:rsidRPr="00230BC2">
        <w:t>Asia</w:t>
      </w:r>
      <w:r w:rsidR="006A6FB0" w:rsidRPr="00230BC2">
        <w:t>-</w:t>
      </w:r>
      <w:r w:rsidR="00143700" w:rsidRPr="00230BC2">
        <w:t xml:space="preserve">Pacific </w:t>
      </w:r>
      <w:r w:rsidR="006A6FB0" w:rsidRPr="00230BC2">
        <w:t>States</w:t>
      </w:r>
      <w:r w:rsidR="00143700" w:rsidRPr="00230BC2">
        <w:t xml:space="preserve"> also announced, through their representatives, their nominees for chair</w:t>
      </w:r>
      <w:r w:rsidR="00CB5DE7" w:rsidRPr="00230BC2">
        <w:t>ing</w:t>
      </w:r>
      <w:r w:rsidR="00143700" w:rsidRPr="00230BC2">
        <w:t xml:space="preserve"> the Subsidiary Body on Scientific, Technical and Technological Advice and the Subsidiary Body on Implementation.</w:t>
      </w:r>
    </w:p>
    <w:p w14:paraId="1F1F7F03" w14:textId="719BC802" w:rsidR="00143700" w:rsidRPr="00230BC2" w:rsidRDefault="00143700" w:rsidP="003466FC">
      <w:pPr>
        <w:pStyle w:val="Para1"/>
      </w:pPr>
      <w:r w:rsidRPr="00230BC2">
        <w:t xml:space="preserve">The </w:t>
      </w:r>
      <w:r w:rsidRPr="00230BC2">
        <w:rPr>
          <w:color w:val="auto"/>
        </w:rPr>
        <w:t>Bureau</w:t>
      </w:r>
      <w:r w:rsidRPr="00230BC2">
        <w:t xml:space="preserve"> member from Georgia</w:t>
      </w:r>
      <w:r w:rsidR="0007079D" w:rsidRPr="00230BC2">
        <w:t xml:space="preserve"> presented</w:t>
      </w:r>
      <w:r w:rsidRPr="00230BC2">
        <w:t xml:space="preserve"> the nominations for Bureau members from the Eastern European </w:t>
      </w:r>
      <w:r w:rsidR="001403B7" w:rsidRPr="00230BC2">
        <w:t>States</w:t>
      </w:r>
      <w:r w:rsidR="0007079D" w:rsidRPr="00230BC2">
        <w:t xml:space="preserve">. </w:t>
      </w:r>
    </w:p>
    <w:p w14:paraId="3F9D439A" w14:textId="5F625D08" w:rsidR="000E28FB" w:rsidRPr="00230BC2" w:rsidRDefault="00143700" w:rsidP="001856AF">
      <w:pPr>
        <w:pStyle w:val="Para1"/>
      </w:pPr>
      <w:r w:rsidRPr="00230BC2">
        <w:t>The representative of the Russian Federation oppos</w:t>
      </w:r>
      <w:r w:rsidR="00387F95" w:rsidRPr="00230BC2">
        <w:t>ed</w:t>
      </w:r>
      <w:r w:rsidRPr="00230BC2">
        <w:t xml:space="preserve"> </w:t>
      </w:r>
      <w:r w:rsidR="008125A7" w:rsidRPr="00230BC2">
        <w:t>some of the</w:t>
      </w:r>
      <w:r w:rsidR="0061715D" w:rsidRPr="00230BC2">
        <w:t xml:space="preserve"> nomin</w:t>
      </w:r>
      <w:r w:rsidR="0035311B" w:rsidRPr="00230BC2">
        <w:t>ations</w:t>
      </w:r>
      <w:r w:rsidR="0061715D" w:rsidRPr="00230BC2">
        <w:t xml:space="preserve"> </w:t>
      </w:r>
      <w:r w:rsidR="00687288" w:rsidRPr="00230BC2">
        <w:t>and request</w:t>
      </w:r>
      <w:r w:rsidR="00387F95" w:rsidRPr="00230BC2">
        <w:t>ed</w:t>
      </w:r>
      <w:r w:rsidR="00687288" w:rsidRPr="00230BC2">
        <w:t xml:space="preserve"> </w:t>
      </w:r>
      <w:r w:rsidRPr="00230BC2">
        <w:t>that a vote by secret ballot be held, subject to a quorum of two</w:t>
      </w:r>
      <w:r w:rsidR="00CB780F" w:rsidRPr="00230BC2">
        <w:t xml:space="preserve"> </w:t>
      </w:r>
      <w:r w:rsidRPr="00230BC2">
        <w:t>thirds of the Parties to the Convention, in accordance with the rules of procedure</w:t>
      </w:r>
      <w:r w:rsidR="001856AF" w:rsidRPr="00230BC2">
        <w:t xml:space="preserve"> </w:t>
      </w:r>
      <w:r w:rsidR="00621225" w:rsidRPr="00230BC2">
        <w:t xml:space="preserve">for </w:t>
      </w:r>
      <w:r w:rsidR="00214641" w:rsidRPr="00230BC2">
        <w:t>m</w:t>
      </w:r>
      <w:r w:rsidR="00621225" w:rsidRPr="00230BC2">
        <w:t>eetings of the Conference of the Parties to the Convention</w:t>
      </w:r>
      <w:r w:rsidRPr="00230BC2">
        <w:t>.</w:t>
      </w:r>
      <w:r w:rsidR="00BC0AD1" w:rsidRPr="00230BC2">
        <w:t xml:space="preserve"> </w:t>
      </w:r>
    </w:p>
    <w:p w14:paraId="54BD4954" w14:textId="3C575CA8" w:rsidR="00143700" w:rsidRPr="00230BC2" w:rsidRDefault="00143700" w:rsidP="003466FC">
      <w:pPr>
        <w:pStyle w:val="Para1"/>
      </w:pPr>
      <w:r w:rsidRPr="00230BC2">
        <w:t xml:space="preserve">A </w:t>
      </w:r>
      <w:r w:rsidRPr="00230BC2">
        <w:rPr>
          <w:color w:val="auto"/>
        </w:rPr>
        <w:t>representative</w:t>
      </w:r>
      <w:r w:rsidRPr="00230BC2">
        <w:t xml:space="preserve"> of the Secretariat conducted a roll call of the Parties present with valid credentials and determined that the quorum of two</w:t>
      </w:r>
      <w:r w:rsidR="00CB780F" w:rsidRPr="00230BC2">
        <w:t xml:space="preserve"> </w:t>
      </w:r>
      <w:r w:rsidRPr="00230BC2">
        <w:t>thirds of Parties to the Convention required for decision-making, pursuant to rule 30 of the rules of procedure, was not met and that</w:t>
      </w:r>
      <w:r w:rsidR="00515992" w:rsidRPr="00230BC2">
        <w:t>, therefore,</w:t>
      </w:r>
      <w:r w:rsidRPr="00230BC2">
        <w:t xml:space="preserve"> the election could not be held</w:t>
      </w:r>
      <w:r w:rsidR="00D41EA4" w:rsidRPr="00230BC2">
        <w:t>,</w:t>
      </w:r>
      <w:r w:rsidRPr="00230BC2">
        <w:t xml:space="preserve"> and the election of officers could not be finalized.</w:t>
      </w:r>
    </w:p>
    <w:p w14:paraId="7CB301F0" w14:textId="6685E55F" w:rsidR="00143700" w:rsidRPr="00230BC2" w:rsidRDefault="00143700" w:rsidP="003466FC">
      <w:pPr>
        <w:pStyle w:val="Para1"/>
      </w:pPr>
      <w:r w:rsidRPr="00230BC2">
        <w:rPr>
          <w:color w:val="auto"/>
        </w:rPr>
        <w:t>Consequently</w:t>
      </w:r>
      <w:r w:rsidRPr="00230BC2">
        <w:t>, the President announced that, at the end of the session, he would propose:</w:t>
      </w:r>
    </w:p>
    <w:p w14:paraId="7A5E6000" w14:textId="0AFAB050" w:rsidR="00143700" w:rsidRPr="00230BC2" w:rsidRDefault="00143700" w:rsidP="00D10C54">
      <w:pPr>
        <w:pStyle w:val="ListParagraph"/>
        <w:numPr>
          <w:ilvl w:val="0"/>
          <w:numId w:val="6"/>
        </w:numPr>
        <w:overflowPunct w:val="0"/>
        <w:autoSpaceDE w:val="0"/>
        <w:autoSpaceDN w:val="0"/>
        <w:snapToGrid w:val="0"/>
        <w:spacing w:before="120" w:after="120"/>
        <w:ind w:left="0" w:firstLine="709"/>
        <w:contextualSpacing w:val="0"/>
        <w:rPr>
          <w:color w:val="000000"/>
          <w:kern w:val="22"/>
        </w:rPr>
      </w:pPr>
      <w:r w:rsidRPr="00230BC2">
        <w:rPr>
          <w:color w:val="000000"/>
          <w:kern w:val="22"/>
        </w:rPr>
        <w:t xml:space="preserve">To suspend </w:t>
      </w:r>
      <w:r w:rsidR="005A79CC" w:rsidRPr="00230BC2">
        <w:rPr>
          <w:color w:val="000000"/>
          <w:kern w:val="22"/>
        </w:rPr>
        <w:t xml:space="preserve">the second </w:t>
      </w:r>
      <w:r w:rsidRPr="00230BC2">
        <w:rPr>
          <w:color w:val="000000"/>
          <w:kern w:val="22"/>
        </w:rPr>
        <w:t>part of the fifteenth meeting of the Conference of the Parties</w:t>
      </w:r>
      <w:r w:rsidR="0045276B" w:rsidRPr="00230BC2">
        <w:t xml:space="preserve"> to the Convention</w:t>
      </w:r>
      <w:r w:rsidRPr="00230BC2">
        <w:rPr>
          <w:color w:val="000000"/>
          <w:kern w:val="22"/>
        </w:rPr>
        <w:t xml:space="preserve">, the tenth meeting of the Conference of the Parties serving as the meeting of the Parties to the Cartagena Protocol and the fourth meeting of the Conference of the Parties serving as the meeting of the Parties to the Nagoya Protocol in order to allow Parties to </w:t>
      </w:r>
      <w:r w:rsidR="005C5DED" w:rsidRPr="00230BC2">
        <w:rPr>
          <w:color w:val="000000"/>
          <w:kern w:val="22"/>
        </w:rPr>
        <w:t>consider th</w:t>
      </w:r>
      <w:r w:rsidR="00C10060" w:rsidRPr="00230BC2">
        <w:rPr>
          <w:color w:val="000000"/>
          <w:kern w:val="22"/>
        </w:rPr>
        <w:t>e</w:t>
      </w:r>
      <w:r w:rsidR="005C5DED" w:rsidRPr="00230BC2">
        <w:rPr>
          <w:color w:val="000000"/>
          <w:kern w:val="22"/>
        </w:rPr>
        <w:t xml:space="preserve"> </w:t>
      </w:r>
      <w:r w:rsidR="00C10060" w:rsidRPr="00230BC2">
        <w:rPr>
          <w:color w:val="000000"/>
          <w:kern w:val="22"/>
        </w:rPr>
        <w:t xml:space="preserve">pending </w:t>
      </w:r>
      <w:r w:rsidR="005C5DED" w:rsidRPr="00230BC2">
        <w:rPr>
          <w:color w:val="000000"/>
          <w:kern w:val="22"/>
        </w:rPr>
        <w:t xml:space="preserve">matter </w:t>
      </w:r>
      <w:r w:rsidRPr="00230BC2">
        <w:rPr>
          <w:color w:val="000000"/>
          <w:kern w:val="22"/>
        </w:rPr>
        <w:t>at</w:t>
      </w:r>
      <w:r w:rsidR="00024345" w:rsidRPr="00230BC2">
        <w:rPr>
          <w:color w:val="000000"/>
          <w:kern w:val="22"/>
        </w:rPr>
        <w:t xml:space="preserve"> a</w:t>
      </w:r>
      <w:r w:rsidRPr="00230BC2">
        <w:rPr>
          <w:color w:val="000000"/>
          <w:kern w:val="22"/>
        </w:rPr>
        <w:t xml:space="preserve"> resumed session of the meetings</w:t>
      </w:r>
      <w:r w:rsidR="00CA36C7" w:rsidRPr="00230BC2">
        <w:rPr>
          <w:color w:val="000000"/>
          <w:kern w:val="22"/>
        </w:rPr>
        <w:t>,</w:t>
      </w:r>
      <w:r w:rsidRPr="00230BC2">
        <w:rPr>
          <w:color w:val="000000"/>
          <w:kern w:val="22"/>
        </w:rPr>
        <w:t xml:space="preserve"> to be convened at a later date; </w:t>
      </w:r>
    </w:p>
    <w:p w14:paraId="1195DE1C" w14:textId="219B8D2F" w:rsidR="00143700" w:rsidRPr="00230BC2" w:rsidRDefault="00143700" w:rsidP="00D10C54">
      <w:pPr>
        <w:pStyle w:val="ListParagraph"/>
        <w:numPr>
          <w:ilvl w:val="0"/>
          <w:numId w:val="6"/>
        </w:numPr>
        <w:overflowPunct w:val="0"/>
        <w:autoSpaceDE w:val="0"/>
        <w:autoSpaceDN w:val="0"/>
        <w:snapToGrid w:val="0"/>
        <w:spacing w:before="120" w:after="120"/>
        <w:ind w:left="0" w:firstLine="709"/>
        <w:contextualSpacing w:val="0"/>
        <w:rPr>
          <w:color w:val="000000"/>
          <w:kern w:val="22"/>
        </w:rPr>
      </w:pPr>
      <w:r w:rsidRPr="00230BC2">
        <w:rPr>
          <w:color w:val="000000"/>
          <w:kern w:val="22"/>
        </w:rPr>
        <w:t xml:space="preserve">To request members of the Bureau of the fifteenth meeting of the Conference of the Parties and officers of other bodies to remain in office until the conclusion of the meetings at </w:t>
      </w:r>
      <w:r w:rsidR="00E32E2A" w:rsidRPr="00230BC2">
        <w:rPr>
          <w:color w:val="000000"/>
          <w:kern w:val="22"/>
        </w:rPr>
        <w:t xml:space="preserve">a </w:t>
      </w:r>
      <w:r w:rsidRPr="00230BC2">
        <w:rPr>
          <w:color w:val="000000"/>
          <w:kern w:val="22"/>
        </w:rPr>
        <w:t xml:space="preserve">resumed session. </w:t>
      </w:r>
    </w:p>
    <w:p w14:paraId="238BC937" w14:textId="07A98F4B" w:rsidR="00F0486E" w:rsidRPr="00230BC2" w:rsidRDefault="00143700" w:rsidP="003466FC">
      <w:pPr>
        <w:pStyle w:val="Para1"/>
        <w:rPr>
          <w:snapToGrid/>
          <w:szCs w:val="24"/>
        </w:rPr>
      </w:pPr>
      <w:r w:rsidRPr="00230BC2">
        <w:t xml:space="preserve">The representative of Tajikistan requested </w:t>
      </w:r>
      <w:r w:rsidR="00151676" w:rsidRPr="00230BC2">
        <w:t xml:space="preserve">that </w:t>
      </w:r>
      <w:r w:rsidRPr="00230BC2">
        <w:t xml:space="preserve">the Secretariat review or clarify the list of countries that </w:t>
      </w:r>
      <w:r w:rsidR="00151676" w:rsidRPr="00230BC2">
        <w:t>were</w:t>
      </w:r>
      <w:r w:rsidRPr="00230BC2">
        <w:t xml:space="preserve"> members of the Eastern Europe</w:t>
      </w:r>
      <w:r w:rsidR="00444E92" w:rsidRPr="00230BC2">
        <w:t>an</w:t>
      </w:r>
      <w:r w:rsidRPr="00230BC2">
        <w:t xml:space="preserve"> </w:t>
      </w:r>
      <w:r w:rsidR="006504C4" w:rsidRPr="00230BC2">
        <w:t>States</w:t>
      </w:r>
      <w:r w:rsidRPr="00230BC2">
        <w:t>.</w:t>
      </w:r>
    </w:p>
    <w:p w14:paraId="5D2A8D38" w14:textId="09E154D0" w:rsidR="003466FC" w:rsidRPr="00BC525B" w:rsidRDefault="003466FC" w:rsidP="008E0240">
      <w:pPr>
        <w:pStyle w:val="BodyText"/>
        <w:keepNext/>
        <w:ind w:firstLine="0"/>
        <w:jc w:val="left"/>
        <w:rPr>
          <w:b/>
          <w:bCs/>
          <w:i/>
          <w:snapToGrid w:val="0"/>
        </w:rPr>
      </w:pPr>
      <w:r w:rsidRPr="00BC525B">
        <w:rPr>
          <w:b/>
          <w:bCs/>
          <w:snapToGrid w:val="0"/>
        </w:rPr>
        <w:t>Resumed second part</w:t>
      </w:r>
    </w:p>
    <w:p w14:paraId="5654EAF7" w14:textId="0054F528" w:rsidR="003466FC" w:rsidRPr="00230BC2" w:rsidRDefault="003466FC" w:rsidP="003466FC">
      <w:pPr>
        <w:pStyle w:val="Para1"/>
        <w:rPr>
          <w:snapToGrid/>
          <w:szCs w:val="24"/>
        </w:rPr>
      </w:pPr>
      <w:r w:rsidRPr="00230BC2">
        <w:t xml:space="preserve">At its 6th plenary session, the Conference of the Parties agreed that </w:t>
      </w:r>
      <w:r w:rsidRPr="00230BC2">
        <w:rPr>
          <w:rFonts w:eastAsiaTheme="minorEastAsia"/>
          <w:bCs/>
        </w:rPr>
        <w:t xml:space="preserve">Leina </w:t>
      </w:r>
      <w:r w:rsidR="001C1FB6">
        <w:rPr>
          <w:rFonts w:eastAsiaTheme="minorEastAsia"/>
          <w:bCs/>
        </w:rPr>
        <w:t>a</w:t>
      </w:r>
      <w:r w:rsidRPr="00230BC2">
        <w:rPr>
          <w:rFonts w:eastAsiaTheme="minorEastAsia"/>
          <w:bCs/>
        </w:rPr>
        <w:t>l-Awadhi (Kuwait)</w:t>
      </w:r>
      <w:r w:rsidRPr="00230BC2">
        <w:rPr>
          <w:rFonts w:eastAsiaTheme="minorEastAsia"/>
        </w:rPr>
        <w:t xml:space="preserve"> </w:t>
      </w:r>
      <w:r w:rsidRPr="00230BC2">
        <w:t>would serve as Rapporteur for the resumed second part of the meeting, as proposed by the Bureau.</w:t>
      </w:r>
    </w:p>
    <w:p w14:paraId="0C11D9A3" w14:textId="25729ED5" w:rsidR="00F2772E" w:rsidRPr="00842FF6" w:rsidRDefault="00F2772E" w:rsidP="00842FF6">
      <w:pPr>
        <w:pStyle w:val="BodyText"/>
        <w:ind w:firstLine="0"/>
        <w:jc w:val="left"/>
        <w:rPr>
          <w:b/>
          <w:bCs/>
          <w:i/>
          <w:iCs w:val="0"/>
          <w:snapToGrid w:val="0"/>
        </w:rPr>
      </w:pPr>
      <w:r w:rsidRPr="00842FF6">
        <w:rPr>
          <w:i/>
          <w:iCs w:val="0"/>
          <w:snapToGrid w:val="0"/>
        </w:rPr>
        <w:t>Election of Vice-Presidents of the Bureau</w:t>
      </w:r>
    </w:p>
    <w:p w14:paraId="0C0B8D4F" w14:textId="035FFD3B" w:rsidR="001C4512" w:rsidRPr="00230BC2" w:rsidRDefault="003466FC" w:rsidP="00D56432">
      <w:pPr>
        <w:pStyle w:val="Para1"/>
      </w:pPr>
      <w:r w:rsidRPr="00230BC2">
        <w:t xml:space="preserve">At its 6th plenary session, </w:t>
      </w:r>
      <w:r w:rsidR="001C4512" w:rsidRPr="00230BC2">
        <w:t>in accordance with rule 21 of the rules of procedure, the Conference of the Parties elected the following representatives, by acclamation, to serve as members of the Bureau for a term of office commencing upon the closure of its fifteenth meeting and ending at the closure of its sixteenth meeting:</w:t>
      </w:r>
    </w:p>
    <w:p w14:paraId="3238BF34" w14:textId="61FB4792" w:rsidR="001C4512" w:rsidRPr="00230BC2" w:rsidRDefault="001C4512" w:rsidP="00137120">
      <w:pPr>
        <w:pStyle w:val="Para1"/>
        <w:numPr>
          <w:ilvl w:val="0"/>
          <w:numId w:val="0"/>
        </w:numPr>
        <w:ind w:left="720"/>
      </w:pPr>
      <w:r w:rsidRPr="00230BC2">
        <w:t>Hlobsile Sikhosana (Eswatini)</w:t>
      </w:r>
    </w:p>
    <w:p w14:paraId="460C0DE0" w14:textId="346EA831" w:rsidR="001C4512" w:rsidRPr="00230BC2" w:rsidRDefault="001C4512" w:rsidP="00137120">
      <w:pPr>
        <w:pStyle w:val="Para1"/>
        <w:numPr>
          <w:ilvl w:val="0"/>
          <w:numId w:val="0"/>
        </w:numPr>
        <w:ind w:left="720"/>
      </w:pPr>
      <w:r w:rsidRPr="00230BC2">
        <w:t>Abderahman</w:t>
      </w:r>
      <w:r w:rsidR="00566C29" w:rsidRPr="00230BC2">
        <w:t>e</w:t>
      </w:r>
      <w:r w:rsidRPr="00230BC2">
        <w:t xml:space="preserve"> Zino Izourar (Algeria)</w:t>
      </w:r>
    </w:p>
    <w:p w14:paraId="577D1800" w14:textId="4789F985" w:rsidR="001C4512" w:rsidRPr="00230BC2" w:rsidRDefault="001C4512" w:rsidP="00137120">
      <w:pPr>
        <w:pStyle w:val="Para1"/>
        <w:numPr>
          <w:ilvl w:val="0"/>
          <w:numId w:val="0"/>
        </w:numPr>
        <w:ind w:left="720"/>
      </w:pPr>
      <w:r w:rsidRPr="00230BC2">
        <w:t>Krishneel Nand (Fiji)</w:t>
      </w:r>
    </w:p>
    <w:p w14:paraId="750E98BB" w14:textId="11AD5FA0" w:rsidR="001C4512" w:rsidRPr="00230BC2" w:rsidRDefault="001C4512" w:rsidP="00137120">
      <w:pPr>
        <w:pStyle w:val="Para1"/>
        <w:numPr>
          <w:ilvl w:val="0"/>
          <w:numId w:val="0"/>
        </w:numPr>
        <w:ind w:left="720"/>
      </w:pPr>
      <w:r w:rsidRPr="00230BC2">
        <w:rPr>
          <w:rFonts w:eastAsiaTheme="minorEastAsia"/>
        </w:rPr>
        <w:t>Somaly Chan (Cambodia)</w:t>
      </w:r>
    </w:p>
    <w:p w14:paraId="23A7D7C6" w14:textId="76654FE5" w:rsidR="001C4512" w:rsidRPr="00230BC2" w:rsidRDefault="001C4512" w:rsidP="00137120">
      <w:pPr>
        <w:pStyle w:val="Para1"/>
        <w:numPr>
          <w:ilvl w:val="0"/>
          <w:numId w:val="0"/>
        </w:numPr>
        <w:ind w:left="720"/>
      </w:pPr>
      <w:r w:rsidRPr="00230BC2">
        <w:rPr>
          <w:rFonts w:eastAsiaTheme="minorEastAsia"/>
        </w:rPr>
        <w:t>Gillian Guthrie (Jamaica)</w:t>
      </w:r>
    </w:p>
    <w:p w14:paraId="1AA119F5" w14:textId="6A53BE36" w:rsidR="001C4512" w:rsidRPr="00311AAE" w:rsidRDefault="001C4512" w:rsidP="00137120">
      <w:pPr>
        <w:pStyle w:val="Para1"/>
        <w:numPr>
          <w:ilvl w:val="0"/>
          <w:numId w:val="0"/>
        </w:numPr>
        <w:ind w:left="720"/>
        <w:rPr>
          <w:lang w:val="es-ES"/>
        </w:rPr>
      </w:pPr>
      <w:r w:rsidRPr="00311AAE">
        <w:rPr>
          <w:lang w:val="es-ES"/>
        </w:rPr>
        <w:t>Mar</w:t>
      </w:r>
      <w:r w:rsidR="001B5D21" w:rsidRPr="00311AAE">
        <w:rPr>
          <w:lang w:val="es-ES"/>
        </w:rPr>
        <w:t>í</w:t>
      </w:r>
      <w:r w:rsidRPr="00311AAE">
        <w:rPr>
          <w:lang w:val="es-ES"/>
        </w:rPr>
        <w:t>a Teresa Becerra Ram</w:t>
      </w:r>
      <w:r w:rsidR="001B5D21" w:rsidRPr="00311AAE">
        <w:rPr>
          <w:lang w:val="es-ES"/>
        </w:rPr>
        <w:t>í</w:t>
      </w:r>
      <w:r w:rsidRPr="00311AAE">
        <w:rPr>
          <w:lang w:val="es-ES"/>
        </w:rPr>
        <w:t>rez (Colombia)</w:t>
      </w:r>
    </w:p>
    <w:p w14:paraId="522A930F" w14:textId="29B50A44" w:rsidR="001C4512" w:rsidRPr="00230BC2" w:rsidRDefault="001C4512" w:rsidP="00137120">
      <w:pPr>
        <w:pStyle w:val="Para1"/>
        <w:numPr>
          <w:ilvl w:val="0"/>
          <w:numId w:val="0"/>
        </w:numPr>
        <w:ind w:left="720"/>
      </w:pPr>
      <w:r w:rsidRPr="00230BC2">
        <w:t>Norbert B</w:t>
      </w:r>
      <w:r w:rsidR="00E44992" w:rsidRPr="00230BC2">
        <w:t>ä</w:t>
      </w:r>
      <w:r w:rsidRPr="00230BC2">
        <w:t>rlocher (Switzerland)</w:t>
      </w:r>
    </w:p>
    <w:p w14:paraId="4312C700" w14:textId="37F10B4B" w:rsidR="00B04877" w:rsidRPr="00230BC2" w:rsidRDefault="00B04877" w:rsidP="003466FC">
      <w:pPr>
        <w:pStyle w:val="Para1"/>
      </w:pPr>
      <w:r w:rsidRPr="00230BC2">
        <w:t xml:space="preserve">The Conference of the Parties agreed to proceed to the election of </w:t>
      </w:r>
      <w:r w:rsidR="009E0AE0" w:rsidRPr="00230BC2">
        <w:t xml:space="preserve">the </w:t>
      </w:r>
      <w:r w:rsidR="005C6FD6" w:rsidRPr="00230BC2">
        <w:t>Bureau members</w:t>
      </w:r>
      <w:r w:rsidR="009E0AE0" w:rsidRPr="00230BC2">
        <w:t xml:space="preserve"> </w:t>
      </w:r>
      <w:r w:rsidRPr="00230BC2">
        <w:t xml:space="preserve">from the Eastern European States </w:t>
      </w:r>
      <w:r w:rsidR="00571379" w:rsidRPr="00230BC2">
        <w:t xml:space="preserve">and </w:t>
      </w:r>
      <w:r w:rsidR="005C6FD6" w:rsidRPr="00230BC2">
        <w:t>the second Bureau member</w:t>
      </w:r>
      <w:r w:rsidR="009E0AE0" w:rsidRPr="00230BC2">
        <w:t xml:space="preserve"> from the Western European and other States </w:t>
      </w:r>
      <w:r w:rsidRPr="00230BC2">
        <w:t>by secret ballot, in accordance with rule 4</w:t>
      </w:r>
      <w:r w:rsidR="00571379" w:rsidRPr="00230BC2">
        <w:t>9</w:t>
      </w:r>
      <w:r w:rsidRPr="00230BC2">
        <w:t xml:space="preserve"> of the rules of procedure</w:t>
      </w:r>
      <w:r w:rsidR="00D0320A" w:rsidRPr="00230BC2">
        <w:t>.</w:t>
      </w:r>
    </w:p>
    <w:p w14:paraId="42692570" w14:textId="1E1653C7" w:rsidR="00B04877" w:rsidRPr="00230BC2" w:rsidRDefault="00B04877" w:rsidP="003466FC">
      <w:pPr>
        <w:pStyle w:val="Para1"/>
      </w:pPr>
      <w:r w:rsidRPr="00230BC2">
        <w:t xml:space="preserve">At the invitation of the </w:t>
      </w:r>
      <w:r w:rsidR="000C71AE" w:rsidRPr="00230BC2">
        <w:t>Chair</w:t>
      </w:r>
      <w:r w:rsidRPr="00230BC2">
        <w:t xml:space="preserve">, </w:t>
      </w:r>
      <w:r w:rsidR="00AD056A" w:rsidRPr="00230BC2">
        <w:rPr>
          <w:rFonts w:eastAsiaTheme="minorEastAsia"/>
        </w:rPr>
        <w:t>Mariela Canepa Montalvo (Peru), Bilal Qtishat (Jordan) and Agnes Yemisi (Nigeria)</w:t>
      </w:r>
      <w:r w:rsidR="00AD056A" w:rsidRPr="00230BC2">
        <w:t xml:space="preserve"> </w:t>
      </w:r>
      <w:r w:rsidRPr="00230BC2">
        <w:t xml:space="preserve">acted as tellers. </w:t>
      </w:r>
    </w:p>
    <w:p w14:paraId="3D2461ED" w14:textId="354B1BC8" w:rsidR="00571379" w:rsidRPr="00230BC2" w:rsidRDefault="00571379" w:rsidP="003466FC">
      <w:pPr>
        <w:pStyle w:val="Para1"/>
      </w:pPr>
      <w:r w:rsidRPr="00230BC2">
        <w:t xml:space="preserve">The Conference of the Parties first proceeded to the election of the </w:t>
      </w:r>
      <w:r w:rsidR="00182A8E" w:rsidRPr="00230BC2">
        <w:t>Bureau members</w:t>
      </w:r>
      <w:r w:rsidRPr="00230BC2">
        <w:t xml:space="preserve"> from the Eastern European States.</w:t>
      </w:r>
    </w:p>
    <w:p w14:paraId="6EC5A8F4" w14:textId="468769A4" w:rsidR="00823841" w:rsidRPr="00230BC2" w:rsidRDefault="00823841" w:rsidP="003466FC">
      <w:pPr>
        <w:pStyle w:val="Para1"/>
      </w:pPr>
      <w:r w:rsidRPr="00230BC2">
        <w:rPr>
          <w:rStyle w:val="ui-provider"/>
        </w:rPr>
        <w:t>The meeting was briefly suspended to allow for the counting of votes.</w:t>
      </w:r>
    </w:p>
    <w:p w14:paraId="56CE1CBE" w14:textId="18C8A270" w:rsidR="00B04877" w:rsidRPr="00230BC2" w:rsidRDefault="00B04877" w:rsidP="00704C56">
      <w:pPr>
        <w:pStyle w:val="Para1"/>
        <w:keepNext/>
      </w:pPr>
      <w:bookmarkStart w:id="413" w:name="_Hlk136426006"/>
      <w:r w:rsidRPr="00230BC2">
        <w:t xml:space="preserve">Subsequently, the </w:t>
      </w:r>
      <w:r w:rsidR="00230667" w:rsidRPr="00230BC2">
        <w:t>Chair</w:t>
      </w:r>
      <w:r w:rsidR="00AD056A" w:rsidRPr="00230BC2">
        <w:t xml:space="preserve"> </w:t>
      </w:r>
      <w:r w:rsidRPr="00230BC2">
        <w:t xml:space="preserve">reported the results as follows: </w:t>
      </w:r>
    </w:p>
    <w:bookmarkEnd w:id="413"/>
    <w:p w14:paraId="3C3183CF" w14:textId="1D7591D6" w:rsidR="00B04877" w:rsidRPr="00230BC2" w:rsidRDefault="00B04877" w:rsidP="00704C56">
      <w:pPr>
        <w:pStyle w:val="Normalnumber"/>
        <w:keepNext/>
        <w:numPr>
          <w:ilvl w:val="0"/>
          <w:numId w:val="0"/>
        </w:numPr>
        <w:tabs>
          <w:tab w:val="clear" w:pos="1843"/>
          <w:tab w:val="left" w:pos="1620"/>
          <w:tab w:val="right" w:pos="6300"/>
        </w:tabs>
        <w:spacing w:after="40"/>
        <w:ind w:left="810"/>
        <w:rPr>
          <w:rFonts w:asciiTheme="majorBidi" w:hAnsiTheme="majorBidi" w:cstheme="majorBidi"/>
          <w:sz w:val="22"/>
          <w:szCs w:val="22"/>
        </w:rPr>
      </w:pPr>
      <w:r w:rsidRPr="00230BC2">
        <w:rPr>
          <w:rFonts w:asciiTheme="majorBidi" w:hAnsiTheme="majorBidi" w:cstheme="majorBidi"/>
          <w:sz w:val="22"/>
          <w:szCs w:val="22"/>
        </w:rPr>
        <w:t xml:space="preserve">Number of ballot papers: </w:t>
      </w:r>
      <w:r w:rsidRPr="00230BC2">
        <w:rPr>
          <w:rFonts w:asciiTheme="majorBidi" w:hAnsiTheme="majorBidi" w:cstheme="majorBidi"/>
          <w:sz w:val="22"/>
          <w:szCs w:val="22"/>
        </w:rPr>
        <w:tab/>
        <w:t>1</w:t>
      </w:r>
      <w:r w:rsidR="00571379" w:rsidRPr="00230BC2">
        <w:rPr>
          <w:rFonts w:asciiTheme="majorBidi" w:hAnsiTheme="majorBidi" w:cstheme="majorBidi"/>
          <w:sz w:val="22"/>
          <w:szCs w:val="22"/>
        </w:rPr>
        <w:t>30</w:t>
      </w:r>
    </w:p>
    <w:p w14:paraId="529A6D6C" w14:textId="426891D6" w:rsidR="00B04877" w:rsidRPr="00230BC2" w:rsidRDefault="00B04877" w:rsidP="00704C56">
      <w:pPr>
        <w:pStyle w:val="Normalnumber"/>
        <w:keepNext/>
        <w:numPr>
          <w:ilvl w:val="0"/>
          <w:numId w:val="0"/>
        </w:numPr>
        <w:tabs>
          <w:tab w:val="clear" w:pos="1843"/>
          <w:tab w:val="left" w:pos="1620"/>
          <w:tab w:val="right" w:pos="6300"/>
        </w:tabs>
        <w:spacing w:after="40"/>
        <w:ind w:left="810"/>
        <w:rPr>
          <w:rFonts w:asciiTheme="majorBidi" w:hAnsiTheme="majorBidi" w:cstheme="majorBidi"/>
          <w:sz w:val="22"/>
          <w:szCs w:val="22"/>
        </w:rPr>
      </w:pPr>
      <w:r w:rsidRPr="00230BC2">
        <w:rPr>
          <w:rFonts w:asciiTheme="majorBidi" w:hAnsiTheme="majorBidi" w:cstheme="majorBidi"/>
          <w:sz w:val="22"/>
          <w:szCs w:val="22"/>
        </w:rPr>
        <w:t xml:space="preserve">Invalid ballots: </w:t>
      </w:r>
      <w:r w:rsidRPr="00230BC2">
        <w:rPr>
          <w:rFonts w:asciiTheme="majorBidi" w:hAnsiTheme="majorBidi" w:cstheme="majorBidi"/>
          <w:sz w:val="22"/>
          <w:szCs w:val="22"/>
        </w:rPr>
        <w:tab/>
      </w:r>
      <w:r w:rsidR="00571379" w:rsidRPr="00230BC2">
        <w:rPr>
          <w:rFonts w:asciiTheme="majorBidi" w:hAnsiTheme="majorBidi" w:cstheme="majorBidi"/>
          <w:sz w:val="22"/>
          <w:szCs w:val="22"/>
        </w:rPr>
        <w:t>2</w:t>
      </w:r>
    </w:p>
    <w:p w14:paraId="09649E2E" w14:textId="40AFA971" w:rsidR="00B04877" w:rsidRPr="00230BC2" w:rsidRDefault="00B04877" w:rsidP="0008345E">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rPr>
      </w:pPr>
      <w:r w:rsidRPr="00230BC2">
        <w:rPr>
          <w:rFonts w:asciiTheme="majorBidi" w:hAnsiTheme="majorBidi" w:cstheme="majorBidi"/>
          <w:sz w:val="22"/>
          <w:szCs w:val="22"/>
        </w:rPr>
        <w:t xml:space="preserve">Number of valid ballots: </w:t>
      </w:r>
      <w:r w:rsidRPr="00230BC2">
        <w:rPr>
          <w:rFonts w:asciiTheme="majorBidi" w:hAnsiTheme="majorBidi" w:cstheme="majorBidi"/>
          <w:sz w:val="22"/>
          <w:szCs w:val="22"/>
        </w:rPr>
        <w:tab/>
        <w:t>1</w:t>
      </w:r>
      <w:r w:rsidR="00571379" w:rsidRPr="00230BC2">
        <w:rPr>
          <w:rFonts w:asciiTheme="majorBidi" w:hAnsiTheme="majorBidi" w:cstheme="majorBidi"/>
          <w:sz w:val="22"/>
          <w:szCs w:val="22"/>
        </w:rPr>
        <w:t>28</w:t>
      </w:r>
    </w:p>
    <w:p w14:paraId="74150B4C" w14:textId="2E0420B4" w:rsidR="00B04877" w:rsidRPr="00230BC2" w:rsidRDefault="00B04877" w:rsidP="0008345E">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rPr>
      </w:pPr>
      <w:r w:rsidRPr="00230BC2">
        <w:rPr>
          <w:rFonts w:asciiTheme="majorBidi" w:hAnsiTheme="majorBidi" w:cstheme="majorBidi"/>
          <w:sz w:val="22"/>
          <w:szCs w:val="22"/>
        </w:rPr>
        <w:t xml:space="preserve">Abstentions: </w:t>
      </w:r>
      <w:r w:rsidRPr="00230BC2">
        <w:rPr>
          <w:rFonts w:asciiTheme="majorBidi" w:hAnsiTheme="majorBidi" w:cstheme="majorBidi"/>
          <w:sz w:val="22"/>
          <w:szCs w:val="22"/>
        </w:rPr>
        <w:tab/>
        <w:t>1</w:t>
      </w:r>
      <w:r w:rsidR="00571379" w:rsidRPr="00230BC2">
        <w:rPr>
          <w:rFonts w:asciiTheme="majorBidi" w:hAnsiTheme="majorBidi" w:cstheme="majorBidi"/>
          <w:sz w:val="22"/>
          <w:szCs w:val="22"/>
        </w:rPr>
        <w:t>2</w:t>
      </w:r>
    </w:p>
    <w:p w14:paraId="665F527A" w14:textId="0C53AA97" w:rsidR="00B04877" w:rsidRPr="00230BC2" w:rsidRDefault="00B04877" w:rsidP="0008345E">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rPr>
      </w:pPr>
      <w:r w:rsidRPr="00230BC2">
        <w:rPr>
          <w:rFonts w:asciiTheme="majorBidi" w:hAnsiTheme="majorBidi" w:cstheme="majorBidi"/>
          <w:sz w:val="22"/>
          <w:szCs w:val="22"/>
        </w:rPr>
        <w:t xml:space="preserve">Number of </w:t>
      </w:r>
      <w:r w:rsidR="00AD1074" w:rsidRPr="00230BC2">
        <w:rPr>
          <w:sz w:val="22"/>
          <w:szCs w:val="22"/>
        </w:rPr>
        <w:t xml:space="preserve">Parties present and </w:t>
      </w:r>
      <w:r w:rsidRPr="00230BC2">
        <w:rPr>
          <w:rFonts w:asciiTheme="majorBidi" w:hAnsiTheme="majorBidi" w:cstheme="majorBidi"/>
          <w:sz w:val="22"/>
          <w:szCs w:val="22"/>
        </w:rPr>
        <w:t xml:space="preserve">voting: </w:t>
      </w:r>
      <w:r w:rsidRPr="00230BC2">
        <w:rPr>
          <w:rFonts w:asciiTheme="majorBidi" w:hAnsiTheme="majorBidi" w:cstheme="majorBidi"/>
          <w:sz w:val="22"/>
          <w:szCs w:val="22"/>
        </w:rPr>
        <w:tab/>
        <w:t>1</w:t>
      </w:r>
      <w:r w:rsidR="00571379" w:rsidRPr="00230BC2">
        <w:rPr>
          <w:rFonts w:asciiTheme="majorBidi" w:hAnsiTheme="majorBidi" w:cstheme="majorBidi"/>
          <w:sz w:val="22"/>
          <w:szCs w:val="22"/>
        </w:rPr>
        <w:t>16</w:t>
      </w:r>
      <w:r w:rsidRPr="00230BC2">
        <w:rPr>
          <w:rFonts w:asciiTheme="majorBidi" w:hAnsiTheme="majorBidi" w:cstheme="majorBidi"/>
          <w:sz w:val="22"/>
          <w:szCs w:val="22"/>
        </w:rPr>
        <w:t xml:space="preserve"> </w:t>
      </w:r>
    </w:p>
    <w:p w14:paraId="71EBF380" w14:textId="6DB11C21" w:rsidR="00B04877" w:rsidRPr="00230BC2" w:rsidRDefault="00B04877" w:rsidP="0008345E">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rPr>
      </w:pPr>
      <w:r w:rsidRPr="00230BC2">
        <w:rPr>
          <w:rFonts w:asciiTheme="majorBidi" w:hAnsiTheme="majorBidi" w:cstheme="majorBidi"/>
          <w:sz w:val="22"/>
          <w:szCs w:val="22"/>
        </w:rPr>
        <w:t xml:space="preserve">Required majority: </w:t>
      </w:r>
      <w:r w:rsidRPr="00230BC2">
        <w:rPr>
          <w:rFonts w:asciiTheme="majorBidi" w:hAnsiTheme="majorBidi" w:cstheme="majorBidi"/>
          <w:sz w:val="22"/>
          <w:szCs w:val="22"/>
        </w:rPr>
        <w:tab/>
      </w:r>
      <w:r w:rsidR="00571379" w:rsidRPr="00230BC2">
        <w:rPr>
          <w:rFonts w:asciiTheme="majorBidi" w:hAnsiTheme="majorBidi" w:cstheme="majorBidi"/>
          <w:sz w:val="22"/>
          <w:szCs w:val="22"/>
        </w:rPr>
        <w:t>59</w:t>
      </w:r>
    </w:p>
    <w:p w14:paraId="03E965E5" w14:textId="3E911D71" w:rsidR="00B04877" w:rsidRPr="00230BC2" w:rsidRDefault="00B04877" w:rsidP="0008345E">
      <w:pPr>
        <w:pStyle w:val="Normalnumber"/>
        <w:numPr>
          <w:ilvl w:val="0"/>
          <w:numId w:val="0"/>
        </w:numPr>
        <w:tabs>
          <w:tab w:val="clear" w:pos="1843"/>
          <w:tab w:val="left" w:pos="1620"/>
          <w:tab w:val="right" w:pos="6300"/>
        </w:tabs>
        <w:spacing w:after="40"/>
        <w:ind w:left="810"/>
        <w:rPr>
          <w:rFonts w:asciiTheme="majorBidi" w:hAnsiTheme="majorBidi" w:cstheme="majorBidi"/>
          <w:sz w:val="22"/>
          <w:szCs w:val="22"/>
        </w:rPr>
      </w:pPr>
      <w:r w:rsidRPr="00230BC2">
        <w:rPr>
          <w:rFonts w:asciiTheme="majorBidi" w:hAnsiTheme="majorBidi" w:cstheme="majorBidi"/>
          <w:sz w:val="22"/>
          <w:szCs w:val="22"/>
        </w:rPr>
        <w:t xml:space="preserve">Number of votes obtained: </w:t>
      </w:r>
    </w:p>
    <w:p w14:paraId="2BF6C75A" w14:textId="602350D7" w:rsidR="00B04877" w:rsidRPr="00230BC2" w:rsidRDefault="00B04877" w:rsidP="0008345E">
      <w:pPr>
        <w:pStyle w:val="Normalnumber"/>
        <w:numPr>
          <w:ilvl w:val="0"/>
          <w:numId w:val="0"/>
        </w:numPr>
        <w:tabs>
          <w:tab w:val="clear" w:pos="1843"/>
          <w:tab w:val="left" w:pos="1620"/>
          <w:tab w:val="left" w:pos="1980"/>
          <w:tab w:val="right" w:pos="6300"/>
        </w:tabs>
        <w:spacing w:after="40"/>
        <w:ind w:left="810"/>
        <w:rPr>
          <w:rFonts w:asciiTheme="majorBidi" w:hAnsiTheme="majorBidi" w:cstheme="majorBidi"/>
          <w:sz w:val="22"/>
          <w:szCs w:val="22"/>
        </w:rPr>
      </w:pPr>
      <w:r w:rsidRPr="00230BC2">
        <w:rPr>
          <w:rFonts w:asciiTheme="majorBidi" w:hAnsiTheme="majorBidi" w:cstheme="majorBidi"/>
          <w:sz w:val="22"/>
          <w:szCs w:val="22"/>
        </w:rPr>
        <w:tab/>
      </w:r>
      <w:r w:rsidR="00AD056A" w:rsidRPr="00230BC2">
        <w:rPr>
          <w:rFonts w:asciiTheme="majorBidi" w:eastAsiaTheme="minorEastAsia" w:hAnsiTheme="majorBidi" w:cstheme="majorBidi"/>
          <w:bCs/>
          <w:sz w:val="22"/>
          <w:szCs w:val="22"/>
        </w:rPr>
        <w:t>Teona Karchava (Georgia)</w:t>
      </w:r>
      <w:r w:rsidRPr="00230BC2">
        <w:rPr>
          <w:rFonts w:asciiTheme="majorBidi" w:hAnsiTheme="majorBidi" w:cstheme="majorBidi"/>
          <w:sz w:val="22"/>
          <w:szCs w:val="22"/>
        </w:rPr>
        <w:t xml:space="preserve"> </w:t>
      </w:r>
      <w:r w:rsidRPr="00230BC2">
        <w:rPr>
          <w:rFonts w:asciiTheme="majorBidi" w:hAnsiTheme="majorBidi" w:cstheme="majorBidi"/>
          <w:sz w:val="22"/>
          <w:szCs w:val="22"/>
        </w:rPr>
        <w:tab/>
      </w:r>
      <w:r w:rsidR="00571379" w:rsidRPr="00230BC2">
        <w:rPr>
          <w:rFonts w:asciiTheme="majorBidi" w:hAnsiTheme="majorBidi" w:cstheme="majorBidi"/>
          <w:sz w:val="22"/>
          <w:szCs w:val="22"/>
        </w:rPr>
        <w:t>84</w:t>
      </w:r>
      <w:r w:rsidRPr="00230BC2">
        <w:rPr>
          <w:rFonts w:asciiTheme="majorBidi" w:hAnsiTheme="majorBidi" w:cstheme="majorBidi"/>
          <w:sz w:val="22"/>
          <w:szCs w:val="22"/>
        </w:rPr>
        <w:t xml:space="preserve"> </w:t>
      </w:r>
    </w:p>
    <w:p w14:paraId="354A9446" w14:textId="76D10C69" w:rsidR="00B04877" w:rsidRPr="00230BC2" w:rsidRDefault="00B04877" w:rsidP="0008345E">
      <w:pPr>
        <w:pStyle w:val="Normalnumber"/>
        <w:numPr>
          <w:ilvl w:val="0"/>
          <w:numId w:val="0"/>
        </w:numPr>
        <w:tabs>
          <w:tab w:val="clear" w:pos="1843"/>
          <w:tab w:val="left" w:pos="1620"/>
          <w:tab w:val="left" w:pos="1980"/>
          <w:tab w:val="right" w:pos="6300"/>
        </w:tabs>
        <w:spacing w:after="40"/>
        <w:ind w:left="810"/>
        <w:rPr>
          <w:rFonts w:asciiTheme="majorBidi" w:hAnsiTheme="majorBidi" w:cstheme="majorBidi"/>
          <w:sz w:val="22"/>
          <w:szCs w:val="22"/>
        </w:rPr>
      </w:pPr>
      <w:r w:rsidRPr="00230BC2">
        <w:rPr>
          <w:rFonts w:asciiTheme="majorBidi" w:hAnsiTheme="majorBidi" w:cstheme="majorBidi"/>
          <w:sz w:val="22"/>
          <w:szCs w:val="22"/>
        </w:rPr>
        <w:tab/>
      </w:r>
      <w:r w:rsidR="00AD056A" w:rsidRPr="00230BC2">
        <w:rPr>
          <w:rFonts w:asciiTheme="majorBidi" w:eastAsiaTheme="minorEastAsia" w:hAnsiTheme="majorBidi" w:cstheme="majorBidi"/>
          <w:bCs/>
          <w:sz w:val="22"/>
          <w:szCs w:val="22"/>
        </w:rPr>
        <w:t>Angela Lozan (</w:t>
      </w:r>
      <w:r w:rsidR="00CC4642" w:rsidRPr="00230BC2">
        <w:rPr>
          <w:rFonts w:asciiTheme="majorBidi" w:eastAsiaTheme="minorEastAsia" w:hAnsiTheme="majorBidi" w:cstheme="majorBidi"/>
          <w:bCs/>
          <w:sz w:val="22"/>
          <w:szCs w:val="22"/>
        </w:rPr>
        <w:t xml:space="preserve">Republic of </w:t>
      </w:r>
      <w:r w:rsidR="00AD056A" w:rsidRPr="00230BC2">
        <w:rPr>
          <w:rFonts w:asciiTheme="majorBidi" w:eastAsiaTheme="minorEastAsia" w:hAnsiTheme="majorBidi" w:cstheme="majorBidi"/>
          <w:bCs/>
          <w:sz w:val="22"/>
          <w:szCs w:val="22"/>
        </w:rPr>
        <w:t>Moldova)</w:t>
      </w:r>
      <w:r w:rsidRPr="00230BC2">
        <w:rPr>
          <w:rFonts w:asciiTheme="majorBidi" w:hAnsiTheme="majorBidi" w:cstheme="majorBidi"/>
          <w:sz w:val="22"/>
          <w:szCs w:val="22"/>
        </w:rPr>
        <w:tab/>
      </w:r>
      <w:r w:rsidR="00571379" w:rsidRPr="00230BC2">
        <w:rPr>
          <w:rFonts w:asciiTheme="majorBidi" w:hAnsiTheme="majorBidi" w:cstheme="majorBidi"/>
          <w:sz w:val="22"/>
          <w:szCs w:val="22"/>
        </w:rPr>
        <w:t>79</w:t>
      </w:r>
    </w:p>
    <w:p w14:paraId="09270D56" w14:textId="4F979237" w:rsidR="00B04877" w:rsidRPr="00230BC2" w:rsidRDefault="00B04877" w:rsidP="0008345E">
      <w:pPr>
        <w:pStyle w:val="Normalnumber"/>
        <w:numPr>
          <w:ilvl w:val="0"/>
          <w:numId w:val="0"/>
        </w:numPr>
        <w:tabs>
          <w:tab w:val="clear" w:pos="1843"/>
          <w:tab w:val="left" w:pos="1620"/>
          <w:tab w:val="left" w:pos="1980"/>
          <w:tab w:val="right" w:pos="6300"/>
        </w:tabs>
        <w:ind w:left="810"/>
        <w:rPr>
          <w:rFonts w:asciiTheme="majorBidi" w:hAnsiTheme="majorBidi" w:cstheme="majorBidi"/>
          <w:sz w:val="22"/>
          <w:szCs w:val="22"/>
        </w:rPr>
      </w:pPr>
      <w:r w:rsidRPr="00230BC2">
        <w:rPr>
          <w:rFonts w:asciiTheme="majorBidi" w:hAnsiTheme="majorBidi" w:cstheme="majorBidi"/>
          <w:sz w:val="22"/>
          <w:szCs w:val="22"/>
        </w:rPr>
        <w:tab/>
      </w:r>
      <w:r w:rsidR="00571379" w:rsidRPr="00230BC2">
        <w:rPr>
          <w:rFonts w:asciiTheme="majorBidi" w:eastAsiaTheme="minorEastAsia" w:hAnsiTheme="majorBidi" w:cstheme="majorBidi"/>
          <w:bCs/>
          <w:sz w:val="22"/>
          <w:szCs w:val="22"/>
        </w:rPr>
        <w:t xml:space="preserve">Alexander Shestakov </w:t>
      </w:r>
      <w:r w:rsidRPr="00230BC2">
        <w:rPr>
          <w:rFonts w:asciiTheme="majorBidi" w:hAnsiTheme="majorBidi" w:cstheme="majorBidi"/>
          <w:sz w:val="22"/>
          <w:szCs w:val="22"/>
        </w:rPr>
        <w:t>(Russian Federation)</w:t>
      </w:r>
      <w:r w:rsidRPr="00230BC2">
        <w:rPr>
          <w:rFonts w:asciiTheme="majorBidi" w:hAnsiTheme="majorBidi" w:cstheme="majorBidi"/>
          <w:sz w:val="22"/>
          <w:szCs w:val="22"/>
        </w:rPr>
        <w:tab/>
      </w:r>
      <w:r w:rsidR="00571379" w:rsidRPr="00230BC2">
        <w:rPr>
          <w:rFonts w:asciiTheme="majorBidi" w:hAnsiTheme="majorBidi" w:cstheme="majorBidi"/>
          <w:sz w:val="22"/>
          <w:szCs w:val="22"/>
        </w:rPr>
        <w:t>47</w:t>
      </w:r>
    </w:p>
    <w:p w14:paraId="3A374FCB" w14:textId="713EAC9F" w:rsidR="00B04877" w:rsidRPr="00230BC2" w:rsidRDefault="00B04877" w:rsidP="003466FC">
      <w:pPr>
        <w:pStyle w:val="Para1"/>
      </w:pPr>
      <w:r w:rsidRPr="00230BC2">
        <w:t xml:space="preserve">Having obtained the required majority, </w:t>
      </w:r>
      <w:r w:rsidR="000F0176" w:rsidRPr="00230BC2">
        <w:rPr>
          <w:bCs/>
        </w:rPr>
        <w:t>Ms. </w:t>
      </w:r>
      <w:r w:rsidR="00571379" w:rsidRPr="00230BC2">
        <w:rPr>
          <w:bCs/>
        </w:rPr>
        <w:t xml:space="preserve">Karchava </w:t>
      </w:r>
      <w:r w:rsidRPr="00230BC2">
        <w:t xml:space="preserve">and </w:t>
      </w:r>
      <w:r w:rsidR="000F0176" w:rsidRPr="00230BC2">
        <w:rPr>
          <w:bCs/>
        </w:rPr>
        <w:t>Ms. </w:t>
      </w:r>
      <w:r w:rsidR="00571379" w:rsidRPr="00230BC2">
        <w:rPr>
          <w:bCs/>
        </w:rPr>
        <w:t xml:space="preserve">Lozan </w:t>
      </w:r>
      <w:r w:rsidRPr="00230BC2">
        <w:t xml:space="preserve">were elected as </w:t>
      </w:r>
      <w:r w:rsidR="00571379" w:rsidRPr="00230BC2">
        <w:t>members</w:t>
      </w:r>
      <w:r w:rsidRPr="00230BC2">
        <w:t xml:space="preserve"> of the </w:t>
      </w:r>
      <w:r w:rsidR="00571379" w:rsidRPr="00230BC2">
        <w:t xml:space="preserve">Bureau for a term commencing at the end of the </w:t>
      </w:r>
      <w:r w:rsidR="00554D9D" w:rsidRPr="00230BC2">
        <w:t>fifteenth</w:t>
      </w:r>
      <w:r w:rsidR="00571379" w:rsidRPr="00230BC2">
        <w:t xml:space="preserve"> meeting and ending at the close of the sixteenth meeting of the Conference of the Parties.</w:t>
      </w:r>
    </w:p>
    <w:p w14:paraId="156172ED" w14:textId="0C714015" w:rsidR="009E0AE0" w:rsidRPr="00230BC2" w:rsidRDefault="009E0AE0" w:rsidP="003466FC">
      <w:pPr>
        <w:pStyle w:val="Para1"/>
      </w:pPr>
      <w:r w:rsidRPr="00230BC2">
        <w:t xml:space="preserve">The Conference of the Parties then proceeded to the election of </w:t>
      </w:r>
      <w:r w:rsidR="00182A8E" w:rsidRPr="00230BC2">
        <w:t>the second</w:t>
      </w:r>
      <w:r w:rsidRPr="00230BC2">
        <w:t xml:space="preserve"> </w:t>
      </w:r>
      <w:r w:rsidR="00182A8E" w:rsidRPr="00230BC2">
        <w:t xml:space="preserve">Bureau member </w:t>
      </w:r>
      <w:r w:rsidRPr="00230BC2">
        <w:t>from the Western European and other States.</w:t>
      </w:r>
    </w:p>
    <w:p w14:paraId="511F11AE" w14:textId="00C41510" w:rsidR="00496DCB" w:rsidRPr="00230BC2" w:rsidRDefault="00C64FA0" w:rsidP="00496DCB">
      <w:pPr>
        <w:pStyle w:val="Para1"/>
      </w:pPr>
      <w:r w:rsidRPr="00230BC2">
        <w:t>Before</w:t>
      </w:r>
      <w:r w:rsidR="00496DCB" w:rsidRPr="00230BC2">
        <w:t xml:space="preserve"> the voting procedure</w:t>
      </w:r>
      <w:r w:rsidRPr="00230BC2">
        <w:t xml:space="preserve"> started</w:t>
      </w:r>
      <w:r w:rsidR="00496DCB" w:rsidRPr="00230BC2">
        <w:t xml:space="preserve">, a statement was made by the representative of Spain (on behalf of the European Union and its </w:t>
      </w:r>
      <w:r w:rsidR="00AA2433" w:rsidRPr="00230BC2">
        <w:t xml:space="preserve">27 </w:t>
      </w:r>
      <w:r w:rsidR="00496DCB" w:rsidRPr="00230BC2">
        <w:t xml:space="preserve">member States). </w:t>
      </w:r>
    </w:p>
    <w:p w14:paraId="5682A2FF" w14:textId="77777777" w:rsidR="009E0AE0" w:rsidRPr="00230BC2" w:rsidRDefault="009E0AE0" w:rsidP="003466FC">
      <w:pPr>
        <w:pStyle w:val="Para1"/>
      </w:pPr>
      <w:r w:rsidRPr="00230BC2">
        <w:rPr>
          <w:rStyle w:val="ui-provider"/>
        </w:rPr>
        <w:t>The meeting was briefly suspended to allow for the counting of votes.</w:t>
      </w:r>
    </w:p>
    <w:p w14:paraId="6CB3F39D" w14:textId="39FF8D7B" w:rsidR="009E0AE0" w:rsidRPr="00230BC2" w:rsidRDefault="009E0AE0" w:rsidP="003466FC">
      <w:pPr>
        <w:pStyle w:val="Para1"/>
      </w:pPr>
      <w:r w:rsidRPr="00230BC2">
        <w:t xml:space="preserve">Subsequently, the </w:t>
      </w:r>
      <w:r w:rsidR="00230667" w:rsidRPr="00230BC2">
        <w:t>Chair</w:t>
      </w:r>
      <w:r w:rsidRPr="00230BC2">
        <w:t xml:space="preserve"> reported the results as follows: </w:t>
      </w:r>
    </w:p>
    <w:p w14:paraId="02360308" w14:textId="6FB423E4" w:rsidR="00B04877" w:rsidRPr="00230BC2" w:rsidRDefault="00B04877" w:rsidP="00715A19">
      <w:pPr>
        <w:pStyle w:val="Normalnumber"/>
        <w:numPr>
          <w:ilvl w:val="0"/>
          <w:numId w:val="0"/>
        </w:numPr>
        <w:tabs>
          <w:tab w:val="clear" w:pos="1843"/>
          <w:tab w:val="left" w:pos="1530"/>
          <w:tab w:val="right" w:pos="6480"/>
        </w:tabs>
        <w:spacing w:after="40"/>
        <w:ind w:left="810"/>
        <w:rPr>
          <w:sz w:val="22"/>
          <w:szCs w:val="22"/>
        </w:rPr>
      </w:pPr>
      <w:r w:rsidRPr="00230BC2">
        <w:rPr>
          <w:sz w:val="22"/>
          <w:szCs w:val="22"/>
        </w:rPr>
        <w:t xml:space="preserve">Number of ballot papers: </w:t>
      </w:r>
      <w:r w:rsidRPr="00230BC2">
        <w:rPr>
          <w:sz w:val="22"/>
          <w:szCs w:val="22"/>
        </w:rPr>
        <w:tab/>
        <w:t>1</w:t>
      </w:r>
      <w:r w:rsidR="005C6FD6" w:rsidRPr="00230BC2">
        <w:rPr>
          <w:sz w:val="22"/>
          <w:szCs w:val="22"/>
        </w:rPr>
        <w:t>30</w:t>
      </w:r>
    </w:p>
    <w:p w14:paraId="6D1EF909" w14:textId="6CD1DFDB" w:rsidR="00B04877" w:rsidRPr="00230BC2" w:rsidRDefault="00B04877" w:rsidP="00715A19">
      <w:pPr>
        <w:pStyle w:val="Normalnumber"/>
        <w:numPr>
          <w:ilvl w:val="0"/>
          <w:numId w:val="0"/>
        </w:numPr>
        <w:tabs>
          <w:tab w:val="clear" w:pos="1843"/>
          <w:tab w:val="left" w:pos="1530"/>
          <w:tab w:val="right" w:pos="6480"/>
        </w:tabs>
        <w:spacing w:after="40"/>
        <w:ind w:left="810"/>
        <w:rPr>
          <w:sz w:val="22"/>
          <w:szCs w:val="22"/>
        </w:rPr>
      </w:pPr>
      <w:r w:rsidRPr="00230BC2">
        <w:rPr>
          <w:sz w:val="22"/>
          <w:szCs w:val="22"/>
        </w:rPr>
        <w:t xml:space="preserve">Invalid ballots: </w:t>
      </w:r>
      <w:r w:rsidRPr="00230BC2">
        <w:rPr>
          <w:sz w:val="22"/>
          <w:szCs w:val="22"/>
        </w:rPr>
        <w:tab/>
      </w:r>
      <w:r w:rsidR="005C6FD6" w:rsidRPr="00230BC2">
        <w:rPr>
          <w:sz w:val="22"/>
          <w:szCs w:val="22"/>
        </w:rPr>
        <w:t>0</w:t>
      </w:r>
    </w:p>
    <w:p w14:paraId="5844B1C7" w14:textId="4A85C27A" w:rsidR="00B04877" w:rsidRPr="00230BC2" w:rsidRDefault="00B04877" w:rsidP="00715A19">
      <w:pPr>
        <w:pStyle w:val="Normalnumber"/>
        <w:numPr>
          <w:ilvl w:val="0"/>
          <w:numId w:val="0"/>
        </w:numPr>
        <w:tabs>
          <w:tab w:val="clear" w:pos="1843"/>
          <w:tab w:val="left" w:pos="1530"/>
          <w:tab w:val="right" w:pos="6480"/>
        </w:tabs>
        <w:spacing w:after="40"/>
        <w:ind w:left="810"/>
        <w:rPr>
          <w:sz w:val="22"/>
          <w:szCs w:val="22"/>
        </w:rPr>
      </w:pPr>
      <w:r w:rsidRPr="00230BC2">
        <w:rPr>
          <w:sz w:val="22"/>
          <w:szCs w:val="22"/>
        </w:rPr>
        <w:t xml:space="preserve">Number of valid ballots: </w:t>
      </w:r>
      <w:r w:rsidRPr="00230BC2">
        <w:rPr>
          <w:sz w:val="22"/>
          <w:szCs w:val="22"/>
        </w:rPr>
        <w:tab/>
        <w:t>1</w:t>
      </w:r>
      <w:r w:rsidR="005C6FD6" w:rsidRPr="00230BC2">
        <w:rPr>
          <w:sz w:val="22"/>
          <w:szCs w:val="22"/>
        </w:rPr>
        <w:t>30</w:t>
      </w:r>
    </w:p>
    <w:p w14:paraId="5E64F23D" w14:textId="0882AE25" w:rsidR="00B04877" w:rsidRPr="00230BC2" w:rsidRDefault="00B04877" w:rsidP="00715A19">
      <w:pPr>
        <w:pStyle w:val="Normalnumber"/>
        <w:numPr>
          <w:ilvl w:val="0"/>
          <w:numId w:val="0"/>
        </w:numPr>
        <w:tabs>
          <w:tab w:val="clear" w:pos="1843"/>
          <w:tab w:val="left" w:pos="1530"/>
          <w:tab w:val="right" w:pos="6480"/>
        </w:tabs>
        <w:spacing w:after="40"/>
        <w:ind w:left="810"/>
        <w:rPr>
          <w:sz w:val="22"/>
          <w:szCs w:val="22"/>
        </w:rPr>
      </w:pPr>
      <w:r w:rsidRPr="00230BC2">
        <w:rPr>
          <w:sz w:val="22"/>
          <w:szCs w:val="22"/>
        </w:rPr>
        <w:t xml:space="preserve">Abstentions: </w:t>
      </w:r>
      <w:r w:rsidRPr="00230BC2">
        <w:rPr>
          <w:sz w:val="22"/>
          <w:szCs w:val="22"/>
        </w:rPr>
        <w:tab/>
      </w:r>
      <w:r w:rsidR="005C6FD6" w:rsidRPr="00230BC2">
        <w:rPr>
          <w:sz w:val="22"/>
          <w:szCs w:val="22"/>
        </w:rPr>
        <w:t>31</w:t>
      </w:r>
    </w:p>
    <w:p w14:paraId="61ADEAEB" w14:textId="3404CE79" w:rsidR="00B04877" w:rsidRPr="00230BC2" w:rsidRDefault="00B04877" w:rsidP="00715A19">
      <w:pPr>
        <w:pStyle w:val="Normalnumber"/>
        <w:numPr>
          <w:ilvl w:val="0"/>
          <w:numId w:val="0"/>
        </w:numPr>
        <w:tabs>
          <w:tab w:val="clear" w:pos="1843"/>
          <w:tab w:val="left" w:pos="1530"/>
          <w:tab w:val="right" w:pos="6480"/>
        </w:tabs>
        <w:spacing w:after="40"/>
        <w:ind w:left="810"/>
        <w:rPr>
          <w:sz w:val="22"/>
          <w:szCs w:val="22"/>
        </w:rPr>
      </w:pPr>
      <w:r w:rsidRPr="00230BC2">
        <w:rPr>
          <w:sz w:val="22"/>
          <w:szCs w:val="22"/>
        </w:rPr>
        <w:t xml:space="preserve">Number of </w:t>
      </w:r>
      <w:r w:rsidR="002131BD" w:rsidRPr="00230BC2">
        <w:rPr>
          <w:sz w:val="22"/>
          <w:szCs w:val="22"/>
        </w:rPr>
        <w:t xml:space="preserve">Parties present and </w:t>
      </w:r>
      <w:r w:rsidRPr="00230BC2">
        <w:rPr>
          <w:sz w:val="22"/>
          <w:szCs w:val="22"/>
        </w:rPr>
        <w:t xml:space="preserve">voting: </w:t>
      </w:r>
      <w:r w:rsidRPr="00230BC2">
        <w:rPr>
          <w:sz w:val="22"/>
          <w:szCs w:val="22"/>
        </w:rPr>
        <w:tab/>
      </w:r>
      <w:r w:rsidR="005C6FD6" w:rsidRPr="00230BC2">
        <w:rPr>
          <w:sz w:val="22"/>
          <w:szCs w:val="22"/>
        </w:rPr>
        <w:t>99</w:t>
      </w:r>
    </w:p>
    <w:p w14:paraId="681A34A0" w14:textId="2345B3D4" w:rsidR="00B04877" w:rsidRPr="00230BC2" w:rsidRDefault="00B04877" w:rsidP="00715A19">
      <w:pPr>
        <w:pStyle w:val="Normalnumber"/>
        <w:numPr>
          <w:ilvl w:val="0"/>
          <w:numId w:val="0"/>
        </w:numPr>
        <w:tabs>
          <w:tab w:val="clear" w:pos="1843"/>
          <w:tab w:val="left" w:pos="1530"/>
          <w:tab w:val="right" w:pos="6480"/>
        </w:tabs>
        <w:spacing w:after="40"/>
        <w:ind w:left="810"/>
        <w:rPr>
          <w:sz w:val="22"/>
          <w:szCs w:val="22"/>
        </w:rPr>
      </w:pPr>
      <w:r w:rsidRPr="00230BC2">
        <w:rPr>
          <w:sz w:val="22"/>
          <w:szCs w:val="22"/>
        </w:rPr>
        <w:t xml:space="preserve">Required majority: </w:t>
      </w:r>
      <w:r w:rsidRPr="00230BC2">
        <w:rPr>
          <w:sz w:val="22"/>
          <w:szCs w:val="22"/>
        </w:rPr>
        <w:tab/>
      </w:r>
      <w:r w:rsidR="005C6FD6" w:rsidRPr="00230BC2">
        <w:rPr>
          <w:sz w:val="22"/>
          <w:szCs w:val="22"/>
        </w:rPr>
        <w:t>50</w:t>
      </w:r>
    </w:p>
    <w:p w14:paraId="5061D69C" w14:textId="44108111" w:rsidR="00B04877" w:rsidRPr="00230BC2" w:rsidRDefault="00B04877" w:rsidP="00715A19">
      <w:pPr>
        <w:pStyle w:val="Normalnumber"/>
        <w:numPr>
          <w:ilvl w:val="0"/>
          <w:numId w:val="0"/>
        </w:numPr>
        <w:tabs>
          <w:tab w:val="clear" w:pos="1843"/>
          <w:tab w:val="left" w:pos="1530"/>
          <w:tab w:val="right" w:pos="6480"/>
        </w:tabs>
        <w:spacing w:after="40"/>
        <w:ind w:left="810"/>
        <w:rPr>
          <w:sz w:val="22"/>
          <w:szCs w:val="22"/>
        </w:rPr>
      </w:pPr>
      <w:r w:rsidRPr="00230BC2">
        <w:rPr>
          <w:sz w:val="22"/>
          <w:szCs w:val="22"/>
        </w:rPr>
        <w:t xml:space="preserve">Number of votes obtained: </w:t>
      </w:r>
    </w:p>
    <w:p w14:paraId="5472FB82" w14:textId="483433BB" w:rsidR="00B04877" w:rsidRPr="00230BC2" w:rsidRDefault="00B04877" w:rsidP="00715A19">
      <w:pPr>
        <w:pStyle w:val="Normalnumber"/>
        <w:numPr>
          <w:ilvl w:val="0"/>
          <w:numId w:val="0"/>
        </w:numPr>
        <w:tabs>
          <w:tab w:val="clear" w:pos="1843"/>
          <w:tab w:val="left" w:pos="1530"/>
          <w:tab w:val="left" w:pos="1800"/>
          <w:tab w:val="right" w:pos="6480"/>
        </w:tabs>
        <w:ind w:left="810"/>
        <w:rPr>
          <w:sz w:val="22"/>
          <w:szCs w:val="22"/>
        </w:rPr>
      </w:pPr>
      <w:r w:rsidRPr="00230BC2">
        <w:rPr>
          <w:sz w:val="22"/>
          <w:szCs w:val="22"/>
        </w:rPr>
        <w:tab/>
      </w:r>
      <w:r w:rsidR="009E0AE0" w:rsidRPr="00230BC2">
        <w:rPr>
          <w:bCs/>
          <w:sz w:val="22"/>
          <w:szCs w:val="22"/>
        </w:rPr>
        <w:t>Eric Schauls (Luxemb</w:t>
      </w:r>
      <w:r w:rsidR="00554D9D" w:rsidRPr="00230BC2">
        <w:rPr>
          <w:bCs/>
          <w:sz w:val="22"/>
          <w:szCs w:val="22"/>
        </w:rPr>
        <w:t>o</w:t>
      </w:r>
      <w:r w:rsidR="009E0AE0" w:rsidRPr="00230BC2">
        <w:rPr>
          <w:bCs/>
          <w:sz w:val="22"/>
          <w:szCs w:val="22"/>
        </w:rPr>
        <w:t>urg)</w:t>
      </w:r>
      <w:r w:rsidRPr="00230BC2">
        <w:rPr>
          <w:sz w:val="22"/>
          <w:szCs w:val="22"/>
        </w:rPr>
        <w:tab/>
      </w:r>
      <w:r w:rsidR="005C6FD6" w:rsidRPr="00230BC2">
        <w:rPr>
          <w:sz w:val="22"/>
          <w:szCs w:val="22"/>
        </w:rPr>
        <w:t>99</w:t>
      </w:r>
    </w:p>
    <w:p w14:paraId="69022F26" w14:textId="5036BD52" w:rsidR="00B04877" w:rsidRPr="00230BC2" w:rsidRDefault="009E0AE0" w:rsidP="003466FC">
      <w:pPr>
        <w:pStyle w:val="Para1"/>
        <w:rPr>
          <w:snapToGrid/>
          <w:szCs w:val="24"/>
        </w:rPr>
      </w:pPr>
      <w:r w:rsidRPr="00230BC2">
        <w:t xml:space="preserve">Having obtained the required majority, </w:t>
      </w:r>
      <w:r w:rsidR="00554D9D" w:rsidRPr="00230BC2">
        <w:rPr>
          <w:bCs/>
        </w:rPr>
        <w:t>Mr. </w:t>
      </w:r>
      <w:r w:rsidR="003C5188" w:rsidRPr="00230BC2">
        <w:rPr>
          <w:bCs/>
        </w:rPr>
        <w:t xml:space="preserve">Schauls </w:t>
      </w:r>
      <w:r w:rsidR="003C5188" w:rsidRPr="00230BC2">
        <w:t>was</w:t>
      </w:r>
      <w:r w:rsidRPr="00230BC2">
        <w:t xml:space="preserve"> elected as </w:t>
      </w:r>
      <w:r w:rsidR="003C5188" w:rsidRPr="00230BC2">
        <w:t xml:space="preserve">a </w:t>
      </w:r>
      <w:r w:rsidR="00182A8E" w:rsidRPr="00230BC2">
        <w:t>member</w:t>
      </w:r>
      <w:r w:rsidRPr="00230BC2">
        <w:t xml:space="preserve"> of the Bureau for a term commencing at the end of the </w:t>
      </w:r>
      <w:r w:rsidR="005C6FD6" w:rsidRPr="00230BC2">
        <w:t>fifteenth</w:t>
      </w:r>
      <w:r w:rsidRPr="00230BC2">
        <w:t xml:space="preserve"> meeting and ending at the close of the sixteenth meeting of the Conference of the Parties.</w:t>
      </w:r>
    </w:p>
    <w:p w14:paraId="49434EF4" w14:textId="77777777" w:rsidR="001C4512" w:rsidRPr="00BF4AB9" w:rsidRDefault="001C4512" w:rsidP="00BF4AB9">
      <w:pPr>
        <w:pStyle w:val="BodyText"/>
        <w:ind w:firstLine="0"/>
        <w:rPr>
          <w:i/>
          <w:iCs w:val="0"/>
        </w:rPr>
      </w:pPr>
      <w:r w:rsidRPr="00BF4AB9">
        <w:rPr>
          <w:i/>
          <w:iCs w:val="0"/>
        </w:rPr>
        <w:t>Election of officers of subsidiary bodies and other meetings</w:t>
      </w:r>
    </w:p>
    <w:p w14:paraId="40899072" w14:textId="36CEC326" w:rsidR="00EB6D9A" w:rsidRPr="00230BC2" w:rsidRDefault="00EB6D9A" w:rsidP="003466FC">
      <w:pPr>
        <w:pStyle w:val="Para1"/>
      </w:pPr>
      <w:r w:rsidRPr="00230BC2">
        <w:t xml:space="preserve">At its 6th plenary session, the Conference of the Parties elected </w:t>
      </w:r>
      <w:r w:rsidR="00C74617" w:rsidRPr="00230BC2">
        <w:rPr>
          <w:bCs/>
        </w:rPr>
        <w:t xml:space="preserve">Chirra Achalender </w:t>
      </w:r>
      <w:r w:rsidR="000C71AE" w:rsidRPr="00230BC2">
        <w:rPr>
          <w:bCs/>
        </w:rPr>
        <w:t>Reddy (India)</w:t>
      </w:r>
      <w:r w:rsidR="000C71AE" w:rsidRPr="00230BC2">
        <w:t xml:space="preserve"> </w:t>
      </w:r>
      <w:r w:rsidRPr="00230BC2">
        <w:t>as Chair of the Subsidiary Body on Implementation</w:t>
      </w:r>
      <w:r w:rsidR="000C71AE" w:rsidRPr="00230BC2">
        <w:t>, by acclamation,</w:t>
      </w:r>
      <w:r w:rsidRPr="00230BC2">
        <w:t xml:space="preserve"> for a term of office extending until the sixteenth meeting of the Conference of the Parties.</w:t>
      </w:r>
    </w:p>
    <w:p w14:paraId="04278C37" w14:textId="5310DB2F" w:rsidR="00EB6D9A" w:rsidRPr="00230BC2" w:rsidRDefault="000C71AE" w:rsidP="003466FC">
      <w:pPr>
        <w:pStyle w:val="Para1"/>
      </w:pPr>
      <w:r w:rsidRPr="00230BC2">
        <w:t>T</w:t>
      </w:r>
      <w:r w:rsidR="00EB6D9A" w:rsidRPr="00230BC2">
        <w:t>he</w:t>
      </w:r>
      <w:r w:rsidRPr="00230BC2">
        <w:t>re being two nominees for the Chair of the Subsidiary Body on Scientific, Technical and Technological Advice, the</w:t>
      </w:r>
      <w:r w:rsidR="00EB6D9A" w:rsidRPr="00230BC2">
        <w:t xml:space="preserve"> Conference of the Parties agreed to proceed to </w:t>
      </w:r>
      <w:r w:rsidRPr="00230BC2">
        <w:t>an</w:t>
      </w:r>
      <w:r w:rsidR="00EB6D9A" w:rsidRPr="00230BC2">
        <w:t xml:space="preserve"> election by secret ballot, in accordance with rule 49 of the rules of procedure</w:t>
      </w:r>
      <w:r w:rsidR="00D0320A" w:rsidRPr="00230BC2">
        <w:t>.</w:t>
      </w:r>
    </w:p>
    <w:p w14:paraId="7C3ACBA8" w14:textId="4669B7E2" w:rsidR="00EB6D9A" w:rsidRPr="00230BC2" w:rsidRDefault="00EB6D9A" w:rsidP="00173E69">
      <w:pPr>
        <w:pStyle w:val="Para1"/>
      </w:pPr>
      <w:r w:rsidRPr="00230BC2">
        <w:t xml:space="preserve">At the invitation of the </w:t>
      </w:r>
      <w:r w:rsidR="000C71AE" w:rsidRPr="00230BC2">
        <w:t>Chair</w:t>
      </w:r>
      <w:r w:rsidRPr="00230BC2">
        <w:t xml:space="preserve">, </w:t>
      </w:r>
      <w:r w:rsidR="00E17AA5" w:rsidRPr="00230BC2">
        <w:rPr>
          <w:rFonts w:eastAsiaTheme="minorEastAsia"/>
        </w:rPr>
        <w:t>Ms. </w:t>
      </w:r>
      <w:r w:rsidRPr="00230BC2">
        <w:rPr>
          <w:rFonts w:eastAsiaTheme="minorEastAsia"/>
        </w:rPr>
        <w:t>Canepa Montalvo</w:t>
      </w:r>
      <w:r w:rsidR="004A56E8" w:rsidRPr="00230BC2">
        <w:rPr>
          <w:rFonts w:eastAsiaTheme="minorEastAsia"/>
        </w:rPr>
        <w:t>,</w:t>
      </w:r>
      <w:r w:rsidRPr="00230BC2">
        <w:rPr>
          <w:rFonts w:eastAsiaTheme="minorEastAsia"/>
        </w:rPr>
        <w:t xml:space="preserve"> </w:t>
      </w:r>
      <w:r w:rsidR="004A56E8" w:rsidRPr="00230BC2">
        <w:rPr>
          <w:rFonts w:eastAsiaTheme="minorEastAsia"/>
        </w:rPr>
        <w:t>Mr. </w:t>
      </w:r>
      <w:r w:rsidRPr="00230BC2">
        <w:rPr>
          <w:rFonts w:eastAsiaTheme="minorEastAsia"/>
        </w:rPr>
        <w:t xml:space="preserve">Qtishat and </w:t>
      </w:r>
      <w:r w:rsidR="00173E69" w:rsidRPr="00230BC2">
        <w:rPr>
          <w:rFonts w:eastAsiaTheme="minorEastAsia"/>
        </w:rPr>
        <w:t>Ms. </w:t>
      </w:r>
      <w:r w:rsidRPr="00230BC2">
        <w:rPr>
          <w:rFonts w:eastAsiaTheme="minorEastAsia"/>
        </w:rPr>
        <w:t>Yemisi</w:t>
      </w:r>
      <w:r w:rsidRPr="00230BC2">
        <w:t xml:space="preserve">acted as tellers. </w:t>
      </w:r>
    </w:p>
    <w:p w14:paraId="06605184" w14:textId="77777777" w:rsidR="00EB6D9A" w:rsidRPr="00230BC2" w:rsidRDefault="00EB6D9A" w:rsidP="003466FC">
      <w:pPr>
        <w:pStyle w:val="Para1"/>
      </w:pPr>
      <w:r w:rsidRPr="00230BC2">
        <w:rPr>
          <w:rStyle w:val="ui-provider"/>
        </w:rPr>
        <w:t>The meeting was briefly suspended to allow for the counting of votes.</w:t>
      </w:r>
    </w:p>
    <w:p w14:paraId="3823E1D6" w14:textId="77777777" w:rsidR="00EB6D9A" w:rsidRPr="00230BC2" w:rsidRDefault="00EB6D9A" w:rsidP="007B1EE1">
      <w:pPr>
        <w:pStyle w:val="Para1"/>
        <w:keepNext/>
      </w:pPr>
      <w:r w:rsidRPr="00230BC2">
        <w:t xml:space="preserve">Subsequently, the Chair reported the results as follows: </w:t>
      </w:r>
    </w:p>
    <w:p w14:paraId="539BA103" w14:textId="3C6A1C7F" w:rsidR="00EB6D9A" w:rsidRPr="00230BC2" w:rsidRDefault="00EB6D9A" w:rsidP="00F67ABC">
      <w:pPr>
        <w:pStyle w:val="Normalnumber"/>
        <w:numPr>
          <w:ilvl w:val="0"/>
          <w:numId w:val="0"/>
        </w:numPr>
        <w:tabs>
          <w:tab w:val="clear" w:pos="1843"/>
          <w:tab w:val="left" w:pos="1620"/>
          <w:tab w:val="right" w:pos="6480"/>
        </w:tabs>
        <w:spacing w:after="40"/>
        <w:ind w:left="720"/>
        <w:rPr>
          <w:sz w:val="22"/>
          <w:szCs w:val="22"/>
        </w:rPr>
      </w:pPr>
      <w:r w:rsidRPr="00230BC2">
        <w:rPr>
          <w:sz w:val="22"/>
          <w:szCs w:val="22"/>
        </w:rPr>
        <w:t xml:space="preserve">Number of ballot papers: </w:t>
      </w:r>
      <w:r w:rsidRPr="00230BC2">
        <w:rPr>
          <w:sz w:val="22"/>
          <w:szCs w:val="22"/>
        </w:rPr>
        <w:tab/>
        <w:t>130</w:t>
      </w:r>
    </w:p>
    <w:p w14:paraId="147CDADE" w14:textId="4DD40B0E" w:rsidR="00EB6D9A" w:rsidRPr="00230BC2" w:rsidRDefault="00EB6D9A" w:rsidP="00F67ABC">
      <w:pPr>
        <w:pStyle w:val="Normalnumber"/>
        <w:numPr>
          <w:ilvl w:val="0"/>
          <w:numId w:val="0"/>
        </w:numPr>
        <w:tabs>
          <w:tab w:val="clear" w:pos="1843"/>
          <w:tab w:val="left" w:pos="1620"/>
          <w:tab w:val="right" w:pos="6480"/>
        </w:tabs>
        <w:spacing w:after="40"/>
        <w:ind w:left="720"/>
        <w:rPr>
          <w:sz w:val="22"/>
          <w:szCs w:val="22"/>
        </w:rPr>
      </w:pPr>
      <w:r w:rsidRPr="00230BC2">
        <w:rPr>
          <w:sz w:val="22"/>
          <w:szCs w:val="22"/>
        </w:rPr>
        <w:t xml:space="preserve">Invalid ballots: </w:t>
      </w:r>
      <w:r w:rsidRPr="00230BC2">
        <w:rPr>
          <w:sz w:val="22"/>
          <w:szCs w:val="22"/>
        </w:rPr>
        <w:tab/>
      </w:r>
      <w:r w:rsidR="00066AB6" w:rsidRPr="00230BC2">
        <w:rPr>
          <w:sz w:val="22"/>
          <w:szCs w:val="22"/>
        </w:rPr>
        <w:t>1</w:t>
      </w:r>
    </w:p>
    <w:p w14:paraId="14E523E8" w14:textId="5AB8E689" w:rsidR="00EB6D9A" w:rsidRPr="00230BC2" w:rsidRDefault="00EB6D9A" w:rsidP="00F67ABC">
      <w:pPr>
        <w:pStyle w:val="Normalnumber"/>
        <w:numPr>
          <w:ilvl w:val="0"/>
          <w:numId w:val="0"/>
        </w:numPr>
        <w:tabs>
          <w:tab w:val="clear" w:pos="1843"/>
          <w:tab w:val="left" w:pos="1620"/>
          <w:tab w:val="right" w:pos="6480"/>
        </w:tabs>
        <w:spacing w:after="40"/>
        <w:ind w:left="720"/>
        <w:rPr>
          <w:sz w:val="22"/>
          <w:szCs w:val="22"/>
        </w:rPr>
      </w:pPr>
      <w:r w:rsidRPr="00230BC2">
        <w:rPr>
          <w:sz w:val="22"/>
          <w:szCs w:val="22"/>
        </w:rPr>
        <w:t xml:space="preserve">Number of valid ballots: </w:t>
      </w:r>
      <w:r w:rsidRPr="00230BC2">
        <w:rPr>
          <w:sz w:val="22"/>
          <w:szCs w:val="22"/>
        </w:rPr>
        <w:tab/>
        <w:t>12</w:t>
      </w:r>
      <w:r w:rsidR="00066AB6" w:rsidRPr="00230BC2">
        <w:rPr>
          <w:sz w:val="22"/>
          <w:szCs w:val="22"/>
        </w:rPr>
        <w:t>9</w:t>
      </w:r>
    </w:p>
    <w:p w14:paraId="359F4A08" w14:textId="0270F66E" w:rsidR="00EB6D9A" w:rsidRPr="00230BC2" w:rsidRDefault="00EB6D9A" w:rsidP="00F67ABC">
      <w:pPr>
        <w:pStyle w:val="Normalnumber"/>
        <w:numPr>
          <w:ilvl w:val="0"/>
          <w:numId w:val="0"/>
        </w:numPr>
        <w:tabs>
          <w:tab w:val="clear" w:pos="1843"/>
          <w:tab w:val="left" w:pos="1620"/>
          <w:tab w:val="right" w:pos="6480"/>
        </w:tabs>
        <w:spacing w:after="40"/>
        <w:ind w:left="720"/>
        <w:rPr>
          <w:sz w:val="22"/>
          <w:szCs w:val="22"/>
        </w:rPr>
      </w:pPr>
      <w:r w:rsidRPr="00230BC2">
        <w:rPr>
          <w:sz w:val="22"/>
          <w:szCs w:val="22"/>
        </w:rPr>
        <w:t xml:space="preserve">Abstentions: </w:t>
      </w:r>
      <w:r w:rsidRPr="00230BC2">
        <w:rPr>
          <w:sz w:val="22"/>
          <w:szCs w:val="22"/>
        </w:rPr>
        <w:tab/>
        <w:t>1</w:t>
      </w:r>
      <w:r w:rsidR="00066AB6" w:rsidRPr="00230BC2">
        <w:rPr>
          <w:sz w:val="22"/>
          <w:szCs w:val="22"/>
        </w:rPr>
        <w:t>1</w:t>
      </w:r>
    </w:p>
    <w:p w14:paraId="3AE7EB13" w14:textId="60C03FC0" w:rsidR="00EB6D9A" w:rsidRPr="00230BC2" w:rsidRDefault="00EB6D9A" w:rsidP="00F67ABC">
      <w:pPr>
        <w:pStyle w:val="Normalnumber"/>
        <w:numPr>
          <w:ilvl w:val="0"/>
          <w:numId w:val="0"/>
        </w:numPr>
        <w:tabs>
          <w:tab w:val="clear" w:pos="1843"/>
          <w:tab w:val="left" w:pos="1620"/>
          <w:tab w:val="right" w:pos="6480"/>
        </w:tabs>
        <w:spacing w:after="40"/>
        <w:ind w:left="720"/>
        <w:rPr>
          <w:sz w:val="22"/>
          <w:szCs w:val="22"/>
        </w:rPr>
      </w:pPr>
      <w:r w:rsidRPr="00230BC2">
        <w:rPr>
          <w:sz w:val="22"/>
          <w:szCs w:val="22"/>
        </w:rPr>
        <w:t xml:space="preserve">Number of </w:t>
      </w:r>
      <w:r w:rsidR="003B37F6" w:rsidRPr="00230BC2">
        <w:rPr>
          <w:sz w:val="22"/>
          <w:szCs w:val="22"/>
        </w:rPr>
        <w:t xml:space="preserve">Parties present and </w:t>
      </w:r>
      <w:r w:rsidRPr="00230BC2">
        <w:rPr>
          <w:sz w:val="22"/>
          <w:szCs w:val="22"/>
        </w:rPr>
        <w:t xml:space="preserve">voting: </w:t>
      </w:r>
      <w:r w:rsidRPr="00230BC2">
        <w:rPr>
          <w:sz w:val="22"/>
          <w:szCs w:val="22"/>
        </w:rPr>
        <w:tab/>
        <w:t>11</w:t>
      </w:r>
      <w:r w:rsidR="00066AB6" w:rsidRPr="00230BC2">
        <w:rPr>
          <w:sz w:val="22"/>
          <w:szCs w:val="22"/>
        </w:rPr>
        <w:t>8</w:t>
      </w:r>
      <w:r w:rsidRPr="00230BC2">
        <w:rPr>
          <w:sz w:val="22"/>
          <w:szCs w:val="22"/>
        </w:rPr>
        <w:t xml:space="preserve"> </w:t>
      </w:r>
    </w:p>
    <w:p w14:paraId="6E320D65" w14:textId="25D27E6A" w:rsidR="00EB6D9A" w:rsidRPr="00230BC2" w:rsidRDefault="00EB6D9A" w:rsidP="00F67ABC">
      <w:pPr>
        <w:pStyle w:val="Normalnumber"/>
        <w:numPr>
          <w:ilvl w:val="0"/>
          <w:numId w:val="0"/>
        </w:numPr>
        <w:tabs>
          <w:tab w:val="clear" w:pos="1843"/>
          <w:tab w:val="left" w:pos="1620"/>
          <w:tab w:val="right" w:pos="6480"/>
        </w:tabs>
        <w:spacing w:after="40"/>
        <w:ind w:left="720"/>
        <w:rPr>
          <w:sz w:val="22"/>
          <w:szCs w:val="22"/>
        </w:rPr>
      </w:pPr>
      <w:r w:rsidRPr="00230BC2">
        <w:rPr>
          <w:sz w:val="22"/>
          <w:szCs w:val="22"/>
        </w:rPr>
        <w:t xml:space="preserve">Required majority: </w:t>
      </w:r>
      <w:r w:rsidRPr="00230BC2">
        <w:rPr>
          <w:sz w:val="22"/>
          <w:szCs w:val="22"/>
        </w:rPr>
        <w:tab/>
      </w:r>
      <w:r w:rsidR="00066AB6" w:rsidRPr="00230BC2">
        <w:rPr>
          <w:sz w:val="22"/>
          <w:szCs w:val="22"/>
        </w:rPr>
        <w:t>60</w:t>
      </w:r>
    </w:p>
    <w:p w14:paraId="1138BF33" w14:textId="1748631B" w:rsidR="00EB6D9A" w:rsidRPr="00230BC2" w:rsidRDefault="00EB6D9A" w:rsidP="00F67ABC">
      <w:pPr>
        <w:pStyle w:val="Normalnumber"/>
        <w:numPr>
          <w:ilvl w:val="0"/>
          <w:numId w:val="0"/>
        </w:numPr>
        <w:tabs>
          <w:tab w:val="clear" w:pos="1843"/>
          <w:tab w:val="left" w:pos="1620"/>
          <w:tab w:val="right" w:pos="6480"/>
        </w:tabs>
        <w:spacing w:after="40"/>
        <w:ind w:left="720"/>
        <w:rPr>
          <w:sz w:val="22"/>
          <w:szCs w:val="22"/>
        </w:rPr>
      </w:pPr>
      <w:r w:rsidRPr="00230BC2">
        <w:rPr>
          <w:sz w:val="22"/>
          <w:szCs w:val="22"/>
        </w:rPr>
        <w:t xml:space="preserve">Number of votes obtained: </w:t>
      </w:r>
    </w:p>
    <w:p w14:paraId="490BC365" w14:textId="02B31D5A" w:rsidR="00EB6D9A" w:rsidRPr="00230BC2" w:rsidRDefault="00EB6D9A" w:rsidP="00F67ABC">
      <w:pPr>
        <w:pStyle w:val="Normalnumber"/>
        <w:numPr>
          <w:ilvl w:val="0"/>
          <w:numId w:val="0"/>
        </w:numPr>
        <w:tabs>
          <w:tab w:val="clear" w:pos="1843"/>
          <w:tab w:val="left" w:pos="1620"/>
          <w:tab w:val="left" w:pos="1890"/>
          <w:tab w:val="right" w:pos="6480"/>
        </w:tabs>
        <w:spacing w:after="40"/>
        <w:ind w:left="720"/>
        <w:rPr>
          <w:sz w:val="22"/>
          <w:szCs w:val="22"/>
        </w:rPr>
      </w:pPr>
      <w:r w:rsidRPr="00230BC2">
        <w:rPr>
          <w:sz w:val="22"/>
          <w:szCs w:val="22"/>
        </w:rPr>
        <w:tab/>
      </w:r>
      <w:r w:rsidR="000C71AE" w:rsidRPr="00230BC2">
        <w:rPr>
          <w:sz w:val="22"/>
          <w:szCs w:val="22"/>
        </w:rPr>
        <w:t>Senka Barudanović (Bosnia and Herzegovina)</w:t>
      </w:r>
      <w:r w:rsidRPr="00230BC2">
        <w:rPr>
          <w:sz w:val="22"/>
          <w:szCs w:val="22"/>
        </w:rPr>
        <w:tab/>
      </w:r>
      <w:r w:rsidR="00066AB6" w:rsidRPr="00230BC2">
        <w:rPr>
          <w:sz w:val="22"/>
          <w:szCs w:val="22"/>
        </w:rPr>
        <w:t>69</w:t>
      </w:r>
      <w:r w:rsidRPr="00230BC2">
        <w:rPr>
          <w:sz w:val="22"/>
          <w:szCs w:val="22"/>
        </w:rPr>
        <w:t xml:space="preserve"> </w:t>
      </w:r>
    </w:p>
    <w:p w14:paraId="22A7716A" w14:textId="5299B77D" w:rsidR="00EB6D9A" w:rsidRPr="00230BC2" w:rsidRDefault="00EB6D9A" w:rsidP="00F67ABC">
      <w:pPr>
        <w:pStyle w:val="Normalnumber"/>
        <w:numPr>
          <w:ilvl w:val="0"/>
          <w:numId w:val="0"/>
        </w:numPr>
        <w:tabs>
          <w:tab w:val="clear" w:pos="1843"/>
          <w:tab w:val="left" w:pos="1620"/>
          <w:tab w:val="left" w:pos="1890"/>
          <w:tab w:val="right" w:pos="6480"/>
        </w:tabs>
        <w:ind w:left="720"/>
        <w:rPr>
          <w:sz w:val="22"/>
          <w:szCs w:val="22"/>
        </w:rPr>
      </w:pPr>
      <w:r w:rsidRPr="00230BC2">
        <w:rPr>
          <w:sz w:val="22"/>
          <w:szCs w:val="22"/>
        </w:rPr>
        <w:tab/>
      </w:r>
      <w:r w:rsidRPr="00230BC2">
        <w:rPr>
          <w:rFonts w:eastAsiaTheme="minorEastAsia"/>
          <w:bCs/>
          <w:sz w:val="22"/>
          <w:szCs w:val="22"/>
        </w:rPr>
        <w:t xml:space="preserve">Alexander Shestakov </w:t>
      </w:r>
      <w:r w:rsidRPr="00230BC2">
        <w:rPr>
          <w:sz w:val="22"/>
          <w:szCs w:val="22"/>
        </w:rPr>
        <w:t>(Russian Federation)</w:t>
      </w:r>
      <w:r w:rsidRPr="00230BC2">
        <w:rPr>
          <w:sz w:val="22"/>
          <w:szCs w:val="22"/>
        </w:rPr>
        <w:tab/>
      </w:r>
      <w:r w:rsidR="00066AB6" w:rsidRPr="00230BC2">
        <w:rPr>
          <w:sz w:val="22"/>
          <w:szCs w:val="22"/>
        </w:rPr>
        <w:t>49</w:t>
      </w:r>
    </w:p>
    <w:p w14:paraId="3638CD98" w14:textId="0A84A549" w:rsidR="001C4512" w:rsidRPr="00230BC2" w:rsidRDefault="000C71AE" w:rsidP="003466FC">
      <w:pPr>
        <w:pStyle w:val="Para1"/>
      </w:pPr>
      <w:r w:rsidRPr="00230BC2">
        <w:t xml:space="preserve">Having obtained the required majority, </w:t>
      </w:r>
      <w:r w:rsidR="00056C1F" w:rsidRPr="00230BC2">
        <w:t>Ms. </w:t>
      </w:r>
      <w:r w:rsidR="00EB6D9A" w:rsidRPr="00230BC2">
        <w:t xml:space="preserve">Barudanović </w:t>
      </w:r>
      <w:r w:rsidRPr="00230BC2">
        <w:t>was elected</w:t>
      </w:r>
      <w:r w:rsidR="00EB6D9A" w:rsidRPr="00230BC2">
        <w:t xml:space="preserve"> </w:t>
      </w:r>
      <w:r w:rsidR="001C4512" w:rsidRPr="00230BC2">
        <w:t xml:space="preserve">as Chair of the Subsidiary Body on Scientific, Technical and Technological Advice for a term of office </w:t>
      </w:r>
      <w:r w:rsidR="00EC5AEC" w:rsidRPr="00230BC2">
        <w:t>commencing at the end of the fifteenth meeting</w:t>
      </w:r>
      <w:r w:rsidR="001C4512" w:rsidRPr="00230BC2">
        <w:t xml:space="preserve"> </w:t>
      </w:r>
      <w:r w:rsidR="00EC5AEC" w:rsidRPr="00230BC2">
        <w:t xml:space="preserve">and ending at the close of </w:t>
      </w:r>
      <w:r w:rsidR="001C4512" w:rsidRPr="00230BC2">
        <w:t xml:space="preserve">the </w:t>
      </w:r>
      <w:r w:rsidR="00214A8C" w:rsidRPr="00230BC2">
        <w:t>six</w:t>
      </w:r>
      <w:r w:rsidR="001C4512" w:rsidRPr="00230BC2">
        <w:t>teenth meeting of the Conference of the Parties.</w:t>
      </w:r>
    </w:p>
    <w:p w14:paraId="38AD9226" w14:textId="53168F7E" w:rsidR="00352D5E" w:rsidRPr="00950BE4" w:rsidRDefault="00352D5E" w:rsidP="00950BE4">
      <w:pPr>
        <w:keepNext/>
        <w:suppressLineNumbers/>
        <w:tabs>
          <w:tab w:val="left" w:pos="709"/>
        </w:tabs>
        <w:suppressAutoHyphens/>
        <w:kinsoku w:val="0"/>
        <w:overflowPunct w:val="0"/>
        <w:autoSpaceDE w:val="0"/>
        <w:autoSpaceDN w:val="0"/>
        <w:adjustRightInd w:val="0"/>
        <w:snapToGrid w:val="0"/>
        <w:spacing w:before="240" w:after="120"/>
        <w:jc w:val="center"/>
        <w:rPr>
          <w:b/>
          <w:bCs/>
          <w:snapToGrid w:val="0"/>
          <w:kern w:val="22"/>
          <w:szCs w:val="22"/>
        </w:rPr>
      </w:pPr>
      <w:r w:rsidRPr="00950BE4">
        <w:rPr>
          <w:b/>
          <w:bCs/>
          <w:snapToGrid w:val="0"/>
          <w:kern w:val="22"/>
          <w:szCs w:val="22"/>
        </w:rPr>
        <w:t>B.</w:t>
      </w:r>
      <w:r w:rsidRPr="00950BE4">
        <w:rPr>
          <w:b/>
          <w:bCs/>
          <w:snapToGrid w:val="0"/>
          <w:kern w:val="22"/>
          <w:szCs w:val="22"/>
        </w:rPr>
        <w:tab/>
        <w:t>Adoption of the agenda</w:t>
      </w:r>
    </w:p>
    <w:p w14:paraId="7E16BB39" w14:textId="656B33A7" w:rsidR="0088174B" w:rsidRPr="00230BC2" w:rsidRDefault="00506808" w:rsidP="003466FC">
      <w:pPr>
        <w:pStyle w:val="Para1"/>
      </w:pPr>
      <w:bookmarkStart w:id="414" w:name="_Hlk121915147"/>
      <w:bookmarkEnd w:id="412"/>
      <w:r w:rsidRPr="00230BC2">
        <w:t>T</w:t>
      </w:r>
      <w:r w:rsidR="00D51666" w:rsidRPr="00230BC2">
        <w:t>he agenda</w:t>
      </w:r>
      <w:r w:rsidRPr="00230BC2">
        <w:t xml:space="preserve"> </w:t>
      </w:r>
      <w:r w:rsidR="009E60C7" w:rsidRPr="00230BC2">
        <w:t>for</w:t>
      </w:r>
      <w:r w:rsidRPr="00230BC2">
        <w:t xml:space="preserve"> the fifteenth meeting</w:t>
      </w:r>
      <w:r w:rsidR="009E60C7" w:rsidRPr="00230BC2">
        <w:t xml:space="preserve"> of the Conference of the Parties</w:t>
      </w:r>
      <w:r w:rsidRPr="00230BC2">
        <w:t xml:space="preserve">, as adopted during </w:t>
      </w:r>
      <w:r w:rsidR="00206628" w:rsidRPr="00230BC2">
        <w:t xml:space="preserve">the first </w:t>
      </w:r>
      <w:r w:rsidRPr="00230BC2">
        <w:t>part</w:t>
      </w:r>
      <w:r w:rsidR="009E60C7" w:rsidRPr="00230BC2">
        <w:t xml:space="preserve"> </w:t>
      </w:r>
      <w:r w:rsidRPr="00230BC2">
        <w:t>of the meeting, was as follows:</w:t>
      </w:r>
      <w:bookmarkEnd w:id="414"/>
    </w:p>
    <w:p w14:paraId="1436EA88" w14:textId="1B807168" w:rsidR="00651048" w:rsidRPr="00230BC2" w:rsidRDefault="00651048" w:rsidP="0058385D">
      <w:pPr>
        <w:spacing w:before="120" w:after="120"/>
        <w:ind w:left="1138" w:hanging="720"/>
        <w:jc w:val="left"/>
        <w:rPr>
          <w:b/>
          <w:bCs/>
        </w:rPr>
      </w:pPr>
      <w:r w:rsidRPr="00230BC2">
        <w:rPr>
          <w:b/>
          <w:bCs/>
        </w:rPr>
        <w:t>I.</w:t>
      </w:r>
      <w:r w:rsidRPr="00230BC2">
        <w:rPr>
          <w:b/>
          <w:bCs/>
        </w:rPr>
        <w:tab/>
        <w:t>Organization</w:t>
      </w:r>
      <w:r w:rsidR="00DE307C" w:rsidRPr="00230BC2">
        <w:rPr>
          <w:b/>
          <w:bCs/>
        </w:rPr>
        <w:t>al</w:t>
      </w:r>
      <w:r w:rsidRPr="00230BC2">
        <w:rPr>
          <w:b/>
          <w:bCs/>
        </w:rPr>
        <w:t xml:space="preserve"> matters</w:t>
      </w:r>
    </w:p>
    <w:p w14:paraId="5ADD9BEA" w14:textId="49065D52" w:rsidR="00D114F0" w:rsidRPr="00230BC2" w:rsidRDefault="00D114F0" w:rsidP="0020184E">
      <w:pPr>
        <w:spacing w:before="120" w:after="120"/>
        <w:ind w:left="1138" w:hanging="720"/>
        <w:rPr>
          <w:szCs w:val="22"/>
        </w:rPr>
      </w:pPr>
      <w:r w:rsidRPr="00230BC2">
        <w:rPr>
          <w:szCs w:val="22"/>
        </w:rPr>
        <w:t>1.</w:t>
      </w:r>
      <w:r w:rsidRPr="00230BC2">
        <w:rPr>
          <w:szCs w:val="22"/>
        </w:rPr>
        <w:tab/>
        <w:t>Opening of the meeting</w:t>
      </w:r>
    </w:p>
    <w:p w14:paraId="0BB35058" w14:textId="5E9D7D52" w:rsidR="0046688D" w:rsidRPr="00230BC2" w:rsidRDefault="0046688D" w:rsidP="00D114F0">
      <w:pPr>
        <w:spacing w:before="120" w:after="120"/>
        <w:ind w:left="1134" w:hanging="720"/>
        <w:rPr>
          <w:szCs w:val="22"/>
        </w:rPr>
      </w:pPr>
      <w:r w:rsidRPr="00230BC2">
        <w:rPr>
          <w:szCs w:val="22"/>
        </w:rPr>
        <w:t>2.</w:t>
      </w:r>
      <w:r w:rsidRPr="00230BC2">
        <w:rPr>
          <w:szCs w:val="22"/>
        </w:rPr>
        <w:tab/>
        <w:t>Organizational matters.</w:t>
      </w:r>
    </w:p>
    <w:p w14:paraId="791DF6D0" w14:textId="77777777" w:rsidR="0046688D" w:rsidRPr="00230BC2" w:rsidRDefault="0046688D" w:rsidP="00D114F0">
      <w:pPr>
        <w:spacing w:before="120" w:after="120"/>
        <w:ind w:left="1134" w:hanging="720"/>
        <w:rPr>
          <w:szCs w:val="22"/>
        </w:rPr>
      </w:pPr>
      <w:r w:rsidRPr="00230BC2">
        <w:rPr>
          <w:szCs w:val="22"/>
        </w:rPr>
        <w:t>3.</w:t>
      </w:r>
      <w:r w:rsidRPr="00230BC2">
        <w:rPr>
          <w:szCs w:val="22"/>
        </w:rPr>
        <w:tab/>
        <w:t>Report on the credentials of representatives to the fifteenth meeting of the Conference of the Parties.</w:t>
      </w:r>
    </w:p>
    <w:p w14:paraId="0D928845" w14:textId="77777777" w:rsidR="0046688D" w:rsidRPr="00230BC2" w:rsidRDefault="0046688D" w:rsidP="00D114F0">
      <w:pPr>
        <w:spacing w:before="120" w:after="120"/>
        <w:ind w:left="1134" w:hanging="720"/>
        <w:rPr>
          <w:szCs w:val="22"/>
        </w:rPr>
      </w:pPr>
      <w:r w:rsidRPr="00230BC2">
        <w:rPr>
          <w:szCs w:val="22"/>
        </w:rPr>
        <w:t>4.</w:t>
      </w:r>
      <w:r w:rsidRPr="00230BC2">
        <w:rPr>
          <w:szCs w:val="22"/>
        </w:rPr>
        <w:tab/>
        <w:t>Pending issues.</w:t>
      </w:r>
    </w:p>
    <w:p w14:paraId="49827889" w14:textId="77777777" w:rsidR="0046688D" w:rsidRPr="00230BC2" w:rsidRDefault="0046688D" w:rsidP="00D114F0">
      <w:pPr>
        <w:spacing w:before="120" w:after="120"/>
        <w:ind w:left="1134" w:hanging="720"/>
        <w:rPr>
          <w:szCs w:val="22"/>
        </w:rPr>
      </w:pPr>
      <w:r w:rsidRPr="00230BC2">
        <w:rPr>
          <w:szCs w:val="22"/>
        </w:rPr>
        <w:t>5.</w:t>
      </w:r>
      <w:r w:rsidRPr="00230BC2">
        <w:rPr>
          <w:szCs w:val="22"/>
        </w:rPr>
        <w:tab/>
        <w:t>Date and venue of future meetings of the Conference of the Parties.</w:t>
      </w:r>
    </w:p>
    <w:p w14:paraId="2B72DF09" w14:textId="774674B3" w:rsidR="00694BA0" w:rsidRPr="00230BC2" w:rsidRDefault="00694BA0" w:rsidP="0058385D">
      <w:pPr>
        <w:spacing w:before="120" w:after="120"/>
        <w:ind w:left="1134" w:hanging="720"/>
        <w:jc w:val="left"/>
        <w:rPr>
          <w:b/>
          <w:bCs/>
          <w:szCs w:val="22"/>
        </w:rPr>
      </w:pPr>
      <w:r w:rsidRPr="00230BC2">
        <w:rPr>
          <w:b/>
          <w:bCs/>
          <w:szCs w:val="22"/>
        </w:rPr>
        <w:t>II</w:t>
      </w:r>
      <w:r w:rsidRPr="00230BC2">
        <w:rPr>
          <w:b/>
          <w:bCs/>
          <w:szCs w:val="22"/>
        </w:rPr>
        <w:tab/>
        <w:t>Reports</w:t>
      </w:r>
    </w:p>
    <w:p w14:paraId="7E873243" w14:textId="74D506CD" w:rsidR="0046688D" w:rsidRPr="00230BC2" w:rsidRDefault="0046688D" w:rsidP="00D114F0">
      <w:pPr>
        <w:spacing w:before="120" w:after="120"/>
        <w:ind w:left="1134" w:hanging="720"/>
        <w:rPr>
          <w:szCs w:val="22"/>
        </w:rPr>
      </w:pPr>
      <w:r w:rsidRPr="00230BC2">
        <w:rPr>
          <w:szCs w:val="22"/>
        </w:rPr>
        <w:t>6.</w:t>
      </w:r>
      <w:r w:rsidRPr="00230BC2">
        <w:rPr>
          <w:szCs w:val="22"/>
        </w:rPr>
        <w:tab/>
        <w:t>Reports of intersessional and regional preparatory meetings.</w:t>
      </w:r>
    </w:p>
    <w:p w14:paraId="30F705C6" w14:textId="098CE8E6" w:rsidR="00FB7299" w:rsidRPr="00230BC2" w:rsidRDefault="00FB7299" w:rsidP="0058385D">
      <w:pPr>
        <w:spacing w:before="120" w:after="120"/>
        <w:ind w:left="1134" w:hanging="720"/>
        <w:jc w:val="left"/>
        <w:rPr>
          <w:b/>
          <w:bCs/>
          <w:szCs w:val="22"/>
        </w:rPr>
      </w:pPr>
      <w:r w:rsidRPr="00230BC2">
        <w:rPr>
          <w:b/>
          <w:bCs/>
          <w:szCs w:val="22"/>
        </w:rPr>
        <w:t>III.</w:t>
      </w:r>
      <w:r w:rsidRPr="00230BC2">
        <w:rPr>
          <w:b/>
          <w:bCs/>
          <w:szCs w:val="22"/>
        </w:rPr>
        <w:tab/>
        <w:t>Administration and budget</w:t>
      </w:r>
    </w:p>
    <w:p w14:paraId="510D0CB2" w14:textId="4EFBE7C3" w:rsidR="0046688D" w:rsidRPr="00230BC2" w:rsidRDefault="0046688D" w:rsidP="00D114F0">
      <w:pPr>
        <w:spacing w:before="120" w:after="120"/>
        <w:ind w:left="1134" w:hanging="720"/>
        <w:rPr>
          <w:szCs w:val="22"/>
        </w:rPr>
      </w:pPr>
      <w:r w:rsidRPr="00230BC2">
        <w:rPr>
          <w:szCs w:val="22"/>
        </w:rPr>
        <w:t>7.</w:t>
      </w:r>
      <w:r w:rsidRPr="00230BC2">
        <w:rPr>
          <w:szCs w:val="22"/>
        </w:rPr>
        <w:tab/>
        <w:t xml:space="preserve">Administration of the Convention and budget for the trust funds. </w:t>
      </w:r>
    </w:p>
    <w:p w14:paraId="5398CA02" w14:textId="650CE562" w:rsidR="00694BA0" w:rsidRPr="00230BC2" w:rsidRDefault="00694BA0" w:rsidP="0058385D">
      <w:pPr>
        <w:spacing w:before="120" w:after="120"/>
        <w:ind w:left="1134" w:hanging="720"/>
        <w:jc w:val="left"/>
        <w:rPr>
          <w:b/>
          <w:bCs/>
          <w:szCs w:val="22"/>
        </w:rPr>
      </w:pPr>
      <w:r w:rsidRPr="00230BC2">
        <w:rPr>
          <w:b/>
          <w:bCs/>
          <w:szCs w:val="22"/>
        </w:rPr>
        <w:t>I</w:t>
      </w:r>
      <w:r w:rsidR="00FB7299" w:rsidRPr="00230BC2">
        <w:rPr>
          <w:b/>
          <w:bCs/>
          <w:szCs w:val="22"/>
        </w:rPr>
        <w:t>V</w:t>
      </w:r>
      <w:r w:rsidRPr="00230BC2">
        <w:rPr>
          <w:b/>
          <w:bCs/>
          <w:szCs w:val="22"/>
        </w:rPr>
        <w:t>.</w:t>
      </w:r>
      <w:r w:rsidRPr="00230BC2">
        <w:rPr>
          <w:b/>
          <w:bCs/>
          <w:szCs w:val="22"/>
        </w:rPr>
        <w:tab/>
      </w:r>
      <w:r w:rsidR="00FB7299" w:rsidRPr="00230BC2">
        <w:rPr>
          <w:b/>
          <w:bCs/>
          <w:szCs w:val="22"/>
        </w:rPr>
        <w:t>Review of implementation</w:t>
      </w:r>
    </w:p>
    <w:p w14:paraId="1354342E" w14:textId="22B92B7B" w:rsidR="0046688D" w:rsidRPr="00230BC2" w:rsidRDefault="0046688D" w:rsidP="00D114F0">
      <w:pPr>
        <w:spacing w:before="120" w:after="120"/>
        <w:ind w:left="1134" w:hanging="720"/>
        <w:rPr>
          <w:szCs w:val="22"/>
        </w:rPr>
      </w:pPr>
      <w:r w:rsidRPr="00230BC2">
        <w:rPr>
          <w:szCs w:val="22"/>
        </w:rPr>
        <w:t>8.</w:t>
      </w:r>
      <w:r w:rsidRPr="00230BC2">
        <w:rPr>
          <w:szCs w:val="22"/>
        </w:rPr>
        <w:tab/>
        <w:t>Review of progress in the implementation of the Convention and the Strategic Plan for Biodiversity 2011</w:t>
      </w:r>
      <w:r w:rsidR="004A5B00" w:rsidRPr="00230BC2">
        <w:rPr>
          <w:szCs w:val="22"/>
        </w:rPr>
        <w:t>–</w:t>
      </w:r>
      <w:r w:rsidRPr="00230BC2">
        <w:rPr>
          <w:szCs w:val="22"/>
        </w:rPr>
        <w:t>2020 and the achievement of the Aichi Biodiversity Targets.</w:t>
      </w:r>
    </w:p>
    <w:p w14:paraId="5253AA59" w14:textId="67E14240" w:rsidR="00FB7299" w:rsidRPr="00230BC2" w:rsidRDefault="00FB7299" w:rsidP="0058385D">
      <w:pPr>
        <w:spacing w:before="120" w:after="120"/>
        <w:ind w:left="1134" w:hanging="720"/>
        <w:jc w:val="left"/>
        <w:rPr>
          <w:b/>
          <w:bCs/>
          <w:szCs w:val="22"/>
        </w:rPr>
      </w:pPr>
      <w:r w:rsidRPr="00230BC2">
        <w:rPr>
          <w:b/>
          <w:bCs/>
          <w:szCs w:val="22"/>
        </w:rPr>
        <w:t>V.</w:t>
      </w:r>
      <w:r w:rsidRPr="00230BC2">
        <w:rPr>
          <w:b/>
          <w:bCs/>
          <w:szCs w:val="22"/>
        </w:rPr>
        <w:tab/>
        <w:t xml:space="preserve">The post-2020 </w:t>
      </w:r>
      <w:r w:rsidR="00D453B6" w:rsidRPr="00230BC2">
        <w:rPr>
          <w:b/>
          <w:bCs/>
          <w:szCs w:val="22"/>
        </w:rPr>
        <w:t>g</w:t>
      </w:r>
      <w:r w:rsidRPr="00230BC2">
        <w:rPr>
          <w:b/>
          <w:bCs/>
          <w:szCs w:val="22"/>
        </w:rPr>
        <w:t xml:space="preserve">lobal </w:t>
      </w:r>
      <w:r w:rsidR="00D453B6" w:rsidRPr="00230BC2">
        <w:rPr>
          <w:b/>
          <w:bCs/>
          <w:szCs w:val="22"/>
        </w:rPr>
        <w:t>b</w:t>
      </w:r>
      <w:r w:rsidRPr="00230BC2">
        <w:rPr>
          <w:b/>
          <w:bCs/>
          <w:szCs w:val="22"/>
        </w:rPr>
        <w:t xml:space="preserve">iodiversity </w:t>
      </w:r>
      <w:r w:rsidR="00D453B6" w:rsidRPr="00230BC2">
        <w:rPr>
          <w:b/>
          <w:bCs/>
          <w:szCs w:val="22"/>
        </w:rPr>
        <w:t>f</w:t>
      </w:r>
      <w:r w:rsidRPr="00230BC2">
        <w:rPr>
          <w:b/>
          <w:bCs/>
          <w:szCs w:val="22"/>
        </w:rPr>
        <w:t>ramework, related matters and mechanisms for enhancing implementation</w:t>
      </w:r>
    </w:p>
    <w:p w14:paraId="7E17C589" w14:textId="768B1FE6" w:rsidR="0046688D" w:rsidRPr="00230BC2" w:rsidRDefault="0046688D" w:rsidP="00D114F0">
      <w:pPr>
        <w:spacing w:before="120" w:after="120"/>
        <w:ind w:left="1134" w:hanging="720"/>
        <w:rPr>
          <w:szCs w:val="22"/>
        </w:rPr>
      </w:pPr>
      <w:r w:rsidRPr="00230BC2">
        <w:rPr>
          <w:szCs w:val="22"/>
        </w:rPr>
        <w:t>9.</w:t>
      </w:r>
      <w:r w:rsidRPr="00230BC2">
        <w:rPr>
          <w:szCs w:val="22"/>
        </w:rPr>
        <w:tab/>
        <w:t>The post-2020 global biodiversity framework.</w:t>
      </w:r>
    </w:p>
    <w:p w14:paraId="71021A78" w14:textId="77777777" w:rsidR="0046688D" w:rsidRPr="00230BC2" w:rsidRDefault="0046688D" w:rsidP="00D114F0">
      <w:pPr>
        <w:spacing w:before="120" w:after="120"/>
        <w:ind w:left="1134" w:hanging="720"/>
        <w:rPr>
          <w:szCs w:val="22"/>
        </w:rPr>
      </w:pPr>
      <w:r w:rsidRPr="00230BC2">
        <w:rPr>
          <w:szCs w:val="22"/>
        </w:rPr>
        <w:t>10.</w:t>
      </w:r>
      <w:r w:rsidRPr="00230BC2">
        <w:rPr>
          <w:szCs w:val="22"/>
        </w:rPr>
        <w:tab/>
        <w:t>Enhancing integration with respect to provisions related to Article 8(j) and related provisions.</w:t>
      </w:r>
    </w:p>
    <w:p w14:paraId="78BE579D" w14:textId="77777777" w:rsidR="0046688D" w:rsidRPr="00230BC2" w:rsidRDefault="0046688D" w:rsidP="00D114F0">
      <w:pPr>
        <w:spacing w:before="120" w:after="120"/>
        <w:ind w:left="1134" w:hanging="720"/>
        <w:rPr>
          <w:szCs w:val="22"/>
        </w:rPr>
      </w:pPr>
      <w:r w:rsidRPr="00230BC2">
        <w:rPr>
          <w:szCs w:val="22"/>
        </w:rPr>
        <w:t>11.</w:t>
      </w:r>
      <w:r w:rsidRPr="00230BC2">
        <w:rPr>
          <w:szCs w:val="22"/>
        </w:rPr>
        <w:tab/>
        <w:t>Digital sequence information on genetic resources.</w:t>
      </w:r>
    </w:p>
    <w:p w14:paraId="39342323" w14:textId="77777777" w:rsidR="0046688D" w:rsidRPr="00230BC2" w:rsidRDefault="0046688D" w:rsidP="00D114F0">
      <w:pPr>
        <w:spacing w:before="120" w:after="120"/>
        <w:ind w:left="1134" w:hanging="720"/>
        <w:rPr>
          <w:szCs w:val="22"/>
        </w:rPr>
      </w:pPr>
      <w:r w:rsidRPr="00230BC2">
        <w:rPr>
          <w:szCs w:val="22"/>
        </w:rPr>
        <w:t>12.</w:t>
      </w:r>
      <w:r w:rsidRPr="00230BC2">
        <w:rPr>
          <w:szCs w:val="22"/>
        </w:rPr>
        <w:tab/>
        <w:t>Resource mobilization and the financial mechanism.</w:t>
      </w:r>
    </w:p>
    <w:p w14:paraId="2034CE5B" w14:textId="77777777" w:rsidR="0046688D" w:rsidRPr="00230BC2" w:rsidRDefault="0046688D" w:rsidP="00D114F0">
      <w:pPr>
        <w:spacing w:before="120" w:after="120"/>
        <w:ind w:left="1134" w:hanging="720"/>
        <w:rPr>
          <w:szCs w:val="22"/>
        </w:rPr>
      </w:pPr>
      <w:r w:rsidRPr="00230BC2">
        <w:rPr>
          <w:szCs w:val="22"/>
        </w:rPr>
        <w:t>13.</w:t>
      </w:r>
      <w:r w:rsidRPr="00230BC2">
        <w:rPr>
          <w:szCs w:val="22"/>
        </w:rPr>
        <w:tab/>
        <w:t>Capacity-building, technical and scientific cooperation, knowledge management and communication.</w:t>
      </w:r>
    </w:p>
    <w:p w14:paraId="24DD4E54" w14:textId="77777777" w:rsidR="0046688D" w:rsidRPr="00230BC2" w:rsidRDefault="0046688D" w:rsidP="00D114F0">
      <w:pPr>
        <w:spacing w:before="120" w:after="120"/>
        <w:ind w:left="1134" w:hanging="720"/>
        <w:rPr>
          <w:szCs w:val="22"/>
        </w:rPr>
      </w:pPr>
      <w:r w:rsidRPr="00230BC2">
        <w:rPr>
          <w:szCs w:val="22"/>
        </w:rPr>
        <w:t>14.</w:t>
      </w:r>
      <w:r w:rsidRPr="00230BC2">
        <w:rPr>
          <w:szCs w:val="22"/>
        </w:rPr>
        <w:tab/>
        <w:t>Mechanisms for planning, monitoring, reporting and review.</w:t>
      </w:r>
    </w:p>
    <w:p w14:paraId="5912BB1D" w14:textId="77777777" w:rsidR="0046688D" w:rsidRPr="00230BC2" w:rsidRDefault="0046688D" w:rsidP="00D114F0">
      <w:pPr>
        <w:spacing w:before="120" w:after="120"/>
        <w:ind w:left="1134" w:hanging="720"/>
        <w:rPr>
          <w:kern w:val="22"/>
          <w:szCs w:val="22"/>
          <w:lang w:eastAsia="ko-KR"/>
        </w:rPr>
      </w:pPr>
      <w:r w:rsidRPr="00230BC2">
        <w:rPr>
          <w:szCs w:val="22"/>
        </w:rPr>
        <w:t>15.</w:t>
      </w:r>
      <w:r w:rsidRPr="00230BC2">
        <w:rPr>
          <w:szCs w:val="22"/>
        </w:rPr>
        <w:tab/>
      </w:r>
      <w:r w:rsidRPr="00230BC2">
        <w:rPr>
          <w:kern w:val="22"/>
          <w:szCs w:val="22"/>
          <w:lang w:eastAsia="ko-KR"/>
        </w:rPr>
        <w:t>Cooperation with other conventions and international organizations.</w:t>
      </w:r>
    </w:p>
    <w:p w14:paraId="3EA13621" w14:textId="77777777" w:rsidR="0046688D" w:rsidRPr="00230BC2" w:rsidRDefault="0046688D" w:rsidP="00D114F0">
      <w:pPr>
        <w:spacing w:before="120" w:after="120"/>
        <w:ind w:left="1134" w:hanging="720"/>
        <w:rPr>
          <w:kern w:val="22"/>
          <w:szCs w:val="22"/>
          <w:lang w:eastAsia="ko-KR"/>
        </w:rPr>
      </w:pPr>
      <w:r w:rsidRPr="00230BC2">
        <w:rPr>
          <w:kern w:val="22"/>
          <w:szCs w:val="22"/>
          <w:lang w:eastAsia="ko-KR"/>
        </w:rPr>
        <w:t>16.</w:t>
      </w:r>
      <w:r w:rsidRPr="00230BC2">
        <w:rPr>
          <w:kern w:val="22"/>
          <w:szCs w:val="22"/>
          <w:lang w:eastAsia="ko-KR"/>
        </w:rPr>
        <w:tab/>
      </w:r>
      <w:r w:rsidRPr="00230BC2">
        <w:rPr>
          <w:szCs w:val="22"/>
        </w:rPr>
        <w:t>Mainstreaming of biodiversity within and across sectors.</w:t>
      </w:r>
    </w:p>
    <w:p w14:paraId="49A66DB9" w14:textId="77777777" w:rsidR="0046688D" w:rsidRPr="00230BC2" w:rsidRDefault="0046688D" w:rsidP="00D114F0">
      <w:pPr>
        <w:spacing w:before="120" w:after="120"/>
        <w:ind w:left="1134" w:hanging="720"/>
        <w:rPr>
          <w:szCs w:val="22"/>
        </w:rPr>
      </w:pPr>
      <w:r w:rsidRPr="00230BC2">
        <w:rPr>
          <w:szCs w:val="22"/>
        </w:rPr>
        <w:t>17.</w:t>
      </w:r>
      <w:r w:rsidRPr="00230BC2">
        <w:rPr>
          <w:szCs w:val="22"/>
        </w:rPr>
        <w:tab/>
        <w:t>Review of the effectiveness of processes under the Convention and its Protocols.</w:t>
      </w:r>
    </w:p>
    <w:p w14:paraId="10CC34F7" w14:textId="77777777" w:rsidR="0046688D" w:rsidRPr="00230BC2" w:rsidRDefault="0046688D" w:rsidP="00D114F0">
      <w:pPr>
        <w:spacing w:before="120" w:after="120"/>
        <w:ind w:left="1134" w:hanging="720"/>
        <w:rPr>
          <w:szCs w:val="22"/>
        </w:rPr>
      </w:pPr>
      <w:r w:rsidRPr="00230BC2">
        <w:rPr>
          <w:szCs w:val="22"/>
        </w:rPr>
        <w:t>18.</w:t>
      </w:r>
      <w:r w:rsidRPr="00230BC2">
        <w:rPr>
          <w:szCs w:val="22"/>
        </w:rPr>
        <w:tab/>
        <w:t>Multi-year programme of work of the Conference of the Parties.</w:t>
      </w:r>
    </w:p>
    <w:p w14:paraId="38CDEB4C" w14:textId="5D81DEBB" w:rsidR="00DE307C" w:rsidRPr="00230BC2" w:rsidRDefault="00DE307C" w:rsidP="0058385D">
      <w:pPr>
        <w:spacing w:before="120" w:after="120"/>
        <w:ind w:left="1134" w:hanging="720"/>
        <w:jc w:val="left"/>
        <w:rPr>
          <w:b/>
          <w:bCs/>
          <w:szCs w:val="22"/>
        </w:rPr>
      </w:pPr>
      <w:r w:rsidRPr="00230BC2">
        <w:rPr>
          <w:b/>
          <w:bCs/>
          <w:szCs w:val="22"/>
        </w:rPr>
        <w:t>VI.</w:t>
      </w:r>
      <w:r w:rsidRPr="00230BC2">
        <w:rPr>
          <w:b/>
          <w:bCs/>
          <w:szCs w:val="22"/>
        </w:rPr>
        <w:tab/>
        <w:t>F</w:t>
      </w:r>
      <w:r w:rsidRPr="00230BC2">
        <w:rPr>
          <w:b/>
          <w:bCs/>
        </w:rPr>
        <w:t>urther technical issues</w:t>
      </w:r>
    </w:p>
    <w:p w14:paraId="1E573749" w14:textId="54B82E1D" w:rsidR="0046688D" w:rsidRPr="00230BC2" w:rsidRDefault="0046688D" w:rsidP="00D114F0">
      <w:pPr>
        <w:spacing w:before="120" w:after="120"/>
        <w:ind w:left="1134" w:hanging="720"/>
        <w:rPr>
          <w:szCs w:val="22"/>
        </w:rPr>
      </w:pPr>
      <w:r w:rsidRPr="00230BC2">
        <w:rPr>
          <w:szCs w:val="22"/>
        </w:rPr>
        <w:t>19.</w:t>
      </w:r>
      <w:r w:rsidRPr="00230BC2">
        <w:rPr>
          <w:szCs w:val="22"/>
        </w:rPr>
        <w:tab/>
        <w:t>Protected areas and other effective area-based conservation measures.</w:t>
      </w:r>
    </w:p>
    <w:p w14:paraId="12F0BFF7" w14:textId="77777777" w:rsidR="0046688D" w:rsidRPr="00230BC2" w:rsidRDefault="0046688D" w:rsidP="00D114F0">
      <w:pPr>
        <w:spacing w:before="120" w:after="120"/>
        <w:ind w:left="1134" w:hanging="720"/>
        <w:rPr>
          <w:szCs w:val="22"/>
        </w:rPr>
      </w:pPr>
      <w:r w:rsidRPr="00230BC2">
        <w:rPr>
          <w:szCs w:val="22"/>
        </w:rPr>
        <w:t>20.</w:t>
      </w:r>
      <w:r w:rsidRPr="00230BC2">
        <w:rPr>
          <w:szCs w:val="22"/>
        </w:rPr>
        <w:tab/>
        <w:t>Marine and coastal biodiversity.</w:t>
      </w:r>
    </w:p>
    <w:p w14:paraId="39013568" w14:textId="77777777" w:rsidR="0046688D" w:rsidRPr="00230BC2" w:rsidRDefault="0046688D" w:rsidP="00D114F0">
      <w:pPr>
        <w:spacing w:before="120" w:after="120"/>
        <w:ind w:left="1134" w:hanging="720"/>
        <w:rPr>
          <w:szCs w:val="22"/>
        </w:rPr>
      </w:pPr>
      <w:r w:rsidRPr="00230BC2">
        <w:rPr>
          <w:szCs w:val="22"/>
        </w:rPr>
        <w:t>21.</w:t>
      </w:r>
      <w:r w:rsidRPr="00230BC2">
        <w:rPr>
          <w:szCs w:val="22"/>
        </w:rPr>
        <w:tab/>
        <w:t>Invasive alien species.</w:t>
      </w:r>
    </w:p>
    <w:p w14:paraId="7E6AA5FA" w14:textId="77777777" w:rsidR="0046688D" w:rsidRPr="00230BC2" w:rsidRDefault="0046688D" w:rsidP="00D114F0">
      <w:pPr>
        <w:spacing w:before="120" w:after="120"/>
        <w:ind w:left="1134" w:hanging="720"/>
        <w:rPr>
          <w:szCs w:val="22"/>
        </w:rPr>
      </w:pPr>
      <w:r w:rsidRPr="00230BC2">
        <w:rPr>
          <w:szCs w:val="22"/>
        </w:rPr>
        <w:t>22.</w:t>
      </w:r>
      <w:r w:rsidRPr="00230BC2">
        <w:rPr>
          <w:szCs w:val="22"/>
        </w:rPr>
        <w:tab/>
        <w:t>Sustainable wildlife management.</w:t>
      </w:r>
    </w:p>
    <w:p w14:paraId="5C6E67CC" w14:textId="77777777" w:rsidR="0046688D" w:rsidRPr="00230BC2" w:rsidRDefault="0046688D" w:rsidP="00D114F0">
      <w:pPr>
        <w:spacing w:before="120" w:after="120"/>
        <w:ind w:left="1134" w:hanging="720"/>
        <w:rPr>
          <w:szCs w:val="22"/>
        </w:rPr>
      </w:pPr>
      <w:r w:rsidRPr="00230BC2">
        <w:rPr>
          <w:szCs w:val="22"/>
        </w:rPr>
        <w:t>23.</w:t>
      </w:r>
      <w:r w:rsidRPr="00230BC2">
        <w:rPr>
          <w:szCs w:val="22"/>
        </w:rPr>
        <w:tab/>
        <w:t>Biodiversity and climate change.</w:t>
      </w:r>
    </w:p>
    <w:p w14:paraId="1290E03E" w14:textId="77777777" w:rsidR="0046688D" w:rsidRPr="00230BC2" w:rsidRDefault="0046688D" w:rsidP="00D114F0">
      <w:pPr>
        <w:spacing w:before="120" w:after="120"/>
        <w:ind w:left="1134" w:hanging="720"/>
        <w:rPr>
          <w:szCs w:val="22"/>
        </w:rPr>
      </w:pPr>
      <w:r w:rsidRPr="00230BC2">
        <w:rPr>
          <w:szCs w:val="22"/>
        </w:rPr>
        <w:t>24.</w:t>
      </w:r>
      <w:r w:rsidRPr="00230BC2">
        <w:rPr>
          <w:szCs w:val="22"/>
        </w:rPr>
        <w:tab/>
        <w:t>Biodiversity and agriculture.</w:t>
      </w:r>
    </w:p>
    <w:p w14:paraId="5AF769E9" w14:textId="77777777" w:rsidR="0046688D" w:rsidRPr="00230BC2" w:rsidRDefault="0046688D" w:rsidP="00D114F0">
      <w:pPr>
        <w:spacing w:before="120" w:after="120"/>
        <w:ind w:left="1134" w:hanging="720"/>
        <w:rPr>
          <w:szCs w:val="22"/>
        </w:rPr>
      </w:pPr>
      <w:r w:rsidRPr="00230BC2">
        <w:rPr>
          <w:szCs w:val="22"/>
        </w:rPr>
        <w:t>25.</w:t>
      </w:r>
      <w:r w:rsidRPr="00230BC2">
        <w:rPr>
          <w:szCs w:val="22"/>
        </w:rPr>
        <w:tab/>
        <w:t>Biodiversity and health.</w:t>
      </w:r>
    </w:p>
    <w:p w14:paraId="60A7031B" w14:textId="77777777" w:rsidR="0046688D" w:rsidRPr="00230BC2" w:rsidRDefault="0046688D" w:rsidP="00D114F0">
      <w:pPr>
        <w:spacing w:before="120" w:after="120"/>
        <w:ind w:left="1134" w:hanging="720"/>
        <w:rPr>
          <w:szCs w:val="22"/>
        </w:rPr>
      </w:pPr>
      <w:r w:rsidRPr="00230BC2">
        <w:rPr>
          <w:szCs w:val="22"/>
        </w:rPr>
        <w:t>26.</w:t>
      </w:r>
      <w:r w:rsidRPr="00230BC2">
        <w:rPr>
          <w:szCs w:val="22"/>
        </w:rPr>
        <w:tab/>
        <w:t>Nature and culture.</w:t>
      </w:r>
    </w:p>
    <w:p w14:paraId="022F1F7E" w14:textId="77777777" w:rsidR="0046688D" w:rsidRPr="00230BC2" w:rsidRDefault="0046688D" w:rsidP="00D114F0">
      <w:pPr>
        <w:spacing w:before="120" w:after="120"/>
        <w:ind w:left="1134" w:hanging="720"/>
        <w:rPr>
          <w:szCs w:val="22"/>
        </w:rPr>
      </w:pPr>
      <w:r w:rsidRPr="00230BC2">
        <w:rPr>
          <w:szCs w:val="22"/>
        </w:rPr>
        <w:t>27.</w:t>
      </w:r>
      <w:r w:rsidRPr="00230BC2">
        <w:rPr>
          <w:szCs w:val="22"/>
        </w:rPr>
        <w:tab/>
        <w:t>Synthetic biology.</w:t>
      </w:r>
    </w:p>
    <w:p w14:paraId="7E746EC4" w14:textId="460BA517" w:rsidR="00DE307C" w:rsidRPr="00230BC2" w:rsidRDefault="00DE307C" w:rsidP="0058385D">
      <w:pPr>
        <w:spacing w:before="120" w:after="120"/>
        <w:ind w:left="1134" w:hanging="720"/>
        <w:jc w:val="left"/>
        <w:rPr>
          <w:b/>
          <w:bCs/>
          <w:szCs w:val="22"/>
        </w:rPr>
      </w:pPr>
      <w:r w:rsidRPr="00230BC2">
        <w:rPr>
          <w:b/>
          <w:bCs/>
          <w:szCs w:val="22"/>
        </w:rPr>
        <w:t>VII.</w:t>
      </w:r>
      <w:r w:rsidRPr="00230BC2">
        <w:rPr>
          <w:b/>
          <w:bCs/>
          <w:szCs w:val="22"/>
        </w:rPr>
        <w:tab/>
        <w:t>Final matters</w:t>
      </w:r>
    </w:p>
    <w:p w14:paraId="48FFD05F" w14:textId="7C6D0C0E" w:rsidR="0046688D" w:rsidRPr="00230BC2" w:rsidRDefault="0046688D" w:rsidP="00D114F0">
      <w:pPr>
        <w:spacing w:before="120" w:after="120"/>
        <w:ind w:left="1134" w:hanging="720"/>
        <w:rPr>
          <w:szCs w:val="22"/>
        </w:rPr>
      </w:pPr>
      <w:r w:rsidRPr="00230BC2">
        <w:rPr>
          <w:szCs w:val="22"/>
        </w:rPr>
        <w:t>28.</w:t>
      </w:r>
      <w:r w:rsidRPr="00230BC2">
        <w:rPr>
          <w:szCs w:val="22"/>
        </w:rPr>
        <w:tab/>
        <w:t>Other matters.</w:t>
      </w:r>
    </w:p>
    <w:p w14:paraId="18E9A022" w14:textId="77777777" w:rsidR="0046688D" w:rsidRPr="00230BC2" w:rsidRDefault="0046688D" w:rsidP="00D114F0">
      <w:pPr>
        <w:spacing w:before="120" w:after="120"/>
        <w:ind w:left="1134" w:hanging="720"/>
        <w:rPr>
          <w:szCs w:val="22"/>
        </w:rPr>
      </w:pPr>
      <w:r w:rsidRPr="00230BC2">
        <w:rPr>
          <w:szCs w:val="22"/>
        </w:rPr>
        <w:t>29.</w:t>
      </w:r>
      <w:r w:rsidRPr="00230BC2">
        <w:rPr>
          <w:szCs w:val="22"/>
        </w:rPr>
        <w:tab/>
        <w:t>Adoption of the report.</w:t>
      </w:r>
    </w:p>
    <w:p w14:paraId="55B1071A" w14:textId="77777777" w:rsidR="0046688D" w:rsidRPr="00230BC2" w:rsidRDefault="0046688D" w:rsidP="00D114F0">
      <w:pPr>
        <w:spacing w:before="120" w:after="120"/>
        <w:ind w:left="1134" w:hanging="720"/>
        <w:rPr>
          <w:szCs w:val="22"/>
        </w:rPr>
      </w:pPr>
      <w:r w:rsidRPr="00230BC2">
        <w:rPr>
          <w:szCs w:val="22"/>
        </w:rPr>
        <w:t>30.</w:t>
      </w:r>
      <w:r w:rsidRPr="00230BC2">
        <w:rPr>
          <w:szCs w:val="22"/>
        </w:rPr>
        <w:tab/>
        <w:t>Closure of the meeting.</w:t>
      </w:r>
    </w:p>
    <w:p w14:paraId="7A9897D6" w14:textId="64E43F57" w:rsidR="00352D5E" w:rsidRPr="00950BE4" w:rsidRDefault="00352D5E" w:rsidP="00950BE4">
      <w:pPr>
        <w:keepNext/>
        <w:suppressLineNumbers/>
        <w:tabs>
          <w:tab w:val="left" w:pos="567"/>
        </w:tabs>
        <w:suppressAutoHyphens/>
        <w:kinsoku w:val="0"/>
        <w:overflowPunct w:val="0"/>
        <w:autoSpaceDE w:val="0"/>
        <w:autoSpaceDN w:val="0"/>
        <w:adjustRightInd w:val="0"/>
        <w:snapToGrid w:val="0"/>
        <w:spacing w:before="240" w:after="120"/>
        <w:jc w:val="center"/>
        <w:rPr>
          <w:b/>
          <w:bCs/>
          <w:snapToGrid w:val="0"/>
          <w:kern w:val="22"/>
          <w:szCs w:val="22"/>
        </w:rPr>
      </w:pPr>
      <w:bookmarkStart w:id="415" w:name="Item04"/>
      <w:r w:rsidRPr="00950BE4">
        <w:rPr>
          <w:b/>
          <w:bCs/>
          <w:snapToGrid w:val="0"/>
          <w:kern w:val="22"/>
          <w:szCs w:val="22"/>
        </w:rPr>
        <w:t>C.</w:t>
      </w:r>
      <w:r w:rsidRPr="00950BE4">
        <w:rPr>
          <w:b/>
          <w:bCs/>
          <w:snapToGrid w:val="0"/>
          <w:kern w:val="22"/>
          <w:szCs w:val="22"/>
        </w:rPr>
        <w:tab/>
        <w:t>Organization of work</w:t>
      </w:r>
    </w:p>
    <w:p w14:paraId="6ACA5B9A" w14:textId="319C0D6E" w:rsidR="00D77560" w:rsidRPr="00230BC2" w:rsidRDefault="004402E8" w:rsidP="003466FC">
      <w:pPr>
        <w:pStyle w:val="Para1"/>
      </w:pPr>
      <w:bookmarkStart w:id="416" w:name="_Hlk122108844"/>
      <w:bookmarkEnd w:id="415"/>
      <w:r w:rsidRPr="00230BC2">
        <w:t xml:space="preserve">At </w:t>
      </w:r>
      <w:r w:rsidR="00F12685" w:rsidRPr="00230BC2">
        <w:t xml:space="preserve">its </w:t>
      </w:r>
      <w:r w:rsidR="00E4615C" w:rsidRPr="00230BC2">
        <w:t>1</w:t>
      </w:r>
      <w:r w:rsidR="00C86797" w:rsidRPr="00230BC2">
        <w:t>st</w:t>
      </w:r>
      <w:r w:rsidRPr="00230BC2">
        <w:t xml:space="preserve"> </w:t>
      </w:r>
      <w:r w:rsidR="004A478A" w:rsidRPr="00230BC2">
        <w:t xml:space="preserve">plenary </w:t>
      </w:r>
      <w:r w:rsidRPr="00230BC2">
        <w:t>session</w:t>
      </w:r>
      <w:r w:rsidR="004217CC" w:rsidRPr="00230BC2">
        <w:t>,</w:t>
      </w:r>
      <w:r w:rsidRPr="00230BC2">
        <w:t xml:space="preserve"> the Conference of the Parties </w:t>
      </w:r>
      <w:r w:rsidR="00C23C4F" w:rsidRPr="00230BC2">
        <w:t xml:space="preserve">considered </w:t>
      </w:r>
      <w:r w:rsidR="00EC66E2" w:rsidRPr="00230BC2">
        <w:t>a</w:t>
      </w:r>
      <w:r w:rsidR="00C23C4F" w:rsidRPr="00230BC2">
        <w:t xml:space="preserve"> note by the Executive Secretary on</w:t>
      </w:r>
      <w:r w:rsidR="00C86797" w:rsidRPr="00230BC2">
        <w:t xml:space="preserve"> the </w:t>
      </w:r>
      <w:r w:rsidR="00C23C4F" w:rsidRPr="00230BC2">
        <w:t xml:space="preserve">proposed </w:t>
      </w:r>
      <w:r w:rsidR="00C86797" w:rsidRPr="00230BC2">
        <w:t xml:space="preserve">organization of work </w:t>
      </w:r>
      <w:r w:rsidR="00CB0D18" w:rsidRPr="00230BC2">
        <w:t xml:space="preserve">for </w:t>
      </w:r>
      <w:r w:rsidR="005A79CC" w:rsidRPr="00230BC2">
        <w:t xml:space="preserve">the second </w:t>
      </w:r>
      <w:r w:rsidR="00CB0D18" w:rsidRPr="00230BC2">
        <w:t xml:space="preserve">part of </w:t>
      </w:r>
      <w:r w:rsidR="00143CE9" w:rsidRPr="00230BC2">
        <w:t>its</w:t>
      </w:r>
      <w:r w:rsidR="00CB0D18" w:rsidRPr="00230BC2">
        <w:t xml:space="preserve"> </w:t>
      </w:r>
      <w:r w:rsidR="00DE5778" w:rsidRPr="00230BC2">
        <w:t xml:space="preserve">fifteenth </w:t>
      </w:r>
      <w:r w:rsidR="00CB0D18" w:rsidRPr="00230BC2">
        <w:t xml:space="preserve">meeting </w:t>
      </w:r>
      <w:r w:rsidR="00C86797" w:rsidRPr="00230BC2">
        <w:t>(</w:t>
      </w:r>
      <w:r w:rsidR="00C23C4F" w:rsidRPr="00230BC2">
        <w:t>CBD/COP/15/1/Add.4/Rev.1</w:t>
      </w:r>
      <w:r w:rsidR="00C86797" w:rsidRPr="00230BC2">
        <w:t>)</w:t>
      </w:r>
      <w:r w:rsidR="00C86797" w:rsidRPr="00230BC2">
        <w:rPr>
          <w:bCs/>
        </w:rPr>
        <w:t xml:space="preserve"> </w:t>
      </w:r>
      <w:r w:rsidR="00C23C4F" w:rsidRPr="00230BC2">
        <w:rPr>
          <w:bCs/>
        </w:rPr>
        <w:t xml:space="preserve">and agreed to </w:t>
      </w:r>
      <w:r w:rsidR="005B7D96" w:rsidRPr="00230BC2">
        <w:rPr>
          <w:bCs/>
        </w:rPr>
        <w:t xml:space="preserve">organize its work as set out therein. </w:t>
      </w:r>
      <w:r w:rsidR="00616C42" w:rsidRPr="00230BC2">
        <w:rPr>
          <w:bCs/>
        </w:rPr>
        <w:t>T</w:t>
      </w:r>
      <w:r w:rsidR="005B7D96" w:rsidRPr="00230BC2">
        <w:rPr>
          <w:bCs/>
        </w:rPr>
        <w:t xml:space="preserve">he </w:t>
      </w:r>
      <w:r w:rsidR="00616C42" w:rsidRPr="00230BC2">
        <w:rPr>
          <w:bCs/>
        </w:rPr>
        <w:t xml:space="preserve">three bodies </w:t>
      </w:r>
      <w:r w:rsidR="005B7D96" w:rsidRPr="00230BC2">
        <w:rPr>
          <w:bCs/>
        </w:rPr>
        <w:t>established</w:t>
      </w:r>
      <w:r w:rsidR="00C86797" w:rsidRPr="00230BC2">
        <w:rPr>
          <w:bCs/>
        </w:rPr>
        <w:t xml:space="preserve"> two working groups</w:t>
      </w:r>
      <w:r w:rsidR="005B7D96" w:rsidRPr="00230BC2">
        <w:rPr>
          <w:bCs/>
        </w:rPr>
        <w:t xml:space="preserve"> </w:t>
      </w:r>
      <w:r w:rsidR="00616C42" w:rsidRPr="00230BC2">
        <w:rPr>
          <w:bCs/>
        </w:rPr>
        <w:t xml:space="preserve">to serve them </w:t>
      </w:r>
      <w:r w:rsidR="005B7D96" w:rsidRPr="00230BC2">
        <w:rPr>
          <w:bCs/>
        </w:rPr>
        <w:t>and elected</w:t>
      </w:r>
      <w:r w:rsidR="005B7D96" w:rsidRPr="00230BC2">
        <w:rPr>
          <w:rFonts w:asciiTheme="minorHAnsi" w:eastAsiaTheme="minorEastAsia" w:hAnsiTheme="minorHAnsi" w:cstheme="minorHAnsi"/>
          <w:bCs/>
          <w:sz w:val="24"/>
        </w:rPr>
        <w:t xml:space="preserve"> </w:t>
      </w:r>
      <w:r w:rsidR="005B7D96" w:rsidRPr="00230BC2">
        <w:rPr>
          <w:bCs/>
        </w:rPr>
        <w:t xml:space="preserve">Rosemary Paterson (New Zealand) </w:t>
      </w:r>
      <w:r w:rsidR="00440C32" w:rsidRPr="00230BC2">
        <w:rPr>
          <w:bCs/>
        </w:rPr>
        <w:t>as C</w:t>
      </w:r>
      <w:r w:rsidR="005B7D96" w:rsidRPr="00230BC2">
        <w:rPr>
          <w:bCs/>
        </w:rPr>
        <w:t xml:space="preserve">hair </w:t>
      </w:r>
      <w:r w:rsidR="00440C32" w:rsidRPr="00230BC2">
        <w:rPr>
          <w:bCs/>
        </w:rPr>
        <w:t>of W</w:t>
      </w:r>
      <w:r w:rsidR="005B7D96" w:rsidRPr="00230BC2">
        <w:rPr>
          <w:bCs/>
        </w:rPr>
        <w:t xml:space="preserve">orking </w:t>
      </w:r>
      <w:r w:rsidR="00440C32" w:rsidRPr="00230BC2">
        <w:rPr>
          <w:bCs/>
        </w:rPr>
        <w:t>G</w:t>
      </w:r>
      <w:r w:rsidR="005B7D96" w:rsidRPr="00230BC2">
        <w:rPr>
          <w:bCs/>
        </w:rPr>
        <w:t xml:space="preserve">roup I and Helena Jefferey-Brown (Antigua and Barbuda) </w:t>
      </w:r>
      <w:r w:rsidR="00440C32" w:rsidRPr="00230BC2">
        <w:rPr>
          <w:bCs/>
        </w:rPr>
        <w:t>as C</w:t>
      </w:r>
      <w:r w:rsidR="005B7D96" w:rsidRPr="00230BC2">
        <w:rPr>
          <w:bCs/>
        </w:rPr>
        <w:t xml:space="preserve">hair </w:t>
      </w:r>
      <w:r w:rsidR="00440C32" w:rsidRPr="00230BC2">
        <w:rPr>
          <w:bCs/>
        </w:rPr>
        <w:t>of W</w:t>
      </w:r>
      <w:r w:rsidR="005B7D96" w:rsidRPr="00230BC2">
        <w:rPr>
          <w:bCs/>
        </w:rPr>
        <w:t xml:space="preserve">orking </w:t>
      </w:r>
      <w:r w:rsidR="00440C32" w:rsidRPr="00230BC2">
        <w:rPr>
          <w:bCs/>
        </w:rPr>
        <w:t>G</w:t>
      </w:r>
      <w:r w:rsidR="005B7D96" w:rsidRPr="00230BC2">
        <w:rPr>
          <w:bCs/>
        </w:rPr>
        <w:t>roup</w:t>
      </w:r>
      <w:r w:rsidR="0006192E" w:rsidRPr="00230BC2">
        <w:rPr>
          <w:bCs/>
        </w:rPr>
        <w:t> </w:t>
      </w:r>
      <w:r w:rsidR="005B7D96" w:rsidRPr="00230BC2">
        <w:rPr>
          <w:bCs/>
        </w:rPr>
        <w:t>II.</w:t>
      </w:r>
    </w:p>
    <w:p w14:paraId="0152F9F4" w14:textId="345C4E5E" w:rsidR="00F24A83" w:rsidRPr="00BF4AB9" w:rsidRDefault="00F24A83" w:rsidP="00BF4AB9">
      <w:pPr>
        <w:pStyle w:val="BodyText"/>
        <w:ind w:firstLine="0"/>
        <w:rPr>
          <w:i/>
          <w:iCs w:val="0"/>
        </w:rPr>
      </w:pPr>
      <w:bookmarkStart w:id="417" w:name="_Hlk123387745"/>
      <w:bookmarkStart w:id="418" w:name="_Hlk122179754"/>
      <w:bookmarkEnd w:id="416"/>
      <w:r w:rsidRPr="00BF4AB9">
        <w:rPr>
          <w:i/>
          <w:iCs w:val="0"/>
        </w:rPr>
        <w:t>First stocktak</w:t>
      </w:r>
      <w:r w:rsidR="00246C5A" w:rsidRPr="00BF4AB9">
        <w:rPr>
          <w:i/>
          <w:iCs w:val="0"/>
        </w:rPr>
        <w:t>e</w:t>
      </w:r>
      <w:r w:rsidRPr="00BF4AB9">
        <w:rPr>
          <w:i/>
          <w:iCs w:val="0"/>
        </w:rPr>
        <w:t xml:space="preserve"> session</w:t>
      </w:r>
    </w:p>
    <w:bookmarkEnd w:id="417"/>
    <w:p w14:paraId="55A3F391" w14:textId="4A840110" w:rsidR="00783C8E" w:rsidRPr="00230BC2" w:rsidRDefault="00C65E7F" w:rsidP="003466FC">
      <w:pPr>
        <w:pStyle w:val="Para1"/>
      </w:pPr>
      <w:r w:rsidRPr="00230BC2">
        <w:t xml:space="preserve">On 10 December, </w:t>
      </w:r>
      <w:r w:rsidR="000904F2" w:rsidRPr="00230BC2">
        <w:t xml:space="preserve">the Conference of the Parties held </w:t>
      </w:r>
      <w:r w:rsidRPr="00230BC2">
        <w:t>its</w:t>
      </w:r>
      <w:r w:rsidR="00783C8E" w:rsidRPr="00230BC2">
        <w:t xml:space="preserve"> </w:t>
      </w:r>
      <w:r w:rsidR="00E4615C" w:rsidRPr="00230BC2">
        <w:t>2</w:t>
      </w:r>
      <w:r w:rsidR="00783C8E" w:rsidRPr="00230BC2">
        <w:t>nd plenary session, which served in part as a stocktake session</w:t>
      </w:r>
      <w:r w:rsidR="009B1873" w:rsidRPr="00230BC2">
        <w:t>.</w:t>
      </w:r>
      <w:r w:rsidR="00783C8E" w:rsidRPr="00230BC2">
        <w:t xml:space="preserve"> </w:t>
      </w:r>
      <w:r w:rsidR="009B1873" w:rsidRPr="00230BC2">
        <w:t xml:space="preserve">The session was held </w:t>
      </w:r>
      <w:r w:rsidR="00C01EC5" w:rsidRPr="00230BC2">
        <w:t xml:space="preserve">jointly with the </w:t>
      </w:r>
      <w:r w:rsidR="00B75033" w:rsidRPr="00230BC2">
        <w:t xml:space="preserve">Conference of the Parties serving as the meeting of the Parties to the Cartagena Protocol and the </w:t>
      </w:r>
      <w:r w:rsidR="00C03560" w:rsidRPr="00230BC2">
        <w:t>Conference of the Parties serving as the meeting of the Parties to the Nagoya Protocol</w:t>
      </w:r>
      <w:r w:rsidR="00C01EC5" w:rsidRPr="00230BC2">
        <w:t>, and</w:t>
      </w:r>
      <w:r w:rsidR="00783C8E" w:rsidRPr="00230BC2">
        <w:t xml:space="preserve"> the </w:t>
      </w:r>
      <w:r w:rsidR="00631F6B" w:rsidRPr="00230BC2">
        <w:t>C</w:t>
      </w:r>
      <w:r w:rsidRPr="00230BC2">
        <w:t xml:space="preserve">hairs of </w:t>
      </w:r>
      <w:r w:rsidR="00537C75" w:rsidRPr="00230BC2">
        <w:t>W</w:t>
      </w:r>
      <w:r w:rsidRPr="00230BC2">
        <w:t xml:space="preserve">orking </w:t>
      </w:r>
      <w:r w:rsidR="00537C75" w:rsidRPr="00230BC2">
        <w:t>G</w:t>
      </w:r>
      <w:r w:rsidRPr="00230BC2">
        <w:t xml:space="preserve">roups </w:t>
      </w:r>
      <w:r w:rsidR="003C16A1" w:rsidRPr="00230BC2">
        <w:t xml:space="preserve">I and II </w:t>
      </w:r>
      <w:r w:rsidRPr="00230BC2">
        <w:t xml:space="preserve">and </w:t>
      </w:r>
      <w:r w:rsidR="00215D80" w:rsidRPr="00230BC2">
        <w:t xml:space="preserve">of </w:t>
      </w:r>
      <w:r w:rsidR="00014E3C" w:rsidRPr="00230BC2">
        <w:t xml:space="preserve">the </w:t>
      </w:r>
      <w:r w:rsidRPr="00230BC2">
        <w:t>contact group</w:t>
      </w:r>
      <w:r w:rsidR="00783C8E" w:rsidRPr="00230BC2">
        <w:t xml:space="preserve"> </w:t>
      </w:r>
      <w:r w:rsidR="00047B3A" w:rsidRPr="00230BC2">
        <w:t xml:space="preserve">on budget </w:t>
      </w:r>
      <w:r w:rsidR="000E7773" w:rsidRPr="00230BC2">
        <w:t>report</w:t>
      </w:r>
      <w:r w:rsidR="00A05F56" w:rsidRPr="00230BC2">
        <w:t>ed</w:t>
      </w:r>
      <w:r w:rsidR="000E7773" w:rsidRPr="00230BC2">
        <w:t xml:space="preserve"> </w:t>
      </w:r>
      <w:r w:rsidR="00783C8E" w:rsidRPr="00230BC2">
        <w:t>on the progress made to date.</w:t>
      </w:r>
    </w:p>
    <w:p w14:paraId="30FEABF3" w14:textId="2920DC36" w:rsidR="00BB5B29" w:rsidRPr="00230BC2" w:rsidRDefault="00BB5B29" w:rsidP="003466FC">
      <w:pPr>
        <w:pStyle w:val="Para1"/>
      </w:pPr>
      <w:r w:rsidRPr="00230BC2">
        <w:t xml:space="preserve">Statements were made by representatives of </w:t>
      </w:r>
      <w:r w:rsidR="0025069E" w:rsidRPr="00230BC2">
        <w:t xml:space="preserve">the following Parties: </w:t>
      </w:r>
      <w:r w:rsidR="00C13079" w:rsidRPr="00230BC2">
        <w:t xml:space="preserve">Argentina </w:t>
      </w:r>
      <w:r w:rsidR="006F793F" w:rsidRPr="00230BC2">
        <w:t>(</w:t>
      </w:r>
      <w:r w:rsidR="00C13079" w:rsidRPr="00230BC2">
        <w:t>on behalf of the Latin American and Caribbean States</w:t>
      </w:r>
      <w:r w:rsidR="006F793F" w:rsidRPr="00230BC2">
        <w:t>)</w:t>
      </w:r>
      <w:r w:rsidR="00932FDC" w:rsidRPr="00230BC2">
        <w:t>,</w:t>
      </w:r>
      <w:r w:rsidR="00C13079" w:rsidRPr="00230BC2">
        <w:t xml:space="preserve"> </w:t>
      </w:r>
      <w:r w:rsidR="00147C05" w:rsidRPr="00230BC2">
        <w:t xml:space="preserve">Brazil </w:t>
      </w:r>
      <w:r w:rsidR="00932FDC" w:rsidRPr="00230BC2">
        <w:t>(</w:t>
      </w:r>
      <w:r w:rsidR="00147C05" w:rsidRPr="00230BC2">
        <w:t>also on behalf of the African States, Antigua and Barbuda, Argentina, Bolivia</w:t>
      </w:r>
      <w:r w:rsidR="001F3432" w:rsidRPr="00230BC2">
        <w:t xml:space="preserve"> (Plurinational State of)</w:t>
      </w:r>
      <w:r w:rsidR="00147C05" w:rsidRPr="00230BC2">
        <w:t>, Cuba, Dominican Republic, Ecuador, Guatemala, Haiti, India, Indonesia, Malaysia, Paraguay, the Philippines and Venezuela (Bolivarian Republic of)</w:t>
      </w:r>
      <w:r w:rsidR="00B6328C" w:rsidRPr="00230BC2">
        <w:t>)</w:t>
      </w:r>
      <w:r w:rsidR="008A7C0D" w:rsidRPr="00230BC2">
        <w:t>,</w:t>
      </w:r>
      <w:r w:rsidR="00147C05" w:rsidRPr="00230BC2">
        <w:t xml:space="preserve"> Colombia </w:t>
      </w:r>
      <w:r w:rsidR="00222CB2" w:rsidRPr="00230BC2">
        <w:t>(</w:t>
      </w:r>
      <w:r w:rsidR="00147C05" w:rsidRPr="00230BC2">
        <w:t>also on behalf of Chile, Costa Rica, Mexico and Peru</w:t>
      </w:r>
      <w:r w:rsidR="000D5AAA" w:rsidRPr="00230BC2">
        <w:t>)</w:t>
      </w:r>
      <w:r w:rsidR="008A7C0D" w:rsidRPr="00230BC2">
        <w:t>,</w:t>
      </w:r>
      <w:r w:rsidR="00147C05" w:rsidRPr="00230BC2">
        <w:t xml:space="preserve"> </w:t>
      </w:r>
      <w:r w:rsidRPr="00230BC2">
        <w:t>the European Union</w:t>
      </w:r>
      <w:r w:rsidR="002A510B" w:rsidRPr="00230BC2">
        <w:t xml:space="preserve"> and </w:t>
      </w:r>
      <w:r w:rsidRPr="00230BC2">
        <w:t xml:space="preserve">its </w:t>
      </w:r>
      <w:r w:rsidR="002A510B" w:rsidRPr="00230BC2">
        <w:t xml:space="preserve">27 </w:t>
      </w:r>
      <w:r w:rsidRPr="00230BC2">
        <w:t>member States</w:t>
      </w:r>
      <w:r w:rsidR="008A7C0D" w:rsidRPr="00230BC2">
        <w:t>,</w:t>
      </w:r>
      <w:r w:rsidRPr="00230BC2">
        <w:t xml:space="preserve"> </w:t>
      </w:r>
      <w:r w:rsidR="00F4596C" w:rsidRPr="00230BC2">
        <w:t xml:space="preserve">Honduras </w:t>
      </w:r>
      <w:r w:rsidR="00176279" w:rsidRPr="00230BC2">
        <w:t xml:space="preserve">and </w:t>
      </w:r>
      <w:r w:rsidRPr="00230BC2">
        <w:t xml:space="preserve">New Zealand </w:t>
      </w:r>
      <w:r w:rsidR="000C3189" w:rsidRPr="00230BC2">
        <w:t>(</w:t>
      </w:r>
      <w:r w:rsidRPr="00230BC2">
        <w:t>also on behalf of Australia, Canada, Iceland, Israel, Monaco, Norway, the Republic of Korea, Switzerland, the United Kingdom and the United States</w:t>
      </w:r>
      <w:r w:rsidR="000C3189" w:rsidRPr="00230BC2">
        <w:t>)</w:t>
      </w:r>
      <w:r w:rsidRPr="00230BC2">
        <w:t xml:space="preserve">. </w:t>
      </w:r>
    </w:p>
    <w:p w14:paraId="081986E2" w14:textId="1D84D85C" w:rsidR="00F24A83" w:rsidRPr="00230BC2" w:rsidRDefault="00560636" w:rsidP="00BF4AB9">
      <w:pPr>
        <w:pStyle w:val="BodyText"/>
        <w:ind w:firstLine="0"/>
        <w:rPr>
          <w:i/>
          <w:iCs w:val="0"/>
        </w:rPr>
      </w:pPr>
      <w:bookmarkStart w:id="419" w:name="_Hlk122192162"/>
      <w:r w:rsidRPr="00BF4AB9">
        <w:rPr>
          <w:i/>
          <w:iCs w:val="0"/>
        </w:rPr>
        <w:t>First meeting of the heads of delegation</w:t>
      </w:r>
    </w:p>
    <w:p w14:paraId="361E8A84" w14:textId="5DC00398" w:rsidR="00EB6395" w:rsidRPr="00230BC2" w:rsidRDefault="00F24A83" w:rsidP="003466FC">
      <w:pPr>
        <w:pStyle w:val="Para1"/>
      </w:pPr>
      <w:r w:rsidRPr="00230BC2">
        <w:t>On 1</w:t>
      </w:r>
      <w:r w:rsidR="00560636" w:rsidRPr="00230BC2">
        <w:t>4</w:t>
      </w:r>
      <w:r w:rsidRPr="00230BC2">
        <w:t xml:space="preserve"> December, </w:t>
      </w:r>
      <w:r w:rsidR="00EB6395" w:rsidRPr="00230BC2">
        <w:t xml:space="preserve">a meeting of </w:t>
      </w:r>
      <w:r w:rsidR="00CF7F53" w:rsidRPr="00230BC2">
        <w:t xml:space="preserve">the </w:t>
      </w:r>
      <w:r w:rsidR="00EB6395" w:rsidRPr="00230BC2">
        <w:t xml:space="preserve">heads of delegation was held </w:t>
      </w:r>
      <w:r w:rsidR="00BE097B" w:rsidRPr="00230BC2">
        <w:t>jointly with the Conference of the Parties serving as the meeting of the Parties to the Cartagena Protocol and the Conference of the Parties serving as the meeting of the Parties to the Nagoya Protocol</w:t>
      </w:r>
      <w:r w:rsidR="00293990" w:rsidRPr="00230BC2">
        <w:t xml:space="preserve">, </w:t>
      </w:r>
      <w:r w:rsidR="00EB6395" w:rsidRPr="00230BC2">
        <w:t>to discuss the progress made to date on the key issues under consideration</w:t>
      </w:r>
      <w:r w:rsidR="00B62D25" w:rsidRPr="00230BC2">
        <w:t>.</w:t>
      </w:r>
      <w:r w:rsidR="00EB6395" w:rsidRPr="00230BC2">
        <w:t xml:space="preserve"> </w:t>
      </w:r>
    </w:p>
    <w:p w14:paraId="56583396" w14:textId="72F41896" w:rsidR="00F24A83" w:rsidRPr="00230BC2" w:rsidRDefault="00EB6395" w:rsidP="003466FC">
      <w:pPr>
        <w:pStyle w:val="Para1"/>
      </w:pPr>
      <w:r w:rsidRPr="00230BC2">
        <w:t xml:space="preserve">Statements were made by representatives of </w:t>
      </w:r>
      <w:r w:rsidR="0025069E" w:rsidRPr="00230BC2">
        <w:t xml:space="preserve">the following Parties: </w:t>
      </w:r>
      <w:r w:rsidR="00C572F5" w:rsidRPr="00230BC2">
        <w:t>Argentina</w:t>
      </w:r>
      <w:r w:rsidR="00F1413E" w:rsidRPr="00230BC2">
        <w:t xml:space="preserve"> (on </w:t>
      </w:r>
      <w:r w:rsidR="00E977D2" w:rsidRPr="00230BC2">
        <w:t>b</w:t>
      </w:r>
      <w:r w:rsidR="00F1413E" w:rsidRPr="00230BC2">
        <w:t>ehalf of the Latin America</w:t>
      </w:r>
      <w:r w:rsidR="00894BED" w:rsidRPr="00230BC2">
        <w:t>n</w:t>
      </w:r>
      <w:r w:rsidR="00F1413E" w:rsidRPr="00230BC2">
        <w:t xml:space="preserve"> and Caribbean States)</w:t>
      </w:r>
      <w:r w:rsidR="00C572F5" w:rsidRPr="00230BC2">
        <w:t xml:space="preserve">, Australia, </w:t>
      </w:r>
      <w:r w:rsidR="00F1413E" w:rsidRPr="00230BC2">
        <w:t xml:space="preserve">Bahamas (on behalf of </w:t>
      </w:r>
      <w:r w:rsidR="00E977D2" w:rsidRPr="00230BC2">
        <w:t xml:space="preserve">the </w:t>
      </w:r>
      <w:r w:rsidR="00FE422F" w:rsidRPr="00230BC2">
        <w:t>s</w:t>
      </w:r>
      <w:r w:rsidR="00F1413E" w:rsidRPr="00230BC2">
        <w:t xml:space="preserve">mall </w:t>
      </w:r>
      <w:r w:rsidR="00FE422F" w:rsidRPr="00230BC2">
        <w:t>i</w:t>
      </w:r>
      <w:r w:rsidR="00F1413E" w:rsidRPr="00230BC2">
        <w:t xml:space="preserve">sland </w:t>
      </w:r>
      <w:r w:rsidR="00FE422F" w:rsidRPr="00230BC2">
        <w:t>d</w:t>
      </w:r>
      <w:r w:rsidR="00F1413E" w:rsidRPr="00230BC2">
        <w:t xml:space="preserve">eveloping States), </w:t>
      </w:r>
      <w:r w:rsidR="00C572F5" w:rsidRPr="00230BC2">
        <w:t>Bangladesh, Bolivia (Plu</w:t>
      </w:r>
      <w:r w:rsidR="001B00C3" w:rsidRPr="00230BC2">
        <w:t>r</w:t>
      </w:r>
      <w:r w:rsidR="00C572F5" w:rsidRPr="00230BC2">
        <w:t xml:space="preserve">inational State of), </w:t>
      </w:r>
      <w:r w:rsidR="00F1413E" w:rsidRPr="00230BC2">
        <w:t xml:space="preserve">Botswana, </w:t>
      </w:r>
      <w:r w:rsidR="00C572F5" w:rsidRPr="00230BC2">
        <w:t xml:space="preserve">Brazil, </w:t>
      </w:r>
      <w:r w:rsidR="00F1413E" w:rsidRPr="00230BC2">
        <w:t xml:space="preserve">Burkina Faso, Canada, </w:t>
      </w:r>
      <w:r w:rsidR="00C572F5" w:rsidRPr="00230BC2">
        <w:t xml:space="preserve">Chile, Colombia, </w:t>
      </w:r>
      <w:r w:rsidR="00F1413E" w:rsidRPr="00230BC2">
        <w:t xml:space="preserve">Costa Rica, </w:t>
      </w:r>
      <w:r w:rsidR="00C572F5" w:rsidRPr="00230BC2">
        <w:t>C</w:t>
      </w:r>
      <w:r w:rsidR="001B625C" w:rsidRPr="00230BC2">
        <w:t>ô</w:t>
      </w:r>
      <w:r w:rsidR="00C572F5" w:rsidRPr="00230BC2">
        <w:t xml:space="preserve">te d’Ivoire, </w:t>
      </w:r>
      <w:r w:rsidR="00F1413E" w:rsidRPr="00230BC2">
        <w:t xml:space="preserve">Cuba, </w:t>
      </w:r>
      <w:r w:rsidR="005527C0" w:rsidRPr="00230BC2">
        <w:t xml:space="preserve">Egypt, </w:t>
      </w:r>
      <w:r w:rsidR="00F1413E" w:rsidRPr="00230BC2">
        <w:t xml:space="preserve">Ethiopia, European Union and its 27 </w:t>
      </w:r>
      <w:r w:rsidR="00894BED" w:rsidRPr="00230BC2">
        <w:t>m</w:t>
      </w:r>
      <w:r w:rsidR="00F1413E" w:rsidRPr="00230BC2">
        <w:t xml:space="preserve">ember States, Ghana, Iran (Islamic Republic of), Japan, Jordan, Kenya, </w:t>
      </w:r>
      <w:r w:rsidR="005527C0" w:rsidRPr="00230BC2">
        <w:t>Liberia,</w:t>
      </w:r>
      <w:r w:rsidR="00F1413E" w:rsidRPr="00230BC2">
        <w:t xml:space="preserve"> Malawi, Malaysia, Mexico, Norway, </w:t>
      </w:r>
      <w:r w:rsidR="005527C0" w:rsidRPr="00230BC2">
        <w:t xml:space="preserve">Saudi Arabia, </w:t>
      </w:r>
      <w:r w:rsidR="00C572F5" w:rsidRPr="00230BC2">
        <w:t xml:space="preserve">Russian Federation, Sri Lanka, </w:t>
      </w:r>
      <w:r w:rsidR="00F1413E" w:rsidRPr="00230BC2">
        <w:t>Sudan, Switzerland, Uganda, United Kingdom</w:t>
      </w:r>
      <w:r w:rsidR="00E977D2" w:rsidRPr="00230BC2">
        <w:t xml:space="preserve"> and United Republic of Tanzania</w:t>
      </w:r>
      <w:r w:rsidR="00F24A83" w:rsidRPr="00230BC2">
        <w:t>.</w:t>
      </w:r>
    </w:p>
    <w:p w14:paraId="07E9B47E" w14:textId="10F1CC11" w:rsidR="00EB6395" w:rsidRPr="00842FF6" w:rsidRDefault="00EB6395" w:rsidP="00842FF6">
      <w:pPr>
        <w:pStyle w:val="BodyText"/>
        <w:ind w:firstLine="0"/>
        <w:jc w:val="left"/>
        <w:rPr>
          <w:i/>
          <w:iCs w:val="0"/>
          <w:snapToGrid w:val="0"/>
        </w:rPr>
      </w:pPr>
      <w:r w:rsidRPr="00842FF6">
        <w:rPr>
          <w:i/>
          <w:iCs w:val="0"/>
          <w:snapToGrid w:val="0"/>
        </w:rPr>
        <w:t>Ministerial consultations</w:t>
      </w:r>
    </w:p>
    <w:p w14:paraId="5042FD90" w14:textId="15E61577" w:rsidR="008120AE" w:rsidRPr="00230BC2" w:rsidRDefault="00372AB7" w:rsidP="003466FC">
      <w:pPr>
        <w:pStyle w:val="Para1"/>
      </w:pPr>
      <w:r w:rsidRPr="00230BC2">
        <w:t xml:space="preserve">On 15 December, the Conference of the Parties held </w:t>
      </w:r>
      <w:r w:rsidR="008120AE" w:rsidRPr="00230BC2">
        <w:t xml:space="preserve">the </w:t>
      </w:r>
      <w:r w:rsidR="004241DF" w:rsidRPr="00230BC2">
        <w:t xml:space="preserve">opening plenary session of the </w:t>
      </w:r>
      <w:r w:rsidR="007242DB" w:rsidRPr="00230BC2">
        <w:t>high-level segment of the meeting</w:t>
      </w:r>
      <w:r w:rsidRPr="00230BC2">
        <w:t xml:space="preserve"> jointly with the Conference of the Parties serving as the meeting</w:t>
      </w:r>
      <w:r w:rsidR="00314FD8" w:rsidRPr="00230BC2">
        <w:t xml:space="preserve"> of the Parties to the Cartagena Protocol and the Conference of the Parties serving as the meeting of the Parties to the Nagoya Protocol.</w:t>
      </w:r>
      <w:r w:rsidR="007242DB" w:rsidRPr="00230BC2">
        <w:t xml:space="preserve"> </w:t>
      </w:r>
      <w:r w:rsidR="00C06FC2" w:rsidRPr="00230BC2">
        <w:t>T</w:t>
      </w:r>
      <w:r w:rsidR="007242DB" w:rsidRPr="00230BC2">
        <w:t>he President</w:t>
      </w:r>
      <w:r w:rsidR="008120AE" w:rsidRPr="00230BC2">
        <w:t xml:space="preserve"> </w:t>
      </w:r>
      <w:bookmarkStart w:id="420" w:name="_Hlk122188431"/>
      <w:r w:rsidR="008120AE" w:rsidRPr="00230BC2">
        <w:t xml:space="preserve">informed the participants that he had established a process of ministerial consultations </w:t>
      </w:r>
      <w:r w:rsidR="007242DB" w:rsidRPr="00230BC2">
        <w:t xml:space="preserve">for the post-2020 global biodiversity framework </w:t>
      </w:r>
      <w:r w:rsidR="008120AE" w:rsidRPr="00230BC2">
        <w:t xml:space="preserve">and had invited </w:t>
      </w:r>
      <w:r w:rsidR="007242DB" w:rsidRPr="00230BC2">
        <w:t>six</w:t>
      </w:r>
      <w:r w:rsidR="008120AE" w:rsidRPr="00230BC2">
        <w:t xml:space="preserve"> ministers to lead consultations on unresolved issues that </w:t>
      </w:r>
      <w:r w:rsidR="007242DB" w:rsidRPr="00230BC2">
        <w:t>might</w:t>
      </w:r>
      <w:r w:rsidR="008120AE" w:rsidRPr="00230BC2">
        <w:t xml:space="preserve"> benefit from political guidance</w:t>
      </w:r>
      <w:bookmarkEnd w:id="420"/>
      <w:r w:rsidR="008120AE" w:rsidRPr="00230BC2">
        <w:t>. Thus, Jochen Flashbarth (Germany) and Jeanne d’Arc Mujawamariya (Rwanda) would lead consultations on resource mobilization; Espen Barth Eide (Norway) and Maisa Rojas (Chile) would lead consultations on digital sequence information</w:t>
      </w:r>
      <w:r w:rsidR="00B6328C" w:rsidRPr="00230BC2">
        <w:t xml:space="preserve"> on genetic resources</w:t>
      </w:r>
      <w:r w:rsidR="008120AE" w:rsidRPr="00230BC2">
        <w:t>; and Yasmine Fouad (Egypt) and Steven G</w:t>
      </w:r>
      <w:r w:rsidR="007A371F" w:rsidRPr="00230BC2">
        <w:t>u</w:t>
      </w:r>
      <w:r w:rsidR="008120AE" w:rsidRPr="00230BC2">
        <w:t xml:space="preserve">ilbeault (Canada) would lead consultations on </w:t>
      </w:r>
      <w:r w:rsidR="007242DB" w:rsidRPr="00230BC2">
        <w:t xml:space="preserve">the </w:t>
      </w:r>
      <w:r w:rsidR="008120AE" w:rsidRPr="00230BC2">
        <w:t xml:space="preserve">key </w:t>
      </w:r>
      <w:r w:rsidR="007242DB" w:rsidRPr="00230BC2">
        <w:t xml:space="preserve">unresolved </w:t>
      </w:r>
      <w:r w:rsidR="008120AE" w:rsidRPr="00230BC2">
        <w:t>elements of the post-2020 global biodiversity framework.</w:t>
      </w:r>
    </w:p>
    <w:p w14:paraId="246D893C" w14:textId="38141BD2" w:rsidR="00EB6395" w:rsidRPr="00842FF6" w:rsidRDefault="00EB6395" w:rsidP="00842FF6">
      <w:pPr>
        <w:pStyle w:val="BodyText"/>
        <w:ind w:firstLine="0"/>
        <w:jc w:val="left"/>
        <w:rPr>
          <w:i/>
          <w:iCs w:val="0"/>
          <w:snapToGrid w:val="0"/>
        </w:rPr>
      </w:pPr>
      <w:r w:rsidRPr="00842FF6">
        <w:rPr>
          <w:i/>
          <w:iCs w:val="0"/>
          <w:snapToGrid w:val="0"/>
        </w:rPr>
        <w:t>Second stocktake session</w:t>
      </w:r>
    </w:p>
    <w:p w14:paraId="2B3B1812" w14:textId="58A5ED52" w:rsidR="007242DB" w:rsidRPr="00230BC2" w:rsidRDefault="007242DB" w:rsidP="003466FC">
      <w:pPr>
        <w:pStyle w:val="Para1"/>
      </w:pPr>
      <w:bookmarkStart w:id="421" w:name="_Hlk122379813"/>
      <w:r w:rsidRPr="00230BC2">
        <w:t xml:space="preserve">On 17 December, </w:t>
      </w:r>
      <w:r w:rsidR="00CB3BD8" w:rsidRPr="00230BC2">
        <w:t xml:space="preserve">the Conference of the Parties </w:t>
      </w:r>
      <w:r w:rsidR="001C10E6" w:rsidRPr="00230BC2">
        <w:t xml:space="preserve">held </w:t>
      </w:r>
      <w:r w:rsidRPr="00230BC2">
        <w:t xml:space="preserve">its </w:t>
      </w:r>
      <w:r w:rsidR="00E4615C" w:rsidRPr="00230BC2">
        <w:t>3</w:t>
      </w:r>
      <w:r w:rsidRPr="00230BC2">
        <w:t>rd plenary session</w:t>
      </w:r>
      <w:r w:rsidR="001979E7" w:rsidRPr="00230BC2">
        <w:t>,</w:t>
      </w:r>
      <w:r w:rsidR="00287C8D" w:rsidRPr="00230BC2">
        <w:t xml:space="preserve"> which served as a second stocktake session</w:t>
      </w:r>
      <w:r w:rsidR="00C77084" w:rsidRPr="00230BC2">
        <w:t>. The session was held</w:t>
      </w:r>
      <w:r w:rsidRPr="00230BC2">
        <w:t xml:space="preserve"> </w:t>
      </w:r>
      <w:r w:rsidR="00976554" w:rsidRPr="00230BC2">
        <w:t>jointly with the Conference of the Parties serving as the meeting of the Parties to the Cartagena Protocol and the Conference of the Parties serving as the meeting of the Parties to the Nagoya Protocol</w:t>
      </w:r>
      <w:r w:rsidR="00C77084" w:rsidRPr="00230BC2">
        <w:t xml:space="preserve">, and </w:t>
      </w:r>
      <w:bookmarkEnd w:id="421"/>
      <w:r w:rsidRPr="00230BC2">
        <w:t xml:space="preserve">the </w:t>
      </w:r>
      <w:r w:rsidR="001D70E1" w:rsidRPr="00230BC2">
        <w:t>C</w:t>
      </w:r>
      <w:r w:rsidRPr="00230BC2">
        <w:t xml:space="preserve">hairs of </w:t>
      </w:r>
      <w:r w:rsidR="001D70E1" w:rsidRPr="00230BC2">
        <w:t>W</w:t>
      </w:r>
      <w:r w:rsidRPr="00230BC2">
        <w:t xml:space="preserve">orking </w:t>
      </w:r>
      <w:r w:rsidR="001D70E1" w:rsidRPr="00230BC2">
        <w:t>G</w:t>
      </w:r>
      <w:r w:rsidRPr="00230BC2">
        <w:t xml:space="preserve">roups </w:t>
      </w:r>
      <w:r w:rsidR="00AC080D" w:rsidRPr="00230BC2">
        <w:t xml:space="preserve">I and II </w:t>
      </w:r>
      <w:r w:rsidRPr="00230BC2">
        <w:t xml:space="preserve">and </w:t>
      </w:r>
      <w:r w:rsidR="00AC080D" w:rsidRPr="00230BC2">
        <w:t xml:space="preserve">of the </w:t>
      </w:r>
      <w:r w:rsidRPr="00230BC2">
        <w:t xml:space="preserve">contact group </w:t>
      </w:r>
      <w:r w:rsidR="00047B3A" w:rsidRPr="00230BC2">
        <w:t xml:space="preserve">on budget </w:t>
      </w:r>
      <w:r w:rsidR="00C77084" w:rsidRPr="00230BC2">
        <w:t>report</w:t>
      </w:r>
      <w:r w:rsidR="00A05F56" w:rsidRPr="00230BC2">
        <w:t>ed</w:t>
      </w:r>
      <w:r w:rsidR="00241C5D" w:rsidRPr="00230BC2">
        <w:t xml:space="preserve"> </w:t>
      </w:r>
      <w:r w:rsidRPr="00230BC2">
        <w:t xml:space="preserve">on the progress made to date. </w:t>
      </w:r>
    </w:p>
    <w:p w14:paraId="15172CA1" w14:textId="708E3D3A" w:rsidR="007242DB" w:rsidRPr="00230BC2" w:rsidRDefault="007242DB" w:rsidP="003466FC">
      <w:pPr>
        <w:pStyle w:val="Para1"/>
      </w:pPr>
      <w:r w:rsidRPr="00230BC2">
        <w:t xml:space="preserve">The </w:t>
      </w:r>
      <w:r w:rsidR="004C074E" w:rsidRPr="00230BC2">
        <w:t>Conference of the Parties</w:t>
      </w:r>
      <w:r w:rsidRPr="00230BC2">
        <w:t xml:space="preserve"> also heard reports </w:t>
      </w:r>
      <w:r w:rsidR="00014E3C" w:rsidRPr="00230BC2">
        <w:t xml:space="preserve">from the ministers leading the </w:t>
      </w:r>
      <w:r w:rsidRPr="00230BC2">
        <w:t>ministerial consultation</w:t>
      </w:r>
      <w:r w:rsidR="00014E3C" w:rsidRPr="00230BC2">
        <w:t>s under the process established by the President during the high-level segment</w:t>
      </w:r>
      <w:r w:rsidRPr="00230BC2">
        <w:t>.</w:t>
      </w:r>
    </w:p>
    <w:p w14:paraId="3517D7E8" w14:textId="0CA49CCD" w:rsidR="007242DB" w:rsidRPr="00230BC2" w:rsidRDefault="007242DB" w:rsidP="003466FC">
      <w:pPr>
        <w:pStyle w:val="Para1"/>
      </w:pPr>
      <w:r w:rsidRPr="00230BC2">
        <w:t xml:space="preserve">Statements were made by representatives of </w:t>
      </w:r>
      <w:r w:rsidR="0025069E" w:rsidRPr="00230BC2">
        <w:t xml:space="preserve">the following Parties: </w:t>
      </w:r>
      <w:r w:rsidRPr="00230BC2">
        <w:t xml:space="preserve">Antigua and Barbuda (on behalf </w:t>
      </w:r>
      <w:r w:rsidR="00014E3C" w:rsidRPr="00230BC2">
        <w:t>of s</w:t>
      </w:r>
      <w:r w:rsidRPr="00230BC2">
        <w:t xml:space="preserve">mall </w:t>
      </w:r>
      <w:r w:rsidR="00014E3C" w:rsidRPr="00230BC2">
        <w:t>i</w:t>
      </w:r>
      <w:r w:rsidRPr="00230BC2">
        <w:t>sland</w:t>
      </w:r>
      <w:r w:rsidR="00014E3C" w:rsidRPr="00230BC2">
        <w:t xml:space="preserve"> d</w:t>
      </w:r>
      <w:r w:rsidRPr="00230BC2">
        <w:t xml:space="preserve">eveloping </w:t>
      </w:r>
      <w:r w:rsidR="0065532C" w:rsidRPr="00230BC2">
        <w:t>S</w:t>
      </w:r>
      <w:r w:rsidRPr="00230BC2">
        <w:t>tates), Argentina, Australia, Bolivia (Plurinational State of), Brazil, Canada, Chile (also on behalf of Colombia, Costa Rica</w:t>
      </w:r>
      <w:r w:rsidR="00001EDF" w:rsidRPr="00230BC2">
        <w:t>,</w:t>
      </w:r>
      <w:r w:rsidRPr="00230BC2">
        <w:t xml:space="preserve"> Mexico and Peru), Colombia, Costa Rica, European Union and its 27</w:t>
      </w:r>
      <w:r w:rsidR="00E2733B" w:rsidRPr="00230BC2">
        <w:t> </w:t>
      </w:r>
      <w:r w:rsidRPr="00230BC2">
        <w:t xml:space="preserve">member States, India, Indonesia, Iran (Islamic Republic of), Japan, Micronesia (Federated States of), New Zealand, Nigeria, Norway, Saint Lucia, Senegal (on behalf of the African </w:t>
      </w:r>
      <w:r w:rsidR="00014E3C" w:rsidRPr="00230BC2">
        <w:t>States</w:t>
      </w:r>
      <w:r w:rsidRPr="00230BC2">
        <w:t xml:space="preserve">), South Africa, Switzerland and United Kingdom. </w:t>
      </w:r>
    </w:p>
    <w:p w14:paraId="6EC2BAB1" w14:textId="6C8673F1" w:rsidR="007242DB" w:rsidRPr="00230BC2" w:rsidRDefault="007242DB" w:rsidP="003466FC">
      <w:pPr>
        <w:pStyle w:val="Para1"/>
      </w:pPr>
      <w:r w:rsidRPr="00230BC2">
        <w:t xml:space="preserve">Statements were also made by </w:t>
      </w:r>
      <w:r w:rsidR="0065532C" w:rsidRPr="00230BC2">
        <w:t xml:space="preserve">the representatives of </w:t>
      </w:r>
      <w:r w:rsidRPr="00230BC2">
        <w:t xml:space="preserve">CBD Alliance, CBD Women Caucus, </w:t>
      </w:r>
      <w:r w:rsidR="007165B5" w:rsidRPr="00230BC2">
        <w:t xml:space="preserve">the International Indigenous Forum on Biodiversity </w:t>
      </w:r>
      <w:r w:rsidRPr="00230BC2">
        <w:t>and</w:t>
      </w:r>
      <w:r w:rsidR="00A35D22" w:rsidRPr="00230BC2">
        <w:t xml:space="preserve"> the International Union for Conservation of Nature</w:t>
      </w:r>
      <w:r w:rsidRPr="00230BC2">
        <w:t>.</w:t>
      </w:r>
    </w:p>
    <w:p w14:paraId="54BB8279" w14:textId="7D1AC2CF" w:rsidR="003D3517" w:rsidRPr="00230BC2" w:rsidRDefault="003D3517" w:rsidP="003466FC">
      <w:pPr>
        <w:pStyle w:val="Para1"/>
      </w:pPr>
      <w:bookmarkStart w:id="422" w:name="_Hlk122380164"/>
      <w:bookmarkStart w:id="423" w:name="_Hlk122379747"/>
      <w:r w:rsidRPr="00230BC2">
        <w:t xml:space="preserve">The Conference of the Parties subsequently agreed to the path forward proposed by the President, whereby </w:t>
      </w:r>
      <w:r w:rsidR="002D5328" w:rsidRPr="00230BC2">
        <w:t>he</w:t>
      </w:r>
      <w:r w:rsidRPr="00230BC2">
        <w:t xml:space="preserve"> would prepare a set of texts constituting a package covering the agenda items closely related to the post-2020 global biodiversity framework, namely</w:t>
      </w:r>
      <w:r w:rsidR="009473EF" w:rsidRPr="00230BC2">
        <w:t>,</w:t>
      </w:r>
      <w:r w:rsidRPr="00230BC2">
        <w:t xml:space="preserve"> item 9 A, on the </w:t>
      </w:r>
      <w:r w:rsidR="008E0F43" w:rsidRPr="00230BC2">
        <w:t xml:space="preserve">post-2020 </w:t>
      </w:r>
      <w:r w:rsidRPr="00230BC2">
        <w:t xml:space="preserve">global biodiversity framework; item 9 B, on </w:t>
      </w:r>
      <w:r w:rsidR="008319FD" w:rsidRPr="00230BC2">
        <w:t>monitoring frameworks for the post-2020 global biodiversity framework</w:t>
      </w:r>
      <w:r w:rsidRPr="00230BC2">
        <w:t>; item 11, on digital sequence information on genetic resources; item 12 A, on</w:t>
      </w:r>
      <w:r w:rsidR="008319FD" w:rsidRPr="00230BC2">
        <w:t xml:space="preserve"> resource mobilization</w:t>
      </w:r>
      <w:r w:rsidRPr="00230BC2">
        <w:t xml:space="preserve">; item </w:t>
      </w:r>
      <w:bookmarkStart w:id="424" w:name="_Hlk122380482"/>
      <w:r w:rsidRPr="00230BC2">
        <w:t>13 A, on capacity-building and technical and scientific cooperation; and item 14, on mechanisms for planning, monitoring, reporting and review</w:t>
      </w:r>
      <w:bookmarkEnd w:id="422"/>
      <w:bookmarkEnd w:id="424"/>
      <w:r w:rsidRPr="00230BC2">
        <w:t>.</w:t>
      </w:r>
    </w:p>
    <w:bookmarkEnd w:id="423"/>
    <w:p w14:paraId="1602160A" w14:textId="23171446" w:rsidR="00EB6395" w:rsidRPr="00285079" w:rsidRDefault="00F34063" w:rsidP="00285079">
      <w:pPr>
        <w:pStyle w:val="BodyText"/>
        <w:ind w:firstLine="0"/>
        <w:jc w:val="left"/>
        <w:rPr>
          <w:i/>
          <w:iCs w:val="0"/>
          <w:snapToGrid w:val="0"/>
        </w:rPr>
      </w:pPr>
      <w:r w:rsidRPr="00285079">
        <w:rPr>
          <w:i/>
          <w:iCs w:val="0"/>
          <w:snapToGrid w:val="0"/>
        </w:rPr>
        <w:t>Second</w:t>
      </w:r>
      <w:r w:rsidR="00EB6395" w:rsidRPr="00285079">
        <w:rPr>
          <w:i/>
          <w:iCs w:val="0"/>
          <w:snapToGrid w:val="0"/>
        </w:rPr>
        <w:t xml:space="preserve"> meeting of the heads of delegation</w:t>
      </w:r>
    </w:p>
    <w:p w14:paraId="69142E7C" w14:textId="6531BF71" w:rsidR="00EB6395" w:rsidRPr="00230BC2" w:rsidRDefault="00EB6395" w:rsidP="003466FC">
      <w:pPr>
        <w:pStyle w:val="Para1"/>
      </w:pPr>
      <w:r w:rsidRPr="00230BC2">
        <w:t xml:space="preserve">On 18 December, a second meeting of </w:t>
      </w:r>
      <w:r w:rsidR="00DF19AA" w:rsidRPr="00230BC2">
        <w:t xml:space="preserve">the </w:t>
      </w:r>
      <w:r w:rsidRPr="00230BC2">
        <w:t xml:space="preserve">heads of delegation was held </w:t>
      </w:r>
      <w:r w:rsidR="00632F60" w:rsidRPr="00230BC2">
        <w:t xml:space="preserve">jointly with the Conference of the Parties serving as the meeting of the Parties to the Cartagena Protocol and the Conference of the Parties serving as the meeting of the Parties to the Nagoya Protocol </w:t>
      </w:r>
      <w:r w:rsidRPr="00230BC2">
        <w:t xml:space="preserve">to </w:t>
      </w:r>
      <w:r w:rsidR="00192FAA" w:rsidRPr="00230BC2">
        <w:t xml:space="preserve">review </w:t>
      </w:r>
      <w:r w:rsidRPr="00230BC2">
        <w:t xml:space="preserve">the draft decisions prepared by the President for the key </w:t>
      </w:r>
      <w:r w:rsidR="00F34063" w:rsidRPr="00230BC2">
        <w:t xml:space="preserve">agenda </w:t>
      </w:r>
      <w:r w:rsidRPr="00230BC2">
        <w:t xml:space="preserve">items </w:t>
      </w:r>
      <w:r w:rsidR="00F34063" w:rsidRPr="00230BC2">
        <w:t>associated with the post-2020 global biodiversity framework</w:t>
      </w:r>
      <w:r w:rsidRPr="00230BC2">
        <w:t xml:space="preserve">. </w:t>
      </w:r>
    </w:p>
    <w:p w14:paraId="0EF7108A" w14:textId="37CF4C72" w:rsidR="00F26CDA" w:rsidRPr="00230BC2" w:rsidRDefault="00EB6395" w:rsidP="003466FC">
      <w:pPr>
        <w:pStyle w:val="Para1"/>
      </w:pPr>
      <w:r w:rsidRPr="00230BC2">
        <w:t xml:space="preserve">Statements were made by representatives of </w:t>
      </w:r>
      <w:r w:rsidR="0025069E" w:rsidRPr="00230BC2">
        <w:t xml:space="preserve">the following Parties: </w:t>
      </w:r>
      <w:r w:rsidR="00F26CDA" w:rsidRPr="00230BC2">
        <w:rPr>
          <w:rStyle w:val="ui-provider"/>
        </w:rPr>
        <w:t>Argentina</w:t>
      </w:r>
      <w:r w:rsidR="00904D85" w:rsidRPr="00230BC2">
        <w:rPr>
          <w:rStyle w:val="ui-provider"/>
        </w:rPr>
        <w:t xml:space="preserve">, </w:t>
      </w:r>
      <w:r w:rsidR="00F26CDA" w:rsidRPr="00230BC2">
        <w:rPr>
          <w:rStyle w:val="ui-provider"/>
        </w:rPr>
        <w:t>Australia</w:t>
      </w:r>
      <w:r w:rsidR="00904D85" w:rsidRPr="00230BC2">
        <w:rPr>
          <w:rStyle w:val="ui-provider"/>
        </w:rPr>
        <w:t xml:space="preserve">, </w:t>
      </w:r>
      <w:r w:rsidR="00F26CDA" w:rsidRPr="00230BC2">
        <w:rPr>
          <w:rStyle w:val="ui-provider"/>
        </w:rPr>
        <w:t>Bolivia</w:t>
      </w:r>
      <w:r w:rsidR="00E977D2" w:rsidRPr="00230BC2">
        <w:rPr>
          <w:rStyle w:val="ui-provider"/>
        </w:rPr>
        <w:t xml:space="preserve"> </w:t>
      </w:r>
      <w:r w:rsidR="00E977D2" w:rsidRPr="00230BC2">
        <w:t>(Plurinational State of)</w:t>
      </w:r>
      <w:r w:rsidR="00B222DD" w:rsidRPr="00230BC2">
        <w:rPr>
          <w:rStyle w:val="ui-provider"/>
        </w:rPr>
        <w:t xml:space="preserve">, </w:t>
      </w:r>
      <w:r w:rsidR="00F26CDA" w:rsidRPr="00230BC2">
        <w:rPr>
          <w:rStyle w:val="ui-provider"/>
        </w:rPr>
        <w:t>Brazil</w:t>
      </w:r>
      <w:r w:rsidR="00B222DD" w:rsidRPr="00230BC2">
        <w:rPr>
          <w:rStyle w:val="ui-provider"/>
        </w:rPr>
        <w:t xml:space="preserve">, </w:t>
      </w:r>
      <w:r w:rsidR="00F26CDA" w:rsidRPr="00230BC2">
        <w:rPr>
          <w:rStyle w:val="ui-provider"/>
        </w:rPr>
        <w:t>Burkina Faso</w:t>
      </w:r>
      <w:r w:rsidR="00B222DD" w:rsidRPr="00230BC2">
        <w:rPr>
          <w:rStyle w:val="ui-provider"/>
        </w:rPr>
        <w:t xml:space="preserve">, </w:t>
      </w:r>
      <w:r w:rsidR="00F26CDA" w:rsidRPr="00230BC2">
        <w:rPr>
          <w:rStyle w:val="ui-provider"/>
        </w:rPr>
        <w:t>Cameroon</w:t>
      </w:r>
      <w:r w:rsidR="00B222DD" w:rsidRPr="00230BC2">
        <w:rPr>
          <w:rStyle w:val="ui-provider"/>
        </w:rPr>
        <w:t xml:space="preserve">, </w:t>
      </w:r>
      <w:r w:rsidR="00F26CDA" w:rsidRPr="00230BC2">
        <w:rPr>
          <w:rStyle w:val="ui-provider"/>
        </w:rPr>
        <w:t>Canada</w:t>
      </w:r>
      <w:r w:rsidR="00B222DD" w:rsidRPr="00230BC2">
        <w:rPr>
          <w:rStyle w:val="ui-provider"/>
        </w:rPr>
        <w:t xml:space="preserve">, </w:t>
      </w:r>
      <w:r w:rsidR="00F26CDA" w:rsidRPr="00230BC2">
        <w:rPr>
          <w:rStyle w:val="ui-provider"/>
        </w:rPr>
        <w:t>Chile</w:t>
      </w:r>
      <w:r w:rsidR="00B222DD" w:rsidRPr="00230BC2">
        <w:rPr>
          <w:rStyle w:val="ui-provider"/>
        </w:rPr>
        <w:t xml:space="preserve">, </w:t>
      </w:r>
      <w:r w:rsidR="00F26CDA" w:rsidRPr="00230BC2">
        <w:rPr>
          <w:rStyle w:val="ui-provider"/>
        </w:rPr>
        <w:t>Colombia</w:t>
      </w:r>
      <w:r w:rsidR="00B222DD" w:rsidRPr="00230BC2">
        <w:rPr>
          <w:rStyle w:val="ui-provider"/>
        </w:rPr>
        <w:t xml:space="preserve">, </w:t>
      </w:r>
      <w:r w:rsidR="00DB0E2A" w:rsidRPr="00230BC2">
        <w:rPr>
          <w:rStyle w:val="ui-provider"/>
        </w:rPr>
        <w:t xml:space="preserve">Cook Islands, </w:t>
      </w:r>
      <w:r w:rsidR="00F26CDA" w:rsidRPr="00230BC2">
        <w:rPr>
          <w:rStyle w:val="ui-provider"/>
        </w:rPr>
        <w:t>Costa Rica</w:t>
      </w:r>
      <w:r w:rsidR="00B222DD" w:rsidRPr="00230BC2">
        <w:rPr>
          <w:rStyle w:val="ui-provider"/>
        </w:rPr>
        <w:t>,</w:t>
      </w:r>
      <w:r w:rsidR="00E977D2" w:rsidRPr="00230BC2">
        <w:rPr>
          <w:rStyle w:val="ui-provider"/>
        </w:rPr>
        <w:t xml:space="preserve"> </w:t>
      </w:r>
      <w:r w:rsidR="00346372" w:rsidRPr="00230BC2">
        <w:t>Democratic Republic of the Congo</w:t>
      </w:r>
      <w:r w:rsidR="00B222DD" w:rsidRPr="00230BC2">
        <w:rPr>
          <w:rStyle w:val="ui-provider"/>
        </w:rPr>
        <w:t xml:space="preserve">, </w:t>
      </w:r>
      <w:r w:rsidR="00F26CDA" w:rsidRPr="00230BC2">
        <w:rPr>
          <w:rStyle w:val="ui-provider"/>
        </w:rPr>
        <w:t>Ecuador</w:t>
      </w:r>
      <w:r w:rsidR="00B222DD" w:rsidRPr="00230BC2">
        <w:rPr>
          <w:rStyle w:val="ui-provider"/>
        </w:rPr>
        <w:t xml:space="preserve">, </w:t>
      </w:r>
      <w:r w:rsidR="00F26CDA" w:rsidRPr="00230BC2">
        <w:rPr>
          <w:rStyle w:val="ui-provider"/>
        </w:rPr>
        <w:t>Egypt</w:t>
      </w:r>
      <w:r w:rsidR="00B222DD" w:rsidRPr="00230BC2">
        <w:rPr>
          <w:rStyle w:val="ui-provider"/>
        </w:rPr>
        <w:t xml:space="preserve">, </w:t>
      </w:r>
      <w:r w:rsidR="00F26CDA" w:rsidRPr="00230BC2">
        <w:rPr>
          <w:rStyle w:val="ui-provider"/>
        </w:rPr>
        <w:t xml:space="preserve">Ethiopia </w:t>
      </w:r>
      <w:r w:rsidR="00851375" w:rsidRPr="00230BC2">
        <w:rPr>
          <w:rStyle w:val="ui-provider"/>
        </w:rPr>
        <w:t>(</w:t>
      </w:r>
      <w:r w:rsidR="00851375" w:rsidRPr="00230BC2">
        <w:t>on behalf of</w:t>
      </w:r>
      <w:r w:rsidR="00F26CDA" w:rsidRPr="00230BC2">
        <w:rPr>
          <w:rStyle w:val="ui-provider"/>
        </w:rPr>
        <w:t xml:space="preserve"> </w:t>
      </w:r>
      <w:r w:rsidR="001A41BC" w:rsidRPr="00230BC2">
        <w:rPr>
          <w:rStyle w:val="ui-provider"/>
        </w:rPr>
        <w:t xml:space="preserve">the </w:t>
      </w:r>
      <w:r w:rsidR="001A41BC" w:rsidRPr="00230BC2">
        <w:t>Group of Like-minded Megadiverse Countries</w:t>
      </w:r>
      <w:r w:rsidR="00851375" w:rsidRPr="00230BC2">
        <w:rPr>
          <w:rStyle w:val="ui-provider"/>
        </w:rPr>
        <w:t>)</w:t>
      </w:r>
      <w:r w:rsidR="00B222DD" w:rsidRPr="00230BC2">
        <w:rPr>
          <w:rStyle w:val="ui-provider"/>
        </w:rPr>
        <w:t xml:space="preserve">, </w:t>
      </w:r>
      <w:r w:rsidR="00F26CDA" w:rsidRPr="00230BC2">
        <w:rPr>
          <w:rStyle w:val="ui-provider"/>
        </w:rPr>
        <w:t>European Union</w:t>
      </w:r>
      <w:r w:rsidR="00894BED" w:rsidRPr="00230BC2">
        <w:rPr>
          <w:rStyle w:val="ui-provider"/>
        </w:rPr>
        <w:t xml:space="preserve"> and its 27 member States</w:t>
      </w:r>
      <w:r w:rsidR="00B222DD" w:rsidRPr="00230BC2">
        <w:rPr>
          <w:rStyle w:val="ui-provider"/>
        </w:rPr>
        <w:t xml:space="preserve">, </w:t>
      </w:r>
      <w:r w:rsidR="00F26CDA" w:rsidRPr="00230BC2">
        <w:rPr>
          <w:rStyle w:val="ui-provider"/>
        </w:rPr>
        <w:t>India</w:t>
      </w:r>
      <w:r w:rsidR="00B222DD" w:rsidRPr="00230BC2">
        <w:rPr>
          <w:rStyle w:val="ui-provider"/>
        </w:rPr>
        <w:t xml:space="preserve">, </w:t>
      </w:r>
      <w:r w:rsidR="00F26CDA" w:rsidRPr="00230BC2">
        <w:rPr>
          <w:rStyle w:val="ui-provider"/>
        </w:rPr>
        <w:t>Indonesia</w:t>
      </w:r>
      <w:r w:rsidR="00B222DD" w:rsidRPr="00230BC2">
        <w:rPr>
          <w:rStyle w:val="ui-provider"/>
        </w:rPr>
        <w:t xml:space="preserve">, </w:t>
      </w:r>
      <w:r w:rsidR="00F26CDA" w:rsidRPr="00230BC2">
        <w:rPr>
          <w:rStyle w:val="ui-provider"/>
        </w:rPr>
        <w:t>Iran</w:t>
      </w:r>
      <w:r w:rsidR="00894BED" w:rsidRPr="00230BC2">
        <w:rPr>
          <w:rStyle w:val="ui-provider"/>
        </w:rPr>
        <w:t xml:space="preserve"> (Islamic Republic of)</w:t>
      </w:r>
      <w:r w:rsidR="00B222DD" w:rsidRPr="00230BC2">
        <w:rPr>
          <w:rStyle w:val="ui-provider"/>
        </w:rPr>
        <w:t xml:space="preserve">, </w:t>
      </w:r>
      <w:r w:rsidR="00F26CDA" w:rsidRPr="00230BC2">
        <w:rPr>
          <w:rStyle w:val="ui-provider"/>
        </w:rPr>
        <w:t>Jamaica</w:t>
      </w:r>
      <w:r w:rsidR="00B222DD" w:rsidRPr="00230BC2">
        <w:rPr>
          <w:rStyle w:val="ui-provider"/>
        </w:rPr>
        <w:t xml:space="preserve">, </w:t>
      </w:r>
      <w:r w:rsidR="00F26CDA" w:rsidRPr="00230BC2">
        <w:rPr>
          <w:rStyle w:val="ui-provider"/>
        </w:rPr>
        <w:t>Japan</w:t>
      </w:r>
      <w:r w:rsidR="00B222DD" w:rsidRPr="00230BC2">
        <w:rPr>
          <w:rStyle w:val="ui-provider"/>
        </w:rPr>
        <w:t xml:space="preserve">, </w:t>
      </w:r>
      <w:r w:rsidR="00F26CDA" w:rsidRPr="00230BC2">
        <w:rPr>
          <w:rStyle w:val="ui-provider"/>
        </w:rPr>
        <w:t>Jordan</w:t>
      </w:r>
      <w:r w:rsidR="00B222DD" w:rsidRPr="00230BC2">
        <w:rPr>
          <w:rStyle w:val="ui-provider"/>
        </w:rPr>
        <w:t xml:space="preserve">, </w:t>
      </w:r>
      <w:r w:rsidR="00F26CDA" w:rsidRPr="00230BC2">
        <w:rPr>
          <w:rStyle w:val="ui-provider"/>
        </w:rPr>
        <w:t>Liberia</w:t>
      </w:r>
      <w:r w:rsidR="00B222DD" w:rsidRPr="00230BC2">
        <w:rPr>
          <w:rStyle w:val="ui-provider"/>
        </w:rPr>
        <w:t xml:space="preserve">, </w:t>
      </w:r>
      <w:r w:rsidR="00F26CDA" w:rsidRPr="00230BC2">
        <w:rPr>
          <w:rStyle w:val="ui-provider"/>
        </w:rPr>
        <w:t>Malawi</w:t>
      </w:r>
      <w:r w:rsidR="00B222DD" w:rsidRPr="00230BC2">
        <w:rPr>
          <w:rStyle w:val="ui-provider"/>
        </w:rPr>
        <w:t xml:space="preserve">, </w:t>
      </w:r>
      <w:r w:rsidR="00F26CDA" w:rsidRPr="00230BC2">
        <w:rPr>
          <w:rStyle w:val="ui-provider"/>
        </w:rPr>
        <w:t>Malaysia</w:t>
      </w:r>
      <w:r w:rsidR="00B222DD" w:rsidRPr="00230BC2">
        <w:rPr>
          <w:rStyle w:val="ui-provider"/>
        </w:rPr>
        <w:t xml:space="preserve">, </w:t>
      </w:r>
      <w:r w:rsidR="00F26CDA" w:rsidRPr="00230BC2">
        <w:rPr>
          <w:rStyle w:val="ui-provider"/>
        </w:rPr>
        <w:t>Maldives</w:t>
      </w:r>
      <w:r w:rsidR="00B222DD" w:rsidRPr="00230BC2">
        <w:rPr>
          <w:rStyle w:val="ui-provider"/>
        </w:rPr>
        <w:t xml:space="preserve">, </w:t>
      </w:r>
      <w:r w:rsidR="00F26CDA" w:rsidRPr="00230BC2">
        <w:rPr>
          <w:rStyle w:val="ui-provider"/>
        </w:rPr>
        <w:t>Mexico</w:t>
      </w:r>
      <w:r w:rsidR="00B222DD" w:rsidRPr="00230BC2">
        <w:rPr>
          <w:rStyle w:val="ui-provider"/>
        </w:rPr>
        <w:t xml:space="preserve">, </w:t>
      </w:r>
      <w:r w:rsidR="00F26CDA" w:rsidRPr="00230BC2">
        <w:rPr>
          <w:rStyle w:val="ui-provider"/>
        </w:rPr>
        <w:t>Namibia</w:t>
      </w:r>
      <w:r w:rsidR="00B222DD" w:rsidRPr="00230BC2">
        <w:rPr>
          <w:rStyle w:val="ui-provider"/>
        </w:rPr>
        <w:t xml:space="preserve">, </w:t>
      </w:r>
      <w:r w:rsidR="00F26CDA" w:rsidRPr="00230BC2">
        <w:rPr>
          <w:rStyle w:val="ui-provider"/>
        </w:rPr>
        <w:t>New Zealand</w:t>
      </w:r>
      <w:r w:rsidR="00B222DD" w:rsidRPr="00230BC2">
        <w:rPr>
          <w:rStyle w:val="ui-provider"/>
        </w:rPr>
        <w:t xml:space="preserve">, </w:t>
      </w:r>
      <w:r w:rsidR="00F26CDA" w:rsidRPr="00230BC2">
        <w:rPr>
          <w:rStyle w:val="ui-provider"/>
        </w:rPr>
        <w:t>Nigeria</w:t>
      </w:r>
      <w:r w:rsidR="00B222DD" w:rsidRPr="00230BC2">
        <w:rPr>
          <w:rStyle w:val="ui-provider"/>
        </w:rPr>
        <w:t xml:space="preserve">, </w:t>
      </w:r>
      <w:r w:rsidR="00F26CDA" w:rsidRPr="00230BC2">
        <w:rPr>
          <w:rStyle w:val="ui-provider"/>
        </w:rPr>
        <w:t>Norway</w:t>
      </w:r>
      <w:r w:rsidR="00B222DD" w:rsidRPr="00230BC2">
        <w:rPr>
          <w:rStyle w:val="ui-provider"/>
        </w:rPr>
        <w:t xml:space="preserve">, </w:t>
      </w:r>
      <w:r w:rsidR="00F26CDA" w:rsidRPr="00230BC2">
        <w:rPr>
          <w:rStyle w:val="ui-provider"/>
        </w:rPr>
        <w:t>Palau</w:t>
      </w:r>
      <w:r w:rsidR="00B222DD" w:rsidRPr="00230BC2">
        <w:rPr>
          <w:rStyle w:val="ui-provider"/>
        </w:rPr>
        <w:t xml:space="preserve">, </w:t>
      </w:r>
      <w:r w:rsidR="00F26CDA" w:rsidRPr="00230BC2">
        <w:rPr>
          <w:rStyle w:val="ui-provider"/>
        </w:rPr>
        <w:t>Panama</w:t>
      </w:r>
      <w:r w:rsidR="00B222DD" w:rsidRPr="00230BC2">
        <w:rPr>
          <w:rStyle w:val="ui-provider"/>
        </w:rPr>
        <w:t xml:space="preserve">, </w:t>
      </w:r>
      <w:r w:rsidR="00F26CDA" w:rsidRPr="00230BC2">
        <w:rPr>
          <w:rStyle w:val="ui-provider"/>
        </w:rPr>
        <w:t>Peru</w:t>
      </w:r>
      <w:r w:rsidR="00B222DD" w:rsidRPr="00230BC2">
        <w:rPr>
          <w:rStyle w:val="ui-provider"/>
        </w:rPr>
        <w:t xml:space="preserve">, </w:t>
      </w:r>
      <w:r w:rsidR="00F26CDA" w:rsidRPr="00230BC2">
        <w:rPr>
          <w:rStyle w:val="ui-provider"/>
        </w:rPr>
        <w:t>Philippines</w:t>
      </w:r>
      <w:r w:rsidR="00B222DD" w:rsidRPr="00230BC2">
        <w:rPr>
          <w:rStyle w:val="ui-provider"/>
        </w:rPr>
        <w:t xml:space="preserve">, </w:t>
      </w:r>
      <w:r w:rsidR="00F26CDA" w:rsidRPr="00230BC2">
        <w:rPr>
          <w:rStyle w:val="ui-provider"/>
        </w:rPr>
        <w:t>Russian Federation</w:t>
      </w:r>
      <w:r w:rsidR="00B222DD" w:rsidRPr="00230BC2">
        <w:rPr>
          <w:rStyle w:val="ui-provider"/>
        </w:rPr>
        <w:t xml:space="preserve">, </w:t>
      </w:r>
      <w:r w:rsidR="00F26CDA" w:rsidRPr="00230BC2">
        <w:rPr>
          <w:rStyle w:val="ui-provider"/>
        </w:rPr>
        <w:t>Samoa</w:t>
      </w:r>
      <w:r w:rsidR="00B222DD" w:rsidRPr="00230BC2">
        <w:rPr>
          <w:rStyle w:val="ui-provider"/>
        </w:rPr>
        <w:t xml:space="preserve">, </w:t>
      </w:r>
      <w:r w:rsidR="00F26CDA" w:rsidRPr="00230BC2">
        <w:rPr>
          <w:rStyle w:val="ui-provider"/>
        </w:rPr>
        <w:t xml:space="preserve">Senegal </w:t>
      </w:r>
      <w:r w:rsidR="00851375" w:rsidRPr="00230BC2">
        <w:rPr>
          <w:rStyle w:val="ui-provider"/>
        </w:rPr>
        <w:t>(on behalf of</w:t>
      </w:r>
      <w:r w:rsidR="00F26CDA" w:rsidRPr="00230BC2">
        <w:rPr>
          <w:rStyle w:val="ui-provider"/>
        </w:rPr>
        <w:t xml:space="preserve"> </w:t>
      </w:r>
      <w:r w:rsidR="00894BED" w:rsidRPr="00230BC2">
        <w:rPr>
          <w:rStyle w:val="ui-provider"/>
        </w:rPr>
        <w:t xml:space="preserve">the </w:t>
      </w:r>
      <w:r w:rsidR="00F26CDA" w:rsidRPr="00230BC2">
        <w:rPr>
          <w:rStyle w:val="ui-provider"/>
        </w:rPr>
        <w:t>Africa</w:t>
      </w:r>
      <w:r w:rsidR="00894BED" w:rsidRPr="00230BC2">
        <w:rPr>
          <w:rStyle w:val="ui-provider"/>
        </w:rPr>
        <w:t>n States</w:t>
      </w:r>
      <w:r w:rsidR="00851375" w:rsidRPr="00230BC2">
        <w:rPr>
          <w:rStyle w:val="ui-provider"/>
        </w:rPr>
        <w:t>)</w:t>
      </w:r>
      <w:r w:rsidR="00B222DD" w:rsidRPr="00230BC2">
        <w:rPr>
          <w:rStyle w:val="ui-provider"/>
        </w:rPr>
        <w:t xml:space="preserve">, </w:t>
      </w:r>
      <w:r w:rsidR="00F26CDA" w:rsidRPr="00230BC2">
        <w:rPr>
          <w:rStyle w:val="ui-provider"/>
        </w:rPr>
        <w:t>South Africa</w:t>
      </w:r>
      <w:r w:rsidR="00B222DD" w:rsidRPr="00230BC2">
        <w:rPr>
          <w:rStyle w:val="ui-provider"/>
        </w:rPr>
        <w:t xml:space="preserve">, </w:t>
      </w:r>
      <w:r w:rsidR="00F26CDA" w:rsidRPr="00230BC2">
        <w:rPr>
          <w:rStyle w:val="ui-provider"/>
        </w:rPr>
        <w:t>Sri Lanka</w:t>
      </w:r>
      <w:r w:rsidR="00B222DD" w:rsidRPr="00230BC2">
        <w:rPr>
          <w:rStyle w:val="ui-provider"/>
        </w:rPr>
        <w:t xml:space="preserve">, </w:t>
      </w:r>
      <w:r w:rsidR="00F26CDA" w:rsidRPr="00230BC2">
        <w:rPr>
          <w:rStyle w:val="ui-provider"/>
        </w:rPr>
        <w:t>Sudan</w:t>
      </w:r>
      <w:r w:rsidR="00B222DD" w:rsidRPr="00230BC2">
        <w:rPr>
          <w:rStyle w:val="ui-provider"/>
        </w:rPr>
        <w:t xml:space="preserve">, </w:t>
      </w:r>
      <w:r w:rsidR="00F26CDA" w:rsidRPr="00230BC2">
        <w:rPr>
          <w:rStyle w:val="ui-provider"/>
        </w:rPr>
        <w:t>Switzerland</w:t>
      </w:r>
      <w:r w:rsidR="00B222DD" w:rsidRPr="00230BC2">
        <w:rPr>
          <w:rStyle w:val="ui-provider"/>
        </w:rPr>
        <w:t xml:space="preserve">, </w:t>
      </w:r>
      <w:r w:rsidR="00F26CDA" w:rsidRPr="00230BC2">
        <w:rPr>
          <w:rStyle w:val="ui-provider"/>
        </w:rPr>
        <w:t>Syria</w:t>
      </w:r>
      <w:r w:rsidR="00894BED" w:rsidRPr="00230BC2">
        <w:rPr>
          <w:rStyle w:val="ui-provider"/>
        </w:rPr>
        <w:t>n Arab Republic</w:t>
      </w:r>
      <w:r w:rsidR="00B222DD" w:rsidRPr="00230BC2">
        <w:rPr>
          <w:rStyle w:val="ui-provider"/>
        </w:rPr>
        <w:t xml:space="preserve">, </w:t>
      </w:r>
      <w:r w:rsidR="00967F95" w:rsidRPr="00230BC2">
        <w:rPr>
          <w:rStyle w:val="ui-provider"/>
        </w:rPr>
        <w:t>Türkiye</w:t>
      </w:r>
      <w:r w:rsidR="00851375" w:rsidRPr="00230BC2">
        <w:rPr>
          <w:rStyle w:val="ui-provider"/>
        </w:rPr>
        <w:t xml:space="preserve">, </w:t>
      </w:r>
      <w:r w:rsidR="00F26CDA" w:rsidRPr="00230BC2">
        <w:rPr>
          <w:rStyle w:val="ui-provider"/>
        </w:rPr>
        <w:t>Tuvalu</w:t>
      </w:r>
      <w:r w:rsidR="00851375" w:rsidRPr="00230BC2">
        <w:rPr>
          <w:rStyle w:val="ui-provider"/>
        </w:rPr>
        <w:t xml:space="preserve">, </w:t>
      </w:r>
      <w:r w:rsidR="00F26CDA" w:rsidRPr="00230BC2">
        <w:rPr>
          <w:rStyle w:val="ui-provider"/>
        </w:rPr>
        <w:t>Uganda</w:t>
      </w:r>
      <w:r w:rsidR="00851375" w:rsidRPr="00230BC2">
        <w:rPr>
          <w:rStyle w:val="ui-provider"/>
        </w:rPr>
        <w:t xml:space="preserve">, </w:t>
      </w:r>
      <w:r w:rsidR="00F26CDA" w:rsidRPr="00230BC2">
        <w:rPr>
          <w:rStyle w:val="ui-provider"/>
        </w:rPr>
        <w:t>United Kingdom</w:t>
      </w:r>
      <w:r w:rsidR="00851375" w:rsidRPr="00230BC2">
        <w:rPr>
          <w:rStyle w:val="ui-provider"/>
        </w:rPr>
        <w:t xml:space="preserve">, </w:t>
      </w:r>
      <w:r w:rsidR="00894BED" w:rsidRPr="00230BC2">
        <w:rPr>
          <w:rStyle w:val="ui-provider"/>
        </w:rPr>
        <w:t xml:space="preserve">United Republic of Tanzania, </w:t>
      </w:r>
      <w:r w:rsidR="00F26CDA" w:rsidRPr="00230BC2">
        <w:rPr>
          <w:rStyle w:val="ui-provider"/>
        </w:rPr>
        <w:t>Uruguay</w:t>
      </w:r>
      <w:r w:rsidR="00851375" w:rsidRPr="00230BC2">
        <w:rPr>
          <w:rStyle w:val="ui-provider"/>
        </w:rPr>
        <w:t xml:space="preserve"> and </w:t>
      </w:r>
      <w:r w:rsidR="00F26CDA" w:rsidRPr="00230BC2">
        <w:rPr>
          <w:rStyle w:val="ui-provider"/>
        </w:rPr>
        <w:t>Vanuatu</w:t>
      </w:r>
      <w:r w:rsidR="00851375" w:rsidRPr="00230BC2">
        <w:rPr>
          <w:rStyle w:val="ui-provider"/>
        </w:rPr>
        <w:t>.</w:t>
      </w:r>
    </w:p>
    <w:p w14:paraId="33766F4E" w14:textId="3F096550" w:rsidR="00EB6395" w:rsidRPr="00285079" w:rsidRDefault="00714F4D" w:rsidP="00285079">
      <w:pPr>
        <w:pStyle w:val="BodyText"/>
        <w:ind w:firstLine="0"/>
        <w:jc w:val="left"/>
        <w:rPr>
          <w:i/>
          <w:iCs w:val="0"/>
          <w:snapToGrid w:val="0"/>
        </w:rPr>
      </w:pPr>
      <w:r w:rsidRPr="00285079">
        <w:rPr>
          <w:i/>
          <w:iCs w:val="0"/>
          <w:snapToGrid w:val="0"/>
        </w:rPr>
        <w:t>Consideration</w:t>
      </w:r>
      <w:r w:rsidR="00F34063" w:rsidRPr="00285079">
        <w:rPr>
          <w:i/>
          <w:iCs w:val="0"/>
          <w:snapToGrid w:val="0"/>
        </w:rPr>
        <w:t xml:space="preserve"> of a package of draft decisions on the post-2020 global biodiversity framework</w:t>
      </w:r>
      <w:r w:rsidR="00CC2F9E" w:rsidRPr="00285079">
        <w:rPr>
          <w:i/>
          <w:iCs w:val="0"/>
          <w:snapToGrid w:val="0"/>
        </w:rPr>
        <w:t xml:space="preserve"> for adoption</w:t>
      </w:r>
    </w:p>
    <w:p w14:paraId="4F4EDD32" w14:textId="4557588A" w:rsidR="00107125" w:rsidRPr="00230BC2" w:rsidRDefault="00107125" w:rsidP="003466FC">
      <w:pPr>
        <w:pStyle w:val="Para1"/>
      </w:pPr>
      <w:r w:rsidRPr="00230BC2">
        <w:t xml:space="preserve">At the </w:t>
      </w:r>
      <w:r w:rsidR="00E4615C" w:rsidRPr="00230BC2">
        <w:t>4</w:t>
      </w:r>
      <w:r w:rsidRPr="00230BC2">
        <w:t>th plenary session</w:t>
      </w:r>
      <w:r w:rsidR="00893FBA" w:rsidRPr="00230BC2">
        <w:t>,</w:t>
      </w:r>
      <w:r w:rsidRPr="00230BC2">
        <w:t xml:space="preserve"> on 19 December</w:t>
      </w:r>
      <w:r w:rsidR="00C12920" w:rsidRPr="00230BC2">
        <w:t xml:space="preserve"> 2022</w:t>
      </w:r>
      <w:r w:rsidRPr="00230BC2">
        <w:t>, the President introduced a set of draft decisions</w:t>
      </w:r>
      <w:r w:rsidR="00025A23" w:rsidRPr="00230BC2">
        <w:t xml:space="preserve"> proposed for</w:t>
      </w:r>
      <w:r w:rsidRPr="00230BC2">
        <w:t xml:space="preserve"> </w:t>
      </w:r>
      <w:r w:rsidR="00025A23" w:rsidRPr="00230BC2">
        <w:t>adoption</w:t>
      </w:r>
      <w:r w:rsidRPr="00230BC2">
        <w:t xml:space="preserve"> by the Conference of the Parties</w:t>
      </w:r>
      <w:r w:rsidR="00025A23" w:rsidRPr="00230BC2">
        <w:t xml:space="preserve"> as a package</w:t>
      </w:r>
      <w:r w:rsidR="003D3517" w:rsidRPr="00230BC2">
        <w:t xml:space="preserve">, </w:t>
      </w:r>
      <w:r w:rsidR="004E2DD6" w:rsidRPr="00230BC2">
        <w:t>which</w:t>
      </w:r>
      <w:r w:rsidR="008C18A1" w:rsidRPr="00230BC2">
        <w:t xml:space="preserve"> </w:t>
      </w:r>
      <w:r w:rsidR="003D3517" w:rsidRPr="00230BC2">
        <w:t>cover</w:t>
      </w:r>
      <w:r w:rsidR="008C18A1" w:rsidRPr="00230BC2">
        <w:t>ed</w:t>
      </w:r>
      <w:r w:rsidR="007930A4" w:rsidRPr="00230BC2">
        <w:t xml:space="preserve"> the </w:t>
      </w:r>
      <w:r w:rsidR="00F32E16" w:rsidRPr="00230BC2">
        <w:t>Kunming-Montreal Global Biodiversity Framework (</w:t>
      </w:r>
      <w:r w:rsidR="004C2DDB" w:rsidRPr="00230BC2">
        <w:t>CBD/COP/15/</w:t>
      </w:r>
      <w:r w:rsidR="00015986" w:rsidRPr="00230BC2">
        <w:t xml:space="preserve">L.25), </w:t>
      </w:r>
      <w:r w:rsidR="00CE008F" w:rsidRPr="00230BC2">
        <w:t>the monitoring framework for the Kunming-Montreal Global Biodiversity Framework (</w:t>
      </w:r>
      <w:r w:rsidR="004C2DDB" w:rsidRPr="00230BC2">
        <w:t>CBD/COP/15/</w:t>
      </w:r>
      <w:r w:rsidR="00CE008F" w:rsidRPr="00230BC2">
        <w:t>L.</w:t>
      </w:r>
      <w:r w:rsidR="00186188" w:rsidRPr="00230BC2">
        <w:t xml:space="preserve">26), </w:t>
      </w:r>
      <w:r w:rsidR="00767AD6" w:rsidRPr="00230BC2">
        <w:t>mechanisms for planning, monitoring, reporting and review (</w:t>
      </w:r>
      <w:r w:rsidR="004C2DDB" w:rsidRPr="00230BC2">
        <w:t>CBD/COP/15/</w:t>
      </w:r>
      <w:r w:rsidR="00767AD6" w:rsidRPr="00230BC2">
        <w:t>L.27)</w:t>
      </w:r>
      <w:r w:rsidR="00FD1614" w:rsidRPr="00230BC2">
        <w:t>, capacity-building and development and technical and scientific cooperation (</w:t>
      </w:r>
      <w:r w:rsidR="004C2DDB" w:rsidRPr="00230BC2">
        <w:t>CBD/COP/15/</w:t>
      </w:r>
      <w:r w:rsidR="00FD1614" w:rsidRPr="00230BC2">
        <w:t xml:space="preserve">L.28), </w:t>
      </w:r>
      <w:r w:rsidR="00063D6D" w:rsidRPr="00230BC2">
        <w:t>resource mobilization (</w:t>
      </w:r>
      <w:r w:rsidR="004C2DDB" w:rsidRPr="00230BC2">
        <w:t>CBD/COP/15/</w:t>
      </w:r>
      <w:r w:rsidR="00063D6D" w:rsidRPr="00230BC2">
        <w:t>L.29)</w:t>
      </w:r>
      <w:r w:rsidR="005E0759" w:rsidRPr="00230BC2">
        <w:t xml:space="preserve"> and digital sequence information on genetic resources (</w:t>
      </w:r>
      <w:r w:rsidR="004C2DDB" w:rsidRPr="00230BC2">
        <w:t>CBD/COP/15/</w:t>
      </w:r>
      <w:r w:rsidR="005E0759" w:rsidRPr="00230BC2">
        <w:t>L.30).</w:t>
      </w:r>
      <w:r w:rsidR="000077DD">
        <w:rPr>
          <w:rStyle w:val="FootnoteReference"/>
        </w:rPr>
        <w:footnoteReference w:customMarkFollows="1" w:id="398"/>
        <w:t>4</w:t>
      </w:r>
    </w:p>
    <w:p w14:paraId="1F88A14E" w14:textId="7404D42D" w:rsidR="00107125" w:rsidRPr="00230BC2" w:rsidRDefault="00107125" w:rsidP="003466FC">
      <w:pPr>
        <w:pStyle w:val="Para1"/>
      </w:pPr>
      <w:r w:rsidRPr="00230BC2">
        <w:t xml:space="preserve">Statements were made by representatives of </w:t>
      </w:r>
      <w:r w:rsidR="0025069E" w:rsidRPr="00230BC2">
        <w:t xml:space="preserve">the following Parties: </w:t>
      </w:r>
      <w:r w:rsidRPr="00230BC2">
        <w:t>Cameroon, Canada, Democratic Republic of the Congo, Egypt, Gabon, Mexico, Namibia, Rwanda and Uganda.</w:t>
      </w:r>
      <w:r w:rsidR="00E654EC" w:rsidRPr="00230BC2">
        <w:t xml:space="preserve"> </w:t>
      </w:r>
    </w:p>
    <w:p w14:paraId="24CA66B8" w14:textId="30B9F076" w:rsidR="006B4176" w:rsidRPr="00230BC2" w:rsidRDefault="00C96813" w:rsidP="003466FC">
      <w:pPr>
        <w:pStyle w:val="Para1"/>
      </w:pPr>
      <w:r w:rsidRPr="00230BC2">
        <w:t xml:space="preserve">Following the statement by the </w:t>
      </w:r>
      <w:r w:rsidR="00640F42" w:rsidRPr="00230BC2">
        <w:t xml:space="preserve">representative of the </w:t>
      </w:r>
      <w:r w:rsidRPr="00230BC2">
        <w:t xml:space="preserve">Democratic Republic of the Congo, the representatives of Cameroon and </w:t>
      </w:r>
      <w:r w:rsidR="006B4176" w:rsidRPr="00230BC2">
        <w:t xml:space="preserve">Uganda stated that </w:t>
      </w:r>
      <w:r w:rsidRPr="00230BC2">
        <w:t xml:space="preserve">they </w:t>
      </w:r>
      <w:r w:rsidR="006B4176" w:rsidRPr="00230BC2">
        <w:t xml:space="preserve">wished to put on record </w:t>
      </w:r>
      <w:r w:rsidRPr="00230BC2">
        <w:t xml:space="preserve">their </w:t>
      </w:r>
      <w:r w:rsidR="006B4176" w:rsidRPr="00230BC2">
        <w:t xml:space="preserve">reservations on the procedure under which the </w:t>
      </w:r>
      <w:r w:rsidR="00173DDF" w:rsidRPr="00230BC2">
        <w:t xml:space="preserve">set of </w:t>
      </w:r>
      <w:r w:rsidR="006B4176" w:rsidRPr="00230BC2">
        <w:t xml:space="preserve">decisions </w:t>
      </w:r>
      <w:r w:rsidR="004F016A" w:rsidRPr="00230BC2">
        <w:t xml:space="preserve">was </w:t>
      </w:r>
      <w:r w:rsidR="006B4176" w:rsidRPr="00230BC2">
        <w:t>adopt</w:t>
      </w:r>
      <w:r w:rsidR="00217FE7" w:rsidRPr="00230BC2">
        <w:t>ed</w:t>
      </w:r>
      <w:r w:rsidR="004F016A" w:rsidRPr="00230BC2">
        <w:t>,</w:t>
      </w:r>
      <w:r w:rsidR="006B4176" w:rsidRPr="00230BC2">
        <w:t xml:space="preserve"> to avoid setting a precedent for future proceedings </w:t>
      </w:r>
      <w:r w:rsidR="00894BED" w:rsidRPr="00230BC2">
        <w:t>of</w:t>
      </w:r>
      <w:r w:rsidR="006B4176" w:rsidRPr="00230BC2">
        <w:t xml:space="preserve"> the </w:t>
      </w:r>
      <w:r w:rsidR="004D2A3C" w:rsidRPr="00230BC2">
        <w:t>Conference of the Parties</w:t>
      </w:r>
      <w:r w:rsidR="006B4176" w:rsidRPr="00230BC2">
        <w:t xml:space="preserve">. </w:t>
      </w:r>
    </w:p>
    <w:p w14:paraId="57510CB7" w14:textId="684AA6B9" w:rsidR="00643DA8" w:rsidRPr="00230BC2" w:rsidRDefault="00025A23" w:rsidP="003466FC">
      <w:pPr>
        <w:pStyle w:val="Para1"/>
      </w:pPr>
      <w:r w:rsidRPr="00230BC2">
        <w:t xml:space="preserve">At the </w:t>
      </w:r>
      <w:r w:rsidR="00E4615C" w:rsidRPr="00230BC2">
        <w:t>5</w:t>
      </w:r>
      <w:r w:rsidRPr="00230BC2">
        <w:t>th plenary session</w:t>
      </w:r>
      <w:r w:rsidR="00D94EB4" w:rsidRPr="00230BC2">
        <w:t>,</w:t>
      </w:r>
      <w:r w:rsidRPr="00230BC2">
        <w:t xml:space="preserve"> the representative of the Democratic Republic of the Congo</w:t>
      </w:r>
      <w:r w:rsidR="00EE7675" w:rsidRPr="00230BC2">
        <w:t>, asking that her comments be reflected in the present report, said</w:t>
      </w:r>
      <w:r w:rsidR="00003F6B" w:rsidRPr="00230BC2">
        <w:t xml:space="preserve"> that</w:t>
      </w:r>
      <w:r w:rsidR="007E07C7" w:rsidRPr="00230BC2">
        <w:t>,</w:t>
      </w:r>
      <w:r w:rsidR="00003F6B" w:rsidRPr="00230BC2">
        <w:t xml:space="preserve"> </w:t>
      </w:r>
      <w:r w:rsidR="00964710" w:rsidRPr="00230BC2">
        <w:t xml:space="preserve">while </w:t>
      </w:r>
      <w:r w:rsidR="00003F6B" w:rsidRPr="00230BC2">
        <w:t>her Government</w:t>
      </w:r>
      <w:r w:rsidR="003E3519" w:rsidRPr="00230BC2">
        <w:t xml:space="preserve"> </w:t>
      </w:r>
      <w:r w:rsidR="003E3519" w:rsidRPr="00230BC2">
        <w:rPr>
          <w:bCs/>
        </w:rPr>
        <w:t xml:space="preserve">welcomed the adoption of </w:t>
      </w:r>
      <w:r w:rsidR="00BA5B6F" w:rsidRPr="00230BC2">
        <w:rPr>
          <w:bCs/>
        </w:rPr>
        <w:t xml:space="preserve">the </w:t>
      </w:r>
      <w:r w:rsidR="003E3519" w:rsidRPr="00230BC2">
        <w:rPr>
          <w:bCs/>
        </w:rPr>
        <w:t>post-2020 global biodiversity framework and the five related decisions</w:t>
      </w:r>
      <w:r w:rsidR="00964710" w:rsidRPr="00230BC2">
        <w:rPr>
          <w:bCs/>
        </w:rPr>
        <w:t>, it</w:t>
      </w:r>
      <w:r w:rsidR="003E3519" w:rsidRPr="00230BC2">
        <w:rPr>
          <w:bCs/>
        </w:rPr>
        <w:t xml:space="preserve"> </w:t>
      </w:r>
      <w:r w:rsidR="00EE7675" w:rsidRPr="00230BC2">
        <w:rPr>
          <w:bCs/>
        </w:rPr>
        <w:t>had</w:t>
      </w:r>
      <w:r w:rsidR="00003F6B" w:rsidRPr="00230BC2">
        <w:t xml:space="preserve"> </w:t>
      </w:r>
      <w:r w:rsidR="003E3519" w:rsidRPr="00230BC2">
        <w:t>reservation</w:t>
      </w:r>
      <w:r w:rsidR="00EE7675" w:rsidRPr="00230BC2">
        <w:t>s</w:t>
      </w:r>
      <w:r w:rsidR="003E3519" w:rsidRPr="00230BC2">
        <w:t xml:space="preserve"> with respect to </w:t>
      </w:r>
      <w:r w:rsidR="00F2546F" w:rsidRPr="00230BC2">
        <w:rPr>
          <w:bCs/>
        </w:rPr>
        <w:t>T</w:t>
      </w:r>
      <w:r w:rsidR="003E3519" w:rsidRPr="00230BC2">
        <w:rPr>
          <w:bCs/>
        </w:rPr>
        <w:t>arget 19 of the Kunming-Montreal Global Biodiversity Framework</w:t>
      </w:r>
      <w:r w:rsidR="00C918A7" w:rsidRPr="00230BC2">
        <w:rPr>
          <w:bCs/>
        </w:rPr>
        <w:t xml:space="preserve"> </w:t>
      </w:r>
      <w:r w:rsidR="003E3519" w:rsidRPr="00230BC2">
        <w:rPr>
          <w:bCs/>
        </w:rPr>
        <w:t xml:space="preserve">and </w:t>
      </w:r>
      <w:r w:rsidR="005C1552" w:rsidRPr="00230BC2">
        <w:rPr>
          <w:bCs/>
        </w:rPr>
        <w:t>to</w:t>
      </w:r>
      <w:r w:rsidR="00C918A7" w:rsidRPr="00230BC2">
        <w:rPr>
          <w:bCs/>
        </w:rPr>
        <w:t xml:space="preserve"> </w:t>
      </w:r>
      <w:r w:rsidR="003E3519" w:rsidRPr="00230BC2">
        <w:rPr>
          <w:bCs/>
        </w:rPr>
        <w:t>decision 15/</w:t>
      </w:r>
      <w:r w:rsidR="00C918A7" w:rsidRPr="00230BC2">
        <w:rPr>
          <w:bCs/>
        </w:rPr>
        <w:t>7</w:t>
      </w:r>
      <w:r w:rsidR="003E3519" w:rsidRPr="00230BC2">
        <w:rPr>
          <w:bCs/>
        </w:rPr>
        <w:t>, on resource mobilization</w:t>
      </w:r>
      <w:r w:rsidR="00964710" w:rsidRPr="00230BC2">
        <w:rPr>
          <w:bCs/>
        </w:rPr>
        <w:t xml:space="preserve">, </w:t>
      </w:r>
      <w:r w:rsidR="00C918A7" w:rsidRPr="00230BC2">
        <w:rPr>
          <w:bCs/>
        </w:rPr>
        <w:t xml:space="preserve">with regard to funding and the funding mechanism, and </w:t>
      </w:r>
      <w:r w:rsidR="00487734" w:rsidRPr="00230BC2">
        <w:rPr>
          <w:bCs/>
        </w:rPr>
        <w:t xml:space="preserve">that it </w:t>
      </w:r>
      <w:r w:rsidR="00C918A7" w:rsidRPr="00230BC2">
        <w:rPr>
          <w:bCs/>
        </w:rPr>
        <w:t xml:space="preserve">called for the implementation of </w:t>
      </w:r>
      <w:r w:rsidR="00CE3F6F" w:rsidRPr="00230BC2">
        <w:rPr>
          <w:bCs/>
        </w:rPr>
        <w:t>A</w:t>
      </w:r>
      <w:r w:rsidR="00964710" w:rsidRPr="00230BC2">
        <w:rPr>
          <w:bCs/>
        </w:rPr>
        <w:t>rticle 21 of the Convention</w:t>
      </w:r>
      <w:r w:rsidR="006C7FDA" w:rsidRPr="00230BC2">
        <w:rPr>
          <w:bCs/>
        </w:rPr>
        <w:t xml:space="preserve">, in particular </w:t>
      </w:r>
      <w:r w:rsidR="00C96813" w:rsidRPr="00230BC2">
        <w:rPr>
          <w:bCs/>
        </w:rPr>
        <w:t>through</w:t>
      </w:r>
      <w:r w:rsidR="006C7FDA" w:rsidRPr="00230BC2">
        <w:rPr>
          <w:bCs/>
        </w:rPr>
        <w:t xml:space="preserve"> the creation of </w:t>
      </w:r>
      <w:r w:rsidR="00C96813" w:rsidRPr="00230BC2">
        <w:rPr>
          <w:bCs/>
        </w:rPr>
        <w:t xml:space="preserve">a special fund dedicated to biodiversity, under the authority of </w:t>
      </w:r>
      <w:r w:rsidR="006C7FDA" w:rsidRPr="00230BC2">
        <w:rPr>
          <w:bCs/>
        </w:rPr>
        <w:t>the Convention</w:t>
      </w:r>
      <w:r w:rsidR="003E3519" w:rsidRPr="00230BC2">
        <w:rPr>
          <w:bCs/>
        </w:rPr>
        <w:t xml:space="preserve">. </w:t>
      </w:r>
    </w:p>
    <w:p w14:paraId="0A08B0C9" w14:textId="3E6DA3ED" w:rsidR="00EF5547" w:rsidRPr="00230BC2" w:rsidRDefault="00E44D20" w:rsidP="003466FC">
      <w:pPr>
        <w:pStyle w:val="Para1"/>
        <w:numPr>
          <w:ilvl w:val="0"/>
          <w:numId w:val="0"/>
        </w:numPr>
        <w:rPr>
          <w:i/>
          <w:iCs/>
        </w:rPr>
      </w:pPr>
      <w:r w:rsidRPr="00230BC2">
        <w:rPr>
          <w:i/>
          <w:iCs/>
        </w:rPr>
        <w:t>Resumed second part</w:t>
      </w:r>
    </w:p>
    <w:p w14:paraId="09BB92A4" w14:textId="5BB736C7" w:rsidR="00A743D6" w:rsidRPr="00230BC2" w:rsidRDefault="00A743D6" w:rsidP="00A743D6">
      <w:pPr>
        <w:pStyle w:val="Para1"/>
        <w:numPr>
          <w:ilvl w:val="0"/>
          <w:numId w:val="4"/>
        </w:numPr>
        <w:rPr>
          <w:snapToGrid/>
          <w:szCs w:val="24"/>
        </w:rPr>
      </w:pPr>
      <w:r w:rsidRPr="00230BC2">
        <w:t xml:space="preserve">At its 6th plenary session, the Conference of the Parties considered a document prepared by the Secretariat on the proposed organization of work for the resumed second part of its </w:t>
      </w:r>
      <w:r w:rsidR="002A6085" w:rsidRPr="00230BC2">
        <w:t xml:space="preserve">fifteenth </w:t>
      </w:r>
      <w:r w:rsidRPr="00230BC2">
        <w:t>meeting (CBD/C</w:t>
      </w:r>
      <w:r w:rsidR="00C96813" w:rsidRPr="00230BC2">
        <w:t>O</w:t>
      </w:r>
      <w:r w:rsidRPr="00230BC2">
        <w:t>P/1</w:t>
      </w:r>
      <w:r w:rsidR="00C96813" w:rsidRPr="00230BC2">
        <w:t>5</w:t>
      </w:r>
      <w:r w:rsidRPr="00230BC2">
        <w:t>/1/Add.</w:t>
      </w:r>
      <w:r w:rsidR="00C96813" w:rsidRPr="00230BC2">
        <w:t>5</w:t>
      </w:r>
      <w:r w:rsidRPr="00230BC2">
        <w:t>, annex II)</w:t>
      </w:r>
      <w:r w:rsidRPr="00230BC2">
        <w:rPr>
          <w:bCs/>
        </w:rPr>
        <w:t xml:space="preserve"> and agreed to organize its work as set out therein</w:t>
      </w:r>
      <w:r w:rsidR="002A6085" w:rsidRPr="00230BC2">
        <w:rPr>
          <w:bCs/>
        </w:rPr>
        <w:t>,</w:t>
      </w:r>
      <w:r w:rsidRPr="00230BC2">
        <w:rPr>
          <w:bCs/>
        </w:rPr>
        <w:t xml:space="preserve"> </w:t>
      </w:r>
      <w:r w:rsidR="00C261E9" w:rsidRPr="00230BC2">
        <w:rPr>
          <w:bCs/>
        </w:rPr>
        <w:t>except</w:t>
      </w:r>
      <w:r w:rsidRPr="00230BC2">
        <w:rPr>
          <w:rStyle w:val="ui-provider"/>
        </w:rPr>
        <w:t xml:space="preserve"> that the election of officers, under agenda item 2</w:t>
      </w:r>
      <w:r w:rsidR="00B85063" w:rsidRPr="00230BC2">
        <w:rPr>
          <w:rStyle w:val="ui-provider"/>
        </w:rPr>
        <w:t>,</w:t>
      </w:r>
      <w:r w:rsidRPr="00230BC2">
        <w:rPr>
          <w:rStyle w:val="ui-provider"/>
        </w:rPr>
        <w:t xml:space="preserve"> would be held immediately after the consideration of credentials (agenda item 3).</w:t>
      </w:r>
    </w:p>
    <w:bookmarkEnd w:id="418"/>
    <w:bookmarkEnd w:id="419"/>
    <w:p w14:paraId="740B4800" w14:textId="56034CBD" w:rsidR="00D77560" w:rsidRPr="00230BC2" w:rsidRDefault="00D77560" w:rsidP="00950BE4">
      <w:pPr>
        <w:keepNext/>
        <w:suppressLineNumbers/>
        <w:tabs>
          <w:tab w:val="left" w:pos="810"/>
        </w:tabs>
        <w:suppressAutoHyphens/>
        <w:kinsoku w:val="0"/>
        <w:overflowPunct w:val="0"/>
        <w:autoSpaceDE w:val="0"/>
        <w:autoSpaceDN w:val="0"/>
        <w:adjustRightInd w:val="0"/>
        <w:snapToGrid w:val="0"/>
        <w:spacing w:before="240" w:after="120"/>
        <w:ind w:left="1559" w:hanging="1134"/>
        <w:jc w:val="left"/>
        <w:rPr>
          <w:b/>
          <w:bCs/>
          <w:snapToGrid w:val="0"/>
          <w:kern w:val="22"/>
          <w:szCs w:val="22"/>
        </w:rPr>
      </w:pPr>
      <w:r w:rsidRPr="00230BC2">
        <w:rPr>
          <w:b/>
          <w:bCs/>
          <w:snapToGrid w:val="0"/>
          <w:kern w:val="22"/>
          <w:szCs w:val="22"/>
        </w:rPr>
        <w:t>Item 3.</w:t>
      </w:r>
      <w:r w:rsidRPr="00230BC2">
        <w:rPr>
          <w:b/>
          <w:bCs/>
          <w:snapToGrid w:val="0"/>
          <w:kern w:val="22"/>
          <w:szCs w:val="22"/>
        </w:rPr>
        <w:tab/>
        <w:t xml:space="preserve">Report on the credentials of </w:t>
      </w:r>
      <w:r w:rsidRPr="00230BC2">
        <w:rPr>
          <w:b/>
          <w:bCs/>
          <w:iCs/>
          <w:snapToGrid w:val="0"/>
          <w:kern w:val="22"/>
          <w:szCs w:val="22"/>
        </w:rPr>
        <w:t>representatives</w:t>
      </w:r>
      <w:r w:rsidRPr="00230BC2">
        <w:rPr>
          <w:b/>
          <w:bCs/>
          <w:snapToGrid w:val="0"/>
          <w:kern w:val="22"/>
          <w:szCs w:val="22"/>
        </w:rPr>
        <w:t xml:space="preserve"> to the fifteenth meeting of the Conference of the Parties</w:t>
      </w:r>
    </w:p>
    <w:p w14:paraId="67750805" w14:textId="6EF35719" w:rsidR="00A944A0" w:rsidRPr="00230BC2" w:rsidRDefault="00AD3928" w:rsidP="003466FC">
      <w:pPr>
        <w:pStyle w:val="Para1"/>
      </w:pPr>
      <w:bookmarkStart w:id="425" w:name="_Hlk122109317"/>
      <w:r w:rsidRPr="00230BC2">
        <w:t>A</w:t>
      </w:r>
      <w:r w:rsidR="00A944A0" w:rsidRPr="00230BC2">
        <w:t xml:space="preserve">t </w:t>
      </w:r>
      <w:r w:rsidR="00F12685" w:rsidRPr="00230BC2">
        <w:t xml:space="preserve">its </w:t>
      </w:r>
      <w:r w:rsidR="00E4615C" w:rsidRPr="00230BC2">
        <w:t>1</w:t>
      </w:r>
      <w:r w:rsidR="00635790" w:rsidRPr="00230BC2">
        <w:t>st</w:t>
      </w:r>
      <w:r w:rsidR="00A944A0" w:rsidRPr="00230BC2">
        <w:t xml:space="preserve"> </w:t>
      </w:r>
      <w:r w:rsidR="004A478A" w:rsidRPr="00230BC2">
        <w:t xml:space="preserve">plenary </w:t>
      </w:r>
      <w:r w:rsidR="00A944A0" w:rsidRPr="00230BC2">
        <w:t>session</w:t>
      </w:r>
      <w:r w:rsidR="00F12685" w:rsidRPr="00230BC2">
        <w:t>,</w:t>
      </w:r>
      <w:r w:rsidR="00A944A0" w:rsidRPr="00230BC2">
        <w:t xml:space="preserve"> </w:t>
      </w:r>
      <w:r w:rsidRPr="00230BC2">
        <w:t>the Conference of the Parties note</w:t>
      </w:r>
      <w:r w:rsidR="009503C8" w:rsidRPr="00230BC2">
        <w:t>d</w:t>
      </w:r>
      <w:r w:rsidRPr="00230BC2">
        <w:t xml:space="preserve"> that, in accordance with the relevant rules of procedure </w:t>
      </w:r>
      <w:r w:rsidR="004B07C0" w:rsidRPr="00230BC2">
        <w:t xml:space="preserve">for </w:t>
      </w:r>
      <w:r w:rsidR="00395481" w:rsidRPr="00230BC2">
        <w:t>meetings</w:t>
      </w:r>
      <w:r w:rsidRPr="00230BC2">
        <w:t xml:space="preserve"> of the </w:t>
      </w:r>
      <w:r w:rsidR="004B07C0" w:rsidRPr="00230BC2">
        <w:t>Conference of the Parties</w:t>
      </w:r>
      <w:r w:rsidRPr="00230BC2">
        <w:t>, the Bureau had reviewed the list of observers admitted to the meeting (</w:t>
      </w:r>
      <w:r w:rsidR="004B07C0" w:rsidRPr="00230BC2">
        <w:t xml:space="preserve">CBD/COP/15/INF/2) and would examine the credentials of delegations and report </w:t>
      </w:r>
      <w:r w:rsidR="007460BB" w:rsidRPr="00230BC2">
        <w:t>thereon</w:t>
      </w:r>
      <w:r w:rsidR="004B07C0" w:rsidRPr="00230BC2">
        <w:t xml:space="preserve"> at a later session</w:t>
      </w:r>
      <w:r w:rsidR="00A944A0" w:rsidRPr="00230BC2">
        <w:t>.</w:t>
      </w:r>
    </w:p>
    <w:p w14:paraId="30B1E5B3" w14:textId="17004E41" w:rsidR="007242DB" w:rsidRPr="00230BC2" w:rsidRDefault="00006E4F" w:rsidP="003466FC">
      <w:pPr>
        <w:pStyle w:val="Para1"/>
      </w:pPr>
      <w:r w:rsidRPr="00230BC2">
        <w:t>A</w:t>
      </w:r>
      <w:r w:rsidR="004B07C0" w:rsidRPr="00230BC2">
        <w:t>ccordingly, a</w:t>
      </w:r>
      <w:r w:rsidRPr="00230BC2">
        <w:t xml:space="preserve">t the </w:t>
      </w:r>
      <w:r w:rsidR="00E4615C" w:rsidRPr="00230BC2">
        <w:t>2</w:t>
      </w:r>
      <w:r w:rsidR="00634347" w:rsidRPr="00230BC2">
        <w:t>nd</w:t>
      </w:r>
      <w:r w:rsidRPr="00230BC2">
        <w:t xml:space="preserve"> </w:t>
      </w:r>
      <w:r w:rsidR="004A478A" w:rsidRPr="00230BC2">
        <w:t xml:space="preserve">plenary </w:t>
      </w:r>
      <w:r w:rsidRPr="00230BC2">
        <w:t>session</w:t>
      </w:r>
      <w:r w:rsidR="00676360" w:rsidRPr="00230BC2">
        <w:t>,</w:t>
      </w:r>
      <w:r w:rsidRPr="00230BC2">
        <w:t xml:space="preserve"> Eric Okoree (Ghana)</w:t>
      </w:r>
      <w:r w:rsidR="00AD3928" w:rsidRPr="00230BC2">
        <w:t xml:space="preserve">, designated by </w:t>
      </w:r>
      <w:r w:rsidR="00AD3928" w:rsidRPr="00230BC2">
        <w:rPr>
          <w:bCs/>
        </w:rPr>
        <w:t xml:space="preserve">the Bureau during </w:t>
      </w:r>
      <w:r w:rsidR="00206628" w:rsidRPr="00230BC2">
        <w:rPr>
          <w:bCs/>
        </w:rPr>
        <w:t xml:space="preserve">the first </w:t>
      </w:r>
      <w:r w:rsidR="00AD3928" w:rsidRPr="00230BC2">
        <w:rPr>
          <w:bCs/>
        </w:rPr>
        <w:t xml:space="preserve">part of the </w:t>
      </w:r>
      <w:r w:rsidR="00461F3E" w:rsidRPr="00230BC2">
        <w:t xml:space="preserve">fifteenth </w:t>
      </w:r>
      <w:r w:rsidR="00AD3928" w:rsidRPr="00230BC2">
        <w:rPr>
          <w:bCs/>
        </w:rPr>
        <w:t xml:space="preserve">meeting as </w:t>
      </w:r>
      <w:r w:rsidR="00A9431D" w:rsidRPr="00230BC2">
        <w:rPr>
          <w:bCs/>
        </w:rPr>
        <w:t>its</w:t>
      </w:r>
      <w:r w:rsidR="00AD3928" w:rsidRPr="00230BC2">
        <w:rPr>
          <w:bCs/>
        </w:rPr>
        <w:t xml:space="preserve"> representative to report on credentials,</w:t>
      </w:r>
      <w:r w:rsidRPr="00230BC2">
        <w:t xml:space="preserve"> </w:t>
      </w:r>
      <w:bookmarkEnd w:id="425"/>
      <w:r w:rsidR="00655B0F" w:rsidRPr="00230BC2">
        <w:t xml:space="preserve">informed the Conference of the Parties </w:t>
      </w:r>
      <w:r w:rsidR="00AD3928" w:rsidRPr="00230BC2">
        <w:t xml:space="preserve">that </w:t>
      </w:r>
      <w:r w:rsidR="00634347" w:rsidRPr="00230BC2">
        <w:t xml:space="preserve">179 Parties </w:t>
      </w:r>
      <w:r w:rsidR="00634347" w:rsidRPr="00EB7B58">
        <w:t>were registered as attending the meeting. The Bureau had examined the credentials of the representatives of 136 Parties that were attending the meeting. The credentials of 11</w:t>
      </w:r>
      <w:r w:rsidR="008358A9" w:rsidRPr="00EB7B58">
        <w:t>7</w:t>
      </w:r>
      <w:r w:rsidR="00BF17BA" w:rsidRPr="00EB7B58">
        <w:t> </w:t>
      </w:r>
      <w:r w:rsidR="00634347" w:rsidRPr="00EB7B58">
        <w:t>delegations were in full compliance with rule 18 of the rules of procedure</w:t>
      </w:r>
      <w:r w:rsidR="00830AE1" w:rsidRPr="00EB7B58">
        <w:t>,</w:t>
      </w:r>
      <w:r w:rsidR="00634347" w:rsidRPr="00EB7B58">
        <w:t xml:space="preserve"> </w:t>
      </w:r>
      <w:r w:rsidR="00DE6CFA" w:rsidRPr="00EB7B58">
        <w:t xml:space="preserve">while </w:t>
      </w:r>
      <w:r w:rsidR="00830AE1" w:rsidRPr="00EB7B58">
        <w:t>t</w:t>
      </w:r>
      <w:r w:rsidR="00634347" w:rsidRPr="00EB7B58">
        <w:t xml:space="preserve">hose of 19 delegations did not fully comply with </w:t>
      </w:r>
      <w:r w:rsidR="00797880" w:rsidRPr="00EB7B58">
        <w:t>it</w:t>
      </w:r>
      <w:r w:rsidR="00634347" w:rsidRPr="00EB7B58">
        <w:t xml:space="preserve"> and a further 43 delegations had not presented their credentials to</w:t>
      </w:r>
      <w:r w:rsidR="00634347" w:rsidRPr="00230BC2">
        <w:t xml:space="preserve"> date.</w:t>
      </w:r>
    </w:p>
    <w:p w14:paraId="3B3C3005" w14:textId="1BDA163D" w:rsidR="00990987" w:rsidRPr="00230BC2" w:rsidRDefault="0036653F" w:rsidP="003466FC">
      <w:pPr>
        <w:pStyle w:val="Para1"/>
      </w:pPr>
      <w:r w:rsidRPr="00230BC2">
        <w:t xml:space="preserve">At the </w:t>
      </w:r>
      <w:r w:rsidR="00E4615C" w:rsidRPr="00230BC2">
        <w:t>4</w:t>
      </w:r>
      <w:r w:rsidRPr="00230BC2">
        <w:t>th plenary session</w:t>
      </w:r>
      <w:r w:rsidR="00893FBA" w:rsidRPr="00230BC2">
        <w:t>,</w:t>
      </w:r>
      <w:r w:rsidRPr="00230BC2">
        <w:t xml:space="preserve"> </w:t>
      </w:r>
      <w:r w:rsidR="00E56A9E" w:rsidRPr="00230BC2">
        <w:rPr>
          <w:bCs/>
        </w:rPr>
        <w:t>Ms.</w:t>
      </w:r>
      <w:r w:rsidRPr="00230BC2">
        <w:rPr>
          <w:bCs/>
        </w:rPr>
        <w:t xml:space="preserve"> </w:t>
      </w:r>
      <w:bookmarkStart w:id="426" w:name="_Hlk123474699"/>
      <w:r w:rsidRPr="00230BC2">
        <w:rPr>
          <w:bCs/>
        </w:rPr>
        <w:t>Jeff</w:t>
      </w:r>
      <w:r w:rsidR="000C7238" w:rsidRPr="00230BC2">
        <w:rPr>
          <w:bCs/>
        </w:rPr>
        <w:t>re</w:t>
      </w:r>
      <w:r w:rsidRPr="00230BC2">
        <w:rPr>
          <w:bCs/>
        </w:rPr>
        <w:t>y-Brown</w:t>
      </w:r>
      <w:bookmarkEnd w:id="426"/>
      <w:r w:rsidRPr="00230BC2">
        <w:t xml:space="preserve">, speaking on behalf of Mr. Okoree, presented the </w:t>
      </w:r>
      <w:r w:rsidR="007303DB" w:rsidRPr="00230BC2">
        <w:t xml:space="preserve">revised and </w:t>
      </w:r>
      <w:r w:rsidR="00BB4CD1" w:rsidRPr="00230BC2">
        <w:t xml:space="preserve">final </w:t>
      </w:r>
      <w:r w:rsidRPr="00230BC2">
        <w:t>report on credentials (CBD/COP/15/INF/26/Rev.1). She informed the Conference of the Parties that 188 Parties were registered as attending the meeting. The Bureau had examined the credentials of the representatives of 164 Parties that were attending the meeting. The credentials of 150</w:t>
      </w:r>
      <w:r w:rsidR="00EA3FA2" w:rsidRPr="00230BC2">
        <w:t> </w:t>
      </w:r>
      <w:r w:rsidRPr="00230BC2">
        <w:t>delegations were in full compliance with rule 18 of the rules of procedure</w:t>
      </w:r>
      <w:r w:rsidR="00E35591" w:rsidRPr="00230BC2">
        <w:t>, while</w:t>
      </w:r>
      <w:r w:rsidRPr="00230BC2">
        <w:t xml:space="preserve"> </w:t>
      </w:r>
      <w:r w:rsidR="00E35591" w:rsidRPr="00230BC2">
        <w:t>t</w:t>
      </w:r>
      <w:r w:rsidRPr="00230BC2">
        <w:t xml:space="preserve">hose of 14 delegations did not fully comply with </w:t>
      </w:r>
      <w:r w:rsidR="003D5117" w:rsidRPr="00230BC2">
        <w:t>it</w:t>
      </w:r>
      <w:r w:rsidRPr="00230BC2">
        <w:t xml:space="preserve"> and a further 24 delegations had not presented their credentials to date. </w:t>
      </w:r>
    </w:p>
    <w:p w14:paraId="5D2B0763" w14:textId="6C737CD4" w:rsidR="00990987" w:rsidRPr="00230BC2" w:rsidRDefault="00990987" w:rsidP="003466FC">
      <w:pPr>
        <w:pStyle w:val="Para1"/>
      </w:pPr>
      <w:r w:rsidRPr="00230BC2">
        <w:t xml:space="preserve">The Bureau also reported that it received two communications concerning the representation of Myanmar </w:t>
      </w:r>
      <w:r w:rsidR="00641543" w:rsidRPr="00230BC2">
        <w:t>that</w:t>
      </w:r>
      <w:r w:rsidRPr="00230BC2">
        <w:t xml:space="preserve"> conveyed different sets of nominees as the representatives of </w:t>
      </w:r>
      <w:r w:rsidR="00641543" w:rsidRPr="00230BC2">
        <w:t>that country</w:t>
      </w:r>
      <w:r w:rsidRPr="00230BC2">
        <w:t xml:space="preserve"> at the meeting. </w:t>
      </w:r>
      <w:r w:rsidR="00F70E16" w:rsidRPr="00230BC2">
        <w:t>In line with</w:t>
      </w:r>
      <w:r w:rsidRPr="00230BC2">
        <w:t xml:space="preserve"> the measures taken by the Credentials Committee of </w:t>
      </w:r>
      <w:r w:rsidR="00EA732D" w:rsidRPr="00230BC2">
        <w:t xml:space="preserve">the </w:t>
      </w:r>
      <w:r w:rsidRPr="00230BC2">
        <w:t xml:space="preserve">General Assembly </w:t>
      </w:r>
      <w:r w:rsidR="006C3C99" w:rsidRPr="00230BC2">
        <w:t xml:space="preserve">of the United Nations </w:t>
      </w:r>
      <w:r w:rsidRPr="00230BC2">
        <w:t xml:space="preserve">in similar situations, the Bureau informed the </w:t>
      </w:r>
      <w:r w:rsidR="00B0401A" w:rsidRPr="00230BC2">
        <w:t>Conference</w:t>
      </w:r>
      <w:r w:rsidR="002F7085" w:rsidRPr="00230BC2">
        <w:t xml:space="preserve"> of the Parties</w:t>
      </w:r>
      <w:r w:rsidR="00B0401A" w:rsidRPr="00230BC2">
        <w:t xml:space="preserve"> </w:t>
      </w:r>
      <w:r w:rsidRPr="00230BC2">
        <w:t xml:space="preserve">that it </w:t>
      </w:r>
      <w:r w:rsidR="00B9209B" w:rsidRPr="00230BC2">
        <w:t xml:space="preserve">had </w:t>
      </w:r>
      <w:r w:rsidRPr="00230BC2">
        <w:t xml:space="preserve">deferred the competing credentials received from the authorities </w:t>
      </w:r>
      <w:r w:rsidR="00A26C24" w:rsidRPr="00230BC2">
        <w:t xml:space="preserve">of Myanmar </w:t>
      </w:r>
      <w:r w:rsidRPr="00230BC2">
        <w:t xml:space="preserve">and advised not to accredit any delegate from Myanmar. The </w:t>
      </w:r>
      <w:r w:rsidR="00A951CC" w:rsidRPr="00230BC2">
        <w:t>Conference</w:t>
      </w:r>
      <w:r w:rsidR="002F7085" w:rsidRPr="00230BC2">
        <w:t xml:space="preserve"> of the Parties</w:t>
      </w:r>
      <w:r w:rsidR="00A951CC" w:rsidRPr="00230BC2">
        <w:t xml:space="preserve"> took</w:t>
      </w:r>
      <w:r w:rsidRPr="00230BC2">
        <w:t xml:space="preserve"> note </w:t>
      </w:r>
      <w:r w:rsidR="00A951CC" w:rsidRPr="00230BC2">
        <w:t xml:space="preserve">of </w:t>
      </w:r>
      <w:r w:rsidRPr="00230BC2">
        <w:t>the report of the Bureau on credentials.</w:t>
      </w:r>
    </w:p>
    <w:p w14:paraId="3A3D2437" w14:textId="2FF9163B" w:rsidR="0036653F" w:rsidRPr="00230BC2" w:rsidRDefault="0036653F" w:rsidP="003466FC">
      <w:pPr>
        <w:pStyle w:val="Para1"/>
      </w:pPr>
      <w:r w:rsidRPr="00230BC2">
        <w:t xml:space="preserve">A number of heads of delegations had signed a declaration to the effect that they would submit their credentials, in the proper form and in their original version, to the Executive Secretary within 30 days of the closure of the meeting and no later than 19 January 2023. In keeping with past practice, the Conference of the Parties agreed to the Bureau’s proposal that those delegations that had yet to submit their credentials or </w:t>
      </w:r>
      <w:r w:rsidR="006C03E3" w:rsidRPr="00230BC2">
        <w:t>th</w:t>
      </w:r>
      <w:r w:rsidR="00127C00" w:rsidRPr="00230BC2">
        <w:t>at</w:t>
      </w:r>
      <w:r w:rsidRPr="00230BC2">
        <w:t xml:space="preserve"> </w:t>
      </w:r>
      <w:r w:rsidR="00127C00" w:rsidRPr="00230BC2">
        <w:t xml:space="preserve">had submitted </w:t>
      </w:r>
      <w:r w:rsidRPr="00230BC2">
        <w:t xml:space="preserve">credentials </w:t>
      </w:r>
      <w:r w:rsidR="00127C00" w:rsidRPr="00230BC2">
        <w:t xml:space="preserve">that </w:t>
      </w:r>
      <w:r w:rsidRPr="00230BC2">
        <w:t xml:space="preserve">did not fully comply with the provisions of rule 18 should be allowed to participate in the meeting on a provisional basis. </w:t>
      </w:r>
    </w:p>
    <w:p w14:paraId="1232A6E0" w14:textId="194C02A5" w:rsidR="003C13AC" w:rsidRPr="00230BC2" w:rsidRDefault="003C13AC" w:rsidP="003466FC">
      <w:pPr>
        <w:pStyle w:val="Para1"/>
      </w:pPr>
      <w:r w:rsidRPr="00230BC2">
        <w:t xml:space="preserve">Accordingly, </w:t>
      </w:r>
      <w:r w:rsidR="00CA10D1" w:rsidRPr="00230BC2">
        <w:t xml:space="preserve">as at </w:t>
      </w:r>
      <w:r w:rsidRPr="00230BC2">
        <w:t>19 December 2022, formal credentials issued by the Head of State or Government</w:t>
      </w:r>
      <w:r w:rsidR="00450F81" w:rsidRPr="00230BC2">
        <w:t>,</w:t>
      </w:r>
      <w:r w:rsidRPr="00230BC2">
        <w:t xml:space="preserve"> by the Minister </w:t>
      </w:r>
      <w:r w:rsidR="009E3A90" w:rsidRPr="00230BC2">
        <w:t>for</w:t>
      </w:r>
      <w:r w:rsidRPr="00230BC2">
        <w:t xml:space="preserve"> Foreign Affairs or, in the case of a regional economic integration organization, by the competent authority</w:t>
      </w:r>
      <w:r w:rsidR="006B0B3C" w:rsidRPr="00230BC2">
        <w:t>,</w:t>
      </w:r>
      <w:r w:rsidRPr="00230BC2">
        <w:t xml:space="preserve"> as provided for in rule 18 of the rules of procedure</w:t>
      </w:r>
      <w:r w:rsidR="00CC3B75" w:rsidRPr="00230BC2">
        <w:t>,</w:t>
      </w:r>
      <w:r w:rsidRPr="00230BC2">
        <w:t xml:space="preserve"> had been submitted for the representatives of the following</w:t>
      </w:r>
      <w:r w:rsidRPr="00230BC2">
        <w:rPr>
          <w:bCs/>
        </w:rPr>
        <w:t xml:space="preserve"> 150</w:t>
      </w:r>
      <w:r w:rsidRPr="00230BC2">
        <w:t xml:space="preserve"> Parties participating in the </w:t>
      </w:r>
      <w:r w:rsidR="005168E6" w:rsidRPr="00230BC2">
        <w:t xml:space="preserve">second part of the </w:t>
      </w:r>
      <w:r w:rsidRPr="00230BC2">
        <w:t>fifteenth meeting</w:t>
      </w:r>
      <w:r w:rsidR="005168E6" w:rsidRPr="00230BC2">
        <w:t>:</w:t>
      </w:r>
      <w:r w:rsidR="00D40FF8" w:rsidRPr="00230BC2">
        <w:t xml:space="preserve"> </w:t>
      </w:r>
      <w:r w:rsidRPr="00230BC2">
        <w:t>Albania, Algeria, Angola, Antigua and Barbuda, Argentina, Armenia, Australia, Austria, Azerbaijan, Bahamas, Bahrain, Bangladesh, Barbados, Belarus, Belgium, Belize, Benin, Bhutan, Bolivia (Plurinational State of), Bosnia and Herzegovina, Botswana, Brazil, Bulgaria, Burkina Faso, Cabo Verde, Cambodia, Cameroon, Canada, Chile, China, Colombia, Cook Islands, Costa Rica, Côte d’Ivoire, Croatia, Cyprus, Cuba, Czechia, Denmark, Dominican Republic, Ecuador, Egypt, El Salvador, Eritrea, Estonia, Eswatini, Ethiopia, European Union, Fiji, Finland, France, Gambia, Georgia, Germany, Ghana, Greece, Grenada, Guatemala, Guinea Bissau, Guyana, Hungary, Iceland, India, Indonesia, Iran (Islamic Republic of), Ireland, Israel, Italy, Jamaica, Japan, Kenya, Kiribati, Kuwait, Kyrgyzstan, Lesotho, Liberia, Liechtenstein, Lithuania, Luxembourg, Madagascar, Malawi, Maldives, Malta, Mauritania, Mauritius, Mexico, Micronesia (Federated States of), Monaco, Mongolia, Morocco, Mozambique, Namibia, Netherlands</w:t>
      </w:r>
      <w:r w:rsidR="00FD67DC" w:rsidRPr="00230BC2">
        <w:t xml:space="preserve"> (Kingdom of the)</w:t>
      </w:r>
      <w:r w:rsidRPr="00230BC2">
        <w:t>, New Zealand, Nicaragua, Niger, Nigeria, Niue, North Macedonia, Norway, Oman, Palau, Panama, Paraguay, Peru, Philippines, Poland, Portugal, Qatar, Republic of Korea, Republic of Moldova, Romania, Russian Federation, Rwanda, Saint Kitts and Nevis, Saint Lucia, Samoa, Serbia, Seychelles, Singapore, Slovakia, Slovenia, South Africa, Spain, State of Palestine, Sudan, Suriname, Sweden, Switzerland, Syrian Arab Republic, Tajikistan, Thailand, Timor Leste, Togo, Tonga, Trinidad and Tobago, Tunisia, Türkiye, Tuvalu, Uganda, United Arab Emirates, United Kingdom</w:t>
      </w:r>
      <w:r w:rsidR="00D84D41" w:rsidRPr="00230BC2">
        <w:t>,</w:t>
      </w:r>
      <w:r w:rsidRPr="00230BC2">
        <w:t xml:space="preserve"> United Republic of Tanzania, Uruguay, Uzbekistan, Vanuatu, Viet Nam, Yemen, Zambia and Zimbabwe.</w:t>
      </w:r>
    </w:p>
    <w:p w14:paraId="3E80C3D8" w14:textId="5D120078" w:rsidR="00F267AB" w:rsidRPr="00230BC2" w:rsidRDefault="00F267AB" w:rsidP="003466FC">
      <w:pPr>
        <w:pStyle w:val="Para1"/>
        <w:rPr>
          <w:lang w:eastAsia="zh-CN"/>
        </w:rPr>
      </w:pPr>
      <w:r w:rsidRPr="00230BC2">
        <w:t xml:space="preserve">As at 19 January 2023, 10 </w:t>
      </w:r>
      <w:r w:rsidR="004336D1" w:rsidRPr="00230BC2">
        <w:t xml:space="preserve">additional </w:t>
      </w:r>
      <w:r w:rsidRPr="00230BC2">
        <w:t xml:space="preserve">Parties </w:t>
      </w:r>
      <w:r w:rsidR="00B92AA9" w:rsidRPr="00230BC2">
        <w:t xml:space="preserve">had </w:t>
      </w:r>
      <w:r w:rsidRPr="00230BC2">
        <w:t>submitted valid credentials: Gabon, Honduras, Malaysia, Mali, Nepal, Saudi Arabia, South Sudan, Solomon Islands, Sri Lanka and Venezuela (Bolivarian Republic of).</w:t>
      </w:r>
    </w:p>
    <w:p w14:paraId="0C086DA6" w14:textId="6D6897FA" w:rsidR="00E644E0" w:rsidRPr="00230BC2" w:rsidRDefault="00E644E0" w:rsidP="003466FC">
      <w:pPr>
        <w:pStyle w:val="Para1"/>
      </w:pPr>
      <w:r w:rsidRPr="00230BC2">
        <w:t>Credentials from the two non-</w:t>
      </w:r>
      <w:r w:rsidR="00014C27" w:rsidRPr="00230BC2">
        <w:t>p</w:t>
      </w:r>
      <w:r w:rsidRPr="00230BC2">
        <w:t>arty States, the Holy See and the United States</w:t>
      </w:r>
      <w:r w:rsidR="00A065A5" w:rsidRPr="00230BC2">
        <w:t>,</w:t>
      </w:r>
      <w:r w:rsidRPr="00230BC2">
        <w:t xml:space="preserve"> were also received.</w:t>
      </w:r>
    </w:p>
    <w:p w14:paraId="49DA5E4B" w14:textId="77777777" w:rsidR="00AA54F1" w:rsidRPr="00230BC2" w:rsidRDefault="00AA54F1" w:rsidP="00AA54F1">
      <w:pPr>
        <w:pStyle w:val="Para1"/>
        <w:numPr>
          <w:ilvl w:val="0"/>
          <w:numId w:val="0"/>
        </w:numPr>
        <w:rPr>
          <w:i/>
          <w:iCs/>
        </w:rPr>
      </w:pPr>
      <w:bookmarkStart w:id="427" w:name="_Hlk148636745"/>
      <w:r w:rsidRPr="00230BC2">
        <w:rPr>
          <w:i/>
          <w:iCs/>
        </w:rPr>
        <w:t>Resumed second part</w:t>
      </w:r>
    </w:p>
    <w:bookmarkEnd w:id="427"/>
    <w:p w14:paraId="6869D369" w14:textId="41EBB113" w:rsidR="00AA54F1" w:rsidRPr="00230BC2" w:rsidRDefault="00D56432" w:rsidP="00AA54F1">
      <w:pPr>
        <w:pStyle w:val="Para1"/>
        <w:numPr>
          <w:ilvl w:val="0"/>
          <w:numId w:val="4"/>
        </w:numPr>
      </w:pPr>
      <w:r w:rsidRPr="00230BC2">
        <w:t xml:space="preserve">At </w:t>
      </w:r>
      <w:r w:rsidR="009B568C" w:rsidRPr="00230BC2">
        <w:t>the</w:t>
      </w:r>
      <w:r w:rsidRPr="00230BC2">
        <w:t xml:space="preserve"> 6th plenary session, </w:t>
      </w:r>
      <w:r w:rsidR="00AA54F1" w:rsidRPr="00230BC2">
        <w:t>Mr. Okoree informed the Conference of the Parties that 1</w:t>
      </w:r>
      <w:r w:rsidR="00863E06" w:rsidRPr="00230BC2">
        <w:t>43</w:t>
      </w:r>
      <w:r w:rsidR="00AA54F1" w:rsidRPr="00230BC2">
        <w:t xml:space="preserve"> Parties were registered as attending the </w:t>
      </w:r>
      <w:r w:rsidR="00863E06" w:rsidRPr="00230BC2">
        <w:t xml:space="preserve">resumed second part of the </w:t>
      </w:r>
      <w:r w:rsidR="00AA54F1" w:rsidRPr="00230BC2">
        <w:t>meeting. The Bureau had examined the credentials of the representatives of 13</w:t>
      </w:r>
      <w:r w:rsidR="0060393E" w:rsidRPr="00230BC2">
        <w:t>4</w:t>
      </w:r>
      <w:r w:rsidR="00AA54F1" w:rsidRPr="00230BC2">
        <w:t xml:space="preserve"> Parties that were attending the meeting. The credentials of 1</w:t>
      </w:r>
      <w:r w:rsidR="00863E06" w:rsidRPr="00230BC2">
        <w:t>33</w:t>
      </w:r>
      <w:r w:rsidR="00AA54F1" w:rsidRPr="00230BC2">
        <w:t xml:space="preserve"> delegations were in full compliance with rule 18 of the rules of procedure, while those of </w:t>
      </w:r>
      <w:r w:rsidR="00C26AE9" w:rsidRPr="00230BC2">
        <w:t>1</w:t>
      </w:r>
      <w:r w:rsidR="00AA54F1" w:rsidRPr="00230BC2">
        <w:t xml:space="preserve"> delegation did not fully comply with it and a further </w:t>
      </w:r>
      <w:r w:rsidR="0083440B" w:rsidRPr="00230BC2">
        <w:t xml:space="preserve">9 </w:t>
      </w:r>
      <w:r w:rsidR="00AA54F1" w:rsidRPr="00230BC2">
        <w:t>delegations had not presented their credentials to date</w:t>
      </w:r>
      <w:r w:rsidR="00863E06" w:rsidRPr="00230BC2">
        <w:t>.</w:t>
      </w:r>
    </w:p>
    <w:p w14:paraId="693C2082" w14:textId="09F1F250" w:rsidR="00C079E4" w:rsidRPr="00230BC2" w:rsidRDefault="00322CB6" w:rsidP="003466FC">
      <w:pPr>
        <w:pStyle w:val="Para1"/>
        <w:rPr>
          <w:snapToGrid/>
          <w:szCs w:val="24"/>
        </w:rPr>
      </w:pPr>
      <w:r w:rsidRPr="00230BC2">
        <w:t xml:space="preserve">The Conference of the Parties took note of the report on credentials. </w:t>
      </w:r>
    </w:p>
    <w:p w14:paraId="3731893F" w14:textId="751A8205" w:rsidR="0055218F" w:rsidRPr="00230BC2" w:rsidRDefault="00643DA8" w:rsidP="00254A18">
      <w:pPr>
        <w:pStyle w:val="Para1"/>
        <w:rPr>
          <w:snapToGrid/>
          <w:szCs w:val="24"/>
        </w:rPr>
      </w:pPr>
      <w:r w:rsidRPr="00230BC2">
        <w:t xml:space="preserve">At </w:t>
      </w:r>
      <w:r w:rsidR="00496DCB" w:rsidRPr="00230BC2">
        <w:t>the</w:t>
      </w:r>
      <w:r w:rsidRPr="00230BC2">
        <w:t xml:space="preserve"> 7th plenary session, </w:t>
      </w:r>
      <w:r w:rsidR="00496DCB" w:rsidRPr="00230BC2">
        <w:t xml:space="preserve">on 20 October 2023, </w:t>
      </w:r>
      <w:r w:rsidR="00CE509F" w:rsidRPr="00230BC2">
        <w:t xml:space="preserve">the </w:t>
      </w:r>
      <w:r w:rsidR="00330ED2" w:rsidRPr="00230BC2">
        <w:t>Secretariat</w:t>
      </w:r>
      <w:r w:rsidR="00CE509F" w:rsidRPr="00230BC2">
        <w:t xml:space="preserve"> </w:t>
      </w:r>
      <w:r w:rsidR="001F4D45" w:rsidRPr="00230BC2">
        <w:t xml:space="preserve">provided an update on credentials. </w:t>
      </w:r>
      <w:r w:rsidR="001F46A2">
        <w:t>As at that date</w:t>
      </w:r>
      <w:r w:rsidR="001F4D45" w:rsidRPr="00230BC2">
        <w:t xml:space="preserve">, valid credentials </w:t>
      </w:r>
      <w:r w:rsidR="00256501">
        <w:t>had been</w:t>
      </w:r>
      <w:r w:rsidR="001F4D45" w:rsidRPr="00230BC2">
        <w:t xml:space="preserve"> received from the following 134 Parties to the Convention: </w:t>
      </w:r>
      <w:r w:rsidR="0055218F" w:rsidRPr="00230BC2">
        <w:t>Algeria, Angola, Antigua and Barbuda, Argentina, Armenia, Australia, Austria, Azerbaijan, Bangladesh, Barbados, Belarus, Belgium, Benin, Bhutan, Bosnia and Herzegovina, Brazil, Bulgaria, Burkina Faso, Burundi, Cabo Verde, Cambodia, Cameroon, Canada, Central African Republic, Chile, China, Colombia, Cook Islands, Costa Rica, Croatia, Cuba, Czechia, Côte d’Ivoire, Democratic Republic of the Congo, Denmark, Djibouti, Dominican Republic, Egypt, Eritrea, Estonia, Eswatini, European Union, Fiji, Finland, France, Gabon, Gambia, Georgia, Germany, Ghana, Greece, Grenada, Guatemala, Guinea-Bissau, Hungary, Iceland, India, Indonesia, Ireland, Italy, Jamaica, Japan, Jordan, Kenya, Kiribati, Kuwait, Latvia, Lesotho, Liberia, Lithuania, Luxembourg, Madagascar, Malawi, Malaysia, Maldives, Mali, Mauritius, Mexico, Montenegro, Morocco, Mozambique, Namibia, Netherlands (Kingdom of the), New Zealand, Nicaragua, Nigeria, Norway, Oman, Pakistan, Peru, Philippines, Portugal, Qatar, Republic of Korea, Republic of Moldova, Romania, Russian Federation, Rwanda, Saint Kitts and Nevis, Saint Lucia, Saudi Arabia, Senegal, Seychelles, Sierra Leone, Singapore, Slovakia, Slovenia, South Africa, South Sudan, Spain, Sri Lanka, State of Palestine, Sudan, Sweden, Switzerland, Syrian Arab Republic, Tajikistan, Thailand, Togo, Tonga, Trinidad and Tobago, Tunisia, Tuvalu, Türkiye, Uganda, Ukraine, United Arab Emirates, United Kingdom, Uruguay, Vanuatu, Venezuela (Bolivarian Republic of), Yemen, Zambia, Zimbabwe.</w:t>
      </w:r>
    </w:p>
    <w:p w14:paraId="715F0B12" w14:textId="2BA22465" w:rsidR="00D77560" w:rsidRPr="00950BE4" w:rsidRDefault="00D77560"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230BC2">
        <w:rPr>
          <w:b/>
          <w:bCs/>
          <w:snapToGrid w:val="0"/>
          <w:kern w:val="22"/>
          <w:szCs w:val="22"/>
        </w:rPr>
        <w:t>Item 4.</w:t>
      </w:r>
      <w:r w:rsidRPr="00230BC2">
        <w:rPr>
          <w:b/>
          <w:bCs/>
          <w:snapToGrid w:val="0"/>
          <w:kern w:val="22"/>
          <w:szCs w:val="22"/>
        </w:rPr>
        <w:tab/>
        <w:t xml:space="preserve">Pending </w:t>
      </w:r>
      <w:r w:rsidRPr="00950BE4">
        <w:rPr>
          <w:b/>
          <w:bCs/>
          <w:snapToGrid w:val="0"/>
          <w:kern w:val="22"/>
          <w:szCs w:val="22"/>
        </w:rPr>
        <w:t>issues</w:t>
      </w:r>
    </w:p>
    <w:p w14:paraId="6638B32A" w14:textId="39277D57" w:rsidR="00D77560" w:rsidRPr="00230BC2" w:rsidRDefault="00583219" w:rsidP="003466FC">
      <w:pPr>
        <w:pStyle w:val="Para1"/>
      </w:pPr>
      <w:r w:rsidRPr="00230BC2">
        <w:t>T</w:t>
      </w:r>
      <w:r w:rsidR="00C8155C" w:rsidRPr="00230BC2">
        <w:t>he Conference of the Parties</w:t>
      </w:r>
      <w:r w:rsidR="00A0691E" w:rsidRPr="00230BC2">
        <w:t xml:space="preserve"> </w:t>
      </w:r>
      <w:r w:rsidR="00A9431D" w:rsidRPr="00230BC2">
        <w:t xml:space="preserve">had </w:t>
      </w:r>
      <w:r w:rsidRPr="00230BC2">
        <w:t xml:space="preserve">considered </w:t>
      </w:r>
      <w:r w:rsidR="00281999" w:rsidRPr="00230BC2">
        <w:t xml:space="preserve">agenda </w:t>
      </w:r>
      <w:r w:rsidRPr="00230BC2">
        <w:t>item</w:t>
      </w:r>
      <w:r w:rsidR="00A27159" w:rsidRPr="00230BC2">
        <w:t> 4</w:t>
      </w:r>
      <w:r w:rsidRPr="00230BC2">
        <w:t xml:space="preserve"> </w:t>
      </w:r>
      <w:r w:rsidR="00A27159" w:rsidRPr="00230BC2">
        <w:t xml:space="preserve">during </w:t>
      </w:r>
      <w:r w:rsidR="00206628" w:rsidRPr="00230BC2">
        <w:t xml:space="preserve">the first </w:t>
      </w:r>
      <w:r w:rsidRPr="00230BC2">
        <w:t xml:space="preserve">part of the </w:t>
      </w:r>
      <w:r w:rsidR="00E879E6" w:rsidRPr="00230BC2">
        <w:t xml:space="preserve">fifteenth </w:t>
      </w:r>
      <w:r w:rsidRPr="00230BC2">
        <w:t xml:space="preserve">meeting and did not </w:t>
      </w:r>
      <w:r w:rsidR="00A27159" w:rsidRPr="00230BC2">
        <w:t>consider it</w:t>
      </w:r>
      <w:r w:rsidRPr="00230BC2">
        <w:t xml:space="preserve"> </w:t>
      </w:r>
      <w:r w:rsidR="00A27159" w:rsidRPr="00230BC2">
        <w:t xml:space="preserve">again </w:t>
      </w:r>
      <w:r w:rsidR="00A9431D" w:rsidRPr="00230BC2">
        <w:t>during</w:t>
      </w:r>
      <w:r w:rsidRPr="00230BC2">
        <w:t xml:space="preserve"> </w:t>
      </w:r>
      <w:r w:rsidR="005A79CC" w:rsidRPr="00230BC2">
        <w:t xml:space="preserve">the second </w:t>
      </w:r>
      <w:r w:rsidRPr="00230BC2">
        <w:t>part</w:t>
      </w:r>
      <w:r w:rsidR="005A79CC" w:rsidRPr="00230BC2">
        <w:t>.</w:t>
      </w:r>
    </w:p>
    <w:p w14:paraId="1B6C2B5D" w14:textId="4CF461B0" w:rsidR="00F30A1E" w:rsidRPr="00950BE4" w:rsidRDefault="00F30A1E"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950BE4">
        <w:rPr>
          <w:b/>
          <w:bCs/>
          <w:snapToGrid w:val="0"/>
          <w:kern w:val="22"/>
          <w:szCs w:val="22"/>
        </w:rPr>
        <w:t>Item 5.</w:t>
      </w:r>
      <w:r w:rsidR="00447AE6" w:rsidRPr="00950BE4">
        <w:rPr>
          <w:b/>
          <w:bCs/>
          <w:snapToGrid w:val="0"/>
          <w:kern w:val="22"/>
          <w:szCs w:val="22"/>
        </w:rPr>
        <w:tab/>
      </w:r>
      <w:r w:rsidRPr="00950BE4">
        <w:rPr>
          <w:b/>
          <w:bCs/>
          <w:snapToGrid w:val="0"/>
          <w:kern w:val="22"/>
          <w:szCs w:val="22"/>
        </w:rPr>
        <w:t>Date and venue of future meetings of the Conference of the Parties</w:t>
      </w:r>
    </w:p>
    <w:p w14:paraId="3F7D5AD9" w14:textId="125F872C" w:rsidR="00A9431D" w:rsidRPr="00230BC2" w:rsidRDefault="00A9431D" w:rsidP="003466FC">
      <w:pPr>
        <w:pStyle w:val="Para1"/>
      </w:pPr>
      <w:r w:rsidRPr="00230BC2">
        <w:t xml:space="preserve">The Conference of the Parties had previously decided, </w:t>
      </w:r>
      <w:r w:rsidR="003D7DBC" w:rsidRPr="00230BC2">
        <w:t xml:space="preserve">by </w:t>
      </w:r>
      <w:r w:rsidRPr="00230BC2">
        <w:t xml:space="preserve">decision </w:t>
      </w:r>
      <w:r w:rsidR="00585130" w:rsidRPr="00230BC2">
        <w:t>XIII</w:t>
      </w:r>
      <w:r w:rsidRPr="00230BC2">
        <w:t xml:space="preserve">/33, that its sixteenth meeting would be held in Türkiye. </w:t>
      </w:r>
    </w:p>
    <w:p w14:paraId="3357B396" w14:textId="14FAF30E" w:rsidR="00352D5E" w:rsidRPr="00230BC2" w:rsidRDefault="00ED5098" w:rsidP="003466FC">
      <w:pPr>
        <w:pStyle w:val="Para1"/>
      </w:pPr>
      <w:r w:rsidRPr="00230BC2">
        <w:t xml:space="preserve">At </w:t>
      </w:r>
      <w:r w:rsidR="00C96D28" w:rsidRPr="00230BC2">
        <w:t xml:space="preserve">its </w:t>
      </w:r>
      <w:r w:rsidR="00E4615C" w:rsidRPr="00230BC2">
        <w:t>1</w:t>
      </w:r>
      <w:r w:rsidR="00A9431D" w:rsidRPr="00230BC2">
        <w:t xml:space="preserve">st </w:t>
      </w:r>
      <w:r w:rsidR="004A478A" w:rsidRPr="00230BC2">
        <w:t xml:space="preserve">plenary </w:t>
      </w:r>
      <w:r w:rsidRPr="00230BC2">
        <w:t>session</w:t>
      </w:r>
      <w:r w:rsidR="00C96D28" w:rsidRPr="00230BC2">
        <w:t>,</w:t>
      </w:r>
      <w:r w:rsidRPr="00230BC2">
        <w:t xml:space="preserve"> </w:t>
      </w:r>
      <w:r w:rsidR="00A9431D" w:rsidRPr="00230BC2">
        <w:t xml:space="preserve">the </w:t>
      </w:r>
      <w:r w:rsidR="00B8228D" w:rsidRPr="00230BC2">
        <w:t>Conference of the Parties</w:t>
      </w:r>
      <w:r w:rsidR="00A231E1" w:rsidRPr="00230BC2">
        <w:t xml:space="preserve"> </w:t>
      </w:r>
      <w:r w:rsidR="0051161B" w:rsidRPr="00230BC2">
        <w:t>note</w:t>
      </w:r>
      <w:r w:rsidR="009503C8" w:rsidRPr="00230BC2">
        <w:t>d</w:t>
      </w:r>
      <w:r w:rsidR="00A231E1" w:rsidRPr="00230BC2">
        <w:t xml:space="preserve"> that</w:t>
      </w:r>
      <w:r w:rsidR="00A231E1" w:rsidRPr="00230BC2">
        <w:rPr>
          <w:bCs/>
        </w:rPr>
        <w:t xml:space="preserve"> the seventeenth meeting was expected to be hosted by a party from the Eastern Europe</w:t>
      </w:r>
      <w:r w:rsidR="004E1951" w:rsidRPr="00230BC2">
        <w:rPr>
          <w:bCs/>
        </w:rPr>
        <w:t>an</w:t>
      </w:r>
      <w:r w:rsidR="00A231E1" w:rsidRPr="00230BC2">
        <w:rPr>
          <w:bCs/>
        </w:rPr>
        <w:t xml:space="preserve"> </w:t>
      </w:r>
      <w:r w:rsidR="006504C4" w:rsidRPr="00230BC2">
        <w:rPr>
          <w:bCs/>
        </w:rPr>
        <w:t>States</w:t>
      </w:r>
      <w:r w:rsidR="00A231E1" w:rsidRPr="00230BC2">
        <w:rPr>
          <w:bCs/>
        </w:rPr>
        <w:t xml:space="preserve"> and</w:t>
      </w:r>
      <w:r w:rsidR="00B8228D" w:rsidRPr="00230BC2">
        <w:t xml:space="preserve"> agreed that </w:t>
      </w:r>
      <w:r w:rsidR="00B26B0F" w:rsidRPr="00230BC2">
        <w:t xml:space="preserve">its </w:t>
      </w:r>
      <w:r w:rsidR="00507222" w:rsidRPr="00230BC2">
        <w:t xml:space="preserve">President would consult with </w:t>
      </w:r>
      <w:r w:rsidR="000D72B0" w:rsidRPr="00230BC2">
        <w:t xml:space="preserve">the </w:t>
      </w:r>
      <w:r w:rsidR="00507222" w:rsidRPr="00230BC2">
        <w:t xml:space="preserve">Parties and prepare a draft decision on the dates of the sixteenth and future meetings, taking into account recommendation 3/19 of the </w:t>
      </w:r>
      <w:r w:rsidR="00507222" w:rsidRPr="00230BC2">
        <w:rPr>
          <w:bCs/>
        </w:rPr>
        <w:t xml:space="preserve">Subsidiary Body on Implementation, </w:t>
      </w:r>
      <w:r w:rsidR="00642B2B" w:rsidRPr="00230BC2">
        <w:rPr>
          <w:bCs/>
        </w:rPr>
        <w:t>as</w:t>
      </w:r>
      <w:r w:rsidR="00507222" w:rsidRPr="00230BC2">
        <w:rPr>
          <w:bCs/>
        </w:rPr>
        <w:t xml:space="preserve"> set out in the compilation of draft decisions (</w:t>
      </w:r>
      <w:r w:rsidR="00507222" w:rsidRPr="00230BC2">
        <w:t>CBD/COP/1</w:t>
      </w:r>
      <w:r w:rsidR="002C2515" w:rsidRPr="00230BC2">
        <w:t>5/2)</w:t>
      </w:r>
      <w:r w:rsidR="00AF04B1" w:rsidRPr="00230BC2">
        <w:rPr>
          <w:bCs/>
        </w:rPr>
        <w:t>.</w:t>
      </w:r>
    </w:p>
    <w:p w14:paraId="68DCFE60" w14:textId="343D9082" w:rsidR="00352D5E" w:rsidRPr="00230BC2" w:rsidRDefault="00392D9B" w:rsidP="003466FC">
      <w:pPr>
        <w:pStyle w:val="Para1"/>
      </w:pPr>
      <w:r w:rsidRPr="00230BC2">
        <w:t xml:space="preserve">At the </w:t>
      </w:r>
      <w:r w:rsidR="00E4615C" w:rsidRPr="00230BC2">
        <w:t>2</w:t>
      </w:r>
      <w:r w:rsidRPr="00230BC2">
        <w:t>nd plenary session</w:t>
      </w:r>
      <w:r w:rsidR="00676360" w:rsidRPr="00230BC2">
        <w:t>,</w:t>
      </w:r>
      <w:r w:rsidRPr="00230BC2">
        <w:t xml:space="preserve"> a statement was made by </w:t>
      </w:r>
      <w:r w:rsidR="005138EB" w:rsidRPr="00230BC2">
        <w:t>the</w:t>
      </w:r>
      <w:r w:rsidRPr="00230BC2">
        <w:t xml:space="preserve"> representative of Türkiye</w:t>
      </w:r>
      <w:r w:rsidR="005138EB" w:rsidRPr="00230BC2">
        <w:t>,</w:t>
      </w:r>
      <w:r w:rsidRPr="00230BC2">
        <w:t xml:space="preserve"> in its capacity as host of the sixteenth meeting of the Conference of the Parties.</w:t>
      </w:r>
    </w:p>
    <w:p w14:paraId="38A31D5A" w14:textId="533983DB" w:rsidR="000B40E1" w:rsidRPr="00230BC2" w:rsidRDefault="000B40E1" w:rsidP="003466FC">
      <w:pPr>
        <w:pStyle w:val="Para1"/>
      </w:pPr>
      <w:r w:rsidRPr="00230BC2">
        <w:t xml:space="preserve">At </w:t>
      </w:r>
      <w:r w:rsidR="00851A41" w:rsidRPr="00230BC2">
        <w:t>its</w:t>
      </w:r>
      <w:r w:rsidRPr="00230BC2">
        <w:t xml:space="preserve"> </w:t>
      </w:r>
      <w:r w:rsidR="00E4615C" w:rsidRPr="00230BC2">
        <w:t>5</w:t>
      </w:r>
      <w:r w:rsidRPr="00230BC2">
        <w:t>th plenary session</w:t>
      </w:r>
      <w:r w:rsidR="00D94EB4" w:rsidRPr="00230BC2">
        <w:t>,</w:t>
      </w:r>
      <w:r w:rsidRPr="00230BC2">
        <w:t xml:space="preserve"> the Conference of the Parties </w:t>
      </w:r>
      <w:r w:rsidR="00DE639C" w:rsidRPr="00230BC2">
        <w:t>considered</w:t>
      </w:r>
      <w:r w:rsidRPr="00230BC2">
        <w:t xml:space="preserve"> draft decision CBD/COP/15/L.35</w:t>
      </w:r>
      <w:r w:rsidR="00DE639C" w:rsidRPr="00230BC2">
        <w:t>,</w:t>
      </w:r>
      <w:r w:rsidRPr="00230BC2">
        <w:t xml:space="preserve"> </w:t>
      </w:r>
      <w:r w:rsidR="00DE639C" w:rsidRPr="00230BC2">
        <w:t xml:space="preserve">submitted by the President, and adopted it </w:t>
      </w:r>
      <w:r w:rsidRPr="00230BC2">
        <w:t>as decision 15/</w:t>
      </w:r>
      <w:r w:rsidR="00A92ECA" w:rsidRPr="00230BC2">
        <w:t>32</w:t>
      </w:r>
      <w:r w:rsidR="00782AA7" w:rsidRPr="00230BC2">
        <w:t>.</w:t>
      </w:r>
    </w:p>
    <w:p w14:paraId="4D35A942" w14:textId="77777777" w:rsidR="00066AB6" w:rsidRPr="00230BC2" w:rsidRDefault="00066AB6" w:rsidP="00066AB6">
      <w:pPr>
        <w:pStyle w:val="Para1"/>
        <w:numPr>
          <w:ilvl w:val="0"/>
          <w:numId w:val="0"/>
        </w:numPr>
        <w:rPr>
          <w:i/>
          <w:iCs/>
        </w:rPr>
      </w:pPr>
      <w:r w:rsidRPr="00230BC2">
        <w:rPr>
          <w:i/>
          <w:iCs/>
        </w:rPr>
        <w:t>Resumed second part</w:t>
      </w:r>
    </w:p>
    <w:p w14:paraId="1FF0D54F" w14:textId="2CA4D3B6" w:rsidR="00EB567F" w:rsidRPr="00230BC2" w:rsidRDefault="00CE509F" w:rsidP="00EB567F">
      <w:pPr>
        <w:pStyle w:val="Para1"/>
      </w:pPr>
      <w:r w:rsidRPr="00230BC2">
        <w:t xml:space="preserve">At its 7th plenary session, </w:t>
      </w:r>
      <w:r w:rsidR="00EB567F" w:rsidRPr="00230BC2">
        <w:t xml:space="preserve">resuming its consideration of the agenda item, </w:t>
      </w:r>
      <w:r w:rsidRPr="00230BC2">
        <w:t xml:space="preserve">the Conference of the Parties </w:t>
      </w:r>
      <w:r w:rsidR="00EB567F" w:rsidRPr="00230BC2">
        <w:t>noted that,</w:t>
      </w:r>
      <w:r w:rsidR="00380E7D" w:rsidRPr="00230BC2">
        <w:t xml:space="preserve"> </w:t>
      </w:r>
      <w:r w:rsidR="00380E7D" w:rsidRPr="00230BC2">
        <w:rPr>
          <w:rFonts w:eastAsiaTheme="minorEastAsia"/>
          <w:bCs/>
        </w:rPr>
        <w:t>on 25 July 2023,</w:t>
      </w:r>
      <w:r w:rsidR="00380E7D" w:rsidRPr="00230BC2">
        <w:rPr>
          <w:bCs/>
        </w:rPr>
        <w:t xml:space="preserve"> the Government of</w:t>
      </w:r>
      <w:r w:rsidR="00EB567F" w:rsidRPr="00230BC2">
        <w:rPr>
          <w:bCs/>
        </w:rPr>
        <w:t xml:space="preserve"> Türkiye had informed the Secretariat that it had decided to withdraw from hosting and presiding the sixteenth meeting of the Conference of the Parties</w:t>
      </w:r>
      <w:r w:rsidR="00AB2199" w:rsidRPr="00230BC2">
        <w:rPr>
          <w:bCs/>
        </w:rPr>
        <w:t>,</w:t>
      </w:r>
      <w:r w:rsidR="00EB567F" w:rsidRPr="00230BC2">
        <w:rPr>
          <w:bCs/>
        </w:rPr>
        <w:t xml:space="preserve"> owing to a </w:t>
      </w:r>
      <w:r w:rsidR="00911E7E" w:rsidRPr="00230BC2">
        <w:rPr>
          <w:bCs/>
        </w:rPr>
        <w:t xml:space="preserve">case of </w:t>
      </w:r>
      <w:r w:rsidR="00EB567F" w:rsidRPr="00230BC2">
        <w:rPr>
          <w:bCs/>
        </w:rPr>
        <w:t>force majeure caused by the earthquakes that had occurred in February 2023.</w:t>
      </w:r>
      <w:r w:rsidR="00380E7D" w:rsidRPr="00230BC2">
        <w:rPr>
          <w:bCs/>
        </w:rPr>
        <w:t xml:space="preserve"> That information had been communicated to the Parties through notification No. 2023-82 of 31 July 2023.</w:t>
      </w:r>
    </w:p>
    <w:p w14:paraId="7533FEBA" w14:textId="4A5AB6C5" w:rsidR="00EB567F" w:rsidRPr="00230BC2" w:rsidRDefault="00EB567F" w:rsidP="00EB567F">
      <w:pPr>
        <w:pStyle w:val="Para1"/>
      </w:pPr>
      <w:r w:rsidRPr="00230BC2">
        <w:t>Statements were made by representatives of the following Parties: Canada, Russian Federation</w:t>
      </w:r>
      <w:r w:rsidR="00380E7D" w:rsidRPr="00230BC2">
        <w:t>, Saudi Arabia</w:t>
      </w:r>
      <w:r w:rsidRPr="00230BC2">
        <w:t xml:space="preserve"> and Türkiye.</w:t>
      </w:r>
    </w:p>
    <w:p w14:paraId="039FBBAD" w14:textId="588BF0B7" w:rsidR="00EB567F" w:rsidRPr="00230BC2" w:rsidRDefault="00EB567F" w:rsidP="00EB567F">
      <w:pPr>
        <w:pStyle w:val="Para1"/>
      </w:pPr>
      <w:r w:rsidRPr="00230BC2">
        <w:t xml:space="preserve">The representative of the Russian Federation, asking that his statement be reflected in the report of the meeting, said that the host of the sixteenth meeting </w:t>
      </w:r>
      <w:r w:rsidRPr="00230BC2">
        <w:rPr>
          <w:bCs/>
        </w:rPr>
        <w:t>must issue visas to all participants in due manner.</w:t>
      </w:r>
    </w:p>
    <w:p w14:paraId="66C02D43" w14:textId="1522929D" w:rsidR="00EB567F" w:rsidRPr="00230BC2" w:rsidRDefault="00EB567F" w:rsidP="00EB567F">
      <w:pPr>
        <w:pStyle w:val="Para1"/>
      </w:pPr>
      <w:r w:rsidRPr="00230BC2">
        <w:t>The Conference of the Parties considered draft decision CBD/COP/15/L.3</w:t>
      </w:r>
      <w:r w:rsidR="00380E7D" w:rsidRPr="00230BC2">
        <w:t>6</w:t>
      </w:r>
      <w:r w:rsidRPr="00230BC2">
        <w:t>, submitted by the President, and adopted it as decision 15/</w:t>
      </w:r>
      <w:r w:rsidR="00C74617" w:rsidRPr="00230BC2">
        <w:t>35</w:t>
      </w:r>
      <w:r w:rsidRPr="00230BC2">
        <w:t>.</w:t>
      </w:r>
    </w:p>
    <w:p w14:paraId="283E3564" w14:textId="77777777" w:rsidR="00D77560" w:rsidRPr="00285079" w:rsidRDefault="00D77560" w:rsidP="00285079">
      <w:pPr>
        <w:keepNext/>
        <w:suppressLineNumbers/>
        <w:suppressAutoHyphens/>
        <w:kinsoku w:val="0"/>
        <w:overflowPunct w:val="0"/>
        <w:autoSpaceDE w:val="0"/>
        <w:autoSpaceDN w:val="0"/>
        <w:adjustRightInd w:val="0"/>
        <w:snapToGrid w:val="0"/>
        <w:spacing w:before="240" w:after="120"/>
        <w:jc w:val="center"/>
        <w:rPr>
          <w:b/>
          <w:bCs/>
          <w:snapToGrid w:val="0"/>
          <w:kern w:val="22"/>
          <w:szCs w:val="22"/>
        </w:rPr>
      </w:pPr>
      <w:r w:rsidRPr="00285079">
        <w:rPr>
          <w:b/>
          <w:bCs/>
          <w:snapToGrid w:val="0"/>
          <w:kern w:val="22"/>
          <w:szCs w:val="22"/>
        </w:rPr>
        <w:t>II.</w:t>
      </w:r>
      <w:r w:rsidRPr="00285079">
        <w:rPr>
          <w:b/>
          <w:bCs/>
          <w:snapToGrid w:val="0"/>
          <w:kern w:val="22"/>
          <w:szCs w:val="22"/>
        </w:rPr>
        <w:tab/>
        <w:t>REPORTS</w:t>
      </w:r>
    </w:p>
    <w:p w14:paraId="7592FCB7" w14:textId="1218EF3E" w:rsidR="00D77560" w:rsidRPr="00230BC2" w:rsidRDefault="00D77560"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230BC2">
        <w:rPr>
          <w:b/>
          <w:bCs/>
          <w:snapToGrid w:val="0"/>
          <w:kern w:val="22"/>
          <w:szCs w:val="22"/>
        </w:rPr>
        <w:t>Item 6.</w:t>
      </w:r>
      <w:r w:rsidRPr="00230BC2">
        <w:rPr>
          <w:b/>
          <w:bCs/>
          <w:snapToGrid w:val="0"/>
          <w:kern w:val="22"/>
          <w:szCs w:val="22"/>
        </w:rPr>
        <w:tab/>
        <w:t>Reports of intersessional and regional preparatory meetings</w:t>
      </w:r>
    </w:p>
    <w:p w14:paraId="45645A24" w14:textId="55AB9E23" w:rsidR="005C22DA" w:rsidRPr="00230BC2" w:rsidRDefault="00AF04B1" w:rsidP="003466FC">
      <w:pPr>
        <w:pStyle w:val="Para1"/>
        <w:rPr>
          <w:rFonts w:eastAsia="Malgun Gothic"/>
        </w:rPr>
      </w:pPr>
      <w:r w:rsidRPr="00230BC2">
        <w:rPr>
          <w:rFonts w:eastAsia="Malgun Gothic"/>
        </w:rPr>
        <w:t xml:space="preserve">At </w:t>
      </w:r>
      <w:r w:rsidR="00C96D28" w:rsidRPr="00230BC2">
        <w:rPr>
          <w:rFonts w:eastAsia="Malgun Gothic"/>
        </w:rPr>
        <w:t xml:space="preserve">its </w:t>
      </w:r>
      <w:r w:rsidR="00E4615C" w:rsidRPr="00230BC2">
        <w:rPr>
          <w:rFonts w:eastAsia="Malgun Gothic"/>
        </w:rPr>
        <w:t>1</w:t>
      </w:r>
      <w:r w:rsidRPr="00230BC2">
        <w:rPr>
          <w:rFonts w:eastAsia="Malgun Gothic"/>
        </w:rPr>
        <w:t xml:space="preserve">st </w:t>
      </w:r>
      <w:r w:rsidR="004A478A" w:rsidRPr="00230BC2">
        <w:t xml:space="preserve">plenary </w:t>
      </w:r>
      <w:r w:rsidRPr="00230BC2">
        <w:rPr>
          <w:rFonts w:eastAsia="Malgun Gothic"/>
        </w:rPr>
        <w:t>session</w:t>
      </w:r>
      <w:r w:rsidR="004217CC" w:rsidRPr="00230BC2">
        <w:rPr>
          <w:rFonts w:eastAsia="Malgun Gothic"/>
        </w:rPr>
        <w:t>,</w:t>
      </w:r>
      <w:r w:rsidRPr="00230BC2">
        <w:rPr>
          <w:rFonts w:eastAsia="Malgun Gothic"/>
        </w:rPr>
        <w:t xml:space="preserve"> the Conference of the Parties </w:t>
      </w:r>
      <w:r w:rsidR="005C22DA" w:rsidRPr="00230BC2">
        <w:t xml:space="preserve">had before it </w:t>
      </w:r>
      <w:r w:rsidR="001A5A57" w:rsidRPr="00230BC2">
        <w:rPr>
          <w:rFonts w:eastAsia="Malgun Gothic"/>
        </w:rPr>
        <w:t>reports on intersessional work</w:t>
      </w:r>
      <w:r w:rsidR="001A5A57" w:rsidRPr="00230BC2">
        <w:t xml:space="preserve"> undertaken since the first part of the fifteenth meeting, namely, </w:t>
      </w:r>
      <w:r w:rsidR="005C22DA" w:rsidRPr="00230BC2">
        <w:t xml:space="preserve">the report of the Subsidiary Body on Scientific, Technical and Technological Advice on its twenty-fourth meeting (CBD/SBSTTA/24/12), the report of the Subsidiary Body on Implementation on its third meeting (CBD/SBI/3/21) and the reports of the Open-ended Working Group on the Post-2020 Global Biodiversity Framework on </w:t>
      </w:r>
      <w:r w:rsidR="00CF0010" w:rsidRPr="00230BC2">
        <w:t xml:space="preserve">the second part of </w:t>
      </w:r>
      <w:r w:rsidR="005C22DA" w:rsidRPr="00230BC2">
        <w:t>its third</w:t>
      </w:r>
      <w:r w:rsidR="00CF0010" w:rsidRPr="00230BC2">
        <w:t xml:space="preserve"> meeting</w:t>
      </w:r>
      <w:r w:rsidR="005C22DA" w:rsidRPr="00230BC2">
        <w:t xml:space="preserve"> </w:t>
      </w:r>
      <w:r w:rsidR="00CF0010" w:rsidRPr="00230BC2">
        <w:t xml:space="preserve">and </w:t>
      </w:r>
      <w:r w:rsidR="00D96035" w:rsidRPr="00230BC2">
        <w:t>o</w:t>
      </w:r>
      <w:r w:rsidR="00826989" w:rsidRPr="00230BC2">
        <w:t>n</w:t>
      </w:r>
      <w:r w:rsidR="00D96035" w:rsidRPr="00230BC2">
        <w:t xml:space="preserve"> its </w:t>
      </w:r>
      <w:r w:rsidR="005C22DA" w:rsidRPr="00230BC2">
        <w:t>fourth and fifth meetings (CBD/WG2020/3/7, CBD/WG2020/4/4 and CBD/WG2020/5/</w:t>
      </w:r>
      <w:r w:rsidR="00F72433" w:rsidRPr="00230BC2">
        <w:t>5</w:t>
      </w:r>
      <w:r w:rsidR="001D1B9C" w:rsidRPr="00230BC2">
        <w:t>, respectively</w:t>
      </w:r>
      <w:r w:rsidR="005C22DA" w:rsidRPr="00230BC2">
        <w:t xml:space="preserve">). </w:t>
      </w:r>
    </w:p>
    <w:p w14:paraId="44400B75" w14:textId="7EADB778" w:rsidR="005C22DA" w:rsidRPr="00230BC2" w:rsidRDefault="005C22DA" w:rsidP="003466FC">
      <w:pPr>
        <w:pStyle w:val="Para1"/>
        <w:rPr>
          <w:rFonts w:eastAsia="Malgun Gothic"/>
        </w:rPr>
      </w:pPr>
      <w:r w:rsidRPr="00230BC2">
        <w:t>The Conference of the Parties then heard oral reports from the Chairs of the Subsidiary Body on Scientific, Technical and Technological Advice and the Subsidiary Body on Implementation and the Co-Chairs of the Open-ended Working Group on the Post-2020 Global Biodiversity Framework.</w:t>
      </w:r>
    </w:p>
    <w:p w14:paraId="03A8D55D" w14:textId="3F8F1E73" w:rsidR="0018670B" w:rsidRPr="00230BC2" w:rsidRDefault="005C22DA" w:rsidP="003466FC">
      <w:pPr>
        <w:pStyle w:val="Para1"/>
      </w:pPr>
      <w:r w:rsidRPr="00230BC2">
        <w:t xml:space="preserve">The Conference of the Parties </w:t>
      </w:r>
      <w:bookmarkStart w:id="428" w:name="_Hlk122173426"/>
      <w:r w:rsidRPr="00230BC2">
        <w:t xml:space="preserve">took note of the </w:t>
      </w:r>
      <w:r w:rsidR="005A5E75" w:rsidRPr="00230BC2">
        <w:t>information provided</w:t>
      </w:r>
      <w:r w:rsidRPr="00230BC2">
        <w:t xml:space="preserve"> and </w:t>
      </w:r>
      <w:r w:rsidR="00D06149" w:rsidRPr="00230BC2">
        <w:t>agreed</w:t>
      </w:r>
      <w:r w:rsidRPr="00230BC2">
        <w:t xml:space="preserve"> to </w:t>
      </w:r>
      <w:r w:rsidR="0018670B" w:rsidRPr="00230BC2">
        <w:t xml:space="preserve">consider the </w:t>
      </w:r>
      <w:r w:rsidR="00522733" w:rsidRPr="00230BC2">
        <w:t xml:space="preserve">subsidiary bodies’ </w:t>
      </w:r>
      <w:r w:rsidR="0018670B" w:rsidRPr="00230BC2">
        <w:t>recommendations under the relevant agenda items</w:t>
      </w:r>
      <w:bookmarkEnd w:id="428"/>
      <w:r w:rsidR="0018670B" w:rsidRPr="00230BC2">
        <w:t>.</w:t>
      </w:r>
    </w:p>
    <w:p w14:paraId="3E0CC71B" w14:textId="0D7F73B2" w:rsidR="00D77560" w:rsidRPr="00230BC2" w:rsidRDefault="00D77560" w:rsidP="00517A7E">
      <w:pPr>
        <w:keepNext/>
        <w:suppressLineNumbers/>
        <w:suppressAutoHyphens/>
        <w:kinsoku w:val="0"/>
        <w:overflowPunct w:val="0"/>
        <w:autoSpaceDE w:val="0"/>
        <w:autoSpaceDN w:val="0"/>
        <w:adjustRightInd w:val="0"/>
        <w:snapToGrid w:val="0"/>
        <w:spacing w:before="240" w:after="120"/>
        <w:jc w:val="center"/>
        <w:rPr>
          <w:b/>
          <w:bCs/>
          <w:snapToGrid w:val="0"/>
          <w:kern w:val="22"/>
          <w:szCs w:val="22"/>
        </w:rPr>
      </w:pPr>
      <w:r w:rsidRPr="00230BC2">
        <w:rPr>
          <w:b/>
          <w:bCs/>
          <w:snapToGrid w:val="0"/>
          <w:kern w:val="22"/>
          <w:szCs w:val="22"/>
        </w:rPr>
        <w:t>III.</w:t>
      </w:r>
      <w:r w:rsidR="007C79CF" w:rsidRPr="00230BC2">
        <w:rPr>
          <w:b/>
          <w:bCs/>
          <w:snapToGrid w:val="0"/>
          <w:kern w:val="22"/>
          <w:szCs w:val="22"/>
        </w:rPr>
        <w:tab/>
      </w:r>
      <w:r w:rsidRPr="00230BC2">
        <w:rPr>
          <w:b/>
          <w:bCs/>
          <w:snapToGrid w:val="0"/>
          <w:kern w:val="22"/>
          <w:szCs w:val="22"/>
        </w:rPr>
        <w:t>ADMINISTRATION AND BUDGET</w:t>
      </w:r>
    </w:p>
    <w:p w14:paraId="0B3F190C" w14:textId="33EB26FC" w:rsidR="00D77560" w:rsidRPr="00950BE4" w:rsidRDefault="00D77560"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230BC2">
        <w:rPr>
          <w:b/>
          <w:bCs/>
          <w:snapToGrid w:val="0"/>
          <w:kern w:val="22"/>
          <w:szCs w:val="22"/>
        </w:rPr>
        <w:t>Item 7.</w:t>
      </w:r>
      <w:r w:rsidRPr="00230BC2">
        <w:rPr>
          <w:b/>
          <w:bCs/>
          <w:snapToGrid w:val="0"/>
          <w:kern w:val="22"/>
          <w:szCs w:val="22"/>
        </w:rPr>
        <w:tab/>
        <w:t>Administration of the Convention and budget for the trust funds</w:t>
      </w:r>
    </w:p>
    <w:p w14:paraId="7D257AB5" w14:textId="33DE940F" w:rsidR="000E6526" w:rsidRPr="00230BC2" w:rsidRDefault="000E6526" w:rsidP="003466FC">
      <w:pPr>
        <w:pStyle w:val="Para1"/>
      </w:pPr>
      <w:bookmarkStart w:id="429" w:name="_Hlk122436759"/>
      <w:r w:rsidRPr="00230BC2">
        <w:rPr>
          <w:rFonts w:eastAsia="Malgun Gothic"/>
        </w:rPr>
        <w:t xml:space="preserve">At the </w:t>
      </w:r>
      <w:r w:rsidR="00E4615C" w:rsidRPr="00230BC2">
        <w:rPr>
          <w:rFonts w:eastAsia="Malgun Gothic"/>
        </w:rPr>
        <w:t>1</w:t>
      </w:r>
      <w:r w:rsidRPr="00230BC2">
        <w:rPr>
          <w:rFonts w:eastAsia="Malgun Gothic"/>
        </w:rPr>
        <w:t xml:space="preserve">st </w:t>
      </w:r>
      <w:r w:rsidR="004A478A" w:rsidRPr="00230BC2">
        <w:t xml:space="preserve">plenary </w:t>
      </w:r>
      <w:r w:rsidRPr="00230BC2">
        <w:rPr>
          <w:rFonts w:eastAsia="Malgun Gothic"/>
        </w:rPr>
        <w:t>session</w:t>
      </w:r>
      <w:r w:rsidR="004217CC" w:rsidRPr="00230BC2">
        <w:rPr>
          <w:rFonts w:eastAsia="Malgun Gothic"/>
        </w:rPr>
        <w:t>,</w:t>
      </w:r>
      <w:r w:rsidRPr="00230BC2">
        <w:rPr>
          <w:rFonts w:eastAsia="Malgun Gothic"/>
        </w:rPr>
        <w:t xml:space="preserve"> the Executive Secretary reported on the activities of the </w:t>
      </w:r>
      <w:r w:rsidR="002F2A3E" w:rsidRPr="00230BC2">
        <w:rPr>
          <w:rFonts w:eastAsia="Malgun Gothic"/>
        </w:rPr>
        <w:t>S</w:t>
      </w:r>
      <w:r w:rsidRPr="00230BC2">
        <w:rPr>
          <w:rFonts w:eastAsia="Malgun Gothic"/>
        </w:rPr>
        <w:t xml:space="preserve">ecretariat and presented </w:t>
      </w:r>
      <w:r w:rsidRPr="00230BC2">
        <w:t>the proposed budget for the programmes of work of the Convention</w:t>
      </w:r>
      <w:r w:rsidR="005B231E" w:rsidRPr="00230BC2">
        <w:t xml:space="preserve"> and its </w:t>
      </w:r>
      <w:r w:rsidR="00BF433A" w:rsidRPr="00230BC2">
        <w:t>P</w:t>
      </w:r>
      <w:r w:rsidR="005B231E" w:rsidRPr="00230BC2">
        <w:t>rotocols</w:t>
      </w:r>
      <w:r w:rsidRPr="00230BC2">
        <w:t xml:space="preserve"> for the biennium 2023</w:t>
      </w:r>
      <w:r w:rsidRPr="00230BC2">
        <w:sym w:font="Symbol" w:char="F02D"/>
      </w:r>
      <w:r w:rsidRPr="00230BC2">
        <w:t xml:space="preserve">2024 (CBD/COP/15/7). </w:t>
      </w:r>
    </w:p>
    <w:p w14:paraId="22F49A17" w14:textId="44AC1E5A" w:rsidR="005B231E" w:rsidRPr="00230BC2" w:rsidRDefault="005B231E" w:rsidP="003466FC">
      <w:pPr>
        <w:pStyle w:val="Para1"/>
      </w:pPr>
      <w:r w:rsidRPr="00230BC2">
        <w:t xml:space="preserve">The </w:t>
      </w:r>
      <w:r w:rsidR="00944AEF" w:rsidRPr="00230BC2">
        <w:t>three bodies</w:t>
      </w:r>
      <w:r w:rsidRPr="00230BC2">
        <w:t xml:space="preserve"> establish</w:t>
      </w:r>
      <w:r w:rsidR="002206DF" w:rsidRPr="00230BC2">
        <w:t>ed</w:t>
      </w:r>
      <w:r w:rsidRPr="00230BC2">
        <w:t xml:space="preserve"> a contact group on budget, chaired by Hamdallah Zedan (Egypt), with the mandate to consider the proposed budget for the biennium </w:t>
      </w:r>
      <w:r w:rsidR="00404009" w:rsidRPr="00230BC2">
        <w:t>2023</w:t>
      </w:r>
      <w:r w:rsidR="00404009" w:rsidRPr="00230BC2">
        <w:sym w:font="Symbol" w:char="F02D"/>
      </w:r>
      <w:r w:rsidR="00404009" w:rsidRPr="00230BC2">
        <w:t xml:space="preserve">2024 </w:t>
      </w:r>
      <w:r w:rsidRPr="00230BC2">
        <w:t xml:space="preserve">in detail. </w:t>
      </w:r>
    </w:p>
    <w:bookmarkEnd w:id="429"/>
    <w:p w14:paraId="75A755FA" w14:textId="45758565" w:rsidR="005B3D2A" w:rsidRPr="00230BC2" w:rsidRDefault="005B3D2A" w:rsidP="003466FC">
      <w:pPr>
        <w:pStyle w:val="Para1"/>
      </w:pPr>
      <w:r w:rsidRPr="00230BC2">
        <w:t xml:space="preserve">The </w:t>
      </w:r>
      <w:r w:rsidR="00C87E35" w:rsidRPr="00230BC2">
        <w:t>C</w:t>
      </w:r>
      <w:r w:rsidRPr="00230BC2">
        <w:t xml:space="preserve">hair of the contact group </w:t>
      </w:r>
      <w:r w:rsidR="00047B3A" w:rsidRPr="00230BC2">
        <w:t xml:space="preserve">on budget </w:t>
      </w:r>
      <w:r w:rsidRPr="00230BC2">
        <w:t>reported on the group’s work at the two stocktake plenary sessions</w:t>
      </w:r>
      <w:r w:rsidR="00815AA7" w:rsidRPr="00230BC2">
        <w:t>.</w:t>
      </w:r>
    </w:p>
    <w:p w14:paraId="2F9A4D02" w14:textId="26171AB2" w:rsidR="005B3D2A" w:rsidRPr="00230BC2" w:rsidRDefault="005B3D2A" w:rsidP="003466FC">
      <w:pPr>
        <w:pStyle w:val="Para1"/>
      </w:pPr>
      <w:r w:rsidRPr="00230BC2">
        <w:t xml:space="preserve">At the </w:t>
      </w:r>
      <w:r w:rsidR="00E4615C" w:rsidRPr="00230BC2">
        <w:t>5</w:t>
      </w:r>
      <w:r w:rsidRPr="00230BC2">
        <w:t>th plenary session</w:t>
      </w:r>
      <w:r w:rsidR="00D94EB4" w:rsidRPr="00230BC2">
        <w:t>,</w:t>
      </w:r>
      <w:r w:rsidRPr="00230BC2">
        <w:t xml:space="preserve"> the </w:t>
      </w:r>
      <w:r w:rsidR="00D94EB4" w:rsidRPr="00230BC2">
        <w:t>C</w:t>
      </w:r>
      <w:r w:rsidRPr="00230BC2">
        <w:t xml:space="preserve">hair </w:t>
      </w:r>
      <w:r w:rsidR="00794371" w:rsidRPr="00230BC2">
        <w:t xml:space="preserve">of the contact </w:t>
      </w:r>
      <w:r w:rsidR="007D3048" w:rsidRPr="00230BC2">
        <w:t xml:space="preserve">group </w:t>
      </w:r>
      <w:r w:rsidR="00047B3A" w:rsidRPr="00230BC2">
        <w:t xml:space="preserve">on budget </w:t>
      </w:r>
      <w:r w:rsidR="00794371" w:rsidRPr="00230BC2">
        <w:t>presented</w:t>
      </w:r>
      <w:r w:rsidRPr="00230BC2">
        <w:t xml:space="preserve"> his final report on the group’s work.</w:t>
      </w:r>
    </w:p>
    <w:p w14:paraId="4D8922DD" w14:textId="03BA1900" w:rsidR="005B3D2A" w:rsidRPr="00230BC2" w:rsidRDefault="005B3D2A" w:rsidP="003466FC">
      <w:pPr>
        <w:pStyle w:val="Para1"/>
      </w:pPr>
      <w:r w:rsidRPr="00230BC2">
        <w:t xml:space="preserve">The Conference of the Parties then considered draft decision CBD/COP/15/L.31 </w:t>
      </w:r>
      <w:r w:rsidR="00E0131C" w:rsidRPr="00230BC2">
        <w:t xml:space="preserve">submitted by the </w:t>
      </w:r>
      <w:r w:rsidR="00C87E35" w:rsidRPr="00230BC2">
        <w:t>C</w:t>
      </w:r>
      <w:r w:rsidR="00E0131C" w:rsidRPr="00230BC2">
        <w:t xml:space="preserve">hair of the contact group on budget </w:t>
      </w:r>
      <w:r w:rsidRPr="00230BC2">
        <w:t>and adopted it as decision 15/</w:t>
      </w:r>
      <w:r w:rsidR="00AE3980" w:rsidRPr="00230BC2">
        <w:t>34</w:t>
      </w:r>
      <w:r w:rsidRPr="00230BC2">
        <w:t xml:space="preserve">. </w:t>
      </w:r>
    </w:p>
    <w:p w14:paraId="0257DD4F" w14:textId="677B6E44" w:rsidR="005F0232" w:rsidRPr="00230BC2" w:rsidRDefault="005F0232" w:rsidP="003466FC">
      <w:pPr>
        <w:pStyle w:val="Para1"/>
      </w:pPr>
      <w:r w:rsidRPr="00230BC2">
        <w:t xml:space="preserve">The representative of Norway announced that his </w:t>
      </w:r>
      <w:r w:rsidR="00C536E2" w:rsidRPr="00230BC2">
        <w:t>G</w:t>
      </w:r>
      <w:r w:rsidRPr="00230BC2">
        <w:t>overnment would contribute 10 million</w:t>
      </w:r>
      <w:r w:rsidR="004438DF" w:rsidRPr="00230BC2">
        <w:t xml:space="preserve"> Norwegian kroner</w:t>
      </w:r>
      <w:r w:rsidRPr="00230BC2">
        <w:t xml:space="preserve"> </w:t>
      </w:r>
      <w:r w:rsidR="00C536E2" w:rsidRPr="00230BC2">
        <w:t>(</w:t>
      </w:r>
      <w:r w:rsidR="009C685B" w:rsidRPr="00230BC2">
        <w:t xml:space="preserve">the </w:t>
      </w:r>
      <w:r w:rsidRPr="00230BC2">
        <w:t>equivalent to 1 million</w:t>
      </w:r>
      <w:r w:rsidR="00485524" w:rsidRPr="00230BC2">
        <w:t xml:space="preserve"> United States dollars</w:t>
      </w:r>
      <w:r w:rsidR="00C536E2" w:rsidRPr="00230BC2">
        <w:t>)</w:t>
      </w:r>
      <w:r w:rsidRPr="00230BC2">
        <w:t xml:space="preserve"> to intersessional work on digital sequence information on genetic resources.</w:t>
      </w:r>
    </w:p>
    <w:p w14:paraId="5FB3B62F" w14:textId="49555906" w:rsidR="0061275F" w:rsidRPr="00A9383D" w:rsidRDefault="0061275F" w:rsidP="00A9383D">
      <w:pPr>
        <w:keepNext/>
        <w:suppressLineNumbers/>
        <w:suppressAutoHyphens/>
        <w:kinsoku w:val="0"/>
        <w:overflowPunct w:val="0"/>
        <w:autoSpaceDE w:val="0"/>
        <w:autoSpaceDN w:val="0"/>
        <w:adjustRightInd w:val="0"/>
        <w:snapToGrid w:val="0"/>
        <w:spacing w:before="240" w:after="120"/>
        <w:jc w:val="center"/>
        <w:rPr>
          <w:b/>
          <w:bCs/>
          <w:snapToGrid w:val="0"/>
          <w:kern w:val="22"/>
          <w:szCs w:val="22"/>
        </w:rPr>
      </w:pPr>
      <w:r w:rsidRPr="00A9383D">
        <w:rPr>
          <w:b/>
          <w:bCs/>
          <w:snapToGrid w:val="0"/>
          <w:kern w:val="22"/>
          <w:szCs w:val="22"/>
        </w:rPr>
        <w:t>I</w:t>
      </w:r>
      <w:r w:rsidR="00020D56" w:rsidRPr="00A9383D">
        <w:rPr>
          <w:b/>
          <w:bCs/>
          <w:snapToGrid w:val="0"/>
          <w:kern w:val="22"/>
          <w:szCs w:val="22"/>
        </w:rPr>
        <w:t>V</w:t>
      </w:r>
      <w:r w:rsidRPr="00A9383D">
        <w:rPr>
          <w:b/>
          <w:bCs/>
          <w:snapToGrid w:val="0"/>
          <w:kern w:val="22"/>
          <w:szCs w:val="22"/>
        </w:rPr>
        <w:t>.</w:t>
      </w:r>
      <w:r w:rsidRPr="00A9383D">
        <w:rPr>
          <w:b/>
          <w:bCs/>
          <w:snapToGrid w:val="0"/>
          <w:kern w:val="22"/>
          <w:szCs w:val="22"/>
        </w:rPr>
        <w:tab/>
        <w:t xml:space="preserve">REVIEW OF </w:t>
      </w:r>
      <w:r w:rsidR="00A9383D" w:rsidRPr="00A9383D">
        <w:rPr>
          <w:b/>
          <w:bCs/>
          <w:snapToGrid w:val="0"/>
          <w:kern w:val="22"/>
          <w:szCs w:val="22"/>
        </w:rPr>
        <w:t>IMPLEM</w:t>
      </w:r>
      <w:r w:rsidRPr="00A9383D">
        <w:rPr>
          <w:b/>
          <w:bCs/>
          <w:snapToGrid w:val="0"/>
          <w:kern w:val="22"/>
          <w:szCs w:val="22"/>
        </w:rPr>
        <w:t>ENTATION</w:t>
      </w:r>
    </w:p>
    <w:p w14:paraId="0C610910" w14:textId="4BEC658B" w:rsidR="0061275F" w:rsidRPr="00230BC2" w:rsidRDefault="0061275F" w:rsidP="00950BE4">
      <w:pPr>
        <w:keepNext/>
        <w:suppressLineNumbers/>
        <w:tabs>
          <w:tab w:val="left" w:pos="810"/>
        </w:tabs>
        <w:suppressAutoHyphens/>
        <w:kinsoku w:val="0"/>
        <w:overflowPunct w:val="0"/>
        <w:autoSpaceDE w:val="0"/>
        <w:autoSpaceDN w:val="0"/>
        <w:adjustRightInd w:val="0"/>
        <w:snapToGrid w:val="0"/>
        <w:spacing w:before="240" w:after="120"/>
        <w:jc w:val="center"/>
        <w:rPr>
          <w:b/>
          <w:bCs/>
          <w:i/>
          <w:iCs/>
          <w:szCs w:val="22"/>
        </w:rPr>
      </w:pPr>
      <w:r w:rsidRPr="00230BC2">
        <w:rPr>
          <w:b/>
          <w:bCs/>
          <w:szCs w:val="22"/>
        </w:rPr>
        <w:t>Item 8.</w:t>
      </w:r>
      <w:r w:rsidRPr="00230BC2">
        <w:rPr>
          <w:b/>
          <w:bCs/>
          <w:szCs w:val="22"/>
        </w:rPr>
        <w:tab/>
        <w:t xml:space="preserve">Review of progress in the </w:t>
      </w:r>
      <w:r w:rsidRPr="00230BC2">
        <w:rPr>
          <w:b/>
          <w:bCs/>
          <w:iCs/>
          <w:snapToGrid w:val="0"/>
          <w:kern w:val="22"/>
          <w:szCs w:val="22"/>
        </w:rPr>
        <w:t>implementation</w:t>
      </w:r>
      <w:r w:rsidRPr="00230BC2">
        <w:rPr>
          <w:b/>
          <w:bCs/>
          <w:szCs w:val="22"/>
        </w:rPr>
        <w:t xml:space="preserve"> of the Convention and the Strategic Plan for Biodiversity 2011</w:t>
      </w:r>
      <w:r w:rsidR="0038319C" w:rsidRPr="00230BC2">
        <w:rPr>
          <w:b/>
          <w:bCs/>
          <w:szCs w:val="22"/>
        </w:rPr>
        <w:t>–</w:t>
      </w:r>
      <w:r w:rsidRPr="00230BC2">
        <w:rPr>
          <w:b/>
          <w:bCs/>
          <w:szCs w:val="22"/>
        </w:rPr>
        <w:t>2020 and the achievement of the Aichi Biodiversity Targets</w:t>
      </w:r>
      <w:r w:rsidRPr="00230BC2">
        <w:rPr>
          <w:b/>
          <w:bCs/>
          <w:i/>
          <w:iCs/>
          <w:szCs w:val="22"/>
        </w:rPr>
        <w:t xml:space="preserve"> </w:t>
      </w:r>
    </w:p>
    <w:p w14:paraId="0C002DBC" w14:textId="450F02DB" w:rsidR="00352D5E" w:rsidRPr="00230BC2" w:rsidRDefault="00352D5E" w:rsidP="00950BE4">
      <w:pPr>
        <w:pStyle w:val="ListParagraph"/>
        <w:keepNext/>
        <w:suppressLineNumbers/>
        <w:suppressAutoHyphens/>
        <w:kinsoku w:val="0"/>
        <w:overflowPunct w:val="0"/>
        <w:autoSpaceDE w:val="0"/>
        <w:autoSpaceDN w:val="0"/>
        <w:adjustRightInd w:val="0"/>
        <w:snapToGrid w:val="0"/>
        <w:spacing w:before="240" w:after="120"/>
        <w:ind w:left="1270" w:right="289" w:hanging="561"/>
        <w:jc w:val="left"/>
        <w:rPr>
          <w:rFonts w:ascii="Times New Roman Bold" w:hAnsi="Times New Roman Bold" w:cs="Times New Roman Bold"/>
          <w:b/>
          <w:snapToGrid w:val="0"/>
          <w:kern w:val="22"/>
          <w:szCs w:val="22"/>
        </w:rPr>
      </w:pPr>
      <w:bookmarkStart w:id="430" w:name="_Hlk121819911"/>
      <w:r w:rsidRPr="00230BC2">
        <w:rPr>
          <w:rFonts w:ascii="Times New Roman Bold" w:hAnsi="Times New Roman Bold" w:cs="Times New Roman Bold"/>
          <w:b/>
          <w:snapToGrid w:val="0"/>
          <w:kern w:val="22"/>
          <w:szCs w:val="22"/>
        </w:rPr>
        <w:t>A.</w:t>
      </w:r>
      <w:r w:rsidRPr="00230BC2">
        <w:rPr>
          <w:rFonts w:ascii="Times New Roman Bold" w:hAnsi="Times New Roman Bold" w:cs="Times New Roman Bold"/>
          <w:b/>
          <w:snapToGrid w:val="0"/>
          <w:kern w:val="22"/>
          <w:szCs w:val="22"/>
        </w:rPr>
        <w:tab/>
        <w:t>Informing the scientific and technical evidence base for the post-2020 global biodiversity framework</w:t>
      </w:r>
    </w:p>
    <w:bookmarkEnd w:id="430"/>
    <w:p w14:paraId="2569B5D9" w14:textId="783A7868" w:rsidR="007F45EB" w:rsidRPr="00230BC2" w:rsidRDefault="007F45EB" w:rsidP="003466FC">
      <w:pPr>
        <w:pStyle w:val="Para1"/>
      </w:pPr>
      <w:r w:rsidRPr="00230BC2">
        <w:t xml:space="preserve">Working </w:t>
      </w:r>
      <w:r w:rsidR="00A82043" w:rsidRPr="00230BC2">
        <w:t>G</w:t>
      </w:r>
      <w:r w:rsidRPr="00230BC2">
        <w:t xml:space="preserve">roup I </w:t>
      </w:r>
      <w:r w:rsidR="00B3219B" w:rsidRPr="00230BC2">
        <w:t>considered</w:t>
      </w:r>
      <w:r w:rsidRPr="00230BC2">
        <w:t xml:space="preserve"> sub-item 8 A </w:t>
      </w:r>
      <w:r w:rsidR="00050821" w:rsidRPr="00230BC2">
        <w:t xml:space="preserve">of the agenda </w:t>
      </w:r>
      <w:r w:rsidRPr="00230BC2">
        <w:t>at its</w:t>
      </w:r>
      <w:r w:rsidRPr="00230BC2">
        <w:rPr>
          <w:bCs/>
        </w:rPr>
        <w:t xml:space="preserve"> </w:t>
      </w:r>
      <w:r w:rsidR="00E67935" w:rsidRPr="00230BC2">
        <w:t>1st</w:t>
      </w:r>
      <w:r w:rsidRPr="00230BC2">
        <w:t xml:space="preserve"> meeting, on 7</w:t>
      </w:r>
      <w:r w:rsidR="00050821" w:rsidRPr="00230BC2">
        <w:t> </w:t>
      </w:r>
      <w:r w:rsidRPr="00230BC2">
        <w:rPr>
          <w:iCs/>
        </w:rPr>
        <w:t>December</w:t>
      </w:r>
      <w:r w:rsidRPr="00230BC2">
        <w:t xml:space="preserve">. </w:t>
      </w:r>
      <w:r w:rsidR="009A2CF8" w:rsidRPr="00230BC2">
        <w:t xml:space="preserve">It </w:t>
      </w:r>
      <w:r w:rsidRPr="00230BC2">
        <w:t>had before it a draft decision based on recommendations 23/1 and 24/1 of the Subsidiary Body on Scientific, Technical and Technological Advice</w:t>
      </w:r>
      <w:r w:rsidR="00A7753C" w:rsidRPr="00230BC2">
        <w:t>,</w:t>
      </w:r>
      <w:r w:rsidRPr="00230BC2">
        <w:t xml:space="preserve"> </w:t>
      </w:r>
      <w:r w:rsidR="00A7753C" w:rsidRPr="00230BC2">
        <w:t xml:space="preserve">as </w:t>
      </w:r>
      <w:r w:rsidRPr="00230BC2">
        <w:t>set out in the compilation of draft decisions</w:t>
      </w:r>
      <w:r w:rsidR="00373A92" w:rsidRPr="00230BC2">
        <w:t>.</w:t>
      </w:r>
    </w:p>
    <w:p w14:paraId="63720179" w14:textId="5587C689" w:rsidR="007F45EB" w:rsidRPr="00230BC2" w:rsidRDefault="003873C8" w:rsidP="003466FC">
      <w:pPr>
        <w:pStyle w:val="Para1"/>
      </w:pPr>
      <w:r w:rsidRPr="00230BC2">
        <w:t>W</w:t>
      </w:r>
      <w:r w:rsidR="007F45EB" w:rsidRPr="00230BC2">
        <w:t xml:space="preserve">orking </w:t>
      </w:r>
      <w:r w:rsidRPr="00230BC2">
        <w:t>G</w:t>
      </w:r>
      <w:r w:rsidR="007F45EB" w:rsidRPr="00230BC2">
        <w:t xml:space="preserve">roup </w:t>
      </w:r>
      <w:r w:rsidRPr="00230BC2">
        <w:t xml:space="preserve">I </w:t>
      </w:r>
      <w:r w:rsidR="007F45EB" w:rsidRPr="00230BC2">
        <w:t xml:space="preserve">agreed that </w:t>
      </w:r>
      <w:r w:rsidR="00A1383D" w:rsidRPr="00230BC2">
        <w:t xml:space="preserve">its </w:t>
      </w:r>
      <w:r w:rsidR="007F45EB" w:rsidRPr="00230BC2">
        <w:t xml:space="preserve">Chair would hold informal consultations on the few </w:t>
      </w:r>
      <w:r w:rsidR="00D9069D" w:rsidRPr="00230BC2">
        <w:t>outstanding</w:t>
      </w:r>
      <w:r w:rsidR="0006223B" w:rsidRPr="00230BC2">
        <w:t xml:space="preserve"> </w:t>
      </w:r>
      <w:r w:rsidR="007F45EB" w:rsidRPr="00230BC2">
        <w:t xml:space="preserve">issues and prepare a revised draft decision for the </w:t>
      </w:r>
      <w:r w:rsidR="00583FC8" w:rsidRPr="00230BC2">
        <w:t>G</w:t>
      </w:r>
      <w:r w:rsidR="007F45EB" w:rsidRPr="00230BC2">
        <w:t xml:space="preserve">roup’s consideration. </w:t>
      </w:r>
    </w:p>
    <w:p w14:paraId="05104A80" w14:textId="03EEF35E" w:rsidR="00AA6EC2" w:rsidRPr="00230BC2" w:rsidRDefault="00AA6EC2" w:rsidP="003466FC">
      <w:pPr>
        <w:pStyle w:val="Para1"/>
      </w:pPr>
      <w:r w:rsidRPr="00230BC2">
        <w:t xml:space="preserve">At its </w:t>
      </w:r>
      <w:r w:rsidR="00E67935" w:rsidRPr="00230BC2">
        <w:t>2nd</w:t>
      </w:r>
      <w:r w:rsidRPr="00230BC2">
        <w:t xml:space="preserve"> meeting, on 9 December 2022, </w:t>
      </w:r>
      <w:r w:rsidR="00583FC8" w:rsidRPr="00230BC2">
        <w:t>W</w:t>
      </w:r>
      <w:r w:rsidRPr="00230BC2">
        <w:t xml:space="preserve">orking </w:t>
      </w:r>
      <w:r w:rsidR="00583FC8" w:rsidRPr="00230BC2">
        <w:t>G</w:t>
      </w:r>
      <w:r w:rsidRPr="00230BC2">
        <w:t xml:space="preserve">roup </w:t>
      </w:r>
      <w:r w:rsidR="00583FC8" w:rsidRPr="00230BC2">
        <w:t xml:space="preserve">I </w:t>
      </w:r>
      <w:r w:rsidRPr="00230BC2">
        <w:t xml:space="preserve">considered the revised draft decision submitted by </w:t>
      </w:r>
      <w:r w:rsidR="005B71A0" w:rsidRPr="00230BC2">
        <w:t xml:space="preserve">its </w:t>
      </w:r>
      <w:r w:rsidRPr="00230BC2">
        <w:t xml:space="preserve">Chair and approved it for transmission to </w:t>
      </w:r>
      <w:r w:rsidR="00A124C1" w:rsidRPr="00230BC2">
        <w:t xml:space="preserve">the </w:t>
      </w:r>
      <w:r w:rsidRPr="00230BC2">
        <w:t xml:space="preserve">plenary </w:t>
      </w:r>
      <w:r w:rsidR="008073D6" w:rsidRPr="00230BC2">
        <w:t xml:space="preserve">session </w:t>
      </w:r>
      <w:r w:rsidRPr="00230BC2">
        <w:t>as draft decision CBD/COP/15/L.3.</w:t>
      </w:r>
    </w:p>
    <w:p w14:paraId="7DB96B42" w14:textId="55FC8E91" w:rsidR="002C2515" w:rsidRPr="00230BC2" w:rsidRDefault="002C2515" w:rsidP="003466FC">
      <w:pPr>
        <w:pStyle w:val="Para1"/>
      </w:pPr>
      <w:r w:rsidRPr="00230BC2">
        <w:t xml:space="preserve">At </w:t>
      </w:r>
      <w:r w:rsidR="00D23128" w:rsidRPr="00230BC2">
        <w:t xml:space="preserve">its </w:t>
      </w:r>
      <w:r w:rsidR="00E67935" w:rsidRPr="00230BC2">
        <w:t>2nd</w:t>
      </w:r>
      <w:r w:rsidRPr="00230BC2">
        <w:t xml:space="preserve"> </w:t>
      </w:r>
      <w:r w:rsidR="00284AD3" w:rsidRPr="00230BC2">
        <w:t xml:space="preserve">plenary </w:t>
      </w:r>
      <w:r w:rsidRPr="00230BC2">
        <w:t>session</w:t>
      </w:r>
      <w:r w:rsidR="00676360" w:rsidRPr="00230BC2">
        <w:t>,</w:t>
      </w:r>
      <w:r w:rsidRPr="00230BC2">
        <w:t xml:space="preserve"> the Conference of the Parties </w:t>
      </w:r>
      <w:r w:rsidR="001259D5" w:rsidRPr="00230BC2">
        <w:t xml:space="preserve">adopted the </w:t>
      </w:r>
      <w:r w:rsidRPr="00230BC2">
        <w:t>draft decision as decision</w:t>
      </w:r>
      <w:r w:rsidR="008107AF" w:rsidRPr="00230BC2">
        <w:t> </w:t>
      </w:r>
      <w:r w:rsidRPr="00230BC2">
        <w:t>15/</w:t>
      </w:r>
      <w:r w:rsidR="00E732CE" w:rsidRPr="00230BC2">
        <w:t>2</w:t>
      </w:r>
      <w:r w:rsidRPr="00230BC2">
        <w:t>.</w:t>
      </w:r>
    </w:p>
    <w:p w14:paraId="6DD7E06E" w14:textId="55B368F3" w:rsidR="002C2515" w:rsidRPr="00950BE4" w:rsidRDefault="00352D5E" w:rsidP="00950BE4">
      <w:pPr>
        <w:keepNext/>
        <w:suppressLineNumbers/>
        <w:tabs>
          <w:tab w:val="left" w:pos="990"/>
        </w:tabs>
        <w:suppressAutoHyphens/>
        <w:kinsoku w:val="0"/>
        <w:overflowPunct w:val="0"/>
        <w:autoSpaceDE w:val="0"/>
        <w:autoSpaceDN w:val="0"/>
        <w:adjustRightInd w:val="0"/>
        <w:snapToGrid w:val="0"/>
        <w:spacing w:before="240" w:after="120"/>
        <w:ind w:left="1560" w:hanging="567"/>
        <w:jc w:val="left"/>
        <w:rPr>
          <w:b/>
          <w:bCs/>
          <w:snapToGrid w:val="0"/>
          <w:kern w:val="22"/>
          <w:szCs w:val="22"/>
        </w:rPr>
      </w:pPr>
      <w:r w:rsidRPr="00950BE4">
        <w:rPr>
          <w:b/>
          <w:bCs/>
          <w:snapToGrid w:val="0"/>
          <w:kern w:val="22"/>
          <w:szCs w:val="22"/>
        </w:rPr>
        <w:t>B.</w:t>
      </w:r>
      <w:r w:rsidRPr="00950BE4">
        <w:rPr>
          <w:b/>
          <w:bCs/>
          <w:snapToGrid w:val="0"/>
          <w:kern w:val="22"/>
          <w:szCs w:val="22"/>
        </w:rPr>
        <w:tab/>
        <w:t xml:space="preserve">Review of progress in the implementation of the Convention and the </w:t>
      </w:r>
      <w:r w:rsidR="00722846" w:rsidRPr="00950BE4">
        <w:rPr>
          <w:b/>
          <w:bCs/>
          <w:snapToGrid w:val="0"/>
          <w:kern w:val="22"/>
          <w:szCs w:val="22"/>
        </w:rPr>
        <w:t>S</w:t>
      </w:r>
      <w:r w:rsidRPr="00950BE4">
        <w:rPr>
          <w:b/>
          <w:bCs/>
          <w:snapToGrid w:val="0"/>
          <w:kern w:val="22"/>
          <w:szCs w:val="22"/>
        </w:rPr>
        <w:t xml:space="preserve">trategic </w:t>
      </w:r>
      <w:r w:rsidR="00722846" w:rsidRPr="00950BE4">
        <w:rPr>
          <w:b/>
          <w:bCs/>
          <w:snapToGrid w:val="0"/>
          <w:kern w:val="22"/>
          <w:szCs w:val="22"/>
        </w:rPr>
        <w:t>P</w:t>
      </w:r>
      <w:r w:rsidRPr="00950BE4">
        <w:rPr>
          <w:b/>
          <w:bCs/>
          <w:snapToGrid w:val="0"/>
          <w:kern w:val="22"/>
          <w:szCs w:val="22"/>
        </w:rPr>
        <w:t xml:space="preserve">lan for </w:t>
      </w:r>
      <w:r w:rsidR="00722846" w:rsidRPr="00950BE4">
        <w:rPr>
          <w:b/>
          <w:bCs/>
          <w:snapToGrid w:val="0"/>
          <w:kern w:val="22"/>
          <w:szCs w:val="22"/>
        </w:rPr>
        <w:t>B</w:t>
      </w:r>
      <w:r w:rsidRPr="00950BE4">
        <w:rPr>
          <w:b/>
          <w:bCs/>
          <w:snapToGrid w:val="0"/>
          <w:kern w:val="22"/>
          <w:szCs w:val="22"/>
        </w:rPr>
        <w:t>iodiversity 2011</w:t>
      </w:r>
      <w:r w:rsidRPr="00950BE4">
        <w:rPr>
          <w:b/>
          <w:bCs/>
          <w:snapToGrid w:val="0"/>
          <w:kern w:val="22"/>
          <w:szCs w:val="22"/>
        </w:rPr>
        <w:sym w:font="Symbol" w:char="F02D"/>
      </w:r>
      <w:r w:rsidRPr="00950BE4">
        <w:rPr>
          <w:b/>
          <w:bCs/>
          <w:snapToGrid w:val="0"/>
          <w:kern w:val="22"/>
          <w:szCs w:val="22"/>
        </w:rPr>
        <w:t>2020</w:t>
      </w:r>
    </w:p>
    <w:p w14:paraId="789951AC" w14:textId="7D12AC03" w:rsidR="00372129" w:rsidRPr="00230BC2" w:rsidRDefault="00372129" w:rsidP="003466FC">
      <w:pPr>
        <w:pStyle w:val="Para1"/>
      </w:pPr>
      <w:r w:rsidRPr="00230BC2">
        <w:t xml:space="preserve">Working </w:t>
      </w:r>
      <w:r w:rsidR="003873C8" w:rsidRPr="00230BC2">
        <w:t>G</w:t>
      </w:r>
      <w:r w:rsidRPr="00230BC2">
        <w:t xml:space="preserve">roup I </w:t>
      </w:r>
      <w:r w:rsidR="00B3219B" w:rsidRPr="00230BC2">
        <w:t>considered</w:t>
      </w:r>
      <w:r w:rsidRPr="00230BC2">
        <w:t xml:space="preserve"> sub-item 8 B </w:t>
      </w:r>
      <w:r w:rsidR="00050821" w:rsidRPr="00230BC2">
        <w:t xml:space="preserve">of the agenda </w:t>
      </w:r>
      <w:r w:rsidRPr="00230BC2">
        <w:t>at its</w:t>
      </w:r>
      <w:r w:rsidRPr="00230BC2">
        <w:rPr>
          <w:bCs/>
        </w:rPr>
        <w:t xml:space="preserve"> </w:t>
      </w:r>
      <w:r w:rsidR="00E67935" w:rsidRPr="00230BC2">
        <w:t>1st</w:t>
      </w:r>
      <w:r w:rsidRPr="00230BC2">
        <w:t xml:space="preserve"> meeting</w:t>
      </w:r>
      <w:r w:rsidR="00E34EE2" w:rsidRPr="00230BC2">
        <w:t>.</w:t>
      </w:r>
      <w:r w:rsidRPr="00230BC2">
        <w:t xml:space="preserve"> </w:t>
      </w:r>
      <w:r w:rsidR="000A734E" w:rsidRPr="00230BC2">
        <w:t xml:space="preserve">It </w:t>
      </w:r>
      <w:r w:rsidRPr="00230BC2">
        <w:t xml:space="preserve">had before it </w:t>
      </w:r>
      <w:bookmarkStart w:id="431" w:name="Item11"/>
      <w:r w:rsidRPr="00230BC2">
        <w:t xml:space="preserve">a draft decision on </w:t>
      </w:r>
      <w:r w:rsidR="00B906D7" w:rsidRPr="00230BC2">
        <w:t xml:space="preserve">the </w:t>
      </w:r>
      <w:r w:rsidRPr="00230BC2">
        <w:t>review of progress in the implementation of the Convention and the Strategic Plan for Biodiversity 2011</w:t>
      </w:r>
      <w:r w:rsidRPr="00230BC2">
        <w:sym w:font="Symbol" w:char="F02D"/>
      </w:r>
      <w:r w:rsidRPr="00230BC2">
        <w:t xml:space="preserve">2020, prepared on the basis of recommendation 3/1 </w:t>
      </w:r>
      <w:r w:rsidR="00E4566F" w:rsidRPr="00230BC2">
        <w:t>of</w:t>
      </w:r>
      <w:r w:rsidRPr="00230BC2">
        <w:t xml:space="preserve"> the Subsidiary Body on Implementation</w:t>
      </w:r>
      <w:r w:rsidR="00151616" w:rsidRPr="00230BC2">
        <w:t>,</w:t>
      </w:r>
      <w:r w:rsidRPr="00230BC2">
        <w:t xml:space="preserve"> </w:t>
      </w:r>
      <w:r w:rsidR="00151616" w:rsidRPr="00230BC2">
        <w:t xml:space="preserve">as </w:t>
      </w:r>
      <w:r w:rsidRPr="00230BC2">
        <w:t>set out in the compilation of draft decisions</w:t>
      </w:r>
      <w:r w:rsidR="00855B78" w:rsidRPr="00230BC2">
        <w:t>,</w:t>
      </w:r>
      <w:r w:rsidRPr="00230BC2">
        <w:t xml:space="preserve"> and a note by the Executive Secretary on the </w:t>
      </w:r>
      <w:r w:rsidRPr="00230BC2">
        <w:rPr>
          <w:bCs/>
        </w:rPr>
        <w:t>review of progress in the implementation of the Convention and the Strategic Plan for Biodiversity 2011</w:t>
      </w:r>
      <w:r w:rsidRPr="00230BC2">
        <w:rPr>
          <w:b/>
          <w:bCs/>
        </w:rPr>
        <w:t>–</w:t>
      </w:r>
      <w:r w:rsidRPr="00230BC2">
        <w:rPr>
          <w:bCs/>
        </w:rPr>
        <w:t>2020 (</w:t>
      </w:r>
      <w:r w:rsidRPr="00230BC2">
        <w:t>CBD/COP/15/9</w:t>
      </w:r>
      <w:r w:rsidR="00474AEA" w:rsidRPr="00230BC2">
        <w:t>)</w:t>
      </w:r>
      <w:r w:rsidRPr="00230BC2">
        <w:t xml:space="preserve"> and addenda</w:t>
      </w:r>
      <w:r w:rsidR="0074370A" w:rsidRPr="00230BC2">
        <w:t xml:space="preserve"> </w:t>
      </w:r>
      <w:r w:rsidR="00AE025B" w:rsidRPr="00230BC2">
        <w:t xml:space="preserve">thereto </w:t>
      </w:r>
      <w:r w:rsidR="00474AEA" w:rsidRPr="00230BC2">
        <w:t>(</w:t>
      </w:r>
      <w:r w:rsidR="0074370A" w:rsidRPr="00230BC2">
        <w:t>CBD/COP/15/9</w:t>
      </w:r>
      <w:r w:rsidR="001C7CF7" w:rsidRPr="00230BC2">
        <w:t>/Add.1 and CBD/COP/15/9/Add.2</w:t>
      </w:r>
      <w:r w:rsidRPr="00230BC2">
        <w:t xml:space="preserve">). </w:t>
      </w:r>
    </w:p>
    <w:p w14:paraId="2CDF3C3B" w14:textId="3D45FA53" w:rsidR="00372129" w:rsidRPr="00230BC2" w:rsidRDefault="00583FC8" w:rsidP="003466FC">
      <w:pPr>
        <w:pStyle w:val="Para1"/>
      </w:pPr>
      <w:r w:rsidRPr="00230BC2">
        <w:t>W</w:t>
      </w:r>
      <w:r w:rsidR="00372129" w:rsidRPr="00230BC2">
        <w:t xml:space="preserve">orking </w:t>
      </w:r>
      <w:r w:rsidRPr="00230BC2">
        <w:t>G</w:t>
      </w:r>
      <w:r w:rsidR="00372129" w:rsidRPr="00230BC2">
        <w:t xml:space="preserve">roup </w:t>
      </w:r>
      <w:r w:rsidRPr="00230BC2">
        <w:t xml:space="preserve">I </w:t>
      </w:r>
      <w:r w:rsidR="00372129" w:rsidRPr="00230BC2">
        <w:t xml:space="preserve">agreed that </w:t>
      </w:r>
      <w:r w:rsidR="00843105" w:rsidRPr="00230BC2">
        <w:t xml:space="preserve">its </w:t>
      </w:r>
      <w:r w:rsidR="00372129" w:rsidRPr="00230BC2">
        <w:t xml:space="preserve">Chair would hold informal consultations on the few </w:t>
      </w:r>
      <w:r w:rsidR="00D9069D" w:rsidRPr="00230BC2">
        <w:t xml:space="preserve">outstanding </w:t>
      </w:r>
      <w:r w:rsidR="00372129" w:rsidRPr="00230BC2">
        <w:t xml:space="preserve">issues and prepare a revised draft decision for the </w:t>
      </w:r>
      <w:r w:rsidRPr="00230BC2">
        <w:t>G</w:t>
      </w:r>
      <w:r w:rsidR="00372129" w:rsidRPr="00230BC2">
        <w:t>roup’s consideration.</w:t>
      </w:r>
    </w:p>
    <w:bookmarkEnd w:id="431"/>
    <w:p w14:paraId="7E575D0A" w14:textId="2FD13262" w:rsidR="00372129" w:rsidRPr="00230BC2" w:rsidRDefault="00372129" w:rsidP="003466FC">
      <w:pPr>
        <w:pStyle w:val="Para1"/>
      </w:pPr>
      <w:r w:rsidRPr="00230BC2">
        <w:t xml:space="preserve">At its </w:t>
      </w:r>
      <w:r w:rsidR="00E67935" w:rsidRPr="00230BC2">
        <w:t>2nd</w:t>
      </w:r>
      <w:r w:rsidRPr="00230BC2">
        <w:t xml:space="preserve"> meeting, </w:t>
      </w:r>
      <w:r w:rsidR="00643479" w:rsidRPr="00230BC2">
        <w:t>W</w:t>
      </w:r>
      <w:r w:rsidRPr="00230BC2">
        <w:t xml:space="preserve">orking </w:t>
      </w:r>
      <w:r w:rsidR="00643479" w:rsidRPr="00230BC2">
        <w:t>G</w:t>
      </w:r>
      <w:r w:rsidRPr="00230BC2">
        <w:t xml:space="preserve">roup </w:t>
      </w:r>
      <w:r w:rsidR="00643479" w:rsidRPr="00230BC2">
        <w:t xml:space="preserve">I </w:t>
      </w:r>
      <w:r w:rsidRPr="00230BC2">
        <w:t xml:space="preserve">considered the revised draft decision submitted by </w:t>
      </w:r>
      <w:r w:rsidR="005B71A0"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CBD/COP/15/L.4.</w:t>
      </w:r>
    </w:p>
    <w:p w14:paraId="6B0899F6" w14:textId="676A3071" w:rsidR="005008CC" w:rsidRPr="00230BC2" w:rsidRDefault="005008CC" w:rsidP="003466FC">
      <w:pPr>
        <w:pStyle w:val="Para1"/>
      </w:pPr>
      <w:r w:rsidRPr="00230BC2">
        <w:t xml:space="preserve">At </w:t>
      </w:r>
      <w:r w:rsidR="00D23128" w:rsidRPr="00230BC2">
        <w:t xml:space="preserve">its </w:t>
      </w:r>
      <w:r w:rsidR="00E67935" w:rsidRPr="00230BC2">
        <w:t>2nd</w:t>
      </w:r>
      <w:r w:rsidRPr="00230BC2">
        <w:t xml:space="preserve"> </w:t>
      </w:r>
      <w:r w:rsidR="004A478A" w:rsidRPr="00230BC2">
        <w:t xml:space="preserve">plenary </w:t>
      </w:r>
      <w:r w:rsidRPr="00230BC2">
        <w:t>session</w:t>
      </w:r>
      <w:r w:rsidR="00676360" w:rsidRPr="00230BC2">
        <w:t>,</w:t>
      </w:r>
      <w:r w:rsidRPr="00230BC2">
        <w:t xml:space="preserve"> the Conference of the Parties </w:t>
      </w:r>
      <w:r w:rsidR="008107AF" w:rsidRPr="00230BC2">
        <w:t xml:space="preserve">adopted the </w:t>
      </w:r>
      <w:r w:rsidRPr="00230BC2">
        <w:t>draft decision as decision</w:t>
      </w:r>
      <w:r w:rsidR="008107AF" w:rsidRPr="00230BC2">
        <w:t> </w:t>
      </w:r>
      <w:r w:rsidRPr="00230BC2">
        <w:t>15/</w:t>
      </w:r>
      <w:r w:rsidR="00170E5A" w:rsidRPr="00230BC2">
        <w:t>3</w:t>
      </w:r>
      <w:r w:rsidRPr="00230BC2">
        <w:t>.</w:t>
      </w:r>
    </w:p>
    <w:p w14:paraId="24FAF4F3" w14:textId="5AEBC487" w:rsidR="0061275F" w:rsidRPr="00230BC2" w:rsidRDefault="0061275F" w:rsidP="00A9383D">
      <w:pPr>
        <w:keepNext/>
        <w:tabs>
          <w:tab w:val="left" w:pos="720"/>
        </w:tabs>
        <w:spacing w:before="240" w:after="240"/>
        <w:ind w:left="1701" w:right="431" w:hanging="709"/>
        <w:jc w:val="left"/>
        <w:rPr>
          <w:b/>
          <w:bCs/>
          <w:caps/>
        </w:rPr>
      </w:pPr>
      <w:r w:rsidRPr="00230BC2">
        <w:rPr>
          <w:b/>
          <w:bCs/>
          <w:caps/>
        </w:rPr>
        <w:t>V.</w:t>
      </w:r>
      <w:r w:rsidRPr="00230BC2">
        <w:rPr>
          <w:b/>
          <w:bCs/>
          <w:caps/>
        </w:rPr>
        <w:tab/>
      </w:r>
      <w:r w:rsidR="00195A08" w:rsidRPr="00230BC2">
        <w:rPr>
          <w:b/>
          <w:bCs/>
          <w:caps/>
        </w:rPr>
        <w:t xml:space="preserve">The </w:t>
      </w:r>
      <w:r w:rsidRPr="00230BC2">
        <w:rPr>
          <w:b/>
          <w:bCs/>
          <w:caps/>
        </w:rPr>
        <w:t>POST-2020 GLOBAL BIODIVERSITY FRAMEWORK, RELATED MATTERS and mechanisms for enhancing IMPLEMENTATION</w:t>
      </w:r>
    </w:p>
    <w:p w14:paraId="4A93E26C" w14:textId="36E9550E" w:rsidR="0061275F" w:rsidRPr="00950BE4" w:rsidRDefault="0061275F"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950BE4">
        <w:rPr>
          <w:b/>
          <w:bCs/>
          <w:snapToGrid w:val="0"/>
          <w:kern w:val="22"/>
          <w:szCs w:val="22"/>
        </w:rPr>
        <w:t>Item 9.</w:t>
      </w:r>
      <w:r w:rsidRPr="00950BE4">
        <w:rPr>
          <w:b/>
          <w:bCs/>
          <w:snapToGrid w:val="0"/>
          <w:kern w:val="22"/>
          <w:szCs w:val="22"/>
        </w:rPr>
        <w:tab/>
      </w:r>
      <w:r w:rsidR="000B48C2" w:rsidRPr="00950BE4">
        <w:rPr>
          <w:b/>
          <w:bCs/>
          <w:snapToGrid w:val="0"/>
          <w:kern w:val="22"/>
          <w:szCs w:val="22"/>
        </w:rPr>
        <w:t>The p</w:t>
      </w:r>
      <w:r w:rsidRPr="00950BE4">
        <w:rPr>
          <w:b/>
          <w:bCs/>
          <w:snapToGrid w:val="0"/>
          <w:kern w:val="22"/>
          <w:szCs w:val="22"/>
        </w:rPr>
        <w:t>ost-2020 global biodiversity framework</w:t>
      </w:r>
    </w:p>
    <w:p w14:paraId="167A64C7" w14:textId="3070C0AB" w:rsidR="0061275F" w:rsidRPr="00950BE4" w:rsidRDefault="00196232" w:rsidP="00950BE4">
      <w:pPr>
        <w:keepNext/>
        <w:suppressLineNumbers/>
        <w:tabs>
          <w:tab w:val="left" w:pos="709"/>
        </w:tabs>
        <w:suppressAutoHyphens/>
        <w:kinsoku w:val="0"/>
        <w:overflowPunct w:val="0"/>
        <w:autoSpaceDE w:val="0"/>
        <w:autoSpaceDN w:val="0"/>
        <w:adjustRightInd w:val="0"/>
        <w:snapToGrid w:val="0"/>
        <w:spacing w:before="240" w:after="120"/>
        <w:jc w:val="center"/>
        <w:rPr>
          <w:b/>
          <w:bCs/>
          <w:snapToGrid w:val="0"/>
          <w:kern w:val="22"/>
          <w:szCs w:val="22"/>
        </w:rPr>
      </w:pPr>
      <w:bookmarkStart w:id="432" w:name="_Toc150438836"/>
      <w:bookmarkStart w:id="433" w:name="_Hlk121819994"/>
      <w:r w:rsidRPr="00950BE4">
        <w:rPr>
          <w:b/>
          <w:bCs/>
          <w:snapToGrid w:val="0"/>
          <w:kern w:val="22"/>
          <w:szCs w:val="22"/>
        </w:rPr>
        <w:t>A.</w:t>
      </w:r>
      <w:r w:rsidRPr="00950BE4">
        <w:rPr>
          <w:b/>
          <w:bCs/>
          <w:snapToGrid w:val="0"/>
          <w:kern w:val="22"/>
          <w:szCs w:val="22"/>
        </w:rPr>
        <w:tab/>
      </w:r>
      <w:r w:rsidR="00703ED5" w:rsidRPr="00950BE4">
        <w:rPr>
          <w:b/>
          <w:bCs/>
          <w:snapToGrid w:val="0"/>
          <w:kern w:val="22"/>
          <w:szCs w:val="22"/>
        </w:rPr>
        <w:t xml:space="preserve">The </w:t>
      </w:r>
      <w:r w:rsidR="00750617" w:rsidRPr="00950BE4">
        <w:rPr>
          <w:b/>
          <w:bCs/>
          <w:snapToGrid w:val="0"/>
          <w:kern w:val="22"/>
          <w:szCs w:val="22"/>
        </w:rPr>
        <w:t>p</w:t>
      </w:r>
      <w:r w:rsidR="0061275F" w:rsidRPr="00950BE4">
        <w:rPr>
          <w:b/>
          <w:bCs/>
          <w:snapToGrid w:val="0"/>
          <w:kern w:val="22"/>
          <w:szCs w:val="22"/>
        </w:rPr>
        <w:t xml:space="preserve">ost-2020 </w:t>
      </w:r>
      <w:r w:rsidR="00736A73" w:rsidRPr="00950BE4">
        <w:rPr>
          <w:b/>
          <w:bCs/>
          <w:snapToGrid w:val="0"/>
          <w:kern w:val="22"/>
          <w:szCs w:val="22"/>
        </w:rPr>
        <w:t>g</w:t>
      </w:r>
      <w:r w:rsidR="0061275F" w:rsidRPr="00950BE4">
        <w:rPr>
          <w:b/>
          <w:bCs/>
          <w:snapToGrid w:val="0"/>
          <w:kern w:val="22"/>
          <w:szCs w:val="22"/>
        </w:rPr>
        <w:t xml:space="preserve">lobal </w:t>
      </w:r>
      <w:r w:rsidR="00736A73" w:rsidRPr="00950BE4">
        <w:rPr>
          <w:b/>
          <w:bCs/>
          <w:snapToGrid w:val="0"/>
          <w:kern w:val="22"/>
          <w:szCs w:val="22"/>
        </w:rPr>
        <w:t>b</w:t>
      </w:r>
      <w:r w:rsidR="0061275F" w:rsidRPr="00950BE4">
        <w:rPr>
          <w:b/>
          <w:bCs/>
          <w:snapToGrid w:val="0"/>
          <w:kern w:val="22"/>
          <w:szCs w:val="22"/>
        </w:rPr>
        <w:t xml:space="preserve">iodiversity </w:t>
      </w:r>
      <w:r w:rsidR="00736A73" w:rsidRPr="00950BE4">
        <w:rPr>
          <w:b/>
          <w:bCs/>
          <w:snapToGrid w:val="0"/>
          <w:kern w:val="22"/>
          <w:szCs w:val="22"/>
        </w:rPr>
        <w:t>f</w:t>
      </w:r>
      <w:r w:rsidR="0061275F" w:rsidRPr="00950BE4">
        <w:rPr>
          <w:b/>
          <w:bCs/>
          <w:snapToGrid w:val="0"/>
          <w:kern w:val="22"/>
          <w:szCs w:val="22"/>
        </w:rPr>
        <w:t>ramework</w:t>
      </w:r>
      <w:bookmarkEnd w:id="432"/>
    </w:p>
    <w:bookmarkEnd w:id="433"/>
    <w:p w14:paraId="0E3D8851" w14:textId="131B9F61" w:rsidR="00CB328E" w:rsidRPr="00230BC2" w:rsidRDefault="00CB328E" w:rsidP="003466FC">
      <w:pPr>
        <w:pStyle w:val="Para1"/>
      </w:pPr>
      <w:r w:rsidRPr="00230BC2">
        <w:t xml:space="preserve">Working </w:t>
      </w:r>
      <w:r w:rsidR="003873C8" w:rsidRPr="00230BC2">
        <w:t>G</w:t>
      </w:r>
      <w:r w:rsidRPr="00230BC2">
        <w:t xml:space="preserve">roup I </w:t>
      </w:r>
      <w:r w:rsidR="00B3219B" w:rsidRPr="00230BC2">
        <w:t>considered</w:t>
      </w:r>
      <w:r w:rsidRPr="00230BC2">
        <w:t xml:space="preserve"> sub-item 9 A </w:t>
      </w:r>
      <w:r w:rsidR="00FB1401" w:rsidRPr="00230BC2">
        <w:t xml:space="preserve">of the agenda </w:t>
      </w:r>
      <w:r w:rsidRPr="00230BC2">
        <w:t xml:space="preserve">at its </w:t>
      </w:r>
      <w:r w:rsidR="00E67935" w:rsidRPr="00230BC2">
        <w:t>1st</w:t>
      </w:r>
      <w:r w:rsidRPr="00230BC2">
        <w:t xml:space="preserve"> meeting, in conjunction with </w:t>
      </w:r>
      <w:r w:rsidR="00050821" w:rsidRPr="00230BC2">
        <w:t xml:space="preserve">agenda </w:t>
      </w:r>
      <w:r w:rsidRPr="00230BC2">
        <w:t>item</w:t>
      </w:r>
      <w:r w:rsidR="008723C5" w:rsidRPr="00230BC2">
        <w:t> </w:t>
      </w:r>
      <w:r w:rsidRPr="00230BC2">
        <w:t>13</w:t>
      </w:r>
      <w:r w:rsidR="008723C5" w:rsidRPr="00230BC2">
        <w:t xml:space="preserve"> </w:t>
      </w:r>
      <w:r w:rsidRPr="00230BC2">
        <w:t xml:space="preserve">of the fourth meeting of the Conference of the Parties serving as the </w:t>
      </w:r>
      <w:r w:rsidR="00B6328C" w:rsidRPr="00230BC2">
        <w:t>m</w:t>
      </w:r>
      <w:r w:rsidRPr="00230BC2">
        <w:t xml:space="preserve">eeting of the Parties to the Nagoya Protocol. </w:t>
      </w:r>
      <w:r w:rsidR="00C458A3" w:rsidRPr="00230BC2">
        <w:t>It</w:t>
      </w:r>
      <w:r w:rsidRPr="00230BC2">
        <w:t xml:space="preserve"> had before it a draft decision on the post-2020 global biodiversity framework, drawn from recommendation 4/1 of the Open-ended Working Group on the Post-2020 Global Biodiversity Framework, and the draft post-2020 global biodiversity framework itself, as set out in the annex to recommendation 5/1 of the Open-ended Working Group on the Post</w:t>
      </w:r>
      <w:r w:rsidR="006E7CF7" w:rsidRPr="00230BC2">
        <w:noBreakHyphen/>
      </w:r>
      <w:r w:rsidRPr="00230BC2">
        <w:t xml:space="preserve">2020 Global Biodiversity Framework. </w:t>
      </w:r>
    </w:p>
    <w:p w14:paraId="69A34B56" w14:textId="071AC8AF" w:rsidR="00CB328E" w:rsidRPr="00230BC2" w:rsidRDefault="00583FC8" w:rsidP="003466FC">
      <w:pPr>
        <w:pStyle w:val="Para1"/>
      </w:pPr>
      <w:r w:rsidRPr="00230BC2">
        <w:rPr>
          <w:rStyle w:val="Para1Char"/>
        </w:rPr>
        <w:t>W</w:t>
      </w:r>
      <w:r w:rsidR="00CB328E" w:rsidRPr="00230BC2">
        <w:rPr>
          <w:rStyle w:val="Para1Char"/>
        </w:rPr>
        <w:t xml:space="preserve">orking </w:t>
      </w:r>
      <w:r w:rsidRPr="00230BC2">
        <w:rPr>
          <w:rStyle w:val="Para1Char"/>
        </w:rPr>
        <w:t>G</w:t>
      </w:r>
      <w:r w:rsidR="00CB328E" w:rsidRPr="00230BC2">
        <w:rPr>
          <w:rStyle w:val="Para1Char"/>
        </w:rPr>
        <w:t xml:space="preserve">roup </w:t>
      </w:r>
      <w:r w:rsidRPr="00230BC2">
        <w:rPr>
          <w:rStyle w:val="Para1Char"/>
        </w:rPr>
        <w:t xml:space="preserve">I </w:t>
      </w:r>
      <w:r w:rsidR="00CB328E" w:rsidRPr="00230BC2">
        <w:rPr>
          <w:rStyle w:val="Para1Char"/>
        </w:rPr>
        <w:t>establish</w:t>
      </w:r>
      <w:r w:rsidR="002206DF" w:rsidRPr="00230BC2">
        <w:rPr>
          <w:rStyle w:val="Para1Char"/>
        </w:rPr>
        <w:t>ed</w:t>
      </w:r>
      <w:r w:rsidR="00CB328E" w:rsidRPr="00230BC2">
        <w:rPr>
          <w:rStyle w:val="Para1Char"/>
        </w:rPr>
        <w:t xml:space="preserve"> a contact group, co-chaired by Francis Ogwal (Uganda) and</w:t>
      </w:r>
      <w:r w:rsidR="00CB328E" w:rsidRPr="00230BC2">
        <w:t xml:space="preserve"> </w:t>
      </w:r>
      <w:r w:rsidR="00F328C2" w:rsidRPr="00230BC2">
        <w:t>Mr. </w:t>
      </w:r>
      <w:r w:rsidR="00CB328E" w:rsidRPr="00230BC2">
        <w:t>van Havre</w:t>
      </w:r>
      <w:r w:rsidR="00F328C2" w:rsidRPr="00230BC2">
        <w:t>,</w:t>
      </w:r>
      <w:r w:rsidR="00CB328E" w:rsidRPr="00230BC2">
        <w:t xml:space="preserve"> to continue </w:t>
      </w:r>
      <w:r w:rsidR="00BD72E8" w:rsidRPr="00230BC2">
        <w:t xml:space="preserve">to </w:t>
      </w:r>
      <w:r w:rsidR="00CB328E" w:rsidRPr="00230BC2">
        <w:t xml:space="preserve">discuss the draft post-2020 global biodiversity framework, with a view to finalizing it. </w:t>
      </w:r>
    </w:p>
    <w:p w14:paraId="1F5A2117" w14:textId="36BF9E08" w:rsidR="00CB328E" w:rsidRPr="00230BC2" w:rsidRDefault="00D72CE1" w:rsidP="003466FC">
      <w:pPr>
        <w:pStyle w:val="Para1"/>
      </w:pPr>
      <w:r w:rsidRPr="00230BC2">
        <w:t>D</w:t>
      </w:r>
      <w:r w:rsidR="00CB328E" w:rsidRPr="00230BC2">
        <w:t xml:space="preserve">uring its </w:t>
      </w:r>
      <w:r w:rsidR="00E67935" w:rsidRPr="00230BC2">
        <w:t>3rd</w:t>
      </w:r>
      <w:r w:rsidR="00CB328E" w:rsidRPr="00230BC2">
        <w:t xml:space="preserve"> plenary session, which served as </w:t>
      </w:r>
      <w:r w:rsidR="00A04066" w:rsidRPr="00230BC2">
        <w:t xml:space="preserve">a </w:t>
      </w:r>
      <w:r w:rsidR="00CB328E" w:rsidRPr="00230BC2">
        <w:t>stocktake session, the Conference of the Parties</w:t>
      </w:r>
      <w:r w:rsidR="001703A4" w:rsidRPr="00230BC2">
        <w:t xml:space="preserve"> </w:t>
      </w:r>
      <w:r w:rsidR="00CB328E" w:rsidRPr="00230BC2">
        <w:t xml:space="preserve">agreed that </w:t>
      </w:r>
      <w:r w:rsidR="00B26B0F" w:rsidRPr="00230BC2">
        <w:t xml:space="preserve">its </w:t>
      </w:r>
      <w:r w:rsidR="00CB328E" w:rsidRPr="00230BC2">
        <w:t xml:space="preserve">President would prepare a set of texts constituting a package covering the agenda items closely related to the post-2020 global biodiversity framework, including </w:t>
      </w:r>
      <w:r w:rsidR="00802755" w:rsidRPr="00230BC2">
        <w:t>sub-</w:t>
      </w:r>
      <w:r w:rsidR="00CB328E" w:rsidRPr="00230BC2">
        <w:t xml:space="preserve">item 9 A, for consideration </w:t>
      </w:r>
      <w:r w:rsidR="00F30F23" w:rsidRPr="00230BC2">
        <w:t xml:space="preserve">by </w:t>
      </w:r>
      <w:r w:rsidR="00CB328E" w:rsidRPr="00230BC2">
        <w:t>the Conference of the Parties.</w:t>
      </w:r>
    </w:p>
    <w:p w14:paraId="2DE90FA4" w14:textId="5246DA32" w:rsidR="00E56A9E" w:rsidRPr="00230BC2" w:rsidRDefault="00E56A9E" w:rsidP="003466FC">
      <w:pPr>
        <w:pStyle w:val="Para1"/>
      </w:pPr>
      <w:r w:rsidRPr="00230BC2">
        <w:t xml:space="preserve">At </w:t>
      </w:r>
      <w:r w:rsidR="00893FBA" w:rsidRPr="00230BC2">
        <w:t xml:space="preserve">its </w:t>
      </w:r>
      <w:r w:rsidR="00E67935" w:rsidRPr="00230BC2">
        <w:t>4th</w:t>
      </w:r>
      <w:r w:rsidRPr="00230BC2">
        <w:t xml:space="preserve"> plenary session</w:t>
      </w:r>
      <w:r w:rsidR="00893FBA" w:rsidRPr="00230BC2">
        <w:t>,</w:t>
      </w:r>
      <w:r w:rsidRPr="00230BC2">
        <w:t xml:space="preserve"> the </w:t>
      </w:r>
      <w:r w:rsidR="005118E6" w:rsidRPr="00230BC2">
        <w:t xml:space="preserve">Conference of the Parties </w:t>
      </w:r>
      <w:r w:rsidR="00852971" w:rsidRPr="00230BC2">
        <w:t>considered</w:t>
      </w:r>
      <w:r w:rsidRPr="00230BC2">
        <w:t xml:space="preserve"> draft decision CBD/COP/15/L.25</w:t>
      </w:r>
      <w:r w:rsidR="005F53FB" w:rsidRPr="00230BC2">
        <w:t>,</w:t>
      </w:r>
      <w:r w:rsidRPr="00230BC2">
        <w:t xml:space="preserve"> as </w:t>
      </w:r>
      <w:r w:rsidR="005F53FB" w:rsidRPr="00230BC2">
        <w:t xml:space="preserve">set out in </w:t>
      </w:r>
      <w:r w:rsidR="007D61B4" w:rsidRPr="00230BC2">
        <w:t>the</w:t>
      </w:r>
      <w:r w:rsidR="00852971" w:rsidRPr="00230BC2">
        <w:t xml:space="preserve"> set of draft decisions submitted by the President, and adopted it as </w:t>
      </w:r>
      <w:r w:rsidRPr="00230BC2">
        <w:t>decision 15/</w:t>
      </w:r>
      <w:r w:rsidR="00C52D53" w:rsidRPr="00230BC2">
        <w:t>4</w:t>
      </w:r>
      <w:r w:rsidRPr="00230BC2">
        <w:t>.</w:t>
      </w:r>
    </w:p>
    <w:p w14:paraId="16C8EE4C" w14:textId="1308D3BA" w:rsidR="00B06710" w:rsidRPr="00950BE4" w:rsidRDefault="00B05642" w:rsidP="00950BE4">
      <w:pPr>
        <w:keepNext/>
        <w:suppressLineNumbers/>
        <w:tabs>
          <w:tab w:val="left" w:pos="567"/>
        </w:tabs>
        <w:suppressAutoHyphens/>
        <w:kinsoku w:val="0"/>
        <w:overflowPunct w:val="0"/>
        <w:autoSpaceDE w:val="0"/>
        <w:autoSpaceDN w:val="0"/>
        <w:adjustRightInd w:val="0"/>
        <w:snapToGrid w:val="0"/>
        <w:spacing w:before="240" w:after="120"/>
        <w:jc w:val="center"/>
        <w:rPr>
          <w:b/>
          <w:bCs/>
          <w:snapToGrid w:val="0"/>
          <w:kern w:val="22"/>
          <w:szCs w:val="22"/>
        </w:rPr>
      </w:pPr>
      <w:bookmarkStart w:id="434" w:name="_Toc150438837"/>
      <w:r w:rsidRPr="00950BE4">
        <w:rPr>
          <w:b/>
          <w:bCs/>
          <w:snapToGrid w:val="0"/>
          <w:kern w:val="22"/>
          <w:szCs w:val="22"/>
        </w:rPr>
        <w:t>B.</w:t>
      </w:r>
      <w:r w:rsidRPr="00950BE4">
        <w:rPr>
          <w:b/>
          <w:bCs/>
          <w:snapToGrid w:val="0"/>
          <w:kern w:val="22"/>
          <w:szCs w:val="22"/>
        </w:rPr>
        <w:tab/>
      </w:r>
      <w:r w:rsidR="00B06710" w:rsidRPr="00950BE4">
        <w:rPr>
          <w:b/>
          <w:bCs/>
          <w:snapToGrid w:val="0"/>
          <w:kern w:val="22"/>
          <w:szCs w:val="22"/>
        </w:rPr>
        <w:t>Monitoring frameworks for the post-2020 global biodiversity framework</w:t>
      </w:r>
      <w:bookmarkEnd w:id="434"/>
    </w:p>
    <w:p w14:paraId="0D509E11" w14:textId="6B4E255C" w:rsidR="00B77924" w:rsidRPr="00230BC2" w:rsidRDefault="00B77924" w:rsidP="003466FC">
      <w:pPr>
        <w:pStyle w:val="Para1"/>
      </w:pPr>
      <w:r w:rsidRPr="00230BC2">
        <w:t xml:space="preserve">Working </w:t>
      </w:r>
      <w:r w:rsidR="003873C8" w:rsidRPr="00230BC2">
        <w:t>G</w:t>
      </w:r>
      <w:r w:rsidRPr="00230BC2">
        <w:t xml:space="preserve">roup I </w:t>
      </w:r>
      <w:r w:rsidR="00B3219B" w:rsidRPr="00230BC2">
        <w:t>considered</w:t>
      </w:r>
      <w:r w:rsidRPr="00230BC2">
        <w:t xml:space="preserve"> sub-item 9 B </w:t>
      </w:r>
      <w:r w:rsidR="008E63CE" w:rsidRPr="00230BC2">
        <w:t xml:space="preserve">of the agenda </w:t>
      </w:r>
      <w:r w:rsidRPr="00230BC2">
        <w:t xml:space="preserve">at its </w:t>
      </w:r>
      <w:r w:rsidR="00E67935" w:rsidRPr="00230BC2">
        <w:t>1st</w:t>
      </w:r>
      <w:r w:rsidRPr="00230BC2">
        <w:t xml:space="preserve"> meeting</w:t>
      </w:r>
      <w:r w:rsidR="00C65EFC" w:rsidRPr="00230BC2">
        <w:t>.</w:t>
      </w:r>
      <w:r w:rsidRPr="00230BC2">
        <w:t xml:space="preserve"> </w:t>
      </w:r>
      <w:r w:rsidR="000A734E" w:rsidRPr="00230BC2">
        <w:t xml:space="preserve">It </w:t>
      </w:r>
      <w:r w:rsidRPr="00230BC2">
        <w:t>had before it a draft decision on monitoring, which included an assessment of headline indicators and proposals for additional indicators, as well as component and complementary indicators for monitoring the post-2020 global biodiversity framework. The draft decision, which had been developed by the Executive Secretary on the basis of recommendation 24/2 of the Subsidiary Body on Scientific, Technical and Technological Advice, was set out in the compilation of draft decisions</w:t>
      </w:r>
      <w:r w:rsidR="00373A92" w:rsidRPr="00230BC2">
        <w:t>.</w:t>
      </w:r>
      <w:r w:rsidRPr="00230BC2">
        <w:t xml:space="preserve"> The </w:t>
      </w:r>
      <w:r w:rsidR="00583FC8" w:rsidRPr="00230BC2">
        <w:t>G</w:t>
      </w:r>
      <w:r w:rsidRPr="00230BC2">
        <w:t xml:space="preserve">roup also had before it the report of the expert workshop on the monitoring framework for the post-2020 global biodiversity framework (CBD/ID/OM/2022/1/2). </w:t>
      </w:r>
    </w:p>
    <w:p w14:paraId="68CCB708" w14:textId="1D1836E3" w:rsidR="00B77924" w:rsidRPr="00230BC2" w:rsidRDefault="00A20F9E" w:rsidP="003466FC">
      <w:pPr>
        <w:pStyle w:val="Para1"/>
      </w:pPr>
      <w:r w:rsidRPr="00230BC2">
        <w:t>W</w:t>
      </w:r>
      <w:r w:rsidR="00B77924" w:rsidRPr="00230BC2">
        <w:t xml:space="preserve">orking </w:t>
      </w:r>
      <w:r w:rsidR="00583FC8" w:rsidRPr="00230BC2">
        <w:t>G</w:t>
      </w:r>
      <w:r w:rsidR="00B77924" w:rsidRPr="00230BC2">
        <w:t xml:space="preserve">roup </w:t>
      </w:r>
      <w:r w:rsidR="00583FC8" w:rsidRPr="00230BC2">
        <w:t xml:space="preserve">I </w:t>
      </w:r>
      <w:r w:rsidR="00B77924" w:rsidRPr="00230BC2">
        <w:t>request</w:t>
      </w:r>
      <w:r w:rsidRPr="00230BC2">
        <w:t>ed</w:t>
      </w:r>
      <w:r w:rsidR="00B77924" w:rsidRPr="00230BC2">
        <w:t xml:space="preserve"> the contact group established under sub-item</w:t>
      </w:r>
      <w:r w:rsidR="00144F59" w:rsidRPr="00230BC2">
        <w:t> </w:t>
      </w:r>
      <w:r w:rsidR="00B77924" w:rsidRPr="00230BC2">
        <w:t xml:space="preserve">9 A to consider the headline indicators. It </w:t>
      </w:r>
      <w:r w:rsidR="003F2155" w:rsidRPr="00230BC2">
        <w:t xml:space="preserve">also </w:t>
      </w:r>
      <w:r w:rsidR="00B77924" w:rsidRPr="00230BC2">
        <w:t>establish</w:t>
      </w:r>
      <w:r w:rsidR="003F2155" w:rsidRPr="00230BC2">
        <w:t>ed</w:t>
      </w:r>
      <w:r w:rsidR="00B77924" w:rsidRPr="00230BC2">
        <w:t xml:space="preserve"> a group of friends of the </w:t>
      </w:r>
      <w:r w:rsidR="00354FB4" w:rsidRPr="00230BC2">
        <w:t>C</w:t>
      </w:r>
      <w:r w:rsidR="00B77924" w:rsidRPr="00230BC2">
        <w:t>hair, led by Hesiquio Ben</w:t>
      </w:r>
      <w:r w:rsidR="00D01B90" w:rsidRPr="00230BC2">
        <w:t>í</w:t>
      </w:r>
      <w:r w:rsidR="00B77924" w:rsidRPr="00230BC2">
        <w:t>tez (Mexico) and open to all interested parties, to examine the draft decision under the sub-item and address any cross-cutting issues arising from the contact group’s review of the headline indicators.</w:t>
      </w:r>
    </w:p>
    <w:p w14:paraId="5586BA9F" w14:textId="04FCFDB3" w:rsidR="00B77924" w:rsidRPr="00230BC2" w:rsidRDefault="00D72CE1" w:rsidP="003466FC">
      <w:pPr>
        <w:pStyle w:val="Para1"/>
      </w:pPr>
      <w:r w:rsidRPr="00230BC2">
        <w:t>D</w:t>
      </w:r>
      <w:r w:rsidR="00B77924" w:rsidRPr="00230BC2">
        <w:t xml:space="preserve">uring its </w:t>
      </w:r>
      <w:r w:rsidR="00E67935" w:rsidRPr="00230BC2">
        <w:t>3rd</w:t>
      </w:r>
      <w:r w:rsidR="00B77924" w:rsidRPr="00230BC2">
        <w:t xml:space="preserve"> plenary session, the Conference of the Parties agreed that </w:t>
      </w:r>
      <w:r w:rsidR="00B26B0F" w:rsidRPr="00230BC2">
        <w:t xml:space="preserve">its </w:t>
      </w:r>
      <w:r w:rsidR="00B77924" w:rsidRPr="00230BC2">
        <w:t>President would prepare a set of texts constituting a package covering the agenda items closely related to the post</w:t>
      </w:r>
      <w:r w:rsidR="002F6A2C" w:rsidRPr="00230BC2">
        <w:noBreakHyphen/>
      </w:r>
      <w:r w:rsidR="00B77924" w:rsidRPr="00230BC2">
        <w:t xml:space="preserve">2020 global biodiversity framework, including </w:t>
      </w:r>
      <w:r w:rsidR="00D8333C" w:rsidRPr="00230BC2">
        <w:t>sub-</w:t>
      </w:r>
      <w:r w:rsidR="00B77924" w:rsidRPr="00230BC2">
        <w:t xml:space="preserve">item 9 B, for </w:t>
      </w:r>
      <w:r w:rsidR="001E1AA3" w:rsidRPr="00230BC2">
        <w:t xml:space="preserve">its </w:t>
      </w:r>
      <w:r w:rsidR="00B77924" w:rsidRPr="00230BC2">
        <w:t>consideration</w:t>
      </w:r>
      <w:r w:rsidR="00C673A5" w:rsidRPr="00230BC2">
        <w:t>.</w:t>
      </w:r>
    </w:p>
    <w:p w14:paraId="6356296C" w14:textId="789D7F03" w:rsidR="00852971" w:rsidRPr="00230BC2" w:rsidRDefault="00852971" w:rsidP="003466FC">
      <w:pPr>
        <w:pStyle w:val="Para1"/>
      </w:pPr>
      <w:r w:rsidRPr="00230BC2">
        <w:t xml:space="preserve">At </w:t>
      </w:r>
      <w:r w:rsidR="00893FBA" w:rsidRPr="00230BC2">
        <w:t xml:space="preserve">its </w:t>
      </w:r>
      <w:r w:rsidR="00E67935" w:rsidRPr="00230BC2">
        <w:t>4th</w:t>
      </w:r>
      <w:r w:rsidRPr="00230BC2">
        <w:t xml:space="preserve"> plenary session</w:t>
      </w:r>
      <w:r w:rsidR="00893FBA" w:rsidRPr="00230BC2">
        <w:t>,</w:t>
      </w:r>
      <w:r w:rsidRPr="00230BC2">
        <w:t xml:space="preserve"> the Conference of the Parties considered draft decision CBD/COP/15/L.26</w:t>
      </w:r>
      <w:r w:rsidR="00D041FC" w:rsidRPr="00230BC2">
        <w:t>,</w:t>
      </w:r>
      <w:r w:rsidRPr="00230BC2">
        <w:t xml:space="preserve"> as </w:t>
      </w:r>
      <w:r w:rsidR="00D041FC" w:rsidRPr="00230BC2">
        <w:t xml:space="preserve">set out </w:t>
      </w:r>
      <w:r w:rsidR="00B6328C" w:rsidRPr="00230BC2">
        <w:t>in</w:t>
      </w:r>
      <w:r w:rsidRPr="00230BC2">
        <w:t xml:space="preserve"> </w:t>
      </w:r>
      <w:r w:rsidR="007D61B4" w:rsidRPr="00230BC2">
        <w:t>the</w:t>
      </w:r>
      <w:r w:rsidRPr="00230BC2">
        <w:t xml:space="preserve"> set of draft decisions submitted by the President, and adopted it as decision 15/</w:t>
      </w:r>
      <w:r w:rsidR="00A23BD9" w:rsidRPr="00230BC2">
        <w:t>5</w:t>
      </w:r>
      <w:r w:rsidRPr="00230BC2">
        <w:t>.</w:t>
      </w:r>
    </w:p>
    <w:p w14:paraId="0ABEE751" w14:textId="54AF4283" w:rsidR="00B06710" w:rsidRPr="00950BE4" w:rsidRDefault="00B05642" w:rsidP="00950BE4">
      <w:pPr>
        <w:keepNext/>
        <w:suppressLineNumbers/>
        <w:tabs>
          <w:tab w:val="left" w:pos="567"/>
        </w:tabs>
        <w:suppressAutoHyphens/>
        <w:kinsoku w:val="0"/>
        <w:overflowPunct w:val="0"/>
        <w:autoSpaceDE w:val="0"/>
        <w:autoSpaceDN w:val="0"/>
        <w:adjustRightInd w:val="0"/>
        <w:snapToGrid w:val="0"/>
        <w:spacing w:before="240" w:after="120"/>
        <w:jc w:val="center"/>
        <w:rPr>
          <w:b/>
          <w:bCs/>
          <w:snapToGrid w:val="0"/>
          <w:kern w:val="22"/>
          <w:szCs w:val="22"/>
        </w:rPr>
      </w:pPr>
      <w:bookmarkStart w:id="435" w:name="_Toc150438838"/>
      <w:r w:rsidRPr="00950BE4">
        <w:rPr>
          <w:b/>
          <w:bCs/>
          <w:snapToGrid w:val="0"/>
          <w:kern w:val="22"/>
          <w:szCs w:val="22"/>
        </w:rPr>
        <w:t>C.</w:t>
      </w:r>
      <w:r w:rsidRPr="00950BE4">
        <w:rPr>
          <w:b/>
          <w:bCs/>
          <w:snapToGrid w:val="0"/>
          <w:kern w:val="22"/>
          <w:szCs w:val="22"/>
        </w:rPr>
        <w:tab/>
      </w:r>
      <w:r w:rsidR="00FF0394" w:rsidRPr="00950BE4">
        <w:rPr>
          <w:b/>
          <w:bCs/>
          <w:snapToGrid w:val="0"/>
          <w:kern w:val="22"/>
          <w:szCs w:val="22"/>
        </w:rPr>
        <w:t>Communication strategy</w:t>
      </w:r>
      <w:bookmarkEnd w:id="435"/>
    </w:p>
    <w:p w14:paraId="18002337" w14:textId="71E4EDB9" w:rsidR="00EA413C" w:rsidRPr="00230BC2" w:rsidRDefault="00EA413C" w:rsidP="003466FC">
      <w:pPr>
        <w:pStyle w:val="Para1"/>
      </w:pPr>
      <w:r w:rsidRPr="00230BC2">
        <w:rPr>
          <w:bCs/>
        </w:rPr>
        <w:t xml:space="preserve">Working </w:t>
      </w:r>
      <w:r w:rsidR="003873C8" w:rsidRPr="00230BC2">
        <w:rPr>
          <w:bCs/>
        </w:rPr>
        <w:t>G</w:t>
      </w:r>
      <w:r w:rsidRPr="00230BC2">
        <w:rPr>
          <w:bCs/>
        </w:rPr>
        <w:t xml:space="preserve">roup I </w:t>
      </w:r>
      <w:r w:rsidR="00B3219B" w:rsidRPr="00230BC2">
        <w:rPr>
          <w:bCs/>
        </w:rPr>
        <w:t>considered</w:t>
      </w:r>
      <w:r w:rsidRPr="00230BC2">
        <w:rPr>
          <w:bCs/>
        </w:rPr>
        <w:t xml:space="preserve"> sub-item</w:t>
      </w:r>
      <w:r w:rsidRPr="00230BC2">
        <w:t xml:space="preserve"> 9 C </w:t>
      </w:r>
      <w:r w:rsidR="00B07C9C" w:rsidRPr="00230BC2">
        <w:t xml:space="preserve">of the agenda </w:t>
      </w:r>
      <w:r w:rsidRPr="00230BC2">
        <w:t>at its</w:t>
      </w:r>
      <w:r w:rsidRPr="00230BC2">
        <w:rPr>
          <w:bCs/>
        </w:rPr>
        <w:t xml:space="preserve"> </w:t>
      </w:r>
      <w:r w:rsidR="00E67935" w:rsidRPr="00230BC2">
        <w:t>1st</w:t>
      </w:r>
      <w:r w:rsidRPr="00230BC2">
        <w:t xml:space="preserve"> meeting, </w:t>
      </w:r>
      <w:r w:rsidRPr="00230BC2">
        <w:rPr>
          <w:iCs/>
        </w:rPr>
        <w:t>in conjunction with sub-item 13 C</w:t>
      </w:r>
      <w:r w:rsidR="005A2D33" w:rsidRPr="00230BC2">
        <w:rPr>
          <w:iCs/>
        </w:rPr>
        <w:t>,</w:t>
      </w:r>
      <w:r w:rsidRPr="00230BC2">
        <w:rPr>
          <w:iCs/>
        </w:rPr>
        <w:t xml:space="preserve"> on communication.</w:t>
      </w:r>
      <w:r w:rsidRPr="00230BC2">
        <w:t xml:space="preserve"> </w:t>
      </w:r>
      <w:r w:rsidR="00C458A3" w:rsidRPr="00230BC2">
        <w:t>It</w:t>
      </w:r>
      <w:r w:rsidRPr="00230BC2">
        <w:t xml:space="preserve"> had before it</w:t>
      </w:r>
      <w:r w:rsidRPr="00230BC2">
        <w:rPr>
          <w:bCs/>
        </w:rPr>
        <w:t xml:space="preserve"> </w:t>
      </w:r>
      <w:r w:rsidR="00A13472" w:rsidRPr="00230BC2">
        <w:rPr>
          <w:bCs/>
        </w:rPr>
        <w:t xml:space="preserve">a </w:t>
      </w:r>
      <w:r w:rsidRPr="00230BC2">
        <w:rPr>
          <w:bCs/>
        </w:rPr>
        <w:t xml:space="preserve">draft decision </w:t>
      </w:r>
      <w:r w:rsidRPr="00230BC2">
        <w:t xml:space="preserve">on the communication strategy for the post-2020 global biodiversity framework and another </w:t>
      </w:r>
      <w:r w:rsidR="00AD5069" w:rsidRPr="00230BC2">
        <w:rPr>
          <w:bCs/>
        </w:rPr>
        <w:t xml:space="preserve">draft decision </w:t>
      </w:r>
      <w:r w:rsidRPr="00230BC2">
        <w:t xml:space="preserve">on communication, based on recommendations 3/18 and 3/5 of the Subsidiary Body on Implementation, respectively, </w:t>
      </w:r>
      <w:r w:rsidR="007E7F71" w:rsidRPr="00230BC2">
        <w:t xml:space="preserve">as </w:t>
      </w:r>
      <w:r w:rsidRPr="00230BC2">
        <w:t>set out in the compilation of draft decisions</w:t>
      </w:r>
      <w:r w:rsidR="00373A92" w:rsidRPr="00230BC2">
        <w:t>.</w:t>
      </w:r>
      <w:r w:rsidRPr="00230BC2">
        <w:t xml:space="preserve"> </w:t>
      </w:r>
    </w:p>
    <w:p w14:paraId="5853B5F1" w14:textId="1F8BBF24" w:rsidR="00EA413C" w:rsidRPr="00230BC2" w:rsidRDefault="00583FC8" w:rsidP="003466FC">
      <w:pPr>
        <w:pStyle w:val="Para1"/>
      </w:pPr>
      <w:r w:rsidRPr="00230BC2">
        <w:t>W</w:t>
      </w:r>
      <w:r w:rsidR="00EA413C" w:rsidRPr="00230BC2">
        <w:t xml:space="preserve">orking </w:t>
      </w:r>
      <w:r w:rsidRPr="00230BC2">
        <w:t>G</w:t>
      </w:r>
      <w:r w:rsidR="00EA413C" w:rsidRPr="00230BC2">
        <w:t xml:space="preserve">roup </w:t>
      </w:r>
      <w:r w:rsidRPr="00230BC2">
        <w:t xml:space="preserve">I </w:t>
      </w:r>
      <w:r w:rsidR="00EA413C" w:rsidRPr="00230BC2">
        <w:t xml:space="preserve">agreed that </w:t>
      </w:r>
      <w:r w:rsidR="00843105" w:rsidRPr="00230BC2">
        <w:t xml:space="preserve">its </w:t>
      </w:r>
      <w:r w:rsidR="00EA413C" w:rsidRPr="00230BC2">
        <w:t xml:space="preserve">Chair would hold informal consultations on the few </w:t>
      </w:r>
      <w:r w:rsidR="00D9069D" w:rsidRPr="00230BC2">
        <w:t xml:space="preserve">outstanding </w:t>
      </w:r>
      <w:r w:rsidR="00EA413C" w:rsidRPr="00230BC2">
        <w:t xml:space="preserve">issues and prepare revised draft decisions for the </w:t>
      </w:r>
      <w:r w:rsidRPr="00230BC2">
        <w:t>G</w:t>
      </w:r>
      <w:r w:rsidR="00EA413C" w:rsidRPr="00230BC2">
        <w:t>roup’s consideration.</w:t>
      </w:r>
    </w:p>
    <w:p w14:paraId="49D60B9E" w14:textId="0993019B" w:rsidR="00EA413C" w:rsidRPr="00230BC2" w:rsidRDefault="00EA413C" w:rsidP="003466FC">
      <w:pPr>
        <w:pStyle w:val="Para1"/>
      </w:pPr>
      <w:r w:rsidRPr="00230BC2">
        <w:t xml:space="preserve">At its </w:t>
      </w:r>
      <w:r w:rsidR="00E67935" w:rsidRPr="00230BC2">
        <w:t>3rd</w:t>
      </w:r>
      <w:r w:rsidRPr="00230BC2">
        <w:t xml:space="preserve"> meeting, on 17 December</w:t>
      </w:r>
      <w:r w:rsidR="00B56100" w:rsidRPr="00230BC2">
        <w:t>,</w:t>
      </w:r>
      <w:r w:rsidRPr="00230BC2">
        <w:t xml:space="preserve"> </w:t>
      </w:r>
      <w:r w:rsidR="007B477A" w:rsidRPr="00230BC2">
        <w:t>W</w:t>
      </w:r>
      <w:r w:rsidRPr="00230BC2">
        <w:t xml:space="preserve">orking </w:t>
      </w:r>
      <w:r w:rsidR="007B477A" w:rsidRPr="00230BC2">
        <w:t>G</w:t>
      </w:r>
      <w:r w:rsidRPr="00230BC2">
        <w:t xml:space="preserve">roup </w:t>
      </w:r>
      <w:r w:rsidR="007B477A" w:rsidRPr="00230BC2">
        <w:t xml:space="preserve">I </w:t>
      </w:r>
      <w:r w:rsidRPr="00230BC2">
        <w:t xml:space="preserve">considered a single combined revised draft decision </w:t>
      </w:r>
      <w:r w:rsidR="002C5DCC" w:rsidRPr="00230BC2">
        <w:t xml:space="preserve">on communication </w:t>
      </w:r>
      <w:r w:rsidRPr="00230BC2">
        <w:t xml:space="preserve">submitted by </w:t>
      </w:r>
      <w:r w:rsidR="005B71A0" w:rsidRPr="00230BC2">
        <w:t xml:space="preserve">its </w:t>
      </w:r>
      <w:r w:rsidRPr="00230BC2">
        <w:t xml:space="preserve">Chair and approved it, as orally amended, for transmission to </w:t>
      </w:r>
      <w:r w:rsidR="00A124C1" w:rsidRPr="00230BC2">
        <w:t xml:space="preserve">the </w:t>
      </w:r>
      <w:r w:rsidRPr="00230BC2">
        <w:t>plenary</w:t>
      </w:r>
      <w:r w:rsidR="008073D6" w:rsidRPr="00230BC2">
        <w:t xml:space="preserve"> session</w:t>
      </w:r>
      <w:r w:rsidRPr="00230BC2">
        <w:t xml:space="preserve"> as draft decision CBD/COP/15/L.23.</w:t>
      </w:r>
    </w:p>
    <w:p w14:paraId="364EDE9C" w14:textId="5F67E911" w:rsidR="00CC7BA4" w:rsidRPr="00230BC2" w:rsidRDefault="00CC7BA4" w:rsidP="003466FC">
      <w:pPr>
        <w:pStyle w:val="Para1"/>
      </w:pPr>
      <w:r w:rsidRPr="00230BC2">
        <w:t xml:space="preserve">At </w:t>
      </w:r>
      <w:r w:rsidR="00D23128"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decision</w:t>
      </w:r>
      <w:r w:rsidR="00B00DB8" w:rsidRPr="00230BC2">
        <w:t> </w:t>
      </w:r>
      <w:r w:rsidRPr="00230BC2">
        <w:t>15/</w:t>
      </w:r>
      <w:r w:rsidR="00A23BD9" w:rsidRPr="00230BC2">
        <w:t>14</w:t>
      </w:r>
      <w:r w:rsidRPr="00230BC2">
        <w:t>.</w:t>
      </w:r>
    </w:p>
    <w:p w14:paraId="00700584" w14:textId="6297816A" w:rsidR="00967183" w:rsidRPr="00950BE4" w:rsidRDefault="00B05642" w:rsidP="00950BE4">
      <w:pPr>
        <w:keepNext/>
        <w:suppressLineNumbers/>
        <w:tabs>
          <w:tab w:val="left" w:pos="567"/>
        </w:tabs>
        <w:suppressAutoHyphens/>
        <w:kinsoku w:val="0"/>
        <w:overflowPunct w:val="0"/>
        <w:autoSpaceDE w:val="0"/>
        <w:autoSpaceDN w:val="0"/>
        <w:adjustRightInd w:val="0"/>
        <w:snapToGrid w:val="0"/>
        <w:spacing w:before="240" w:after="120"/>
        <w:jc w:val="center"/>
        <w:rPr>
          <w:b/>
          <w:bCs/>
          <w:snapToGrid w:val="0"/>
          <w:kern w:val="22"/>
          <w:szCs w:val="22"/>
        </w:rPr>
      </w:pPr>
      <w:bookmarkStart w:id="436" w:name="_Toc150438839"/>
      <w:r w:rsidRPr="00950BE4">
        <w:rPr>
          <w:b/>
          <w:bCs/>
          <w:snapToGrid w:val="0"/>
          <w:kern w:val="22"/>
          <w:szCs w:val="22"/>
        </w:rPr>
        <w:t>D.</w:t>
      </w:r>
      <w:r w:rsidR="009850A8" w:rsidRPr="00950BE4">
        <w:rPr>
          <w:b/>
          <w:bCs/>
          <w:snapToGrid w:val="0"/>
          <w:kern w:val="22"/>
          <w:szCs w:val="22"/>
        </w:rPr>
        <w:tab/>
      </w:r>
      <w:r w:rsidR="00967183" w:rsidRPr="00950BE4">
        <w:rPr>
          <w:b/>
          <w:bCs/>
          <w:snapToGrid w:val="0"/>
          <w:kern w:val="22"/>
          <w:szCs w:val="22"/>
        </w:rPr>
        <w:t>Gender</w:t>
      </w:r>
      <w:r w:rsidRPr="00950BE4">
        <w:rPr>
          <w:b/>
          <w:bCs/>
          <w:snapToGrid w:val="0"/>
          <w:kern w:val="22"/>
          <w:szCs w:val="22"/>
        </w:rPr>
        <w:t xml:space="preserve"> p</w:t>
      </w:r>
      <w:r w:rsidR="00967183" w:rsidRPr="00950BE4">
        <w:rPr>
          <w:b/>
          <w:bCs/>
          <w:snapToGrid w:val="0"/>
          <w:kern w:val="22"/>
          <w:szCs w:val="22"/>
        </w:rPr>
        <w:t xml:space="preserve">lan of </w:t>
      </w:r>
      <w:r w:rsidRPr="00950BE4">
        <w:rPr>
          <w:b/>
          <w:bCs/>
          <w:snapToGrid w:val="0"/>
          <w:kern w:val="22"/>
          <w:szCs w:val="22"/>
        </w:rPr>
        <w:t>a</w:t>
      </w:r>
      <w:r w:rsidR="00967183" w:rsidRPr="00950BE4">
        <w:rPr>
          <w:b/>
          <w:bCs/>
          <w:snapToGrid w:val="0"/>
          <w:kern w:val="22"/>
          <w:szCs w:val="22"/>
        </w:rPr>
        <w:t>ction</w:t>
      </w:r>
      <w:bookmarkEnd w:id="436"/>
    </w:p>
    <w:p w14:paraId="6AC39666" w14:textId="335A3951" w:rsidR="00391F9D" w:rsidRPr="00230BC2" w:rsidRDefault="00391F9D" w:rsidP="003466FC">
      <w:pPr>
        <w:pStyle w:val="Para1"/>
      </w:pPr>
      <w:r w:rsidRPr="00230BC2">
        <w:rPr>
          <w:bCs/>
        </w:rPr>
        <w:t xml:space="preserve">Working </w:t>
      </w:r>
      <w:r w:rsidR="003873C8" w:rsidRPr="00230BC2">
        <w:rPr>
          <w:bCs/>
        </w:rPr>
        <w:t>G</w:t>
      </w:r>
      <w:r w:rsidRPr="00230BC2">
        <w:rPr>
          <w:bCs/>
        </w:rPr>
        <w:t xml:space="preserve">roup I </w:t>
      </w:r>
      <w:r w:rsidR="00B3219B" w:rsidRPr="00230BC2">
        <w:rPr>
          <w:bCs/>
        </w:rPr>
        <w:t>considered</w:t>
      </w:r>
      <w:r w:rsidRPr="00230BC2">
        <w:rPr>
          <w:bCs/>
        </w:rPr>
        <w:t xml:space="preserve"> sub-item</w:t>
      </w:r>
      <w:r w:rsidRPr="00230BC2">
        <w:t xml:space="preserve"> 9 D </w:t>
      </w:r>
      <w:r w:rsidR="00E22002" w:rsidRPr="00230BC2">
        <w:t xml:space="preserve">of the agenda </w:t>
      </w:r>
      <w:r w:rsidRPr="00230BC2">
        <w:t>at its</w:t>
      </w:r>
      <w:r w:rsidRPr="00230BC2">
        <w:rPr>
          <w:bCs/>
        </w:rPr>
        <w:t xml:space="preserve"> </w:t>
      </w:r>
      <w:r w:rsidR="00E67935" w:rsidRPr="00230BC2">
        <w:t>1st</w:t>
      </w:r>
      <w:r w:rsidRPr="00230BC2">
        <w:t xml:space="preserve"> meeting. </w:t>
      </w:r>
      <w:bookmarkStart w:id="437" w:name="_Hlk121415325"/>
      <w:r w:rsidR="000A734E" w:rsidRPr="00230BC2">
        <w:t xml:space="preserve">It </w:t>
      </w:r>
      <w:r w:rsidRPr="00230BC2">
        <w:t xml:space="preserve">had before it </w:t>
      </w:r>
      <w:r w:rsidRPr="00230BC2">
        <w:rPr>
          <w:bCs/>
        </w:rPr>
        <w:t>a draft decision</w:t>
      </w:r>
      <w:r w:rsidRPr="00230BC2">
        <w:t xml:space="preserve"> on a gender plan of action</w:t>
      </w:r>
      <w:r w:rsidRPr="00230BC2">
        <w:rPr>
          <w:iCs/>
        </w:rPr>
        <w:t xml:space="preserve"> based on</w:t>
      </w:r>
      <w:r w:rsidR="00DC2E9F" w:rsidRPr="00230BC2">
        <w:rPr>
          <w:iCs/>
        </w:rPr>
        <w:t xml:space="preserve"> </w:t>
      </w:r>
      <w:r w:rsidRPr="00230BC2">
        <w:rPr>
          <w:iCs/>
        </w:rPr>
        <w:t>recommendation 3/3</w:t>
      </w:r>
      <w:r w:rsidRPr="00230BC2">
        <w:t xml:space="preserve"> of the Subsidiary Body on Implementation</w:t>
      </w:r>
      <w:r w:rsidR="00151616" w:rsidRPr="00230BC2">
        <w:t>,</w:t>
      </w:r>
      <w:r w:rsidRPr="00230BC2">
        <w:rPr>
          <w:iCs/>
        </w:rPr>
        <w:t xml:space="preserve"> </w:t>
      </w:r>
      <w:r w:rsidR="00151616" w:rsidRPr="00230BC2">
        <w:rPr>
          <w:iCs/>
        </w:rPr>
        <w:t xml:space="preserve">as </w:t>
      </w:r>
      <w:r w:rsidRPr="00230BC2">
        <w:rPr>
          <w:iCs/>
        </w:rPr>
        <w:t>set out in the compilation of draft decisions</w:t>
      </w:r>
      <w:r w:rsidR="00373A92" w:rsidRPr="00230BC2">
        <w:rPr>
          <w:iCs/>
        </w:rPr>
        <w:t>.</w:t>
      </w:r>
      <w:bookmarkEnd w:id="437"/>
    </w:p>
    <w:p w14:paraId="6C6DBD24" w14:textId="35C7C18F" w:rsidR="00391F9D" w:rsidRPr="00230BC2" w:rsidRDefault="00583FC8" w:rsidP="003466FC">
      <w:pPr>
        <w:pStyle w:val="Para1"/>
      </w:pPr>
      <w:r w:rsidRPr="00230BC2">
        <w:t>W</w:t>
      </w:r>
      <w:r w:rsidR="00391F9D" w:rsidRPr="00230BC2">
        <w:t xml:space="preserve">orking </w:t>
      </w:r>
      <w:r w:rsidRPr="00230BC2">
        <w:t>G</w:t>
      </w:r>
      <w:r w:rsidR="00391F9D" w:rsidRPr="00230BC2">
        <w:t xml:space="preserve">roup </w:t>
      </w:r>
      <w:r w:rsidRPr="00230BC2">
        <w:t xml:space="preserve">I </w:t>
      </w:r>
      <w:r w:rsidR="00391F9D" w:rsidRPr="00230BC2">
        <w:t xml:space="preserve">agreed that </w:t>
      </w:r>
      <w:r w:rsidR="00843105" w:rsidRPr="00230BC2">
        <w:t xml:space="preserve">its </w:t>
      </w:r>
      <w:r w:rsidR="00391F9D" w:rsidRPr="00230BC2">
        <w:t xml:space="preserve">Chair would hold informal consultations on the few </w:t>
      </w:r>
      <w:r w:rsidR="00D9069D" w:rsidRPr="00230BC2">
        <w:t xml:space="preserve">outstanding </w:t>
      </w:r>
      <w:r w:rsidR="00391F9D" w:rsidRPr="00230BC2">
        <w:t xml:space="preserve">issues and prepare a revised draft decision for </w:t>
      </w:r>
      <w:r w:rsidR="001C5863" w:rsidRPr="00230BC2">
        <w:t xml:space="preserve">the Group’s </w:t>
      </w:r>
      <w:r w:rsidR="00391F9D" w:rsidRPr="00230BC2">
        <w:t xml:space="preserve">consideration. </w:t>
      </w:r>
    </w:p>
    <w:p w14:paraId="476BB56C" w14:textId="6467D563" w:rsidR="00391F9D" w:rsidRPr="00230BC2" w:rsidRDefault="00391F9D" w:rsidP="003466FC">
      <w:pPr>
        <w:pStyle w:val="Para1"/>
      </w:pPr>
      <w:r w:rsidRPr="00230BC2">
        <w:t xml:space="preserve">At its </w:t>
      </w:r>
      <w:r w:rsidR="00E67935" w:rsidRPr="00230BC2">
        <w:t>3rd</w:t>
      </w:r>
      <w:r w:rsidRPr="00230BC2">
        <w:t xml:space="preserve"> meeting, </w:t>
      </w:r>
      <w:r w:rsidR="007B477A" w:rsidRPr="00230BC2">
        <w:t>W</w:t>
      </w:r>
      <w:r w:rsidRPr="00230BC2">
        <w:t xml:space="preserve">orking </w:t>
      </w:r>
      <w:r w:rsidR="007B477A" w:rsidRPr="00230BC2">
        <w:t>G</w:t>
      </w:r>
      <w:r w:rsidRPr="00230BC2">
        <w:t xml:space="preserve">roup </w:t>
      </w:r>
      <w:r w:rsidR="007B477A" w:rsidRPr="00230BC2">
        <w:t xml:space="preserve">I </w:t>
      </w:r>
      <w:r w:rsidRPr="00230BC2">
        <w:t xml:space="preserve">considered the revised draft decision submitted by </w:t>
      </w:r>
      <w:r w:rsidR="005B71A0"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CBD/COP/15/L.24.</w:t>
      </w:r>
    </w:p>
    <w:p w14:paraId="5AF7B829" w14:textId="3065192D" w:rsidR="00D17E46" w:rsidRPr="00230BC2" w:rsidRDefault="00D17E46" w:rsidP="003466FC">
      <w:pPr>
        <w:pStyle w:val="Para1"/>
      </w:pPr>
      <w:r w:rsidRPr="00230BC2">
        <w:t xml:space="preserve">At </w:t>
      </w:r>
      <w:r w:rsidR="00EB4DB7"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decision</w:t>
      </w:r>
      <w:r w:rsidR="00974C78" w:rsidRPr="00230BC2">
        <w:t> </w:t>
      </w:r>
      <w:r w:rsidRPr="00230BC2">
        <w:t>15/</w:t>
      </w:r>
      <w:r w:rsidR="00A23BD9" w:rsidRPr="00230BC2">
        <w:t>11</w:t>
      </w:r>
      <w:r w:rsidRPr="00230BC2">
        <w:t>.</w:t>
      </w:r>
    </w:p>
    <w:p w14:paraId="6115F2C1" w14:textId="2415E962" w:rsidR="0061275F" w:rsidRPr="00950BE4" w:rsidRDefault="0061275F" w:rsidP="00950BE4">
      <w:pPr>
        <w:keepNext/>
        <w:suppressLineNumbers/>
        <w:tabs>
          <w:tab w:val="left" w:pos="990"/>
        </w:tabs>
        <w:suppressAutoHyphens/>
        <w:kinsoku w:val="0"/>
        <w:overflowPunct w:val="0"/>
        <w:autoSpaceDE w:val="0"/>
        <w:autoSpaceDN w:val="0"/>
        <w:adjustRightInd w:val="0"/>
        <w:snapToGrid w:val="0"/>
        <w:spacing w:before="240" w:after="120"/>
        <w:ind w:left="1418" w:hanging="992"/>
        <w:jc w:val="left"/>
        <w:rPr>
          <w:b/>
          <w:bCs/>
          <w:snapToGrid w:val="0"/>
          <w:kern w:val="22"/>
          <w:szCs w:val="22"/>
        </w:rPr>
      </w:pPr>
      <w:r w:rsidRPr="00950BE4">
        <w:rPr>
          <w:b/>
          <w:bCs/>
          <w:snapToGrid w:val="0"/>
          <w:kern w:val="22"/>
          <w:szCs w:val="22"/>
        </w:rPr>
        <w:t>Item 10.</w:t>
      </w:r>
      <w:r w:rsidRPr="00950BE4">
        <w:rPr>
          <w:b/>
          <w:bCs/>
          <w:snapToGrid w:val="0"/>
          <w:kern w:val="22"/>
          <w:szCs w:val="22"/>
        </w:rPr>
        <w:tab/>
        <w:t>Enhancing integration with respect to provisions related to Article 8(j) and related provisions</w:t>
      </w:r>
    </w:p>
    <w:p w14:paraId="0C3DEFF9" w14:textId="4565C787" w:rsidR="00CD6390" w:rsidRPr="00950BE4" w:rsidRDefault="00CD6390" w:rsidP="00950BE4">
      <w:pPr>
        <w:keepNext/>
        <w:suppressLineNumbers/>
        <w:tabs>
          <w:tab w:val="left" w:pos="1418"/>
        </w:tabs>
        <w:suppressAutoHyphens/>
        <w:kinsoku w:val="0"/>
        <w:overflowPunct w:val="0"/>
        <w:autoSpaceDE w:val="0"/>
        <w:autoSpaceDN w:val="0"/>
        <w:adjustRightInd w:val="0"/>
        <w:snapToGrid w:val="0"/>
        <w:spacing w:before="240" w:after="120"/>
        <w:ind w:left="1418" w:hanging="851"/>
        <w:jc w:val="left"/>
        <w:rPr>
          <w:b/>
          <w:bCs/>
          <w:snapToGrid w:val="0"/>
          <w:kern w:val="22"/>
          <w:szCs w:val="22"/>
        </w:rPr>
      </w:pPr>
      <w:bookmarkStart w:id="438" w:name="_Toc150438840"/>
      <w:r w:rsidRPr="00950BE4">
        <w:rPr>
          <w:b/>
          <w:bCs/>
          <w:snapToGrid w:val="0"/>
          <w:kern w:val="22"/>
          <w:szCs w:val="22"/>
        </w:rPr>
        <w:t>A</w:t>
      </w:r>
      <w:r w:rsidR="00103C86" w:rsidRPr="00950BE4">
        <w:rPr>
          <w:b/>
          <w:bCs/>
          <w:snapToGrid w:val="0"/>
          <w:kern w:val="22"/>
          <w:szCs w:val="22"/>
        </w:rPr>
        <w:t>.</w:t>
      </w:r>
      <w:r w:rsidR="005A7C3E" w:rsidRPr="00950BE4">
        <w:rPr>
          <w:b/>
          <w:bCs/>
          <w:snapToGrid w:val="0"/>
          <w:kern w:val="22"/>
          <w:szCs w:val="22"/>
        </w:rPr>
        <w:tab/>
      </w:r>
      <w:r w:rsidRPr="00950BE4">
        <w:rPr>
          <w:b/>
          <w:bCs/>
          <w:snapToGrid w:val="0"/>
          <w:kern w:val="22"/>
          <w:szCs w:val="22"/>
        </w:rPr>
        <w:t>Development of a new programme of work and institutional arrangements on Article 8(j) and related provisions</w:t>
      </w:r>
      <w:bookmarkEnd w:id="438"/>
      <w:r w:rsidRPr="00950BE4">
        <w:rPr>
          <w:b/>
          <w:bCs/>
          <w:snapToGrid w:val="0"/>
          <w:kern w:val="22"/>
          <w:szCs w:val="22"/>
        </w:rPr>
        <w:t xml:space="preserve"> </w:t>
      </w:r>
    </w:p>
    <w:p w14:paraId="36685D31" w14:textId="701E64CE" w:rsidR="000865F0" w:rsidRPr="00230BC2" w:rsidRDefault="000865F0" w:rsidP="003466FC">
      <w:pPr>
        <w:pStyle w:val="Para1"/>
        <w:rPr>
          <w:lang w:eastAsia="en-CA"/>
        </w:rPr>
      </w:pPr>
      <w:r w:rsidRPr="00230BC2">
        <w:rPr>
          <w:bCs/>
        </w:rPr>
        <w:t xml:space="preserve">Working </w:t>
      </w:r>
      <w:r w:rsidR="003873C8" w:rsidRPr="00230BC2">
        <w:rPr>
          <w:bCs/>
        </w:rPr>
        <w:t>G</w:t>
      </w:r>
      <w:r w:rsidRPr="00230BC2">
        <w:rPr>
          <w:bCs/>
        </w:rPr>
        <w:t xml:space="preserve">roup I </w:t>
      </w:r>
      <w:r w:rsidR="00B3219B" w:rsidRPr="00230BC2">
        <w:rPr>
          <w:bCs/>
        </w:rPr>
        <w:t>considered</w:t>
      </w:r>
      <w:r w:rsidRPr="00230BC2">
        <w:rPr>
          <w:bCs/>
        </w:rPr>
        <w:t xml:space="preserve"> sub-item</w:t>
      </w:r>
      <w:r w:rsidRPr="00230BC2">
        <w:t xml:space="preserve"> 10 A </w:t>
      </w:r>
      <w:r w:rsidR="00E22002" w:rsidRPr="00230BC2">
        <w:t xml:space="preserve">of the agenda </w:t>
      </w:r>
      <w:r w:rsidRPr="00230BC2">
        <w:t>at its</w:t>
      </w:r>
      <w:r w:rsidRPr="00230BC2">
        <w:rPr>
          <w:bCs/>
        </w:rPr>
        <w:t xml:space="preserve"> </w:t>
      </w:r>
      <w:r w:rsidR="00E67935" w:rsidRPr="00230BC2">
        <w:t>1st</w:t>
      </w:r>
      <w:r w:rsidRPr="00230BC2">
        <w:t xml:space="preserve"> meeting. </w:t>
      </w:r>
      <w:r w:rsidR="000A734E" w:rsidRPr="00230BC2">
        <w:t xml:space="preserve">It </w:t>
      </w:r>
      <w:r w:rsidRPr="00230BC2">
        <w:t>had before it a draft decision</w:t>
      </w:r>
      <w:r w:rsidRPr="00230BC2">
        <w:rPr>
          <w:lang w:eastAsia="en-CA"/>
        </w:rPr>
        <w:t xml:space="preserve"> on the development of a new programme of work and institutional arrangements on Article 8(j) and other provisions of the Convention related to indigenous peoples and local communities</w:t>
      </w:r>
      <w:r w:rsidRPr="00230BC2">
        <w:t xml:space="preserve">, based on </w:t>
      </w:r>
      <w:r w:rsidRPr="00230BC2">
        <w:rPr>
          <w:rFonts w:eastAsia="Batang"/>
          <w:lang w:eastAsia="ko-KR"/>
        </w:rPr>
        <w:t xml:space="preserve">recommendation 11/2 of the </w:t>
      </w:r>
      <w:r w:rsidRPr="00230BC2">
        <w:t xml:space="preserve">Ad Hoc Open-ended </w:t>
      </w:r>
      <w:r w:rsidR="000E35E7" w:rsidRPr="00230BC2">
        <w:t>Inter</w:t>
      </w:r>
      <w:r w:rsidR="00193A67" w:rsidRPr="00230BC2">
        <w:t>s</w:t>
      </w:r>
      <w:r w:rsidR="000E35E7" w:rsidRPr="00230BC2">
        <w:t xml:space="preserve">essional </w:t>
      </w:r>
      <w:r w:rsidRPr="00230BC2">
        <w:t>Working Group on Article 8(j) and Related Provisions</w:t>
      </w:r>
      <w:r w:rsidR="00E724BB" w:rsidRPr="00230BC2">
        <w:t>,</w:t>
      </w:r>
      <w:r w:rsidRPr="00230BC2">
        <w:rPr>
          <w:lang w:eastAsia="en-CA"/>
        </w:rPr>
        <w:t xml:space="preserve"> </w:t>
      </w:r>
      <w:r w:rsidR="00E724BB" w:rsidRPr="00230BC2">
        <w:rPr>
          <w:lang w:eastAsia="en-CA"/>
        </w:rPr>
        <w:t xml:space="preserve">as </w:t>
      </w:r>
      <w:r w:rsidRPr="00230BC2">
        <w:rPr>
          <w:iCs/>
        </w:rPr>
        <w:t>set out in the compilation of draft decisions</w:t>
      </w:r>
      <w:r w:rsidR="00373A92" w:rsidRPr="00230BC2">
        <w:rPr>
          <w:iCs/>
        </w:rPr>
        <w:t>.</w:t>
      </w:r>
    </w:p>
    <w:p w14:paraId="5CCBDF11" w14:textId="590E331D" w:rsidR="000865F0" w:rsidRPr="00230BC2" w:rsidRDefault="00583FC8" w:rsidP="003466FC">
      <w:pPr>
        <w:pStyle w:val="Para1"/>
        <w:rPr>
          <w:lang w:eastAsia="en-CA"/>
        </w:rPr>
      </w:pPr>
      <w:r w:rsidRPr="00230BC2">
        <w:t>W</w:t>
      </w:r>
      <w:r w:rsidR="000865F0" w:rsidRPr="00230BC2">
        <w:t xml:space="preserve">orking </w:t>
      </w:r>
      <w:r w:rsidRPr="00230BC2">
        <w:t>G</w:t>
      </w:r>
      <w:r w:rsidR="000865F0" w:rsidRPr="00230BC2">
        <w:t>roup</w:t>
      </w:r>
      <w:r w:rsidR="000865F0" w:rsidRPr="00230BC2">
        <w:rPr>
          <w:lang w:eastAsia="en-CA"/>
        </w:rPr>
        <w:t xml:space="preserve"> </w:t>
      </w:r>
      <w:r w:rsidRPr="00230BC2">
        <w:rPr>
          <w:lang w:eastAsia="en-CA"/>
        </w:rPr>
        <w:t xml:space="preserve">I </w:t>
      </w:r>
      <w:r w:rsidR="000865F0" w:rsidRPr="00230BC2">
        <w:rPr>
          <w:lang w:eastAsia="en-CA"/>
        </w:rPr>
        <w:t xml:space="preserve">agreed that </w:t>
      </w:r>
      <w:r w:rsidR="00843105" w:rsidRPr="00230BC2">
        <w:rPr>
          <w:lang w:eastAsia="en-CA"/>
        </w:rPr>
        <w:t xml:space="preserve">its </w:t>
      </w:r>
      <w:r w:rsidR="000865F0" w:rsidRPr="00230BC2">
        <w:rPr>
          <w:lang w:eastAsia="en-CA"/>
        </w:rPr>
        <w:t xml:space="preserve">Chair would hold informal consultations on the few </w:t>
      </w:r>
      <w:r w:rsidR="00D9069D" w:rsidRPr="00230BC2">
        <w:t>outstanding</w:t>
      </w:r>
      <w:r w:rsidR="00D9069D" w:rsidRPr="00230BC2">
        <w:rPr>
          <w:lang w:eastAsia="en-CA"/>
        </w:rPr>
        <w:t xml:space="preserve"> </w:t>
      </w:r>
      <w:r w:rsidR="000865F0" w:rsidRPr="00230BC2">
        <w:rPr>
          <w:lang w:eastAsia="en-CA"/>
        </w:rPr>
        <w:t xml:space="preserve">issues and prepare a revised draft decision for the </w:t>
      </w:r>
      <w:r w:rsidRPr="00230BC2">
        <w:rPr>
          <w:lang w:eastAsia="en-CA"/>
        </w:rPr>
        <w:t>G</w:t>
      </w:r>
      <w:r w:rsidR="000865F0" w:rsidRPr="00230BC2">
        <w:rPr>
          <w:lang w:eastAsia="en-CA"/>
        </w:rPr>
        <w:t>roup’s consideration, on the understanding that the bracket</w:t>
      </w:r>
      <w:r w:rsidR="00D859CE" w:rsidRPr="00230BC2">
        <w:rPr>
          <w:lang w:eastAsia="en-CA"/>
        </w:rPr>
        <w:t>ed</w:t>
      </w:r>
      <w:r w:rsidR="000865F0" w:rsidRPr="00230BC2">
        <w:rPr>
          <w:lang w:eastAsia="en-CA"/>
        </w:rPr>
        <w:t xml:space="preserve"> </w:t>
      </w:r>
      <w:r w:rsidR="00D859CE" w:rsidRPr="00230BC2">
        <w:rPr>
          <w:lang w:eastAsia="en-CA"/>
        </w:rPr>
        <w:t xml:space="preserve">text </w:t>
      </w:r>
      <w:r w:rsidR="000865F0" w:rsidRPr="00230BC2">
        <w:rPr>
          <w:lang w:eastAsia="en-CA"/>
        </w:rPr>
        <w:t xml:space="preserve">in annex II to the draft decision did not need to be resolved at the </w:t>
      </w:r>
      <w:r w:rsidR="00B653C9" w:rsidRPr="00230BC2">
        <w:rPr>
          <w:lang w:eastAsia="en-CA"/>
        </w:rPr>
        <w:t xml:space="preserve">present </w:t>
      </w:r>
      <w:r w:rsidR="000865F0" w:rsidRPr="00230BC2">
        <w:rPr>
          <w:lang w:eastAsia="en-CA"/>
        </w:rPr>
        <w:t>meeting</w:t>
      </w:r>
      <w:r w:rsidR="00761622" w:rsidRPr="00230BC2">
        <w:rPr>
          <w:lang w:eastAsia="en-CA"/>
        </w:rPr>
        <w:t>,</w:t>
      </w:r>
      <w:r w:rsidR="000865F0" w:rsidRPr="00230BC2">
        <w:rPr>
          <w:lang w:eastAsia="en-CA"/>
        </w:rPr>
        <w:t xml:space="preserve"> as the </w:t>
      </w:r>
      <w:r w:rsidR="000865F0" w:rsidRPr="00230BC2">
        <w:t xml:space="preserve">Ad Hoc Open-ended </w:t>
      </w:r>
      <w:r w:rsidR="00193A67" w:rsidRPr="00230BC2">
        <w:t xml:space="preserve">Intersessional </w:t>
      </w:r>
      <w:r w:rsidR="000865F0" w:rsidRPr="00230BC2">
        <w:rPr>
          <w:lang w:eastAsia="en-CA"/>
        </w:rPr>
        <w:t>Working Group would consider the new programme of work on Article 8(j) further at its twelfth meeting.</w:t>
      </w:r>
    </w:p>
    <w:p w14:paraId="7550C37C" w14:textId="10590CD6" w:rsidR="000865F0" w:rsidRPr="00230BC2" w:rsidRDefault="000865F0" w:rsidP="003466FC">
      <w:pPr>
        <w:pStyle w:val="Para1"/>
      </w:pPr>
      <w:r w:rsidRPr="00230BC2">
        <w:t xml:space="preserve">At its </w:t>
      </w:r>
      <w:r w:rsidR="00E67935" w:rsidRPr="00230BC2">
        <w:t>2nd</w:t>
      </w:r>
      <w:r w:rsidRPr="00230BC2">
        <w:t xml:space="preserve"> meeting, </w:t>
      </w:r>
      <w:r w:rsidR="007B477A" w:rsidRPr="00230BC2">
        <w:t>W</w:t>
      </w:r>
      <w:r w:rsidRPr="00230BC2">
        <w:t xml:space="preserve">orking </w:t>
      </w:r>
      <w:r w:rsidR="007B477A" w:rsidRPr="00230BC2">
        <w:t>G</w:t>
      </w:r>
      <w:r w:rsidRPr="00230BC2">
        <w:t xml:space="preserve">roup </w:t>
      </w:r>
      <w:r w:rsidR="007B477A" w:rsidRPr="00230BC2">
        <w:t xml:space="preserve">I </w:t>
      </w:r>
      <w:r w:rsidRPr="00230BC2">
        <w:t xml:space="preserve">considered the revised draft decision submitted by </w:t>
      </w:r>
      <w:r w:rsidR="005B71A0"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CBD/COP/15/L.8.</w:t>
      </w:r>
    </w:p>
    <w:p w14:paraId="21C7A4F6" w14:textId="48EAAC9B" w:rsidR="005008CC" w:rsidRPr="00230BC2" w:rsidRDefault="005008CC" w:rsidP="003466FC">
      <w:pPr>
        <w:pStyle w:val="Para1"/>
      </w:pPr>
      <w:r w:rsidRPr="00230BC2">
        <w:t xml:space="preserve">At </w:t>
      </w:r>
      <w:r w:rsidR="00EB4DB7" w:rsidRPr="00230BC2">
        <w:t xml:space="preserve">its </w:t>
      </w:r>
      <w:r w:rsidR="00E67935" w:rsidRPr="00230BC2">
        <w:t>2nd</w:t>
      </w:r>
      <w:r w:rsidRPr="00230BC2">
        <w:t xml:space="preserve"> </w:t>
      </w:r>
      <w:r w:rsidR="004A478A" w:rsidRPr="00230BC2">
        <w:t xml:space="preserve">plenary </w:t>
      </w:r>
      <w:r w:rsidRPr="00230BC2">
        <w:t>session</w:t>
      </w:r>
      <w:r w:rsidR="00676360" w:rsidRPr="00230BC2">
        <w:t>,</w:t>
      </w:r>
      <w:r w:rsidRPr="00230BC2">
        <w:t xml:space="preserve"> the Conference of the Parties </w:t>
      </w:r>
      <w:r w:rsidR="00C81374" w:rsidRPr="00230BC2">
        <w:t xml:space="preserve">adopted the </w:t>
      </w:r>
      <w:r w:rsidRPr="00230BC2">
        <w:t>draft decision as decision</w:t>
      </w:r>
      <w:r w:rsidR="00C81374" w:rsidRPr="00230BC2">
        <w:t> </w:t>
      </w:r>
      <w:r w:rsidRPr="00230BC2">
        <w:t>15/</w:t>
      </w:r>
      <w:r w:rsidR="00D000AB" w:rsidRPr="00230BC2">
        <w:t>10</w:t>
      </w:r>
      <w:r w:rsidRPr="00230BC2">
        <w:t>.</w:t>
      </w:r>
    </w:p>
    <w:p w14:paraId="35BD90C9" w14:textId="119093A1" w:rsidR="005008CC" w:rsidRPr="00230BC2" w:rsidRDefault="005008CC" w:rsidP="003466FC">
      <w:pPr>
        <w:pStyle w:val="Para1"/>
      </w:pPr>
      <w:r w:rsidRPr="00230BC2">
        <w:t>A statement was made by the representative of</w:t>
      </w:r>
      <w:r w:rsidR="007165B5" w:rsidRPr="00230BC2">
        <w:t xml:space="preserve"> the International Indigenous Forum on Biodiversity</w:t>
      </w:r>
      <w:r w:rsidRPr="00230BC2">
        <w:t>.</w:t>
      </w:r>
    </w:p>
    <w:p w14:paraId="086A115A" w14:textId="727C5436" w:rsidR="00BA693E" w:rsidRPr="00950BE4" w:rsidRDefault="00BA693E" w:rsidP="00950BE4">
      <w:pPr>
        <w:keepNext/>
        <w:suppressLineNumbers/>
        <w:tabs>
          <w:tab w:val="left" w:pos="567"/>
        </w:tabs>
        <w:suppressAutoHyphens/>
        <w:kinsoku w:val="0"/>
        <w:overflowPunct w:val="0"/>
        <w:autoSpaceDE w:val="0"/>
        <w:autoSpaceDN w:val="0"/>
        <w:adjustRightInd w:val="0"/>
        <w:snapToGrid w:val="0"/>
        <w:spacing w:before="240" w:after="120"/>
        <w:jc w:val="center"/>
        <w:rPr>
          <w:b/>
          <w:bCs/>
          <w:snapToGrid w:val="0"/>
          <w:kern w:val="22"/>
          <w:szCs w:val="22"/>
        </w:rPr>
      </w:pPr>
      <w:bookmarkStart w:id="439" w:name="_Toc150438841"/>
      <w:r w:rsidRPr="00950BE4">
        <w:rPr>
          <w:b/>
          <w:bCs/>
          <w:snapToGrid w:val="0"/>
          <w:kern w:val="22"/>
          <w:szCs w:val="22"/>
        </w:rPr>
        <w:t>B</w:t>
      </w:r>
      <w:r w:rsidR="00103C86" w:rsidRPr="00950BE4">
        <w:rPr>
          <w:b/>
          <w:bCs/>
          <w:snapToGrid w:val="0"/>
          <w:kern w:val="22"/>
          <w:szCs w:val="22"/>
        </w:rPr>
        <w:t>.</w:t>
      </w:r>
      <w:r w:rsidR="005A7C3E" w:rsidRPr="00950BE4">
        <w:rPr>
          <w:b/>
          <w:bCs/>
          <w:snapToGrid w:val="0"/>
          <w:kern w:val="22"/>
          <w:szCs w:val="22"/>
        </w:rPr>
        <w:tab/>
      </w:r>
      <w:r w:rsidR="000D3660" w:rsidRPr="00950BE4">
        <w:rPr>
          <w:b/>
          <w:bCs/>
          <w:snapToGrid w:val="0"/>
          <w:kern w:val="22"/>
          <w:szCs w:val="22"/>
        </w:rPr>
        <w:t>In-depth dialogue</w:t>
      </w:r>
      <w:r w:rsidRPr="00950BE4">
        <w:rPr>
          <w:b/>
          <w:bCs/>
          <w:snapToGrid w:val="0"/>
          <w:kern w:val="22"/>
          <w:szCs w:val="22"/>
        </w:rPr>
        <w:t xml:space="preserve"> on Article 8(j) and related provisions</w:t>
      </w:r>
      <w:bookmarkEnd w:id="439"/>
    </w:p>
    <w:p w14:paraId="2FDC7CA5" w14:textId="10CBB82E" w:rsidR="00D60DD0" w:rsidRPr="00230BC2" w:rsidRDefault="00D60DD0" w:rsidP="003466FC">
      <w:pPr>
        <w:pStyle w:val="Para1"/>
        <w:rPr>
          <w:iCs/>
        </w:rPr>
      </w:pPr>
      <w:r w:rsidRPr="00230BC2">
        <w:rPr>
          <w:bCs/>
        </w:rPr>
        <w:t xml:space="preserve">Working </w:t>
      </w:r>
      <w:r w:rsidR="003873C8" w:rsidRPr="00230BC2">
        <w:rPr>
          <w:bCs/>
        </w:rPr>
        <w:t>G</w:t>
      </w:r>
      <w:r w:rsidRPr="00230BC2">
        <w:rPr>
          <w:bCs/>
        </w:rPr>
        <w:t xml:space="preserve">roup I </w:t>
      </w:r>
      <w:r w:rsidR="00B3219B" w:rsidRPr="00230BC2">
        <w:rPr>
          <w:bCs/>
        </w:rPr>
        <w:t>considered</w:t>
      </w:r>
      <w:r w:rsidRPr="00230BC2">
        <w:rPr>
          <w:bCs/>
        </w:rPr>
        <w:t xml:space="preserve"> sub-item</w:t>
      </w:r>
      <w:r w:rsidRPr="00230BC2">
        <w:t xml:space="preserve"> 10 B </w:t>
      </w:r>
      <w:r w:rsidR="00E22002" w:rsidRPr="00230BC2">
        <w:t xml:space="preserve">of the agenda </w:t>
      </w:r>
      <w:r w:rsidRPr="00230BC2">
        <w:t>at its</w:t>
      </w:r>
      <w:r w:rsidRPr="00230BC2">
        <w:rPr>
          <w:bCs/>
        </w:rPr>
        <w:t xml:space="preserve"> </w:t>
      </w:r>
      <w:r w:rsidR="00E67935" w:rsidRPr="00230BC2">
        <w:t>1st</w:t>
      </w:r>
      <w:r w:rsidRPr="00230BC2">
        <w:t xml:space="preserve"> meeting. </w:t>
      </w:r>
      <w:r w:rsidR="000A734E" w:rsidRPr="00230BC2">
        <w:t xml:space="preserve">It </w:t>
      </w:r>
      <w:r w:rsidRPr="00230BC2">
        <w:t>had before it a draft decision</w:t>
      </w:r>
      <w:r w:rsidRPr="00230BC2">
        <w:rPr>
          <w:iCs/>
        </w:rPr>
        <w:t xml:space="preserve"> on the thematic areas and other cross-cutting issues</w:t>
      </w:r>
      <w:r w:rsidRPr="00230BC2">
        <w:t xml:space="preserve">, based on recommendation 11/1 </w:t>
      </w:r>
      <w:r w:rsidRPr="00230BC2">
        <w:rPr>
          <w:rFonts w:eastAsia="Batang"/>
          <w:lang w:eastAsia="ko-KR"/>
        </w:rPr>
        <w:t xml:space="preserve">of the </w:t>
      </w:r>
      <w:r w:rsidRPr="00230BC2">
        <w:t xml:space="preserve">Ad Hoc Open-ended </w:t>
      </w:r>
      <w:r w:rsidR="00193A67" w:rsidRPr="00230BC2">
        <w:t xml:space="preserve">Intersessional </w:t>
      </w:r>
      <w:r w:rsidRPr="00230BC2">
        <w:t>Working Group on Article 8(j) and Related Provisions</w:t>
      </w:r>
      <w:r w:rsidR="00E724BB" w:rsidRPr="00230BC2">
        <w:t>,</w:t>
      </w:r>
      <w:r w:rsidRPr="00230BC2">
        <w:rPr>
          <w:lang w:eastAsia="en-CA"/>
        </w:rPr>
        <w:t xml:space="preserve"> </w:t>
      </w:r>
      <w:r w:rsidR="00E724BB" w:rsidRPr="00230BC2">
        <w:rPr>
          <w:lang w:eastAsia="en-CA"/>
        </w:rPr>
        <w:t xml:space="preserve">as </w:t>
      </w:r>
      <w:r w:rsidRPr="00230BC2">
        <w:rPr>
          <w:iCs/>
        </w:rPr>
        <w:t xml:space="preserve">set out in </w:t>
      </w:r>
      <w:r w:rsidRPr="00230BC2">
        <w:t>the compilation of draft decisions</w:t>
      </w:r>
      <w:r w:rsidR="00373A92" w:rsidRPr="00230BC2">
        <w:t>.</w:t>
      </w:r>
    </w:p>
    <w:p w14:paraId="38A68B67" w14:textId="5924198B" w:rsidR="00D60DD0" w:rsidRPr="00230BC2" w:rsidRDefault="00B369DE" w:rsidP="003466FC">
      <w:pPr>
        <w:pStyle w:val="Para1"/>
      </w:pPr>
      <w:r w:rsidRPr="00230BC2">
        <w:t>W</w:t>
      </w:r>
      <w:r w:rsidR="00D60DD0" w:rsidRPr="00230BC2">
        <w:t xml:space="preserve">orking </w:t>
      </w:r>
      <w:r w:rsidRPr="00230BC2">
        <w:t>G</w:t>
      </w:r>
      <w:r w:rsidR="00D60DD0" w:rsidRPr="00230BC2">
        <w:t xml:space="preserve">roup </w:t>
      </w:r>
      <w:r w:rsidRPr="00230BC2">
        <w:t xml:space="preserve">I </w:t>
      </w:r>
      <w:r w:rsidR="00D60DD0" w:rsidRPr="00230BC2">
        <w:t xml:space="preserve">agreed that </w:t>
      </w:r>
      <w:r w:rsidR="00843105" w:rsidRPr="00230BC2">
        <w:t xml:space="preserve">its </w:t>
      </w:r>
      <w:r w:rsidR="00D60DD0" w:rsidRPr="00230BC2">
        <w:t xml:space="preserve">Chair would submit the draft decision as a conference room paper for the </w:t>
      </w:r>
      <w:r w:rsidR="00583FC8" w:rsidRPr="00230BC2">
        <w:t>G</w:t>
      </w:r>
      <w:r w:rsidR="00D60DD0" w:rsidRPr="00230BC2">
        <w:t xml:space="preserve">roup’s consideration. </w:t>
      </w:r>
    </w:p>
    <w:p w14:paraId="279C3CFD" w14:textId="27DCA517" w:rsidR="00D60DD0" w:rsidRPr="00230BC2" w:rsidRDefault="00D60DD0" w:rsidP="003466FC">
      <w:pPr>
        <w:pStyle w:val="Para1"/>
      </w:pPr>
      <w:r w:rsidRPr="00230BC2">
        <w:t xml:space="preserve">At its </w:t>
      </w:r>
      <w:r w:rsidR="00E67935" w:rsidRPr="00230BC2">
        <w:t>2nd</w:t>
      </w:r>
      <w:r w:rsidRPr="00230BC2">
        <w:t xml:space="preserve"> meeting, </w:t>
      </w:r>
      <w:r w:rsidR="007B477A" w:rsidRPr="00230BC2">
        <w:t>W</w:t>
      </w:r>
      <w:r w:rsidRPr="00230BC2">
        <w:t xml:space="preserve">orking </w:t>
      </w:r>
      <w:r w:rsidR="007B477A" w:rsidRPr="00230BC2">
        <w:t>G</w:t>
      </w:r>
      <w:r w:rsidRPr="00230BC2">
        <w:t xml:space="preserve">roup </w:t>
      </w:r>
      <w:r w:rsidR="007B477A" w:rsidRPr="00230BC2">
        <w:t xml:space="preserve">I </w:t>
      </w:r>
      <w:r w:rsidRPr="00230BC2">
        <w:t xml:space="preserve">considered the draft decision submitted by </w:t>
      </w:r>
      <w:r w:rsidR="00C61167"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CBD/COP/15/L.6.</w:t>
      </w:r>
    </w:p>
    <w:p w14:paraId="58EE95A6" w14:textId="588F7633" w:rsidR="005008CC" w:rsidRPr="00230BC2" w:rsidRDefault="005008CC" w:rsidP="003466FC">
      <w:pPr>
        <w:pStyle w:val="Para1"/>
      </w:pPr>
      <w:r w:rsidRPr="00230BC2">
        <w:t xml:space="preserve">At </w:t>
      </w:r>
      <w:r w:rsidR="00EB4DB7" w:rsidRPr="00230BC2">
        <w:t xml:space="preserve">its </w:t>
      </w:r>
      <w:r w:rsidR="00E67935" w:rsidRPr="00230BC2">
        <w:t>2nd</w:t>
      </w:r>
      <w:r w:rsidRPr="00230BC2">
        <w:t xml:space="preserve"> </w:t>
      </w:r>
      <w:r w:rsidR="004A478A" w:rsidRPr="00230BC2">
        <w:t xml:space="preserve">plenary </w:t>
      </w:r>
      <w:r w:rsidRPr="00230BC2">
        <w:t>session</w:t>
      </w:r>
      <w:r w:rsidR="00393ACA" w:rsidRPr="00230BC2">
        <w:t>,</w:t>
      </w:r>
      <w:r w:rsidRPr="00230BC2">
        <w:t xml:space="preserve"> the Conference of the Parties </w:t>
      </w:r>
      <w:r w:rsidR="00C81374" w:rsidRPr="00230BC2">
        <w:t xml:space="preserve">adopted the </w:t>
      </w:r>
      <w:r w:rsidRPr="00230BC2">
        <w:t>draft decision as decision</w:t>
      </w:r>
      <w:r w:rsidR="00C81374" w:rsidRPr="00230BC2">
        <w:t> </w:t>
      </w:r>
      <w:r w:rsidRPr="00230BC2">
        <w:t>15/</w:t>
      </w:r>
      <w:r w:rsidR="00954094" w:rsidRPr="00230BC2">
        <w:t>20</w:t>
      </w:r>
      <w:r w:rsidRPr="00230BC2">
        <w:t>.</w:t>
      </w:r>
    </w:p>
    <w:p w14:paraId="7DFF4D75" w14:textId="7DE16F9A" w:rsidR="000D3660" w:rsidRPr="00950BE4" w:rsidRDefault="000D3660" w:rsidP="00950BE4">
      <w:pPr>
        <w:keepNext/>
        <w:suppressLineNumbers/>
        <w:tabs>
          <w:tab w:val="left" w:pos="567"/>
        </w:tabs>
        <w:suppressAutoHyphens/>
        <w:kinsoku w:val="0"/>
        <w:overflowPunct w:val="0"/>
        <w:autoSpaceDE w:val="0"/>
        <w:autoSpaceDN w:val="0"/>
        <w:adjustRightInd w:val="0"/>
        <w:snapToGrid w:val="0"/>
        <w:spacing w:before="240" w:after="120"/>
        <w:jc w:val="center"/>
        <w:rPr>
          <w:b/>
          <w:bCs/>
          <w:snapToGrid w:val="0"/>
          <w:kern w:val="22"/>
          <w:szCs w:val="22"/>
        </w:rPr>
      </w:pPr>
      <w:bookmarkStart w:id="440" w:name="_Toc150438842"/>
      <w:r w:rsidRPr="00950BE4">
        <w:rPr>
          <w:b/>
          <w:bCs/>
          <w:snapToGrid w:val="0"/>
          <w:kern w:val="22"/>
          <w:szCs w:val="22"/>
        </w:rPr>
        <w:t>C</w:t>
      </w:r>
      <w:r w:rsidR="00103C86" w:rsidRPr="00950BE4">
        <w:rPr>
          <w:b/>
          <w:bCs/>
          <w:snapToGrid w:val="0"/>
          <w:kern w:val="22"/>
          <w:szCs w:val="22"/>
        </w:rPr>
        <w:t>.</w:t>
      </w:r>
      <w:r w:rsidR="005A7C3E" w:rsidRPr="00950BE4">
        <w:rPr>
          <w:b/>
          <w:bCs/>
          <w:snapToGrid w:val="0"/>
          <w:kern w:val="22"/>
          <w:szCs w:val="22"/>
        </w:rPr>
        <w:tab/>
      </w:r>
      <w:r w:rsidRPr="00950BE4">
        <w:rPr>
          <w:b/>
          <w:bCs/>
          <w:snapToGrid w:val="0"/>
          <w:kern w:val="22"/>
          <w:szCs w:val="22"/>
        </w:rPr>
        <w:t>Recommendations from the Permanent Forum on Indigenous Issues</w:t>
      </w:r>
      <w:bookmarkEnd w:id="440"/>
      <w:r w:rsidRPr="00950BE4">
        <w:rPr>
          <w:b/>
          <w:bCs/>
          <w:snapToGrid w:val="0"/>
          <w:kern w:val="22"/>
          <w:szCs w:val="22"/>
        </w:rPr>
        <w:t xml:space="preserve"> </w:t>
      </w:r>
    </w:p>
    <w:p w14:paraId="78391DCC" w14:textId="72656B9D" w:rsidR="00F83D19" w:rsidRPr="00230BC2" w:rsidRDefault="00F83D19" w:rsidP="003466FC">
      <w:pPr>
        <w:pStyle w:val="Para1"/>
        <w:rPr>
          <w:lang w:eastAsia="en-CA"/>
        </w:rPr>
      </w:pPr>
      <w:r w:rsidRPr="00230BC2">
        <w:rPr>
          <w:bCs/>
        </w:rPr>
        <w:t xml:space="preserve">Working </w:t>
      </w:r>
      <w:r w:rsidR="003873C8" w:rsidRPr="00230BC2">
        <w:rPr>
          <w:bCs/>
        </w:rPr>
        <w:t>G</w:t>
      </w:r>
      <w:r w:rsidRPr="00230BC2">
        <w:rPr>
          <w:bCs/>
        </w:rPr>
        <w:t xml:space="preserve">roup I </w:t>
      </w:r>
      <w:r w:rsidR="00B3219B" w:rsidRPr="00230BC2">
        <w:rPr>
          <w:bCs/>
        </w:rPr>
        <w:t>considered</w:t>
      </w:r>
      <w:r w:rsidRPr="00230BC2">
        <w:rPr>
          <w:bCs/>
        </w:rPr>
        <w:t xml:space="preserve"> sub-item</w:t>
      </w:r>
      <w:r w:rsidRPr="00230BC2">
        <w:t xml:space="preserve"> 10 (c) </w:t>
      </w:r>
      <w:r w:rsidR="00E22002" w:rsidRPr="00230BC2">
        <w:t xml:space="preserve">of the agenda </w:t>
      </w:r>
      <w:r w:rsidRPr="00230BC2">
        <w:t>at its</w:t>
      </w:r>
      <w:r w:rsidRPr="00230BC2">
        <w:rPr>
          <w:bCs/>
        </w:rPr>
        <w:t xml:space="preserve"> </w:t>
      </w:r>
      <w:r w:rsidR="00E67935" w:rsidRPr="00230BC2">
        <w:t>1st</w:t>
      </w:r>
      <w:r w:rsidRPr="00230BC2">
        <w:t xml:space="preserve"> meeting. </w:t>
      </w:r>
      <w:r w:rsidR="000A734E" w:rsidRPr="00230BC2">
        <w:t xml:space="preserve">It </w:t>
      </w:r>
      <w:r w:rsidRPr="00230BC2">
        <w:t xml:space="preserve">had before it a draft decision </w:t>
      </w:r>
      <w:r w:rsidRPr="00230BC2">
        <w:rPr>
          <w:lang w:eastAsia="en-CA"/>
        </w:rPr>
        <w:t>on recommendations from the Permanent Forum on Indigenous Issues to the Convention on Biological Diversity</w:t>
      </w:r>
      <w:r w:rsidRPr="00230BC2">
        <w:t xml:space="preserve">, based on </w:t>
      </w:r>
      <w:r w:rsidRPr="00230BC2">
        <w:rPr>
          <w:rFonts w:eastAsia="Batang"/>
          <w:lang w:eastAsia="ko-KR"/>
        </w:rPr>
        <w:t xml:space="preserve">recommendation 11/4 of the </w:t>
      </w:r>
      <w:r w:rsidRPr="00230BC2">
        <w:t xml:space="preserve">Ad Hoc Open-ended </w:t>
      </w:r>
      <w:r w:rsidR="00193A67" w:rsidRPr="00230BC2">
        <w:t xml:space="preserve">Intersessional </w:t>
      </w:r>
      <w:r w:rsidRPr="00230BC2">
        <w:t>Working Group on Article 8(j) and Related Provisions</w:t>
      </w:r>
      <w:r w:rsidR="00A25187" w:rsidRPr="00230BC2">
        <w:t>,</w:t>
      </w:r>
      <w:r w:rsidRPr="00230BC2">
        <w:rPr>
          <w:lang w:eastAsia="en-CA"/>
        </w:rPr>
        <w:t xml:space="preserve"> </w:t>
      </w:r>
      <w:r w:rsidR="00A25187" w:rsidRPr="00230BC2">
        <w:rPr>
          <w:lang w:eastAsia="en-CA"/>
        </w:rPr>
        <w:t xml:space="preserve">as </w:t>
      </w:r>
      <w:r w:rsidRPr="00230BC2">
        <w:rPr>
          <w:iCs/>
        </w:rPr>
        <w:t>set out in the compilation of draft decisions</w:t>
      </w:r>
      <w:r w:rsidR="00373A92" w:rsidRPr="00230BC2">
        <w:rPr>
          <w:iCs/>
        </w:rPr>
        <w:t>.</w:t>
      </w:r>
    </w:p>
    <w:p w14:paraId="42390C7A" w14:textId="0679499A" w:rsidR="00F83D19" w:rsidRPr="00230BC2" w:rsidRDefault="00B369DE" w:rsidP="003466FC">
      <w:pPr>
        <w:pStyle w:val="Para1"/>
      </w:pPr>
      <w:r w:rsidRPr="00230BC2">
        <w:t>W</w:t>
      </w:r>
      <w:r w:rsidR="00F83D19" w:rsidRPr="00230BC2">
        <w:t xml:space="preserve">orking </w:t>
      </w:r>
      <w:r w:rsidRPr="00230BC2">
        <w:t>G</w:t>
      </w:r>
      <w:r w:rsidR="00F83D19" w:rsidRPr="00230BC2">
        <w:t xml:space="preserve">roup </w:t>
      </w:r>
      <w:r w:rsidRPr="00230BC2">
        <w:t xml:space="preserve">I </w:t>
      </w:r>
      <w:r w:rsidR="00F83D19" w:rsidRPr="00230BC2">
        <w:t xml:space="preserve">agreed that </w:t>
      </w:r>
      <w:r w:rsidR="00843105" w:rsidRPr="00230BC2">
        <w:t xml:space="preserve">its </w:t>
      </w:r>
      <w:r w:rsidR="00F83D19" w:rsidRPr="00230BC2">
        <w:t xml:space="preserve">Chair would submit the draft decision as a conference room paper for the </w:t>
      </w:r>
      <w:r w:rsidR="00583FC8" w:rsidRPr="00230BC2">
        <w:t>G</w:t>
      </w:r>
      <w:r w:rsidR="00F83D19" w:rsidRPr="00230BC2">
        <w:t xml:space="preserve">roup’s consideration. </w:t>
      </w:r>
    </w:p>
    <w:p w14:paraId="2DC4E6A6" w14:textId="0BA506E5" w:rsidR="00D60DD0" w:rsidRPr="00230BC2" w:rsidRDefault="00F83D19" w:rsidP="003466FC">
      <w:pPr>
        <w:pStyle w:val="Para1"/>
      </w:pPr>
      <w:r w:rsidRPr="00230BC2">
        <w:t xml:space="preserve">At its </w:t>
      </w:r>
      <w:r w:rsidR="00E67935" w:rsidRPr="00230BC2">
        <w:t>2nd</w:t>
      </w:r>
      <w:r w:rsidRPr="00230BC2">
        <w:t xml:space="preserve"> meeting, </w:t>
      </w:r>
      <w:r w:rsidR="00A34F17" w:rsidRPr="00230BC2">
        <w:t>W</w:t>
      </w:r>
      <w:r w:rsidRPr="00230BC2">
        <w:t xml:space="preserve">orking </w:t>
      </w:r>
      <w:r w:rsidR="00A34F17" w:rsidRPr="00230BC2">
        <w:t>G</w:t>
      </w:r>
      <w:r w:rsidRPr="00230BC2">
        <w:t xml:space="preserve">roup </w:t>
      </w:r>
      <w:r w:rsidR="00A34F17" w:rsidRPr="00230BC2">
        <w:t xml:space="preserve">I </w:t>
      </w:r>
      <w:r w:rsidRPr="00230BC2">
        <w:t xml:space="preserve">considered the draft decision submitted by </w:t>
      </w:r>
      <w:r w:rsidR="00C61167"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CBD/COP/15/L.7.</w:t>
      </w:r>
    </w:p>
    <w:p w14:paraId="792859CD" w14:textId="1E06C695" w:rsidR="005008CC" w:rsidRPr="00230BC2" w:rsidRDefault="005008CC" w:rsidP="003466FC">
      <w:pPr>
        <w:pStyle w:val="Para1"/>
      </w:pPr>
      <w:r w:rsidRPr="00230BC2">
        <w:t xml:space="preserve">At </w:t>
      </w:r>
      <w:r w:rsidR="00EB4DB7" w:rsidRPr="00230BC2">
        <w:t xml:space="preserve">its </w:t>
      </w:r>
      <w:r w:rsidR="00E67935" w:rsidRPr="00230BC2">
        <w:t>2nd</w:t>
      </w:r>
      <w:r w:rsidRPr="00230BC2">
        <w:t xml:space="preserve"> </w:t>
      </w:r>
      <w:r w:rsidR="004A478A" w:rsidRPr="00230BC2">
        <w:t xml:space="preserve">plenary </w:t>
      </w:r>
      <w:r w:rsidRPr="00230BC2">
        <w:t>session</w:t>
      </w:r>
      <w:r w:rsidR="00393ACA" w:rsidRPr="00230BC2">
        <w:t>,</w:t>
      </w:r>
      <w:r w:rsidRPr="00230BC2">
        <w:t xml:space="preserve"> the Conference of the Parties </w:t>
      </w:r>
      <w:r w:rsidR="00C403D6" w:rsidRPr="00230BC2">
        <w:t xml:space="preserve">adopted the </w:t>
      </w:r>
      <w:r w:rsidRPr="00230BC2">
        <w:t>draft decision as decision</w:t>
      </w:r>
      <w:r w:rsidR="00C403D6" w:rsidRPr="00230BC2">
        <w:t> </w:t>
      </w:r>
      <w:r w:rsidRPr="00230BC2">
        <w:t>15/</w:t>
      </w:r>
      <w:r w:rsidR="00954094" w:rsidRPr="00230BC2">
        <w:t>21</w:t>
      </w:r>
      <w:r w:rsidRPr="00230BC2">
        <w:t>.</w:t>
      </w:r>
    </w:p>
    <w:p w14:paraId="1DEE93CE" w14:textId="2E038B05" w:rsidR="0061275F" w:rsidRPr="00950BE4" w:rsidRDefault="0061275F"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950BE4">
        <w:rPr>
          <w:b/>
          <w:bCs/>
          <w:snapToGrid w:val="0"/>
          <w:kern w:val="22"/>
          <w:szCs w:val="22"/>
        </w:rPr>
        <w:t>Item 11.</w:t>
      </w:r>
      <w:r w:rsidRPr="00950BE4">
        <w:rPr>
          <w:b/>
          <w:bCs/>
          <w:snapToGrid w:val="0"/>
          <w:kern w:val="22"/>
          <w:szCs w:val="22"/>
        </w:rPr>
        <w:tab/>
        <w:t>Digital sequence information on genetic resources</w:t>
      </w:r>
    </w:p>
    <w:p w14:paraId="15BDDC42" w14:textId="55F88CB3" w:rsidR="00D87E9E" w:rsidRPr="00230BC2" w:rsidRDefault="00D87E9E" w:rsidP="003466FC">
      <w:pPr>
        <w:pStyle w:val="Para1"/>
      </w:pPr>
      <w:r w:rsidRPr="00230BC2">
        <w:rPr>
          <w:bCs/>
        </w:rPr>
        <w:t xml:space="preserve">Working </w:t>
      </w:r>
      <w:r w:rsidR="003873C8" w:rsidRPr="00230BC2">
        <w:rPr>
          <w:bCs/>
        </w:rPr>
        <w:t>G</w:t>
      </w:r>
      <w:r w:rsidRPr="00230BC2">
        <w:rPr>
          <w:bCs/>
        </w:rPr>
        <w:t xml:space="preserve">roup I </w:t>
      </w:r>
      <w:r w:rsidR="00B3219B" w:rsidRPr="00230BC2">
        <w:rPr>
          <w:bCs/>
        </w:rPr>
        <w:t>considered</w:t>
      </w:r>
      <w:r w:rsidR="00EB5F0B" w:rsidRPr="00230BC2">
        <w:rPr>
          <w:bCs/>
        </w:rPr>
        <w:t xml:space="preserve"> agenda</w:t>
      </w:r>
      <w:r w:rsidRPr="00230BC2">
        <w:rPr>
          <w:bCs/>
        </w:rPr>
        <w:t xml:space="preserve"> item</w:t>
      </w:r>
      <w:r w:rsidRPr="00230BC2">
        <w:t xml:space="preserve"> 11 a</w:t>
      </w:r>
      <w:r w:rsidRPr="00230BC2">
        <w:rPr>
          <w:bCs/>
        </w:rPr>
        <w:t xml:space="preserve">t its </w:t>
      </w:r>
      <w:r w:rsidR="00E67935" w:rsidRPr="00230BC2">
        <w:t>1st</w:t>
      </w:r>
      <w:r w:rsidRPr="00230BC2">
        <w:t xml:space="preserve"> meeting, </w:t>
      </w:r>
      <w:r w:rsidRPr="00230BC2">
        <w:rPr>
          <w:iCs/>
        </w:rPr>
        <w:t xml:space="preserve">in conjunction with </w:t>
      </w:r>
      <w:r w:rsidR="00EB5F0B" w:rsidRPr="00230BC2">
        <w:rPr>
          <w:iCs/>
        </w:rPr>
        <w:t xml:space="preserve">agenda </w:t>
      </w:r>
      <w:r w:rsidRPr="00230BC2">
        <w:rPr>
          <w:iCs/>
        </w:rPr>
        <w:t>item</w:t>
      </w:r>
      <w:r w:rsidR="000E7B21" w:rsidRPr="00230BC2">
        <w:rPr>
          <w:iCs/>
        </w:rPr>
        <w:t> </w:t>
      </w:r>
      <w:r w:rsidRPr="00230BC2">
        <w:t>14</w:t>
      </w:r>
      <w:r w:rsidR="00343C2E" w:rsidRPr="00230BC2">
        <w:t xml:space="preserve"> </w:t>
      </w:r>
      <w:r w:rsidRPr="00230BC2">
        <w:t xml:space="preserve">of the fourth meeting of the Conference of the Parties serving as the </w:t>
      </w:r>
      <w:r w:rsidR="00F65F0D" w:rsidRPr="00230BC2">
        <w:t>m</w:t>
      </w:r>
      <w:r w:rsidRPr="00230BC2">
        <w:t xml:space="preserve">eeting of the Parties to the Nagoya Protocol. </w:t>
      </w:r>
      <w:r w:rsidR="000A734E" w:rsidRPr="00230BC2">
        <w:t xml:space="preserve">It </w:t>
      </w:r>
      <w:r w:rsidRPr="00230BC2">
        <w:t>had before it a draft decision in the form of recommendation 5/2, prepared by the Open-ended Working Group on the Post-2020 Global Biodiversity Framework taking into account its recommendations 3/2 and 4/2 and the information provided in the note by the Executive Secretary on digital sequence information on genetic resources (CBD/WG2020/5/3)</w:t>
      </w:r>
      <w:r w:rsidRPr="00230BC2">
        <w:rPr>
          <w:iCs/>
        </w:rPr>
        <w:t>.</w:t>
      </w:r>
    </w:p>
    <w:p w14:paraId="2FB794E9" w14:textId="65141711" w:rsidR="00D87E9E" w:rsidRPr="00230BC2" w:rsidRDefault="00B369DE" w:rsidP="003466FC">
      <w:pPr>
        <w:pStyle w:val="Para1"/>
      </w:pPr>
      <w:r w:rsidRPr="00230BC2">
        <w:rPr>
          <w:bCs/>
        </w:rPr>
        <w:t>W</w:t>
      </w:r>
      <w:r w:rsidR="00D87E9E" w:rsidRPr="00230BC2">
        <w:rPr>
          <w:bCs/>
        </w:rPr>
        <w:t xml:space="preserve">orking </w:t>
      </w:r>
      <w:r w:rsidRPr="00230BC2">
        <w:rPr>
          <w:bCs/>
        </w:rPr>
        <w:t>G</w:t>
      </w:r>
      <w:r w:rsidR="00D87E9E" w:rsidRPr="00230BC2">
        <w:rPr>
          <w:bCs/>
        </w:rPr>
        <w:t xml:space="preserve">roup </w:t>
      </w:r>
      <w:r w:rsidRPr="00230BC2">
        <w:rPr>
          <w:bCs/>
        </w:rPr>
        <w:t xml:space="preserve">I </w:t>
      </w:r>
      <w:r w:rsidR="00D87E9E" w:rsidRPr="00230BC2">
        <w:t>establish</w:t>
      </w:r>
      <w:r w:rsidR="002206DF" w:rsidRPr="00230BC2">
        <w:t>ed</w:t>
      </w:r>
      <w:r w:rsidR="00D87E9E" w:rsidRPr="00230BC2">
        <w:t xml:space="preserve"> a contact group, co-chaired by Gaute Voigt-Hanssen (Norway) and Lacticia Tshitwamulomoni (South Africa), to prepare a revised draft decision for the </w:t>
      </w:r>
      <w:r w:rsidR="00583FC8" w:rsidRPr="00230BC2">
        <w:t>G</w:t>
      </w:r>
      <w:r w:rsidR="00D87E9E" w:rsidRPr="00230BC2">
        <w:t xml:space="preserve">roup’s consideration. </w:t>
      </w:r>
    </w:p>
    <w:p w14:paraId="2936FF9C" w14:textId="4D1E7EC4" w:rsidR="00D87E9E" w:rsidRPr="00230BC2" w:rsidRDefault="00D72CE1" w:rsidP="003466FC">
      <w:pPr>
        <w:pStyle w:val="Para1"/>
      </w:pPr>
      <w:r w:rsidRPr="00230BC2">
        <w:t>D</w:t>
      </w:r>
      <w:r w:rsidR="00D87E9E" w:rsidRPr="00230BC2">
        <w:t xml:space="preserve">uring its </w:t>
      </w:r>
      <w:r w:rsidR="00E67935" w:rsidRPr="00230BC2">
        <w:t>3rd</w:t>
      </w:r>
      <w:r w:rsidR="00D87E9E" w:rsidRPr="00230BC2">
        <w:t xml:space="preserve"> plenary session, the Conference of the Parties</w:t>
      </w:r>
      <w:r w:rsidR="00574A09" w:rsidRPr="00230BC2">
        <w:t xml:space="preserve"> </w:t>
      </w:r>
      <w:r w:rsidR="007F57DC" w:rsidRPr="00230BC2">
        <w:t xml:space="preserve">to the Convention </w:t>
      </w:r>
      <w:r w:rsidR="00D87E9E" w:rsidRPr="00230BC2">
        <w:t xml:space="preserve">agreed that </w:t>
      </w:r>
      <w:r w:rsidR="00B26B0F" w:rsidRPr="00230BC2">
        <w:t xml:space="preserve">its </w:t>
      </w:r>
      <w:r w:rsidR="00D87E9E" w:rsidRPr="00230BC2">
        <w:t>President would prepare a set of texts constituting a package covering the agenda items closely related to the post</w:t>
      </w:r>
      <w:r w:rsidR="00AE2253" w:rsidRPr="00230BC2">
        <w:noBreakHyphen/>
      </w:r>
      <w:r w:rsidR="00D87E9E" w:rsidRPr="00230BC2">
        <w:t xml:space="preserve">2020 global biodiversity framework, including item 11, for consideration </w:t>
      </w:r>
      <w:r w:rsidR="00F30F23" w:rsidRPr="00230BC2">
        <w:t>by</w:t>
      </w:r>
      <w:r w:rsidR="00D87E9E" w:rsidRPr="00230BC2">
        <w:t xml:space="preserve"> the Conference of the Parties.</w:t>
      </w:r>
    </w:p>
    <w:p w14:paraId="389B90B5" w14:textId="03ADCD4A" w:rsidR="00852971" w:rsidRPr="00230BC2" w:rsidRDefault="00852971" w:rsidP="003466FC">
      <w:pPr>
        <w:pStyle w:val="Para1"/>
      </w:pPr>
      <w:r w:rsidRPr="00230BC2">
        <w:t xml:space="preserve">At </w:t>
      </w:r>
      <w:r w:rsidR="00893FBA" w:rsidRPr="00230BC2">
        <w:t xml:space="preserve">its </w:t>
      </w:r>
      <w:r w:rsidR="00E67935" w:rsidRPr="00230BC2">
        <w:t>4th</w:t>
      </w:r>
      <w:r w:rsidRPr="00230BC2">
        <w:t xml:space="preserve"> plenary session</w:t>
      </w:r>
      <w:r w:rsidR="00893FBA" w:rsidRPr="00230BC2">
        <w:t>,</w:t>
      </w:r>
      <w:r w:rsidRPr="00230BC2">
        <w:t xml:space="preserve"> the Conference of the Parties</w:t>
      </w:r>
      <w:r w:rsidR="002E6C40" w:rsidRPr="00230BC2">
        <w:t xml:space="preserve"> </w:t>
      </w:r>
      <w:r w:rsidRPr="00230BC2">
        <w:t>considered draft decision CBD/COP/15/L.30</w:t>
      </w:r>
      <w:r w:rsidR="00D041FC" w:rsidRPr="00230BC2">
        <w:t>,</w:t>
      </w:r>
      <w:r w:rsidRPr="00230BC2">
        <w:t xml:space="preserve"> as </w:t>
      </w:r>
      <w:r w:rsidR="00D041FC" w:rsidRPr="00230BC2">
        <w:t xml:space="preserve">set out </w:t>
      </w:r>
      <w:r w:rsidR="00F65F0D" w:rsidRPr="00230BC2">
        <w:t>in</w:t>
      </w:r>
      <w:r w:rsidRPr="00230BC2">
        <w:t xml:space="preserve"> </w:t>
      </w:r>
      <w:r w:rsidR="007D61B4" w:rsidRPr="00230BC2">
        <w:t>the</w:t>
      </w:r>
      <w:r w:rsidRPr="00230BC2">
        <w:t xml:space="preserve"> set of draft decisions submitted by the President, and adopted it as decision 15/</w:t>
      </w:r>
      <w:r w:rsidR="00954094" w:rsidRPr="00230BC2">
        <w:t>9</w:t>
      </w:r>
      <w:r w:rsidRPr="00230BC2">
        <w:t>.</w:t>
      </w:r>
    </w:p>
    <w:p w14:paraId="443FE367" w14:textId="03F29E34" w:rsidR="0061275F" w:rsidRPr="00950BE4" w:rsidRDefault="0061275F"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950BE4">
        <w:rPr>
          <w:b/>
          <w:bCs/>
          <w:snapToGrid w:val="0"/>
          <w:kern w:val="22"/>
          <w:szCs w:val="22"/>
        </w:rPr>
        <w:t>Item 12.</w:t>
      </w:r>
      <w:r w:rsidRPr="00950BE4">
        <w:rPr>
          <w:b/>
          <w:bCs/>
          <w:snapToGrid w:val="0"/>
          <w:kern w:val="22"/>
          <w:szCs w:val="22"/>
        </w:rPr>
        <w:tab/>
        <w:t>Resource mobilization and the financial mechanism</w:t>
      </w:r>
    </w:p>
    <w:p w14:paraId="6203C55A" w14:textId="507FC4FA" w:rsidR="0061275F" w:rsidRPr="00950BE4" w:rsidRDefault="005E4CFE"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bookmarkStart w:id="441" w:name="_Toc150438843"/>
      <w:bookmarkStart w:id="442" w:name="_Hlk35858548"/>
      <w:r w:rsidRPr="00950BE4">
        <w:rPr>
          <w:b/>
          <w:bCs/>
          <w:snapToGrid w:val="0"/>
          <w:kern w:val="22"/>
          <w:szCs w:val="22"/>
        </w:rPr>
        <w:t>A.</w:t>
      </w:r>
      <w:r w:rsidRPr="00950BE4">
        <w:rPr>
          <w:b/>
          <w:bCs/>
          <w:snapToGrid w:val="0"/>
          <w:kern w:val="22"/>
          <w:szCs w:val="22"/>
        </w:rPr>
        <w:tab/>
      </w:r>
      <w:r w:rsidR="0061275F" w:rsidRPr="00950BE4">
        <w:rPr>
          <w:b/>
          <w:bCs/>
          <w:snapToGrid w:val="0"/>
          <w:kern w:val="22"/>
          <w:szCs w:val="22"/>
        </w:rPr>
        <w:t>Resource mobilization</w:t>
      </w:r>
      <w:bookmarkEnd w:id="441"/>
    </w:p>
    <w:bookmarkEnd w:id="442"/>
    <w:p w14:paraId="059AF6CC" w14:textId="70D6C7FF" w:rsidR="00D10C54" w:rsidRPr="00230BC2" w:rsidRDefault="00D10C54" w:rsidP="003466FC">
      <w:pPr>
        <w:pStyle w:val="Para1"/>
      </w:pPr>
      <w:r w:rsidRPr="00230BC2">
        <w:rPr>
          <w:bCs/>
        </w:rPr>
        <w:t xml:space="preserve">Working </w:t>
      </w:r>
      <w:r w:rsidR="003873C8" w:rsidRPr="00230BC2">
        <w:rPr>
          <w:bCs/>
        </w:rPr>
        <w:t>G</w:t>
      </w:r>
      <w:r w:rsidRPr="00230BC2">
        <w:rPr>
          <w:bCs/>
        </w:rPr>
        <w:t xml:space="preserve">roup I </w:t>
      </w:r>
      <w:r w:rsidR="00B3219B" w:rsidRPr="00230BC2">
        <w:rPr>
          <w:bCs/>
        </w:rPr>
        <w:t>considered</w:t>
      </w:r>
      <w:r w:rsidRPr="00230BC2">
        <w:rPr>
          <w:bCs/>
        </w:rPr>
        <w:t xml:space="preserve"> sub-item</w:t>
      </w:r>
      <w:r w:rsidRPr="00230BC2">
        <w:t xml:space="preserve"> 12 A </w:t>
      </w:r>
      <w:r w:rsidR="00644127" w:rsidRPr="00230BC2">
        <w:t xml:space="preserve">of the agenda </w:t>
      </w:r>
      <w:r w:rsidRPr="00230BC2">
        <w:t xml:space="preserve">at its </w:t>
      </w:r>
      <w:r w:rsidR="00E67935" w:rsidRPr="00230BC2">
        <w:t>1st</w:t>
      </w:r>
      <w:r w:rsidRPr="00230BC2">
        <w:t xml:space="preserve"> meeting. </w:t>
      </w:r>
      <w:r w:rsidR="00DC34D2" w:rsidRPr="00230BC2">
        <w:t>It</w:t>
      </w:r>
      <w:r w:rsidRPr="00230BC2">
        <w:t xml:space="preserve"> had before a draft decision based on recommendation 3/6 of the Subsidiary Body on Implementation, </w:t>
      </w:r>
      <w:r w:rsidR="00A25187" w:rsidRPr="00230BC2">
        <w:t xml:space="preserve">as </w:t>
      </w:r>
      <w:r w:rsidRPr="00230BC2">
        <w:t xml:space="preserve">set out in </w:t>
      </w:r>
      <w:r w:rsidRPr="00230BC2">
        <w:rPr>
          <w:bCs/>
        </w:rPr>
        <w:t>the compilation of draft decisions</w:t>
      </w:r>
      <w:r w:rsidR="00373A92" w:rsidRPr="00230BC2">
        <w:rPr>
          <w:bCs/>
        </w:rPr>
        <w:t>.</w:t>
      </w:r>
      <w:r w:rsidRPr="00230BC2">
        <w:rPr>
          <w:bCs/>
        </w:rPr>
        <w:t xml:space="preserve"> </w:t>
      </w:r>
    </w:p>
    <w:p w14:paraId="24FAAFE0" w14:textId="2540F6F9" w:rsidR="00D10C54" w:rsidRPr="00230BC2" w:rsidRDefault="00B369DE" w:rsidP="003466FC">
      <w:pPr>
        <w:pStyle w:val="Para1"/>
      </w:pPr>
      <w:r w:rsidRPr="00230BC2">
        <w:rPr>
          <w:bCs/>
        </w:rPr>
        <w:t>W</w:t>
      </w:r>
      <w:r w:rsidR="00D10C54" w:rsidRPr="00230BC2">
        <w:rPr>
          <w:bCs/>
        </w:rPr>
        <w:t xml:space="preserve">orking </w:t>
      </w:r>
      <w:r w:rsidRPr="00230BC2">
        <w:rPr>
          <w:bCs/>
        </w:rPr>
        <w:t>G</w:t>
      </w:r>
      <w:r w:rsidR="00D10C54" w:rsidRPr="00230BC2">
        <w:rPr>
          <w:bCs/>
        </w:rPr>
        <w:t xml:space="preserve">roup </w:t>
      </w:r>
      <w:r w:rsidRPr="00230BC2">
        <w:rPr>
          <w:bCs/>
        </w:rPr>
        <w:t xml:space="preserve">I </w:t>
      </w:r>
      <w:r w:rsidR="00D10C54" w:rsidRPr="00230BC2">
        <w:t>establish</w:t>
      </w:r>
      <w:r w:rsidR="002206DF" w:rsidRPr="00230BC2">
        <w:t>ed</w:t>
      </w:r>
      <w:r w:rsidR="00D10C54" w:rsidRPr="00230BC2">
        <w:t xml:space="preserve"> a contact group, co-chaired by Ines Verleye (Belgium) and Shonisani Munzhedzi (South Africa), to prepare a revised draft decision for the </w:t>
      </w:r>
      <w:r w:rsidR="00583FC8" w:rsidRPr="00230BC2">
        <w:t>G</w:t>
      </w:r>
      <w:r w:rsidR="00D10C54" w:rsidRPr="00230BC2">
        <w:t>roup’s consideration.</w:t>
      </w:r>
    </w:p>
    <w:p w14:paraId="1E4216D8" w14:textId="3DA95544" w:rsidR="007A08DF" w:rsidRPr="00230BC2" w:rsidRDefault="00D72CE1" w:rsidP="003466FC">
      <w:pPr>
        <w:pStyle w:val="Para1"/>
      </w:pPr>
      <w:r w:rsidRPr="00230BC2">
        <w:t>D</w:t>
      </w:r>
      <w:r w:rsidR="007A08DF" w:rsidRPr="00230BC2">
        <w:t xml:space="preserve">uring its </w:t>
      </w:r>
      <w:r w:rsidR="00E67935" w:rsidRPr="00230BC2">
        <w:t>3rd</w:t>
      </w:r>
      <w:r w:rsidR="007A08DF" w:rsidRPr="00230BC2">
        <w:t xml:space="preserve"> plenary session, the Conference of the Parties agreed that </w:t>
      </w:r>
      <w:r w:rsidR="00B26B0F" w:rsidRPr="00230BC2">
        <w:t xml:space="preserve">its </w:t>
      </w:r>
      <w:r w:rsidR="007A08DF" w:rsidRPr="00230BC2">
        <w:t>President would prepare a set of texts constituting a package covering the agenda items closely related to the post</w:t>
      </w:r>
      <w:r w:rsidR="009B45D4" w:rsidRPr="00230BC2">
        <w:noBreakHyphen/>
      </w:r>
      <w:r w:rsidR="007A08DF" w:rsidRPr="00230BC2">
        <w:t xml:space="preserve">2020 global biodiversity framework, including </w:t>
      </w:r>
      <w:r w:rsidR="00D8333C" w:rsidRPr="00230BC2">
        <w:t>sub-</w:t>
      </w:r>
      <w:r w:rsidR="007A08DF" w:rsidRPr="00230BC2">
        <w:t xml:space="preserve">item 12 A, for consideration </w:t>
      </w:r>
      <w:r w:rsidR="00F30F23" w:rsidRPr="00230BC2">
        <w:t>by</w:t>
      </w:r>
      <w:r w:rsidR="007A08DF" w:rsidRPr="00230BC2">
        <w:t xml:space="preserve"> the Conference of the Parties.</w:t>
      </w:r>
    </w:p>
    <w:p w14:paraId="7263FE1D" w14:textId="2438F330" w:rsidR="00852971" w:rsidRPr="00230BC2" w:rsidRDefault="00852971" w:rsidP="003466FC">
      <w:pPr>
        <w:pStyle w:val="Para1"/>
      </w:pPr>
      <w:r w:rsidRPr="00230BC2">
        <w:t xml:space="preserve">At </w:t>
      </w:r>
      <w:r w:rsidR="00893FBA" w:rsidRPr="00230BC2">
        <w:t xml:space="preserve">its </w:t>
      </w:r>
      <w:r w:rsidR="00E67935" w:rsidRPr="00230BC2">
        <w:t>4th</w:t>
      </w:r>
      <w:r w:rsidRPr="00230BC2">
        <w:t xml:space="preserve"> plenary session</w:t>
      </w:r>
      <w:r w:rsidR="00893FBA" w:rsidRPr="00230BC2">
        <w:t>,</w:t>
      </w:r>
      <w:r w:rsidRPr="00230BC2">
        <w:t xml:space="preserve"> the Conference of the Parties considered draft decision CBD/COP/15/L.29</w:t>
      </w:r>
      <w:r w:rsidR="00252810" w:rsidRPr="00230BC2">
        <w:t>,</w:t>
      </w:r>
      <w:r w:rsidRPr="00230BC2">
        <w:t xml:space="preserve"> as </w:t>
      </w:r>
      <w:r w:rsidR="00252810" w:rsidRPr="00230BC2">
        <w:t xml:space="preserve">set out </w:t>
      </w:r>
      <w:r w:rsidR="00F65F0D" w:rsidRPr="00230BC2">
        <w:t>in</w:t>
      </w:r>
      <w:r w:rsidRPr="00230BC2">
        <w:t xml:space="preserve"> </w:t>
      </w:r>
      <w:r w:rsidR="007D61B4" w:rsidRPr="00230BC2">
        <w:t>the</w:t>
      </w:r>
      <w:r w:rsidRPr="00230BC2">
        <w:t xml:space="preserve"> set of draft decisions submitted by the President, and adopted it as decision 15/</w:t>
      </w:r>
      <w:r w:rsidR="00E568A9" w:rsidRPr="00230BC2">
        <w:t>7</w:t>
      </w:r>
      <w:r w:rsidRPr="00230BC2">
        <w:t>.</w:t>
      </w:r>
    </w:p>
    <w:p w14:paraId="44D5F0D3" w14:textId="29919BDF" w:rsidR="004A1A88" w:rsidRPr="00230BC2" w:rsidRDefault="004A1A88" w:rsidP="003466FC">
      <w:pPr>
        <w:pStyle w:val="Para1"/>
      </w:pPr>
      <w:r w:rsidRPr="00230BC2">
        <w:t xml:space="preserve">At </w:t>
      </w:r>
      <w:r w:rsidR="00C12920" w:rsidRPr="00230BC2">
        <w:t xml:space="preserve">the </w:t>
      </w:r>
      <w:r w:rsidR="0042766B" w:rsidRPr="00230BC2">
        <w:t>5th</w:t>
      </w:r>
      <w:r w:rsidRPr="00230BC2">
        <w:t xml:space="preserve"> plenary session, the representative of Switzerland</w:t>
      </w:r>
      <w:r w:rsidR="009F2217" w:rsidRPr="00230BC2">
        <w:t>,</w:t>
      </w:r>
      <w:r w:rsidRPr="00230BC2">
        <w:t xml:space="preserve"> </w:t>
      </w:r>
      <w:r w:rsidR="009444C2" w:rsidRPr="00230BC2">
        <w:t>asking that his comments be</w:t>
      </w:r>
      <w:r w:rsidRPr="00230BC2">
        <w:t xml:space="preserve"> reflect</w:t>
      </w:r>
      <w:r w:rsidR="009444C2" w:rsidRPr="00230BC2">
        <w:t>ed</w:t>
      </w:r>
      <w:r w:rsidRPr="00230BC2">
        <w:t xml:space="preserve"> in the present report</w:t>
      </w:r>
      <w:r w:rsidR="009F2217" w:rsidRPr="00230BC2">
        <w:t>,</w:t>
      </w:r>
      <w:r w:rsidRPr="00230BC2">
        <w:t xml:space="preserve"> </w:t>
      </w:r>
      <w:r w:rsidR="009F2217" w:rsidRPr="00230BC2">
        <w:t xml:space="preserve">said </w:t>
      </w:r>
      <w:r w:rsidRPr="00230BC2">
        <w:t xml:space="preserve">that </w:t>
      </w:r>
      <w:r w:rsidR="009F2217" w:rsidRPr="00230BC2">
        <w:t>his country</w:t>
      </w:r>
      <w:r w:rsidRPr="00230BC2">
        <w:t xml:space="preserve"> would continue its support for developing countries that need</w:t>
      </w:r>
      <w:r w:rsidR="00756850" w:rsidRPr="00230BC2">
        <w:t>ed</w:t>
      </w:r>
      <w:r w:rsidRPr="00230BC2">
        <w:t xml:space="preserve"> </w:t>
      </w:r>
      <w:r w:rsidR="00E65D99" w:rsidRPr="00230BC2">
        <w:t xml:space="preserve">assistance </w:t>
      </w:r>
      <w:r w:rsidR="00217B29" w:rsidRPr="00230BC2">
        <w:t>with</w:t>
      </w:r>
      <w:r w:rsidRPr="00230BC2">
        <w:t xml:space="preserve"> </w:t>
      </w:r>
      <w:r w:rsidR="00217B29" w:rsidRPr="00230BC2">
        <w:t xml:space="preserve">the </w:t>
      </w:r>
      <w:r w:rsidRPr="00230BC2">
        <w:t>implement</w:t>
      </w:r>
      <w:r w:rsidR="00217B29" w:rsidRPr="00230BC2">
        <w:t>ation of</w:t>
      </w:r>
      <w:r w:rsidRPr="00230BC2">
        <w:t xml:space="preserve"> the </w:t>
      </w:r>
      <w:r w:rsidR="002E78AC" w:rsidRPr="00230BC2">
        <w:t xml:space="preserve">post-2020 </w:t>
      </w:r>
      <w:r w:rsidRPr="00230BC2">
        <w:t xml:space="preserve">global biodiversity framework and </w:t>
      </w:r>
      <w:r w:rsidR="00756850" w:rsidRPr="00230BC2">
        <w:t>that it</w:t>
      </w:r>
      <w:r w:rsidR="00C80624" w:rsidRPr="00230BC2">
        <w:t xml:space="preserve"> </w:t>
      </w:r>
      <w:r w:rsidRPr="00230BC2">
        <w:t xml:space="preserve">expected other countries in a capacity to do so to do </w:t>
      </w:r>
      <w:r w:rsidR="00C80624" w:rsidRPr="00230BC2">
        <w:t>the same</w:t>
      </w:r>
      <w:r w:rsidRPr="00230BC2">
        <w:t xml:space="preserve">. </w:t>
      </w:r>
      <w:r w:rsidR="002076F0" w:rsidRPr="00230BC2">
        <w:t>He added</w:t>
      </w:r>
      <w:r w:rsidR="00176B32" w:rsidRPr="00230BC2">
        <w:t>,</w:t>
      </w:r>
      <w:r w:rsidR="0078488C" w:rsidRPr="00230BC2">
        <w:t xml:space="preserve"> </w:t>
      </w:r>
      <w:r w:rsidR="00176B32" w:rsidRPr="00230BC2">
        <w:t xml:space="preserve">however, </w:t>
      </w:r>
      <w:r w:rsidR="00F53A90" w:rsidRPr="00230BC2">
        <w:t xml:space="preserve">that </w:t>
      </w:r>
      <w:r w:rsidR="00AC11AF" w:rsidRPr="00230BC2">
        <w:t>his</w:t>
      </w:r>
      <w:r w:rsidR="00605C28" w:rsidRPr="00230BC2">
        <w:t xml:space="preserve"> Government </w:t>
      </w:r>
      <w:r w:rsidRPr="00230BC2">
        <w:t xml:space="preserve">was not convinced of the added value of the new global biodiversity fund to be established under the Global Environment Facility </w:t>
      </w:r>
      <w:r w:rsidR="008F3420" w:rsidRPr="00230BC2">
        <w:t xml:space="preserve">with a </w:t>
      </w:r>
      <w:r w:rsidRPr="00230BC2">
        <w:t xml:space="preserve">focus on official development assistance as the main source of funding, and </w:t>
      </w:r>
      <w:r w:rsidR="00F53A90" w:rsidRPr="00230BC2">
        <w:t xml:space="preserve">that </w:t>
      </w:r>
      <w:r w:rsidR="00CA5489" w:rsidRPr="00230BC2">
        <w:t xml:space="preserve">it </w:t>
      </w:r>
      <w:r w:rsidRPr="00230BC2">
        <w:t>did not intend to contribute to the new fund unless it was certain that its contributions would trigger additional complementary funding from private sources and that the new fund was innovative in terms of access and instruments.</w:t>
      </w:r>
    </w:p>
    <w:p w14:paraId="060B2FBF" w14:textId="55BEF6F7" w:rsidR="0061275F" w:rsidRPr="00950BE4" w:rsidRDefault="00D0307F" w:rsidP="00950BE4">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bookmarkStart w:id="443" w:name="_Toc150438844"/>
      <w:r w:rsidRPr="00950BE4">
        <w:rPr>
          <w:b/>
          <w:bCs/>
          <w:snapToGrid w:val="0"/>
          <w:kern w:val="22"/>
          <w:szCs w:val="22"/>
        </w:rPr>
        <w:t>B.</w:t>
      </w:r>
      <w:r w:rsidRPr="00950BE4">
        <w:rPr>
          <w:b/>
          <w:bCs/>
          <w:snapToGrid w:val="0"/>
          <w:kern w:val="22"/>
          <w:szCs w:val="22"/>
        </w:rPr>
        <w:tab/>
      </w:r>
      <w:r w:rsidR="0061275F" w:rsidRPr="00950BE4">
        <w:rPr>
          <w:b/>
          <w:bCs/>
          <w:snapToGrid w:val="0"/>
          <w:kern w:val="22"/>
          <w:szCs w:val="22"/>
        </w:rPr>
        <w:t>Financial mechanism</w:t>
      </w:r>
      <w:bookmarkEnd w:id="443"/>
    </w:p>
    <w:p w14:paraId="39986B9B" w14:textId="18E1FF39" w:rsidR="0094785D" w:rsidRPr="00230BC2" w:rsidRDefault="0094785D" w:rsidP="003466FC">
      <w:pPr>
        <w:pStyle w:val="Para1"/>
      </w:pPr>
      <w:r w:rsidRPr="00230BC2">
        <w:t xml:space="preserve">Working </w:t>
      </w:r>
      <w:r w:rsidR="003873C8" w:rsidRPr="00230BC2">
        <w:t>G</w:t>
      </w:r>
      <w:r w:rsidRPr="00230BC2">
        <w:t xml:space="preserve">roup I </w:t>
      </w:r>
      <w:r w:rsidR="00B3219B" w:rsidRPr="00230BC2">
        <w:t>considered</w:t>
      </w:r>
      <w:r w:rsidRPr="00230BC2">
        <w:t xml:space="preserve"> sub-item 12 B </w:t>
      </w:r>
      <w:r w:rsidR="00644127" w:rsidRPr="00230BC2">
        <w:t xml:space="preserve">of the agenda </w:t>
      </w:r>
      <w:r w:rsidRPr="00230BC2">
        <w:t xml:space="preserve">at its </w:t>
      </w:r>
      <w:r w:rsidR="00E67935" w:rsidRPr="00230BC2">
        <w:t>1st</w:t>
      </w:r>
      <w:r w:rsidRPr="00230BC2">
        <w:t xml:space="preserve"> meeting. </w:t>
      </w:r>
      <w:r w:rsidR="006C16AF" w:rsidRPr="00230BC2">
        <w:t>It</w:t>
      </w:r>
      <w:r w:rsidRPr="00230BC2">
        <w:t xml:space="preserve"> had before it a draft decision based on recommendation 3/7 of the Subsidiary Body on Implementation</w:t>
      </w:r>
      <w:r w:rsidR="00A25187" w:rsidRPr="00230BC2">
        <w:t>,</w:t>
      </w:r>
      <w:r w:rsidRPr="00230BC2">
        <w:t xml:space="preserve"> </w:t>
      </w:r>
      <w:r w:rsidR="00A25187" w:rsidRPr="00230BC2">
        <w:t xml:space="preserve">as </w:t>
      </w:r>
      <w:r w:rsidRPr="00230BC2">
        <w:t>set out in the compilation of draft decisions</w:t>
      </w:r>
      <w:r w:rsidR="00373A92" w:rsidRPr="00230BC2">
        <w:t>,</w:t>
      </w:r>
      <w:r w:rsidRPr="00230BC2">
        <w:t xml:space="preserve"> </w:t>
      </w:r>
      <w:r w:rsidR="00FD3513" w:rsidRPr="00230BC2">
        <w:t xml:space="preserve">and </w:t>
      </w:r>
      <w:r w:rsidRPr="00230BC2">
        <w:rPr>
          <w:bCs/>
        </w:rPr>
        <w:t>a note by the Executive Secretary on matters related to guidance to the Global Environment Facility (CBD/COP/15/10).</w:t>
      </w:r>
    </w:p>
    <w:p w14:paraId="2764F612" w14:textId="12117FD0" w:rsidR="0094785D" w:rsidRPr="00230BC2" w:rsidRDefault="0094785D" w:rsidP="003466FC">
      <w:pPr>
        <w:pStyle w:val="Para1"/>
      </w:pPr>
      <w:r w:rsidRPr="00230BC2">
        <w:t xml:space="preserve">The representative of the Global Environment Facility presented the report of the Council of the Global Environment Facility to </w:t>
      </w:r>
      <w:r w:rsidR="001305B9" w:rsidRPr="00230BC2">
        <w:t xml:space="preserve">the fifteenth meeting of </w:t>
      </w:r>
      <w:r w:rsidRPr="00230BC2">
        <w:t xml:space="preserve">the Conference of the Parties </w:t>
      </w:r>
      <w:r w:rsidR="00C15624" w:rsidRPr="00230BC2">
        <w:t>(</w:t>
      </w:r>
      <w:r w:rsidRPr="00230BC2">
        <w:t>CBD/COP/15/8</w:t>
      </w:r>
      <w:r w:rsidR="00C15624" w:rsidRPr="00230BC2">
        <w:t>)</w:t>
      </w:r>
      <w:r w:rsidRPr="00230BC2">
        <w:t>.</w:t>
      </w:r>
    </w:p>
    <w:p w14:paraId="6740E56E" w14:textId="4C6AC3FD" w:rsidR="0094785D" w:rsidRPr="00230BC2" w:rsidRDefault="00B369DE" w:rsidP="003466FC">
      <w:pPr>
        <w:pStyle w:val="Para1"/>
      </w:pPr>
      <w:r w:rsidRPr="00230BC2">
        <w:t>W</w:t>
      </w:r>
      <w:r w:rsidR="0094785D" w:rsidRPr="00230BC2">
        <w:t xml:space="preserve">orking </w:t>
      </w:r>
      <w:r w:rsidRPr="00230BC2">
        <w:t>G</w:t>
      </w:r>
      <w:r w:rsidR="0094785D" w:rsidRPr="00230BC2">
        <w:t xml:space="preserve">roup </w:t>
      </w:r>
      <w:r w:rsidRPr="00230BC2">
        <w:t xml:space="preserve">I </w:t>
      </w:r>
      <w:r w:rsidR="0094785D" w:rsidRPr="00230BC2">
        <w:t>establish</w:t>
      </w:r>
      <w:r w:rsidR="002206DF" w:rsidRPr="00230BC2">
        <w:t>ed</w:t>
      </w:r>
      <w:r w:rsidR="0094785D" w:rsidRPr="00230BC2">
        <w:t xml:space="preserve"> a contact group, co-chaired by </w:t>
      </w:r>
      <w:r w:rsidR="00444262" w:rsidRPr="00230BC2">
        <w:t>Greg Filyk (Canada)</w:t>
      </w:r>
      <w:r w:rsidR="0094785D" w:rsidRPr="00230BC2">
        <w:t xml:space="preserve"> and </w:t>
      </w:r>
      <w:r w:rsidR="00444262" w:rsidRPr="00230BC2">
        <w:t>Laura Ber</w:t>
      </w:r>
      <w:r w:rsidR="00992A2C" w:rsidRPr="00230BC2">
        <w:t>m</w:t>
      </w:r>
      <w:r w:rsidR="007629E3" w:rsidRPr="00230BC2">
        <w:t>ú</w:t>
      </w:r>
      <w:r w:rsidR="00992A2C" w:rsidRPr="00230BC2">
        <w:t>dez (Colombia)</w:t>
      </w:r>
      <w:r w:rsidR="00E464D5" w:rsidRPr="00230BC2">
        <w:t>,</w:t>
      </w:r>
      <w:r w:rsidR="0094785D" w:rsidRPr="00230BC2">
        <w:t xml:space="preserve"> to prepare a revised draft decision for the </w:t>
      </w:r>
      <w:r w:rsidR="00583FC8" w:rsidRPr="00230BC2">
        <w:t>G</w:t>
      </w:r>
      <w:r w:rsidR="0094785D" w:rsidRPr="00230BC2">
        <w:t xml:space="preserve">roup’s consideration. </w:t>
      </w:r>
    </w:p>
    <w:p w14:paraId="3FAEA572" w14:textId="7A08CD04" w:rsidR="0094785D" w:rsidRPr="00230BC2" w:rsidRDefault="0094785D" w:rsidP="003466FC">
      <w:pPr>
        <w:pStyle w:val="Para1"/>
      </w:pPr>
      <w:r w:rsidRPr="00230BC2">
        <w:t xml:space="preserve">At its </w:t>
      </w:r>
      <w:r w:rsidR="00E67935" w:rsidRPr="00230BC2">
        <w:t>4th</w:t>
      </w:r>
      <w:r w:rsidRPr="00230BC2">
        <w:t xml:space="preserve"> meeting, on 19 December, </w:t>
      </w:r>
      <w:r w:rsidR="00133BC4" w:rsidRPr="00230BC2">
        <w:t>W</w:t>
      </w:r>
      <w:r w:rsidRPr="00230BC2">
        <w:t xml:space="preserve">orking </w:t>
      </w:r>
      <w:r w:rsidR="00133BC4" w:rsidRPr="00230BC2">
        <w:t>G</w:t>
      </w:r>
      <w:r w:rsidRPr="00230BC2">
        <w:t xml:space="preserve">roup </w:t>
      </w:r>
      <w:r w:rsidR="00133BC4" w:rsidRPr="00230BC2">
        <w:t xml:space="preserve">I </w:t>
      </w:r>
      <w:r w:rsidRPr="00230BC2">
        <w:t xml:space="preserve">heard a report from the </w:t>
      </w:r>
      <w:r w:rsidR="00EB5D13" w:rsidRPr="00230BC2">
        <w:t>C</w:t>
      </w:r>
      <w:r w:rsidRPr="00230BC2">
        <w:t>o-</w:t>
      </w:r>
      <w:r w:rsidR="00EB5D13" w:rsidRPr="00230BC2">
        <w:t>C</w:t>
      </w:r>
      <w:r w:rsidRPr="00230BC2">
        <w:t xml:space="preserve">hairs of the contact group on the group’s work. </w:t>
      </w:r>
    </w:p>
    <w:p w14:paraId="1B910360" w14:textId="37BC4DD7" w:rsidR="0094785D" w:rsidRPr="00230BC2" w:rsidRDefault="00B369DE" w:rsidP="003466FC">
      <w:pPr>
        <w:pStyle w:val="Para1"/>
      </w:pPr>
      <w:r w:rsidRPr="00230BC2">
        <w:t>W</w:t>
      </w:r>
      <w:r w:rsidR="0094785D" w:rsidRPr="00230BC2">
        <w:t xml:space="preserve">orking </w:t>
      </w:r>
      <w:r w:rsidRPr="00230BC2">
        <w:t>G</w:t>
      </w:r>
      <w:r w:rsidR="0094785D" w:rsidRPr="00230BC2">
        <w:t xml:space="preserve">roup </w:t>
      </w:r>
      <w:r w:rsidRPr="00230BC2">
        <w:t xml:space="preserve">I </w:t>
      </w:r>
      <w:r w:rsidR="0094785D" w:rsidRPr="00230BC2">
        <w:t xml:space="preserve">then considered a revised draft decision submitted by </w:t>
      </w:r>
      <w:r w:rsidR="00334275" w:rsidRPr="00230BC2">
        <w:t xml:space="preserve">its </w:t>
      </w:r>
      <w:r w:rsidR="0094785D" w:rsidRPr="00230BC2">
        <w:t xml:space="preserve">Chair and approved it, as orally amended, for transmission to the plenary </w:t>
      </w:r>
      <w:r w:rsidR="008073D6" w:rsidRPr="00230BC2">
        <w:t xml:space="preserve">session </w:t>
      </w:r>
      <w:r w:rsidR="0094785D" w:rsidRPr="00230BC2">
        <w:t>as draft decision CBD/COP/15/L.33.</w:t>
      </w:r>
    </w:p>
    <w:p w14:paraId="5F315D48" w14:textId="7442E9A3" w:rsidR="00D17E46" w:rsidRPr="00230BC2" w:rsidRDefault="00D17E46" w:rsidP="003466FC">
      <w:pPr>
        <w:pStyle w:val="Para1"/>
        <w:rPr>
          <w:b/>
          <w:bCs/>
        </w:rPr>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orally amended, as decision 15/</w:t>
      </w:r>
      <w:r w:rsidR="00E969C4" w:rsidRPr="00230BC2">
        <w:t>15</w:t>
      </w:r>
      <w:r w:rsidRPr="00230BC2">
        <w:t>.</w:t>
      </w:r>
    </w:p>
    <w:p w14:paraId="5DBBC039" w14:textId="5A2D827D" w:rsidR="00D17E46" w:rsidRPr="00230BC2" w:rsidRDefault="00D17E46" w:rsidP="003466FC">
      <w:pPr>
        <w:pStyle w:val="Para1"/>
      </w:pPr>
      <w:r w:rsidRPr="00230BC2">
        <w:t xml:space="preserve">The representative of the Islamic Republic of Iran, asking that his comments be reflected in the present report, </w:t>
      </w:r>
      <w:r w:rsidR="005F0232" w:rsidRPr="00230BC2">
        <w:t>said that, as the Global Environment Facility was</w:t>
      </w:r>
      <w:r w:rsidRPr="00230BC2">
        <w:t xml:space="preserve"> the official financial mechanism under the Convention</w:t>
      </w:r>
      <w:r w:rsidR="005F0232" w:rsidRPr="00230BC2">
        <w:t xml:space="preserve">, it was inappropriate that certain countries eligible for funding faced barriers and political restrictions in </w:t>
      </w:r>
      <w:r w:rsidR="005E1430" w:rsidRPr="00230BC2">
        <w:t xml:space="preserve">gaining </w:t>
      </w:r>
      <w:r w:rsidR="005F0232" w:rsidRPr="00230BC2">
        <w:t xml:space="preserve">access </w:t>
      </w:r>
      <w:r w:rsidR="005E1430" w:rsidRPr="00230BC2">
        <w:t xml:space="preserve">to </w:t>
      </w:r>
      <w:r w:rsidR="005F0232" w:rsidRPr="00230BC2">
        <w:t>funding from that entity, and that such barriers and political restrictions needed to be removed</w:t>
      </w:r>
      <w:r w:rsidRPr="00230BC2">
        <w:t xml:space="preserve">. </w:t>
      </w:r>
    </w:p>
    <w:p w14:paraId="2FBD3F98" w14:textId="77F7EB7F" w:rsidR="0061275F" w:rsidRPr="006A311F" w:rsidRDefault="0061275F" w:rsidP="006A311F">
      <w:pPr>
        <w:keepNext/>
        <w:suppressLineNumbers/>
        <w:tabs>
          <w:tab w:val="left" w:pos="990"/>
        </w:tabs>
        <w:suppressAutoHyphens/>
        <w:kinsoku w:val="0"/>
        <w:overflowPunct w:val="0"/>
        <w:autoSpaceDE w:val="0"/>
        <w:autoSpaceDN w:val="0"/>
        <w:adjustRightInd w:val="0"/>
        <w:snapToGrid w:val="0"/>
        <w:spacing w:before="240" w:after="120"/>
        <w:ind w:left="1418" w:hanging="992"/>
        <w:jc w:val="left"/>
        <w:rPr>
          <w:b/>
          <w:bCs/>
          <w:snapToGrid w:val="0"/>
          <w:kern w:val="22"/>
          <w:szCs w:val="22"/>
        </w:rPr>
      </w:pPr>
      <w:r w:rsidRPr="006A311F">
        <w:rPr>
          <w:b/>
          <w:bCs/>
          <w:snapToGrid w:val="0"/>
          <w:kern w:val="22"/>
          <w:szCs w:val="22"/>
        </w:rPr>
        <w:t>Item 13.</w:t>
      </w:r>
      <w:r w:rsidR="00C11C5B" w:rsidRPr="006A311F">
        <w:rPr>
          <w:b/>
          <w:bCs/>
          <w:snapToGrid w:val="0"/>
          <w:kern w:val="22"/>
          <w:szCs w:val="22"/>
        </w:rPr>
        <w:tab/>
      </w:r>
      <w:r w:rsidRPr="006A311F">
        <w:rPr>
          <w:b/>
          <w:bCs/>
          <w:snapToGrid w:val="0"/>
          <w:kern w:val="22"/>
          <w:szCs w:val="22"/>
        </w:rPr>
        <w:t>Capacity-building</w:t>
      </w:r>
      <w:r w:rsidR="00EF6E6A" w:rsidRPr="006A311F">
        <w:rPr>
          <w:b/>
          <w:bCs/>
          <w:snapToGrid w:val="0"/>
          <w:kern w:val="22"/>
          <w:szCs w:val="22"/>
        </w:rPr>
        <w:t>,</w:t>
      </w:r>
      <w:r w:rsidRPr="006A311F">
        <w:rPr>
          <w:b/>
          <w:bCs/>
          <w:snapToGrid w:val="0"/>
          <w:kern w:val="22"/>
          <w:szCs w:val="22"/>
        </w:rPr>
        <w:t xml:space="preserve"> technical and scientific cooperation</w:t>
      </w:r>
      <w:r w:rsidR="00EF6E6A" w:rsidRPr="006A311F">
        <w:rPr>
          <w:b/>
          <w:bCs/>
          <w:snapToGrid w:val="0"/>
          <w:kern w:val="22"/>
          <w:szCs w:val="22"/>
        </w:rPr>
        <w:t>,</w:t>
      </w:r>
      <w:r w:rsidRPr="006A311F">
        <w:rPr>
          <w:b/>
          <w:bCs/>
          <w:snapToGrid w:val="0"/>
          <w:kern w:val="22"/>
          <w:szCs w:val="22"/>
        </w:rPr>
        <w:t xml:space="preserve"> knowledge management and communication</w:t>
      </w:r>
    </w:p>
    <w:p w14:paraId="55D3BAA0" w14:textId="3E588228" w:rsidR="00586637" w:rsidRPr="006A311F" w:rsidRDefault="00DB4BFE" w:rsidP="006A311F">
      <w:pPr>
        <w:keepNext/>
        <w:suppressLineNumbers/>
        <w:tabs>
          <w:tab w:val="left" w:pos="567"/>
        </w:tabs>
        <w:suppressAutoHyphens/>
        <w:kinsoku w:val="0"/>
        <w:overflowPunct w:val="0"/>
        <w:autoSpaceDE w:val="0"/>
        <w:autoSpaceDN w:val="0"/>
        <w:adjustRightInd w:val="0"/>
        <w:snapToGrid w:val="0"/>
        <w:spacing w:before="240" w:after="120"/>
        <w:jc w:val="center"/>
        <w:rPr>
          <w:b/>
          <w:bCs/>
          <w:snapToGrid w:val="0"/>
          <w:kern w:val="22"/>
          <w:szCs w:val="22"/>
        </w:rPr>
      </w:pPr>
      <w:bookmarkStart w:id="444" w:name="_Toc150438845"/>
      <w:r w:rsidRPr="006A311F">
        <w:rPr>
          <w:b/>
          <w:bCs/>
          <w:snapToGrid w:val="0"/>
          <w:kern w:val="22"/>
          <w:szCs w:val="22"/>
        </w:rPr>
        <w:t>A.</w:t>
      </w:r>
      <w:r w:rsidRPr="006A311F">
        <w:rPr>
          <w:b/>
          <w:bCs/>
          <w:snapToGrid w:val="0"/>
          <w:kern w:val="22"/>
          <w:szCs w:val="22"/>
        </w:rPr>
        <w:tab/>
      </w:r>
      <w:r w:rsidR="00586637" w:rsidRPr="006A311F">
        <w:rPr>
          <w:b/>
          <w:bCs/>
          <w:snapToGrid w:val="0"/>
          <w:kern w:val="22"/>
          <w:szCs w:val="22"/>
        </w:rPr>
        <w:t>Capacity-building and technical and scientific cooperation</w:t>
      </w:r>
      <w:bookmarkEnd w:id="444"/>
    </w:p>
    <w:p w14:paraId="57A66AC9" w14:textId="458C5A3D" w:rsidR="00100E65" w:rsidRPr="00230BC2" w:rsidRDefault="00100E65" w:rsidP="003466FC">
      <w:pPr>
        <w:pStyle w:val="Para1"/>
      </w:pPr>
      <w:r w:rsidRPr="00230BC2">
        <w:t xml:space="preserve">Working </w:t>
      </w:r>
      <w:r w:rsidR="003873C8" w:rsidRPr="00230BC2">
        <w:t>G</w:t>
      </w:r>
      <w:r w:rsidRPr="00230BC2">
        <w:t xml:space="preserve">roup I </w:t>
      </w:r>
      <w:r w:rsidR="00B3219B" w:rsidRPr="00230BC2">
        <w:t>considered</w:t>
      </w:r>
      <w:r w:rsidRPr="00230BC2">
        <w:t xml:space="preserve"> sub-item 13 A </w:t>
      </w:r>
      <w:r w:rsidR="00644127" w:rsidRPr="00230BC2">
        <w:t xml:space="preserve">of the agenda </w:t>
      </w:r>
      <w:r w:rsidRPr="00230BC2">
        <w:t xml:space="preserve">at its </w:t>
      </w:r>
      <w:r w:rsidR="00E67935" w:rsidRPr="00230BC2">
        <w:t>1st</w:t>
      </w:r>
      <w:r w:rsidRPr="00230BC2">
        <w:t xml:space="preserve"> meeting. </w:t>
      </w:r>
      <w:r w:rsidR="006C16AF" w:rsidRPr="00230BC2">
        <w:t>It</w:t>
      </w:r>
      <w:r w:rsidRPr="00230BC2">
        <w:t xml:space="preserve"> had before it a draft decision on capacity-building and technical and scientific cooperation, based on recommendation 3/8 of the Subsidiary Body on Implementation</w:t>
      </w:r>
      <w:r w:rsidR="00693A22" w:rsidRPr="00230BC2">
        <w:t>,</w:t>
      </w:r>
      <w:r w:rsidRPr="00230BC2">
        <w:t xml:space="preserve"> </w:t>
      </w:r>
      <w:r w:rsidR="00693A22" w:rsidRPr="00230BC2">
        <w:t>as</w:t>
      </w:r>
      <w:r w:rsidRPr="00230BC2">
        <w:t xml:space="preserve"> set out in the compilation of draft decisions</w:t>
      </w:r>
      <w:r w:rsidR="00373A92" w:rsidRPr="00230BC2">
        <w:t>,</w:t>
      </w:r>
      <w:r w:rsidRPr="00230BC2">
        <w:t xml:space="preserve"> </w:t>
      </w:r>
      <w:r w:rsidR="0028496F" w:rsidRPr="00230BC2">
        <w:t>and</w:t>
      </w:r>
      <w:r w:rsidRPr="00230BC2">
        <w:t xml:space="preserve"> a note by the Executive Secretary </w:t>
      </w:r>
      <w:r w:rsidR="00341757" w:rsidRPr="00230BC2">
        <w:t>containing</w:t>
      </w:r>
      <w:r w:rsidRPr="00230BC2">
        <w:t xml:space="preserve"> a summary report o</w:t>
      </w:r>
      <w:r w:rsidR="00E6673E" w:rsidRPr="00230BC2">
        <w:t>n</w:t>
      </w:r>
      <w:r w:rsidRPr="00230BC2">
        <w:t xml:space="preserve"> the review of the technical and scientific cooperation programmes </w:t>
      </w:r>
      <w:r w:rsidRPr="00230BC2">
        <w:rPr>
          <w:bCs/>
        </w:rPr>
        <w:t>(CBD/COP/15/12).</w:t>
      </w:r>
    </w:p>
    <w:p w14:paraId="265B92C3" w14:textId="109A5873" w:rsidR="00100E65" w:rsidRPr="00230BC2" w:rsidRDefault="00B369DE" w:rsidP="003466FC">
      <w:pPr>
        <w:pStyle w:val="Para1"/>
      </w:pPr>
      <w:r w:rsidRPr="00230BC2">
        <w:t>W</w:t>
      </w:r>
      <w:r w:rsidR="00100E65" w:rsidRPr="00230BC2">
        <w:t xml:space="preserve">orking </w:t>
      </w:r>
      <w:r w:rsidRPr="00230BC2">
        <w:t>G</w:t>
      </w:r>
      <w:r w:rsidR="00100E65" w:rsidRPr="00230BC2">
        <w:t xml:space="preserve">roup </w:t>
      </w:r>
      <w:r w:rsidRPr="00230BC2">
        <w:t xml:space="preserve">I </w:t>
      </w:r>
      <w:r w:rsidR="00100E65" w:rsidRPr="00230BC2">
        <w:t>establish</w:t>
      </w:r>
      <w:r w:rsidR="002206DF" w:rsidRPr="00230BC2">
        <w:t>ed</w:t>
      </w:r>
      <w:r w:rsidR="00100E65" w:rsidRPr="00230BC2">
        <w:t xml:space="preserve"> a contact group, co-chaired by </w:t>
      </w:r>
      <w:r w:rsidR="00BB50F4" w:rsidRPr="00230BC2">
        <w:t>Ms. </w:t>
      </w:r>
      <w:r w:rsidR="00100E65" w:rsidRPr="00230BC2">
        <w:t>Bermúdez and Hayo Haanstra (</w:t>
      </w:r>
      <w:r w:rsidR="00FD67DC" w:rsidRPr="00230BC2">
        <w:t xml:space="preserve">(Kingdom of the </w:t>
      </w:r>
      <w:r w:rsidR="00100E65" w:rsidRPr="00230BC2">
        <w:t xml:space="preserve">Netherlands), to prepare a revised version of the draft decision, including the annexes thereto, for the </w:t>
      </w:r>
      <w:r w:rsidR="00583FC8" w:rsidRPr="00230BC2">
        <w:t>G</w:t>
      </w:r>
      <w:r w:rsidR="00100E65" w:rsidRPr="00230BC2">
        <w:t>roup’s consideration.</w:t>
      </w:r>
    </w:p>
    <w:p w14:paraId="2AA562E6" w14:textId="37D637FA" w:rsidR="00100E65" w:rsidRPr="00230BC2" w:rsidRDefault="00D72CE1" w:rsidP="003466FC">
      <w:pPr>
        <w:pStyle w:val="Para1"/>
      </w:pPr>
      <w:r w:rsidRPr="00230BC2">
        <w:t>D</w:t>
      </w:r>
      <w:r w:rsidR="00100E65" w:rsidRPr="00230BC2">
        <w:t xml:space="preserve">uring its </w:t>
      </w:r>
      <w:r w:rsidR="00E67935" w:rsidRPr="00230BC2">
        <w:t>3rd</w:t>
      </w:r>
      <w:r w:rsidR="00100E65" w:rsidRPr="00230BC2">
        <w:t xml:space="preserve"> plenary session, the Conference of the Parties agreed that </w:t>
      </w:r>
      <w:r w:rsidR="00B26B0F" w:rsidRPr="00230BC2">
        <w:t xml:space="preserve">its </w:t>
      </w:r>
      <w:r w:rsidR="00100E65" w:rsidRPr="00230BC2">
        <w:t>President would prepare a set of texts constituting a package covering the agenda items closely related to the post</w:t>
      </w:r>
      <w:r w:rsidR="00B60BC8" w:rsidRPr="00230BC2">
        <w:noBreakHyphen/>
      </w:r>
      <w:r w:rsidR="00100E65" w:rsidRPr="00230BC2">
        <w:t xml:space="preserve">2020 global biodiversity framework, including </w:t>
      </w:r>
      <w:r w:rsidR="00D8333C" w:rsidRPr="00230BC2">
        <w:t>sub-</w:t>
      </w:r>
      <w:r w:rsidR="00100E65" w:rsidRPr="00230BC2">
        <w:t xml:space="preserve">item 13 A, for consideration </w:t>
      </w:r>
      <w:r w:rsidR="00F30F23" w:rsidRPr="00230BC2">
        <w:t>by</w:t>
      </w:r>
      <w:r w:rsidR="00100E65" w:rsidRPr="00230BC2">
        <w:t xml:space="preserve"> the Conference of the Parties.</w:t>
      </w:r>
    </w:p>
    <w:p w14:paraId="689BB40C" w14:textId="302E4CDC" w:rsidR="00852971" w:rsidRPr="00230BC2" w:rsidRDefault="00852971" w:rsidP="003466FC">
      <w:pPr>
        <w:pStyle w:val="Para1"/>
      </w:pPr>
      <w:r w:rsidRPr="00230BC2">
        <w:t xml:space="preserve">At </w:t>
      </w:r>
      <w:r w:rsidR="00893FBA" w:rsidRPr="00230BC2">
        <w:t xml:space="preserve">its </w:t>
      </w:r>
      <w:r w:rsidR="00E67935" w:rsidRPr="00230BC2">
        <w:t>4th</w:t>
      </w:r>
      <w:r w:rsidRPr="00230BC2">
        <w:t xml:space="preserve"> plenary session</w:t>
      </w:r>
      <w:r w:rsidR="00893FBA" w:rsidRPr="00230BC2">
        <w:t>,</w:t>
      </w:r>
      <w:r w:rsidRPr="00230BC2">
        <w:t xml:space="preserve"> the Conference of the Parties considered draft decision CBD/COP/15/L.28</w:t>
      </w:r>
      <w:r w:rsidR="00252810" w:rsidRPr="00230BC2">
        <w:t>,</w:t>
      </w:r>
      <w:r w:rsidRPr="00230BC2">
        <w:t xml:space="preserve"> as </w:t>
      </w:r>
      <w:r w:rsidR="00252810" w:rsidRPr="00230BC2">
        <w:t xml:space="preserve">set out </w:t>
      </w:r>
      <w:r w:rsidR="00F65F0D" w:rsidRPr="00230BC2">
        <w:t>in</w:t>
      </w:r>
      <w:r w:rsidRPr="00230BC2">
        <w:t xml:space="preserve"> </w:t>
      </w:r>
      <w:r w:rsidR="007D61B4" w:rsidRPr="00230BC2">
        <w:t>the</w:t>
      </w:r>
      <w:r w:rsidRPr="00230BC2">
        <w:t xml:space="preserve"> set of draft decisions submitted by the President, and adopted it as decision 15/</w:t>
      </w:r>
      <w:r w:rsidR="00E969C4" w:rsidRPr="00230BC2">
        <w:t>8</w:t>
      </w:r>
      <w:r w:rsidRPr="00230BC2">
        <w:t>.</w:t>
      </w:r>
    </w:p>
    <w:p w14:paraId="50296B96" w14:textId="648609D4" w:rsidR="0061275F" w:rsidRPr="006A311F" w:rsidRDefault="0061275F" w:rsidP="006A311F">
      <w:pPr>
        <w:keepNext/>
        <w:suppressLineNumbers/>
        <w:tabs>
          <w:tab w:val="left" w:pos="567"/>
        </w:tabs>
        <w:suppressAutoHyphens/>
        <w:kinsoku w:val="0"/>
        <w:overflowPunct w:val="0"/>
        <w:autoSpaceDE w:val="0"/>
        <w:autoSpaceDN w:val="0"/>
        <w:adjustRightInd w:val="0"/>
        <w:snapToGrid w:val="0"/>
        <w:spacing w:before="240" w:after="120"/>
        <w:jc w:val="center"/>
        <w:rPr>
          <w:b/>
          <w:bCs/>
          <w:snapToGrid w:val="0"/>
          <w:kern w:val="22"/>
          <w:szCs w:val="22"/>
        </w:rPr>
      </w:pPr>
      <w:bookmarkStart w:id="445" w:name="_Toc150438846"/>
      <w:r w:rsidRPr="006A311F">
        <w:rPr>
          <w:b/>
          <w:bCs/>
          <w:snapToGrid w:val="0"/>
          <w:kern w:val="22"/>
          <w:szCs w:val="22"/>
        </w:rPr>
        <w:t>B.</w:t>
      </w:r>
      <w:r w:rsidRPr="006A311F">
        <w:rPr>
          <w:b/>
          <w:bCs/>
          <w:snapToGrid w:val="0"/>
          <w:kern w:val="22"/>
          <w:szCs w:val="22"/>
        </w:rPr>
        <w:tab/>
        <w:t>Knowledge management</w:t>
      </w:r>
      <w:bookmarkEnd w:id="445"/>
    </w:p>
    <w:p w14:paraId="1EE21240" w14:textId="58A7E468" w:rsidR="000C4194" w:rsidRPr="00230BC2" w:rsidRDefault="000C4194" w:rsidP="003466FC">
      <w:pPr>
        <w:pStyle w:val="Para1"/>
      </w:pPr>
      <w:r w:rsidRPr="00230BC2">
        <w:t xml:space="preserve">Working </w:t>
      </w:r>
      <w:r w:rsidR="003873C8" w:rsidRPr="00230BC2">
        <w:t>G</w:t>
      </w:r>
      <w:r w:rsidRPr="00230BC2">
        <w:t xml:space="preserve">roup I </w:t>
      </w:r>
      <w:r w:rsidR="00B3219B" w:rsidRPr="00230BC2">
        <w:t>considered</w:t>
      </w:r>
      <w:r w:rsidRPr="00230BC2">
        <w:t xml:space="preserve"> sub-item 13 B </w:t>
      </w:r>
      <w:r w:rsidR="00644127" w:rsidRPr="00230BC2">
        <w:t xml:space="preserve">of the agenda </w:t>
      </w:r>
      <w:r w:rsidRPr="00230BC2">
        <w:t xml:space="preserve">at its </w:t>
      </w:r>
      <w:r w:rsidR="00E67935" w:rsidRPr="00230BC2">
        <w:t>1st</w:t>
      </w:r>
      <w:r w:rsidRPr="00230BC2">
        <w:t xml:space="preserve"> meeting. </w:t>
      </w:r>
      <w:r w:rsidR="006C16AF" w:rsidRPr="00230BC2">
        <w:t xml:space="preserve">It </w:t>
      </w:r>
      <w:r w:rsidRPr="00230BC2">
        <w:t>had before it a draft decision on knowledge management, based on recommendation 3/10 of the Subsidiary Body on Implementation</w:t>
      </w:r>
      <w:r w:rsidR="00693A22" w:rsidRPr="00230BC2">
        <w:t>,</w:t>
      </w:r>
      <w:r w:rsidRPr="00230BC2">
        <w:t xml:space="preserve"> </w:t>
      </w:r>
      <w:r w:rsidR="00693A22" w:rsidRPr="00230BC2">
        <w:t>as</w:t>
      </w:r>
      <w:r w:rsidRPr="00230BC2">
        <w:t xml:space="preserve"> set out in the compilation of draft decisions</w:t>
      </w:r>
      <w:r w:rsidR="00373A92" w:rsidRPr="00230BC2">
        <w:t>,</w:t>
      </w:r>
      <w:r w:rsidRPr="00230BC2">
        <w:t xml:space="preserve"> </w:t>
      </w:r>
      <w:r w:rsidR="0028496F" w:rsidRPr="00230BC2">
        <w:t xml:space="preserve">and </w:t>
      </w:r>
      <w:r w:rsidRPr="00230BC2">
        <w:t>a note by the Executive Secretary setting out a progress report on knowledge management and the clearing-house mechanism (CBD/COP/15/INF/9).</w:t>
      </w:r>
    </w:p>
    <w:p w14:paraId="61E2DBEB" w14:textId="1EECC354" w:rsidR="000C4194" w:rsidRPr="00230BC2" w:rsidRDefault="00B369DE" w:rsidP="003466FC">
      <w:pPr>
        <w:pStyle w:val="Para1"/>
      </w:pPr>
      <w:r w:rsidRPr="00230BC2">
        <w:t>W</w:t>
      </w:r>
      <w:r w:rsidR="000C4194" w:rsidRPr="00230BC2">
        <w:t xml:space="preserve">orking </w:t>
      </w:r>
      <w:r w:rsidRPr="00230BC2">
        <w:t>G</w:t>
      </w:r>
      <w:r w:rsidR="000C4194" w:rsidRPr="00230BC2">
        <w:t xml:space="preserve">roup </w:t>
      </w:r>
      <w:r w:rsidRPr="00230BC2">
        <w:t xml:space="preserve">I </w:t>
      </w:r>
      <w:r w:rsidR="000C4194" w:rsidRPr="00230BC2">
        <w:t>request</w:t>
      </w:r>
      <w:r w:rsidR="00F01532" w:rsidRPr="00230BC2">
        <w:t>ed</w:t>
      </w:r>
      <w:r w:rsidR="000C4194" w:rsidRPr="00230BC2">
        <w:t xml:space="preserve"> the contact group established under sub-item</w:t>
      </w:r>
      <w:r w:rsidR="00E879C8" w:rsidRPr="00230BC2">
        <w:t> </w:t>
      </w:r>
      <w:r w:rsidR="000C4194" w:rsidRPr="00230BC2">
        <w:t>13 A to also address sub</w:t>
      </w:r>
      <w:r w:rsidR="00B75766" w:rsidRPr="00230BC2">
        <w:noBreakHyphen/>
      </w:r>
      <w:r w:rsidR="000C4194" w:rsidRPr="00230BC2">
        <w:t>item</w:t>
      </w:r>
      <w:r w:rsidR="00C11C5B" w:rsidRPr="00230BC2">
        <w:t xml:space="preserve"> </w:t>
      </w:r>
      <w:r w:rsidR="000C4194" w:rsidRPr="00230BC2">
        <w:t>13 B, including the proposed draft decision, focusing on determining a way forward, once it had finished its work on capacity-building.</w:t>
      </w:r>
    </w:p>
    <w:p w14:paraId="255B7FAD" w14:textId="06911C80" w:rsidR="000C4194" w:rsidRPr="00230BC2" w:rsidRDefault="000C4194" w:rsidP="003466FC">
      <w:pPr>
        <w:pStyle w:val="Para1"/>
      </w:pPr>
      <w:r w:rsidRPr="00230BC2">
        <w:t xml:space="preserve">At its </w:t>
      </w:r>
      <w:r w:rsidR="00E67935" w:rsidRPr="00230BC2">
        <w:t>4th</w:t>
      </w:r>
      <w:r w:rsidRPr="00230BC2">
        <w:t xml:space="preserve"> meeting, </w:t>
      </w:r>
      <w:r w:rsidR="003B384E" w:rsidRPr="00230BC2">
        <w:t>W</w:t>
      </w:r>
      <w:r w:rsidRPr="00230BC2">
        <w:t xml:space="preserve">orking </w:t>
      </w:r>
      <w:r w:rsidR="003B384E" w:rsidRPr="00230BC2">
        <w:t>G</w:t>
      </w:r>
      <w:r w:rsidRPr="00230BC2">
        <w:t xml:space="preserve">roup </w:t>
      </w:r>
      <w:r w:rsidR="003B384E" w:rsidRPr="00230BC2">
        <w:t xml:space="preserve">I </w:t>
      </w:r>
      <w:r w:rsidRPr="00230BC2">
        <w:t xml:space="preserve">considered a revised draft decision submitted by </w:t>
      </w:r>
      <w:r w:rsidR="00583A9B"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 xml:space="preserve">as draft decision CBD/COP/15/L.32. </w:t>
      </w:r>
    </w:p>
    <w:p w14:paraId="03696ED2" w14:textId="460A090D" w:rsidR="00612B47" w:rsidRPr="00230BC2" w:rsidRDefault="00612B47" w:rsidP="003466FC">
      <w:pPr>
        <w:pStyle w:val="Para1"/>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decision</w:t>
      </w:r>
      <w:r w:rsidR="007E5BF2" w:rsidRPr="00230BC2">
        <w:t> </w:t>
      </w:r>
      <w:r w:rsidRPr="00230BC2">
        <w:t>15/</w:t>
      </w:r>
      <w:r w:rsidR="009B3E1F" w:rsidRPr="00230BC2">
        <w:t>16</w:t>
      </w:r>
      <w:r w:rsidRPr="00230BC2">
        <w:t>.</w:t>
      </w:r>
    </w:p>
    <w:p w14:paraId="2325574E" w14:textId="0533E6EE" w:rsidR="0061275F" w:rsidRPr="006A311F" w:rsidRDefault="0061275F" w:rsidP="006A311F">
      <w:pPr>
        <w:keepNext/>
        <w:suppressLineNumbers/>
        <w:tabs>
          <w:tab w:val="left" w:pos="709"/>
        </w:tabs>
        <w:suppressAutoHyphens/>
        <w:kinsoku w:val="0"/>
        <w:overflowPunct w:val="0"/>
        <w:autoSpaceDE w:val="0"/>
        <w:autoSpaceDN w:val="0"/>
        <w:adjustRightInd w:val="0"/>
        <w:snapToGrid w:val="0"/>
        <w:spacing w:before="240" w:after="120"/>
        <w:jc w:val="center"/>
        <w:rPr>
          <w:b/>
          <w:bCs/>
          <w:snapToGrid w:val="0"/>
          <w:kern w:val="22"/>
          <w:szCs w:val="22"/>
        </w:rPr>
      </w:pPr>
      <w:bookmarkStart w:id="446" w:name="_Toc150438847"/>
      <w:r w:rsidRPr="006A311F">
        <w:rPr>
          <w:b/>
          <w:bCs/>
          <w:snapToGrid w:val="0"/>
          <w:kern w:val="22"/>
          <w:szCs w:val="22"/>
        </w:rPr>
        <w:t>C.</w:t>
      </w:r>
      <w:r w:rsidRPr="006A311F">
        <w:rPr>
          <w:b/>
          <w:bCs/>
          <w:snapToGrid w:val="0"/>
          <w:kern w:val="22"/>
          <w:szCs w:val="22"/>
        </w:rPr>
        <w:tab/>
        <w:t>Communication</w:t>
      </w:r>
      <w:bookmarkEnd w:id="446"/>
    </w:p>
    <w:p w14:paraId="36E2E92A" w14:textId="1927AFCE" w:rsidR="008848F2" w:rsidRPr="00230BC2" w:rsidRDefault="008848F2" w:rsidP="003466FC">
      <w:pPr>
        <w:pStyle w:val="Para1"/>
      </w:pPr>
      <w:r w:rsidRPr="00230BC2">
        <w:t xml:space="preserve">Working </w:t>
      </w:r>
      <w:r w:rsidR="003873C8" w:rsidRPr="00230BC2">
        <w:t>G</w:t>
      </w:r>
      <w:r w:rsidRPr="00230BC2">
        <w:t xml:space="preserve">roup I </w:t>
      </w:r>
      <w:r w:rsidR="00B3219B" w:rsidRPr="00230BC2">
        <w:t>considered</w:t>
      </w:r>
      <w:r w:rsidRPr="00230BC2">
        <w:t xml:space="preserve"> sub-item 13 C </w:t>
      </w:r>
      <w:r w:rsidR="00644127" w:rsidRPr="00230BC2">
        <w:t xml:space="preserve">of the agenda </w:t>
      </w:r>
      <w:r w:rsidRPr="00230BC2">
        <w:t xml:space="preserve">at its </w:t>
      </w:r>
      <w:r w:rsidR="00E67935" w:rsidRPr="00230BC2">
        <w:t>1st</w:t>
      </w:r>
      <w:r w:rsidRPr="00230BC2">
        <w:t xml:space="preserve"> meeting, in conjunction with sub-item 9 C </w:t>
      </w:r>
      <w:r w:rsidR="00361A79" w:rsidRPr="00230BC2">
        <w:t>(</w:t>
      </w:r>
      <w:r w:rsidRPr="00230BC2">
        <w:t xml:space="preserve">see </w:t>
      </w:r>
      <w:r w:rsidR="00F85093" w:rsidRPr="00230BC2">
        <w:t>paras. 8</w:t>
      </w:r>
      <w:r w:rsidR="0074265C" w:rsidRPr="00230BC2">
        <w:t>5</w:t>
      </w:r>
      <w:r w:rsidR="00F85093" w:rsidRPr="00230BC2">
        <w:t>–8</w:t>
      </w:r>
      <w:r w:rsidR="002916EA" w:rsidRPr="00230BC2">
        <w:t>8</w:t>
      </w:r>
      <w:r w:rsidR="00F65F0D" w:rsidRPr="00230BC2">
        <w:t>)</w:t>
      </w:r>
      <w:r w:rsidRPr="00230BC2">
        <w:t xml:space="preserve">. </w:t>
      </w:r>
    </w:p>
    <w:p w14:paraId="379BC03A" w14:textId="229028B0" w:rsidR="0061275F" w:rsidRPr="006A311F" w:rsidRDefault="0061275F" w:rsidP="006A311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bookmarkStart w:id="447" w:name="_Toc150438848"/>
      <w:r w:rsidRPr="006A311F">
        <w:rPr>
          <w:b/>
          <w:bCs/>
          <w:snapToGrid w:val="0"/>
          <w:kern w:val="22"/>
          <w:szCs w:val="22"/>
        </w:rPr>
        <w:t>Item 14.</w:t>
      </w:r>
      <w:r w:rsidRPr="006A311F">
        <w:rPr>
          <w:b/>
          <w:bCs/>
          <w:snapToGrid w:val="0"/>
          <w:kern w:val="22"/>
          <w:szCs w:val="22"/>
        </w:rPr>
        <w:tab/>
        <w:t xml:space="preserve">Mechanisms for </w:t>
      </w:r>
      <w:r w:rsidR="0056328A" w:rsidRPr="006A311F">
        <w:rPr>
          <w:b/>
          <w:bCs/>
          <w:snapToGrid w:val="0"/>
          <w:kern w:val="22"/>
          <w:szCs w:val="22"/>
        </w:rPr>
        <w:t xml:space="preserve">planning, monitoring, </w:t>
      </w:r>
      <w:r w:rsidRPr="006A311F">
        <w:rPr>
          <w:b/>
          <w:bCs/>
          <w:snapToGrid w:val="0"/>
          <w:kern w:val="22"/>
          <w:szCs w:val="22"/>
        </w:rPr>
        <w:t>reporting and review</w:t>
      </w:r>
      <w:bookmarkEnd w:id="447"/>
    </w:p>
    <w:p w14:paraId="795F8282" w14:textId="6A3160EF" w:rsidR="00130B6D" w:rsidRPr="00230BC2" w:rsidRDefault="00130B6D" w:rsidP="003466FC">
      <w:pPr>
        <w:pStyle w:val="Para1"/>
      </w:pPr>
      <w:r w:rsidRPr="00230BC2">
        <w:t xml:space="preserve">Working </w:t>
      </w:r>
      <w:r w:rsidR="003873C8" w:rsidRPr="00230BC2">
        <w:t>G</w:t>
      </w:r>
      <w:r w:rsidRPr="00230BC2">
        <w:t xml:space="preserve">roup I </w:t>
      </w:r>
      <w:r w:rsidR="00B3219B" w:rsidRPr="00230BC2">
        <w:t>considered</w:t>
      </w:r>
      <w:r w:rsidR="00A20ABE" w:rsidRPr="00230BC2">
        <w:t xml:space="preserve"> agenda</w:t>
      </w:r>
      <w:r w:rsidRPr="00230BC2">
        <w:t xml:space="preserve"> item 14 at its </w:t>
      </w:r>
      <w:r w:rsidR="00E67935" w:rsidRPr="00230BC2">
        <w:t>1st</w:t>
      </w:r>
      <w:r w:rsidRPr="00230BC2">
        <w:t xml:space="preserve"> meeting. </w:t>
      </w:r>
      <w:r w:rsidR="000A734E" w:rsidRPr="00230BC2">
        <w:t>It</w:t>
      </w:r>
      <w:r w:rsidR="00133BC4" w:rsidRPr="00230BC2">
        <w:t xml:space="preserve"> </w:t>
      </w:r>
      <w:r w:rsidRPr="00230BC2">
        <w:t>had before it a draft decision on mechanisms for planning, monitoring, reporting and review, based on recommendation 3/11 of the Subsidiary Body on Implementation</w:t>
      </w:r>
      <w:r w:rsidR="00693A22" w:rsidRPr="00230BC2">
        <w:t>,</w:t>
      </w:r>
      <w:r w:rsidRPr="00230BC2">
        <w:t xml:space="preserve"> </w:t>
      </w:r>
      <w:r w:rsidR="00693A22" w:rsidRPr="00230BC2">
        <w:t>as</w:t>
      </w:r>
      <w:r w:rsidRPr="00230BC2">
        <w:t xml:space="preserve"> set out in the compilation of draft decisions</w:t>
      </w:r>
      <w:r w:rsidR="00373A92" w:rsidRPr="00230BC2">
        <w:t>.</w:t>
      </w:r>
    </w:p>
    <w:p w14:paraId="601EB4FA" w14:textId="5E73C7E3" w:rsidR="00130B6D" w:rsidRPr="00230BC2" w:rsidRDefault="00B369DE" w:rsidP="00072FC8">
      <w:pPr>
        <w:pStyle w:val="Para1"/>
      </w:pPr>
      <w:r w:rsidRPr="00230BC2">
        <w:t>W</w:t>
      </w:r>
      <w:r w:rsidR="00130B6D" w:rsidRPr="00230BC2">
        <w:t xml:space="preserve">orking </w:t>
      </w:r>
      <w:r w:rsidRPr="00230BC2">
        <w:t>G</w:t>
      </w:r>
      <w:r w:rsidR="00130B6D" w:rsidRPr="00230BC2">
        <w:t xml:space="preserve">roup </w:t>
      </w:r>
      <w:r w:rsidRPr="00230BC2">
        <w:t xml:space="preserve">I </w:t>
      </w:r>
      <w:r w:rsidR="00130B6D" w:rsidRPr="00230BC2">
        <w:t>establish</w:t>
      </w:r>
      <w:r w:rsidR="002206DF" w:rsidRPr="00230BC2">
        <w:t>ed</w:t>
      </w:r>
      <w:r w:rsidR="00130B6D" w:rsidRPr="00230BC2">
        <w:t xml:space="preserve"> a contact group, co-chaired by </w:t>
      </w:r>
      <w:r w:rsidR="00072FC8" w:rsidRPr="00230BC2">
        <w:t>Ms. </w:t>
      </w:r>
      <w:r w:rsidR="00130B6D" w:rsidRPr="00230BC2">
        <w:t xml:space="preserve">Guthrie and Andrew Stott (United Kingdom), to prepare a revised draft decision for the </w:t>
      </w:r>
      <w:r w:rsidR="00583FC8" w:rsidRPr="00230BC2">
        <w:t>G</w:t>
      </w:r>
      <w:r w:rsidR="00130B6D" w:rsidRPr="00230BC2">
        <w:t xml:space="preserve">roup’s consideration. </w:t>
      </w:r>
    </w:p>
    <w:p w14:paraId="45A6FDDA" w14:textId="7B4761FE" w:rsidR="00130B6D" w:rsidRPr="00230BC2" w:rsidRDefault="00D72CE1" w:rsidP="003466FC">
      <w:pPr>
        <w:pStyle w:val="Para1"/>
      </w:pPr>
      <w:r w:rsidRPr="00230BC2">
        <w:t>D</w:t>
      </w:r>
      <w:r w:rsidR="00130B6D" w:rsidRPr="00230BC2">
        <w:t xml:space="preserve">uring its </w:t>
      </w:r>
      <w:r w:rsidR="00E67935" w:rsidRPr="00230BC2">
        <w:t>3rd</w:t>
      </w:r>
      <w:r w:rsidR="00130B6D" w:rsidRPr="00230BC2">
        <w:t xml:space="preserve"> plenary session, the Conference of the Parties agreed that </w:t>
      </w:r>
      <w:r w:rsidR="00B26B0F" w:rsidRPr="00230BC2">
        <w:t xml:space="preserve">its </w:t>
      </w:r>
      <w:r w:rsidR="00130B6D" w:rsidRPr="00230BC2">
        <w:t>President would prepare a set of texts constituting a package covering the agenda items closely related to the post</w:t>
      </w:r>
      <w:r w:rsidR="00B60BC8" w:rsidRPr="00230BC2">
        <w:noBreakHyphen/>
      </w:r>
      <w:r w:rsidR="00130B6D" w:rsidRPr="00230BC2">
        <w:t xml:space="preserve">2020 global biodiversity framework, including item 14, for consideration </w:t>
      </w:r>
      <w:r w:rsidR="00F30F23" w:rsidRPr="00230BC2">
        <w:t>by</w:t>
      </w:r>
      <w:r w:rsidR="00130B6D" w:rsidRPr="00230BC2">
        <w:t xml:space="preserve"> the Conference of the Parties.</w:t>
      </w:r>
    </w:p>
    <w:p w14:paraId="5107EBA9" w14:textId="7C8757D0" w:rsidR="00852971" w:rsidRPr="00230BC2" w:rsidRDefault="00852971" w:rsidP="003466FC">
      <w:pPr>
        <w:pStyle w:val="Para1"/>
      </w:pPr>
      <w:r w:rsidRPr="00230BC2">
        <w:t xml:space="preserve">At </w:t>
      </w:r>
      <w:r w:rsidR="00893FBA" w:rsidRPr="00230BC2">
        <w:t xml:space="preserve">its </w:t>
      </w:r>
      <w:r w:rsidR="00E67935" w:rsidRPr="00230BC2">
        <w:t>4th</w:t>
      </w:r>
      <w:r w:rsidRPr="00230BC2">
        <w:t xml:space="preserve"> plenary session</w:t>
      </w:r>
      <w:r w:rsidR="00893FBA" w:rsidRPr="00230BC2">
        <w:t>,</w:t>
      </w:r>
      <w:r w:rsidRPr="00230BC2">
        <w:t xml:space="preserve"> the Conference of the Parties considered draft decision CBD/COP/15/L.27</w:t>
      </w:r>
      <w:r w:rsidR="00252810" w:rsidRPr="00230BC2">
        <w:t>,</w:t>
      </w:r>
      <w:r w:rsidRPr="00230BC2">
        <w:t xml:space="preserve"> as </w:t>
      </w:r>
      <w:r w:rsidR="00252810" w:rsidRPr="00230BC2">
        <w:t xml:space="preserve">set out </w:t>
      </w:r>
      <w:r w:rsidR="00F65F0D" w:rsidRPr="00230BC2">
        <w:t>in</w:t>
      </w:r>
      <w:r w:rsidRPr="00230BC2">
        <w:t xml:space="preserve"> </w:t>
      </w:r>
      <w:r w:rsidR="007D61B4" w:rsidRPr="00230BC2">
        <w:t>the</w:t>
      </w:r>
      <w:r w:rsidRPr="00230BC2">
        <w:t xml:space="preserve"> set of draft decisions submitted by the President, and adopted it as decision</w:t>
      </w:r>
      <w:r w:rsidR="00A02D9D" w:rsidRPr="00230BC2">
        <w:t> </w:t>
      </w:r>
      <w:r w:rsidRPr="00230BC2">
        <w:t>15/</w:t>
      </w:r>
      <w:r w:rsidR="009B3E1F" w:rsidRPr="00230BC2">
        <w:t>6</w:t>
      </w:r>
      <w:r w:rsidRPr="00230BC2">
        <w:t>.</w:t>
      </w:r>
    </w:p>
    <w:p w14:paraId="0846D851" w14:textId="3FA6A380" w:rsidR="0061275F"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Item 15.</w:t>
      </w:r>
      <w:r w:rsidRPr="00EE6F7F">
        <w:rPr>
          <w:b/>
          <w:bCs/>
          <w:snapToGrid w:val="0"/>
          <w:kern w:val="22"/>
          <w:szCs w:val="22"/>
        </w:rPr>
        <w:tab/>
        <w:t>Cooperation with other conventions and international organizations</w:t>
      </w:r>
    </w:p>
    <w:p w14:paraId="769754C5" w14:textId="0FFD3E65" w:rsidR="00FF79BE" w:rsidRPr="006A311F" w:rsidRDefault="00FF79BE" w:rsidP="006A311F">
      <w:pPr>
        <w:keepNext/>
        <w:suppressLineNumbers/>
        <w:tabs>
          <w:tab w:val="left" w:pos="990"/>
        </w:tabs>
        <w:suppressAutoHyphens/>
        <w:kinsoku w:val="0"/>
        <w:overflowPunct w:val="0"/>
        <w:autoSpaceDE w:val="0"/>
        <w:autoSpaceDN w:val="0"/>
        <w:adjustRightInd w:val="0"/>
        <w:snapToGrid w:val="0"/>
        <w:spacing w:before="240" w:after="120"/>
        <w:ind w:left="1701" w:hanging="567"/>
        <w:jc w:val="left"/>
        <w:rPr>
          <w:b/>
          <w:bCs/>
          <w:snapToGrid w:val="0"/>
          <w:kern w:val="22"/>
          <w:szCs w:val="22"/>
        </w:rPr>
      </w:pPr>
      <w:bookmarkStart w:id="448" w:name="_Toc150438849"/>
      <w:r w:rsidRPr="006A311F">
        <w:rPr>
          <w:b/>
          <w:bCs/>
          <w:snapToGrid w:val="0"/>
          <w:kern w:val="22"/>
          <w:szCs w:val="22"/>
        </w:rPr>
        <w:t>A.</w:t>
      </w:r>
      <w:r w:rsidR="004928C3" w:rsidRPr="006A311F">
        <w:rPr>
          <w:b/>
          <w:bCs/>
          <w:snapToGrid w:val="0"/>
          <w:kern w:val="22"/>
          <w:szCs w:val="22"/>
        </w:rPr>
        <w:tab/>
      </w:r>
      <w:r w:rsidRPr="006A311F">
        <w:rPr>
          <w:b/>
          <w:bCs/>
          <w:snapToGrid w:val="0"/>
          <w:kern w:val="22"/>
          <w:szCs w:val="22"/>
        </w:rPr>
        <w:t>Programme of work of the Intergovernmental Science-Policy Platform on Biodiversity</w:t>
      </w:r>
      <w:r w:rsidR="004928C3" w:rsidRPr="006A311F">
        <w:rPr>
          <w:b/>
          <w:bCs/>
          <w:snapToGrid w:val="0"/>
          <w:kern w:val="22"/>
          <w:szCs w:val="22"/>
        </w:rPr>
        <w:t xml:space="preserve"> </w:t>
      </w:r>
      <w:r w:rsidRPr="006A311F">
        <w:rPr>
          <w:b/>
          <w:bCs/>
          <w:snapToGrid w:val="0"/>
          <w:kern w:val="22"/>
          <w:szCs w:val="22"/>
        </w:rPr>
        <w:t>and Ecosystem Services</w:t>
      </w:r>
      <w:bookmarkEnd w:id="448"/>
    </w:p>
    <w:p w14:paraId="61073B52" w14:textId="1980D0E8" w:rsidR="008D2937" w:rsidRPr="00230BC2" w:rsidRDefault="008D2937" w:rsidP="003466FC">
      <w:pPr>
        <w:pStyle w:val="Para1"/>
      </w:pPr>
      <w:r w:rsidRPr="00230BC2">
        <w:t xml:space="preserve">Working </w:t>
      </w:r>
      <w:r w:rsidR="003873C8" w:rsidRPr="00230BC2">
        <w:t>G</w:t>
      </w:r>
      <w:r w:rsidRPr="00230BC2">
        <w:t xml:space="preserve">roup II </w:t>
      </w:r>
      <w:r w:rsidR="00B3219B" w:rsidRPr="00230BC2">
        <w:t>considered</w:t>
      </w:r>
      <w:r w:rsidR="00A40A7E" w:rsidRPr="00230BC2">
        <w:t xml:space="preserve"> agenda</w:t>
      </w:r>
      <w:r w:rsidRPr="00230BC2">
        <w:t xml:space="preserve"> item 15 A at its </w:t>
      </w:r>
      <w:r w:rsidR="00E67935" w:rsidRPr="00230BC2">
        <w:t>2nd</w:t>
      </w:r>
      <w:r w:rsidRPr="00230BC2">
        <w:t xml:space="preserve"> meeting, on 8 December. </w:t>
      </w:r>
      <w:r w:rsidR="000A734E" w:rsidRPr="00230BC2">
        <w:t>It</w:t>
      </w:r>
      <w:r w:rsidR="003B384E" w:rsidRPr="00230BC2">
        <w:t xml:space="preserve"> </w:t>
      </w:r>
      <w:r w:rsidRPr="00230BC2">
        <w:t>had before it a draft decision, based on recommendation 24/3 of the Subsidiary Body on Scientific, Technical and Technological Advice</w:t>
      </w:r>
      <w:r w:rsidR="00693A22" w:rsidRPr="00230BC2">
        <w:t>,</w:t>
      </w:r>
      <w:r w:rsidRPr="00230BC2">
        <w:t xml:space="preserve"> </w:t>
      </w:r>
      <w:r w:rsidR="00693A22" w:rsidRPr="00230BC2">
        <w:t>as</w:t>
      </w:r>
      <w:r w:rsidRPr="00230BC2">
        <w:t xml:space="preserve"> set out in the compilation of draft decisions</w:t>
      </w:r>
      <w:r w:rsidR="00373A92" w:rsidRPr="00230BC2">
        <w:t>,</w:t>
      </w:r>
      <w:r w:rsidRPr="00230BC2">
        <w:t xml:space="preserve"> and documents </w:t>
      </w:r>
      <w:r w:rsidR="005D2179" w:rsidRPr="00230BC2">
        <w:t xml:space="preserve">containing </w:t>
      </w:r>
      <w:r w:rsidRPr="00230BC2">
        <w:t>updated information on the work of the Intergovernmental Science</w:t>
      </w:r>
      <w:r w:rsidR="00B87058" w:rsidRPr="00230BC2">
        <w:t>-</w:t>
      </w:r>
      <w:r w:rsidRPr="00230BC2">
        <w:t>Policy Platform on Biodiversity and Ecosystem Services (CBD/COP/15/13) and supporting information for possible requests to be considered in the rolling work programme up to 2030 of the Intergovernmental Science-Policy Platform on Biodiversity and Ecosystem Services (CBD/COP/15/INF/7). The Chair noted that the draft decision required updating.</w:t>
      </w:r>
    </w:p>
    <w:p w14:paraId="6D7B94CC" w14:textId="1510F78C" w:rsidR="008D2937" w:rsidRPr="00230BC2" w:rsidRDefault="00250928" w:rsidP="003466FC">
      <w:pPr>
        <w:pStyle w:val="Para1"/>
      </w:pPr>
      <w:r w:rsidRPr="00230BC2">
        <w:t xml:space="preserve">The </w:t>
      </w:r>
      <w:r w:rsidR="008D2937" w:rsidRPr="00230BC2">
        <w:t>Executive Secretary of the Intergovernmental Science-Policy Platform on Biodiversity and Ecosystem Services, made a brief presentation</w:t>
      </w:r>
      <w:r w:rsidR="002C7A16" w:rsidRPr="00230BC2">
        <w:t>,</w:t>
      </w:r>
      <w:r w:rsidR="008D2937" w:rsidRPr="00230BC2">
        <w:t xml:space="preserve"> highlighting the synergies between the work of the Platform and that of the Conference of the Parties.</w:t>
      </w:r>
    </w:p>
    <w:p w14:paraId="39085869" w14:textId="4D3B4E44" w:rsidR="008D2937" w:rsidRPr="00230BC2" w:rsidRDefault="008D2937" w:rsidP="003466FC">
      <w:pPr>
        <w:pStyle w:val="Para1"/>
      </w:pPr>
      <w:r w:rsidRPr="00230BC2">
        <w:t xml:space="preserve">Statements were made by representatives of </w:t>
      </w:r>
      <w:r w:rsidR="0051107D" w:rsidRPr="00230BC2">
        <w:t xml:space="preserve">the following Parties: </w:t>
      </w:r>
      <w:r w:rsidRPr="00230BC2">
        <w:t>Argentina, Bolivia</w:t>
      </w:r>
      <w:r w:rsidR="00AF5F84" w:rsidRPr="00230BC2">
        <w:t xml:space="preserve"> (Plurinational State of)</w:t>
      </w:r>
      <w:r w:rsidRPr="00230BC2">
        <w:t>, Bosnia and Herzegovina, Brazil, Canada, Colombia, Ecuador, European Union and its 27 member States, India, Japan, Kenya, Morocco, New Zealand, Norway, Peru, South Africa, Sudan, Switzerland, Türkiye, United Kingdom and Uruguay.</w:t>
      </w:r>
    </w:p>
    <w:p w14:paraId="10348931" w14:textId="10467493" w:rsidR="008D2937" w:rsidRPr="00230BC2" w:rsidRDefault="00B369DE" w:rsidP="003466FC">
      <w:pPr>
        <w:pStyle w:val="Para1"/>
      </w:pPr>
      <w:r w:rsidRPr="00230BC2">
        <w:t>W</w:t>
      </w:r>
      <w:r w:rsidR="008D2937" w:rsidRPr="00230BC2">
        <w:t xml:space="preserve">orking </w:t>
      </w:r>
      <w:r w:rsidRPr="00230BC2">
        <w:t>G</w:t>
      </w:r>
      <w:r w:rsidR="008D2937" w:rsidRPr="00230BC2">
        <w:t xml:space="preserve">roup </w:t>
      </w:r>
      <w:r w:rsidRPr="00230BC2">
        <w:t xml:space="preserve">II </w:t>
      </w:r>
      <w:r w:rsidR="008D2937" w:rsidRPr="00230BC2">
        <w:t>establish</w:t>
      </w:r>
      <w:r w:rsidR="002206DF" w:rsidRPr="00230BC2">
        <w:t>ed</w:t>
      </w:r>
      <w:r w:rsidR="008D2937" w:rsidRPr="00230BC2">
        <w:t xml:space="preserve"> a contact group, co-chaired by </w:t>
      </w:r>
      <w:r w:rsidR="00F96F2B" w:rsidRPr="00230BC2">
        <w:t>Mr. </w:t>
      </w:r>
      <w:r w:rsidR="008D2937" w:rsidRPr="00230BC2">
        <w:t>Ben</w:t>
      </w:r>
      <w:r w:rsidR="00A6521E" w:rsidRPr="00230BC2">
        <w:t>í</w:t>
      </w:r>
      <w:r w:rsidR="008D2937" w:rsidRPr="00230BC2">
        <w:t xml:space="preserve">tez and Janina Heim (Germany), to seek solutions to the </w:t>
      </w:r>
      <w:r w:rsidR="00D9069D" w:rsidRPr="00230BC2">
        <w:t xml:space="preserve">outstanding </w:t>
      </w:r>
      <w:r w:rsidR="008D2937" w:rsidRPr="00230BC2">
        <w:t>issues.</w:t>
      </w:r>
    </w:p>
    <w:p w14:paraId="687DA4DF" w14:textId="1C16FE48" w:rsidR="000A4BFC" w:rsidRPr="00230BC2" w:rsidRDefault="008D2937" w:rsidP="003466FC">
      <w:pPr>
        <w:pStyle w:val="Para1"/>
      </w:pPr>
      <w:r w:rsidRPr="00230BC2">
        <w:t xml:space="preserve">At its </w:t>
      </w:r>
      <w:r w:rsidR="0042766B" w:rsidRPr="00230BC2">
        <w:t>7th</w:t>
      </w:r>
      <w:r w:rsidRPr="00230BC2">
        <w:t xml:space="preserve"> meeting, on 13 December, </w:t>
      </w:r>
      <w:r w:rsidR="003B384E" w:rsidRPr="00230BC2">
        <w:t>W</w:t>
      </w:r>
      <w:r w:rsidRPr="00230BC2">
        <w:t xml:space="preserve">orking </w:t>
      </w:r>
      <w:r w:rsidR="003B384E" w:rsidRPr="00230BC2">
        <w:t>G</w:t>
      </w:r>
      <w:r w:rsidRPr="00230BC2">
        <w:t xml:space="preserve">roup </w:t>
      </w:r>
      <w:r w:rsidR="003B384E" w:rsidRPr="00230BC2">
        <w:t xml:space="preserve">II </w:t>
      </w:r>
      <w:r w:rsidRPr="00230BC2">
        <w:t xml:space="preserve">heard a report from the </w:t>
      </w:r>
      <w:r w:rsidR="004667A0" w:rsidRPr="00230BC2">
        <w:t>C</w:t>
      </w:r>
      <w:r w:rsidRPr="00230BC2">
        <w:t>o-</w:t>
      </w:r>
      <w:r w:rsidR="004667A0" w:rsidRPr="00230BC2">
        <w:t>C</w:t>
      </w:r>
      <w:r w:rsidRPr="00230BC2">
        <w:t xml:space="preserve">hairs of the contact group, following which it considered a draft decision submitted by </w:t>
      </w:r>
      <w:r w:rsidR="004667A0"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w:t>
      </w:r>
      <w:r w:rsidRPr="00230BC2">
        <w:rPr>
          <w:rFonts w:eastAsia="Batang"/>
        </w:rPr>
        <w:t>.11.</w:t>
      </w:r>
    </w:p>
    <w:p w14:paraId="76899347" w14:textId="0A0A14DD" w:rsidR="00B37794" w:rsidRPr="00230BC2" w:rsidRDefault="00B37794" w:rsidP="003466FC">
      <w:pPr>
        <w:pStyle w:val="Para1"/>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decision</w:t>
      </w:r>
      <w:r w:rsidR="00A70DEA" w:rsidRPr="00230BC2">
        <w:t> </w:t>
      </w:r>
      <w:r w:rsidRPr="00230BC2">
        <w:t>15/</w:t>
      </w:r>
      <w:r w:rsidR="002B4D07" w:rsidRPr="00230BC2">
        <w:t>19</w:t>
      </w:r>
      <w:r w:rsidRPr="00230BC2">
        <w:t>.</w:t>
      </w:r>
    </w:p>
    <w:p w14:paraId="6196138E" w14:textId="2B771858" w:rsidR="00FF79BE" w:rsidRPr="006A311F" w:rsidRDefault="00C41C95" w:rsidP="006A311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bookmarkStart w:id="449" w:name="_Toc150438850"/>
      <w:r w:rsidRPr="006A311F">
        <w:rPr>
          <w:b/>
          <w:bCs/>
          <w:snapToGrid w:val="0"/>
          <w:kern w:val="22"/>
          <w:szCs w:val="22"/>
        </w:rPr>
        <w:t>B.</w:t>
      </w:r>
      <w:r w:rsidRPr="006A311F">
        <w:rPr>
          <w:b/>
          <w:bCs/>
          <w:snapToGrid w:val="0"/>
          <w:kern w:val="22"/>
          <w:szCs w:val="22"/>
        </w:rPr>
        <w:tab/>
      </w:r>
      <w:r w:rsidR="00FF79BE" w:rsidRPr="006A311F">
        <w:rPr>
          <w:b/>
          <w:bCs/>
          <w:snapToGrid w:val="0"/>
          <w:kern w:val="22"/>
          <w:szCs w:val="22"/>
        </w:rPr>
        <w:t>Cooperation with other conventions and international organizations</w:t>
      </w:r>
      <w:bookmarkEnd w:id="449"/>
    </w:p>
    <w:p w14:paraId="1F152EFA" w14:textId="13401666" w:rsidR="004246DB" w:rsidRPr="00230BC2" w:rsidRDefault="004246DB" w:rsidP="003466FC">
      <w:pPr>
        <w:pStyle w:val="Para1"/>
      </w:pPr>
      <w:r w:rsidRPr="00230BC2">
        <w:t xml:space="preserve">Working </w:t>
      </w:r>
      <w:r w:rsidR="003873C8" w:rsidRPr="00230BC2">
        <w:t>G</w:t>
      </w:r>
      <w:r w:rsidRPr="00230BC2">
        <w:t xml:space="preserve">roup I </w:t>
      </w:r>
      <w:r w:rsidR="00B3219B" w:rsidRPr="00230BC2">
        <w:t>considered</w:t>
      </w:r>
      <w:r w:rsidR="00A2001F" w:rsidRPr="00230BC2">
        <w:t xml:space="preserve"> agenda</w:t>
      </w:r>
      <w:r w:rsidRPr="00230BC2">
        <w:t xml:space="preserve"> item 15 at its </w:t>
      </w:r>
      <w:r w:rsidR="00E67935" w:rsidRPr="00230BC2">
        <w:t>1st</w:t>
      </w:r>
      <w:r w:rsidRPr="00230BC2">
        <w:t xml:space="preserve"> meeting. </w:t>
      </w:r>
      <w:r w:rsidR="000A734E" w:rsidRPr="00230BC2">
        <w:t>It</w:t>
      </w:r>
      <w:r w:rsidR="003B384E" w:rsidRPr="00230BC2">
        <w:t xml:space="preserve"> </w:t>
      </w:r>
      <w:r w:rsidRPr="00230BC2">
        <w:t xml:space="preserve">had before it a draft decision based on recommendation 3/12 of the Subsidiary Body on Implementation, </w:t>
      </w:r>
      <w:r w:rsidR="00693A22" w:rsidRPr="00230BC2">
        <w:t xml:space="preserve">as </w:t>
      </w:r>
      <w:r w:rsidRPr="00230BC2">
        <w:t>set out in the compilation of draft decisions</w:t>
      </w:r>
      <w:r w:rsidR="00373A92" w:rsidRPr="00230BC2">
        <w:t>,</w:t>
      </w:r>
      <w:r w:rsidRPr="00230BC2">
        <w:t xml:space="preserve"> </w:t>
      </w:r>
      <w:r w:rsidR="0028496F" w:rsidRPr="00230BC2">
        <w:t xml:space="preserve">and </w:t>
      </w:r>
      <w:r w:rsidRPr="00230BC2">
        <w:t xml:space="preserve">a note by the Executive Secretary on information documents submitted by partner organizations </w:t>
      </w:r>
      <w:r w:rsidRPr="00230BC2">
        <w:rPr>
          <w:bCs/>
        </w:rPr>
        <w:t>(CBD/COP/15/14).</w:t>
      </w:r>
    </w:p>
    <w:p w14:paraId="0AB7F68E" w14:textId="7389C21B" w:rsidR="004246DB" w:rsidRPr="00230BC2" w:rsidRDefault="00B369DE" w:rsidP="003466FC">
      <w:pPr>
        <w:pStyle w:val="Para1"/>
      </w:pPr>
      <w:r w:rsidRPr="00230BC2">
        <w:t>W</w:t>
      </w:r>
      <w:r w:rsidR="004246DB" w:rsidRPr="00230BC2">
        <w:t xml:space="preserve">orking </w:t>
      </w:r>
      <w:r w:rsidRPr="00230BC2">
        <w:t>G</w:t>
      </w:r>
      <w:r w:rsidR="004246DB" w:rsidRPr="00230BC2">
        <w:t xml:space="preserve">roup </w:t>
      </w:r>
      <w:r w:rsidRPr="00230BC2">
        <w:t xml:space="preserve">I </w:t>
      </w:r>
      <w:r w:rsidR="004246DB" w:rsidRPr="00230BC2">
        <w:t xml:space="preserve">heard brief presentations by the representatives of secretariats of </w:t>
      </w:r>
      <w:r w:rsidR="004246DB" w:rsidRPr="00230BC2">
        <w:rPr>
          <w:rFonts w:eastAsia="Calibri"/>
          <w:u w:color="000000"/>
        </w:rPr>
        <w:t xml:space="preserve">conventions and organizations </w:t>
      </w:r>
      <w:r w:rsidR="002D0096" w:rsidRPr="00230BC2">
        <w:rPr>
          <w:rFonts w:eastAsia="Calibri"/>
          <w:u w:color="000000"/>
        </w:rPr>
        <w:t xml:space="preserve">the </w:t>
      </w:r>
      <w:r w:rsidR="004246DB" w:rsidRPr="00230BC2">
        <w:rPr>
          <w:rFonts w:eastAsia="Calibri"/>
          <w:u w:color="000000"/>
        </w:rPr>
        <w:t xml:space="preserve">governing bodies </w:t>
      </w:r>
      <w:r w:rsidR="002D0096" w:rsidRPr="00230BC2">
        <w:rPr>
          <w:rFonts w:eastAsia="Calibri"/>
          <w:u w:color="000000"/>
        </w:rPr>
        <w:t xml:space="preserve">of which </w:t>
      </w:r>
      <w:r w:rsidR="004246DB" w:rsidRPr="00230BC2">
        <w:rPr>
          <w:rFonts w:eastAsia="Calibri"/>
          <w:u w:color="000000"/>
        </w:rPr>
        <w:t>had recently met and addressed matters relevant to their cooperation with the Convention and to the post-2020 global biodiversity framework, namely</w:t>
      </w:r>
      <w:r w:rsidR="00D5665E" w:rsidRPr="00230BC2">
        <w:rPr>
          <w:rFonts w:eastAsia="Calibri"/>
          <w:u w:color="000000"/>
        </w:rPr>
        <w:t>,</w:t>
      </w:r>
      <w:r w:rsidR="004246DB" w:rsidRPr="00230BC2">
        <w:t xml:space="preserve"> the Convention on International Trade in Endangered Species of Wild Fauna and Flora</w:t>
      </w:r>
      <w:r w:rsidR="00E41549" w:rsidRPr="00230BC2">
        <w:t>,</w:t>
      </w:r>
      <w:r w:rsidR="004246DB" w:rsidRPr="00230BC2">
        <w:t xml:space="preserve"> the Convention on Wetlands of International Importance </w:t>
      </w:r>
      <w:r w:rsidR="00F100BD" w:rsidRPr="00230BC2">
        <w:t>e</w:t>
      </w:r>
      <w:r w:rsidR="004246DB" w:rsidRPr="00230BC2">
        <w:t>specially as Waterfowl Habitat</w:t>
      </w:r>
      <w:r w:rsidR="00E41549" w:rsidRPr="00230BC2">
        <w:t>,</w:t>
      </w:r>
      <w:r w:rsidR="004246DB" w:rsidRPr="00230BC2">
        <w:t xml:space="preserve"> the Framework Convention on the Protection and Sustainable Development of the Carpathians</w:t>
      </w:r>
      <w:r w:rsidR="00E41549" w:rsidRPr="00230BC2">
        <w:t>,</w:t>
      </w:r>
      <w:r w:rsidR="004246DB" w:rsidRPr="00230BC2">
        <w:t xml:space="preserve"> the International Treaty on Plant Genetic Resources for Food and Agriculture</w:t>
      </w:r>
      <w:r w:rsidR="00E41549" w:rsidRPr="00230BC2">
        <w:t>,</w:t>
      </w:r>
      <w:r w:rsidR="004246DB" w:rsidRPr="00230BC2">
        <w:t xml:space="preserve"> the International Whaling Commission and the United Nations Convention to Combat Desertification in Those Countries Experiencing Serious Drought and/or Desertification, Particularly in Africa.</w:t>
      </w:r>
    </w:p>
    <w:p w14:paraId="4E7A4EDF" w14:textId="77777777" w:rsidR="004246DB" w:rsidRPr="00230BC2" w:rsidRDefault="004246DB" w:rsidP="003466FC">
      <w:pPr>
        <w:pStyle w:val="Para1"/>
      </w:pPr>
      <w:r w:rsidRPr="00230BC2">
        <w:t>A statement was made by the representative of Japan.</w:t>
      </w:r>
    </w:p>
    <w:p w14:paraId="45309E13" w14:textId="744A626F" w:rsidR="004246DB" w:rsidRPr="00230BC2" w:rsidRDefault="00B369DE" w:rsidP="003466FC">
      <w:pPr>
        <w:pStyle w:val="Para1"/>
      </w:pPr>
      <w:r w:rsidRPr="00230BC2">
        <w:t>W</w:t>
      </w:r>
      <w:r w:rsidR="004246DB" w:rsidRPr="00230BC2">
        <w:t xml:space="preserve">orking </w:t>
      </w:r>
      <w:r w:rsidRPr="00230BC2">
        <w:t>G</w:t>
      </w:r>
      <w:r w:rsidR="004246DB" w:rsidRPr="00230BC2">
        <w:t xml:space="preserve">roup </w:t>
      </w:r>
      <w:r w:rsidRPr="00230BC2">
        <w:t xml:space="preserve">I </w:t>
      </w:r>
      <w:r w:rsidR="004246DB" w:rsidRPr="00230BC2">
        <w:t xml:space="preserve">agreed that </w:t>
      </w:r>
      <w:r w:rsidR="00843105" w:rsidRPr="00230BC2">
        <w:t xml:space="preserve">its </w:t>
      </w:r>
      <w:r w:rsidR="004246DB" w:rsidRPr="00230BC2">
        <w:t xml:space="preserve">Chair would hold informal consultations on the few </w:t>
      </w:r>
      <w:r w:rsidR="00D9069D" w:rsidRPr="00230BC2">
        <w:t xml:space="preserve">outstanding </w:t>
      </w:r>
      <w:r w:rsidR="004246DB" w:rsidRPr="00230BC2">
        <w:t xml:space="preserve">issues and prepare a revised draft decision for the </w:t>
      </w:r>
      <w:r w:rsidR="00583FC8" w:rsidRPr="00230BC2">
        <w:t>G</w:t>
      </w:r>
      <w:r w:rsidR="004246DB" w:rsidRPr="00230BC2">
        <w:t>roup’s consideration.</w:t>
      </w:r>
    </w:p>
    <w:p w14:paraId="497CF2A3" w14:textId="265A941F" w:rsidR="004246DB" w:rsidRPr="00230BC2" w:rsidRDefault="004246DB" w:rsidP="003466FC">
      <w:pPr>
        <w:pStyle w:val="Para1"/>
      </w:pPr>
      <w:r w:rsidRPr="00230BC2">
        <w:t xml:space="preserve">At its </w:t>
      </w:r>
      <w:r w:rsidR="00E67935" w:rsidRPr="00230BC2">
        <w:t>3rd</w:t>
      </w:r>
      <w:r w:rsidRPr="00230BC2">
        <w:t xml:space="preserve"> meeting, </w:t>
      </w:r>
      <w:r w:rsidR="006B23E2" w:rsidRPr="00230BC2">
        <w:t>W</w:t>
      </w:r>
      <w:r w:rsidRPr="00230BC2">
        <w:t xml:space="preserve">orking </w:t>
      </w:r>
      <w:r w:rsidR="006B23E2" w:rsidRPr="00230BC2">
        <w:t>G</w:t>
      </w:r>
      <w:r w:rsidRPr="00230BC2">
        <w:t xml:space="preserve">roup </w:t>
      </w:r>
      <w:r w:rsidR="006B23E2" w:rsidRPr="00230BC2">
        <w:t xml:space="preserve">I </w:t>
      </w:r>
      <w:r w:rsidRPr="00230BC2">
        <w:t xml:space="preserve">considered the revised draft decision submitted by </w:t>
      </w:r>
      <w:r w:rsidR="00583A9B"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CBD/COP/15/L.21.</w:t>
      </w:r>
    </w:p>
    <w:p w14:paraId="3B59367E" w14:textId="053DDA21" w:rsidR="004246DB" w:rsidRPr="00230BC2" w:rsidRDefault="008E1135" w:rsidP="003466FC">
      <w:pPr>
        <w:pStyle w:val="Para1"/>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orally amended, as decision</w:t>
      </w:r>
      <w:r w:rsidR="00520486" w:rsidRPr="00230BC2">
        <w:t> </w:t>
      </w:r>
      <w:r w:rsidRPr="00230BC2">
        <w:t>15/</w:t>
      </w:r>
      <w:r w:rsidR="00511310" w:rsidRPr="00230BC2">
        <w:t>13</w:t>
      </w:r>
      <w:r w:rsidRPr="00230BC2">
        <w:t>.</w:t>
      </w:r>
    </w:p>
    <w:p w14:paraId="37300B0E" w14:textId="6DE636CF" w:rsidR="004044AE"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bookmarkStart w:id="450" w:name="_Toc150438851"/>
      <w:r w:rsidRPr="00EE6F7F">
        <w:rPr>
          <w:b/>
          <w:bCs/>
          <w:snapToGrid w:val="0"/>
          <w:kern w:val="22"/>
          <w:szCs w:val="22"/>
        </w:rPr>
        <w:t>Item 16.</w:t>
      </w:r>
      <w:r w:rsidRPr="00EE6F7F">
        <w:rPr>
          <w:b/>
          <w:bCs/>
          <w:snapToGrid w:val="0"/>
          <w:kern w:val="22"/>
          <w:szCs w:val="22"/>
        </w:rPr>
        <w:tab/>
      </w:r>
      <w:r w:rsidR="004044AE" w:rsidRPr="00EE6F7F">
        <w:rPr>
          <w:b/>
          <w:bCs/>
          <w:snapToGrid w:val="0"/>
          <w:kern w:val="22"/>
          <w:szCs w:val="22"/>
        </w:rPr>
        <w:t>Mainstreaming</w:t>
      </w:r>
      <w:r w:rsidR="009033D3" w:rsidRPr="00EE6F7F">
        <w:rPr>
          <w:b/>
          <w:bCs/>
          <w:snapToGrid w:val="0"/>
          <w:kern w:val="22"/>
          <w:szCs w:val="22"/>
        </w:rPr>
        <w:t xml:space="preserve"> of biodiversity within and across sectors</w:t>
      </w:r>
      <w:bookmarkEnd w:id="450"/>
    </w:p>
    <w:p w14:paraId="70344FFC" w14:textId="511525BF" w:rsidR="009450C5" w:rsidRPr="00B1495D" w:rsidRDefault="009450C5" w:rsidP="00B1495D">
      <w:pPr>
        <w:keepNext/>
        <w:suppressLineNumbers/>
        <w:tabs>
          <w:tab w:val="left" w:pos="990"/>
        </w:tabs>
        <w:suppressAutoHyphens/>
        <w:kinsoku w:val="0"/>
        <w:overflowPunct w:val="0"/>
        <w:autoSpaceDE w:val="0"/>
        <w:autoSpaceDN w:val="0"/>
        <w:adjustRightInd w:val="0"/>
        <w:snapToGrid w:val="0"/>
        <w:spacing w:before="240" w:after="120"/>
        <w:ind w:left="1701" w:hanging="567"/>
        <w:jc w:val="left"/>
        <w:rPr>
          <w:b/>
          <w:bCs/>
          <w:snapToGrid w:val="0"/>
          <w:kern w:val="22"/>
          <w:szCs w:val="22"/>
        </w:rPr>
      </w:pPr>
      <w:bookmarkStart w:id="451" w:name="_Toc150438852"/>
      <w:r w:rsidRPr="00B1495D">
        <w:rPr>
          <w:b/>
          <w:bCs/>
          <w:snapToGrid w:val="0"/>
          <w:kern w:val="22"/>
          <w:szCs w:val="22"/>
        </w:rPr>
        <w:t>A.</w:t>
      </w:r>
      <w:r w:rsidR="001F2B81" w:rsidRPr="00B1495D">
        <w:rPr>
          <w:b/>
          <w:bCs/>
          <w:snapToGrid w:val="0"/>
          <w:kern w:val="22"/>
          <w:szCs w:val="22"/>
        </w:rPr>
        <w:tab/>
      </w:r>
      <w:r w:rsidRPr="00B1495D">
        <w:rPr>
          <w:b/>
          <w:bCs/>
          <w:snapToGrid w:val="0"/>
          <w:kern w:val="22"/>
          <w:szCs w:val="22"/>
        </w:rPr>
        <w:t xml:space="preserve">Mainstreaming of biodiversity within and across sectors: </w:t>
      </w:r>
      <w:r w:rsidR="00A02B7C" w:rsidRPr="00B1495D">
        <w:rPr>
          <w:b/>
          <w:bCs/>
          <w:snapToGrid w:val="0"/>
          <w:kern w:val="22"/>
          <w:szCs w:val="22"/>
        </w:rPr>
        <w:t>l</w:t>
      </w:r>
      <w:r w:rsidRPr="00B1495D">
        <w:rPr>
          <w:b/>
          <w:bCs/>
          <w:snapToGrid w:val="0"/>
          <w:kern w:val="22"/>
          <w:szCs w:val="22"/>
        </w:rPr>
        <w:t>ong-term strategic approach to mainstreaming biodiversity</w:t>
      </w:r>
      <w:bookmarkEnd w:id="451"/>
    </w:p>
    <w:p w14:paraId="475E7F7D" w14:textId="58AF26A1" w:rsidR="00DB6E92" w:rsidRPr="00230BC2" w:rsidRDefault="00DB6E92" w:rsidP="003466FC">
      <w:pPr>
        <w:pStyle w:val="Para1"/>
      </w:pPr>
      <w:r w:rsidRPr="00230BC2">
        <w:t xml:space="preserve">Working </w:t>
      </w:r>
      <w:r w:rsidR="003873C8" w:rsidRPr="00230BC2">
        <w:t>G</w:t>
      </w:r>
      <w:r w:rsidRPr="00230BC2">
        <w:t xml:space="preserve">roup I </w:t>
      </w:r>
      <w:r w:rsidR="00B3219B" w:rsidRPr="00230BC2">
        <w:t>considered</w:t>
      </w:r>
      <w:r w:rsidRPr="00230BC2">
        <w:t xml:space="preserve"> sub-item 16 A </w:t>
      </w:r>
      <w:r w:rsidR="00644127" w:rsidRPr="00230BC2">
        <w:t xml:space="preserve">of the agenda </w:t>
      </w:r>
      <w:r w:rsidRPr="00230BC2">
        <w:t xml:space="preserve">at its </w:t>
      </w:r>
      <w:r w:rsidR="00E67935" w:rsidRPr="00230BC2">
        <w:t>1st</w:t>
      </w:r>
      <w:r w:rsidRPr="00230BC2">
        <w:t xml:space="preserve"> meeting. </w:t>
      </w:r>
      <w:r w:rsidR="007F39A1" w:rsidRPr="00230BC2">
        <w:t xml:space="preserve">It </w:t>
      </w:r>
      <w:r w:rsidRPr="00230BC2">
        <w:t>had before it a draft decision on a long-term strategic approach to mainstreaming biodiversity, based on recommendation 3/15 of the Subsidiary Body on Implementation</w:t>
      </w:r>
      <w:r w:rsidR="001D69EF" w:rsidRPr="00230BC2">
        <w:t>,</w:t>
      </w:r>
      <w:r w:rsidRPr="00230BC2">
        <w:t xml:space="preserve"> </w:t>
      </w:r>
      <w:r w:rsidR="001D69EF" w:rsidRPr="00230BC2">
        <w:t>as</w:t>
      </w:r>
      <w:r w:rsidRPr="00230BC2">
        <w:t xml:space="preserve"> set out in the compilation of draft decisions</w:t>
      </w:r>
      <w:r w:rsidR="00373A92" w:rsidRPr="00230BC2">
        <w:t>,</w:t>
      </w:r>
      <w:r w:rsidRPr="00230BC2">
        <w:t xml:space="preserve"> </w:t>
      </w:r>
      <w:r w:rsidR="0028496F" w:rsidRPr="00230BC2">
        <w:t xml:space="preserve">and </w:t>
      </w:r>
      <w:r w:rsidRPr="00230BC2">
        <w:t xml:space="preserve">three information documents with compilations of the submissions received from Parties and observers on </w:t>
      </w:r>
      <w:r w:rsidR="000F5167" w:rsidRPr="00230BC2">
        <w:t xml:space="preserve">said </w:t>
      </w:r>
      <w:r w:rsidRPr="00230BC2">
        <w:t xml:space="preserve">approach and the voluntary action plan to complement </w:t>
      </w:r>
      <w:r w:rsidR="000F5167" w:rsidRPr="00230BC2">
        <w:t xml:space="preserve">it </w:t>
      </w:r>
      <w:r w:rsidRPr="00230BC2">
        <w:t>(CBD/COP/15/INF/10, CBD/COP/15/INF/11 and CBD/COP/15/INF/12).</w:t>
      </w:r>
    </w:p>
    <w:p w14:paraId="0F4DB794" w14:textId="77367059" w:rsidR="00DB6E92" w:rsidRPr="00230BC2" w:rsidRDefault="00B369DE" w:rsidP="003466FC">
      <w:pPr>
        <w:pStyle w:val="Para1"/>
      </w:pPr>
      <w:r w:rsidRPr="00230BC2">
        <w:t>W</w:t>
      </w:r>
      <w:r w:rsidR="00DB6E92" w:rsidRPr="00230BC2">
        <w:t xml:space="preserve">orking </w:t>
      </w:r>
      <w:r w:rsidRPr="00230BC2">
        <w:t>G</w:t>
      </w:r>
      <w:r w:rsidR="00DB6E92" w:rsidRPr="00230BC2">
        <w:t xml:space="preserve">roup </w:t>
      </w:r>
      <w:r w:rsidRPr="00230BC2">
        <w:t xml:space="preserve">I </w:t>
      </w:r>
      <w:r w:rsidR="00DB6E92" w:rsidRPr="00230BC2">
        <w:t>establish</w:t>
      </w:r>
      <w:r w:rsidR="002206DF" w:rsidRPr="00230BC2">
        <w:t>ed</w:t>
      </w:r>
      <w:r w:rsidR="00DB6E92" w:rsidRPr="00230BC2">
        <w:t xml:space="preserve"> a contact group, co-chaired by Carlos Albuquerque (</w:t>
      </w:r>
      <w:r w:rsidR="00496DCB" w:rsidRPr="00230BC2">
        <w:t>Portugal</w:t>
      </w:r>
      <w:r w:rsidR="00DB6E92" w:rsidRPr="00230BC2">
        <w:t>) and Stanislas Mouba (Gabon), with the mandate to discuss the issue and prepare a proposal on the way forward.</w:t>
      </w:r>
    </w:p>
    <w:p w14:paraId="4A16D19B" w14:textId="33E2D8EB" w:rsidR="00DB6E92" w:rsidRPr="00230BC2" w:rsidRDefault="00DB6E92" w:rsidP="003466FC">
      <w:pPr>
        <w:pStyle w:val="Para1"/>
      </w:pPr>
      <w:r w:rsidRPr="00230BC2">
        <w:t xml:space="preserve">At its </w:t>
      </w:r>
      <w:r w:rsidR="00E67935" w:rsidRPr="00230BC2">
        <w:t>4th</w:t>
      </w:r>
      <w:r w:rsidRPr="00230BC2">
        <w:t xml:space="preserve"> meeting, </w:t>
      </w:r>
      <w:r w:rsidR="006B23E2" w:rsidRPr="00230BC2">
        <w:t>W</w:t>
      </w:r>
      <w:r w:rsidRPr="00230BC2">
        <w:t xml:space="preserve">orking </w:t>
      </w:r>
      <w:r w:rsidR="006B23E2" w:rsidRPr="00230BC2">
        <w:t>G</w:t>
      </w:r>
      <w:r w:rsidRPr="00230BC2">
        <w:t xml:space="preserve">roup </w:t>
      </w:r>
      <w:r w:rsidR="006B23E2" w:rsidRPr="00230BC2">
        <w:t xml:space="preserve">I </w:t>
      </w:r>
      <w:r w:rsidRPr="00230BC2">
        <w:t xml:space="preserve">considered a revised draft decision submitted by </w:t>
      </w:r>
      <w:r w:rsidR="00820031"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 xml:space="preserve">as draft decision CBD/COP/15/L.34. </w:t>
      </w:r>
    </w:p>
    <w:p w14:paraId="685F058D" w14:textId="30E5DC56" w:rsidR="000B40E1" w:rsidRPr="00230BC2" w:rsidRDefault="000B40E1" w:rsidP="003466FC">
      <w:pPr>
        <w:pStyle w:val="Para1"/>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decision</w:t>
      </w:r>
      <w:r w:rsidR="003809E1" w:rsidRPr="00230BC2">
        <w:t> </w:t>
      </w:r>
      <w:r w:rsidRPr="00230BC2">
        <w:t>15/</w:t>
      </w:r>
      <w:r w:rsidR="00B71135" w:rsidRPr="00230BC2">
        <w:t>17</w:t>
      </w:r>
      <w:r w:rsidRPr="00230BC2">
        <w:t>.</w:t>
      </w:r>
    </w:p>
    <w:p w14:paraId="3EA2BB26" w14:textId="789BB11F" w:rsidR="00735756" w:rsidRPr="00B1495D" w:rsidRDefault="00735756" w:rsidP="00B1495D">
      <w:pPr>
        <w:keepNext/>
        <w:suppressLineNumbers/>
        <w:tabs>
          <w:tab w:val="left" w:pos="990"/>
        </w:tabs>
        <w:suppressAutoHyphens/>
        <w:kinsoku w:val="0"/>
        <w:overflowPunct w:val="0"/>
        <w:autoSpaceDE w:val="0"/>
        <w:autoSpaceDN w:val="0"/>
        <w:adjustRightInd w:val="0"/>
        <w:snapToGrid w:val="0"/>
        <w:spacing w:before="240" w:after="120"/>
        <w:ind w:left="1701" w:hanging="567"/>
        <w:jc w:val="left"/>
        <w:rPr>
          <w:b/>
          <w:bCs/>
          <w:snapToGrid w:val="0"/>
          <w:kern w:val="22"/>
          <w:szCs w:val="22"/>
        </w:rPr>
      </w:pPr>
      <w:bookmarkStart w:id="452" w:name="_Toc150438853"/>
      <w:r w:rsidRPr="00B1495D">
        <w:rPr>
          <w:b/>
          <w:bCs/>
          <w:snapToGrid w:val="0"/>
          <w:kern w:val="22"/>
          <w:szCs w:val="22"/>
        </w:rPr>
        <w:t>B.</w:t>
      </w:r>
      <w:bookmarkStart w:id="453" w:name="_Hlk103362762"/>
      <w:r w:rsidR="001F2B81" w:rsidRPr="00B1495D">
        <w:rPr>
          <w:b/>
          <w:bCs/>
          <w:snapToGrid w:val="0"/>
          <w:kern w:val="22"/>
          <w:szCs w:val="22"/>
        </w:rPr>
        <w:tab/>
      </w:r>
      <w:r w:rsidRPr="00B1495D">
        <w:rPr>
          <w:b/>
          <w:bCs/>
          <w:snapToGrid w:val="0"/>
          <w:kern w:val="22"/>
          <w:szCs w:val="22"/>
        </w:rPr>
        <w:t>Engagement with subnational governments, cities and other local authorities to enhance implementation of the post-2020 global biodiversity framework</w:t>
      </w:r>
      <w:bookmarkEnd w:id="452"/>
      <w:bookmarkEnd w:id="453"/>
    </w:p>
    <w:p w14:paraId="73DA78EE" w14:textId="6F5305E2" w:rsidR="00DE76BF" w:rsidRPr="00230BC2" w:rsidRDefault="00DE76BF" w:rsidP="003466FC">
      <w:pPr>
        <w:pStyle w:val="Para1"/>
      </w:pPr>
      <w:r w:rsidRPr="00230BC2">
        <w:t xml:space="preserve">Working </w:t>
      </w:r>
      <w:r w:rsidR="003873C8" w:rsidRPr="00230BC2">
        <w:t>G</w:t>
      </w:r>
      <w:r w:rsidRPr="00230BC2">
        <w:t xml:space="preserve">roup I </w:t>
      </w:r>
      <w:r w:rsidR="00B3219B" w:rsidRPr="00230BC2">
        <w:t>considered</w:t>
      </w:r>
      <w:r w:rsidRPr="00230BC2">
        <w:t xml:space="preserve"> sub-item 16 B </w:t>
      </w:r>
      <w:r w:rsidR="00644127" w:rsidRPr="00230BC2">
        <w:t xml:space="preserve">of the agenda </w:t>
      </w:r>
      <w:r w:rsidRPr="00230BC2">
        <w:t xml:space="preserve">at its </w:t>
      </w:r>
      <w:r w:rsidR="00E67935" w:rsidRPr="00230BC2">
        <w:t>1st</w:t>
      </w:r>
      <w:r w:rsidRPr="00230BC2">
        <w:t xml:space="preserve"> meeting</w:t>
      </w:r>
      <w:r w:rsidR="00566F86" w:rsidRPr="00230BC2">
        <w:t>.</w:t>
      </w:r>
      <w:r w:rsidRPr="00230BC2">
        <w:t xml:space="preserve"> </w:t>
      </w:r>
      <w:r w:rsidR="00566F86" w:rsidRPr="00230BC2">
        <w:t xml:space="preserve">It </w:t>
      </w:r>
      <w:r w:rsidRPr="00230BC2">
        <w:t>had before it a draft decision based on recommendation 3/14 of the Subsidiary Body on Implementation</w:t>
      </w:r>
      <w:r w:rsidR="001D69EF" w:rsidRPr="00230BC2">
        <w:t>,</w:t>
      </w:r>
      <w:r w:rsidRPr="00230BC2">
        <w:t xml:space="preserve"> </w:t>
      </w:r>
      <w:r w:rsidR="001D69EF" w:rsidRPr="00230BC2">
        <w:t>as</w:t>
      </w:r>
      <w:r w:rsidRPr="00230BC2">
        <w:t xml:space="preserve"> set out in the compilation of draft decisions</w:t>
      </w:r>
      <w:r w:rsidR="00373A92" w:rsidRPr="00230BC2">
        <w:t>.</w:t>
      </w:r>
      <w:r w:rsidRPr="00230BC2">
        <w:t xml:space="preserve"> </w:t>
      </w:r>
    </w:p>
    <w:p w14:paraId="1F5E2AB0" w14:textId="51409FC2" w:rsidR="00DE76BF" w:rsidRPr="00230BC2" w:rsidRDefault="00B369DE" w:rsidP="003466FC">
      <w:pPr>
        <w:pStyle w:val="Para1"/>
      </w:pPr>
      <w:r w:rsidRPr="00230BC2">
        <w:t>W</w:t>
      </w:r>
      <w:r w:rsidR="00DE76BF" w:rsidRPr="00230BC2">
        <w:t xml:space="preserve">orking </w:t>
      </w:r>
      <w:r w:rsidRPr="00230BC2">
        <w:t>G</w:t>
      </w:r>
      <w:r w:rsidR="00DE76BF" w:rsidRPr="00230BC2">
        <w:t xml:space="preserve">roup </w:t>
      </w:r>
      <w:r w:rsidRPr="00230BC2">
        <w:t xml:space="preserve">I </w:t>
      </w:r>
      <w:r w:rsidR="00DE76BF" w:rsidRPr="00230BC2">
        <w:t xml:space="preserve">agreed that </w:t>
      </w:r>
      <w:r w:rsidR="00843105" w:rsidRPr="00230BC2">
        <w:t xml:space="preserve">its </w:t>
      </w:r>
      <w:r w:rsidR="00DE76BF" w:rsidRPr="00230BC2">
        <w:t xml:space="preserve">Chair would hold informal consultations on the few </w:t>
      </w:r>
      <w:r w:rsidR="00D9069D" w:rsidRPr="00230BC2">
        <w:t xml:space="preserve">outstanding </w:t>
      </w:r>
      <w:r w:rsidR="00DE76BF" w:rsidRPr="00230BC2">
        <w:t xml:space="preserve">issues and prepare a revised draft decision for the </w:t>
      </w:r>
      <w:r w:rsidR="00583FC8" w:rsidRPr="00230BC2">
        <w:t>G</w:t>
      </w:r>
      <w:r w:rsidR="00DE76BF" w:rsidRPr="00230BC2">
        <w:t>roup’s consideration.</w:t>
      </w:r>
    </w:p>
    <w:p w14:paraId="13E5B0F5" w14:textId="72B00655" w:rsidR="00DE76BF" w:rsidRPr="00230BC2" w:rsidRDefault="00DE76BF" w:rsidP="003466FC">
      <w:pPr>
        <w:pStyle w:val="Para1"/>
      </w:pPr>
      <w:r w:rsidRPr="00230BC2">
        <w:t xml:space="preserve">At its </w:t>
      </w:r>
      <w:r w:rsidR="00E67935" w:rsidRPr="00230BC2">
        <w:t>3rd</w:t>
      </w:r>
      <w:r w:rsidRPr="00230BC2">
        <w:t xml:space="preserve"> meeting, </w:t>
      </w:r>
      <w:r w:rsidR="006B23E2" w:rsidRPr="00230BC2">
        <w:t>W</w:t>
      </w:r>
      <w:r w:rsidRPr="00230BC2">
        <w:t xml:space="preserve">orking </w:t>
      </w:r>
      <w:r w:rsidR="006B23E2" w:rsidRPr="00230BC2">
        <w:t>G</w:t>
      </w:r>
      <w:r w:rsidRPr="00230BC2">
        <w:t xml:space="preserve">roup </w:t>
      </w:r>
      <w:r w:rsidR="006B23E2" w:rsidRPr="00230BC2">
        <w:t xml:space="preserve">I </w:t>
      </w:r>
      <w:r w:rsidRPr="00230BC2">
        <w:t xml:space="preserve">considered the revised draft decision submitted by </w:t>
      </w:r>
      <w:r w:rsidR="00583A9B"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CBD/COP/15/L.22.</w:t>
      </w:r>
    </w:p>
    <w:p w14:paraId="0EFFA2B4" w14:textId="7D42997E" w:rsidR="003B34E2" w:rsidRPr="00230BC2" w:rsidRDefault="003B34E2" w:rsidP="003466FC">
      <w:pPr>
        <w:pStyle w:val="Para1"/>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decision</w:t>
      </w:r>
      <w:r w:rsidR="00030CC4" w:rsidRPr="00230BC2">
        <w:t> </w:t>
      </w:r>
      <w:r w:rsidRPr="00230BC2">
        <w:t>15/</w:t>
      </w:r>
      <w:r w:rsidR="0088082D" w:rsidRPr="00230BC2">
        <w:t>12</w:t>
      </w:r>
      <w:r w:rsidRPr="00230BC2">
        <w:t>.</w:t>
      </w:r>
    </w:p>
    <w:p w14:paraId="15A9A145" w14:textId="56354198" w:rsidR="0061275F" w:rsidRPr="00EE6F7F" w:rsidRDefault="009033D3"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 xml:space="preserve">Item </w:t>
      </w:r>
      <w:r w:rsidR="00CD702A" w:rsidRPr="00EE6F7F">
        <w:rPr>
          <w:b/>
          <w:bCs/>
          <w:snapToGrid w:val="0"/>
          <w:kern w:val="22"/>
          <w:szCs w:val="22"/>
        </w:rPr>
        <w:t>17.</w:t>
      </w:r>
      <w:r w:rsidR="00CD3F44" w:rsidRPr="00EE6F7F">
        <w:rPr>
          <w:b/>
          <w:bCs/>
          <w:snapToGrid w:val="0"/>
          <w:kern w:val="22"/>
          <w:szCs w:val="22"/>
        </w:rPr>
        <w:t xml:space="preserve"> </w:t>
      </w:r>
      <w:r w:rsidR="0061275F" w:rsidRPr="00EE6F7F">
        <w:rPr>
          <w:b/>
          <w:bCs/>
          <w:snapToGrid w:val="0"/>
          <w:kern w:val="22"/>
          <w:szCs w:val="22"/>
        </w:rPr>
        <w:t xml:space="preserve">Review of the effectiveness of processes under the Convention and its Protocols </w:t>
      </w:r>
    </w:p>
    <w:p w14:paraId="665F843C" w14:textId="41B4AB0F" w:rsidR="00180B37" w:rsidRPr="00230BC2" w:rsidRDefault="00180B37" w:rsidP="003466FC">
      <w:pPr>
        <w:pStyle w:val="Para1"/>
        <w:rPr>
          <w:bCs/>
        </w:rPr>
      </w:pPr>
      <w:r w:rsidRPr="00230BC2">
        <w:t xml:space="preserve">Working </w:t>
      </w:r>
      <w:r w:rsidR="003873C8" w:rsidRPr="00230BC2">
        <w:t>G</w:t>
      </w:r>
      <w:r w:rsidRPr="00230BC2">
        <w:t xml:space="preserve">roup II </w:t>
      </w:r>
      <w:r w:rsidR="00B3219B" w:rsidRPr="00230BC2">
        <w:t>considered</w:t>
      </w:r>
      <w:r w:rsidR="00A2001F" w:rsidRPr="00230BC2">
        <w:t xml:space="preserve"> agenda</w:t>
      </w:r>
      <w:r w:rsidRPr="00230BC2">
        <w:t xml:space="preserve"> item 17 at its </w:t>
      </w:r>
      <w:r w:rsidR="00E67935" w:rsidRPr="00230BC2">
        <w:t>2nd</w:t>
      </w:r>
      <w:r w:rsidRPr="00230BC2">
        <w:t xml:space="preserve"> meeting, </w:t>
      </w:r>
      <w:r w:rsidR="00E53E66" w:rsidRPr="00230BC2">
        <w:t>in conjunction</w:t>
      </w:r>
      <w:r w:rsidRPr="00230BC2">
        <w:t xml:space="preserve"> with </w:t>
      </w:r>
      <w:r w:rsidR="00A2001F" w:rsidRPr="00230BC2">
        <w:t xml:space="preserve">agenda </w:t>
      </w:r>
      <w:r w:rsidRPr="00230BC2">
        <w:t>item</w:t>
      </w:r>
      <w:r w:rsidR="004216FC" w:rsidRPr="00230BC2">
        <w:t> </w:t>
      </w:r>
      <w:r w:rsidRPr="00230BC2">
        <w:t xml:space="preserve">13 </w:t>
      </w:r>
      <w:r w:rsidR="00343C2E" w:rsidRPr="00230BC2">
        <w:t xml:space="preserve">of </w:t>
      </w:r>
      <w:r w:rsidR="00E53E66" w:rsidRPr="00230BC2">
        <w:t xml:space="preserve">the </w:t>
      </w:r>
      <w:r w:rsidR="00F432C6" w:rsidRPr="00230BC2">
        <w:t xml:space="preserve">tenth meeting of </w:t>
      </w:r>
      <w:r w:rsidRPr="00230BC2">
        <w:t xml:space="preserve">the Conference of the Parties serving as the meeting of the Parties to the Cartagena Protocol and </w:t>
      </w:r>
      <w:r w:rsidR="00740F95" w:rsidRPr="00230BC2">
        <w:t xml:space="preserve">agenda </w:t>
      </w:r>
      <w:r w:rsidRPr="00230BC2">
        <w:t>item</w:t>
      </w:r>
      <w:r w:rsidR="00740F95" w:rsidRPr="00230BC2">
        <w:t> </w:t>
      </w:r>
      <w:r w:rsidRPr="00230BC2">
        <w:t xml:space="preserve">12 </w:t>
      </w:r>
      <w:r w:rsidR="00343C2E" w:rsidRPr="00230BC2">
        <w:t xml:space="preserve">of </w:t>
      </w:r>
      <w:r w:rsidR="00F432C6" w:rsidRPr="00230BC2">
        <w:t xml:space="preserve">the fourth meeting of </w:t>
      </w:r>
      <w:r w:rsidRPr="00230BC2">
        <w:t xml:space="preserve">the Conference of the Parties serving as the meeting of the Parties to the Nagoya Protocol. </w:t>
      </w:r>
      <w:r w:rsidR="0017671B" w:rsidRPr="00230BC2">
        <w:t xml:space="preserve">It </w:t>
      </w:r>
      <w:r w:rsidRPr="00230BC2">
        <w:t>had before it a draft decision based on recommendation 3/13 of the Subsidiary Body on Implementation</w:t>
      </w:r>
      <w:r w:rsidR="001D69EF" w:rsidRPr="00230BC2">
        <w:t>,</w:t>
      </w:r>
      <w:r w:rsidRPr="00230BC2">
        <w:t xml:space="preserve"> </w:t>
      </w:r>
      <w:r w:rsidR="001D69EF" w:rsidRPr="00230BC2">
        <w:t>as</w:t>
      </w:r>
      <w:r w:rsidRPr="00230BC2">
        <w:t xml:space="preserve"> set out in the compilations of draft decisions of the three </w:t>
      </w:r>
      <w:r w:rsidR="00884704" w:rsidRPr="00230BC2">
        <w:t xml:space="preserve">bodies </w:t>
      </w:r>
      <w:r w:rsidRPr="00230BC2">
        <w:t>(CBD/COP/15/2</w:t>
      </w:r>
      <w:r w:rsidR="009354B4" w:rsidRPr="00230BC2">
        <w:t>,</w:t>
      </w:r>
      <w:r w:rsidRPr="00230BC2">
        <w:t xml:space="preserve"> CBD/CP/MOP/10/1/Add.5 and CBD/NP/MOP/4/1/Add.5</w:t>
      </w:r>
      <w:r w:rsidR="00B61BB6" w:rsidRPr="00230BC2">
        <w:t>, respectively</w:t>
      </w:r>
      <w:r w:rsidRPr="00230BC2">
        <w:t>).</w:t>
      </w:r>
    </w:p>
    <w:p w14:paraId="7960F06C" w14:textId="7423B10B" w:rsidR="00180B37" w:rsidRPr="00230BC2" w:rsidRDefault="00180B37" w:rsidP="003466FC">
      <w:pPr>
        <w:pStyle w:val="Para1"/>
      </w:pPr>
      <w:r w:rsidRPr="00230BC2">
        <w:t xml:space="preserve">Statements were made by representatives of </w:t>
      </w:r>
      <w:r w:rsidR="0051107D" w:rsidRPr="00230BC2">
        <w:t xml:space="preserve">the following Parties: </w:t>
      </w:r>
      <w:r w:rsidRPr="00230BC2">
        <w:t>Brazil, European Union and its 27</w:t>
      </w:r>
      <w:r w:rsidR="00A90409" w:rsidRPr="00230BC2">
        <w:t> </w:t>
      </w:r>
      <w:r w:rsidRPr="00230BC2">
        <w:t xml:space="preserve">member States, Mexico and United Kingdom. </w:t>
      </w:r>
    </w:p>
    <w:p w14:paraId="16F45E64" w14:textId="3AEADD8A" w:rsidR="00180B37" w:rsidRPr="00230BC2" w:rsidRDefault="00B369DE" w:rsidP="003466FC">
      <w:pPr>
        <w:pStyle w:val="Para1"/>
      </w:pPr>
      <w:r w:rsidRPr="00230BC2">
        <w:rPr>
          <w:rStyle w:val="Para1Char"/>
        </w:rPr>
        <w:t>W</w:t>
      </w:r>
      <w:r w:rsidR="00180B37" w:rsidRPr="00230BC2">
        <w:rPr>
          <w:rStyle w:val="Para1Char"/>
        </w:rPr>
        <w:t xml:space="preserve">orking </w:t>
      </w:r>
      <w:r w:rsidRPr="00230BC2">
        <w:rPr>
          <w:rStyle w:val="Para1Char"/>
        </w:rPr>
        <w:t>G</w:t>
      </w:r>
      <w:r w:rsidR="00180B37" w:rsidRPr="00230BC2">
        <w:rPr>
          <w:rStyle w:val="Para1Char"/>
        </w:rPr>
        <w:t xml:space="preserve">roup </w:t>
      </w:r>
      <w:r w:rsidRPr="00230BC2">
        <w:rPr>
          <w:rStyle w:val="Para1Char"/>
        </w:rPr>
        <w:t xml:space="preserve">II </w:t>
      </w:r>
      <w:r w:rsidR="00180B37" w:rsidRPr="00230BC2">
        <w:rPr>
          <w:rStyle w:val="Para1Char"/>
        </w:rPr>
        <w:t xml:space="preserve">agreed that </w:t>
      </w:r>
      <w:r w:rsidR="00C44B53" w:rsidRPr="00230BC2">
        <w:rPr>
          <w:rStyle w:val="Para1Char"/>
        </w:rPr>
        <w:t xml:space="preserve">its </w:t>
      </w:r>
      <w:r w:rsidR="00180B37" w:rsidRPr="00230BC2">
        <w:rPr>
          <w:rStyle w:val="Para1Char"/>
        </w:rPr>
        <w:t xml:space="preserve">Chair would prepare a revised draft decision for </w:t>
      </w:r>
      <w:r w:rsidR="001C5863" w:rsidRPr="00230BC2">
        <w:t xml:space="preserve">the Group’s </w:t>
      </w:r>
      <w:r w:rsidR="00180B37" w:rsidRPr="00230BC2">
        <w:t>consideration, taking account of the statements made.</w:t>
      </w:r>
    </w:p>
    <w:p w14:paraId="37D5DF3F" w14:textId="4A80FDBC" w:rsidR="00180B37" w:rsidRPr="00230BC2" w:rsidRDefault="00180B37" w:rsidP="003466FC">
      <w:pPr>
        <w:pStyle w:val="Para1"/>
      </w:pPr>
      <w:r w:rsidRPr="00230BC2">
        <w:t xml:space="preserve">At its </w:t>
      </w:r>
      <w:r w:rsidR="0042766B" w:rsidRPr="00230BC2">
        <w:t>5th</w:t>
      </w:r>
      <w:r w:rsidRPr="00230BC2">
        <w:t xml:space="preserve"> meeting, on 9 December, </w:t>
      </w:r>
      <w:r w:rsidR="006B23E2" w:rsidRPr="00230BC2">
        <w:t>W</w:t>
      </w:r>
      <w:r w:rsidRPr="00230BC2">
        <w:t xml:space="preserve">orking </w:t>
      </w:r>
      <w:r w:rsidR="006B23E2" w:rsidRPr="00230BC2">
        <w:t>G</w:t>
      </w:r>
      <w:r w:rsidRPr="00230BC2">
        <w:t xml:space="preserve">roup </w:t>
      </w:r>
      <w:r w:rsidR="006B23E2" w:rsidRPr="00230BC2">
        <w:t xml:space="preserve">II </w:t>
      </w:r>
      <w:r w:rsidRPr="00230BC2">
        <w:t xml:space="preserve">considered the revised draft decision submitted by </w:t>
      </w:r>
      <w:r w:rsidR="00583A9B" w:rsidRPr="00230BC2">
        <w:t xml:space="preserve">its </w:t>
      </w:r>
      <w:r w:rsidRPr="00230BC2">
        <w:t xml:space="preserve">Chair. </w:t>
      </w:r>
    </w:p>
    <w:p w14:paraId="22E24137" w14:textId="06122E40" w:rsidR="00180B37" w:rsidRPr="00230BC2" w:rsidRDefault="00180B37" w:rsidP="003466FC">
      <w:pPr>
        <w:pStyle w:val="Para1"/>
      </w:pPr>
      <w:r w:rsidRPr="00230BC2">
        <w:rPr>
          <w:rStyle w:val="Para1Char"/>
        </w:rPr>
        <w:t xml:space="preserve">Statements were made by representatives of </w:t>
      </w:r>
      <w:r w:rsidR="0051107D" w:rsidRPr="00230BC2">
        <w:t xml:space="preserve">the following Parties: </w:t>
      </w:r>
      <w:r w:rsidRPr="00230BC2">
        <w:rPr>
          <w:rStyle w:val="Para1Char"/>
        </w:rPr>
        <w:t>Brazil, Canada, Côte d’Ivoire, Democratic Republic</w:t>
      </w:r>
      <w:r w:rsidRPr="00230BC2">
        <w:t xml:space="preserve"> of the Congo, European Union and its 27 member States, Mali, Namibia, New Zealand, South Africa, Tajikistan, Togo, United Kingdom and United Republic of Tanzania.</w:t>
      </w:r>
    </w:p>
    <w:p w14:paraId="5CEC9FD7" w14:textId="56321C80" w:rsidR="00180B37" w:rsidRPr="00230BC2" w:rsidRDefault="00B369DE" w:rsidP="003466FC">
      <w:pPr>
        <w:pStyle w:val="Para1"/>
      </w:pPr>
      <w:r w:rsidRPr="00230BC2">
        <w:t>W</w:t>
      </w:r>
      <w:r w:rsidR="00180B37" w:rsidRPr="00230BC2">
        <w:t xml:space="preserve">orking </w:t>
      </w:r>
      <w:r w:rsidRPr="00230BC2">
        <w:t>G</w:t>
      </w:r>
      <w:r w:rsidR="00180B37" w:rsidRPr="00230BC2">
        <w:t xml:space="preserve">roup </w:t>
      </w:r>
      <w:r w:rsidRPr="00230BC2">
        <w:t xml:space="preserve">II </w:t>
      </w:r>
      <w:r w:rsidR="00180B37" w:rsidRPr="00230BC2">
        <w:t>agreed that multilateral discussions would be held among certain Parties to resolve outstanding issues.</w:t>
      </w:r>
    </w:p>
    <w:p w14:paraId="5F47F3C4" w14:textId="71F13A20" w:rsidR="00180B37" w:rsidRPr="00230BC2" w:rsidRDefault="00180B37" w:rsidP="003466FC">
      <w:pPr>
        <w:pStyle w:val="Para1"/>
      </w:pPr>
      <w:r w:rsidRPr="00230BC2">
        <w:t xml:space="preserve">At its </w:t>
      </w:r>
      <w:r w:rsidR="0042766B" w:rsidRPr="00230BC2">
        <w:t>6th</w:t>
      </w:r>
      <w:r w:rsidRPr="00230BC2">
        <w:t xml:space="preserve"> meeting, on 10 December, </w:t>
      </w:r>
      <w:r w:rsidR="004F4C7E" w:rsidRPr="00230BC2">
        <w:t>W</w:t>
      </w:r>
      <w:r w:rsidRPr="00230BC2">
        <w:t xml:space="preserve">orking </w:t>
      </w:r>
      <w:r w:rsidR="004F4C7E" w:rsidRPr="00230BC2">
        <w:t>G</w:t>
      </w:r>
      <w:r w:rsidRPr="00230BC2">
        <w:t xml:space="preserve">roup </w:t>
      </w:r>
      <w:r w:rsidR="004F4C7E" w:rsidRPr="00230BC2">
        <w:t xml:space="preserve">II </w:t>
      </w:r>
      <w:r w:rsidRPr="00230BC2">
        <w:t xml:space="preserve">resumed its consideration of the revised draft decision submitted by </w:t>
      </w:r>
      <w:r w:rsidR="00583A9B"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w:t>
      </w:r>
      <w:r w:rsidRPr="00230BC2">
        <w:rPr>
          <w:rFonts w:eastAsia="Batang"/>
        </w:rPr>
        <w:t>.9.</w:t>
      </w:r>
    </w:p>
    <w:p w14:paraId="7E2FF442" w14:textId="06E686A8" w:rsidR="002F6FCC" w:rsidRPr="00230BC2" w:rsidRDefault="002F6FCC" w:rsidP="003466FC">
      <w:pPr>
        <w:pStyle w:val="Para1"/>
      </w:pPr>
      <w:r w:rsidRPr="00230BC2">
        <w:t xml:space="preserve">At </w:t>
      </w:r>
      <w:r w:rsidR="00573DFE" w:rsidRPr="00230BC2">
        <w:t xml:space="preserve">its </w:t>
      </w:r>
      <w:r w:rsidR="00E67935" w:rsidRPr="00230BC2">
        <w:t>2nd</w:t>
      </w:r>
      <w:r w:rsidRPr="00230BC2">
        <w:t xml:space="preserve"> </w:t>
      </w:r>
      <w:r w:rsidR="004A478A" w:rsidRPr="00230BC2">
        <w:t xml:space="preserve">plenary </w:t>
      </w:r>
      <w:r w:rsidRPr="00230BC2">
        <w:t>session</w:t>
      </w:r>
      <w:r w:rsidR="00393ACA" w:rsidRPr="00230BC2">
        <w:t>,</w:t>
      </w:r>
      <w:r w:rsidRPr="00230BC2">
        <w:t xml:space="preserve"> the Conference of the Parties </w:t>
      </w:r>
      <w:r w:rsidR="00B37794" w:rsidRPr="00230BC2">
        <w:t xml:space="preserve">adopted </w:t>
      </w:r>
      <w:r w:rsidR="00073F9D" w:rsidRPr="00230BC2">
        <w:t xml:space="preserve">the </w:t>
      </w:r>
      <w:r w:rsidRPr="00230BC2">
        <w:t>draft decision as decision</w:t>
      </w:r>
      <w:r w:rsidR="006D27BC" w:rsidRPr="00230BC2">
        <w:t> </w:t>
      </w:r>
      <w:r w:rsidRPr="00230BC2">
        <w:t>15/</w:t>
      </w:r>
      <w:r w:rsidR="006E762F" w:rsidRPr="00230BC2">
        <w:t>18</w:t>
      </w:r>
      <w:r w:rsidRPr="00230BC2">
        <w:t>.</w:t>
      </w:r>
    </w:p>
    <w:p w14:paraId="3AE632B8" w14:textId="78CE8374" w:rsidR="0061275F"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 xml:space="preserve">Item </w:t>
      </w:r>
      <w:r w:rsidR="00CD702A" w:rsidRPr="00EE6F7F">
        <w:rPr>
          <w:b/>
          <w:bCs/>
          <w:snapToGrid w:val="0"/>
          <w:kern w:val="22"/>
          <w:szCs w:val="22"/>
        </w:rPr>
        <w:t>18</w:t>
      </w:r>
      <w:r w:rsidRPr="00EE6F7F">
        <w:rPr>
          <w:b/>
          <w:bCs/>
          <w:snapToGrid w:val="0"/>
          <w:kern w:val="22"/>
          <w:szCs w:val="22"/>
        </w:rPr>
        <w:t>.</w:t>
      </w:r>
      <w:r w:rsidRPr="00EE6F7F">
        <w:rPr>
          <w:b/>
          <w:bCs/>
          <w:snapToGrid w:val="0"/>
          <w:kern w:val="22"/>
          <w:szCs w:val="22"/>
        </w:rPr>
        <w:tab/>
        <w:t>Multi-year progra</w:t>
      </w:r>
      <w:r w:rsidR="006A393F" w:rsidRPr="00EE6F7F">
        <w:rPr>
          <w:b/>
          <w:bCs/>
          <w:snapToGrid w:val="0"/>
          <w:kern w:val="22"/>
          <w:szCs w:val="22"/>
        </w:rPr>
        <w:t>m</w:t>
      </w:r>
      <w:r w:rsidRPr="00EE6F7F">
        <w:rPr>
          <w:b/>
          <w:bCs/>
          <w:snapToGrid w:val="0"/>
          <w:kern w:val="22"/>
          <w:szCs w:val="22"/>
        </w:rPr>
        <w:t>me of work of the Conference of the Parties</w:t>
      </w:r>
    </w:p>
    <w:p w14:paraId="42C5F58A" w14:textId="7B541AA9" w:rsidR="00A57DC7" w:rsidRPr="00230BC2" w:rsidRDefault="00A57DC7" w:rsidP="003466FC">
      <w:pPr>
        <w:pStyle w:val="Para1"/>
        <w:rPr>
          <w:bCs/>
        </w:rPr>
      </w:pPr>
      <w:r w:rsidRPr="00230BC2">
        <w:t xml:space="preserve">Working </w:t>
      </w:r>
      <w:r w:rsidR="003873C8" w:rsidRPr="00230BC2">
        <w:t>G</w:t>
      </w:r>
      <w:r w:rsidRPr="00230BC2">
        <w:t xml:space="preserve">roup II </w:t>
      </w:r>
      <w:r w:rsidR="00B3219B" w:rsidRPr="00230BC2">
        <w:t>considered</w:t>
      </w:r>
      <w:r w:rsidR="00740F95" w:rsidRPr="00230BC2">
        <w:t xml:space="preserve"> agenda</w:t>
      </w:r>
      <w:r w:rsidRPr="00230BC2">
        <w:t xml:space="preserve"> item 18 at its </w:t>
      </w:r>
      <w:r w:rsidR="00E67935" w:rsidRPr="00230BC2">
        <w:t>2nd</w:t>
      </w:r>
      <w:r w:rsidRPr="00230BC2">
        <w:t xml:space="preserve"> meeting</w:t>
      </w:r>
      <w:r w:rsidR="00FF0B5B" w:rsidRPr="00230BC2">
        <w:t>.</w:t>
      </w:r>
      <w:r w:rsidRPr="00230BC2">
        <w:t xml:space="preserve"> </w:t>
      </w:r>
      <w:r w:rsidR="000A734E" w:rsidRPr="00230BC2">
        <w:t>It</w:t>
      </w:r>
      <w:r w:rsidR="004F4C7E" w:rsidRPr="00230BC2">
        <w:t xml:space="preserve"> </w:t>
      </w:r>
      <w:r w:rsidRPr="00230BC2">
        <w:t>had before it a draft decision</w:t>
      </w:r>
      <w:r w:rsidR="00F71AEE" w:rsidRPr="00230BC2">
        <w:t>,</w:t>
      </w:r>
      <w:r w:rsidRPr="00230BC2">
        <w:t xml:space="preserve"> </w:t>
      </w:r>
      <w:r w:rsidR="001D69EF" w:rsidRPr="00230BC2">
        <w:t xml:space="preserve">as </w:t>
      </w:r>
      <w:r w:rsidRPr="00230BC2">
        <w:t>set out in the compilation of draft decisions</w:t>
      </w:r>
      <w:r w:rsidR="006E2346" w:rsidRPr="00230BC2">
        <w:t>,</w:t>
      </w:r>
      <w:r w:rsidRPr="00230BC2">
        <w:t xml:space="preserve"> </w:t>
      </w:r>
      <w:r w:rsidR="00FD3513" w:rsidRPr="00230BC2">
        <w:t xml:space="preserve">and </w:t>
      </w:r>
      <w:r w:rsidRPr="00230BC2">
        <w:t xml:space="preserve">a note by the Executive Secretary (CBD/COP/15/15). </w:t>
      </w:r>
    </w:p>
    <w:p w14:paraId="3F697FFB" w14:textId="77777777" w:rsidR="00A57DC7" w:rsidRPr="00230BC2" w:rsidRDefault="00A57DC7" w:rsidP="003466FC">
      <w:pPr>
        <w:pStyle w:val="Para1"/>
        <w:rPr>
          <w:bCs/>
        </w:rPr>
      </w:pPr>
      <w:r w:rsidRPr="00230BC2">
        <w:t>A statement was made by the representative of Canada.</w:t>
      </w:r>
    </w:p>
    <w:p w14:paraId="4D5F99A6" w14:textId="266F2A13" w:rsidR="00A57DC7" w:rsidRPr="00230BC2" w:rsidRDefault="00B369DE" w:rsidP="003466FC">
      <w:pPr>
        <w:pStyle w:val="Para1"/>
      </w:pPr>
      <w:r w:rsidRPr="00230BC2">
        <w:t>W</w:t>
      </w:r>
      <w:r w:rsidR="00A57DC7" w:rsidRPr="00230BC2">
        <w:t xml:space="preserve">orking </w:t>
      </w:r>
      <w:r w:rsidRPr="00230BC2">
        <w:t>G</w:t>
      </w:r>
      <w:r w:rsidR="00A57DC7" w:rsidRPr="00230BC2">
        <w:t xml:space="preserve">roup </w:t>
      </w:r>
      <w:r w:rsidRPr="00230BC2">
        <w:t xml:space="preserve">II </w:t>
      </w:r>
      <w:r w:rsidR="00A57DC7" w:rsidRPr="00230BC2">
        <w:t xml:space="preserve">agreed that </w:t>
      </w:r>
      <w:r w:rsidR="00C44B53" w:rsidRPr="00230BC2">
        <w:t xml:space="preserve">its </w:t>
      </w:r>
      <w:r w:rsidR="00A57DC7" w:rsidRPr="00230BC2">
        <w:t xml:space="preserve">Chair would prepare a revised draft decision for </w:t>
      </w:r>
      <w:r w:rsidR="001C5863" w:rsidRPr="00230BC2">
        <w:t xml:space="preserve">the Group’s </w:t>
      </w:r>
      <w:r w:rsidR="00A57DC7" w:rsidRPr="00230BC2">
        <w:t>consideration, taking account of the statement made.</w:t>
      </w:r>
    </w:p>
    <w:p w14:paraId="67964A7F" w14:textId="4A4BF409" w:rsidR="00A57DC7" w:rsidRPr="00230BC2" w:rsidRDefault="00A57DC7" w:rsidP="003466FC">
      <w:pPr>
        <w:pStyle w:val="Para1"/>
      </w:pPr>
      <w:r w:rsidRPr="00230BC2">
        <w:t xml:space="preserve">At its </w:t>
      </w:r>
      <w:r w:rsidR="0042766B" w:rsidRPr="00230BC2">
        <w:t>10th</w:t>
      </w:r>
      <w:r w:rsidRPr="00230BC2">
        <w:t xml:space="preserve"> meeting, on </w:t>
      </w:r>
      <w:r w:rsidR="00F61BDE" w:rsidRPr="00230BC2">
        <w:t>16</w:t>
      </w:r>
      <w:r w:rsidRPr="00230BC2">
        <w:t xml:space="preserve"> December, </w:t>
      </w:r>
      <w:r w:rsidR="004F4C7E" w:rsidRPr="00230BC2">
        <w:t>W</w:t>
      </w:r>
      <w:r w:rsidRPr="00230BC2">
        <w:t xml:space="preserve">orking </w:t>
      </w:r>
      <w:r w:rsidR="004F4C7E" w:rsidRPr="00230BC2">
        <w:t>G</w:t>
      </w:r>
      <w:r w:rsidRPr="00230BC2">
        <w:t xml:space="preserve">roup </w:t>
      </w:r>
      <w:r w:rsidR="004F4C7E" w:rsidRPr="00230BC2">
        <w:t xml:space="preserve">II </w:t>
      </w:r>
      <w:r w:rsidRPr="00230BC2">
        <w:t xml:space="preserve">considered the revised draft decision submitted by </w:t>
      </w:r>
      <w:r w:rsidR="00583A9B"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w:t>
      </w:r>
      <w:r w:rsidRPr="00230BC2">
        <w:rPr>
          <w:rFonts w:eastAsia="Batang"/>
        </w:rPr>
        <w:t>.20.</w:t>
      </w:r>
    </w:p>
    <w:p w14:paraId="099E6F13" w14:textId="702D97D3" w:rsidR="00A57DC7" w:rsidRPr="00230BC2" w:rsidRDefault="00A57DC7" w:rsidP="003466FC">
      <w:pPr>
        <w:pStyle w:val="Para1"/>
      </w:pPr>
      <w:r w:rsidRPr="00230BC2">
        <w:rPr>
          <w:rFonts w:eastAsia="Batang"/>
        </w:rPr>
        <w:t xml:space="preserve">During the discussion, </w:t>
      </w:r>
      <w:r w:rsidR="00A502C0" w:rsidRPr="00230BC2">
        <w:rPr>
          <w:rFonts w:eastAsia="Batang"/>
        </w:rPr>
        <w:t>W</w:t>
      </w:r>
      <w:r w:rsidRPr="00230BC2">
        <w:rPr>
          <w:rFonts w:eastAsia="Batang"/>
        </w:rPr>
        <w:t xml:space="preserve">orking </w:t>
      </w:r>
      <w:r w:rsidR="00A502C0" w:rsidRPr="00230BC2">
        <w:rPr>
          <w:rFonts w:eastAsia="Batang"/>
        </w:rPr>
        <w:t>G</w:t>
      </w:r>
      <w:r w:rsidRPr="00230BC2">
        <w:rPr>
          <w:rFonts w:eastAsia="Batang"/>
        </w:rPr>
        <w:t xml:space="preserve">roup </w:t>
      </w:r>
      <w:r w:rsidR="00A502C0" w:rsidRPr="00230BC2">
        <w:rPr>
          <w:rFonts w:eastAsia="Batang"/>
        </w:rPr>
        <w:t xml:space="preserve">II </w:t>
      </w:r>
      <w:r w:rsidRPr="00230BC2">
        <w:rPr>
          <w:rFonts w:eastAsia="Batang"/>
        </w:rPr>
        <w:t xml:space="preserve">agreed that the following comment </w:t>
      </w:r>
      <w:r w:rsidR="00FD04F7" w:rsidRPr="00230BC2">
        <w:rPr>
          <w:rFonts w:eastAsia="Batang"/>
        </w:rPr>
        <w:t xml:space="preserve">by </w:t>
      </w:r>
      <w:r w:rsidR="00FD04F7" w:rsidRPr="00230BC2">
        <w:rPr>
          <w:bCs/>
        </w:rPr>
        <w:t xml:space="preserve">the representative of Japan </w:t>
      </w:r>
      <w:r w:rsidRPr="00230BC2">
        <w:rPr>
          <w:rFonts w:eastAsia="Batang"/>
        </w:rPr>
        <w:t xml:space="preserve">would be reflected in the present report. </w:t>
      </w:r>
      <w:r w:rsidRPr="00230BC2">
        <w:rPr>
          <w:bCs/>
        </w:rPr>
        <w:t>The representative of Japan said that, with respect to the implementation of the work programme by</w:t>
      </w:r>
      <w:r w:rsidRPr="00230BC2">
        <w:rPr>
          <w:rFonts w:eastAsia="Batang"/>
        </w:rPr>
        <w:t xml:space="preserve"> the </w:t>
      </w:r>
      <w:r w:rsidR="002F2A3E" w:rsidRPr="00230BC2">
        <w:rPr>
          <w:rFonts w:eastAsia="Batang"/>
        </w:rPr>
        <w:t>S</w:t>
      </w:r>
      <w:r w:rsidRPr="00230BC2">
        <w:rPr>
          <w:rFonts w:eastAsia="Batang"/>
        </w:rPr>
        <w:t xml:space="preserve">ecretariat, it was important to remind Parties </w:t>
      </w:r>
      <w:r w:rsidR="00253567" w:rsidRPr="00230BC2">
        <w:rPr>
          <w:rFonts w:eastAsia="Batang"/>
        </w:rPr>
        <w:t xml:space="preserve">of the need </w:t>
      </w:r>
      <w:r w:rsidRPr="00230BC2">
        <w:rPr>
          <w:rFonts w:eastAsia="Batang"/>
        </w:rPr>
        <w:t xml:space="preserve">to take into account the budget limits and </w:t>
      </w:r>
      <w:r w:rsidR="00D26003" w:rsidRPr="00230BC2">
        <w:rPr>
          <w:rFonts w:eastAsia="Batang"/>
        </w:rPr>
        <w:t xml:space="preserve">for </w:t>
      </w:r>
      <w:r w:rsidRPr="00230BC2">
        <w:rPr>
          <w:rFonts w:eastAsia="Batang"/>
        </w:rPr>
        <w:t xml:space="preserve">the </w:t>
      </w:r>
      <w:r w:rsidR="00A35902" w:rsidRPr="00230BC2">
        <w:rPr>
          <w:rFonts w:eastAsia="Batang"/>
        </w:rPr>
        <w:t>S</w:t>
      </w:r>
      <w:r w:rsidRPr="00230BC2">
        <w:rPr>
          <w:rFonts w:eastAsia="Batang"/>
        </w:rPr>
        <w:t xml:space="preserve">ecretariat to use its resources effectively and efficiently </w:t>
      </w:r>
      <w:r w:rsidRPr="00230BC2">
        <w:rPr>
          <w:bCs/>
        </w:rPr>
        <w:t xml:space="preserve">when conducting </w:t>
      </w:r>
      <w:r w:rsidR="00C35417" w:rsidRPr="00230BC2">
        <w:rPr>
          <w:bCs/>
        </w:rPr>
        <w:t xml:space="preserve">its </w:t>
      </w:r>
      <w:r w:rsidRPr="00230BC2">
        <w:rPr>
          <w:bCs/>
        </w:rPr>
        <w:t xml:space="preserve">work. </w:t>
      </w:r>
    </w:p>
    <w:p w14:paraId="5DF189D8" w14:textId="54C882BE" w:rsidR="008E1135" w:rsidRPr="00230BC2" w:rsidRDefault="008E1135" w:rsidP="003466FC">
      <w:pPr>
        <w:pStyle w:val="Para1"/>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orally amended, as decision 15/</w:t>
      </w:r>
      <w:r w:rsidR="00FC43F7" w:rsidRPr="00230BC2">
        <w:t>33</w:t>
      </w:r>
      <w:r w:rsidRPr="00230BC2">
        <w:t>.</w:t>
      </w:r>
    </w:p>
    <w:p w14:paraId="2C34A153" w14:textId="1AF02EE7" w:rsidR="0061275F" w:rsidRPr="00B1495D" w:rsidRDefault="0061275F" w:rsidP="00B1495D">
      <w:pPr>
        <w:keepNext/>
        <w:suppressLineNumbers/>
        <w:suppressAutoHyphens/>
        <w:kinsoku w:val="0"/>
        <w:overflowPunct w:val="0"/>
        <w:autoSpaceDE w:val="0"/>
        <w:autoSpaceDN w:val="0"/>
        <w:adjustRightInd w:val="0"/>
        <w:snapToGrid w:val="0"/>
        <w:spacing w:before="240" w:after="120"/>
        <w:jc w:val="center"/>
        <w:rPr>
          <w:b/>
          <w:bCs/>
          <w:snapToGrid w:val="0"/>
          <w:kern w:val="22"/>
          <w:szCs w:val="22"/>
        </w:rPr>
      </w:pPr>
      <w:bookmarkStart w:id="454" w:name="_Toc150438854"/>
      <w:r w:rsidRPr="00B1495D">
        <w:rPr>
          <w:b/>
          <w:bCs/>
          <w:snapToGrid w:val="0"/>
          <w:kern w:val="22"/>
          <w:szCs w:val="22"/>
        </w:rPr>
        <w:t>V</w:t>
      </w:r>
      <w:r w:rsidR="00CD702A" w:rsidRPr="00B1495D">
        <w:rPr>
          <w:b/>
          <w:bCs/>
          <w:snapToGrid w:val="0"/>
          <w:kern w:val="22"/>
          <w:szCs w:val="22"/>
        </w:rPr>
        <w:t>I</w:t>
      </w:r>
      <w:r w:rsidRPr="00B1495D">
        <w:rPr>
          <w:b/>
          <w:bCs/>
          <w:snapToGrid w:val="0"/>
          <w:kern w:val="22"/>
          <w:szCs w:val="22"/>
        </w:rPr>
        <w:t>.</w:t>
      </w:r>
      <w:r w:rsidRPr="00B1495D">
        <w:rPr>
          <w:b/>
          <w:bCs/>
          <w:snapToGrid w:val="0"/>
          <w:kern w:val="22"/>
          <w:szCs w:val="22"/>
        </w:rPr>
        <w:tab/>
        <w:t>FURTHER TECHNICAL ISSUES</w:t>
      </w:r>
      <w:bookmarkEnd w:id="454"/>
    </w:p>
    <w:p w14:paraId="7A1DB6E1" w14:textId="6D2934E9" w:rsidR="0061275F"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Item 1</w:t>
      </w:r>
      <w:r w:rsidR="00CD702A" w:rsidRPr="00EE6F7F">
        <w:rPr>
          <w:b/>
          <w:bCs/>
          <w:snapToGrid w:val="0"/>
          <w:kern w:val="22"/>
          <w:szCs w:val="22"/>
        </w:rPr>
        <w:t>9</w:t>
      </w:r>
      <w:r w:rsidRPr="00EE6F7F">
        <w:rPr>
          <w:b/>
          <w:bCs/>
          <w:snapToGrid w:val="0"/>
          <w:kern w:val="22"/>
          <w:szCs w:val="22"/>
        </w:rPr>
        <w:t>.</w:t>
      </w:r>
      <w:r w:rsidR="00826162" w:rsidRPr="00EE6F7F">
        <w:rPr>
          <w:b/>
          <w:bCs/>
          <w:snapToGrid w:val="0"/>
          <w:kern w:val="22"/>
          <w:szCs w:val="22"/>
        </w:rPr>
        <w:tab/>
      </w:r>
      <w:r w:rsidRPr="00EE6F7F">
        <w:rPr>
          <w:b/>
          <w:bCs/>
          <w:snapToGrid w:val="0"/>
          <w:kern w:val="22"/>
          <w:szCs w:val="22"/>
        </w:rPr>
        <w:t>Protected areas and other effective area-based conservation measures</w:t>
      </w:r>
    </w:p>
    <w:p w14:paraId="0FA2F5BA" w14:textId="4CA39809" w:rsidR="00450C8B" w:rsidRPr="00230BC2" w:rsidRDefault="00450C8B" w:rsidP="003466FC">
      <w:pPr>
        <w:pStyle w:val="Para1"/>
      </w:pPr>
      <w:r w:rsidRPr="00230BC2">
        <w:t xml:space="preserve">Working </w:t>
      </w:r>
      <w:r w:rsidR="003873C8" w:rsidRPr="00230BC2">
        <w:t>G</w:t>
      </w:r>
      <w:r w:rsidRPr="00230BC2">
        <w:t xml:space="preserve">roup II </w:t>
      </w:r>
      <w:r w:rsidR="00B3219B" w:rsidRPr="00230BC2">
        <w:t>considered</w:t>
      </w:r>
      <w:r w:rsidR="00740F95" w:rsidRPr="00230BC2">
        <w:t xml:space="preserve"> agenda</w:t>
      </w:r>
      <w:r w:rsidRPr="00230BC2">
        <w:t xml:space="preserve"> item 19 at its </w:t>
      </w:r>
      <w:r w:rsidR="00E67935" w:rsidRPr="00230BC2">
        <w:t>2nd</w:t>
      </w:r>
      <w:r w:rsidRPr="00230BC2">
        <w:t xml:space="preserve"> meeting</w:t>
      </w:r>
      <w:r w:rsidR="009D6341" w:rsidRPr="00230BC2">
        <w:t>.</w:t>
      </w:r>
      <w:r w:rsidRPr="00230BC2">
        <w:t xml:space="preserve"> </w:t>
      </w:r>
      <w:bookmarkStart w:id="455" w:name="_Hlk121491314"/>
      <w:r w:rsidR="000A734E" w:rsidRPr="00230BC2">
        <w:t>It</w:t>
      </w:r>
      <w:r w:rsidR="00A502C0" w:rsidRPr="00230BC2">
        <w:t xml:space="preserve"> </w:t>
      </w:r>
      <w:r w:rsidRPr="00230BC2">
        <w:t xml:space="preserve">had before it a note by the Executive Secretary on </w:t>
      </w:r>
      <w:bookmarkEnd w:id="455"/>
      <w:r w:rsidRPr="00230BC2">
        <w:t>global status, gaps and opportunities of protected areas and other area-based conservation measures (CBD/COP/15/INF/3).</w:t>
      </w:r>
    </w:p>
    <w:p w14:paraId="79B9AC78" w14:textId="77777777" w:rsidR="00450C8B" w:rsidRPr="00230BC2" w:rsidRDefault="00450C8B" w:rsidP="003466FC">
      <w:pPr>
        <w:pStyle w:val="Para1"/>
      </w:pPr>
      <w:r w:rsidRPr="00230BC2">
        <w:t>The representative of Zimbabwe made a statement on behalf of the African States.</w:t>
      </w:r>
    </w:p>
    <w:p w14:paraId="31A12F5E" w14:textId="682ACF2F" w:rsidR="00450C8B" w:rsidRPr="00230BC2" w:rsidRDefault="00B369DE" w:rsidP="003466FC">
      <w:pPr>
        <w:pStyle w:val="Para1"/>
      </w:pPr>
      <w:r w:rsidRPr="00230BC2">
        <w:t>W</w:t>
      </w:r>
      <w:r w:rsidR="00450C8B" w:rsidRPr="00230BC2">
        <w:t xml:space="preserve">orking </w:t>
      </w:r>
      <w:r w:rsidRPr="00230BC2">
        <w:t>G</w:t>
      </w:r>
      <w:r w:rsidR="00450C8B" w:rsidRPr="00230BC2">
        <w:t xml:space="preserve">roup </w:t>
      </w:r>
      <w:r w:rsidRPr="00230BC2">
        <w:t xml:space="preserve">II </w:t>
      </w:r>
      <w:r w:rsidR="00450C8B" w:rsidRPr="00230BC2">
        <w:t>took note of the information in document CBD/COP/15/INF/3.</w:t>
      </w:r>
    </w:p>
    <w:p w14:paraId="037E61E4" w14:textId="4D5B313D" w:rsidR="0061275F"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 xml:space="preserve">Item </w:t>
      </w:r>
      <w:r w:rsidR="00CD702A" w:rsidRPr="00EE6F7F">
        <w:rPr>
          <w:b/>
          <w:bCs/>
          <w:snapToGrid w:val="0"/>
          <w:kern w:val="22"/>
          <w:szCs w:val="22"/>
        </w:rPr>
        <w:t>20</w:t>
      </w:r>
      <w:r w:rsidRPr="00EE6F7F">
        <w:rPr>
          <w:b/>
          <w:bCs/>
          <w:snapToGrid w:val="0"/>
          <w:kern w:val="22"/>
          <w:szCs w:val="22"/>
        </w:rPr>
        <w:t>.</w:t>
      </w:r>
      <w:r w:rsidRPr="00EE6F7F">
        <w:rPr>
          <w:b/>
          <w:bCs/>
          <w:snapToGrid w:val="0"/>
          <w:kern w:val="22"/>
          <w:szCs w:val="22"/>
        </w:rPr>
        <w:tab/>
        <w:t>Marine and coastal biodiversity</w:t>
      </w:r>
    </w:p>
    <w:p w14:paraId="6ACD3A5A" w14:textId="50852538" w:rsidR="00AE555C" w:rsidRPr="00EE6F7F" w:rsidRDefault="004C7DC2"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bookmarkStart w:id="456" w:name="_Toc150438855"/>
      <w:r w:rsidRPr="00EE6F7F">
        <w:rPr>
          <w:b/>
          <w:bCs/>
          <w:snapToGrid w:val="0"/>
          <w:kern w:val="22"/>
          <w:szCs w:val="22"/>
        </w:rPr>
        <w:t>A.</w:t>
      </w:r>
      <w:r w:rsidRPr="00EE6F7F">
        <w:rPr>
          <w:b/>
          <w:bCs/>
          <w:snapToGrid w:val="0"/>
          <w:kern w:val="22"/>
          <w:szCs w:val="22"/>
        </w:rPr>
        <w:tab/>
      </w:r>
      <w:r w:rsidR="00AE555C" w:rsidRPr="00EE6F7F">
        <w:rPr>
          <w:b/>
          <w:bCs/>
          <w:snapToGrid w:val="0"/>
          <w:kern w:val="22"/>
          <w:szCs w:val="22"/>
        </w:rPr>
        <w:t>Ecologically or biologically significant marine areas</w:t>
      </w:r>
      <w:bookmarkEnd w:id="456"/>
    </w:p>
    <w:p w14:paraId="7FC8C75E" w14:textId="496EBBE4" w:rsidR="00763948" w:rsidRPr="00230BC2" w:rsidRDefault="002E56CB" w:rsidP="003466FC">
      <w:pPr>
        <w:pStyle w:val="Para1"/>
        <w:rPr>
          <w:bCs/>
        </w:rPr>
      </w:pPr>
      <w:r w:rsidRPr="00230BC2">
        <w:rPr>
          <w:rStyle w:val="Para1Char"/>
        </w:rPr>
        <w:t xml:space="preserve">Working </w:t>
      </w:r>
      <w:r w:rsidR="003873C8" w:rsidRPr="00230BC2">
        <w:rPr>
          <w:rStyle w:val="Para1Char"/>
        </w:rPr>
        <w:t>G</w:t>
      </w:r>
      <w:r w:rsidRPr="00230BC2">
        <w:rPr>
          <w:rStyle w:val="Para1Char"/>
        </w:rPr>
        <w:t xml:space="preserve">roup II </w:t>
      </w:r>
      <w:r w:rsidR="00B3219B" w:rsidRPr="00230BC2">
        <w:rPr>
          <w:rStyle w:val="Para1Char"/>
        </w:rPr>
        <w:t>considered</w:t>
      </w:r>
      <w:r w:rsidRPr="00230BC2">
        <w:rPr>
          <w:rStyle w:val="Para1Char"/>
        </w:rPr>
        <w:t xml:space="preserve"> sub-item 20 A </w:t>
      </w:r>
      <w:r w:rsidR="00644127" w:rsidRPr="00230BC2">
        <w:t xml:space="preserve">of the agenda </w:t>
      </w:r>
      <w:r w:rsidRPr="00230BC2">
        <w:rPr>
          <w:rStyle w:val="Para1Char"/>
        </w:rPr>
        <w:t xml:space="preserve">at its </w:t>
      </w:r>
      <w:r w:rsidR="00E67935" w:rsidRPr="00230BC2">
        <w:rPr>
          <w:rStyle w:val="Para1Char"/>
        </w:rPr>
        <w:t>1st</w:t>
      </w:r>
      <w:r w:rsidRPr="00230BC2">
        <w:rPr>
          <w:rStyle w:val="Para1Char"/>
        </w:rPr>
        <w:t xml:space="preserve"> meeting, on 7</w:t>
      </w:r>
      <w:r w:rsidR="00CA65B3" w:rsidRPr="00230BC2">
        <w:rPr>
          <w:rStyle w:val="Para1Char"/>
        </w:rPr>
        <w:t> </w:t>
      </w:r>
      <w:r w:rsidRPr="00230BC2">
        <w:rPr>
          <w:rStyle w:val="Para1Char"/>
        </w:rPr>
        <w:t>December, noting that there</w:t>
      </w:r>
      <w:r w:rsidRPr="00230BC2">
        <w:t xml:space="preserve"> were two separate outcomes to be considered, arising from the discussions on the matter at the twenty-third and twenty-fourth meetings of the Subsidiary Body o</w:t>
      </w:r>
      <w:r w:rsidR="00F80A89" w:rsidRPr="00230BC2">
        <w:t>n</w:t>
      </w:r>
      <w:r w:rsidRPr="00230BC2">
        <w:t xml:space="preserve"> Scientific, Technical and Technological Advice.</w:t>
      </w:r>
    </w:p>
    <w:p w14:paraId="471783ED" w14:textId="5B02AA85" w:rsidR="007A3F90" w:rsidRPr="00DD200B" w:rsidRDefault="00024615" w:rsidP="00DD200B">
      <w:pPr>
        <w:pStyle w:val="BodyText"/>
        <w:ind w:left="1134" w:right="429" w:hanging="567"/>
        <w:rPr>
          <w:b/>
          <w:i/>
          <w:iCs w:val="0"/>
        </w:rPr>
      </w:pPr>
      <w:r w:rsidRPr="00DD200B">
        <w:rPr>
          <w:i/>
          <w:iCs w:val="0"/>
        </w:rPr>
        <w:t>1.</w:t>
      </w:r>
      <w:r w:rsidRPr="00DD200B">
        <w:rPr>
          <w:i/>
          <w:iCs w:val="0"/>
        </w:rPr>
        <w:tab/>
      </w:r>
      <w:r w:rsidR="008E1135" w:rsidRPr="00DD200B">
        <w:rPr>
          <w:i/>
          <w:iCs w:val="0"/>
        </w:rPr>
        <w:t>Ecologically or biologically significant marine areas</w:t>
      </w:r>
      <w:r w:rsidR="00470009" w:rsidRPr="00DD200B">
        <w:rPr>
          <w:i/>
          <w:iCs w:val="0"/>
        </w:rPr>
        <w:t xml:space="preserve"> in the North-East Atlantic Ocean and adjacent areas</w:t>
      </w:r>
    </w:p>
    <w:p w14:paraId="29700F2C" w14:textId="2C81F0E4" w:rsidR="00C84965" w:rsidRPr="00230BC2" w:rsidRDefault="00C84965" w:rsidP="003466FC">
      <w:pPr>
        <w:pStyle w:val="Para1"/>
        <w:rPr>
          <w:bCs/>
        </w:rPr>
      </w:pPr>
      <w:r w:rsidRPr="00230BC2">
        <w:t xml:space="preserve">In considering the first part of the sub-item, </w:t>
      </w:r>
      <w:r w:rsidR="001A6085" w:rsidRPr="00230BC2">
        <w:t>W</w:t>
      </w:r>
      <w:r w:rsidRPr="00230BC2">
        <w:t xml:space="preserve">orking </w:t>
      </w:r>
      <w:r w:rsidR="001A6085" w:rsidRPr="00230BC2">
        <w:t>G</w:t>
      </w:r>
      <w:r w:rsidRPr="00230BC2">
        <w:t xml:space="preserve">roup </w:t>
      </w:r>
      <w:r w:rsidR="001A6085" w:rsidRPr="00230BC2">
        <w:t xml:space="preserve">II </w:t>
      </w:r>
      <w:r w:rsidRPr="00230BC2">
        <w:t>had before it a draft decision based on recommendation 23/4 of the Subsidiary Body o</w:t>
      </w:r>
      <w:r w:rsidR="00F80A89" w:rsidRPr="00230BC2">
        <w:t>n</w:t>
      </w:r>
      <w:r w:rsidRPr="00230BC2">
        <w:t xml:space="preserve"> Scientific, Technical and Technological Advice, </w:t>
      </w:r>
      <w:r w:rsidR="001D69EF" w:rsidRPr="00230BC2">
        <w:t xml:space="preserve">as </w:t>
      </w:r>
      <w:r w:rsidRPr="00230BC2">
        <w:t>set out in the compilation of draft decisions</w:t>
      </w:r>
      <w:r w:rsidR="006E2346" w:rsidRPr="00230BC2">
        <w:t>.</w:t>
      </w:r>
      <w:r w:rsidRPr="00230BC2">
        <w:t xml:space="preserve"> </w:t>
      </w:r>
    </w:p>
    <w:p w14:paraId="4B02C1AF" w14:textId="6F976976" w:rsidR="00C84965" w:rsidRPr="00230BC2" w:rsidRDefault="001A6085" w:rsidP="003466FC">
      <w:pPr>
        <w:pStyle w:val="Para1"/>
      </w:pPr>
      <w:r w:rsidRPr="00230BC2">
        <w:t>W</w:t>
      </w:r>
      <w:r w:rsidR="00C84965" w:rsidRPr="00230BC2">
        <w:t xml:space="preserve">orking </w:t>
      </w:r>
      <w:r w:rsidRPr="00230BC2">
        <w:t>G</w:t>
      </w:r>
      <w:r w:rsidR="00C84965" w:rsidRPr="00230BC2">
        <w:t xml:space="preserve">roup </w:t>
      </w:r>
      <w:r w:rsidRPr="00230BC2">
        <w:t xml:space="preserve">II </w:t>
      </w:r>
      <w:r w:rsidR="00C84965" w:rsidRPr="00230BC2">
        <w:t xml:space="preserve">agreed that </w:t>
      </w:r>
      <w:r w:rsidR="00C44B53" w:rsidRPr="00230BC2">
        <w:t xml:space="preserve">its </w:t>
      </w:r>
      <w:r w:rsidR="00C84965" w:rsidRPr="00230BC2">
        <w:t xml:space="preserve">Chair would submit the draft decision as a conference room paper for </w:t>
      </w:r>
      <w:r w:rsidR="00CD1042" w:rsidRPr="00230BC2">
        <w:t xml:space="preserve">the </w:t>
      </w:r>
      <w:r w:rsidR="004C3867" w:rsidRPr="00230BC2">
        <w:t xml:space="preserve">Group’s </w:t>
      </w:r>
      <w:r w:rsidR="00C84965" w:rsidRPr="00230BC2">
        <w:t>consideration.</w:t>
      </w:r>
    </w:p>
    <w:p w14:paraId="43CD20FA" w14:textId="16AF878B" w:rsidR="00C84965" w:rsidRPr="00230BC2" w:rsidRDefault="00C84965" w:rsidP="003466FC">
      <w:pPr>
        <w:pStyle w:val="Para1"/>
        <w:rPr>
          <w:bCs/>
        </w:rPr>
      </w:pPr>
      <w:r w:rsidRPr="00230BC2">
        <w:t xml:space="preserve">At its </w:t>
      </w:r>
      <w:r w:rsidR="0042766B" w:rsidRPr="00230BC2">
        <w:t>7th</w:t>
      </w:r>
      <w:r w:rsidRPr="00230BC2">
        <w:t xml:space="preserve"> meeting, </w:t>
      </w:r>
      <w:r w:rsidR="00A502C0" w:rsidRPr="00230BC2">
        <w:t>W</w:t>
      </w:r>
      <w:r w:rsidRPr="00230BC2">
        <w:t xml:space="preserve">orking </w:t>
      </w:r>
      <w:r w:rsidR="00A502C0" w:rsidRPr="00230BC2">
        <w:t>G</w:t>
      </w:r>
      <w:r w:rsidRPr="00230BC2">
        <w:t xml:space="preserve">roup </w:t>
      </w:r>
      <w:r w:rsidR="00A502C0" w:rsidRPr="00230BC2">
        <w:t xml:space="preserve">II </w:t>
      </w:r>
      <w:r w:rsidRPr="00230BC2">
        <w:t xml:space="preserve">considered the draft decision submitted by </w:t>
      </w:r>
      <w:r w:rsidR="00C61167"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w:t>
      </w:r>
      <w:r w:rsidRPr="00230BC2">
        <w:rPr>
          <w:rFonts w:eastAsia="Batang"/>
        </w:rPr>
        <w:t>.13.</w:t>
      </w:r>
    </w:p>
    <w:p w14:paraId="70D13C76" w14:textId="4FE78FBA" w:rsidR="002E56CB" w:rsidRPr="00230BC2" w:rsidRDefault="00C84965" w:rsidP="003466FC">
      <w:pPr>
        <w:pStyle w:val="Para1"/>
        <w:rPr>
          <w:bCs/>
        </w:rPr>
      </w:pPr>
      <w:r w:rsidRPr="00230BC2">
        <w:rPr>
          <w:rFonts w:eastAsia="Batang"/>
        </w:rPr>
        <w:t xml:space="preserve">During the discussion, </w:t>
      </w:r>
      <w:r w:rsidR="00A502C0" w:rsidRPr="00230BC2">
        <w:rPr>
          <w:rFonts w:eastAsia="Batang"/>
        </w:rPr>
        <w:t>W</w:t>
      </w:r>
      <w:r w:rsidRPr="00230BC2">
        <w:rPr>
          <w:rFonts w:eastAsia="Batang"/>
        </w:rPr>
        <w:t xml:space="preserve">orking </w:t>
      </w:r>
      <w:r w:rsidR="00A502C0" w:rsidRPr="00230BC2">
        <w:rPr>
          <w:rFonts w:eastAsia="Batang"/>
        </w:rPr>
        <w:t>G</w:t>
      </w:r>
      <w:r w:rsidRPr="00230BC2">
        <w:rPr>
          <w:rFonts w:eastAsia="Batang"/>
        </w:rPr>
        <w:t xml:space="preserve">roup </w:t>
      </w:r>
      <w:r w:rsidR="00A502C0" w:rsidRPr="00230BC2">
        <w:rPr>
          <w:rFonts w:eastAsia="Batang"/>
        </w:rPr>
        <w:t xml:space="preserve">II </w:t>
      </w:r>
      <w:r w:rsidRPr="00230BC2">
        <w:rPr>
          <w:rFonts w:eastAsia="Batang"/>
        </w:rPr>
        <w:t xml:space="preserve">agreed that the following comments by representatives would be reflected in the report of the meeting. </w:t>
      </w:r>
      <w:r w:rsidRPr="00230BC2">
        <w:rPr>
          <w:bCs/>
        </w:rPr>
        <w:t>The representative of the European Union and its 27</w:t>
      </w:r>
      <w:r w:rsidR="000036B7" w:rsidRPr="00230BC2">
        <w:rPr>
          <w:bCs/>
        </w:rPr>
        <w:t> </w:t>
      </w:r>
      <w:r w:rsidRPr="00230BC2">
        <w:rPr>
          <w:bCs/>
        </w:rPr>
        <w:t xml:space="preserve">members States said that the identification of ecologically or biologically significant marine areas was a geographical, </w:t>
      </w:r>
      <w:r w:rsidR="0094301E" w:rsidRPr="00230BC2">
        <w:rPr>
          <w:bCs/>
        </w:rPr>
        <w:t xml:space="preserve">and </w:t>
      </w:r>
      <w:r w:rsidRPr="00230BC2">
        <w:rPr>
          <w:bCs/>
        </w:rPr>
        <w:t xml:space="preserve">not legal, process </w:t>
      </w:r>
      <w:r w:rsidR="0094301E" w:rsidRPr="00230BC2">
        <w:rPr>
          <w:bCs/>
        </w:rPr>
        <w:t xml:space="preserve">the </w:t>
      </w:r>
      <w:r w:rsidRPr="00230BC2">
        <w:rPr>
          <w:bCs/>
        </w:rPr>
        <w:t xml:space="preserve">outcomes </w:t>
      </w:r>
      <w:r w:rsidR="0094301E" w:rsidRPr="00230BC2">
        <w:rPr>
          <w:bCs/>
        </w:rPr>
        <w:t xml:space="preserve">of which </w:t>
      </w:r>
      <w:r w:rsidRPr="00230BC2">
        <w:rPr>
          <w:bCs/>
        </w:rPr>
        <w:t xml:space="preserve">should continue to result from a scientific and technical exercise and </w:t>
      </w:r>
      <w:r w:rsidR="00012F9D" w:rsidRPr="00230BC2">
        <w:rPr>
          <w:bCs/>
        </w:rPr>
        <w:t xml:space="preserve">that it </w:t>
      </w:r>
      <w:r w:rsidRPr="00230BC2">
        <w:rPr>
          <w:bCs/>
        </w:rPr>
        <w:t xml:space="preserve">should not be used to prejudge any issues </w:t>
      </w:r>
      <w:r w:rsidR="005E5A1F" w:rsidRPr="00230BC2">
        <w:rPr>
          <w:bCs/>
        </w:rPr>
        <w:t xml:space="preserve">related to </w:t>
      </w:r>
      <w:r w:rsidRPr="00230BC2">
        <w:rPr>
          <w:bCs/>
        </w:rPr>
        <w:t xml:space="preserve">the sovereignty, sovereign rights or jurisdiction of coastal States or the rights of other States. </w:t>
      </w:r>
      <w:r w:rsidR="002F0AED" w:rsidRPr="00230BC2">
        <w:t>R</w:t>
      </w:r>
      <w:r w:rsidRPr="00230BC2">
        <w:t>ecalling that</w:t>
      </w:r>
      <w:r w:rsidR="00012F9D" w:rsidRPr="00230BC2">
        <w:t>,</w:t>
      </w:r>
      <w:r w:rsidRPr="00230BC2">
        <w:t xml:space="preserve"> at its tenth meeting</w:t>
      </w:r>
      <w:r w:rsidR="00012F9D" w:rsidRPr="00230BC2">
        <w:t>,</w:t>
      </w:r>
      <w:r w:rsidRPr="00230BC2">
        <w:t xml:space="preserve"> the Conference of the Parties had emphasized that</w:t>
      </w:r>
      <w:r w:rsidR="00012F9D" w:rsidRPr="00230BC2">
        <w:t>,</w:t>
      </w:r>
      <w:r w:rsidRPr="00230BC2">
        <w:t xml:space="preserve"> under the United Nations Convention on the Law of the Sea</w:t>
      </w:r>
      <w:r w:rsidR="00012F9D" w:rsidRPr="00230BC2">
        <w:t>,</w:t>
      </w:r>
      <w:r w:rsidRPr="00230BC2" w:rsidDel="00372336">
        <w:t xml:space="preserve"> </w:t>
      </w:r>
      <w:r w:rsidR="00012F9D" w:rsidRPr="00230BC2">
        <w:t xml:space="preserve">the </w:t>
      </w:r>
      <w:r w:rsidRPr="00230BC2">
        <w:t xml:space="preserve">identification of ecologically or biologically significant marine areas and </w:t>
      </w:r>
      <w:r w:rsidR="00EC37CD" w:rsidRPr="00230BC2">
        <w:t xml:space="preserve">the </w:t>
      </w:r>
      <w:r w:rsidRPr="00230BC2">
        <w:t xml:space="preserve">selection of conservation and management measures were matters for States, </w:t>
      </w:r>
      <w:r w:rsidR="002F0AED" w:rsidRPr="00230BC2">
        <w:t xml:space="preserve">the representative of the United Kingdom </w:t>
      </w:r>
      <w:r w:rsidRPr="00230BC2">
        <w:t xml:space="preserve">said that her </w:t>
      </w:r>
      <w:r w:rsidR="002F0AED" w:rsidRPr="00230BC2">
        <w:t>G</w:t>
      </w:r>
      <w:r w:rsidRPr="00230BC2">
        <w:t xml:space="preserve">overnment wished to see a process that required agreement from all States </w:t>
      </w:r>
      <w:r w:rsidR="00B15151" w:rsidRPr="00230BC2">
        <w:t xml:space="preserve">concerned </w:t>
      </w:r>
      <w:r w:rsidRPr="00230BC2">
        <w:t xml:space="preserve">for proposals where ecologically or biologically significant marine areas overlapped </w:t>
      </w:r>
      <w:r w:rsidR="008F2035" w:rsidRPr="00230BC2">
        <w:t xml:space="preserve">with areas under </w:t>
      </w:r>
      <w:r w:rsidRPr="00230BC2">
        <w:t>national jurisdiction or fell within disputed areas.</w:t>
      </w:r>
      <w:r w:rsidRPr="00230BC2">
        <w:rPr>
          <w:bCs/>
        </w:rPr>
        <w:t xml:space="preserve"> </w:t>
      </w:r>
    </w:p>
    <w:p w14:paraId="50240B64" w14:textId="2B4C9734" w:rsidR="00D17E46" w:rsidRPr="00230BC2" w:rsidRDefault="00D17E46" w:rsidP="003466FC">
      <w:pPr>
        <w:pStyle w:val="Para1"/>
        <w:rPr>
          <w:b/>
          <w:bCs/>
        </w:rPr>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decision</w:t>
      </w:r>
      <w:r w:rsidR="001C5193" w:rsidRPr="00230BC2">
        <w:t> </w:t>
      </w:r>
      <w:r w:rsidRPr="00230BC2">
        <w:t>15/</w:t>
      </w:r>
      <w:r w:rsidR="00FC43F7" w:rsidRPr="00230BC2">
        <w:t>25</w:t>
      </w:r>
      <w:r w:rsidRPr="00230BC2">
        <w:t>.</w:t>
      </w:r>
    </w:p>
    <w:p w14:paraId="71B4966B" w14:textId="6A246180" w:rsidR="008E1135" w:rsidRPr="00DD200B" w:rsidRDefault="00024615" w:rsidP="00DD200B">
      <w:pPr>
        <w:pStyle w:val="BodyText"/>
        <w:ind w:right="429" w:firstLine="0"/>
        <w:jc w:val="center"/>
        <w:rPr>
          <w:i/>
          <w:iCs w:val="0"/>
        </w:rPr>
      </w:pPr>
      <w:r w:rsidRPr="00DD200B">
        <w:rPr>
          <w:i/>
          <w:iCs w:val="0"/>
        </w:rPr>
        <w:t>2.</w:t>
      </w:r>
      <w:r w:rsidRPr="00DD200B">
        <w:rPr>
          <w:i/>
          <w:iCs w:val="0"/>
        </w:rPr>
        <w:tab/>
      </w:r>
      <w:r w:rsidR="008E1135" w:rsidRPr="00DD200B">
        <w:rPr>
          <w:i/>
          <w:iCs w:val="0"/>
        </w:rPr>
        <w:t>Ecologically or biologically significant marine areas: further work</w:t>
      </w:r>
    </w:p>
    <w:p w14:paraId="281C67F9" w14:textId="237B6841" w:rsidR="009508D2" w:rsidRPr="00230BC2" w:rsidRDefault="009508D2" w:rsidP="003466FC">
      <w:pPr>
        <w:pStyle w:val="Para1"/>
        <w:rPr>
          <w:bCs/>
        </w:rPr>
      </w:pPr>
      <w:r w:rsidRPr="00230BC2">
        <w:t xml:space="preserve">In considering the second part of the sub-item, </w:t>
      </w:r>
      <w:r w:rsidR="00F53B7C" w:rsidRPr="00230BC2">
        <w:t>W</w:t>
      </w:r>
      <w:r w:rsidRPr="00230BC2">
        <w:t xml:space="preserve">orking </w:t>
      </w:r>
      <w:r w:rsidR="00F53B7C" w:rsidRPr="00230BC2">
        <w:t>G</w:t>
      </w:r>
      <w:r w:rsidRPr="00230BC2">
        <w:t xml:space="preserve">roup </w:t>
      </w:r>
      <w:r w:rsidR="00F53B7C" w:rsidRPr="00230BC2">
        <w:t xml:space="preserve">II </w:t>
      </w:r>
      <w:r w:rsidRPr="00230BC2">
        <w:t>had before it recommendation 24/10 of the Subsidiary Body o</w:t>
      </w:r>
      <w:r w:rsidR="00F80A89" w:rsidRPr="00230BC2">
        <w:t>n</w:t>
      </w:r>
      <w:r w:rsidRPr="00230BC2">
        <w:t xml:space="preserve"> Scientific, Technical and Technological Advice, </w:t>
      </w:r>
      <w:r w:rsidR="00CE1C6F" w:rsidRPr="00230BC2">
        <w:t xml:space="preserve">as </w:t>
      </w:r>
      <w:r w:rsidRPr="00230BC2">
        <w:t>set out in the Subsidiary Body’s report on its twenty-fourth meeting (CBD/SBSTTA/24/12)</w:t>
      </w:r>
      <w:r w:rsidR="00B7741A" w:rsidRPr="00230BC2">
        <w:t xml:space="preserve">, as well </w:t>
      </w:r>
      <w:r w:rsidRPr="00230BC2">
        <w:t>as a report of the online discussion forum on ecologically or biologically significant marine areas in preparation for the fifteenth meeting of the Conference of the Parties</w:t>
      </w:r>
      <w:r w:rsidR="004C4B9F" w:rsidRPr="00230BC2">
        <w:t xml:space="preserve"> </w:t>
      </w:r>
      <w:r w:rsidRPr="00230BC2">
        <w:t>(CBD/EBSA/OM/2022/2/1) and proposals submitted by Parties and observers on ecologically or biologically significant marine areas under agenda item 6 of the twenty-fourth meeting of the Subsidiary Body (CBD/SBSTTA/24/INF/41).</w:t>
      </w:r>
    </w:p>
    <w:p w14:paraId="64CD7D64" w14:textId="2B7D4EA3" w:rsidR="009508D2" w:rsidRPr="00230BC2" w:rsidRDefault="001A6085" w:rsidP="003466FC">
      <w:pPr>
        <w:pStyle w:val="Para1"/>
      </w:pPr>
      <w:r w:rsidRPr="00230BC2">
        <w:t>W</w:t>
      </w:r>
      <w:r w:rsidR="009508D2" w:rsidRPr="00230BC2">
        <w:t xml:space="preserve">orking </w:t>
      </w:r>
      <w:r w:rsidRPr="00230BC2">
        <w:t>G</w:t>
      </w:r>
      <w:r w:rsidR="009508D2" w:rsidRPr="00230BC2">
        <w:t xml:space="preserve">roup </w:t>
      </w:r>
      <w:r w:rsidR="00F53B7C" w:rsidRPr="00230BC2">
        <w:t xml:space="preserve">II </w:t>
      </w:r>
      <w:r w:rsidR="009508D2" w:rsidRPr="00230BC2">
        <w:t>establish</w:t>
      </w:r>
      <w:r w:rsidR="002206DF" w:rsidRPr="00230BC2">
        <w:t>ed</w:t>
      </w:r>
      <w:r w:rsidR="009508D2" w:rsidRPr="00230BC2">
        <w:t xml:space="preserve"> a contact group, co-chaired by Marie-May Jeremie (Seychelles) and Renée Sauvé (Canada), with the mandate to discuss the unresolved issues and prepare a draft decision based on the work of Subsidiary Body and the </w:t>
      </w:r>
      <w:r w:rsidR="00074DA9" w:rsidRPr="00230BC2">
        <w:t xml:space="preserve">outcome </w:t>
      </w:r>
      <w:r w:rsidR="009508D2" w:rsidRPr="00230BC2">
        <w:t xml:space="preserve">of the online </w:t>
      </w:r>
      <w:r w:rsidR="009F07EA" w:rsidRPr="00230BC2">
        <w:t xml:space="preserve">discussion </w:t>
      </w:r>
      <w:r w:rsidR="009508D2" w:rsidRPr="00230BC2">
        <w:t>forum.</w:t>
      </w:r>
    </w:p>
    <w:p w14:paraId="3A505F89" w14:textId="739C048E" w:rsidR="009508D2" w:rsidRPr="00230BC2" w:rsidRDefault="009508D2" w:rsidP="003466FC">
      <w:pPr>
        <w:pStyle w:val="Para1"/>
      </w:pPr>
      <w:r w:rsidRPr="00230BC2">
        <w:t xml:space="preserve">At its </w:t>
      </w:r>
      <w:r w:rsidR="0042766B" w:rsidRPr="00230BC2">
        <w:t>6th</w:t>
      </w:r>
      <w:r w:rsidRPr="00230BC2">
        <w:t xml:space="preserve"> </w:t>
      </w:r>
      <w:r w:rsidR="003E7DB6" w:rsidRPr="00230BC2">
        <w:t xml:space="preserve">and </w:t>
      </w:r>
      <w:r w:rsidR="0042766B" w:rsidRPr="00230BC2">
        <w:t>7th</w:t>
      </w:r>
      <w:r w:rsidR="003E7DB6" w:rsidRPr="00230BC2">
        <w:t xml:space="preserve"> </w:t>
      </w:r>
      <w:r w:rsidRPr="00230BC2">
        <w:t>meeting</w:t>
      </w:r>
      <w:r w:rsidR="003E7DB6" w:rsidRPr="00230BC2">
        <w:t>s</w:t>
      </w:r>
      <w:r w:rsidRPr="00230BC2">
        <w:t xml:space="preserve">, </w:t>
      </w:r>
      <w:r w:rsidR="00A502C0" w:rsidRPr="00230BC2">
        <w:t>W</w:t>
      </w:r>
      <w:r w:rsidRPr="00230BC2">
        <w:t xml:space="preserve">orking </w:t>
      </w:r>
      <w:r w:rsidR="00A502C0" w:rsidRPr="00230BC2">
        <w:t>G</w:t>
      </w:r>
      <w:r w:rsidRPr="00230BC2">
        <w:t xml:space="preserve">roup </w:t>
      </w:r>
      <w:r w:rsidR="00A502C0" w:rsidRPr="00230BC2">
        <w:t xml:space="preserve">II </w:t>
      </w:r>
      <w:r w:rsidRPr="00230BC2">
        <w:t>heard interim report</w:t>
      </w:r>
      <w:r w:rsidR="003E7DB6" w:rsidRPr="00230BC2">
        <w:t>s</w:t>
      </w:r>
      <w:r w:rsidRPr="00230BC2">
        <w:t xml:space="preserve"> on the work of the contact group.</w:t>
      </w:r>
    </w:p>
    <w:p w14:paraId="6C609566" w14:textId="1B5B36ED" w:rsidR="009508D2" w:rsidRPr="00230BC2" w:rsidRDefault="009508D2" w:rsidP="003466FC">
      <w:pPr>
        <w:pStyle w:val="Para1"/>
      </w:pPr>
      <w:r w:rsidRPr="00230BC2">
        <w:t xml:space="preserve">At its </w:t>
      </w:r>
      <w:r w:rsidR="0042766B" w:rsidRPr="00230BC2">
        <w:t>8th</w:t>
      </w:r>
      <w:r w:rsidRPr="00230BC2">
        <w:t xml:space="preserve"> meeting, on 13 December, </w:t>
      </w:r>
      <w:r w:rsidR="00A502C0" w:rsidRPr="00230BC2">
        <w:t>W</w:t>
      </w:r>
      <w:r w:rsidRPr="00230BC2">
        <w:t xml:space="preserve">orking </w:t>
      </w:r>
      <w:r w:rsidR="00A502C0" w:rsidRPr="00230BC2">
        <w:t>G</w:t>
      </w:r>
      <w:r w:rsidRPr="00230BC2">
        <w:t xml:space="preserve">roup </w:t>
      </w:r>
      <w:r w:rsidR="00A502C0" w:rsidRPr="00230BC2">
        <w:t xml:space="preserve">II </w:t>
      </w:r>
      <w:r w:rsidRPr="00230BC2">
        <w:t xml:space="preserve">considered a draft decision submitted by </w:t>
      </w:r>
      <w:r w:rsidR="00583A9B"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CBD/COP/15/L.14.</w:t>
      </w:r>
    </w:p>
    <w:p w14:paraId="4468A28C" w14:textId="5ED0772B" w:rsidR="00C84965" w:rsidRPr="00230BC2" w:rsidRDefault="00F53B7C" w:rsidP="003466FC">
      <w:pPr>
        <w:pStyle w:val="Para1"/>
        <w:rPr>
          <w:bCs/>
        </w:rPr>
      </w:pPr>
      <w:r w:rsidRPr="00230BC2">
        <w:rPr>
          <w:bCs/>
        </w:rPr>
        <w:t>W</w:t>
      </w:r>
      <w:r w:rsidR="009508D2" w:rsidRPr="00230BC2">
        <w:rPr>
          <w:bCs/>
        </w:rPr>
        <w:t xml:space="preserve">orking </w:t>
      </w:r>
      <w:r w:rsidRPr="00230BC2">
        <w:rPr>
          <w:bCs/>
        </w:rPr>
        <w:t>G</w:t>
      </w:r>
      <w:r w:rsidR="009508D2" w:rsidRPr="00230BC2">
        <w:rPr>
          <w:bCs/>
        </w:rPr>
        <w:t xml:space="preserve">roup </w:t>
      </w:r>
      <w:r w:rsidRPr="00230BC2">
        <w:rPr>
          <w:bCs/>
        </w:rPr>
        <w:t xml:space="preserve">II </w:t>
      </w:r>
      <w:r w:rsidR="009508D2" w:rsidRPr="00230BC2">
        <w:rPr>
          <w:bCs/>
        </w:rPr>
        <w:t xml:space="preserve">agreed to reflect in the present report the Chair’s comments acknowledging </w:t>
      </w:r>
      <w:r w:rsidR="002B4292" w:rsidRPr="00230BC2">
        <w:rPr>
          <w:bCs/>
        </w:rPr>
        <w:t xml:space="preserve">the </w:t>
      </w:r>
      <w:r w:rsidR="009508D2" w:rsidRPr="00230BC2">
        <w:rPr>
          <w:bCs/>
        </w:rPr>
        <w:t xml:space="preserve">representatives’ </w:t>
      </w:r>
      <w:r w:rsidR="009508D2" w:rsidRPr="00230BC2">
        <w:t xml:space="preserve">frustration with the lack of time available to discuss the draft modalities for modifying descriptions of ecologically or biologically significant marine areas and for describing new areas, and </w:t>
      </w:r>
      <w:r w:rsidR="004B2974" w:rsidRPr="00230BC2">
        <w:t xml:space="preserve">their request for </w:t>
      </w:r>
      <w:r w:rsidR="009508D2" w:rsidRPr="00230BC2">
        <w:t>allocat</w:t>
      </w:r>
      <w:r w:rsidR="004B2974" w:rsidRPr="00230BC2">
        <w:t>ing</w:t>
      </w:r>
      <w:r w:rsidR="009508D2" w:rsidRPr="00230BC2">
        <w:t xml:space="preserve"> sufficient time to discuss the topic at the sixteenth meeting of the Conference of the Parties, as well as at the preceding meetings of its subsidiary bodies, with a view to finalizing and adopting modalities for </w:t>
      </w:r>
      <w:r w:rsidR="00BB6321" w:rsidRPr="00230BC2">
        <w:t>those</w:t>
      </w:r>
      <w:r w:rsidR="00267BF1" w:rsidRPr="00230BC2">
        <w:t xml:space="preserve"> </w:t>
      </w:r>
      <w:r w:rsidR="009508D2" w:rsidRPr="00230BC2">
        <w:t>descriptions at the sixteenth meeting</w:t>
      </w:r>
      <w:r w:rsidR="007903BD" w:rsidRPr="00230BC2">
        <w:t>.</w:t>
      </w:r>
    </w:p>
    <w:p w14:paraId="6D5BB17A" w14:textId="34517A1C" w:rsidR="008E1135" w:rsidRPr="00230BC2" w:rsidRDefault="008E1135" w:rsidP="003466FC">
      <w:pPr>
        <w:pStyle w:val="Para1"/>
        <w:rPr>
          <w:b/>
          <w:bCs/>
        </w:rPr>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orally amended, as decision 15/</w:t>
      </w:r>
      <w:r w:rsidR="000621CC" w:rsidRPr="00230BC2">
        <w:t>26</w:t>
      </w:r>
      <w:r w:rsidRPr="00230BC2">
        <w:t>.</w:t>
      </w:r>
    </w:p>
    <w:p w14:paraId="0457BDBF" w14:textId="1EF1A6F1" w:rsidR="00EB179D" w:rsidRPr="00EE6F7F" w:rsidRDefault="004C7DC2"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bookmarkStart w:id="457" w:name="_Toc150438856"/>
      <w:r w:rsidRPr="00EE6F7F">
        <w:rPr>
          <w:b/>
          <w:bCs/>
          <w:snapToGrid w:val="0"/>
          <w:kern w:val="22"/>
          <w:szCs w:val="22"/>
        </w:rPr>
        <w:t>B.</w:t>
      </w:r>
      <w:r w:rsidRPr="00EE6F7F">
        <w:rPr>
          <w:b/>
          <w:bCs/>
          <w:snapToGrid w:val="0"/>
          <w:kern w:val="22"/>
          <w:szCs w:val="22"/>
        </w:rPr>
        <w:tab/>
      </w:r>
      <w:r w:rsidR="00EB179D" w:rsidRPr="00EE6F7F">
        <w:rPr>
          <w:b/>
          <w:bCs/>
          <w:snapToGrid w:val="0"/>
          <w:kern w:val="22"/>
          <w:szCs w:val="22"/>
        </w:rPr>
        <w:t>Conservation and sustainable use of marine and coastal biodiversity</w:t>
      </w:r>
      <w:bookmarkEnd w:id="457"/>
    </w:p>
    <w:p w14:paraId="716CB41E" w14:textId="59993B9A" w:rsidR="00E35355" w:rsidRPr="00230BC2" w:rsidRDefault="00E35355" w:rsidP="003466FC">
      <w:pPr>
        <w:pStyle w:val="Para1"/>
        <w:rPr>
          <w:bCs/>
        </w:rPr>
      </w:pPr>
      <w:r w:rsidRPr="00230BC2">
        <w:t xml:space="preserve">Working </w:t>
      </w:r>
      <w:r w:rsidR="003873C8" w:rsidRPr="00230BC2">
        <w:t>G</w:t>
      </w:r>
      <w:r w:rsidRPr="00230BC2">
        <w:t xml:space="preserve">roup II </w:t>
      </w:r>
      <w:r w:rsidR="00B3219B" w:rsidRPr="00230BC2">
        <w:t>considered</w:t>
      </w:r>
      <w:r w:rsidRPr="00230BC2">
        <w:t xml:space="preserve"> sub-item 20 B </w:t>
      </w:r>
      <w:r w:rsidR="00BF64DE" w:rsidRPr="00230BC2">
        <w:t xml:space="preserve">of the agenda </w:t>
      </w:r>
      <w:r w:rsidRPr="00230BC2">
        <w:t xml:space="preserve">at its </w:t>
      </w:r>
      <w:r w:rsidR="00E67935" w:rsidRPr="00230BC2">
        <w:t>1st</w:t>
      </w:r>
      <w:r w:rsidRPr="00230BC2">
        <w:t xml:space="preserve"> meeting</w:t>
      </w:r>
      <w:r w:rsidR="00C00B11" w:rsidRPr="00230BC2">
        <w:t>.</w:t>
      </w:r>
      <w:r w:rsidRPr="00230BC2">
        <w:t xml:space="preserve"> </w:t>
      </w:r>
      <w:r w:rsidR="0017671B" w:rsidRPr="00230BC2">
        <w:t xml:space="preserve">It </w:t>
      </w:r>
      <w:r w:rsidRPr="00230BC2">
        <w:t>had before it recommendation</w:t>
      </w:r>
      <w:r w:rsidR="00E561D1" w:rsidRPr="00230BC2">
        <w:t> </w:t>
      </w:r>
      <w:r w:rsidRPr="00230BC2">
        <w:t>23/9 of the Subsidiary Body o</w:t>
      </w:r>
      <w:r w:rsidR="00F65F0D" w:rsidRPr="00230BC2">
        <w:t>n</w:t>
      </w:r>
      <w:r w:rsidRPr="00230BC2">
        <w:t xml:space="preserve"> Scientific, Technical and Technological Advice, </w:t>
      </w:r>
      <w:r w:rsidR="002D548F" w:rsidRPr="00230BC2">
        <w:t xml:space="preserve">as </w:t>
      </w:r>
      <w:r w:rsidRPr="00230BC2">
        <w:t>set out in the Subsidiary Body’s report on its twenty-third meeting (CBD/SBSTTA/23/9)</w:t>
      </w:r>
      <w:r w:rsidR="00D6603E" w:rsidRPr="00230BC2">
        <w:t xml:space="preserve">, as well as </w:t>
      </w:r>
      <w:r w:rsidRPr="00230BC2">
        <w:t xml:space="preserve">a report of the online discussion forum on conservation and sustainable use of marine and coastal biodiversity in preparation for the fifteenth meeting of the </w:t>
      </w:r>
      <w:r w:rsidR="00F65F0D" w:rsidRPr="00230BC2">
        <w:t>C</w:t>
      </w:r>
      <w:r w:rsidRPr="00230BC2">
        <w:t xml:space="preserve">onference of the </w:t>
      </w:r>
      <w:r w:rsidR="00E816F5" w:rsidRPr="00230BC2">
        <w:t>P</w:t>
      </w:r>
      <w:r w:rsidRPr="00230BC2">
        <w:t>arties</w:t>
      </w:r>
      <w:r w:rsidR="004C4B9F" w:rsidRPr="00230BC2">
        <w:t xml:space="preserve"> </w:t>
      </w:r>
      <w:r w:rsidRPr="00230BC2">
        <w:t>(CBD/MCB/OM/2022/1/1) and proposals submitted by Parties and observers on the conservation and sustainable use of marine and coastal biodiversity under agenda item</w:t>
      </w:r>
      <w:r w:rsidR="00C73A32" w:rsidRPr="00230BC2">
        <w:t> </w:t>
      </w:r>
      <w:r w:rsidRPr="00230BC2">
        <w:t>6 of the twenty-fourth meeting of the Subsidiary Body on Scientific, Technical and Technological Advice (CBD/SBSTTA/24/INF/42).</w:t>
      </w:r>
    </w:p>
    <w:p w14:paraId="7246E6F5" w14:textId="2F37EC3E" w:rsidR="00E35355" w:rsidRPr="00230BC2" w:rsidRDefault="00F53B7C" w:rsidP="003466FC">
      <w:pPr>
        <w:pStyle w:val="Para1"/>
      </w:pPr>
      <w:r w:rsidRPr="00230BC2">
        <w:t>W</w:t>
      </w:r>
      <w:r w:rsidR="00E35355" w:rsidRPr="00230BC2">
        <w:t xml:space="preserve">orking </w:t>
      </w:r>
      <w:r w:rsidRPr="00230BC2">
        <w:t>G</w:t>
      </w:r>
      <w:r w:rsidR="00E35355" w:rsidRPr="00230BC2">
        <w:t xml:space="preserve">roup </w:t>
      </w:r>
      <w:r w:rsidRPr="00230BC2">
        <w:t xml:space="preserve">II </w:t>
      </w:r>
      <w:r w:rsidR="00E35355" w:rsidRPr="00230BC2">
        <w:t>agreed that the contact group established under sub-item</w:t>
      </w:r>
      <w:r w:rsidR="007A5D4F" w:rsidRPr="00230BC2">
        <w:t> </w:t>
      </w:r>
      <w:r w:rsidR="00E35355" w:rsidRPr="00230BC2">
        <w:t>20 A</w:t>
      </w:r>
      <w:r w:rsidR="00F13A6E" w:rsidRPr="00230BC2">
        <w:t>.</w:t>
      </w:r>
      <w:r w:rsidR="00E35355" w:rsidRPr="00230BC2">
        <w:t>2 would also be mandated to address the unresolved issues under sub-item 20 B and prepare a draft decision, based on the work of</w:t>
      </w:r>
      <w:r w:rsidR="00C40DB5" w:rsidRPr="00230BC2">
        <w:t xml:space="preserve"> the</w:t>
      </w:r>
      <w:r w:rsidR="00E35355" w:rsidRPr="00230BC2">
        <w:t xml:space="preserve"> Subsidiary Body and the </w:t>
      </w:r>
      <w:r w:rsidR="00CB7015" w:rsidRPr="00230BC2">
        <w:t xml:space="preserve">outcome </w:t>
      </w:r>
      <w:r w:rsidR="00E35355" w:rsidRPr="00230BC2">
        <w:t xml:space="preserve">of the online </w:t>
      </w:r>
      <w:r w:rsidR="00EC103A" w:rsidRPr="00230BC2">
        <w:t xml:space="preserve">discussion </w:t>
      </w:r>
      <w:r w:rsidR="00E35355" w:rsidRPr="00230BC2">
        <w:t>forum.</w:t>
      </w:r>
    </w:p>
    <w:p w14:paraId="25173792" w14:textId="787355B0" w:rsidR="00E35355" w:rsidRPr="00230BC2" w:rsidRDefault="00E35355" w:rsidP="003466FC">
      <w:pPr>
        <w:pStyle w:val="Para1"/>
      </w:pPr>
      <w:r w:rsidRPr="00230BC2">
        <w:t xml:space="preserve">At its </w:t>
      </w:r>
      <w:r w:rsidR="00E67935" w:rsidRPr="00230BC2">
        <w:t>4th</w:t>
      </w:r>
      <w:r w:rsidRPr="00230BC2">
        <w:t xml:space="preserve"> meeting, on 9 December, </w:t>
      </w:r>
      <w:r w:rsidR="00A470B1" w:rsidRPr="00230BC2">
        <w:t xml:space="preserve">and </w:t>
      </w:r>
      <w:r w:rsidR="0042766B" w:rsidRPr="00230BC2">
        <w:t>6th</w:t>
      </w:r>
      <w:r w:rsidR="00A470B1" w:rsidRPr="00230BC2">
        <w:t xml:space="preserve"> meeting,</w:t>
      </w:r>
      <w:r w:rsidR="00A470B1" w:rsidRPr="00230BC2" w:rsidDel="00A502C0">
        <w:t xml:space="preserve"> </w:t>
      </w:r>
      <w:r w:rsidR="00A502C0" w:rsidRPr="00230BC2">
        <w:t>W</w:t>
      </w:r>
      <w:r w:rsidRPr="00230BC2">
        <w:t xml:space="preserve">orking </w:t>
      </w:r>
      <w:r w:rsidR="00A502C0" w:rsidRPr="00230BC2">
        <w:t>G</w:t>
      </w:r>
      <w:r w:rsidRPr="00230BC2">
        <w:t xml:space="preserve">roup </w:t>
      </w:r>
      <w:r w:rsidR="00A502C0" w:rsidRPr="00230BC2">
        <w:t xml:space="preserve">II </w:t>
      </w:r>
      <w:r w:rsidRPr="00230BC2">
        <w:t>heard interim report</w:t>
      </w:r>
      <w:r w:rsidR="00A470B1" w:rsidRPr="00230BC2">
        <w:t>s</w:t>
      </w:r>
      <w:r w:rsidRPr="00230BC2">
        <w:t xml:space="preserve"> on the work of the contact group.</w:t>
      </w:r>
    </w:p>
    <w:p w14:paraId="68B09C41" w14:textId="36B09807" w:rsidR="00E35355" w:rsidRPr="00230BC2" w:rsidRDefault="00E35355" w:rsidP="003466FC">
      <w:pPr>
        <w:pStyle w:val="Para1"/>
      </w:pPr>
      <w:r w:rsidRPr="00230BC2">
        <w:t xml:space="preserve">At its </w:t>
      </w:r>
      <w:r w:rsidR="0042766B" w:rsidRPr="00230BC2">
        <w:t>7th</w:t>
      </w:r>
      <w:r w:rsidRPr="00230BC2">
        <w:t xml:space="preserve"> meeting, following a report by the </w:t>
      </w:r>
      <w:r w:rsidR="009359E4" w:rsidRPr="00230BC2">
        <w:t>C</w:t>
      </w:r>
      <w:r w:rsidRPr="00230BC2">
        <w:t>o-</w:t>
      </w:r>
      <w:r w:rsidR="009359E4" w:rsidRPr="00230BC2">
        <w:t>C</w:t>
      </w:r>
      <w:r w:rsidRPr="00230BC2">
        <w:t xml:space="preserve">hairs of the contact group, </w:t>
      </w:r>
      <w:r w:rsidR="00A502C0" w:rsidRPr="00230BC2">
        <w:t>W</w:t>
      </w:r>
      <w:r w:rsidRPr="00230BC2">
        <w:t xml:space="preserve">orking </w:t>
      </w:r>
      <w:r w:rsidR="00A502C0" w:rsidRPr="00230BC2">
        <w:t>G</w:t>
      </w:r>
      <w:r w:rsidRPr="00230BC2">
        <w:t xml:space="preserve">roup </w:t>
      </w:r>
      <w:r w:rsidR="00A502C0" w:rsidRPr="00230BC2">
        <w:t xml:space="preserve">II </w:t>
      </w:r>
      <w:r w:rsidRPr="00230BC2">
        <w:t xml:space="preserve">considered a draft decision submitted by </w:t>
      </w:r>
      <w:r w:rsidR="00583A9B" w:rsidRPr="00230BC2">
        <w:t xml:space="preserve">its </w:t>
      </w:r>
      <w:r w:rsidRPr="00230BC2">
        <w:t>Chair.</w:t>
      </w:r>
    </w:p>
    <w:p w14:paraId="5A67629F" w14:textId="41B8890A" w:rsidR="00E35355" w:rsidRPr="00230BC2" w:rsidRDefault="00E35355" w:rsidP="003466FC">
      <w:pPr>
        <w:pStyle w:val="Para1"/>
      </w:pPr>
      <w:r w:rsidRPr="00230BC2">
        <w:t xml:space="preserve">Statements were made by representatives of </w:t>
      </w:r>
      <w:r w:rsidR="0051107D" w:rsidRPr="00230BC2">
        <w:t xml:space="preserve">the following Parties: </w:t>
      </w:r>
      <w:r w:rsidRPr="00230BC2">
        <w:t>Australia, Brazil, Canada, Colombia, Ecuador, Egypt, European Union and its 27 member States, Iceland, Japan, Mexico, Philippines, South Africa and United Kingdom.</w:t>
      </w:r>
    </w:p>
    <w:p w14:paraId="4547E8E1" w14:textId="6DAD04AC" w:rsidR="00E35355" w:rsidRPr="00230BC2" w:rsidRDefault="00E35355" w:rsidP="003466FC">
      <w:pPr>
        <w:pStyle w:val="Para1"/>
      </w:pPr>
      <w:r w:rsidRPr="00230BC2">
        <w:t xml:space="preserve">At its </w:t>
      </w:r>
      <w:r w:rsidR="0042766B" w:rsidRPr="00230BC2">
        <w:t>8th</w:t>
      </w:r>
      <w:r w:rsidRPr="00230BC2">
        <w:t xml:space="preserve"> meeting, </w:t>
      </w:r>
      <w:r w:rsidR="00A42981" w:rsidRPr="00230BC2">
        <w:t>W</w:t>
      </w:r>
      <w:r w:rsidRPr="00230BC2">
        <w:t xml:space="preserve">orking </w:t>
      </w:r>
      <w:r w:rsidR="00A42981" w:rsidRPr="00230BC2">
        <w:t>G</w:t>
      </w:r>
      <w:r w:rsidRPr="00230BC2">
        <w:t xml:space="preserve">roup </w:t>
      </w:r>
      <w:r w:rsidR="00A42981" w:rsidRPr="00230BC2">
        <w:t xml:space="preserve">II </w:t>
      </w:r>
      <w:r w:rsidRPr="00230BC2">
        <w:t xml:space="preserve">continued its consideration of the draft decision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CBD/COP/15/L.15.</w:t>
      </w:r>
    </w:p>
    <w:p w14:paraId="14A9FADC" w14:textId="3A02DFE6" w:rsidR="008E1135" w:rsidRPr="00230BC2" w:rsidRDefault="008E1135" w:rsidP="003466FC">
      <w:pPr>
        <w:pStyle w:val="Para1"/>
        <w:rPr>
          <w:b/>
          <w:bCs/>
        </w:rPr>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orally amended, as decision 15/</w:t>
      </w:r>
      <w:r w:rsidR="00CD5E5D" w:rsidRPr="00230BC2">
        <w:t>24</w:t>
      </w:r>
      <w:r w:rsidRPr="00230BC2">
        <w:t>.</w:t>
      </w:r>
    </w:p>
    <w:p w14:paraId="59A57F9F" w14:textId="5013E0F4" w:rsidR="0061275F"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Item 2</w:t>
      </w:r>
      <w:r w:rsidR="00CD702A" w:rsidRPr="00EE6F7F">
        <w:rPr>
          <w:b/>
          <w:bCs/>
          <w:snapToGrid w:val="0"/>
          <w:kern w:val="22"/>
          <w:szCs w:val="22"/>
        </w:rPr>
        <w:t>1</w:t>
      </w:r>
      <w:r w:rsidRPr="00EE6F7F">
        <w:rPr>
          <w:b/>
          <w:bCs/>
          <w:snapToGrid w:val="0"/>
          <w:kern w:val="22"/>
          <w:szCs w:val="22"/>
        </w:rPr>
        <w:t>.</w:t>
      </w:r>
      <w:r w:rsidRPr="00EE6F7F">
        <w:rPr>
          <w:b/>
          <w:bCs/>
          <w:snapToGrid w:val="0"/>
          <w:kern w:val="22"/>
          <w:szCs w:val="22"/>
        </w:rPr>
        <w:tab/>
        <w:t>Invasive alien species</w:t>
      </w:r>
    </w:p>
    <w:p w14:paraId="41B01729" w14:textId="62AD8C67" w:rsidR="008C3C0B" w:rsidRPr="00230BC2" w:rsidRDefault="008C3C0B" w:rsidP="003466FC">
      <w:pPr>
        <w:pStyle w:val="Para1"/>
      </w:pPr>
      <w:r w:rsidRPr="00230BC2">
        <w:t xml:space="preserve">Working </w:t>
      </w:r>
      <w:r w:rsidR="003873C8" w:rsidRPr="00230BC2">
        <w:t>G</w:t>
      </w:r>
      <w:r w:rsidRPr="00230BC2">
        <w:t xml:space="preserve">roup II </w:t>
      </w:r>
      <w:r w:rsidR="00B3219B" w:rsidRPr="00230BC2">
        <w:t>considered</w:t>
      </w:r>
      <w:r w:rsidR="00740F95" w:rsidRPr="00230BC2">
        <w:t xml:space="preserve"> agenda</w:t>
      </w:r>
      <w:r w:rsidRPr="00230BC2">
        <w:t xml:space="preserve"> item 21 at its </w:t>
      </w:r>
      <w:r w:rsidR="00E67935" w:rsidRPr="00230BC2">
        <w:t>2nd</w:t>
      </w:r>
      <w:r w:rsidRPr="00230BC2">
        <w:t xml:space="preserve"> meeting</w:t>
      </w:r>
      <w:r w:rsidR="009D6341" w:rsidRPr="00230BC2">
        <w:t>.</w:t>
      </w:r>
      <w:r w:rsidRPr="00230BC2">
        <w:t xml:space="preserve"> </w:t>
      </w:r>
      <w:r w:rsidR="000A734E" w:rsidRPr="00230BC2">
        <w:t>It</w:t>
      </w:r>
      <w:r w:rsidR="00A42981" w:rsidRPr="00230BC2">
        <w:t xml:space="preserve"> </w:t>
      </w:r>
      <w:r w:rsidRPr="00230BC2">
        <w:t>had before it a draft decision based on recommendation 24/8 of the Subsidiary Body on Scientific, Technical and Technological Advice</w:t>
      </w:r>
      <w:r w:rsidR="0091761B" w:rsidRPr="00230BC2">
        <w:t>,</w:t>
      </w:r>
      <w:r w:rsidRPr="00230BC2">
        <w:t xml:space="preserve"> </w:t>
      </w:r>
      <w:r w:rsidR="0091761B" w:rsidRPr="00230BC2">
        <w:t>as</w:t>
      </w:r>
      <w:r w:rsidRPr="00230BC2">
        <w:t xml:space="preserve"> set out in the compilation of draft decisions</w:t>
      </w:r>
      <w:r w:rsidR="006E2346" w:rsidRPr="00230BC2">
        <w:t>.</w:t>
      </w:r>
      <w:r w:rsidRPr="00230BC2">
        <w:t xml:space="preserve"> </w:t>
      </w:r>
    </w:p>
    <w:p w14:paraId="1B7565E0" w14:textId="5F6E0FB6" w:rsidR="008C3C0B" w:rsidRPr="00230BC2" w:rsidRDefault="00F53B7C" w:rsidP="003466FC">
      <w:pPr>
        <w:pStyle w:val="Para1"/>
      </w:pPr>
      <w:r w:rsidRPr="00230BC2">
        <w:t>W</w:t>
      </w:r>
      <w:r w:rsidR="008C3C0B" w:rsidRPr="00230BC2">
        <w:t xml:space="preserve">orking </w:t>
      </w:r>
      <w:r w:rsidRPr="00230BC2">
        <w:t>G</w:t>
      </w:r>
      <w:r w:rsidR="008C3C0B" w:rsidRPr="00230BC2">
        <w:t xml:space="preserve">roup </w:t>
      </w:r>
      <w:r w:rsidRPr="00230BC2">
        <w:t xml:space="preserve">II </w:t>
      </w:r>
      <w:r w:rsidR="008C3C0B" w:rsidRPr="00230BC2">
        <w:t>establish</w:t>
      </w:r>
      <w:r w:rsidR="002206DF" w:rsidRPr="00230BC2">
        <w:t>ed</w:t>
      </w:r>
      <w:r w:rsidR="008C3C0B" w:rsidRPr="00230BC2">
        <w:t xml:space="preserve"> an open</w:t>
      </w:r>
      <w:r w:rsidR="00CF0EAE" w:rsidRPr="00230BC2">
        <w:t>-ended</w:t>
      </w:r>
      <w:r w:rsidR="008C3C0B" w:rsidRPr="00230BC2">
        <w:t xml:space="preserve"> group of friends of the </w:t>
      </w:r>
      <w:r w:rsidR="00354FB4" w:rsidRPr="00230BC2">
        <w:t>C</w:t>
      </w:r>
      <w:r w:rsidR="008C3C0B" w:rsidRPr="00230BC2">
        <w:t>hair, facilitated by Senka Barudanovi</w:t>
      </w:r>
      <w:r w:rsidR="008814D8" w:rsidRPr="00230BC2">
        <w:t>ć</w:t>
      </w:r>
      <w:r w:rsidR="008C3C0B" w:rsidRPr="00230BC2">
        <w:t xml:space="preserve"> (Bosnia and Herzegovina) and Azalia binti Mohamed (Malaysia), to discuss the matter</w:t>
      </w:r>
      <w:r w:rsidR="00D808BE" w:rsidRPr="00230BC2">
        <w:t xml:space="preserve"> further</w:t>
      </w:r>
      <w:r w:rsidR="008C3C0B" w:rsidRPr="00230BC2">
        <w:t xml:space="preserve">. </w:t>
      </w:r>
    </w:p>
    <w:p w14:paraId="5CDE8EFE" w14:textId="045F1E32" w:rsidR="008C3C0B" w:rsidRPr="00230BC2" w:rsidRDefault="008C3C0B" w:rsidP="003466FC">
      <w:pPr>
        <w:pStyle w:val="Para1"/>
      </w:pPr>
      <w:r w:rsidRPr="00230BC2">
        <w:t xml:space="preserve">At its </w:t>
      </w:r>
      <w:r w:rsidR="0042766B" w:rsidRPr="00230BC2">
        <w:t>7th</w:t>
      </w:r>
      <w:r w:rsidRPr="00230BC2">
        <w:t xml:space="preserve"> meeting, </w:t>
      </w:r>
      <w:r w:rsidR="00AE4C12" w:rsidRPr="00230BC2">
        <w:t>W</w:t>
      </w:r>
      <w:r w:rsidRPr="00230BC2">
        <w:t xml:space="preserve">orking </w:t>
      </w:r>
      <w:r w:rsidR="00A42981" w:rsidRPr="00230BC2">
        <w:t>G</w:t>
      </w:r>
      <w:r w:rsidRPr="00230BC2">
        <w:t xml:space="preserve">roup </w:t>
      </w:r>
      <w:r w:rsidR="00A42981" w:rsidRPr="00230BC2">
        <w:t xml:space="preserve">II </w:t>
      </w:r>
      <w:r w:rsidRPr="00230BC2">
        <w:t xml:space="preserve">heard a report </w:t>
      </w:r>
      <w:r w:rsidR="00053B18" w:rsidRPr="00230BC2">
        <w:t xml:space="preserve">from </w:t>
      </w:r>
      <w:r w:rsidRPr="00230BC2">
        <w:t xml:space="preserve">the co-facilitators of the group of friends of the </w:t>
      </w:r>
      <w:r w:rsidR="00AE4C12" w:rsidRPr="00230BC2">
        <w:t>C</w:t>
      </w:r>
      <w:r w:rsidRPr="00230BC2">
        <w:t xml:space="preserve">hair, following which it considered a revised draft decision submitted by </w:t>
      </w:r>
      <w:r w:rsidR="00583A9B"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w:t>
      </w:r>
      <w:r w:rsidRPr="00230BC2">
        <w:rPr>
          <w:rFonts w:eastAsia="Batang"/>
        </w:rPr>
        <w:t>.12.</w:t>
      </w:r>
    </w:p>
    <w:p w14:paraId="14FA7707" w14:textId="1B54530C" w:rsidR="009A2676" w:rsidRPr="00230BC2" w:rsidRDefault="009A2676" w:rsidP="003466FC">
      <w:pPr>
        <w:pStyle w:val="Para1"/>
        <w:rPr>
          <w:b/>
          <w:bCs/>
        </w:rPr>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decision</w:t>
      </w:r>
      <w:r w:rsidR="00150907" w:rsidRPr="00230BC2">
        <w:t> </w:t>
      </w:r>
      <w:r w:rsidRPr="00230BC2">
        <w:t>15/</w:t>
      </w:r>
      <w:r w:rsidR="00CD5E5D" w:rsidRPr="00230BC2">
        <w:t>27</w:t>
      </w:r>
      <w:r w:rsidRPr="00230BC2">
        <w:t>.</w:t>
      </w:r>
    </w:p>
    <w:p w14:paraId="03B0417D" w14:textId="4CBC4BCE" w:rsidR="0061275F"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Item 2</w:t>
      </w:r>
      <w:r w:rsidR="00CD702A" w:rsidRPr="00EE6F7F">
        <w:rPr>
          <w:b/>
          <w:bCs/>
          <w:snapToGrid w:val="0"/>
          <w:kern w:val="22"/>
          <w:szCs w:val="22"/>
        </w:rPr>
        <w:t>2</w:t>
      </w:r>
      <w:r w:rsidRPr="00EE6F7F">
        <w:rPr>
          <w:b/>
          <w:bCs/>
          <w:snapToGrid w:val="0"/>
          <w:kern w:val="22"/>
          <w:szCs w:val="22"/>
        </w:rPr>
        <w:t>.</w:t>
      </w:r>
      <w:r w:rsidRPr="00EE6F7F">
        <w:rPr>
          <w:b/>
          <w:bCs/>
          <w:snapToGrid w:val="0"/>
          <w:kern w:val="22"/>
          <w:szCs w:val="22"/>
        </w:rPr>
        <w:tab/>
        <w:t xml:space="preserve">Sustainable </w:t>
      </w:r>
      <w:r w:rsidR="002F6FCC" w:rsidRPr="00EE6F7F">
        <w:rPr>
          <w:b/>
          <w:bCs/>
          <w:snapToGrid w:val="0"/>
          <w:kern w:val="22"/>
          <w:szCs w:val="22"/>
        </w:rPr>
        <w:t>w</w:t>
      </w:r>
      <w:r w:rsidRPr="00EE6F7F">
        <w:rPr>
          <w:b/>
          <w:bCs/>
          <w:snapToGrid w:val="0"/>
          <w:kern w:val="22"/>
          <w:szCs w:val="22"/>
        </w:rPr>
        <w:t xml:space="preserve">ildlife </w:t>
      </w:r>
      <w:r w:rsidR="002F6FCC" w:rsidRPr="00EE6F7F">
        <w:rPr>
          <w:b/>
          <w:bCs/>
          <w:snapToGrid w:val="0"/>
          <w:kern w:val="22"/>
          <w:szCs w:val="22"/>
        </w:rPr>
        <w:t>m</w:t>
      </w:r>
      <w:r w:rsidRPr="00EE6F7F">
        <w:rPr>
          <w:b/>
          <w:bCs/>
          <w:snapToGrid w:val="0"/>
          <w:kern w:val="22"/>
          <w:szCs w:val="22"/>
        </w:rPr>
        <w:t>anagement</w:t>
      </w:r>
    </w:p>
    <w:p w14:paraId="3C504640" w14:textId="7B14F23F" w:rsidR="006B7D7F" w:rsidRPr="00230BC2" w:rsidRDefault="006B7D7F" w:rsidP="003466FC">
      <w:pPr>
        <w:pStyle w:val="Para1"/>
      </w:pPr>
      <w:bookmarkStart w:id="458" w:name="_Hlk121558804"/>
      <w:r w:rsidRPr="00230BC2">
        <w:t xml:space="preserve">Working </w:t>
      </w:r>
      <w:r w:rsidR="003873C8" w:rsidRPr="00230BC2">
        <w:t>G</w:t>
      </w:r>
      <w:r w:rsidRPr="00230BC2">
        <w:t xml:space="preserve">roup II </w:t>
      </w:r>
      <w:r w:rsidR="00B3219B" w:rsidRPr="00230BC2">
        <w:t>considered</w:t>
      </w:r>
      <w:r w:rsidR="00632DD1" w:rsidRPr="00230BC2">
        <w:t xml:space="preserve"> agenda</w:t>
      </w:r>
      <w:r w:rsidRPr="00230BC2">
        <w:t xml:space="preserve"> item 22 at its </w:t>
      </w:r>
      <w:r w:rsidR="00E67935" w:rsidRPr="00230BC2">
        <w:t>2nd</w:t>
      </w:r>
      <w:r w:rsidRPr="00230BC2">
        <w:t xml:space="preserve"> meeting</w:t>
      </w:r>
      <w:r w:rsidR="009D6341" w:rsidRPr="00230BC2">
        <w:t>.</w:t>
      </w:r>
      <w:r w:rsidRPr="00230BC2">
        <w:t xml:space="preserve"> </w:t>
      </w:r>
      <w:r w:rsidR="000A734E" w:rsidRPr="00230BC2">
        <w:t>It</w:t>
      </w:r>
      <w:r w:rsidR="00A42981" w:rsidRPr="00230BC2">
        <w:t xml:space="preserve"> </w:t>
      </w:r>
      <w:r w:rsidRPr="00230BC2">
        <w:t>had before it a draft decision based on recommendation 23/3 of the Subsidiary Body on Scientific, Technical and Technological Advice</w:t>
      </w:r>
      <w:r w:rsidR="004020F2" w:rsidRPr="00230BC2">
        <w:t>,</w:t>
      </w:r>
      <w:r w:rsidRPr="00230BC2">
        <w:t xml:space="preserve"> </w:t>
      </w:r>
      <w:r w:rsidR="0091761B" w:rsidRPr="00230BC2">
        <w:t xml:space="preserve">as </w:t>
      </w:r>
      <w:r w:rsidRPr="00230BC2">
        <w:t>set out in the compilation of draft decisions</w:t>
      </w:r>
      <w:r w:rsidR="006E2346" w:rsidRPr="00230BC2">
        <w:t>.</w:t>
      </w:r>
      <w:r w:rsidRPr="00230BC2">
        <w:t xml:space="preserve"> </w:t>
      </w:r>
    </w:p>
    <w:p w14:paraId="6EA3CB9B" w14:textId="2460E69D" w:rsidR="006B7D7F" w:rsidRPr="00230BC2" w:rsidRDefault="00F53B7C" w:rsidP="003466FC">
      <w:pPr>
        <w:pStyle w:val="Para1"/>
      </w:pPr>
      <w:r w:rsidRPr="00230BC2">
        <w:t>W</w:t>
      </w:r>
      <w:r w:rsidR="006B7D7F" w:rsidRPr="00230BC2">
        <w:t xml:space="preserve">orking </w:t>
      </w:r>
      <w:r w:rsidRPr="00230BC2">
        <w:t>G</w:t>
      </w:r>
      <w:r w:rsidR="006B7D7F" w:rsidRPr="00230BC2">
        <w:t xml:space="preserve">roup </w:t>
      </w:r>
      <w:r w:rsidRPr="00230BC2">
        <w:t xml:space="preserve">II </w:t>
      </w:r>
      <w:r w:rsidR="006B7D7F" w:rsidRPr="00230BC2">
        <w:t xml:space="preserve">agreed that </w:t>
      </w:r>
      <w:r w:rsidR="00C44B53" w:rsidRPr="00230BC2">
        <w:t xml:space="preserve">its </w:t>
      </w:r>
      <w:r w:rsidR="006B7D7F" w:rsidRPr="00230BC2">
        <w:t xml:space="preserve">Chair would submit the draft decision as a conference room paper for </w:t>
      </w:r>
      <w:r w:rsidR="00CD1042" w:rsidRPr="00230BC2">
        <w:t xml:space="preserve">the </w:t>
      </w:r>
      <w:r w:rsidR="004C3867" w:rsidRPr="00230BC2">
        <w:t xml:space="preserve">Group’s </w:t>
      </w:r>
      <w:r w:rsidR="006B7D7F" w:rsidRPr="00230BC2">
        <w:t>consideration.</w:t>
      </w:r>
    </w:p>
    <w:p w14:paraId="7C7F5797" w14:textId="3ECD700B" w:rsidR="006B7D7F" w:rsidRPr="00230BC2" w:rsidRDefault="006B7D7F" w:rsidP="003466FC">
      <w:pPr>
        <w:pStyle w:val="Para1"/>
      </w:pPr>
      <w:r w:rsidRPr="00230BC2">
        <w:t xml:space="preserve">At its </w:t>
      </w:r>
      <w:r w:rsidR="00E67935" w:rsidRPr="00230BC2">
        <w:t>4th</w:t>
      </w:r>
      <w:r w:rsidRPr="00230BC2">
        <w:t xml:space="preserve"> meeting, </w:t>
      </w:r>
      <w:r w:rsidR="00C9498A" w:rsidRPr="00230BC2">
        <w:t>W</w:t>
      </w:r>
      <w:r w:rsidRPr="00230BC2">
        <w:t xml:space="preserve">orking </w:t>
      </w:r>
      <w:r w:rsidR="00C9498A" w:rsidRPr="00230BC2">
        <w:t>G</w:t>
      </w:r>
      <w:r w:rsidRPr="00230BC2">
        <w:t xml:space="preserve">roup </w:t>
      </w:r>
      <w:r w:rsidR="00C9498A" w:rsidRPr="00230BC2">
        <w:t xml:space="preserve">II </w:t>
      </w:r>
      <w:r w:rsidRPr="00230BC2">
        <w:t xml:space="preserve">considered the draft decision submitted by </w:t>
      </w:r>
      <w:r w:rsidR="00FC7839"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w:t>
      </w:r>
      <w:r w:rsidRPr="00230BC2">
        <w:rPr>
          <w:rFonts w:eastAsia="Batang"/>
        </w:rPr>
        <w:t>.5.</w:t>
      </w:r>
      <w:bookmarkEnd w:id="458"/>
    </w:p>
    <w:p w14:paraId="3D2F427B" w14:textId="1DF2B384" w:rsidR="005008CC" w:rsidRPr="00230BC2" w:rsidRDefault="005008CC" w:rsidP="003466FC">
      <w:pPr>
        <w:pStyle w:val="Para1"/>
      </w:pPr>
      <w:r w:rsidRPr="00230BC2">
        <w:t xml:space="preserve">At </w:t>
      </w:r>
      <w:r w:rsidR="00573DFE" w:rsidRPr="00230BC2">
        <w:t xml:space="preserve">its </w:t>
      </w:r>
      <w:r w:rsidR="00E67935" w:rsidRPr="00230BC2">
        <w:t>2nd</w:t>
      </w:r>
      <w:r w:rsidRPr="00230BC2">
        <w:t xml:space="preserve"> </w:t>
      </w:r>
      <w:r w:rsidR="004A478A" w:rsidRPr="00230BC2">
        <w:t xml:space="preserve">plenary </w:t>
      </w:r>
      <w:r w:rsidRPr="00230BC2">
        <w:t>session</w:t>
      </w:r>
      <w:r w:rsidR="00393ACA" w:rsidRPr="00230BC2">
        <w:t>,</w:t>
      </w:r>
      <w:r w:rsidRPr="00230BC2">
        <w:t xml:space="preserve"> the Conference of</w:t>
      </w:r>
      <w:r w:rsidR="002D2191" w:rsidRPr="00230BC2">
        <w:t xml:space="preserve"> </w:t>
      </w:r>
      <w:r w:rsidRPr="00230BC2">
        <w:t xml:space="preserve">the Parties </w:t>
      </w:r>
      <w:r w:rsidR="00B37794" w:rsidRPr="00230BC2">
        <w:t xml:space="preserve">adopted </w:t>
      </w:r>
      <w:r w:rsidR="00073F9D" w:rsidRPr="00230BC2">
        <w:t xml:space="preserve">the </w:t>
      </w:r>
      <w:r w:rsidRPr="00230BC2">
        <w:t>draft decision as decision</w:t>
      </w:r>
      <w:r w:rsidR="00341456" w:rsidRPr="00230BC2">
        <w:t> </w:t>
      </w:r>
      <w:r w:rsidRPr="00230BC2">
        <w:t>15/</w:t>
      </w:r>
      <w:r w:rsidR="00540DCB" w:rsidRPr="00230BC2">
        <w:t>23</w:t>
      </w:r>
      <w:r w:rsidRPr="00230BC2">
        <w:t>.</w:t>
      </w:r>
    </w:p>
    <w:p w14:paraId="59163C9A" w14:textId="12C46112" w:rsidR="005008CC" w:rsidRPr="00230BC2" w:rsidRDefault="005008CC" w:rsidP="003466FC">
      <w:pPr>
        <w:pStyle w:val="Para1"/>
      </w:pPr>
      <w:r w:rsidRPr="00230BC2">
        <w:t>A statement was made by the representative of the Collaborative Partnership on Sustainable Wildlife Management.</w:t>
      </w:r>
    </w:p>
    <w:p w14:paraId="23C6BB38" w14:textId="41FADD7B" w:rsidR="0061275F"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Item 2</w:t>
      </w:r>
      <w:r w:rsidR="00CD702A" w:rsidRPr="00EE6F7F">
        <w:rPr>
          <w:b/>
          <w:bCs/>
          <w:snapToGrid w:val="0"/>
          <w:kern w:val="22"/>
          <w:szCs w:val="22"/>
        </w:rPr>
        <w:t>3</w:t>
      </w:r>
      <w:r w:rsidRPr="00EE6F7F">
        <w:rPr>
          <w:b/>
          <w:bCs/>
          <w:snapToGrid w:val="0"/>
          <w:kern w:val="22"/>
          <w:szCs w:val="22"/>
        </w:rPr>
        <w:t>.</w:t>
      </w:r>
      <w:r w:rsidRPr="00EE6F7F">
        <w:rPr>
          <w:b/>
          <w:bCs/>
          <w:snapToGrid w:val="0"/>
          <w:kern w:val="22"/>
          <w:szCs w:val="22"/>
        </w:rPr>
        <w:tab/>
        <w:t>Biodiversity and climate change</w:t>
      </w:r>
    </w:p>
    <w:p w14:paraId="2F109765" w14:textId="79F2E279" w:rsidR="00000195" w:rsidRPr="00230BC2" w:rsidRDefault="00000195" w:rsidP="003466FC">
      <w:pPr>
        <w:pStyle w:val="Para1"/>
      </w:pPr>
      <w:r w:rsidRPr="00230BC2">
        <w:t xml:space="preserve">Working </w:t>
      </w:r>
      <w:r w:rsidR="003873C8" w:rsidRPr="00230BC2">
        <w:t>G</w:t>
      </w:r>
      <w:r w:rsidRPr="00230BC2">
        <w:t xml:space="preserve">roup II </w:t>
      </w:r>
      <w:r w:rsidR="00B3219B" w:rsidRPr="00230BC2">
        <w:t>considered</w:t>
      </w:r>
      <w:r w:rsidR="00632DD1" w:rsidRPr="00230BC2">
        <w:t xml:space="preserve"> agenda</w:t>
      </w:r>
      <w:r w:rsidRPr="00230BC2">
        <w:t xml:space="preserve"> item 23 at its </w:t>
      </w:r>
      <w:r w:rsidR="00E67935" w:rsidRPr="00230BC2">
        <w:t>2nd</w:t>
      </w:r>
      <w:r w:rsidRPr="00230BC2">
        <w:t xml:space="preserve"> meeting</w:t>
      </w:r>
      <w:r w:rsidR="009D6341" w:rsidRPr="00230BC2">
        <w:t>.</w:t>
      </w:r>
      <w:r w:rsidRPr="00230BC2">
        <w:t xml:space="preserve"> </w:t>
      </w:r>
      <w:r w:rsidR="000A734E" w:rsidRPr="00230BC2">
        <w:t>It</w:t>
      </w:r>
      <w:r w:rsidR="00C9498A" w:rsidRPr="00230BC2">
        <w:t xml:space="preserve"> </w:t>
      </w:r>
      <w:r w:rsidRPr="00230BC2">
        <w:t>had before it a draft decision based on recommendation 23/2 of the Subsidiary Body on Scientific, Technical and Technological Advice</w:t>
      </w:r>
      <w:r w:rsidR="00DA2B4B" w:rsidRPr="00230BC2">
        <w:t>,</w:t>
      </w:r>
      <w:r w:rsidRPr="00230BC2">
        <w:t xml:space="preserve"> </w:t>
      </w:r>
      <w:r w:rsidR="0091761B" w:rsidRPr="00230BC2">
        <w:t xml:space="preserve">as </w:t>
      </w:r>
      <w:r w:rsidRPr="00230BC2">
        <w:t>set out in the compilation of draft decisions</w:t>
      </w:r>
      <w:r w:rsidR="00E072FB" w:rsidRPr="00230BC2">
        <w:t>,</w:t>
      </w:r>
      <w:r w:rsidRPr="00230BC2">
        <w:t xml:space="preserve"> </w:t>
      </w:r>
      <w:r w:rsidR="00E072FB" w:rsidRPr="00230BC2">
        <w:t xml:space="preserve">as well as </w:t>
      </w:r>
      <w:r w:rsidRPr="00230BC2">
        <w:t xml:space="preserve">a </w:t>
      </w:r>
      <w:r w:rsidR="00D349DC" w:rsidRPr="00230BC2">
        <w:t xml:space="preserve">note by the Executive Secretary </w:t>
      </w:r>
      <w:r w:rsidR="00B453DE" w:rsidRPr="00230BC2">
        <w:t>containing</w:t>
      </w:r>
      <w:r w:rsidR="00D349DC" w:rsidRPr="00230BC2">
        <w:t xml:space="preserve"> </w:t>
      </w:r>
      <w:r w:rsidRPr="00230BC2">
        <w:t>supplementary information to the review of new scientific and technical information on biodiversity and climate change and potential implications for the work of the Convention (CBD/COP/</w:t>
      </w:r>
      <w:r w:rsidR="009B68DB" w:rsidRPr="00230BC2">
        <w:t>15/</w:t>
      </w:r>
      <w:r w:rsidRPr="00230BC2">
        <w:t>INF/21).</w:t>
      </w:r>
    </w:p>
    <w:p w14:paraId="2A8CD91B" w14:textId="1B72A274" w:rsidR="00000195" w:rsidRPr="00230BC2" w:rsidRDefault="00F53B7C" w:rsidP="003466FC">
      <w:pPr>
        <w:pStyle w:val="Para1"/>
      </w:pPr>
      <w:r w:rsidRPr="00230BC2">
        <w:t>W</w:t>
      </w:r>
      <w:r w:rsidR="00000195" w:rsidRPr="00230BC2">
        <w:t xml:space="preserve">orking </w:t>
      </w:r>
      <w:r w:rsidRPr="00230BC2">
        <w:t>G</w:t>
      </w:r>
      <w:r w:rsidR="00000195" w:rsidRPr="00230BC2">
        <w:t xml:space="preserve">roup </w:t>
      </w:r>
      <w:r w:rsidRPr="00230BC2">
        <w:t xml:space="preserve">II </w:t>
      </w:r>
      <w:r w:rsidR="00000195" w:rsidRPr="00230BC2">
        <w:t>establish</w:t>
      </w:r>
      <w:r w:rsidR="002206DF" w:rsidRPr="00230BC2">
        <w:t>ed</w:t>
      </w:r>
      <w:r w:rsidR="00000195" w:rsidRPr="00230BC2">
        <w:t xml:space="preserve"> an open</w:t>
      </w:r>
      <w:r w:rsidR="00CF0EAE" w:rsidRPr="00230BC2">
        <w:t>-ended</w:t>
      </w:r>
      <w:r w:rsidR="00000195" w:rsidRPr="00230BC2">
        <w:t xml:space="preserve"> group of friends of the </w:t>
      </w:r>
      <w:r w:rsidR="00354FB4" w:rsidRPr="00230BC2">
        <w:t>C</w:t>
      </w:r>
      <w:r w:rsidR="00000195" w:rsidRPr="00230BC2">
        <w:t xml:space="preserve">hair, co-facilitated by Sigurdur Thrainsson (Iceland) and Rita El Zaghloul (Costa Rica), to discuss the matter </w:t>
      </w:r>
      <w:r w:rsidR="00D808BE" w:rsidRPr="00230BC2">
        <w:t xml:space="preserve">further </w:t>
      </w:r>
      <w:r w:rsidR="00000195" w:rsidRPr="00230BC2">
        <w:t xml:space="preserve">and enable the Chair to prepare a revised draft decision for the </w:t>
      </w:r>
      <w:r w:rsidR="00583FC8" w:rsidRPr="00230BC2">
        <w:t>G</w:t>
      </w:r>
      <w:r w:rsidR="00000195" w:rsidRPr="00230BC2">
        <w:t>roup’s consideration.</w:t>
      </w:r>
    </w:p>
    <w:p w14:paraId="7871AB5C" w14:textId="356C4464" w:rsidR="00000195" w:rsidRPr="00230BC2" w:rsidRDefault="00000195" w:rsidP="003466FC">
      <w:pPr>
        <w:pStyle w:val="Para1"/>
      </w:pPr>
      <w:r w:rsidRPr="00230BC2">
        <w:t xml:space="preserve">At its </w:t>
      </w:r>
      <w:r w:rsidR="00E67935" w:rsidRPr="00230BC2">
        <w:t>4th</w:t>
      </w:r>
      <w:r w:rsidRPr="00230BC2">
        <w:t xml:space="preserve"> meeting, </w:t>
      </w:r>
      <w:r w:rsidR="00C9498A" w:rsidRPr="00230BC2">
        <w:t>W</w:t>
      </w:r>
      <w:r w:rsidRPr="00230BC2">
        <w:t xml:space="preserve">orking </w:t>
      </w:r>
      <w:r w:rsidR="00C9498A" w:rsidRPr="00230BC2">
        <w:t>G</w:t>
      </w:r>
      <w:r w:rsidRPr="00230BC2">
        <w:t xml:space="preserve">roup </w:t>
      </w:r>
      <w:r w:rsidR="00C9498A" w:rsidRPr="00230BC2">
        <w:t xml:space="preserve">II </w:t>
      </w:r>
      <w:r w:rsidRPr="00230BC2">
        <w:t xml:space="preserve">heard an interim progress report on the work of the group of friends of the </w:t>
      </w:r>
      <w:r w:rsidR="00354FB4" w:rsidRPr="00230BC2">
        <w:t>C</w:t>
      </w:r>
      <w:r w:rsidRPr="00230BC2">
        <w:t>hair.</w:t>
      </w:r>
    </w:p>
    <w:p w14:paraId="3BC7DE5C" w14:textId="4131D08C" w:rsidR="00000195" w:rsidRPr="00230BC2" w:rsidRDefault="00000195" w:rsidP="003466FC">
      <w:pPr>
        <w:pStyle w:val="Para1"/>
      </w:pPr>
      <w:r w:rsidRPr="00230BC2">
        <w:t xml:space="preserve">At its </w:t>
      </w:r>
      <w:r w:rsidR="0042766B" w:rsidRPr="00230BC2">
        <w:t>9th</w:t>
      </w:r>
      <w:r w:rsidRPr="00230BC2">
        <w:t xml:space="preserve"> meeting, on 16 December, </w:t>
      </w:r>
      <w:r w:rsidR="00C9498A" w:rsidRPr="00230BC2">
        <w:t>W</w:t>
      </w:r>
      <w:r w:rsidRPr="00230BC2">
        <w:t xml:space="preserve">orking </w:t>
      </w:r>
      <w:r w:rsidR="00C9498A" w:rsidRPr="00230BC2">
        <w:t>G</w:t>
      </w:r>
      <w:r w:rsidRPr="00230BC2">
        <w:t xml:space="preserve">roup </w:t>
      </w:r>
      <w:r w:rsidR="00C9498A" w:rsidRPr="00230BC2">
        <w:t xml:space="preserve">II </w:t>
      </w:r>
      <w:r w:rsidRPr="00230BC2">
        <w:t xml:space="preserve">heard a report from </w:t>
      </w:r>
      <w:r w:rsidR="00CA378A" w:rsidRPr="00230BC2">
        <w:t xml:space="preserve">one of </w:t>
      </w:r>
      <w:r w:rsidRPr="00230BC2">
        <w:t>the co-facilitator</w:t>
      </w:r>
      <w:r w:rsidR="00CA378A" w:rsidRPr="00230BC2">
        <w:t>s</w:t>
      </w:r>
      <w:r w:rsidRPr="00230BC2">
        <w:t xml:space="preserve"> of the group of friends of the </w:t>
      </w:r>
      <w:r w:rsidR="00354FB4" w:rsidRPr="00230BC2">
        <w:t>C</w:t>
      </w:r>
      <w:r w:rsidRPr="00230BC2">
        <w:t xml:space="preserve">hair, which had subsequently been converted to a contact group. </w:t>
      </w:r>
      <w:r w:rsidR="00643479" w:rsidRPr="00230BC2">
        <w:t>W</w:t>
      </w:r>
      <w:r w:rsidRPr="00230BC2">
        <w:t xml:space="preserve">orking </w:t>
      </w:r>
      <w:r w:rsidR="00643479" w:rsidRPr="00230BC2">
        <w:t>G</w:t>
      </w:r>
      <w:r w:rsidRPr="00230BC2">
        <w:t xml:space="preserve">roup </w:t>
      </w:r>
      <w:r w:rsidR="00643479" w:rsidRPr="00230BC2">
        <w:t xml:space="preserve">II </w:t>
      </w:r>
      <w:r w:rsidRPr="00230BC2">
        <w:t xml:space="preserve">then considered a revised draft decision submitted by </w:t>
      </w:r>
      <w:r w:rsidR="00AE4C12" w:rsidRPr="00230BC2">
        <w:t xml:space="preserve">its </w:t>
      </w:r>
      <w:r w:rsidRPr="00230BC2">
        <w:t>Chair.</w:t>
      </w:r>
    </w:p>
    <w:p w14:paraId="7DAA45A9" w14:textId="215822CB" w:rsidR="00000195" w:rsidRPr="00230BC2" w:rsidRDefault="00000195" w:rsidP="003466FC">
      <w:pPr>
        <w:pStyle w:val="Para1"/>
      </w:pPr>
      <w:r w:rsidRPr="00230BC2">
        <w:t xml:space="preserve">Statements were made by representatives of </w:t>
      </w:r>
      <w:r w:rsidR="0051107D" w:rsidRPr="00230BC2">
        <w:t xml:space="preserve">the following Parties: </w:t>
      </w:r>
      <w:r w:rsidRPr="00230BC2">
        <w:t>Algeria, Argentina, Australia, Brazil, Canada, Colombia, Ethiopia, European Union and its 27 member States, Honduras, Indonesia, Iran (Islamic Republic of), Japan, Morocco, Norway, Philippines, South Africa, Sri Lanka, Switzerland, Uganda, United Kingdom and Uruguay.</w:t>
      </w:r>
    </w:p>
    <w:p w14:paraId="083F6739" w14:textId="144DFFC8" w:rsidR="00000195" w:rsidRPr="00230BC2" w:rsidRDefault="00643479" w:rsidP="003466FC">
      <w:pPr>
        <w:pStyle w:val="Para1"/>
      </w:pPr>
      <w:r w:rsidRPr="00230BC2">
        <w:t>W</w:t>
      </w:r>
      <w:r w:rsidR="00000195" w:rsidRPr="00230BC2">
        <w:t xml:space="preserve">orking </w:t>
      </w:r>
      <w:r w:rsidRPr="00230BC2">
        <w:t>G</w:t>
      </w:r>
      <w:r w:rsidR="00000195" w:rsidRPr="00230BC2">
        <w:t xml:space="preserve">roup </w:t>
      </w:r>
      <w:r w:rsidRPr="00230BC2">
        <w:t xml:space="preserve">II </w:t>
      </w:r>
      <w:r w:rsidR="00000195" w:rsidRPr="00230BC2">
        <w:t xml:space="preserve">agreed that </w:t>
      </w:r>
      <w:r w:rsidR="00C44B53" w:rsidRPr="00230BC2">
        <w:t xml:space="preserve">its </w:t>
      </w:r>
      <w:r w:rsidR="00000195" w:rsidRPr="00230BC2">
        <w:t xml:space="preserve">Chair would prepare a further revised draft decision for </w:t>
      </w:r>
      <w:r w:rsidR="00CD1042" w:rsidRPr="00230BC2">
        <w:t xml:space="preserve">the </w:t>
      </w:r>
      <w:r w:rsidR="004C3867" w:rsidRPr="00230BC2">
        <w:t xml:space="preserve">Group’s </w:t>
      </w:r>
      <w:r w:rsidR="00000195" w:rsidRPr="00230BC2">
        <w:t>consideration, taking account of the statements made.</w:t>
      </w:r>
    </w:p>
    <w:p w14:paraId="3DA62775" w14:textId="36D9B061" w:rsidR="00000195" w:rsidRPr="00230BC2" w:rsidRDefault="00000195" w:rsidP="003466FC">
      <w:pPr>
        <w:pStyle w:val="Para1"/>
      </w:pPr>
      <w:r w:rsidRPr="00230BC2">
        <w:t xml:space="preserve">At its </w:t>
      </w:r>
      <w:r w:rsidR="0042766B" w:rsidRPr="00230BC2">
        <w:t>10th</w:t>
      </w:r>
      <w:r w:rsidRPr="00230BC2">
        <w:t xml:space="preserve"> meeting, </w:t>
      </w:r>
      <w:r w:rsidR="00C9498A" w:rsidRPr="00230BC2">
        <w:t>W</w:t>
      </w:r>
      <w:r w:rsidRPr="00230BC2">
        <w:t xml:space="preserve">orking </w:t>
      </w:r>
      <w:r w:rsidR="00C9498A" w:rsidRPr="00230BC2">
        <w:t>G</w:t>
      </w:r>
      <w:r w:rsidRPr="00230BC2">
        <w:t xml:space="preserve">roup </w:t>
      </w:r>
      <w:r w:rsidR="00C9498A" w:rsidRPr="00230BC2">
        <w:t xml:space="preserve">II </w:t>
      </w:r>
      <w:r w:rsidRPr="00230BC2">
        <w:t xml:space="preserve">considered the revised draft decision submitted by </w:t>
      </w:r>
      <w:r w:rsidR="00AE4C12"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w:t>
      </w:r>
      <w:r w:rsidRPr="00230BC2">
        <w:rPr>
          <w:rFonts w:eastAsia="Batang"/>
        </w:rPr>
        <w:t>.19.</w:t>
      </w:r>
    </w:p>
    <w:p w14:paraId="418AE0A2" w14:textId="02DD8E32" w:rsidR="00FB6E21" w:rsidRPr="00230BC2" w:rsidRDefault="00FB6E21" w:rsidP="003466FC">
      <w:pPr>
        <w:pStyle w:val="Para1"/>
        <w:rPr>
          <w:b/>
          <w:bCs/>
        </w:rPr>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decision</w:t>
      </w:r>
      <w:r w:rsidR="009842DC" w:rsidRPr="00230BC2">
        <w:t> </w:t>
      </w:r>
      <w:r w:rsidRPr="00230BC2">
        <w:t>15/</w:t>
      </w:r>
      <w:r w:rsidR="00540DCB" w:rsidRPr="00230BC2">
        <w:t>30</w:t>
      </w:r>
      <w:r w:rsidRPr="00230BC2">
        <w:t>.</w:t>
      </w:r>
    </w:p>
    <w:p w14:paraId="6C8B61C6" w14:textId="1CDB39AE" w:rsidR="00FA158B" w:rsidRPr="00230BC2" w:rsidRDefault="00FA158B" w:rsidP="003466FC">
      <w:pPr>
        <w:pStyle w:val="Para1"/>
        <w:rPr>
          <w:b/>
          <w:bCs/>
        </w:rPr>
      </w:pPr>
      <w:r w:rsidRPr="00230BC2">
        <w:t xml:space="preserve">Following </w:t>
      </w:r>
      <w:r w:rsidR="00B32751" w:rsidRPr="00230BC2">
        <w:t xml:space="preserve">the </w:t>
      </w:r>
      <w:r w:rsidRPr="00230BC2">
        <w:t xml:space="preserve">adoption, the representative of the European Union and its 27 </w:t>
      </w:r>
      <w:r w:rsidR="002A510B" w:rsidRPr="00230BC2">
        <w:t>m</w:t>
      </w:r>
      <w:r w:rsidRPr="00230BC2">
        <w:t xml:space="preserve">ember States, asking that her comments be reflected in the present report, voiced regret that, </w:t>
      </w:r>
      <w:r w:rsidR="00DD18CF" w:rsidRPr="00230BC2">
        <w:t>owing</w:t>
      </w:r>
      <w:r w:rsidRPr="00230BC2">
        <w:t xml:space="preserve"> to the opposition of some Parties, the decision made no reference to United Nations Environment Assembly resolution 5/5, on nature-based solutions for supporting sustainable development, which had been </w:t>
      </w:r>
      <w:r w:rsidR="00A53BDC" w:rsidRPr="00230BC2">
        <w:t>acknowledged</w:t>
      </w:r>
      <w:r w:rsidRPr="00230BC2">
        <w:t xml:space="preserve"> as an important milestone in recognizing the crucial link between biodiversity and climate change in recent decisions </w:t>
      </w:r>
      <w:r w:rsidRPr="00230BC2">
        <w:rPr>
          <w:color w:val="000000" w:themeColor="text1"/>
        </w:rPr>
        <w:t>by the Conference of the Parties to the United Nations Framework Convention on Climate Change and</w:t>
      </w:r>
      <w:r w:rsidR="00C8732D" w:rsidRPr="00230BC2">
        <w:rPr>
          <w:color w:val="000000" w:themeColor="text1"/>
        </w:rPr>
        <w:t xml:space="preserve"> </w:t>
      </w:r>
      <w:r w:rsidR="00B845FE" w:rsidRPr="00230BC2">
        <w:rPr>
          <w:color w:val="000000" w:themeColor="text1"/>
        </w:rPr>
        <w:t xml:space="preserve">the Conference of the Parties </w:t>
      </w:r>
      <w:r w:rsidR="00C8732D" w:rsidRPr="00230BC2">
        <w:rPr>
          <w:color w:val="000000" w:themeColor="text1"/>
        </w:rPr>
        <w:t>to</w:t>
      </w:r>
      <w:r w:rsidRPr="00230BC2">
        <w:rPr>
          <w:color w:val="000000" w:themeColor="text1"/>
        </w:rPr>
        <w:t xml:space="preserve"> the </w:t>
      </w:r>
      <w:r w:rsidRPr="00230BC2">
        <w:rPr>
          <w:color w:val="000000" w:themeColor="text1"/>
          <w:shd w:val="clear" w:color="auto" w:fill="FFFFFF"/>
        </w:rPr>
        <w:t>Convention on Wetlands of International Importance especially as Waterfowl Habitat</w:t>
      </w:r>
      <w:r w:rsidRPr="00230BC2">
        <w:rPr>
          <w:color w:val="000000" w:themeColor="text1"/>
        </w:rPr>
        <w:t>.</w:t>
      </w:r>
    </w:p>
    <w:p w14:paraId="50DBCDAE" w14:textId="5E9B4874" w:rsidR="0061275F"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Item 2</w:t>
      </w:r>
      <w:r w:rsidR="00CD702A" w:rsidRPr="00EE6F7F">
        <w:rPr>
          <w:b/>
          <w:bCs/>
          <w:snapToGrid w:val="0"/>
          <w:kern w:val="22"/>
          <w:szCs w:val="22"/>
        </w:rPr>
        <w:t>4</w:t>
      </w:r>
      <w:r w:rsidRPr="00EE6F7F">
        <w:rPr>
          <w:b/>
          <w:bCs/>
          <w:snapToGrid w:val="0"/>
          <w:kern w:val="22"/>
          <w:szCs w:val="22"/>
        </w:rPr>
        <w:t>.</w:t>
      </w:r>
      <w:r w:rsidRPr="00EE6F7F">
        <w:rPr>
          <w:b/>
          <w:bCs/>
          <w:snapToGrid w:val="0"/>
          <w:kern w:val="22"/>
          <w:szCs w:val="22"/>
        </w:rPr>
        <w:tab/>
        <w:t>Biodiversity and agriculture</w:t>
      </w:r>
    </w:p>
    <w:p w14:paraId="611E3270" w14:textId="2A593814" w:rsidR="00D87BC7" w:rsidRPr="00230BC2" w:rsidRDefault="00D87BC7" w:rsidP="003466FC">
      <w:pPr>
        <w:pStyle w:val="Para1"/>
      </w:pPr>
      <w:r w:rsidRPr="00230BC2">
        <w:t xml:space="preserve">Working </w:t>
      </w:r>
      <w:r w:rsidR="003873C8" w:rsidRPr="00230BC2">
        <w:t>G</w:t>
      </w:r>
      <w:r w:rsidRPr="00230BC2">
        <w:t xml:space="preserve">roup II </w:t>
      </w:r>
      <w:r w:rsidR="00B3219B" w:rsidRPr="00230BC2">
        <w:t>considered</w:t>
      </w:r>
      <w:r w:rsidR="00086D60" w:rsidRPr="00230BC2">
        <w:t xml:space="preserve"> agenda</w:t>
      </w:r>
      <w:r w:rsidRPr="00230BC2">
        <w:t xml:space="preserve"> item 24 at its </w:t>
      </w:r>
      <w:r w:rsidR="00E67935" w:rsidRPr="00230BC2">
        <w:t>2nd</w:t>
      </w:r>
      <w:r w:rsidRPr="00230BC2">
        <w:t xml:space="preserve"> meeting</w:t>
      </w:r>
      <w:r w:rsidR="009D6341" w:rsidRPr="00230BC2">
        <w:t>.</w:t>
      </w:r>
      <w:r w:rsidRPr="00230BC2">
        <w:t xml:space="preserve"> </w:t>
      </w:r>
      <w:r w:rsidR="000A734E" w:rsidRPr="00230BC2">
        <w:t>It</w:t>
      </w:r>
      <w:r w:rsidR="00C9498A" w:rsidRPr="00230BC2">
        <w:t xml:space="preserve"> </w:t>
      </w:r>
      <w:r w:rsidRPr="00230BC2">
        <w:t>had before it a draft decision based on recommendation 24/6 of the Subsidiary Body on Scientific, Technical and Technological Advice</w:t>
      </w:r>
      <w:r w:rsidR="0091761B" w:rsidRPr="00230BC2">
        <w:t>,</w:t>
      </w:r>
      <w:r w:rsidRPr="00230BC2">
        <w:t xml:space="preserve"> </w:t>
      </w:r>
      <w:r w:rsidR="0091761B" w:rsidRPr="00230BC2">
        <w:t>as</w:t>
      </w:r>
      <w:r w:rsidRPr="00230BC2">
        <w:t xml:space="preserve"> set out in the compilation of draft decisions</w:t>
      </w:r>
      <w:r w:rsidR="006E2346" w:rsidRPr="00230BC2">
        <w:t>.</w:t>
      </w:r>
      <w:r w:rsidRPr="00230BC2">
        <w:t xml:space="preserve"> </w:t>
      </w:r>
    </w:p>
    <w:p w14:paraId="5E81DEBC" w14:textId="40248370" w:rsidR="00D87BC7" w:rsidRPr="00230BC2" w:rsidRDefault="00643479" w:rsidP="003466FC">
      <w:pPr>
        <w:pStyle w:val="Para1"/>
      </w:pPr>
      <w:r w:rsidRPr="00230BC2">
        <w:t>W</w:t>
      </w:r>
      <w:r w:rsidR="00D87BC7" w:rsidRPr="00230BC2">
        <w:t xml:space="preserve">orking </w:t>
      </w:r>
      <w:r w:rsidRPr="00230BC2">
        <w:t>G</w:t>
      </w:r>
      <w:r w:rsidR="00D87BC7" w:rsidRPr="00230BC2">
        <w:t xml:space="preserve">roup </w:t>
      </w:r>
      <w:r w:rsidRPr="00230BC2">
        <w:t xml:space="preserve">II </w:t>
      </w:r>
      <w:r w:rsidR="00D87BC7" w:rsidRPr="00230BC2">
        <w:t>establish</w:t>
      </w:r>
      <w:r w:rsidR="002206DF" w:rsidRPr="00230BC2">
        <w:t>ed</w:t>
      </w:r>
      <w:r w:rsidR="00D87BC7" w:rsidRPr="00230BC2">
        <w:t xml:space="preserve"> a contact group, co-chaired by Hendrik Segers (Belgium) and </w:t>
      </w:r>
      <w:r w:rsidR="00941A54" w:rsidRPr="00230BC2">
        <w:t xml:space="preserve">Mr. </w:t>
      </w:r>
      <w:r w:rsidR="00D87BC7" w:rsidRPr="00230BC2">
        <w:t>Okoree</w:t>
      </w:r>
      <w:r w:rsidR="00941A54" w:rsidRPr="00230BC2">
        <w:t>,</w:t>
      </w:r>
      <w:r w:rsidR="00D87BC7" w:rsidRPr="00230BC2">
        <w:t xml:space="preserve"> to discuss the matter</w:t>
      </w:r>
      <w:r w:rsidR="00D808BE" w:rsidRPr="00230BC2">
        <w:t xml:space="preserve"> further</w:t>
      </w:r>
      <w:r w:rsidR="00D87BC7" w:rsidRPr="00230BC2">
        <w:t>.</w:t>
      </w:r>
    </w:p>
    <w:p w14:paraId="374AA94A" w14:textId="1885297B" w:rsidR="00D87BC7" w:rsidRPr="00230BC2" w:rsidRDefault="00D87BC7" w:rsidP="003466FC">
      <w:pPr>
        <w:pStyle w:val="Para1"/>
      </w:pPr>
      <w:r w:rsidRPr="00230BC2">
        <w:t xml:space="preserve">At its </w:t>
      </w:r>
      <w:r w:rsidR="00E67935" w:rsidRPr="00230BC2">
        <w:t>4th</w:t>
      </w:r>
      <w:r w:rsidRPr="00230BC2">
        <w:t xml:space="preserve"> meeting, </w:t>
      </w:r>
      <w:r w:rsidR="00082E74" w:rsidRPr="00230BC2">
        <w:t>W</w:t>
      </w:r>
      <w:r w:rsidRPr="00230BC2">
        <w:t xml:space="preserve">orking </w:t>
      </w:r>
      <w:r w:rsidR="00082E74" w:rsidRPr="00230BC2">
        <w:t>G</w:t>
      </w:r>
      <w:r w:rsidRPr="00230BC2">
        <w:t xml:space="preserve">roup </w:t>
      </w:r>
      <w:r w:rsidR="00082E74" w:rsidRPr="00230BC2">
        <w:t xml:space="preserve">II </w:t>
      </w:r>
      <w:r w:rsidRPr="00230BC2">
        <w:t xml:space="preserve">heard a report </w:t>
      </w:r>
      <w:r w:rsidR="00C64AC8" w:rsidRPr="00230BC2">
        <w:t xml:space="preserve">from the Co-Chairs of the contact group </w:t>
      </w:r>
      <w:r w:rsidRPr="00230BC2">
        <w:t>on the work of the</w:t>
      </w:r>
      <w:r w:rsidR="00C64AC8" w:rsidRPr="00230BC2">
        <w:t>ir</w:t>
      </w:r>
      <w:r w:rsidRPr="00230BC2">
        <w:t xml:space="preserve"> group and agreed that </w:t>
      </w:r>
      <w:r w:rsidR="00B86281" w:rsidRPr="00230BC2">
        <w:t>the</w:t>
      </w:r>
      <w:r w:rsidR="00C44B53" w:rsidRPr="00230BC2">
        <w:t xml:space="preserve"> </w:t>
      </w:r>
      <w:r w:rsidRPr="00230BC2">
        <w:t xml:space="preserve">Chair </w:t>
      </w:r>
      <w:r w:rsidR="00B86281" w:rsidRPr="00230BC2">
        <w:t xml:space="preserve">of Working Group II </w:t>
      </w:r>
      <w:r w:rsidRPr="00230BC2">
        <w:t xml:space="preserve">would prepare a revised draft decision for </w:t>
      </w:r>
      <w:r w:rsidR="001C5863" w:rsidRPr="00230BC2">
        <w:t xml:space="preserve">the </w:t>
      </w:r>
      <w:r w:rsidR="00680740" w:rsidRPr="00230BC2">
        <w:t xml:space="preserve">Working </w:t>
      </w:r>
      <w:r w:rsidR="001C5863" w:rsidRPr="00230BC2">
        <w:t xml:space="preserve">Group’s </w:t>
      </w:r>
      <w:r w:rsidRPr="00230BC2">
        <w:t xml:space="preserve">consideration </w:t>
      </w:r>
      <w:r w:rsidR="00C71B54" w:rsidRPr="00230BC2">
        <w:t xml:space="preserve">on the </w:t>
      </w:r>
      <w:r w:rsidRPr="00230BC2">
        <w:t>bas</w:t>
      </w:r>
      <w:r w:rsidR="00C71B54" w:rsidRPr="00230BC2">
        <w:t>is</w:t>
      </w:r>
      <w:r w:rsidRPr="00230BC2">
        <w:t xml:space="preserve"> o</w:t>
      </w:r>
      <w:r w:rsidR="00C71B54" w:rsidRPr="00230BC2">
        <w:t>f</w:t>
      </w:r>
      <w:r w:rsidRPr="00230BC2">
        <w:t xml:space="preserve"> the outcome of the </w:t>
      </w:r>
      <w:r w:rsidR="00680740" w:rsidRPr="00230BC2">
        <w:t xml:space="preserve">contact </w:t>
      </w:r>
      <w:r w:rsidRPr="00230BC2">
        <w:t>group’s work.</w:t>
      </w:r>
    </w:p>
    <w:p w14:paraId="464D514D" w14:textId="766669D6" w:rsidR="00D87BC7" w:rsidRPr="00230BC2" w:rsidRDefault="00D87BC7" w:rsidP="003466FC">
      <w:pPr>
        <w:pStyle w:val="Para1"/>
      </w:pPr>
      <w:r w:rsidRPr="00230BC2">
        <w:t xml:space="preserve">At its </w:t>
      </w:r>
      <w:r w:rsidR="0042766B" w:rsidRPr="00230BC2">
        <w:t>7th</w:t>
      </w:r>
      <w:r w:rsidRPr="00230BC2">
        <w:t xml:space="preserve"> meeting, </w:t>
      </w:r>
      <w:r w:rsidR="00082E74" w:rsidRPr="00230BC2">
        <w:t>W</w:t>
      </w:r>
      <w:r w:rsidRPr="00230BC2">
        <w:t xml:space="preserve">orking </w:t>
      </w:r>
      <w:r w:rsidR="00082E74" w:rsidRPr="00230BC2">
        <w:t>G</w:t>
      </w:r>
      <w:r w:rsidRPr="00230BC2">
        <w:t xml:space="preserve">roup </w:t>
      </w:r>
      <w:r w:rsidR="009E01D9" w:rsidRPr="00230BC2">
        <w:t xml:space="preserve">II </w:t>
      </w:r>
      <w:r w:rsidRPr="00230BC2">
        <w:t xml:space="preserve">considered the revised draft decision submitted by </w:t>
      </w:r>
      <w:r w:rsidR="00AE4C12" w:rsidRPr="00230BC2">
        <w:t xml:space="preserve">its </w:t>
      </w:r>
      <w:r w:rsidRPr="00230BC2">
        <w:t>Chair.</w:t>
      </w:r>
    </w:p>
    <w:p w14:paraId="1F34D383" w14:textId="622ED0C1" w:rsidR="00D87BC7" w:rsidRPr="00230BC2" w:rsidRDefault="00D87BC7" w:rsidP="003466FC">
      <w:pPr>
        <w:pStyle w:val="Para1"/>
      </w:pPr>
      <w:r w:rsidRPr="00230BC2">
        <w:t xml:space="preserve">Statements were made by representatives of </w:t>
      </w:r>
      <w:r w:rsidR="0051107D" w:rsidRPr="00230BC2">
        <w:t xml:space="preserve">the following Parties: </w:t>
      </w:r>
      <w:r w:rsidRPr="00230BC2">
        <w:t>Antigua and Barbuda, Argentina, Australia, Bangladesh, Brazil, Canada, Colombia, Costa Rica, Côte d’Ivoire, Egypt, Ethiopia, European Union and its 27 member States, Guatemala, Honduras, Indonesia, Japan, Micronesia, Mongolia, Morocco, Norway, Peru, South Africa, Switzerland, United Kingdom and United Republic of Tanzania.</w:t>
      </w:r>
    </w:p>
    <w:p w14:paraId="6AB7EA24" w14:textId="156263E3" w:rsidR="005747BA" w:rsidRPr="00230BC2" w:rsidRDefault="00D87BC7" w:rsidP="003466FC">
      <w:pPr>
        <w:pStyle w:val="Para1"/>
      </w:pPr>
      <w:r w:rsidRPr="00230BC2">
        <w:t xml:space="preserve">At its eight meeting, the Working Group continued its consideration of the revised draft decision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w:t>
      </w:r>
      <w:r w:rsidR="00903CC8" w:rsidRPr="00230BC2">
        <w:t>.</w:t>
      </w:r>
      <w:r w:rsidRPr="00230BC2">
        <w:t>16</w:t>
      </w:r>
      <w:r w:rsidRPr="00230BC2">
        <w:rPr>
          <w:rFonts w:eastAsia="Batang"/>
        </w:rPr>
        <w:t>.</w:t>
      </w:r>
    </w:p>
    <w:p w14:paraId="2624AE72" w14:textId="08A4D355" w:rsidR="000B40E1" w:rsidRPr="00230BC2" w:rsidRDefault="000B40E1" w:rsidP="003466FC">
      <w:pPr>
        <w:pStyle w:val="Para1"/>
        <w:rPr>
          <w:b/>
          <w:bCs/>
        </w:rPr>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orally amended, as decision 15/</w:t>
      </w:r>
      <w:r w:rsidR="00A266A0" w:rsidRPr="00230BC2">
        <w:t>28</w:t>
      </w:r>
      <w:r w:rsidRPr="00230BC2">
        <w:t>.</w:t>
      </w:r>
    </w:p>
    <w:p w14:paraId="2B2A0C70" w14:textId="03AB37AB" w:rsidR="00B07CE5"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Item 2</w:t>
      </w:r>
      <w:r w:rsidR="00B07CE5" w:rsidRPr="00EE6F7F">
        <w:rPr>
          <w:b/>
          <w:bCs/>
          <w:snapToGrid w:val="0"/>
          <w:kern w:val="22"/>
          <w:szCs w:val="22"/>
        </w:rPr>
        <w:t>5</w:t>
      </w:r>
      <w:r w:rsidRPr="00EE6F7F">
        <w:rPr>
          <w:b/>
          <w:bCs/>
          <w:snapToGrid w:val="0"/>
          <w:kern w:val="22"/>
          <w:szCs w:val="22"/>
        </w:rPr>
        <w:t>.</w:t>
      </w:r>
      <w:r w:rsidR="004D790E" w:rsidRPr="00EE6F7F">
        <w:rPr>
          <w:b/>
          <w:bCs/>
          <w:snapToGrid w:val="0"/>
          <w:kern w:val="22"/>
          <w:szCs w:val="22"/>
        </w:rPr>
        <w:tab/>
      </w:r>
      <w:r w:rsidR="00B07CE5" w:rsidRPr="00EE6F7F">
        <w:rPr>
          <w:b/>
          <w:bCs/>
          <w:snapToGrid w:val="0"/>
          <w:kern w:val="22"/>
          <w:szCs w:val="22"/>
        </w:rPr>
        <w:t>Biodiversity and health</w:t>
      </w:r>
    </w:p>
    <w:p w14:paraId="6B7436CD" w14:textId="52D5C3AA" w:rsidR="00034FE3" w:rsidRPr="00230BC2" w:rsidRDefault="00034FE3" w:rsidP="003466FC">
      <w:pPr>
        <w:pStyle w:val="Para1"/>
        <w:rPr>
          <w:bCs/>
        </w:rPr>
      </w:pPr>
      <w:r w:rsidRPr="00230BC2">
        <w:t xml:space="preserve">Working </w:t>
      </w:r>
      <w:r w:rsidR="003873C8" w:rsidRPr="00230BC2">
        <w:t>G</w:t>
      </w:r>
      <w:r w:rsidRPr="00230BC2">
        <w:t xml:space="preserve">roup II </w:t>
      </w:r>
      <w:r w:rsidR="00B3219B" w:rsidRPr="00230BC2">
        <w:t>considered</w:t>
      </w:r>
      <w:r w:rsidR="00086D60" w:rsidRPr="00230BC2">
        <w:t xml:space="preserve"> agenda</w:t>
      </w:r>
      <w:r w:rsidRPr="00230BC2">
        <w:t xml:space="preserve"> item 25 at its </w:t>
      </w:r>
      <w:r w:rsidR="00E67935" w:rsidRPr="00230BC2">
        <w:t>2nd</w:t>
      </w:r>
      <w:r w:rsidRPr="00230BC2">
        <w:t xml:space="preserve"> meeting</w:t>
      </w:r>
      <w:r w:rsidR="009D6341" w:rsidRPr="00230BC2">
        <w:t>.</w:t>
      </w:r>
      <w:r w:rsidRPr="00230BC2">
        <w:t xml:space="preserve"> </w:t>
      </w:r>
      <w:r w:rsidR="000A734E" w:rsidRPr="00230BC2">
        <w:t>It</w:t>
      </w:r>
      <w:r w:rsidR="009E01D9" w:rsidRPr="00230BC2">
        <w:t xml:space="preserve"> </w:t>
      </w:r>
      <w:r w:rsidRPr="00230BC2">
        <w:t>had before it a draft decision based on recommendation 24/7 of the Subsidiary Body on Scientific, Technical and Technological Advice</w:t>
      </w:r>
      <w:r w:rsidR="0091761B" w:rsidRPr="00230BC2">
        <w:t>,</w:t>
      </w:r>
      <w:r w:rsidRPr="00230BC2">
        <w:t xml:space="preserve"> </w:t>
      </w:r>
      <w:r w:rsidR="0091761B" w:rsidRPr="00230BC2">
        <w:t>as</w:t>
      </w:r>
      <w:r w:rsidRPr="00230BC2">
        <w:t xml:space="preserve"> set out in the compilation of draft decisions</w:t>
      </w:r>
      <w:r w:rsidR="006E2346" w:rsidRPr="00230BC2">
        <w:t>.</w:t>
      </w:r>
      <w:r w:rsidRPr="00230BC2">
        <w:t xml:space="preserve"> </w:t>
      </w:r>
    </w:p>
    <w:p w14:paraId="646748E3" w14:textId="29FB7244" w:rsidR="00034FE3" w:rsidRPr="00230BC2" w:rsidRDefault="00643479" w:rsidP="003466FC">
      <w:pPr>
        <w:pStyle w:val="Para1"/>
      </w:pPr>
      <w:r w:rsidRPr="00230BC2">
        <w:t>W</w:t>
      </w:r>
      <w:r w:rsidR="00034FE3" w:rsidRPr="00230BC2">
        <w:t xml:space="preserve">orking </w:t>
      </w:r>
      <w:r w:rsidRPr="00230BC2">
        <w:t>G</w:t>
      </w:r>
      <w:r w:rsidR="00034FE3" w:rsidRPr="00230BC2">
        <w:t xml:space="preserve">roup </w:t>
      </w:r>
      <w:r w:rsidRPr="00230BC2">
        <w:t xml:space="preserve">II </w:t>
      </w:r>
      <w:r w:rsidR="00034FE3" w:rsidRPr="00230BC2">
        <w:t xml:space="preserve">agreed that </w:t>
      </w:r>
      <w:r w:rsidR="00C44B53" w:rsidRPr="00230BC2">
        <w:t xml:space="preserve">its </w:t>
      </w:r>
      <w:r w:rsidR="00034FE3" w:rsidRPr="00230BC2">
        <w:t xml:space="preserve">Chair would undertake informal consultations with a view to preparing a revised draft decision for the </w:t>
      </w:r>
      <w:r w:rsidR="00583FC8" w:rsidRPr="00230BC2">
        <w:t>G</w:t>
      </w:r>
      <w:r w:rsidR="00034FE3" w:rsidRPr="00230BC2">
        <w:t xml:space="preserve">roup’s consideration. </w:t>
      </w:r>
    </w:p>
    <w:p w14:paraId="69641463" w14:textId="1D3A24B4" w:rsidR="00034FE3" w:rsidRPr="00230BC2" w:rsidRDefault="00034FE3" w:rsidP="003466FC">
      <w:pPr>
        <w:pStyle w:val="Para1"/>
      </w:pPr>
      <w:r w:rsidRPr="00230BC2">
        <w:t xml:space="preserve">At its </w:t>
      </w:r>
      <w:r w:rsidR="0042766B" w:rsidRPr="00230BC2">
        <w:t>6th</w:t>
      </w:r>
      <w:r w:rsidRPr="00230BC2">
        <w:t xml:space="preserve"> meeting, </w:t>
      </w:r>
      <w:r w:rsidR="009E01D9" w:rsidRPr="00230BC2">
        <w:t>W</w:t>
      </w:r>
      <w:r w:rsidRPr="00230BC2">
        <w:t xml:space="preserve">orking </w:t>
      </w:r>
      <w:r w:rsidR="009E01D9" w:rsidRPr="00230BC2">
        <w:t>G</w:t>
      </w:r>
      <w:r w:rsidRPr="00230BC2">
        <w:t xml:space="preserve">roup </w:t>
      </w:r>
      <w:r w:rsidR="009E01D9" w:rsidRPr="00230BC2">
        <w:t xml:space="preserve">II </w:t>
      </w:r>
      <w:r w:rsidRPr="00230BC2">
        <w:t>establish</w:t>
      </w:r>
      <w:r w:rsidR="002206DF" w:rsidRPr="00230BC2">
        <w:t>ed</w:t>
      </w:r>
      <w:r w:rsidRPr="00230BC2">
        <w:t xml:space="preserve"> a group of friends of the </w:t>
      </w:r>
      <w:r w:rsidR="00354FB4" w:rsidRPr="00230BC2">
        <w:t>C</w:t>
      </w:r>
      <w:r w:rsidRPr="00230BC2">
        <w:t xml:space="preserve">hair, co-facilitated by Barbara Engels (Germany) and Andrew Rhodes-Espinoza (Mexico), to address the unresolved issues and enable </w:t>
      </w:r>
      <w:r w:rsidR="00380DCB" w:rsidRPr="00230BC2">
        <w:t xml:space="preserve">its </w:t>
      </w:r>
      <w:r w:rsidRPr="00230BC2">
        <w:t xml:space="preserve">Chair to prepare a revised draft decision for the </w:t>
      </w:r>
      <w:r w:rsidR="00583FC8" w:rsidRPr="00230BC2">
        <w:t>G</w:t>
      </w:r>
      <w:r w:rsidRPr="00230BC2">
        <w:t xml:space="preserve">roup’s consideration. </w:t>
      </w:r>
    </w:p>
    <w:p w14:paraId="0AEFCB3F" w14:textId="0157396A" w:rsidR="00034FE3" w:rsidRPr="00230BC2" w:rsidRDefault="00034FE3" w:rsidP="003466FC">
      <w:pPr>
        <w:pStyle w:val="Para1"/>
      </w:pPr>
      <w:r w:rsidRPr="00230BC2">
        <w:t xml:space="preserve">At its </w:t>
      </w:r>
      <w:r w:rsidR="0042766B" w:rsidRPr="00230BC2">
        <w:t>9th</w:t>
      </w:r>
      <w:r w:rsidRPr="00230BC2">
        <w:t xml:space="preserve"> meeting, </w:t>
      </w:r>
      <w:r w:rsidR="009E01D9" w:rsidRPr="00230BC2">
        <w:t>W</w:t>
      </w:r>
      <w:r w:rsidRPr="00230BC2">
        <w:t xml:space="preserve">orking </w:t>
      </w:r>
      <w:r w:rsidR="009E01D9" w:rsidRPr="00230BC2">
        <w:t>G</w:t>
      </w:r>
      <w:r w:rsidRPr="00230BC2">
        <w:t xml:space="preserve">roup </w:t>
      </w:r>
      <w:r w:rsidR="009E01D9" w:rsidRPr="00230BC2">
        <w:t xml:space="preserve">II </w:t>
      </w:r>
      <w:r w:rsidRPr="00230BC2">
        <w:t xml:space="preserve">heard a report </w:t>
      </w:r>
      <w:r w:rsidR="00053B18" w:rsidRPr="00230BC2">
        <w:t>from</w:t>
      </w:r>
      <w:r w:rsidRPr="00230BC2">
        <w:t xml:space="preserve"> the co-facilitator of the group of friends of the </w:t>
      </w:r>
      <w:r w:rsidR="00201F09" w:rsidRPr="00230BC2">
        <w:t>C</w:t>
      </w:r>
      <w:r w:rsidRPr="00230BC2">
        <w:t xml:space="preserve">hair, following which it considered a draft decision submitted by </w:t>
      </w:r>
      <w:r w:rsidR="00AE4C12"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CBD/COP/15/L.17.</w:t>
      </w:r>
    </w:p>
    <w:p w14:paraId="43371047" w14:textId="364C1C14" w:rsidR="000B40E1" w:rsidRPr="00230BC2" w:rsidRDefault="000B40E1" w:rsidP="003466FC">
      <w:pPr>
        <w:pStyle w:val="Para1"/>
        <w:rPr>
          <w:b/>
          <w:bCs/>
        </w:rPr>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orally amended, as decision 15/</w:t>
      </w:r>
      <w:r w:rsidR="00AB4ADE" w:rsidRPr="00230BC2">
        <w:t>29</w:t>
      </w:r>
      <w:r w:rsidRPr="00230BC2">
        <w:t>.</w:t>
      </w:r>
    </w:p>
    <w:p w14:paraId="3B2A6173" w14:textId="6EB4E936" w:rsidR="0061275F"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Item 2</w:t>
      </w:r>
      <w:r w:rsidR="007C3261" w:rsidRPr="00EE6F7F">
        <w:rPr>
          <w:b/>
          <w:bCs/>
          <w:snapToGrid w:val="0"/>
          <w:kern w:val="22"/>
          <w:szCs w:val="22"/>
        </w:rPr>
        <w:t>6</w:t>
      </w:r>
      <w:r w:rsidRPr="00EE6F7F">
        <w:rPr>
          <w:b/>
          <w:bCs/>
          <w:snapToGrid w:val="0"/>
          <w:kern w:val="22"/>
          <w:szCs w:val="22"/>
        </w:rPr>
        <w:t>.</w:t>
      </w:r>
      <w:r w:rsidRPr="00EE6F7F">
        <w:rPr>
          <w:b/>
          <w:bCs/>
          <w:snapToGrid w:val="0"/>
          <w:kern w:val="22"/>
          <w:szCs w:val="22"/>
        </w:rPr>
        <w:tab/>
        <w:t xml:space="preserve">Nature and </w:t>
      </w:r>
      <w:r w:rsidR="002F6FCC" w:rsidRPr="00EE6F7F">
        <w:rPr>
          <w:b/>
          <w:bCs/>
          <w:snapToGrid w:val="0"/>
          <w:kern w:val="22"/>
          <w:szCs w:val="22"/>
        </w:rPr>
        <w:t>c</w:t>
      </w:r>
      <w:r w:rsidRPr="00EE6F7F">
        <w:rPr>
          <w:b/>
          <w:bCs/>
          <w:snapToGrid w:val="0"/>
          <w:kern w:val="22"/>
          <w:szCs w:val="22"/>
        </w:rPr>
        <w:t>ulture</w:t>
      </w:r>
    </w:p>
    <w:p w14:paraId="493B32B1" w14:textId="390B713A" w:rsidR="000E6D7F" w:rsidRPr="00230BC2" w:rsidRDefault="000E6D7F" w:rsidP="003466FC">
      <w:pPr>
        <w:pStyle w:val="Para1"/>
        <w:rPr>
          <w:bCs/>
        </w:rPr>
      </w:pPr>
      <w:r w:rsidRPr="00230BC2">
        <w:t xml:space="preserve">Working </w:t>
      </w:r>
      <w:r w:rsidR="003873C8" w:rsidRPr="00230BC2">
        <w:t>G</w:t>
      </w:r>
      <w:r w:rsidRPr="00230BC2">
        <w:t xml:space="preserve">roup II </w:t>
      </w:r>
      <w:r w:rsidR="00B3219B" w:rsidRPr="00230BC2">
        <w:t>considered</w:t>
      </w:r>
      <w:r w:rsidR="00086D60" w:rsidRPr="00230BC2">
        <w:t xml:space="preserve"> agenda</w:t>
      </w:r>
      <w:r w:rsidRPr="00230BC2">
        <w:t xml:space="preserve"> item 26 at its </w:t>
      </w:r>
      <w:r w:rsidR="00E67935" w:rsidRPr="00230BC2">
        <w:t>2nd</w:t>
      </w:r>
      <w:r w:rsidRPr="00230BC2">
        <w:t xml:space="preserve"> meeting</w:t>
      </w:r>
      <w:r w:rsidR="009D6341" w:rsidRPr="00230BC2">
        <w:t>.</w:t>
      </w:r>
      <w:r w:rsidRPr="00230BC2">
        <w:t xml:space="preserve"> </w:t>
      </w:r>
      <w:r w:rsidR="000A734E" w:rsidRPr="00230BC2">
        <w:t>It</w:t>
      </w:r>
      <w:r w:rsidR="009E01D9" w:rsidRPr="00230BC2">
        <w:t xml:space="preserve"> </w:t>
      </w:r>
      <w:r w:rsidRPr="00230BC2">
        <w:t>had before it a draft decision based on recommendation 11/3 of the Ad Hoc Open-ended Intersessional Working Group on Article 8(j) and related provisions and recommendation 23/5 of the Subsidiary Body on Scientific, Technical and Technological Advice</w:t>
      </w:r>
      <w:r w:rsidR="0091761B" w:rsidRPr="00230BC2">
        <w:t>,</w:t>
      </w:r>
      <w:r w:rsidRPr="00230BC2">
        <w:t xml:space="preserve"> as set out in the compilation of draft decisions</w:t>
      </w:r>
      <w:r w:rsidR="00A1383D" w:rsidRPr="00230BC2">
        <w:t>.</w:t>
      </w:r>
      <w:r w:rsidRPr="00230BC2">
        <w:t xml:space="preserve"> </w:t>
      </w:r>
    </w:p>
    <w:p w14:paraId="7F148EDB" w14:textId="12C3B69F" w:rsidR="000E6D7F" w:rsidRPr="00230BC2" w:rsidRDefault="00643479" w:rsidP="003466FC">
      <w:pPr>
        <w:pStyle w:val="Para1"/>
      </w:pPr>
      <w:r w:rsidRPr="00230BC2">
        <w:t>W</w:t>
      </w:r>
      <w:r w:rsidR="000E6D7F" w:rsidRPr="00230BC2">
        <w:t xml:space="preserve">orking </w:t>
      </w:r>
      <w:r w:rsidRPr="00230BC2">
        <w:t>G</w:t>
      </w:r>
      <w:r w:rsidR="000E6D7F" w:rsidRPr="00230BC2">
        <w:t xml:space="preserve">roup </w:t>
      </w:r>
      <w:r w:rsidRPr="00230BC2">
        <w:t xml:space="preserve">II </w:t>
      </w:r>
      <w:r w:rsidR="000E6D7F" w:rsidRPr="00230BC2">
        <w:t xml:space="preserve">agreed that </w:t>
      </w:r>
      <w:r w:rsidR="00C44B53" w:rsidRPr="00230BC2">
        <w:t xml:space="preserve">its </w:t>
      </w:r>
      <w:r w:rsidR="000E6D7F" w:rsidRPr="00230BC2">
        <w:t xml:space="preserve">Chair would undertake informal consultations with a view to addressing the unresolved issues and preparing a revised draft decision for the </w:t>
      </w:r>
      <w:r w:rsidR="00583FC8" w:rsidRPr="00230BC2">
        <w:t>G</w:t>
      </w:r>
      <w:r w:rsidR="000E6D7F" w:rsidRPr="00230BC2">
        <w:t>roup’s consideration.</w:t>
      </w:r>
    </w:p>
    <w:p w14:paraId="1BE69C79" w14:textId="7D97F1C1" w:rsidR="000E6D7F" w:rsidRPr="00230BC2" w:rsidRDefault="000E6D7F" w:rsidP="003466FC">
      <w:pPr>
        <w:pStyle w:val="Para1"/>
      </w:pPr>
      <w:r w:rsidRPr="00230BC2">
        <w:t xml:space="preserve">At its </w:t>
      </w:r>
      <w:r w:rsidR="0042766B" w:rsidRPr="00230BC2">
        <w:t>6th</w:t>
      </w:r>
      <w:r w:rsidRPr="00230BC2">
        <w:t xml:space="preserve"> meeting, </w:t>
      </w:r>
      <w:r w:rsidR="00A42981" w:rsidRPr="00230BC2">
        <w:t>W</w:t>
      </w:r>
      <w:r w:rsidRPr="00230BC2">
        <w:t xml:space="preserve">orking </w:t>
      </w:r>
      <w:r w:rsidR="00A42981" w:rsidRPr="00230BC2">
        <w:t>G</w:t>
      </w:r>
      <w:r w:rsidRPr="00230BC2">
        <w:t xml:space="preserve">roup </w:t>
      </w:r>
      <w:r w:rsidR="00A42981" w:rsidRPr="00230BC2">
        <w:t xml:space="preserve">II </w:t>
      </w:r>
      <w:r w:rsidRPr="00230BC2">
        <w:t xml:space="preserve">considered the revised draft decision submitted by </w:t>
      </w:r>
      <w:r w:rsidR="00201F09" w:rsidRPr="00230BC2">
        <w:t xml:space="preserve">its </w:t>
      </w:r>
      <w:r w:rsidRPr="00230BC2">
        <w:t xml:space="preserve">Chair and approved it, as orally amended, for transmission to </w:t>
      </w:r>
      <w:r w:rsidR="00A124C1" w:rsidRPr="00230BC2">
        <w:t xml:space="preserve">the </w:t>
      </w:r>
      <w:r w:rsidRPr="00230BC2">
        <w:t xml:space="preserve">plenary </w:t>
      </w:r>
      <w:r w:rsidR="008073D6" w:rsidRPr="00230BC2">
        <w:t xml:space="preserve">session </w:t>
      </w:r>
      <w:r w:rsidRPr="00230BC2">
        <w:t>as draft decision CBD/COP/15/L</w:t>
      </w:r>
      <w:r w:rsidRPr="00230BC2">
        <w:rPr>
          <w:rFonts w:eastAsia="Batang"/>
        </w:rPr>
        <w:t>.10</w:t>
      </w:r>
      <w:r w:rsidRPr="00230BC2">
        <w:t>.</w:t>
      </w:r>
    </w:p>
    <w:p w14:paraId="5830CF1A" w14:textId="5C58A065" w:rsidR="002F6FCC" w:rsidRPr="00230BC2" w:rsidRDefault="002F6FCC" w:rsidP="003466FC">
      <w:pPr>
        <w:pStyle w:val="Para1"/>
      </w:pPr>
      <w:r w:rsidRPr="00230BC2">
        <w:t xml:space="preserve">At </w:t>
      </w:r>
      <w:r w:rsidR="00573DFE" w:rsidRPr="00230BC2">
        <w:t xml:space="preserve">its </w:t>
      </w:r>
      <w:r w:rsidR="00E67935" w:rsidRPr="00230BC2">
        <w:t>2nd</w:t>
      </w:r>
      <w:r w:rsidRPr="00230BC2">
        <w:t xml:space="preserve"> </w:t>
      </w:r>
      <w:r w:rsidR="00284AD3" w:rsidRPr="00230BC2">
        <w:t xml:space="preserve">plenary </w:t>
      </w:r>
      <w:r w:rsidRPr="00230BC2">
        <w:t>session</w:t>
      </w:r>
      <w:r w:rsidR="00393ACA" w:rsidRPr="00230BC2">
        <w:t>,</w:t>
      </w:r>
      <w:r w:rsidRPr="00230BC2">
        <w:t xml:space="preserve"> the Conference of the Parties </w:t>
      </w:r>
      <w:r w:rsidR="00B37794" w:rsidRPr="00230BC2">
        <w:t xml:space="preserve">adopted </w:t>
      </w:r>
      <w:r w:rsidR="00073F9D" w:rsidRPr="00230BC2">
        <w:t xml:space="preserve">the </w:t>
      </w:r>
      <w:r w:rsidRPr="00230BC2">
        <w:t>draft decision as decision</w:t>
      </w:r>
      <w:r w:rsidR="00ED5260" w:rsidRPr="00230BC2">
        <w:t> </w:t>
      </w:r>
      <w:r w:rsidRPr="00230BC2">
        <w:t>15/</w:t>
      </w:r>
      <w:r w:rsidR="00AB4ADE" w:rsidRPr="00230BC2">
        <w:t>22</w:t>
      </w:r>
      <w:r w:rsidRPr="00230BC2">
        <w:t>.</w:t>
      </w:r>
    </w:p>
    <w:p w14:paraId="0ACDF528" w14:textId="4FC6E2F0" w:rsidR="0061275F" w:rsidRPr="00EE6F7F" w:rsidRDefault="0061275F"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EE6F7F">
        <w:rPr>
          <w:b/>
          <w:bCs/>
          <w:snapToGrid w:val="0"/>
          <w:kern w:val="22"/>
          <w:szCs w:val="22"/>
        </w:rPr>
        <w:t>Item 2</w:t>
      </w:r>
      <w:r w:rsidR="007C3261" w:rsidRPr="00EE6F7F">
        <w:rPr>
          <w:b/>
          <w:bCs/>
          <w:snapToGrid w:val="0"/>
          <w:kern w:val="22"/>
          <w:szCs w:val="22"/>
        </w:rPr>
        <w:t>7</w:t>
      </w:r>
      <w:r w:rsidRPr="00EE6F7F">
        <w:rPr>
          <w:b/>
          <w:bCs/>
          <w:snapToGrid w:val="0"/>
          <w:kern w:val="22"/>
          <w:szCs w:val="22"/>
        </w:rPr>
        <w:t>.</w:t>
      </w:r>
      <w:r w:rsidRPr="00EE6F7F">
        <w:rPr>
          <w:b/>
          <w:bCs/>
          <w:snapToGrid w:val="0"/>
          <w:kern w:val="22"/>
          <w:szCs w:val="22"/>
        </w:rPr>
        <w:tab/>
        <w:t>Synthetic biology</w:t>
      </w:r>
    </w:p>
    <w:p w14:paraId="30E2E989" w14:textId="73C7BD6D" w:rsidR="00DC318E" w:rsidRPr="00230BC2" w:rsidRDefault="00DC318E" w:rsidP="003466FC">
      <w:pPr>
        <w:pStyle w:val="Para1"/>
        <w:rPr>
          <w:bCs/>
        </w:rPr>
      </w:pPr>
      <w:r w:rsidRPr="00230BC2">
        <w:t xml:space="preserve">Working </w:t>
      </w:r>
      <w:r w:rsidR="003873C8" w:rsidRPr="00230BC2">
        <w:t>G</w:t>
      </w:r>
      <w:r w:rsidRPr="00230BC2">
        <w:t xml:space="preserve">roup II </w:t>
      </w:r>
      <w:r w:rsidR="00B3219B" w:rsidRPr="00230BC2">
        <w:t>considered</w:t>
      </w:r>
      <w:r w:rsidR="00086D60" w:rsidRPr="00230BC2">
        <w:t xml:space="preserve"> agenda</w:t>
      </w:r>
      <w:r w:rsidRPr="00230BC2">
        <w:t xml:space="preserve"> item 27 at its </w:t>
      </w:r>
      <w:r w:rsidR="00E67935" w:rsidRPr="00230BC2">
        <w:t>1st</w:t>
      </w:r>
      <w:r w:rsidRPr="00230BC2">
        <w:t xml:space="preserve"> meeting</w:t>
      </w:r>
      <w:r w:rsidR="00C00B11" w:rsidRPr="00230BC2">
        <w:t>.</w:t>
      </w:r>
      <w:r w:rsidRPr="00230BC2">
        <w:t xml:space="preserve"> </w:t>
      </w:r>
      <w:r w:rsidR="000A734E" w:rsidRPr="00230BC2">
        <w:t>It</w:t>
      </w:r>
      <w:r w:rsidRPr="00230BC2">
        <w:t xml:space="preserve"> had before it a draft decision based on recommendation 24/4 of the Subsidiary Body on Scientific, Technical and Technological Advice</w:t>
      </w:r>
      <w:r w:rsidR="008114CF" w:rsidRPr="00230BC2">
        <w:t>,</w:t>
      </w:r>
      <w:r w:rsidRPr="00230BC2">
        <w:t xml:space="preserve"> </w:t>
      </w:r>
      <w:r w:rsidR="008114CF" w:rsidRPr="00230BC2">
        <w:t>as</w:t>
      </w:r>
      <w:r w:rsidRPr="00230BC2">
        <w:t xml:space="preserve"> set out in the compilation of draft decisions</w:t>
      </w:r>
      <w:r w:rsidR="00A1383D" w:rsidRPr="00230BC2">
        <w:t>.</w:t>
      </w:r>
      <w:r w:rsidRPr="00230BC2">
        <w:t xml:space="preserve"> </w:t>
      </w:r>
    </w:p>
    <w:p w14:paraId="0C25F8D3" w14:textId="77777777" w:rsidR="00DC318E" w:rsidRPr="00230BC2" w:rsidRDefault="00DC318E" w:rsidP="003466FC">
      <w:pPr>
        <w:pStyle w:val="Para1"/>
      </w:pPr>
      <w:r w:rsidRPr="00230BC2">
        <w:t>The representative of Brazil made a statement.</w:t>
      </w:r>
    </w:p>
    <w:p w14:paraId="27C77824" w14:textId="581694C0" w:rsidR="00DC318E" w:rsidRPr="00230BC2" w:rsidRDefault="003873C8" w:rsidP="003466FC">
      <w:pPr>
        <w:pStyle w:val="Para1"/>
      </w:pPr>
      <w:r w:rsidRPr="00230BC2">
        <w:t>W</w:t>
      </w:r>
      <w:r w:rsidR="00DC318E" w:rsidRPr="00230BC2">
        <w:t xml:space="preserve">orking </w:t>
      </w:r>
      <w:r w:rsidRPr="00230BC2">
        <w:t>G</w:t>
      </w:r>
      <w:r w:rsidR="00DC318E" w:rsidRPr="00230BC2">
        <w:t xml:space="preserve">roup </w:t>
      </w:r>
      <w:r w:rsidR="001D70E1" w:rsidRPr="00230BC2">
        <w:t>I</w:t>
      </w:r>
      <w:r w:rsidRPr="00230BC2">
        <w:t xml:space="preserve">I </w:t>
      </w:r>
      <w:r w:rsidR="00DC318E" w:rsidRPr="00230BC2">
        <w:t>establish</w:t>
      </w:r>
      <w:r w:rsidR="002206DF" w:rsidRPr="00230BC2">
        <w:t>ed</w:t>
      </w:r>
      <w:r w:rsidR="00DC318E" w:rsidRPr="00230BC2">
        <w:t xml:space="preserve"> a contact group, co-chaired by Ntakadzeni Tshidada (South Africa) and Werner Schenkel (Germany), with the mandate to address the text in brackets in the draft decision and to prepare a revised draft decision for the </w:t>
      </w:r>
      <w:r w:rsidR="001D70E1" w:rsidRPr="00230BC2">
        <w:t>G</w:t>
      </w:r>
      <w:r w:rsidR="00DC318E" w:rsidRPr="00230BC2">
        <w:t>roup’s consideration.</w:t>
      </w:r>
    </w:p>
    <w:p w14:paraId="5806EFC3" w14:textId="0A587D17" w:rsidR="00DC318E" w:rsidRPr="00230BC2" w:rsidRDefault="00DC318E" w:rsidP="003466FC">
      <w:pPr>
        <w:pStyle w:val="Para1"/>
      </w:pPr>
      <w:r w:rsidRPr="00230BC2">
        <w:t xml:space="preserve">At its </w:t>
      </w:r>
      <w:r w:rsidR="00E67935" w:rsidRPr="00230BC2">
        <w:t>4th</w:t>
      </w:r>
      <w:r w:rsidRPr="00230BC2">
        <w:t xml:space="preserve"> </w:t>
      </w:r>
      <w:r w:rsidR="006A4B75" w:rsidRPr="00230BC2">
        <w:t xml:space="preserve">and </w:t>
      </w:r>
      <w:r w:rsidR="0042766B" w:rsidRPr="00230BC2">
        <w:t>9th</w:t>
      </w:r>
      <w:r w:rsidR="006A4B75" w:rsidRPr="00230BC2">
        <w:t xml:space="preserve"> </w:t>
      </w:r>
      <w:r w:rsidRPr="00230BC2">
        <w:t>meeting</w:t>
      </w:r>
      <w:r w:rsidR="006A4B75" w:rsidRPr="00230BC2">
        <w:t>s</w:t>
      </w:r>
      <w:r w:rsidRPr="00230BC2">
        <w:t xml:space="preserve">, </w:t>
      </w:r>
      <w:r w:rsidR="001D70E1" w:rsidRPr="00230BC2">
        <w:t>W</w:t>
      </w:r>
      <w:r w:rsidRPr="00230BC2">
        <w:t xml:space="preserve">orking </w:t>
      </w:r>
      <w:r w:rsidR="001D70E1" w:rsidRPr="00230BC2">
        <w:t>G</w:t>
      </w:r>
      <w:r w:rsidRPr="00230BC2">
        <w:t xml:space="preserve">roup </w:t>
      </w:r>
      <w:r w:rsidR="001D70E1" w:rsidRPr="00230BC2">
        <w:t xml:space="preserve">II </w:t>
      </w:r>
      <w:r w:rsidRPr="00230BC2">
        <w:t>heard interim progress report</w:t>
      </w:r>
      <w:r w:rsidR="006A4B75" w:rsidRPr="00230BC2">
        <w:t>s</w:t>
      </w:r>
      <w:r w:rsidRPr="00230BC2">
        <w:t xml:space="preserve"> on the work of the contact group. </w:t>
      </w:r>
      <w:r w:rsidR="002C6E50" w:rsidRPr="00230BC2">
        <w:t xml:space="preserve">At the latter meeting, the </w:t>
      </w:r>
      <w:r w:rsidR="001D70E1" w:rsidRPr="00230BC2">
        <w:t>G</w:t>
      </w:r>
      <w:r w:rsidRPr="00230BC2">
        <w:t>roup also heard a brief report on the work of the United Nations Biorisk Working Group from a representative of the World Health Organization.</w:t>
      </w:r>
      <w:r w:rsidR="00543C33" w:rsidRPr="00230BC2">
        <w:t xml:space="preserve"> </w:t>
      </w:r>
      <w:r w:rsidR="004D18F9" w:rsidRPr="00230BC2">
        <w:t xml:space="preserve">It </w:t>
      </w:r>
      <w:r w:rsidRPr="00230BC2">
        <w:t xml:space="preserve">then considered a draft decision submitted by </w:t>
      </w:r>
      <w:r w:rsidR="00201F09" w:rsidRPr="00230BC2">
        <w:t xml:space="preserve">its </w:t>
      </w:r>
      <w:r w:rsidRPr="00230BC2">
        <w:t xml:space="preserve">Chair and approved it, as orally amended, for transmission to </w:t>
      </w:r>
      <w:r w:rsidR="005A1CED" w:rsidRPr="00230BC2">
        <w:t xml:space="preserve">the </w:t>
      </w:r>
      <w:r w:rsidRPr="00230BC2">
        <w:t xml:space="preserve">plenary </w:t>
      </w:r>
      <w:r w:rsidR="008073D6" w:rsidRPr="00230BC2">
        <w:t xml:space="preserve">session </w:t>
      </w:r>
      <w:r w:rsidRPr="00230BC2">
        <w:t>as draft decision CBD/COP/15/L.18.</w:t>
      </w:r>
    </w:p>
    <w:p w14:paraId="52ACE3A6" w14:textId="4F0E39E7" w:rsidR="003B34E2" w:rsidRPr="00230BC2" w:rsidRDefault="003B34E2" w:rsidP="003466FC">
      <w:pPr>
        <w:pStyle w:val="Para1"/>
      </w:pPr>
      <w:r w:rsidRPr="00230BC2">
        <w:t xml:space="preserve">At </w:t>
      </w:r>
      <w:r w:rsidR="00573DFE" w:rsidRPr="00230BC2">
        <w:t xml:space="preserve">its </w:t>
      </w:r>
      <w:r w:rsidR="0042766B" w:rsidRPr="00230BC2">
        <w:t>5th</w:t>
      </w:r>
      <w:r w:rsidRPr="00230BC2">
        <w:t xml:space="preserve"> plenary session</w:t>
      </w:r>
      <w:r w:rsidR="00D94EB4" w:rsidRPr="00230BC2">
        <w:t>,</w:t>
      </w:r>
      <w:r w:rsidRPr="00230BC2">
        <w:t xml:space="preserve"> the Conference of the Parties adopted </w:t>
      </w:r>
      <w:r w:rsidR="003E13F1" w:rsidRPr="00230BC2">
        <w:t xml:space="preserve">the </w:t>
      </w:r>
      <w:r w:rsidRPr="00230BC2">
        <w:t>draft decision as decision</w:t>
      </w:r>
      <w:r w:rsidR="006F5095" w:rsidRPr="00230BC2">
        <w:t> </w:t>
      </w:r>
      <w:r w:rsidRPr="00230BC2">
        <w:t>15/</w:t>
      </w:r>
      <w:r w:rsidR="00AB4ADE" w:rsidRPr="00230BC2">
        <w:t>31</w:t>
      </w:r>
      <w:r w:rsidRPr="00230BC2">
        <w:t>.</w:t>
      </w:r>
    </w:p>
    <w:p w14:paraId="3E562EF9" w14:textId="0CC73DC9" w:rsidR="00D77560" w:rsidRPr="00230BC2" w:rsidRDefault="00D77560" w:rsidP="00DD200B">
      <w:pPr>
        <w:keepNext/>
        <w:suppressLineNumbers/>
        <w:tabs>
          <w:tab w:val="left" w:pos="540"/>
        </w:tabs>
        <w:suppressAutoHyphens/>
        <w:kinsoku w:val="0"/>
        <w:overflowPunct w:val="0"/>
        <w:autoSpaceDE w:val="0"/>
        <w:autoSpaceDN w:val="0"/>
        <w:adjustRightInd w:val="0"/>
        <w:snapToGrid w:val="0"/>
        <w:spacing w:before="120" w:after="120"/>
        <w:jc w:val="center"/>
        <w:rPr>
          <w:b/>
          <w:bCs/>
          <w:snapToGrid w:val="0"/>
          <w:kern w:val="22"/>
          <w:szCs w:val="22"/>
        </w:rPr>
      </w:pPr>
      <w:r w:rsidRPr="00230BC2">
        <w:rPr>
          <w:b/>
          <w:bCs/>
          <w:snapToGrid w:val="0"/>
          <w:kern w:val="22"/>
          <w:szCs w:val="22"/>
        </w:rPr>
        <w:t>V</w:t>
      </w:r>
      <w:r w:rsidR="00BA3B8D" w:rsidRPr="00230BC2">
        <w:rPr>
          <w:b/>
          <w:bCs/>
          <w:snapToGrid w:val="0"/>
          <w:kern w:val="22"/>
          <w:szCs w:val="22"/>
        </w:rPr>
        <w:t>II</w:t>
      </w:r>
      <w:r w:rsidRPr="00230BC2">
        <w:rPr>
          <w:b/>
          <w:bCs/>
          <w:snapToGrid w:val="0"/>
          <w:kern w:val="22"/>
          <w:szCs w:val="22"/>
        </w:rPr>
        <w:t>.</w:t>
      </w:r>
      <w:r w:rsidRPr="00230BC2">
        <w:rPr>
          <w:b/>
          <w:bCs/>
          <w:snapToGrid w:val="0"/>
          <w:kern w:val="22"/>
          <w:szCs w:val="22"/>
        </w:rPr>
        <w:tab/>
        <w:t>FINAL MATTERS</w:t>
      </w:r>
    </w:p>
    <w:p w14:paraId="0B54CEFE" w14:textId="6DE3FD4B" w:rsidR="00D77560" w:rsidRPr="00230BC2" w:rsidRDefault="00D77560"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bookmarkStart w:id="459" w:name="_heading=h.30j0zll" w:colFirst="0" w:colLast="0"/>
      <w:bookmarkStart w:id="460" w:name="_heading=h.3znysh7" w:colFirst="0" w:colLast="0"/>
      <w:bookmarkStart w:id="461" w:name="_heading=h.nkgw0ii72cmr" w:colFirst="0" w:colLast="0"/>
      <w:bookmarkStart w:id="462" w:name="_heading=h.gjdgxs" w:colFirst="0" w:colLast="0"/>
      <w:bookmarkStart w:id="463" w:name="_heading=h.xuy1qui6wltd" w:colFirst="0" w:colLast="0"/>
      <w:bookmarkEnd w:id="459"/>
      <w:bookmarkEnd w:id="460"/>
      <w:bookmarkEnd w:id="461"/>
      <w:bookmarkEnd w:id="462"/>
      <w:bookmarkEnd w:id="463"/>
      <w:r w:rsidRPr="00230BC2">
        <w:rPr>
          <w:b/>
          <w:bCs/>
          <w:snapToGrid w:val="0"/>
          <w:kern w:val="22"/>
          <w:szCs w:val="22"/>
        </w:rPr>
        <w:t>Item 28.</w:t>
      </w:r>
      <w:r w:rsidRPr="00230BC2">
        <w:rPr>
          <w:b/>
          <w:bCs/>
          <w:snapToGrid w:val="0"/>
          <w:kern w:val="22"/>
          <w:szCs w:val="22"/>
        </w:rPr>
        <w:tab/>
        <w:t>Other matters</w:t>
      </w:r>
    </w:p>
    <w:p w14:paraId="31866932" w14:textId="09BB623D" w:rsidR="009C135F" w:rsidRPr="00230BC2" w:rsidRDefault="009C135F" w:rsidP="003466FC">
      <w:pPr>
        <w:pStyle w:val="Para1"/>
      </w:pPr>
      <w:bookmarkStart w:id="464" w:name="_Hlk123388246"/>
      <w:r w:rsidRPr="00230BC2">
        <w:t>In view of the suspen</w:t>
      </w:r>
      <w:r w:rsidR="008D00F1" w:rsidRPr="00230BC2">
        <w:t xml:space="preserve">sion </w:t>
      </w:r>
      <w:r w:rsidR="00925342" w:rsidRPr="00230BC2">
        <w:t xml:space="preserve">of </w:t>
      </w:r>
      <w:r w:rsidRPr="00230BC2">
        <w:t>the meeting</w:t>
      </w:r>
      <w:r w:rsidR="005B6775" w:rsidRPr="00230BC2">
        <w:t xml:space="preserve"> as </w:t>
      </w:r>
      <w:r w:rsidR="0064593E" w:rsidRPr="00230BC2">
        <w:t>described</w:t>
      </w:r>
      <w:r w:rsidR="005B6775" w:rsidRPr="00230BC2">
        <w:t xml:space="preserve"> </w:t>
      </w:r>
      <w:r w:rsidR="00960CCB" w:rsidRPr="00230BC2">
        <w:t xml:space="preserve">under </w:t>
      </w:r>
      <w:r w:rsidR="006A0EB8" w:rsidRPr="00230BC2">
        <w:t xml:space="preserve">agenda </w:t>
      </w:r>
      <w:r w:rsidR="005B6775" w:rsidRPr="00230BC2">
        <w:t>item</w:t>
      </w:r>
      <w:r w:rsidR="0064593E" w:rsidRPr="00230BC2">
        <w:t>s</w:t>
      </w:r>
      <w:r w:rsidR="005B6775" w:rsidRPr="00230BC2">
        <w:t xml:space="preserve"> 2</w:t>
      </w:r>
      <w:r w:rsidR="00D1727B" w:rsidRPr="00230BC2">
        <w:t> </w:t>
      </w:r>
      <w:r w:rsidR="005B6775" w:rsidRPr="00230BC2">
        <w:t xml:space="preserve">A and 30 </w:t>
      </w:r>
      <w:r w:rsidR="00602DEE" w:rsidRPr="00230BC2">
        <w:t>in</w:t>
      </w:r>
      <w:r w:rsidR="0064593E" w:rsidRPr="00230BC2">
        <w:t xml:space="preserve"> the present report</w:t>
      </w:r>
      <w:r w:rsidRPr="00230BC2">
        <w:t>, the Conference of the Parties</w:t>
      </w:r>
      <w:r w:rsidR="006C3348" w:rsidRPr="00230BC2">
        <w:t xml:space="preserve"> </w:t>
      </w:r>
      <w:r w:rsidRPr="00230BC2">
        <w:t xml:space="preserve">did not </w:t>
      </w:r>
      <w:r w:rsidR="00602DEE" w:rsidRPr="00230BC2">
        <w:t>consider</w:t>
      </w:r>
      <w:r w:rsidRPr="00230BC2">
        <w:t xml:space="preserve"> item 28</w:t>
      </w:r>
      <w:r w:rsidR="00380E7D" w:rsidRPr="00230BC2">
        <w:t xml:space="preserve"> until the meeting was resumed</w:t>
      </w:r>
      <w:r w:rsidR="009B377E" w:rsidRPr="00230BC2">
        <w:t>.</w:t>
      </w:r>
    </w:p>
    <w:p w14:paraId="773949FE" w14:textId="77777777" w:rsidR="00D56432" w:rsidRPr="00230BC2" w:rsidRDefault="00D56432" w:rsidP="00380E7D">
      <w:pPr>
        <w:pStyle w:val="Para1"/>
        <w:keepNext/>
        <w:numPr>
          <w:ilvl w:val="0"/>
          <w:numId w:val="0"/>
        </w:numPr>
        <w:rPr>
          <w:i/>
          <w:iCs/>
        </w:rPr>
      </w:pPr>
      <w:r w:rsidRPr="00230BC2">
        <w:rPr>
          <w:i/>
          <w:iCs/>
        </w:rPr>
        <w:t>Resumed second part</w:t>
      </w:r>
    </w:p>
    <w:p w14:paraId="6BD89E04" w14:textId="2F5ABDA8" w:rsidR="00D56432" w:rsidRPr="00230BC2" w:rsidRDefault="00380E7D" w:rsidP="00D56432">
      <w:pPr>
        <w:pStyle w:val="Para1"/>
        <w:rPr>
          <w:snapToGrid/>
          <w:szCs w:val="24"/>
        </w:rPr>
      </w:pPr>
      <w:r w:rsidRPr="00230BC2">
        <w:t xml:space="preserve">At the </w:t>
      </w:r>
      <w:r w:rsidR="00D9055C" w:rsidRPr="00230BC2">
        <w:t>7th</w:t>
      </w:r>
      <w:r w:rsidRPr="00230BC2">
        <w:t xml:space="preserve"> plenary session, statements were made by representatives of the following Parties: Democratic Republic of the Congo, Russian Federation and Ukraine.</w:t>
      </w:r>
    </w:p>
    <w:p w14:paraId="49AF6F2F" w14:textId="37BC814D" w:rsidR="00D9055C" w:rsidRPr="00230BC2" w:rsidRDefault="00D9055C" w:rsidP="00D9055C">
      <w:pPr>
        <w:pStyle w:val="Para1"/>
      </w:pPr>
      <w:r w:rsidRPr="00230BC2">
        <w:t>The representatives of the Russian Federation and Ukraine each made a further statement in exercise of their right of reply.</w:t>
      </w:r>
    </w:p>
    <w:bookmarkEnd w:id="464"/>
    <w:p w14:paraId="52D89E3F" w14:textId="2D9090DA" w:rsidR="00D77560" w:rsidRPr="00230BC2" w:rsidRDefault="00D77560"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230BC2">
        <w:rPr>
          <w:b/>
          <w:bCs/>
          <w:snapToGrid w:val="0"/>
          <w:kern w:val="22"/>
          <w:szCs w:val="22"/>
        </w:rPr>
        <w:t>Item 29.</w:t>
      </w:r>
      <w:r w:rsidRPr="00230BC2">
        <w:rPr>
          <w:b/>
          <w:bCs/>
          <w:snapToGrid w:val="0"/>
          <w:kern w:val="22"/>
          <w:szCs w:val="22"/>
        </w:rPr>
        <w:tab/>
        <w:t>Adoption of the report</w:t>
      </w:r>
    </w:p>
    <w:p w14:paraId="2D8F7F71" w14:textId="1200A24D" w:rsidR="009C135F" w:rsidRPr="00230BC2" w:rsidRDefault="00176B8E" w:rsidP="003466FC">
      <w:pPr>
        <w:pStyle w:val="Para1"/>
      </w:pPr>
      <w:r w:rsidRPr="00230BC2">
        <w:t>Owing</w:t>
      </w:r>
      <w:r w:rsidR="00FC5BD5" w:rsidRPr="00230BC2">
        <w:t xml:space="preserve"> to</w:t>
      </w:r>
      <w:r w:rsidR="00C31243" w:rsidRPr="00230BC2">
        <w:t xml:space="preserve"> the</w:t>
      </w:r>
      <w:r w:rsidR="009C135F" w:rsidRPr="00230BC2">
        <w:t xml:space="preserve"> suspen</w:t>
      </w:r>
      <w:r w:rsidR="00C31243" w:rsidRPr="00230BC2">
        <w:t>sion of</w:t>
      </w:r>
      <w:r w:rsidR="009C135F" w:rsidRPr="00230BC2">
        <w:t xml:space="preserve"> the meeting</w:t>
      </w:r>
      <w:r w:rsidR="0064593E" w:rsidRPr="00230BC2">
        <w:t xml:space="preserve"> as described</w:t>
      </w:r>
      <w:r w:rsidR="00C31243" w:rsidRPr="00230BC2">
        <w:t xml:space="preserve"> </w:t>
      </w:r>
      <w:r w:rsidR="00960CCB" w:rsidRPr="00230BC2">
        <w:t xml:space="preserve">under </w:t>
      </w:r>
      <w:r w:rsidR="006A0EB8" w:rsidRPr="00230BC2">
        <w:t xml:space="preserve">agenda </w:t>
      </w:r>
      <w:r w:rsidR="00C31243" w:rsidRPr="00230BC2">
        <w:t>item</w:t>
      </w:r>
      <w:r w:rsidR="0064593E" w:rsidRPr="00230BC2">
        <w:t>s</w:t>
      </w:r>
      <w:r w:rsidR="00960CCB" w:rsidRPr="00230BC2">
        <w:t xml:space="preserve"> 2</w:t>
      </w:r>
      <w:r w:rsidR="00D1727B" w:rsidRPr="00230BC2">
        <w:t> </w:t>
      </w:r>
      <w:r w:rsidR="00960CCB" w:rsidRPr="00230BC2">
        <w:t xml:space="preserve">A and </w:t>
      </w:r>
      <w:r w:rsidR="00A503E5" w:rsidRPr="00230BC2">
        <w:t xml:space="preserve">30 </w:t>
      </w:r>
      <w:r w:rsidR="009B377E" w:rsidRPr="00230BC2">
        <w:t>in</w:t>
      </w:r>
      <w:r w:rsidR="0064593E" w:rsidRPr="00230BC2">
        <w:t xml:space="preserve"> the present report</w:t>
      </w:r>
      <w:r w:rsidR="00A503E5" w:rsidRPr="00230BC2">
        <w:t>,</w:t>
      </w:r>
      <w:r w:rsidR="00C31243" w:rsidRPr="00230BC2">
        <w:t xml:space="preserve"> </w:t>
      </w:r>
      <w:r w:rsidR="009C135F" w:rsidRPr="00230BC2">
        <w:t>the Conference of the Parties</w:t>
      </w:r>
      <w:r w:rsidR="006C3348" w:rsidRPr="00230BC2">
        <w:t xml:space="preserve"> </w:t>
      </w:r>
      <w:r w:rsidR="009C135F" w:rsidRPr="00230BC2">
        <w:t xml:space="preserve">did not </w:t>
      </w:r>
      <w:r w:rsidR="009B377E" w:rsidRPr="00230BC2">
        <w:t>consider</w:t>
      </w:r>
      <w:r w:rsidR="009C135F" w:rsidRPr="00230BC2">
        <w:t xml:space="preserve"> item 29</w:t>
      </w:r>
      <w:r w:rsidR="00643F06" w:rsidRPr="00230BC2">
        <w:t xml:space="preserve"> until the meeting was resumed</w:t>
      </w:r>
      <w:r w:rsidR="009B377E" w:rsidRPr="00230BC2">
        <w:t>.</w:t>
      </w:r>
      <w:r w:rsidR="009C135F" w:rsidRPr="00230BC2">
        <w:t xml:space="preserve"> </w:t>
      </w:r>
    </w:p>
    <w:p w14:paraId="37D7E41B" w14:textId="77777777" w:rsidR="00D56432" w:rsidRPr="00230BC2" w:rsidRDefault="00D56432" w:rsidP="00D56432">
      <w:pPr>
        <w:pStyle w:val="Para1"/>
        <w:numPr>
          <w:ilvl w:val="0"/>
          <w:numId w:val="0"/>
        </w:numPr>
        <w:rPr>
          <w:i/>
          <w:iCs/>
        </w:rPr>
      </w:pPr>
      <w:r w:rsidRPr="00230BC2">
        <w:rPr>
          <w:i/>
          <w:iCs/>
        </w:rPr>
        <w:t>Resumed second part</w:t>
      </w:r>
    </w:p>
    <w:p w14:paraId="5D3F3B4F" w14:textId="7EB83B01" w:rsidR="0007079D" w:rsidRPr="00230BC2" w:rsidRDefault="00643F06" w:rsidP="00D56432">
      <w:pPr>
        <w:pStyle w:val="Para1"/>
        <w:numPr>
          <w:ilvl w:val="0"/>
          <w:numId w:val="4"/>
        </w:numPr>
        <w:rPr>
          <w:snapToGrid/>
          <w:szCs w:val="24"/>
        </w:rPr>
      </w:pPr>
      <w:r w:rsidRPr="00230BC2">
        <w:rPr>
          <w:snapToGrid/>
          <w:szCs w:val="24"/>
        </w:rPr>
        <w:t xml:space="preserve">At its 7th plenary session, the Conference of the Parties considered </w:t>
      </w:r>
      <w:r w:rsidRPr="00230BC2">
        <w:t xml:space="preserve">the draft report of the </w:t>
      </w:r>
      <w:r w:rsidR="00464E41" w:rsidRPr="00230BC2">
        <w:t xml:space="preserve">second part of the </w:t>
      </w:r>
      <w:r w:rsidRPr="00230BC2">
        <w:t>meeting presented by the Rapporteur (CBD/COP/15/</w:t>
      </w:r>
      <w:r w:rsidRPr="00230BC2">
        <w:rPr>
          <w:noProof/>
        </w:rPr>
        <w:t>Part-II/L.1/Rev.2</w:t>
      </w:r>
      <w:r w:rsidRPr="00230BC2">
        <w:t>).</w:t>
      </w:r>
      <w:r w:rsidRPr="00230BC2">
        <w:rPr>
          <w:snapToGrid/>
          <w:szCs w:val="24"/>
        </w:rPr>
        <w:t xml:space="preserve"> </w:t>
      </w:r>
    </w:p>
    <w:p w14:paraId="306889E1" w14:textId="010CF5E8" w:rsidR="0007079D" w:rsidRPr="00230BC2" w:rsidRDefault="0007079D" w:rsidP="00D56432">
      <w:pPr>
        <w:pStyle w:val="Para1"/>
        <w:numPr>
          <w:ilvl w:val="0"/>
          <w:numId w:val="4"/>
        </w:numPr>
        <w:rPr>
          <w:snapToGrid/>
          <w:szCs w:val="24"/>
        </w:rPr>
      </w:pPr>
      <w:r w:rsidRPr="00230BC2">
        <w:rPr>
          <w:snapToGrid/>
          <w:szCs w:val="24"/>
        </w:rPr>
        <w:t xml:space="preserve">Statements were made by representatives of the following Parties: </w:t>
      </w:r>
      <w:r w:rsidR="006760D5" w:rsidRPr="00230BC2">
        <w:rPr>
          <w:snapToGrid/>
          <w:szCs w:val="24"/>
        </w:rPr>
        <w:t xml:space="preserve">Cameroon, </w:t>
      </w:r>
      <w:r w:rsidRPr="00230BC2">
        <w:rPr>
          <w:snapToGrid/>
          <w:szCs w:val="24"/>
        </w:rPr>
        <w:t xml:space="preserve">Czechia, </w:t>
      </w:r>
      <w:r w:rsidR="006C7FDA" w:rsidRPr="00230BC2">
        <w:rPr>
          <w:snapToGrid/>
          <w:szCs w:val="24"/>
        </w:rPr>
        <w:t xml:space="preserve">Democratic Republic of the Congo, </w:t>
      </w:r>
      <w:r w:rsidRPr="00230BC2">
        <w:rPr>
          <w:snapToGrid/>
          <w:szCs w:val="24"/>
        </w:rPr>
        <w:t>Estonia</w:t>
      </w:r>
      <w:r w:rsidR="00AB1E31" w:rsidRPr="00230BC2">
        <w:rPr>
          <w:snapToGrid/>
          <w:szCs w:val="24"/>
        </w:rPr>
        <w:t>,</w:t>
      </w:r>
      <w:r w:rsidR="006C7FDA" w:rsidRPr="00230BC2">
        <w:rPr>
          <w:snapToGrid/>
          <w:szCs w:val="24"/>
        </w:rPr>
        <w:t xml:space="preserve"> </w:t>
      </w:r>
      <w:r w:rsidRPr="00230BC2">
        <w:rPr>
          <w:snapToGrid/>
          <w:szCs w:val="24"/>
        </w:rPr>
        <w:t>Georgia, Hungary, Russian Federation</w:t>
      </w:r>
      <w:r w:rsidR="00D9055C" w:rsidRPr="00230BC2">
        <w:rPr>
          <w:snapToGrid/>
          <w:szCs w:val="24"/>
        </w:rPr>
        <w:t xml:space="preserve"> and</w:t>
      </w:r>
      <w:r w:rsidRPr="00230BC2">
        <w:rPr>
          <w:snapToGrid/>
          <w:szCs w:val="24"/>
        </w:rPr>
        <w:t xml:space="preserve"> Spain (on behalf of the European Union</w:t>
      </w:r>
      <w:r w:rsidR="00D9055C" w:rsidRPr="00230BC2">
        <w:rPr>
          <w:snapToGrid/>
          <w:szCs w:val="24"/>
        </w:rPr>
        <w:t xml:space="preserve"> and its </w:t>
      </w:r>
      <w:r w:rsidR="00AA2433" w:rsidRPr="00230BC2">
        <w:rPr>
          <w:snapToGrid/>
          <w:szCs w:val="24"/>
        </w:rPr>
        <w:t xml:space="preserve">27 </w:t>
      </w:r>
      <w:r w:rsidR="00D9055C" w:rsidRPr="00230BC2">
        <w:rPr>
          <w:snapToGrid/>
          <w:szCs w:val="24"/>
        </w:rPr>
        <w:t>member States</w:t>
      </w:r>
      <w:r w:rsidRPr="00230BC2">
        <w:rPr>
          <w:snapToGrid/>
          <w:szCs w:val="24"/>
        </w:rPr>
        <w:t>).</w:t>
      </w:r>
    </w:p>
    <w:p w14:paraId="7056A33E" w14:textId="69426A5E" w:rsidR="00D56432" w:rsidRPr="00230BC2" w:rsidRDefault="008C6B94" w:rsidP="00D56432">
      <w:pPr>
        <w:pStyle w:val="Para1"/>
        <w:numPr>
          <w:ilvl w:val="0"/>
          <w:numId w:val="4"/>
        </w:numPr>
        <w:rPr>
          <w:snapToGrid/>
          <w:szCs w:val="24"/>
        </w:rPr>
      </w:pPr>
      <w:r w:rsidRPr="00230BC2">
        <w:t xml:space="preserve">The </w:t>
      </w:r>
      <w:r w:rsidR="00643F06" w:rsidRPr="00230BC2">
        <w:t>Conference of the Parties adopted the draft</w:t>
      </w:r>
      <w:r w:rsidRPr="00230BC2">
        <w:t xml:space="preserve"> report, </w:t>
      </w:r>
      <w:r w:rsidR="00643F06" w:rsidRPr="00230BC2">
        <w:t xml:space="preserve">as orally amended, </w:t>
      </w:r>
      <w:r w:rsidRPr="00230BC2">
        <w:t>on the understanding that the Rapporteur would be entrusted with its finalization.</w:t>
      </w:r>
    </w:p>
    <w:p w14:paraId="0FF8FE68" w14:textId="7FFCD782" w:rsidR="00D77560" w:rsidRPr="00230BC2" w:rsidRDefault="00D77560" w:rsidP="00EE6F7F">
      <w:pPr>
        <w:keepNext/>
        <w:suppressLineNumbers/>
        <w:tabs>
          <w:tab w:val="left" w:pos="990"/>
        </w:tabs>
        <w:suppressAutoHyphens/>
        <w:kinsoku w:val="0"/>
        <w:overflowPunct w:val="0"/>
        <w:autoSpaceDE w:val="0"/>
        <w:autoSpaceDN w:val="0"/>
        <w:adjustRightInd w:val="0"/>
        <w:snapToGrid w:val="0"/>
        <w:spacing w:before="240" w:after="120"/>
        <w:jc w:val="center"/>
        <w:rPr>
          <w:b/>
          <w:bCs/>
          <w:snapToGrid w:val="0"/>
          <w:kern w:val="22"/>
          <w:szCs w:val="22"/>
        </w:rPr>
      </w:pPr>
      <w:r w:rsidRPr="00230BC2">
        <w:rPr>
          <w:b/>
          <w:bCs/>
          <w:snapToGrid w:val="0"/>
          <w:kern w:val="22"/>
          <w:szCs w:val="22"/>
        </w:rPr>
        <w:t>Item 30.</w:t>
      </w:r>
      <w:r w:rsidRPr="00230BC2">
        <w:rPr>
          <w:b/>
          <w:bCs/>
          <w:snapToGrid w:val="0"/>
          <w:kern w:val="22"/>
          <w:szCs w:val="22"/>
        </w:rPr>
        <w:tab/>
        <w:t>Closure of the meeting</w:t>
      </w:r>
    </w:p>
    <w:p w14:paraId="5DFB5625" w14:textId="6D6D8099" w:rsidR="00A503E5" w:rsidRPr="00230BC2" w:rsidRDefault="005F0BC6" w:rsidP="003466FC">
      <w:pPr>
        <w:pStyle w:val="Para1"/>
      </w:pPr>
      <w:bookmarkStart w:id="465" w:name="_Hlk123388426"/>
      <w:r w:rsidRPr="00230BC2">
        <w:t>As indicated under item 2</w:t>
      </w:r>
      <w:r w:rsidR="006C6BD7" w:rsidRPr="00230BC2">
        <w:t> </w:t>
      </w:r>
      <w:r w:rsidRPr="00230BC2">
        <w:t>A</w:t>
      </w:r>
      <w:r w:rsidR="006A0EB8" w:rsidRPr="00230BC2">
        <w:t xml:space="preserve"> of the agenda</w:t>
      </w:r>
      <w:r w:rsidR="00C34A27" w:rsidRPr="00230BC2">
        <w:t xml:space="preserve">, </w:t>
      </w:r>
      <w:r w:rsidR="005D5633" w:rsidRPr="00230BC2">
        <w:t xml:space="preserve">it </w:t>
      </w:r>
      <w:r w:rsidR="008F2BD2" w:rsidRPr="00230BC2">
        <w:t>did</w:t>
      </w:r>
      <w:r w:rsidR="005D5633" w:rsidRPr="00230BC2">
        <w:t xml:space="preserve"> not </w:t>
      </w:r>
      <w:r w:rsidR="00E00F55" w:rsidRPr="00230BC2">
        <w:t xml:space="preserve">prove </w:t>
      </w:r>
      <w:r w:rsidR="005D5633" w:rsidRPr="00230BC2">
        <w:t xml:space="preserve">possible </w:t>
      </w:r>
      <w:r w:rsidR="00C5333A" w:rsidRPr="00230BC2">
        <w:t xml:space="preserve">to </w:t>
      </w:r>
      <w:r w:rsidR="00580192" w:rsidRPr="00230BC2">
        <w:t>con</w:t>
      </w:r>
      <w:r w:rsidR="008A65AB" w:rsidRPr="00230BC2">
        <w:t xml:space="preserve">duct </w:t>
      </w:r>
      <w:r w:rsidR="00FB70D6" w:rsidRPr="00230BC2">
        <w:t xml:space="preserve">the </w:t>
      </w:r>
      <w:r w:rsidR="008A65AB" w:rsidRPr="00230BC2">
        <w:t xml:space="preserve">election of officers and conclude </w:t>
      </w:r>
      <w:r w:rsidR="005A79CC" w:rsidRPr="00230BC2">
        <w:t xml:space="preserve">the second </w:t>
      </w:r>
      <w:r w:rsidR="008E3028" w:rsidRPr="00230BC2">
        <w:t>part of the</w:t>
      </w:r>
      <w:r w:rsidR="008E1FA9" w:rsidRPr="00230BC2">
        <w:t xml:space="preserve"> fifteenth </w:t>
      </w:r>
      <w:r w:rsidR="008E3028" w:rsidRPr="00230BC2">
        <w:t xml:space="preserve">meeting of the Conference </w:t>
      </w:r>
      <w:r w:rsidR="008E1FA9" w:rsidRPr="00230BC2">
        <w:t>of the Parties</w:t>
      </w:r>
      <w:r w:rsidR="006C3348" w:rsidRPr="00230BC2">
        <w:t xml:space="preserve"> </w:t>
      </w:r>
      <w:r w:rsidR="00756D6E" w:rsidRPr="00230BC2">
        <w:t xml:space="preserve">at the </w:t>
      </w:r>
      <w:r w:rsidR="0042766B" w:rsidRPr="00230BC2">
        <w:t>5th</w:t>
      </w:r>
      <w:r w:rsidR="00756D6E" w:rsidRPr="00230BC2">
        <w:t xml:space="preserve"> plenary session</w:t>
      </w:r>
      <w:r w:rsidR="0069545B" w:rsidRPr="00230BC2">
        <w:t>.</w:t>
      </w:r>
    </w:p>
    <w:p w14:paraId="1178208F" w14:textId="77BE8127" w:rsidR="00A56829" w:rsidRPr="00230BC2" w:rsidRDefault="00290957" w:rsidP="003466FC">
      <w:pPr>
        <w:pStyle w:val="Para1"/>
      </w:pPr>
      <w:r w:rsidRPr="00230BC2">
        <w:t>Accordingly, t</w:t>
      </w:r>
      <w:r w:rsidR="00BB65FF" w:rsidRPr="00230BC2">
        <w:t>he President proposed t</w:t>
      </w:r>
      <w:r w:rsidR="00F530DD" w:rsidRPr="00230BC2">
        <w:t>o suspend the fifteenth meeting of the Conference of the Parties</w:t>
      </w:r>
      <w:r w:rsidR="006C3348" w:rsidRPr="00230BC2">
        <w:t xml:space="preserve"> </w:t>
      </w:r>
      <w:r w:rsidR="00F530DD" w:rsidRPr="00230BC2">
        <w:t xml:space="preserve">to allow Parties to resolve their differences relating to </w:t>
      </w:r>
      <w:r w:rsidR="002060C3" w:rsidRPr="00230BC2">
        <w:t xml:space="preserve">the </w:t>
      </w:r>
      <w:r w:rsidR="00F530DD" w:rsidRPr="00230BC2">
        <w:t>election of officers at</w:t>
      </w:r>
      <w:r w:rsidR="000B1079" w:rsidRPr="00230BC2">
        <w:t xml:space="preserve"> a</w:t>
      </w:r>
      <w:r w:rsidR="00F530DD" w:rsidRPr="00230BC2">
        <w:t xml:space="preserve"> resumed session of the meeting</w:t>
      </w:r>
      <w:r w:rsidR="00036436" w:rsidRPr="00230BC2">
        <w:t>,</w:t>
      </w:r>
      <w:r w:rsidR="00F530DD" w:rsidRPr="00230BC2">
        <w:t xml:space="preserve"> to be convened at a later date, and request</w:t>
      </w:r>
      <w:r w:rsidR="00165268" w:rsidRPr="00230BC2">
        <w:t>ed</w:t>
      </w:r>
      <w:r w:rsidR="00F530DD" w:rsidRPr="00230BC2">
        <w:t xml:space="preserve"> members of the Bureau of the meeting and officers of other bodies to remain in office until the co</w:t>
      </w:r>
      <w:r w:rsidR="00651580" w:rsidRPr="00230BC2">
        <w:t xml:space="preserve">nclusion </w:t>
      </w:r>
      <w:r w:rsidR="00F530DD" w:rsidRPr="00230BC2">
        <w:t>of the resumed session</w:t>
      </w:r>
      <w:r w:rsidR="00651580" w:rsidRPr="00230BC2">
        <w:t>.</w:t>
      </w:r>
      <w:r w:rsidR="00E353E2" w:rsidRPr="00230BC2">
        <w:t xml:space="preserve"> </w:t>
      </w:r>
      <w:r w:rsidR="00B3517C" w:rsidRPr="00230BC2">
        <w:t xml:space="preserve">No </w:t>
      </w:r>
      <w:r w:rsidR="000C13FD" w:rsidRPr="00230BC2">
        <w:t xml:space="preserve">Party </w:t>
      </w:r>
      <w:r w:rsidR="00B3517C" w:rsidRPr="00230BC2">
        <w:t xml:space="preserve">expressed </w:t>
      </w:r>
      <w:r w:rsidR="008A215C" w:rsidRPr="00230BC2">
        <w:t xml:space="preserve">any view </w:t>
      </w:r>
      <w:r w:rsidR="00B3517C" w:rsidRPr="00230BC2">
        <w:t xml:space="preserve">otherwise. </w:t>
      </w:r>
    </w:p>
    <w:p w14:paraId="28D52E1B" w14:textId="3C2DA168" w:rsidR="009C135F" w:rsidRPr="00230BC2" w:rsidRDefault="009C135F" w:rsidP="003466FC">
      <w:pPr>
        <w:pStyle w:val="Para1"/>
      </w:pPr>
      <w:r w:rsidRPr="00230BC2">
        <w:t>Following the customary exchange of courtesies</w:t>
      </w:r>
      <w:r w:rsidR="00523561" w:rsidRPr="00230BC2">
        <w:t xml:space="preserve">, </w:t>
      </w:r>
      <w:r w:rsidR="00BD3EF4" w:rsidRPr="00230BC2">
        <w:t xml:space="preserve">the President </w:t>
      </w:r>
      <w:r w:rsidR="00CE756F" w:rsidRPr="00230BC2">
        <w:t xml:space="preserve">suspended </w:t>
      </w:r>
      <w:r w:rsidRPr="00230BC2">
        <w:t>the meeting at 1</w:t>
      </w:r>
      <w:r w:rsidR="002060C3" w:rsidRPr="00230BC2">
        <w:t> </w:t>
      </w:r>
      <w:r w:rsidRPr="00230BC2">
        <w:t>a</w:t>
      </w:r>
      <w:r w:rsidR="002219AC" w:rsidRPr="00230BC2">
        <w:t>.</w:t>
      </w:r>
      <w:r w:rsidRPr="00230BC2">
        <w:t>m</w:t>
      </w:r>
      <w:r w:rsidR="002219AC" w:rsidRPr="00230BC2">
        <w:t>.</w:t>
      </w:r>
      <w:r w:rsidRPr="00230BC2">
        <w:t xml:space="preserve"> on 20 December</w:t>
      </w:r>
      <w:r w:rsidR="002219AC" w:rsidRPr="00230BC2">
        <w:t xml:space="preserve"> 2022</w:t>
      </w:r>
      <w:r w:rsidRPr="00230BC2">
        <w:t>.</w:t>
      </w:r>
    </w:p>
    <w:bookmarkEnd w:id="465"/>
    <w:p w14:paraId="0BB643ED" w14:textId="77777777" w:rsidR="00D56432" w:rsidRPr="00230BC2" w:rsidRDefault="00D56432" w:rsidP="00D56432">
      <w:pPr>
        <w:pStyle w:val="Para1"/>
        <w:numPr>
          <w:ilvl w:val="0"/>
          <w:numId w:val="0"/>
        </w:numPr>
        <w:rPr>
          <w:i/>
          <w:iCs/>
        </w:rPr>
      </w:pPr>
      <w:r w:rsidRPr="00230BC2">
        <w:rPr>
          <w:i/>
          <w:iCs/>
        </w:rPr>
        <w:t>Resumed second part</w:t>
      </w:r>
    </w:p>
    <w:p w14:paraId="6A5896BD" w14:textId="33F794FB" w:rsidR="00D56432" w:rsidRPr="00230BC2" w:rsidRDefault="00915883" w:rsidP="00D56432">
      <w:pPr>
        <w:pStyle w:val="Para1"/>
        <w:numPr>
          <w:ilvl w:val="0"/>
          <w:numId w:val="4"/>
        </w:numPr>
        <w:rPr>
          <w:snapToGrid/>
          <w:szCs w:val="24"/>
        </w:rPr>
      </w:pPr>
      <w:r w:rsidRPr="00230BC2">
        <w:t xml:space="preserve">Following the customary exchange of courtesies, the meeting was declared closed at </w:t>
      </w:r>
      <w:r w:rsidR="00D5285F" w:rsidRPr="00230BC2">
        <w:t>1.15</w:t>
      </w:r>
      <w:r w:rsidRPr="00230BC2">
        <w:t xml:space="preserve"> p.m. on 20 October 2023. </w:t>
      </w:r>
    </w:p>
    <w:p w14:paraId="0C7ECA54" w14:textId="0AA6D6DE" w:rsidR="009F6051" w:rsidRPr="00230BC2" w:rsidRDefault="00D95248" w:rsidP="007A413E">
      <w:pPr>
        <w:pStyle w:val="Para1"/>
        <w:numPr>
          <w:ilvl w:val="0"/>
          <w:numId w:val="0"/>
        </w:numPr>
        <w:jc w:val="center"/>
      </w:pPr>
      <w:r w:rsidRPr="00230BC2">
        <w:t>__________</w:t>
      </w:r>
    </w:p>
    <w:sectPr w:rsidR="009F6051" w:rsidRPr="00230BC2" w:rsidSect="00E0044C">
      <w:footnotePr>
        <w:numStart w:val="2"/>
      </w:footnotePr>
      <w:type w:val="continuous"/>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B8CDE" w14:textId="77777777" w:rsidR="00A11A7E" w:rsidRDefault="00A11A7E" w:rsidP="00CF1848">
      <w:r>
        <w:separator/>
      </w:r>
    </w:p>
  </w:endnote>
  <w:endnote w:type="continuationSeparator" w:id="0">
    <w:p w14:paraId="2AB0ED42" w14:textId="77777777" w:rsidR="00A11A7E" w:rsidRDefault="00A11A7E" w:rsidP="00CF1848">
      <w:r>
        <w:continuationSeparator/>
      </w:r>
    </w:p>
  </w:endnote>
  <w:endnote w:type="continuationNotice" w:id="1">
    <w:p w14:paraId="460A2802" w14:textId="77777777" w:rsidR="00A11A7E" w:rsidRDefault="00A11A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813C1" w14:textId="77777777" w:rsidR="00963618" w:rsidRDefault="00963618" w:rsidP="00130003">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C19F4" w14:textId="77777777" w:rsidR="00A11A7E" w:rsidRDefault="00A11A7E" w:rsidP="00CF1848">
      <w:r>
        <w:separator/>
      </w:r>
    </w:p>
  </w:footnote>
  <w:footnote w:type="continuationSeparator" w:id="0">
    <w:p w14:paraId="3A6758D7" w14:textId="77777777" w:rsidR="00A11A7E" w:rsidRDefault="00A11A7E" w:rsidP="00CF1848">
      <w:r>
        <w:continuationSeparator/>
      </w:r>
    </w:p>
  </w:footnote>
  <w:footnote w:type="continuationNotice" w:id="1">
    <w:p w14:paraId="7A29BAF8" w14:textId="77777777" w:rsidR="00A11A7E" w:rsidRDefault="00A11A7E"/>
  </w:footnote>
  <w:footnote w:id="2">
    <w:p w14:paraId="663169EF" w14:textId="21FD8F9E" w:rsidR="00F241DC" w:rsidRPr="00F241DC" w:rsidRDefault="00F241DC" w:rsidP="00AE41A6">
      <w:pPr>
        <w:pStyle w:val="FootnoteText"/>
        <w:ind w:firstLine="0"/>
        <w:rPr>
          <w:lang w:val="en-US"/>
        </w:rPr>
      </w:pPr>
      <w:r>
        <w:rPr>
          <w:rStyle w:val="FootnoteReference"/>
        </w:rPr>
        <w:t>*</w:t>
      </w:r>
      <w:r>
        <w:t xml:space="preserve"> </w:t>
      </w:r>
      <w:r>
        <w:rPr>
          <w:lang w:val="en-US"/>
        </w:rPr>
        <w:t>For decision 15/1</w:t>
      </w:r>
      <w:r w:rsidR="00177819">
        <w:rPr>
          <w:lang w:val="en-US"/>
        </w:rPr>
        <w:t>, see CBD/COP/15/4, sect. I.</w:t>
      </w:r>
    </w:p>
  </w:footnote>
  <w:footnote w:id="3">
    <w:p w14:paraId="060E461E" w14:textId="05742FD4" w:rsidR="00D07848" w:rsidRPr="00D07848" w:rsidRDefault="00D07848" w:rsidP="002F060F">
      <w:pPr>
        <w:pStyle w:val="FootnoteText"/>
        <w:ind w:firstLine="0"/>
        <w:rPr>
          <w:lang w:val="en-US"/>
        </w:rPr>
      </w:pPr>
      <w:r w:rsidRPr="00A13F89">
        <w:rPr>
          <w:rStyle w:val="FootnoteReference"/>
        </w:rPr>
        <w:t>*</w:t>
      </w:r>
      <w:r w:rsidRPr="00A13F89">
        <w:t xml:space="preserve"> </w:t>
      </w:r>
      <w:r w:rsidR="00E21FC5" w:rsidRPr="00A13F89">
        <w:rPr>
          <w:lang w:val="en-US"/>
        </w:rPr>
        <w:t>Decision</w:t>
      </w:r>
      <w:r w:rsidR="00E21FC5" w:rsidRPr="00E21FC5">
        <w:rPr>
          <w:lang w:val="en-US"/>
        </w:rPr>
        <w:t xml:space="preserve"> 15/1 (Proposed interim budget for the programme of work of the Convention on Biological Diversity, the Cartagena Protocol on Biosafety and the Nagoya Protocol on Access and Benefit-sharing for the year 2022) was adopted on 15 October 2021, during the first part of the fifteenth meeting of the Conference of the Parties and is therefore included in the corresponding report (CBD/COP/15/4)</w:t>
      </w:r>
      <w:r w:rsidR="002E23AE">
        <w:rPr>
          <w:lang w:val="en-US"/>
        </w:rPr>
        <w:t>.</w:t>
      </w:r>
    </w:p>
  </w:footnote>
  <w:footnote w:id="4">
    <w:p w14:paraId="0D46D810" w14:textId="77777777" w:rsidR="003E49B8" w:rsidRPr="003E4480" w:rsidRDefault="003E49B8" w:rsidP="00B0602C">
      <w:pPr>
        <w:pStyle w:val="FootnoteText"/>
        <w:suppressLineNumbers/>
        <w:suppressAutoHyphens/>
        <w:ind w:firstLine="0"/>
        <w:jc w:val="left"/>
        <w:rPr>
          <w:kern w:val="18"/>
          <w:szCs w:val="18"/>
          <w:lang w:val="en-US"/>
        </w:rPr>
      </w:pPr>
      <w:r w:rsidRPr="00610646">
        <w:rPr>
          <w:rStyle w:val="FootnoteReference"/>
          <w:rFonts w:eastAsiaTheme="majorEastAsia"/>
        </w:rPr>
        <w:footnoteRef/>
      </w:r>
      <w:r w:rsidRPr="003E4480">
        <w:rPr>
          <w:kern w:val="18"/>
          <w:szCs w:val="18"/>
          <w:lang w:val="en-US"/>
        </w:rPr>
        <w:t xml:space="preserve"> </w:t>
      </w:r>
      <w:r w:rsidRPr="003E4480">
        <w:rPr>
          <w:szCs w:val="18"/>
        </w:rPr>
        <w:t xml:space="preserve">IPBES (2019): </w:t>
      </w:r>
      <w:r w:rsidRPr="003E4480">
        <w:rPr>
          <w:i/>
          <w:iCs/>
          <w:szCs w:val="18"/>
        </w:rPr>
        <w:t>Global assessment report on biodiversity and ecosystem services of the Intergovernmental Science-Policy Platform on Biodiversity and Ecosystem Services</w:t>
      </w:r>
      <w:r w:rsidRPr="003E4480">
        <w:rPr>
          <w:szCs w:val="18"/>
        </w:rPr>
        <w:t>. IPBES secretariat, Bonn, Germany.</w:t>
      </w:r>
    </w:p>
  </w:footnote>
  <w:footnote w:id="5">
    <w:p w14:paraId="71DB88BE" w14:textId="77777777" w:rsidR="003E49B8" w:rsidRPr="003E4480" w:rsidRDefault="003E49B8" w:rsidP="00B0602C">
      <w:pPr>
        <w:pStyle w:val="FootnoteText"/>
        <w:ind w:firstLine="0"/>
        <w:jc w:val="left"/>
        <w:rPr>
          <w:szCs w:val="18"/>
        </w:rPr>
      </w:pPr>
      <w:r w:rsidRPr="00610646">
        <w:rPr>
          <w:rStyle w:val="FootnoteReference"/>
        </w:rPr>
        <w:footnoteRef/>
      </w:r>
      <w:r w:rsidRPr="003E4480">
        <w:rPr>
          <w:szCs w:val="18"/>
        </w:rPr>
        <w:t xml:space="preserve"> IPCC, 2018: </w:t>
      </w:r>
      <w:r w:rsidRPr="003E4480">
        <w:rPr>
          <w:i/>
          <w:iCs/>
          <w:szCs w:val="18"/>
        </w:rPr>
        <w:t>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w:t>
      </w:r>
      <w:r w:rsidRPr="003E4480">
        <w:rPr>
          <w:szCs w:val="18"/>
        </w:rPr>
        <w:t>. Cambridge University Press, Cambridge, UK and New York, NY, USA</w:t>
      </w:r>
      <w:r>
        <w:rPr>
          <w:szCs w:val="18"/>
        </w:rPr>
        <w:t>.</w:t>
      </w:r>
    </w:p>
  </w:footnote>
  <w:footnote w:id="6">
    <w:p w14:paraId="0E19E44D" w14:textId="77777777" w:rsidR="003E49B8" w:rsidRPr="003E4480" w:rsidRDefault="003E49B8" w:rsidP="00B0602C">
      <w:pPr>
        <w:pStyle w:val="FootnoteText"/>
        <w:ind w:firstLine="0"/>
        <w:jc w:val="left"/>
        <w:rPr>
          <w:szCs w:val="18"/>
        </w:rPr>
      </w:pPr>
      <w:r w:rsidRPr="00610646">
        <w:rPr>
          <w:rStyle w:val="FootnoteReference"/>
        </w:rPr>
        <w:footnoteRef/>
      </w:r>
      <w:r w:rsidRPr="003E4480">
        <w:rPr>
          <w:szCs w:val="18"/>
        </w:rPr>
        <w:t xml:space="preserve"> IPCC, 2019: </w:t>
      </w:r>
      <w:r w:rsidRPr="003E4480">
        <w:rPr>
          <w:i/>
          <w:iCs/>
          <w:szCs w:val="18"/>
        </w:rPr>
        <w:t>IPCC Special Report on the Ocean and Cryosphere in a Changing Climate</w:t>
      </w:r>
      <w:r w:rsidRPr="003E4480">
        <w:rPr>
          <w:szCs w:val="18"/>
        </w:rPr>
        <w:t>. Cambridge University Press, Cambridge, UK and New York, USA.</w:t>
      </w:r>
    </w:p>
  </w:footnote>
  <w:footnote w:id="7">
    <w:p w14:paraId="12581A71" w14:textId="77777777" w:rsidR="003E49B8" w:rsidRPr="00F26AE1" w:rsidRDefault="003E49B8" w:rsidP="00B0602C">
      <w:pPr>
        <w:pStyle w:val="FootnoteText"/>
        <w:ind w:firstLine="0"/>
        <w:jc w:val="left"/>
      </w:pPr>
      <w:r w:rsidRPr="00610646">
        <w:rPr>
          <w:rStyle w:val="FootnoteReference"/>
        </w:rPr>
        <w:footnoteRef/>
      </w:r>
      <w:r w:rsidRPr="003E4480">
        <w:rPr>
          <w:szCs w:val="18"/>
        </w:rPr>
        <w:t xml:space="preserve"> IPCC, 2019: </w:t>
      </w:r>
      <w:r w:rsidRPr="003E4480">
        <w:rPr>
          <w:i/>
          <w:iCs/>
          <w:szCs w:val="18"/>
        </w:rPr>
        <w:t>Climate Change and Land: An IPCC Special Report on climate change, desertification, land degradation, sustainable land management, food security, and greenhouse gas fluxes in terrestrial ecosystems</w:t>
      </w:r>
      <w:r w:rsidRPr="003E4480">
        <w:rPr>
          <w:szCs w:val="18"/>
        </w:rPr>
        <w:t>. Cambridge: Cambridge University Press.</w:t>
      </w:r>
    </w:p>
  </w:footnote>
  <w:footnote w:id="8">
    <w:p w14:paraId="58FB2AEE" w14:textId="77777777" w:rsidR="003E49B8" w:rsidRDefault="003E49B8" w:rsidP="00B0602C">
      <w:pPr>
        <w:pStyle w:val="FootnoteText"/>
        <w:suppressLineNumbers/>
        <w:suppressAutoHyphens/>
        <w:kinsoku w:val="0"/>
        <w:overflowPunct w:val="0"/>
        <w:autoSpaceDE w:val="0"/>
        <w:autoSpaceDN w:val="0"/>
        <w:ind w:firstLine="0"/>
        <w:jc w:val="left"/>
        <w:rPr>
          <w:kern w:val="18"/>
          <w:szCs w:val="18"/>
        </w:rPr>
      </w:pPr>
      <w:r w:rsidRPr="00610646">
        <w:rPr>
          <w:rStyle w:val="FootnoteReference"/>
          <w:rFonts w:eastAsiaTheme="majorEastAsia"/>
        </w:rPr>
        <w:footnoteRef/>
      </w:r>
      <w:r>
        <w:rPr>
          <w:kern w:val="18"/>
          <w:szCs w:val="18"/>
        </w:rPr>
        <w:t xml:space="preserve"> Secretariat of the Convention on Biological Diversity (2020). </w:t>
      </w:r>
      <w:r>
        <w:rPr>
          <w:i/>
          <w:kern w:val="18"/>
          <w:szCs w:val="18"/>
        </w:rPr>
        <w:t>Global Biodiversity Outlook 5</w:t>
      </w:r>
      <w:r>
        <w:rPr>
          <w:kern w:val="18"/>
          <w:szCs w:val="18"/>
        </w:rPr>
        <w:t>. Montreal.</w:t>
      </w:r>
    </w:p>
  </w:footnote>
  <w:footnote w:id="9">
    <w:p w14:paraId="36AACA0C" w14:textId="77777777" w:rsidR="003E49B8" w:rsidRDefault="003E49B8" w:rsidP="00B0602C">
      <w:pPr>
        <w:pStyle w:val="FootnoteText"/>
        <w:suppressLineNumbers/>
        <w:suppressAutoHyphens/>
        <w:kinsoku w:val="0"/>
        <w:overflowPunct w:val="0"/>
        <w:autoSpaceDE w:val="0"/>
        <w:autoSpaceDN w:val="0"/>
        <w:ind w:firstLine="0"/>
        <w:jc w:val="left"/>
        <w:rPr>
          <w:kern w:val="18"/>
          <w:szCs w:val="18"/>
        </w:rPr>
      </w:pPr>
      <w:r w:rsidRPr="00610646">
        <w:rPr>
          <w:rStyle w:val="FootnoteReference"/>
          <w:rFonts w:eastAsiaTheme="majorEastAsia"/>
        </w:rPr>
        <w:footnoteRef/>
      </w:r>
      <w:r>
        <w:rPr>
          <w:kern w:val="18"/>
          <w:szCs w:val="18"/>
        </w:rPr>
        <w:t xml:space="preserve"> Forest Peoples Programme (2020). </w:t>
      </w:r>
      <w:r>
        <w:rPr>
          <w:i/>
          <w:kern w:val="18"/>
          <w:szCs w:val="18"/>
        </w:rPr>
        <w:t>Local Biodiversity Outlooks 2: The contributions of indigenous peoples and local communities to the implementation of the Strategic Plan for Biodiversity 2011–2020 and to renewing nature and cultures. A complement to the fifth edition of the Global Biodiversity Outlook</w:t>
      </w:r>
      <w:r>
        <w:rPr>
          <w:kern w:val="18"/>
          <w:szCs w:val="18"/>
        </w:rPr>
        <w:t xml:space="preserve">. </w:t>
      </w:r>
      <w:r w:rsidRPr="006359A0">
        <w:rPr>
          <w:kern w:val="18"/>
          <w:szCs w:val="18"/>
        </w:rPr>
        <w:t>Moreton-in-Marsh, England (United Kingdom).</w:t>
      </w:r>
    </w:p>
  </w:footnote>
  <w:footnote w:id="10">
    <w:p w14:paraId="5116032D" w14:textId="77777777" w:rsidR="003E49B8" w:rsidRDefault="003E49B8" w:rsidP="00B0602C">
      <w:pPr>
        <w:pStyle w:val="FootnoteText"/>
        <w:suppressLineNumbers/>
        <w:suppressAutoHyphens/>
        <w:kinsoku w:val="0"/>
        <w:overflowPunct w:val="0"/>
        <w:autoSpaceDE w:val="0"/>
        <w:autoSpaceDN w:val="0"/>
        <w:ind w:firstLine="0"/>
        <w:jc w:val="left"/>
        <w:rPr>
          <w:kern w:val="18"/>
          <w:szCs w:val="18"/>
        </w:rPr>
      </w:pPr>
      <w:r w:rsidRPr="00610646">
        <w:rPr>
          <w:rStyle w:val="FootnoteReference"/>
          <w:rFonts w:eastAsiaTheme="majorEastAsia"/>
        </w:rPr>
        <w:footnoteRef/>
      </w:r>
      <w:r>
        <w:rPr>
          <w:kern w:val="18"/>
          <w:szCs w:val="18"/>
        </w:rPr>
        <w:t xml:space="preserve"> Sharrock, S. (2020). </w:t>
      </w:r>
      <w:r>
        <w:rPr>
          <w:i/>
          <w:kern w:val="18"/>
          <w:szCs w:val="18"/>
        </w:rPr>
        <w:t>Plant Conservation Report 2020: A review of progress in implementation of the Global Strategy for Plant Conservation 2011-2020</w:t>
      </w:r>
      <w:r>
        <w:rPr>
          <w:kern w:val="18"/>
          <w:szCs w:val="18"/>
        </w:rPr>
        <w:t xml:space="preserve">. Secretariat of the Convention on Biological Diversity, Montreal, Canada and Botanic Gardens Conservation International, Richmond, United Kingdom. </w:t>
      </w:r>
      <w:r>
        <w:rPr>
          <w:i/>
          <w:kern w:val="18"/>
          <w:szCs w:val="18"/>
        </w:rPr>
        <w:t>Technical Series No. 95</w:t>
      </w:r>
      <w:r>
        <w:rPr>
          <w:kern w:val="18"/>
          <w:szCs w:val="18"/>
        </w:rPr>
        <w:t>.</w:t>
      </w:r>
    </w:p>
  </w:footnote>
  <w:footnote w:id="11">
    <w:p w14:paraId="4C873FAD" w14:textId="77777777" w:rsidR="00F251F5" w:rsidRDefault="00F251F5" w:rsidP="00B0602C">
      <w:pPr>
        <w:pStyle w:val="FootnoteText"/>
        <w:ind w:firstLine="0"/>
      </w:pPr>
      <w:r w:rsidRPr="00610646">
        <w:rPr>
          <w:rStyle w:val="FootnoteReference"/>
        </w:rPr>
        <w:footnoteRef/>
      </w:r>
      <w:r>
        <w:t xml:space="preserve"> </w:t>
      </w:r>
      <w:r>
        <w:rPr>
          <w:kern w:val="18"/>
          <w:szCs w:val="18"/>
        </w:rPr>
        <w:t xml:space="preserve">Secretariat of the Convention on Biological Diversity (2020). </w:t>
      </w:r>
      <w:r>
        <w:rPr>
          <w:i/>
          <w:kern w:val="18"/>
          <w:szCs w:val="18"/>
        </w:rPr>
        <w:t>Global Biodiversity Outlook 5</w:t>
      </w:r>
      <w:r>
        <w:rPr>
          <w:kern w:val="18"/>
          <w:szCs w:val="18"/>
        </w:rPr>
        <w:t>. Montreal.</w:t>
      </w:r>
    </w:p>
  </w:footnote>
  <w:footnote w:id="12">
    <w:p w14:paraId="7BA2B4C6" w14:textId="77777777" w:rsidR="00F251F5" w:rsidRDefault="00F251F5" w:rsidP="00B0602C">
      <w:pPr>
        <w:pStyle w:val="FootnoteText"/>
        <w:ind w:firstLine="0"/>
      </w:pPr>
      <w:r w:rsidRPr="00610646">
        <w:rPr>
          <w:rStyle w:val="FootnoteReference"/>
        </w:rPr>
        <w:footnoteRef/>
      </w:r>
      <w:r>
        <w:t xml:space="preserve"> </w:t>
      </w:r>
      <w:r>
        <w:rPr>
          <w:kern w:val="18"/>
          <w:szCs w:val="18"/>
        </w:rPr>
        <w:t xml:space="preserve">Forest Peoples Programme (2020). </w:t>
      </w:r>
      <w:r w:rsidRPr="003035D9">
        <w:rPr>
          <w:i/>
          <w:kern w:val="18"/>
          <w:szCs w:val="18"/>
        </w:rPr>
        <w:t>Local Biodiversity Outlooks 2: The contributions of indigenous peoples and local communities to the implementation of the Strategic Plan for Biodiversity 2011–2020 and to renewing nature and cultures. A complement to the fifth edition of the Global Biodiversity Outlook</w:t>
      </w:r>
      <w:r>
        <w:rPr>
          <w:kern w:val="18"/>
          <w:szCs w:val="18"/>
        </w:rPr>
        <w:t xml:space="preserve">. </w:t>
      </w:r>
      <w:r w:rsidRPr="006359A0">
        <w:rPr>
          <w:kern w:val="18"/>
          <w:szCs w:val="18"/>
        </w:rPr>
        <w:t>Moreton-in-Marsh, England (United Kingdom).</w:t>
      </w:r>
    </w:p>
  </w:footnote>
  <w:footnote w:id="13">
    <w:p w14:paraId="2BFE0378" w14:textId="77777777" w:rsidR="00F251F5" w:rsidRPr="009A1CCB" w:rsidRDefault="00F251F5" w:rsidP="00B0602C">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9A370A">
        <w:rPr>
          <w:kern w:val="18"/>
          <w:szCs w:val="18"/>
        </w:rPr>
        <w:t xml:space="preserve"> CBD/SBI/3/2/Add.1.</w:t>
      </w:r>
    </w:p>
  </w:footnote>
  <w:footnote w:id="14">
    <w:p w14:paraId="4AD7F007" w14:textId="77777777" w:rsidR="00F251F5" w:rsidRPr="009A370A" w:rsidRDefault="00F251F5" w:rsidP="00B0602C">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9A370A">
        <w:rPr>
          <w:kern w:val="18"/>
          <w:szCs w:val="18"/>
        </w:rPr>
        <w:t xml:space="preserve"> CBD/SBI/3/2/Add.2.</w:t>
      </w:r>
    </w:p>
  </w:footnote>
  <w:footnote w:id="15">
    <w:p w14:paraId="592029CA" w14:textId="77777777" w:rsidR="00F251F5" w:rsidRPr="009A370A" w:rsidRDefault="00F251F5" w:rsidP="00B0602C">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9A370A">
        <w:rPr>
          <w:kern w:val="18"/>
          <w:szCs w:val="18"/>
        </w:rPr>
        <w:t xml:space="preserve"> CBD/SBI/3/2.</w:t>
      </w:r>
    </w:p>
  </w:footnote>
  <w:footnote w:id="16">
    <w:p w14:paraId="41EFFDC7" w14:textId="77777777" w:rsidR="00F251F5" w:rsidRPr="009A1CCB" w:rsidRDefault="00F251F5" w:rsidP="00B0602C">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9A370A">
        <w:rPr>
          <w:kern w:val="18"/>
          <w:szCs w:val="18"/>
        </w:rPr>
        <w:t xml:space="preserve"> Decision XII/7</w:t>
      </w:r>
      <w:r w:rsidRPr="009A1CCB">
        <w:rPr>
          <w:kern w:val="18"/>
          <w:szCs w:val="18"/>
        </w:rPr>
        <w:t>, annex.</w:t>
      </w:r>
    </w:p>
  </w:footnote>
  <w:footnote w:id="17">
    <w:p w14:paraId="2EE79B81" w14:textId="77777777" w:rsidR="00F251F5" w:rsidRDefault="00F251F5" w:rsidP="00B0602C">
      <w:pPr>
        <w:pStyle w:val="FootnoteText"/>
        <w:suppressLineNumbers/>
        <w:suppressAutoHyphens/>
        <w:kinsoku w:val="0"/>
        <w:overflowPunct w:val="0"/>
        <w:autoSpaceDE w:val="0"/>
        <w:autoSpaceDN w:val="0"/>
        <w:ind w:firstLine="0"/>
        <w:jc w:val="left"/>
      </w:pPr>
      <w:r w:rsidRPr="00610646">
        <w:rPr>
          <w:rStyle w:val="FootnoteReference"/>
        </w:rPr>
        <w:footnoteRef/>
      </w:r>
      <w:r w:rsidRPr="006076FB">
        <w:rPr>
          <w:kern w:val="18"/>
          <w:szCs w:val="18"/>
        </w:rPr>
        <w:t xml:space="preserve"> </w:t>
      </w:r>
      <w:r w:rsidRPr="00F74B22">
        <w:rPr>
          <w:kern w:val="18"/>
          <w:szCs w:val="18"/>
        </w:rPr>
        <w:t>CBD/SBI/3/2.</w:t>
      </w:r>
    </w:p>
  </w:footnote>
  <w:footnote w:id="18">
    <w:p w14:paraId="06456009" w14:textId="77777777" w:rsidR="00F251F5" w:rsidRDefault="00F251F5" w:rsidP="00B0602C">
      <w:pPr>
        <w:pStyle w:val="FootnoteText"/>
        <w:suppressLineNumbers/>
        <w:suppressAutoHyphens/>
        <w:kinsoku w:val="0"/>
        <w:overflowPunct w:val="0"/>
        <w:autoSpaceDE w:val="0"/>
        <w:autoSpaceDN w:val="0"/>
        <w:ind w:firstLine="0"/>
        <w:jc w:val="left"/>
      </w:pPr>
      <w:r w:rsidRPr="00610646">
        <w:rPr>
          <w:rStyle w:val="FootnoteReference"/>
        </w:rPr>
        <w:footnoteRef/>
      </w:r>
      <w:r>
        <w:t xml:space="preserve"> Decision 15/4.</w:t>
      </w:r>
    </w:p>
  </w:footnote>
  <w:footnote w:id="19">
    <w:p w14:paraId="2E81E747" w14:textId="77777777" w:rsidR="00F251F5" w:rsidRDefault="00F251F5" w:rsidP="00B0602C">
      <w:pPr>
        <w:pStyle w:val="FootnoteText"/>
        <w:suppressLineNumbers/>
        <w:suppressAutoHyphens/>
        <w:kinsoku w:val="0"/>
        <w:overflowPunct w:val="0"/>
        <w:autoSpaceDE w:val="0"/>
        <w:autoSpaceDN w:val="0"/>
        <w:ind w:firstLine="0"/>
        <w:jc w:val="left"/>
      </w:pPr>
      <w:r w:rsidRPr="00610646">
        <w:rPr>
          <w:rStyle w:val="FootnoteReference"/>
        </w:rPr>
        <w:footnoteRef/>
      </w:r>
      <w:r>
        <w:t xml:space="preserve"> Decision 15/11, annex.</w:t>
      </w:r>
    </w:p>
  </w:footnote>
  <w:footnote w:id="20">
    <w:p w14:paraId="23D0C63D" w14:textId="271D0562" w:rsidR="00E86051" w:rsidRPr="0039740C" w:rsidRDefault="00E86051" w:rsidP="00274F3B">
      <w:pPr>
        <w:pStyle w:val="FootnoteText"/>
        <w:keepLines w:val="0"/>
        <w:ind w:firstLine="0"/>
        <w:jc w:val="left"/>
        <w:rPr>
          <w:lang w:val="en-US"/>
        </w:rPr>
      </w:pPr>
      <w:r w:rsidRPr="00610646">
        <w:rPr>
          <w:rStyle w:val="FootnoteReference"/>
        </w:rPr>
        <w:footnoteRef/>
      </w:r>
      <w:r>
        <w:t xml:space="preserve"> </w:t>
      </w:r>
      <w:hyperlink r:id="rId1" w:history="1">
        <w:r w:rsidRPr="00B97B0D">
          <w:rPr>
            <w:rStyle w:val="Hyperlink"/>
            <w:lang w:val="en-US"/>
          </w:rPr>
          <w:t>https://www.cbd.int/conferences/post2020</w:t>
        </w:r>
      </w:hyperlink>
      <w:r>
        <w:rPr>
          <w:lang w:val="en-US"/>
        </w:rPr>
        <w:t xml:space="preserve">  </w:t>
      </w:r>
    </w:p>
  </w:footnote>
  <w:footnote w:id="21">
    <w:p w14:paraId="1B51CEB4" w14:textId="5A16C9B2" w:rsidR="00E86051" w:rsidRPr="004664CA" w:rsidRDefault="00E86051" w:rsidP="00274F3B">
      <w:pPr>
        <w:pStyle w:val="FootnoteText"/>
        <w:keepLines w:val="0"/>
        <w:ind w:firstLine="0"/>
        <w:rPr>
          <w:lang w:val="en-US"/>
        </w:rPr>
      </w:pPr>
      <w:r w:rsidRPr="00610646">
        <w:rPr>
          <w:rStyle w:val="FootnoteReference"/>
        </w:rPr>
        <w:footnoteRef/>
      </w:r>
      <w:r>
        <w:t xml:space="preserve"> </w:t>
      </w:r>
      <w:hyperlink r:id="rId2" w:history="1">
        <w:r w:rsidRPr="00650DB0">
          <w:rPr>
            <w:rStyle w:val="Hyperlink"/>
          </w:rPr>
          <w:t>CBD/WG8J/11/7</w:t>
        </w:r>
      </w:hyperlink>
      <w:r>
        <w:t xml:space="preserve">, </w:t>
      </w:r>
      <w:hyperlink r:id="rId3" w:history="1">
        <w:r w:rsidRPr="00A943E3">
          <w:rPr>
            <w:rStyle w:val="Hyperlink"/>
          </w:rPr>
          <w:t>CBD/SBSTTA/23/9</w:t>
        </w:r>
      </w:hyperlink>
      <w:r>
        <w:t xml:space="preserve">, </w:t>
      </w:r>
      <w:hyperlink r:id="rId4" w:history="1">
        <w:r w:rsidRPr="00CF5707">
          <w:rPr>
            <w:rStyle w:val="Hyperlink"/>
          </w:rPr>
          <w:t>CBD/SBSTTA/24/12</w:t>
        </w:r>
      </w:hyperlink>
      <w:r>
        <w:t xml:space="preserve"> and </w:t>
      </w:r>
      <w:hyperlink r:id="rId5" w:history="1">
        <w:r w:rsidRPr="00E61743">
          <w:rPr>
            <w:rStyle w:val="Hyperlink"/>
          </w:rPr>
          <w:t>CBD/SBI/3/21</w:t>
        </w:r>
      </w:hyperlink>
      <w:r>
        <w:t>, respectively.</w:t>
      </w:r>
    </w:p>
  </w:footnote>
  <w:footnote w:id="22">
    <w:p w14:paraId="2C73A03D" w14:textId="77777777" w:rsidR="00E86051" w:rsidRDefault="00E86051">
      <w:pPr>
        <w:pStyle w:val="FootnoteText"/>
        <w:ind w:firstLine="0"/>
      </w:pPr>
      <w:r w:rsidRPr="00610646">
        <w:rPr>
          <w:rStyle w:val="FootnoteReference"/>
        </w:rPr>
        <w:footnoteRef/>
      </w:r>
      <w:r>
        <w:t xml:space="preserve"> Decisions CP-10/3 and CP-10/4.</w:t>
      </w:r>
    </w:p>
  </w:footnote>
  <w:footnote w:id="23">
    <w:p w14:paraId="6AD71D9F" w14:textId="77777777" w:rsidR="00E86051" w:rsidRPr="00854BF8" w:rsidRDefault="00E86051" w:rsidP="00B0602C">
      <w:pPr>
        <w:pStyle w:val="FootnoteText"/>
        <w:suppressLineNumbers/>
        <w:suppressAutoHyphens/>
        <w:ind w:firstLine="0"/>
        <w:jc w:val="left"/>
        <w:rPr>
          <w:snapToGrid w:val="0"/>
          <w:kern w:val="18"/>
        </w:rPr>
      </w:pPr>
      <w:r w:rsidRPr="00610646">
        <w:rPr>
          <w:rStyle w:val="FootnoteReference"/>
        </w:rPr>
        <w:footnoteRef/>
      </w:r>
      <w:r>
        <w:rPr>
          <w:snapToGrid w:val="0"/>
          <w:kern w:val="18"/>
        </w:rPr>
        <w:t xml:space="preserve"> IPBES (2019): </w:t>
      </w:r>
      <w:r>
        <w:rPr>
          <w:i/>
          <w:iCs/>
          <w:snapToGrid w:val="0"/>
          <w:kern w:val="18"/>
        </w:rPr>
        <w:t>Global Assessment Report on Biodiversity and Ecosystem Services of the Intergovernmental Science-Policy Platform on Biodiversity and Ecosystem Services</w:t>
      </w:r>
      <w:r>
        <w:rPr>
          <w:snapToGrid w:val="0"/>
          <w:kern w:val="18"/>
        </w:rPr>
        <w:t xml:space="preserve">. </w:t>
      </w:r>
      <w:r w:rsidRPr="00854BF8">
        <w:rPr>
          <w:snapToGrid w:val="0"/>
          <w:kern w:val="18"/>
        </w:rPr>
        <w:t>IPBES secretariat, Bonn</w:t>
      </w:r>
      <w:r>
        <w:rPr>
          <w:snapToGrid w:val="0"/>
          <w:kern w:val="18"/>
        </w:rPr>
        <w:t>, Germany</w:t>
      </w:r>
      <w:r w:rsidRPr="00854BF8">
        <w:rPr>
          <w:snapToGrid w:val="0"/>
          <w:kern w:val="18"/>
        </w:rPr>
        <w:t xml:space="preserve">. </w:t>
      </w:r>
    </w:p>
  </w:footnote>
  <w:footnote w:id="24">
    <w:p w14:paraId="59985851" w14:textId="77777777" w:rsidR="00E86051" w:rsidRPr="00CE6F10" w:rsidRDefault="00E86051" w:rsidP="00B0602C">
      <w:pPr>
        <w:pStyle w:val="FootnoteText"/>
        <w:ind w:firstLine="0"/>
      </w:pPr>
      <w:r w:rsidRPr="00610646">
        <w:rPr>
          <w:rStyle w:val="FootnoteReference"/>
        </w:rPr>
        <w:footnoteRef/>
      </w:r>
      <w:r>
        <w:t xml:space="preserve"> </w:t>
      </w:r>
      <w:r w:rsidRPr="00CE6F10">
        <w:t>Secretariat of the Convention on Biological Diversity (2020). Global Biodiversity Outlook 5. Montreal.</w:t>
      </w:r>
    </w:p>
  </w:footnote>
  <w:footnote w:id="25">
    <w:p w14:paraId="4481097F" w14:textId="77777777" w:rsidR="00E86051" w:rsidRPr="0039740C" w:rsidRDefault="00E86051" w:rsidP="00B0602C">
      <w:pPr>
        <w:pStyle w:val="FootnoteText"/>
        <w:ind w:firstLine="0"/>
        <w:rPr>
          <w:lang w:val="en-US"/>
        </w:rPr>
      </w:pPr>
      <w:r w:rsidRPr="00610646">
        <w:rPr>
          <w:rStyle w:val="FootnoteReference"/>
        </w:rPr>
        <w:footnoteRef/>
      </w:r>
      <w:r>
        <w:t xml:space="preserve"> </w:t>
      </w:r>
      <w:r>
        <w:rPr>
          <w:snapToGrid w:val="0"/>
          <w:kern w:val="18"/>
        </w:rPr>
        <w:t xml:space="preserve">IPBES (2019): </w:t>
      </w:r>
      <w:r>
        <w:rPr>
          <w:lang w:val="en-US"/>
        </w:rPr>
        <w:t xml:space="preserve">The following paragraphs are taken from key messages A6, A, D and B respectively, of the </w:t>
      </w:r>
      <w:r w:rsidRPr="0039740C">
        <w:rPr>
          <w:i/>
          <w:iCs/>
          <w:lang w:val="en-US"/>
        </w:rPr>
        <w:t xml:space="preserve">Summary for </w:t>
      </w:r>
      <w:r>
        <w:rPr>
          <w:i/>
          <w:iCs/>
          <w:lang w:val="en-US"/>
        </w:rPr>
        <w:t>p</w:t>
      </w:r>
      <w:r w:rsidRPr="0039740C">
        <w:rPr>
          <w:i/>
          <w:iCs/>
          <w:lang w:val="en-US"/>
        </w:rPr>
        <w:t>olicymakers</w:t>
      </w:r>
      <w:r w:rsidRPr="0039740C">
        <w:rPr>
          <w:i/>
          <w:iCs/>
        </w:rPr>
        <w:t xml:space="preserve"> </w:t>
      </w:r>
      <w:r w:rsidRPr="0039740C">
        <w:rPr>
          <w:i/>
          <w:iCs/>
          <w:lang w:val="en-US"/>
        </w:rPr>
        <w:t>of the global assessment report on biodiversity and ecosystem services of the Intergovernmental Science-Policy Platform on Biodiversity and Ecosystem Services</w:t>
      </w:r>
      <w:r>
        <w:rPr>
          <w:lang w:val="en-US"/>
        </w:rPr>
        <w:t xml:space="preserve">. </w:t>
      </w:r>
      <w:r w:rsidRPr="00854BF8">
        <w:rPr>
          <w:snapToGrid w:val="0"/>
          <w:kern w:val="18"/>
        </w:rPr>
        <w:t>IPBES secretariat, Bonn</w:t>
      </w:r>
      <w:r>
        <w:rPr>
          <w:snapToGrid w:val="0"/>
          <w:kern w:val="18"/>
        </w:rPr>
        <w:t>, Germany.</w:t>
      </w:r>
    </w:p>
  </w:footnote>
  <w:footnote w:id="26">
    <w:p w14:paraId="25562075" w14:textId="77777777" w:rsidR="00E86051" w:rsidRDefault="00E86051" w:rsidP="00C252B1">
      <w:pPr>
        <w:pStyle w:val="FootnoteText"/>
        <w:spacing w:before="60"/>
        <w:ind w:firstLine="0"/>
        <w:rPr>
          <w:lang w:val="en-US"/>
        </w:rPr>
      </w:pPr>
      <w:r w:rsidRPr="00610646">
        <w:rPr>
          <w:rStyle w:val="FootnoteReference"/>
        </w:rPr>
        <w:footnoteRef/>
      </w:r>
      <w:bookmarkStart w:id="30" w:name="_Hlk120997422"/>
      <w:r>
        <w:t>In this framework,</w:t>
      </w:r>
      <w:bookmarkEnd w:id="30"/>
      <w:r>
        <w:t xml:space="preserve"> free, prior and informed consent </w:t>
      </w:r>
      <w:r w:rsidRPr="00DF110C">
        <w:t>refers to the tripartite terminology of “prior and informed consent” or “free, prior and informed consent” or “approval and involvement”.</w:t>
      </w:r>
    </w:p>
  </w:footnote>
  <w:footnote w:id="27">
    <w:p w14:paraId="742801BE" w14:textId="77777777" w:rsidR="00E86051" w:rsidRPr="00C2094B" w:rsidRDefault="00E86051" w:rsidP="00C252B1">
      <w:pPr>
        <w:pStyle w:val="FootnoteText"/>
        <w:ind w:firstLine="0"/>
      </w:pPr>
      <w:r w:rsidRPr="00610646">
        <w:rPr>
          <w:rStyle w:val="FootnoteReference"/>
        </w:rPr>
        <w:footnoteRef/>
      </w:r>
      <w:r>
        <w:t xml:space="preserve"> </w:t>
      </w:r>
      <w:r w:rsidRPr="00C2094B">
        <w:t>A/RES/61/295</w:t>
      </w:r>
      <w:r>
        <w:t>.</w:t>
      </w:r>
    </w:p>
  </w:footnote>
  <w:footnote w:id="28">
    <w:p w14:paraId="3DD7BCAD" w14:textId="77777777" w:rsidR="00E86051" w:rsidRPr="002E5940" w:rsidRDefault="00E86051" w:rsidP="007443F0">
      <w:pPr>
        <w:pStyle w:val="FootnoteText"/>
        <w:ind w:firstLine="0"/>
      </w:pPr>
      <w:r w:rsidRPr="00610646">
        <w:rPr>
          <w:rStyle w:val="FootnoteReference"/>
        </w:rPr>
        <w:footnoteRef/>
      </w:r>
      <w:r>
        <w:t xml:space="preserve"> A/RES/</w:t>
      </w:r>
      <w:r w:rsidRPr="002E5940">
        <w:t>41/128</w:t>
      </w:r>
      <w:r>
        <w:t>.</w:t>
      </w:r>
    </w:p>
  </w:footnote>
  <w:footnote w:id="29">
    <w:p w14:paraId="186E0CFF" w14:textId="77777777" w:rsidR="00E86051" w:rsidRPr="00875B4E" w:rsidRDefault="00E86051" w:rsidP="007443F0">
      <w:pPr>
        <w:rPr>
          <w:lang w:val="en-CA"/>
        </w:rPr>
      </w:pPr>
      <w:r w:rsidRPr="006A1DE4">
        <w:rPr>
          <w:rStyle w:val="FootnoteReference"/>
          <w:sz w:val="18"/>
          <w:szCs w:val="18"/>
        </w:rPr>
        <w:footnoteRef/>
      </w:r>
      <w:r>
        <w:t xml:space="preserve"> </w:t>
      </w:r>
      <w:r w:rsidRPr="00E73891">
        <w:rPr>
          <w:snapToGrid w:val="0"/>
          <w:sz w:val="18"/>
          <w:szCs w:val="18"/>
        </w:rPr>
        <w:t>UN General Assembly Resolution 76/300 of 28 July 2022.</w:t>
      </w:r>
    </w:p>
  </w:footnote>
  <w:footnote w:id="30">
    <w:p w14:paraId="50F54570" w14:textId="77777777" w:rsidR="00E86051" w:rsidRDefault="00E86051" w:rsidP="007443F0">
      <w:pPr>
        <w:pStyle w:val="FootnoteText"/>
        <w:ind w:firstLine="0"/>
      </w:pPr>
      <w:r w:rsidRPr="00610646">
        <w:rPr>
          <w:rStyle w:val="FootnoteReference"/>
        </w:rPr>
        <w:footnoteRef/>
      </w:r>
      <w:r>
        <w:t xml:space="preserve"> </w:t>
      </w:r>
      <w:r>
        <w:rPr>
          <w:kern w:val="18"/>
          <w:szCs w:val="18"/>
        </w:rPr>
        <w:t>Rio Declaration on Environment and Development (A/CONF.151/26/Rev.l (vol.I)), United Nations publication, Sales No. E.93.1.8.</w:t>
      </w:r>
    </w:p>
  </w:footnote>
  <w:footnote w:id="31">
    <w:p w14:paraId="6C75B95E" w14:textId="77777777" w:rsidR="00E86051" w:rsidRDefault="00E86051" w:rsidP="007443F0">
      <w:pPr>
        <w:pStyle w:val="FootnoteText"/>
        <w:ind w:firstLine="0"/>
        <w:rPr>
          <w:lang w:val="en-CA"/>
        </w:rPr>
      </w:pPr>
      <w:r w:rsidRPr="00610646">
        <w:rPr>
          <w:rStyle w:val="FootnoteReference"/>
        </w:rPr>
        <w:footnoteRef/>
      </w:r>
      <w:r>
        <w:t xml:space="preserve"> Decision V/6.</w:t>
      </w:r>
    </w:p>
  </w:footnote>
  <w:footnote w:id="32">
    <w:p w14:paraId="7B5549A0" w14:textId="77777777" w:rsidR="00E86051" w:rsidRPr="00517843" w:rsidRDefault="00E86051" w:rsidP="00FE5329">
      <w:pPr>
        <w:pStyle w:val="FootnoteText"/>
        <w:ind w:firstLine="0"/>
      </w:pPr>
      <w:r w:rsidRPr="00610646">
        <w:rPr>
          <w:rStyle w:val="FootnoteReference"/>
        </w:rPr>
        <w:footnoteRef/>
      </w:r>
      <w:r>
        <w:t xml:space="preserve"> Mother Earth Centric Actions: Ecocentric and rights-based approach enabling the implementation of actions towards harmonic and complementary relationships between peoples and nature, promoting the continuity of all living beings and their communities and ensuring the non-commodification of environmental functions of Mother Earth.</w:t>
      </w:r>
    </w:p>
  </w:footnote>
  <w:footnote w:id="33">
    <w:p w14:paraId="11F67058" w14:textId="3608079B" w:rsidR="00E86051" w:rsidRDefault="00E86051" w:rsidP="00FE5329">
      <w:pPr>
        <w:pStyle w:val="FootnoteText"/>
        <w:ind w:firstLine="0"/>
        <w:rPr>
          <w:lang w:val="en-US"/>
        </w:rPr>
      </w:pPr>
      <w:r w:rsidRPr="00610646">
        <w:rPr>
          <w:rStyle w:val="FootnoteReference"/>
        </w:rPr>
        <w:footnoteRef/>
      </w:r>
      <w:r>
        <w:t xml:space="preserve"> Free, prior and informed consent refers to the tripartite terminology of “prior and informed consent” or “free, prior and informed consent” or “approval and involvement</w:t>
      </w:r>
      <w:r>
        <w:rPr>
          <w:lang w:val="en-US"/>
        </w:rPr>
        <w:t>.</w:t>
      </w:r>
      <w:r w:rsidR="00172038">
        <w:rPr>
          <w:lang w:val="en-US"/>
        </w:rPr>
        <w:t>”</w:t>
      </w:r>
    </w:p>
  </w:footnote>
  <w:footnote w:id="34">
    <w:p w14:paraId="3640A521" w14:textId="77777777" w:rsidR="00E86051" w:rsidRPr="001116C9" w:rsidRDefault="00E86051" w:rsidP="00FE5329">
      <w:pPr>
        <w:pStyle w:val="FootnoteText"/>
        <w:ind w:firstLine="0"/>
        <w:rPr>
          <w:lang w:val="en-US"/>
        </w:rPr>
      </w:pPr>
      <w:r w:rsidRPr="00610646">
        <w:rPr>
          <w:rStyle w:val="FootnoteReference"/>
        </w:rPr>
        <w:footnoteRef/>
      </w:r>
      <w:r>
        <w:t xml:space="preserve"> Decision 15/6 on mechanism for planning, monitoring, reporting and review.</w:t>
      </w:r>
    </w:p>
  </w:footnote>
  <w:footnote w:id="35">
    <w:p w14:paraId="07536C25" w14:textId="77777777" w:rsidR="00005A3C" w:rsidRPr="006726E6" w:rsidRDefault="00005A3C" w:rsidP="006726E6">
      <w:pPr>
        <w:spacing w:before="60"/>
        <w:rPr>
          <w:rFonts w:asciiTheme="majorBidi" w:hAnsiTheme="majorBidi" w:cstheme="majorBidi"/>
        </w:rPr>
      </w:pPr>
      <w:r w:rsidRPr="00610646">
        <w:rPr>
          <w:rStyle w:val="FootnoteReference"/>
        </w:rPr>
        <w:footnoteRef/>
      </w:r>
      <w:r>
        <w:t xml:space="preserve"> </w:t>
      </w:r>
      <w:r w:rsidRPr="006632FA">
        <w:rPr>
          <w:rFonts w:asciiTheme="majorBidi" w:hAnsiTheme="majorBidi" w:cstheme="majorBidi"/>
          <w:kern w:val="18"/>
          <w:sz w:val="18"/>
          <w:szCs w:val="18"/>
        </w:rPr>
        <w:t xml:space="preserve">Secretariat of the Convention on Biological Diversity (2020). </w:t>
      </w:r>
      <w:r w:rsidRPr="006632FA">
        <w:rPr>
          <w:rFonts w:asciiTheme="majorBidi" w:hAnsiTheme="majorBidi" w:cstheme="majorBidi"/>
          <w:i/>
          <w:kern w:val="18"/>
          <w:sz w:val="18"/>
          <w:szCs w:val="18"/>
        </w:rPr>
        <w:t>Global Biodiversity Outlook 5</w:t>
      </w:r>
      <w:r w:rsidRPr="006632FA">
        <w:rPr>
          <w:rFonts w:asciiTheme="majorBidi" w:hAnsiTheme="majorBidi" w:cstheme="majorBidi"/>
          <w:kern w:val="18"/>
          <w:sz w:val="18"/>
          <w:szCs w:val="18"/>
        </w:rPr>
        <w:t>. Montreal.</w:t>
      </w:r>
    </w:p>
  </w:footnote>
  <w:footnote w:id="36">
    <w:p w14:paraId="2668729A" w14:textId="77777777" w:rsidR="00005A3C" w:rsidRPr="00BA6F56" w:rsidRDefault="00005A3C" w:rsidP="006726E6">
      <w:pPr>
        <w:pStyle w:val="FootnoteText"/>
        <w:spacing w:before="60"/>
        <w:ind w:firstLine="0"/>
      </w:pPr>
      <w:r w:rsidRPr="00610646">
        <w:rPr>
          <w:rStyle w:val="FootnoteReference"/>
        </w:rPr>
        <w:footnoteRef/>
      </w:r>
      <w:r>
        <w:t xml:space="preserve"> </w:t>
      </w:r>
      <w:r w:rsidRPr="00926FE4">
        <w:t>Sharrock, S. (2020)</w:t>
      </w:r>
      <w:r>
        <w:t>.</w:t>
      </w:r>
      <w:r w:rsidRPr="00926FE4">
        <w:t xml:space="preserve"> </w:t>
      </w:r>
      <w:r w:rsidRPr="006726E6">
        <w:rPr>
          <w:i/>
          <w:iCs/>
        </w:rPr>
        <w:t>Plant conservation report 2020: A review of progress towards the Global Strategy for Plant Conservation 2011-2020</w:t>
      </w:r>
      <w:r>
        <w:t>. Secretariat of the Convention on Biological Diversity, Montréal, Canada and Botanic Gardens Conservation International, Richmond, UK.</w:t>
      </w:r>
      <w:r w:rsidRPr="004B513C">
        <w:t xml:space="preserve"> </w:t>
      </w:r>
      <w:r>
        <w:t>Technical Series No. 95.</w:t>
      </w:r>
    </w:p>
  </w:footnote>
  <w:footnote w:id="37">
    <w:p w14:paraId="10014967" w14:textId="77777777" w:rsidR="00005A3C" w:rsidRPr="006726E6" w:rsidRDefault="00005A3C" w:rsidP="006726E6">
      <w:pPr>
        <w:pStyle w:val="FootnoteText"/>
        <w:ind w:firstLine="0"/>
        <w:rPr>
          <w:lang w:val="en-US"/>
        </w:rPr>
      </w:pPr>
      <w:r w:rsidRPr="00610646">
        <w:rPr>
          <w:rStyle w:val="FootnoteReference"/>
        </w:rPr>
        <w:footnoteRef/>
      </w:r>
      <w:r>
        <w:t xml:space="preserve"> </w:t>
      </w:r>
      <w:r>
        <w:rPr>
          <w:lang w:val="en-US"/>
        </w:rPr>
        <w:t>Binary indicators will be further developed by the Ad Hoc Technical Expert Group on Indicators for the</w:t>
      </w:r>
      <w:r w:rsidRPr="00A23B1E">
        <w:rPr>
          <w:kern w:val="22"/>
        </w:rPr>
        <w:t xml:space="preserve"> </w:t>
      </w:r>
      <w:r>
        <w:rPr>
          <w:kern w:val="22"/>
        </w:rPr>
        <w:t xml:space="preserve">Kunming-Montreal </w:t>
      </w:r>
      <w:r>
        <w:rPr>
          <w:rFonts w:asciiTheme="majorBidi" w:eastAsia="Malgun Gothic" w:hAnsiTheme="majorBidi" w:cstheme="majorBidi"/>
          <w:snapToGrid w:val="0"/>
          <w:kern w:val="22"/>
          <w:szCs w:val="22"/>
          <w:lang w:eastAsia="x-none"/>
        </w:rPr>
        <w:t>G</w:t>
      </w:r>
      <w:r w:rsidRPr="00BC5121">
        <w:rPr>
          <w:rFonts w:asciiTheme="majorBidi" w:eastAsia="Malgun Gothic" w:hAnsiTheme="majorBidi" w:cstheme="majorBidi"/>
          <w:snapToGrid w:val="0"/>
          <w:kern w:val="22"/>
          <w:szCs w:val="22"/>
          <w:lang w:eastAsia="x-none"/>
        </w:rPr>
        <w:t xml:space="preserve">lobal </w:t>
      </w:r>
      <w:r>
        <w:rPr>
          <w:rFonts w:asciiTheme="majorBidi" w:eastAsia="Malgun Gothic" w:hAnsiTheme="majorBidi" w:cstheme="majorBidi"/>
          <w:snapToGrid w:val="0"/>
          <w:kern w:val="22"/>
          <w:szCs w:val="22"/>
          <w:lang w:eastAsia="x-none"/>
        </w:rPr>
        <w:t>B</w:t>
      </w:r>
      <w:r w:rsidRPr="00BC5121">
        <w:rPr>
          <w:rFonts w:asciiTheme="majorBidi" w:eastAsia="Malgun Gothic" w:hAnsiTheme="majorBidi" w:cstheme="majorBidi"/>
          <w:snapToGrid w:val="0"/>
          <w:kern w:val="22"/>
          <w:szCs w:val="22"/>
          <w:lang w:eastAsia="x-none"/>
        </w:rPr>
        <w:t xml:space="preserve">iodiversity </w:t>
      </w:r>
      <w:r>
        <w:rPr>
          <w:rFonts w:asciiTheme="majorBidi" w:eastAsia="Malgun Gothic" w:hAnsiTheme="majorBidi" w:cstheme="majorBidi"/>
          <w:snapToGrid w:val="0"/>
          <w:kern w:val="22"/>
          <w:szCs w:val="22"/>
          <w:lang w:eastAsia="x-none"/>
        </w:rPr>
        <w:t>F</w:t>
      </w:r>
      <w:r w:rsidRPr="00BC5121">
        <w:rPr>
          <w:rFonts w:asciiTheme="majorBidi" w:eastAsia="Malgun Gothic" w:hAnsiTheme="majorBidi" w:cstheme="majorBidi"/>
          <w:snapToGrid w:val="0"/>
          <w:kern w:val="22"/>
          <w:szCs w:val="22"/>
          <w:lang w:eastAsia="x-none"/>
        </w:rPr>
        <w:t>ramework</w:t>
      </w:r>
      <w:r>
        <w:rPr>
          <w:rFonts w:asciiTheme="majorBidi" w:eastAsia="Malgun Gothic" w:hAnsiTheme="majorBidi" w:cstheme="majorBidi"/>
          <w:snapToGrid w:val="0"/>
          <w:kern w:val="22"/>
          <w:szCs w:val="22"/>
          <w:lang w:eastAsia="x-none"/>
        </w:rPr>
        <w:t xml:space="preserve"> (see table 1 in annex II to the present decision) and made available for consideration by the Conference of the Parties</w:t>
      </w:r>
      <w:r w:rsidRPr="00666025">
        <w:rPr>
          <w:rFonts w:asciiTheme="majorBidi" w:eastAsia="Malgun Gothic" w:hAnsiTheme="majorBidi" w:cstheme="majorBidi"/>
          <w:snapToGrid w:val="0"/>
          <w:kern w:val="22"/>
          <w:szCs w:val="22"/>
          <w:lang w:eastAsia="x-none"/>
        </w:rPr>
        <w:t xml:space="preserve"> </w:t>
      </w:r>
      <w:r>
        <w:rPr>
          <w:rFonts w:asciiTheme="majorBidi" w:eastAsia="Malgun Gothic" w:hAnsiTheme="majorBidi" w:cstheme="majorBidi"/>
          <w:snapToGrid w:val="0"/>
          <w:kern w:val="22"/>
          <w:szCs w:val="22"/>
          <w:lang w:eastAsia="x-none"/>
        </w:rPr>
        <w:t>at its sixteenth meeting.</w:t>
      </w:r>
      <w:r>
        <w:rPr>
          <w:lang w:val="en-US"/>
        </w:rPr>
        <w:t xml:space="preserve"> </w:t>
      </w:r>
    </w:p>
  </w:footnote>
  <w:footnote w:id="38">
    <w:p w14:paraId="1C69A486" w14:textId="77777777" w:rsidR="00005A3C" w:rsidRPr="00AB7686" w:rsidRDefault="00005A3C" w:rsidP="00204CB4">
      <w:pPr>
        <w:pStyle w:val="ListParagraph"/>
        <w:ind w:left="0"/>
        <w:rPr>
          <w:sz w:val="18"/>
          <w:szCs w:val="18"/>
          <w:lang w:val="en-US"/>
        </w:rPr>
      </w:pPr>
      <w:r w:rsidRPr="00610646">
        <w:rPr>
          <w:rStyle w:val="FootnoteReference"/>
        </w:rPr>
        <w:footnoteRef/>
      </w:r>
      <w:r w:rsidRPr="00AB7686">
        <w:rPr>
          <w:sz w:val="18"/>
          <w:szCs w:val="18"/>
        </w:rPr>
        <w:t xml:space="preserve"> </w:t>
      </w:r>
      <w:r>
        <w:rPr>
          <w:sz w:val="18"/>
          <w:szCs w:val="18"/>
        </w:rPr>
        <w:t>For goals or targets</w:t>
      </w:r>
      <w:r w:rsidRPr="00AB7686">
        <w:rPr>
          <w:sz w:val="18"/>
          <w:szCs w:val="18"/>
        </w:rPr>
        <w:t xml:space="preserve"> marked with </w:t>
      </w:r>
      <w:r w:rsidRPr="006726E6">
        <w:rPr>
          <w:b/>
          <w:bCs/>
          <w:szCs w:val="22"/>
          <w:vertAlign w:val="superscript"/>
        </w:rPr>
        <w:t>b</w:t>
      </w:r>
      <w:r>
        <w:rPr>
          <w:sz w:val="18"/>
          <w:szCs w:val="18"/>
        </w:rPr>
        <w:t>:</w:t>
      </w:r>
      <w:r w:rsidRPr="00AB7686">
        <w:rPr>
          <w:sz w:val="18"/>
          <w:szCs w:val="18"/>
        </w:rPr>
        <w:t xml:space="preserve"> a binary indicator was proposed for inclusion for this </w:t>
      </w:r>
      <w:r>
        <w:rPr>
          <w:sz w:val="18"/>
          <w:szCs w:val="18"/>
        </w:rPr>
        <w:t>g</w:t>
      </w:r>
      <w:r w:rsidRPr="00AB7686">
        <w:rPr>
          <w:sz w:val="18"/>
          <w:szCs w:val="18"/>
        </w:rPr>
        <w:t xml:space="preserve">oal or </w:t>
      </w:r>
      <w:r>
        <w:rPr>
          <w:sz w:val="18"/>
          <w:szCs w:val="18"/>
        </w:rPr>
        <w:t>t</w:t>
      </w:r>
      <w:r w:rsidRPr="00AB7686">
        <w:rPr>
          <w:sz w:val="18"/>
          <w:szCs w:val="18"/>
        </w:rPr>
        <w:t>arget</w:t>
      </w:r>
      <w:r>
        <w:rPr>
          <w:sz w:val="18"/>
          <w:szCs w:val="18"/>
        </w:rPr>
        <w:t xml:space="preserve"> and will be further considered by the Ad Hoc Technical Expert Group</w:t>
      </w:r>
      <w:r w:rsidRPr="00AB7686">
        <w:rPr>
          <w:sz w:val="18"/>
          <w:szCs w:val="18"/>
        </w:rPr>
        <w:t>.</w:t>
      </w:r>
    </w:p>
  </w:footnote>
  <w:footnote w:id="39">
    <w:p w14:paraId="1BD973AF" w14:textId="77777777" w:rsidR="00005A3C" w:rsidRPr="00204CB4" w:rsidRDefault="00005A3C" w:rsidP="00204CB4">
      <w:pPr>
        <w:pStyle w:val="ListParagraph"/>
        <w:ind w:left="0"/>
        <w:rPr>
          <w:szCs w:val="22"/>
          <w:lang w:val="en-US"/>
        </w:rPr>
      </w:pPr>
      <w:r w:rsidRPr="00610646">
        <w:rPr>
          <w:rStyle w:val="FootnoteReference"/>
        </w:rPr>
        <w:footnoteRef/>
      </w:r>
      <w:r w:rsidRPr="00AB7686">
        <w:rPr>
          <w:sz w:val="18"/>
          <w:szCs w:val="18"/>
        </w:rPr>
        <w:t xml:space="preserve"> Indicators marked with an asterisk (*)</w:t>
      </w:r>
      <w:r>
        <w:rPr>
          <w:sz w:val="18"/>
          <w:szCs w:val="18"/>
        </w:rPr>
        <w:t>:</w:t>
      </w:r>
      <w:r w:rsidRPr="00AB7686">
        <w:rPr>
          <w:sz w:val="18"/>
          <w:szCs w:val="18"/>
        </w:rPr>
        <w:t xml:space="preserve"> an agreed up</w:t>
      </w:r>
      <w:r>
        <w:rPr>
          <w:sz w:val="18"/>
          <w:szCs w:val="18"/>
        </w:rPr>
        <w:t>-</w:t>
      </w:r>
      <w:r w:rsidRPr="00AB7686">
        <w:rPr>
          <w:sz w:val="18"/>
          <w:szCs w:val="18"/>
        </w:rPr>
        <w:t>to</w:t>
      </w:r>
      <w:r>
        <w:rPr>
          <w:sz w:val="18"/>
          <w:szCs w:val="18"/>
        </w:rPr>
        <w:t>-</w:t>
      </w:r>
      <w:r w:rsidRPr="00AB7686">
        <w:rPr>
          <w:sz w:val="18"/>
          <w:szCs w:val="18"/>
        </w:rPr>
        <w:t xml:space="preserve">date methodology does not exist for this indicator. The </w:t>
      </w:r>
      <w:r w:rsidRPr="00AB7686">
        <w:rPr>
          <w:snapToGrid w:val="0"/>
          <w:kern w:val="22"/>
          <w:sz w:val="18"/>
          <w:szCs w:val="18"/>
        </w:rPr>
        <w:t xml:space="preserve">Ad Hoc Technical Expert Group </w:t>
      </w:r>
      <w:r w:rsidRPr="00AB7686">
        <w:rPr>
          <w:sz w:val="18"/>
          <w:szCs w:val="18"/>
        </w:rPr>
        <w:t>will work with partners to guide the development of th</w:t>
      </w:r>
      <w:r>
        <w:rPr>
          <w:sz w:val="18"/>
          <w:szCs w:val="18"/>
        </w:rPr>
        <w:t>ese</w:t>
      </w:r>
      <w:r w:rsidRPr="00AB7686">
        <w:rPr>
          <w:sz w:val="18"/>
          <w:szCs w:val="18"/>
        </w:rPr>
        <w:t xml:space="preserve"> indicator</w:t>
      </w:r>
      <w:r>
        <w:rPr>
          <w:sz w:val="18"/>
          <w:szCs w:val="18"/>
        </w:rPr>
        <w:t>s</w:t>
      </w:r>
      <w:r w:rsidRPr="00AB7686">
        <w:rPr>
          <w:sz w:val="18"/>
          <w:szCs w:val="18"/>
        </w:rPr>
        <w:t>.</w:t>
      </w:r>
    </w:p>
  </w:footnote>
  <w:footnote w:id="40">
    <w:p w14:paraId="118A7A4D" w14:textId="63EFA507" w:rsidR="00005A3C" w:rsidRPr="001E6BC2" w:rsidRDefault="00005A3C" w:rsidP="009D6BD6">
      <w:pPr>
        <w:pStyle w:val="FootnoteText"/>
        <w:ind w:firstLine="0"/>
        <w:jc w:val="left"/>
        <w:rPr>
          <w:kern w:val="18"/>
          <w:szCs w:val="18"/>
        </w:rPr>
      </w:pPr>
      <w:r w:rsidRPr="00610646">
        <w:rPr>
          <w:rStyle w:val="FootnoteReference"/>
        </w:rPr>
        <w:footnoteRef/>
      </w:r>
      <w:r w:rsidRPr="001E6BC2">
        <w:rPr>
          <w:kern w:val="18"/>
          <w:szCs w:val="18"/>
        </w:rPr>
        <w:t xml:space="preserve"> </w:t>
      </w:r>
      <w:r>
        <w:rPr>
          <w:kern w:val="18"/>
          <w:szCs w:val="18"/>
        </w:rPr>
        <w:t>D</w:t>
      </w:r>
      <w:r w:rsidRPr="001E6BC2">
        <w:rPr>
          <w:kern w:val="18"/>
          <w:szCs w:val="18"/>
        </w:rPr>
        <w:t xml:space="preserve">ecision </w:t>
      </w:r>
      <w:hyperlink r:id="rId6" w:history="1">
        <w:r w:rsidRPr="001E6BC2">
          <w:rPr>
            <w:rStyle w:val="Hyperlink"/>
            <w:kern w:val="18"/>
            <w:szCs w:val="18"/>
          </w:rPr>
          <w:t>X/2</w:t>
        </w:r>
      </w:hyperlink>
      <w:r w:rsidRPr="001E6BC2">
        <w:rPr>
          <w:kern w:val="18"/>
          <w:szCs w:val="18"/>
        </w:rPr>
        <w:t>, annex.</w:t>
      </w:r>
    </w:p>
  </w:footnote>
  <w:footnote w:id="41">
    <w:p w14:paraId="0882A2DC" w14:textId="77777777" w:rsidR="00005A3C" w:rsidRPr="00CA676A" w:rsidRDefault="00005A3C" w:rsidP="00CA676A">
      <w:pPr>
        <w:pStyle w:val="FootnoteText"/>
        <w:ind w:firstLine="0"/>
        <w:rPr>
          <w:lang w:val="en-US"/>
        </w:rPr>
      </w:pPr>
      <w:r w:rsidRPr="00610646">
        <w:rPr>
          <w:rStyle w:val="FootnoteReference"/>
        </w:rPr>
        <w:footnoteRef/>
      </w:r>
      <w:r>
        <w:t xml:space="preserve"> </w:t>
      </w:r>
      <w:r>
        <w:rPr>
          <w:lang w:val="en-US"/>
        </w:rPr>
        <w:t>Decision 15/11, annex.</w:t>
      </w:r>
    </w:p>
  </w:footnote>
  <w:footnote w:id="42">
    <w:p w14:paraId="16AE7EF5" w14:textId="77777777" w:rsidR="00005A3C" w:rsidRPr="00CA676A" w:rsidRDefault="00005A3C" w:rsidP="00CA676A">
      <w:pPr>
        <w:pStyle w:val="FootnoteText"/>
        <w:ind w:firstLine="0"/>
        <w:rPr>
          <w:lang w:val="en-US"/>
        </w:rPr>
      </w:pPr>
      <w:r w:rsidRPr="00610646">
        <w:rPr>
          <w:rStyle w:val="FootnoteReference"/>
        </w:rPr>
        <w:footnoteRef/>
      </w:r>
      <w:r>
        <w:t xml:space="preserve"> Free, prior and informed consent refers to the tripartite terminology of “prior and informed consent” or “free, prior and informed consent” or “approval and involvement”, as applicable.</w:t>
      </w:r>
    </w:p>
  </w:footnote>
  <w:footnote w:id="43">
    <w:p w14:paraId="3F4936D9" w14:textId="77777777" w:rsidR="00005A3C" w:rsidRPr="00CA676A" w:rsidRDefault="00005A3C" w:rsidP="009D6BD6">
      <w:pPr>
        <w:pStyle w:val="FootnoteText"/>
        <w:ind w:firstLine="0"/>
        <w:jc w:val="left"/>
        <w:rPr>
          <w:szCs w:val="18"/>
          <w:lang w:val="en-CA"/>
        </w:rPr>
      </w:pPr>
      <w:r w:rsidRPr="00610646">
        <w:rPr>
          <w:rStyle w:val="FootnoteReference"/>
        </w:rPr>
        <w:footnoteRef/>
      </w:r>
      <w:r w:rsidRPr="00CA676A">
        <w:rPr>
          <w:szCs w:val="18"/>
          <w:lang w:val="en-CA"/>
        </w:rPr>
        <w:t xml:space="preserve"> </w:t>
      </w:r>
      <w:r w:rsidRPr="00CA676A">
        <w:rPr>
          <w:color w:val="000000" w:themeColor="text1"/>
          <w:szCs w:val="18"/>
          <w:lang w:val="en-CA"/>
        </w:rPr>
        <w:t>Decisions 14/31, BS-VII/5, CP-VIII/15, NP-I/6, NP-I/7 a</w:t>
      </w:r>
      <w:r>
        <w:rPr>
          <w:color w:val="000000" w:themeColor="text1"/>
          <w:szCs w:val="18"/>
          <w:lang w:val="en-CA"/>
        </w:rPr>
        <w:t>nd</w:t>
      </w:r>
      <w:r w:rsidRPr="00CA676A">
        <w:rPr>
          <w:color w:val="000000" w:themeColor="text1"/>
          <w:szCs w:val="18"/>
          <w:lang w:val="en-CA"/>
        </w:rPr>
        <w:t xml:space="preserve"> NP-I/8.</w:t>
      </w:r>
    </w:p>
  </w:footnote>
  <w:footnote w:id="44">
    <w:p w14:paraId="76CA055C" w14:textId="77777777" w:rsidR="00005A3C" w:rsidRPr="003947C2" w:rsidRDefault="00005A3C" w:rsidP="009D6BD6">
      <w:pPr>
        <w:pStyle w:val="FootnoteText"/>
        <w:ind w:firstLine="0"/>
        <w:jc w:val="left"/>
      </w:pPr>
      <w:r w:rsidRPr="00610646">
        <w:rPr>
          <w:rStyle w:val="FootnoteReference"/>
        </w:rPr>
        <w:footnoteRef/>
      </w:r>
      <w:r w:rsidRPr="00AB5877">
        <w:rPr>
          <w:szCs w:val="18"/>
        </w:rPr>
        <w:t xml:space="preserve"> Note that a number of biodiversity-related MEAs have requested Parties to mainstream the implementation of their convention into the NBSAPs (e.g. resolution 8.18</w:t>
      </w:r>
      <w:r>
        <w:rPr>
          <w:szCs w:val="18"/>
        </w:rPr>
        <w:t xml:space="preserve"> of the Convention on Migratory Species</w:t>
      </w:r>
      <w:r w:rsidRPr="00AB5877">
        <w:rPr>
          <w:szCs w:val="18"/>
        </w:rPr>
        <w:t xml:space="preserve">, </w:t>
      </w:r>
      <w:r w:rsidRPr="005140CE">
        <w:rPr>
          <w:szCs w:val="18"/>
        </w:rPr>
        <w:t>Ramsar resolution XIII.5</w:t>
      </w:r>
      <w:r w:rsidRPr="00AB5877">
        <w:rPr>
          <w:szCs w:val="18"/>
        </w:rPr>
        <w:t>).</w:t>
      </w:r>
    </w:p>
  </w:footnote>
  <w:footnote w:id="45">
    <w:p w14:paraId="3F3C9528" w14:textId="77777777" w:rsidR="00005A3C" w:rsidRPr="00AB5877" w:rsidRDefault="00005A3C" w:rsidP="009D6BD6">
      <w:pPr>
        <w:pStyle w:val="FootnoteText"/>
        <w:ind w:firstLine="0"/>
        <w:jc w:val="left"/>
        <w:rPr>
          <w:szCs w:val="18"/>
          <w:lang w:val="en-US"/>
        </w:rPr>
      </w:pPr>
      <w:r w:rsidRPr="00610646">
        <w:rPr>
          <w:rStyle w:val="FootnoteReference"/>
        </w:rPr>
        <w:footnoteRef/>
      </w:r>
      <w:r w:rsidRPr="00133545">
        <w:rPr>
          <w:szCs w:val="18"/>
        </w:rPr>
        <w:t xml:space="preserve"> </w:t>
      </w:r>
      <w:r w:rsidRPr="00133545">
        <w:rPr>
          <w:szCs w:val="18"/>
          <w:lang w:val="en-US"/>
        </w:rPr>
        <w:t>This information will be collected through the online reporting tool and it will also be utilized in the national reporting template.</w:t>
      </w:r>
      <w:r w:rsidRPr="00AB5877">
        <w:rPr>
          <w:szCs w:val="18"/>
          <w:lang w:val="en-US"/>
        </w:rPr>
        <w:t xml:space="preserve"> </w:t>
      </w:r>
    </w:p>
  </w:footnote>
  <w:footnote w:id="46">
    <w:p w14:paraId="1232E764" w14:textId="77777777" w:rsidR="00005A3C" w:rsidRPr="00212628" w:rsidRDefault="00005A3C" w:rsidP="00CA676A">
      <w:pPr>
        <w:pStyle w:val="FootnoteText"/>
        <w:ind w:firstLine="0"/>
        <w:rPr>
          <w:lang w:val="en-US"/>
        </w:rPr>
      </w:pPr>
      <w:r w:rsidRPr="00610646">
        <w:rPr>
          <w:rStyle w:val="FootnoteReference"/>
        </w:rPr>
        <w:footnoteRef/>
      </w:r>
      <w:r>
        <w:t xml:space="preserve"> The guidance and template for the eighth national report can be adjusted if necessary, building on the experiences and lessons learned in the preparation of the seventh national report. </w:t>
      </w:r>
    </w:p>
  </w:footnote>
  <w:footnote w:id="47">
    <w:p w14:paraId="45E3A239" w14:textId="77777777" w:rsidR="00005A3C" w:rsidRPr="001158EE" w:rsidRDefault="00005A3C" w:rsidP="003E5A67">
      <w:pPr>
        <w:pStyle w:val="FootnoteText"/>
        <w:ind w:firstLine="0"/>
      </w:pPr>
      <w:r w:rsidRPr="00610646">
        <w:rPr>
          <w:rStyle w:val="FootnoteReference"/>
        </w:rPr>
        <w:footnoteRef/>
      </w:r>
      <w:r w:rsidRPr="00E32D48">
        <w:t xml:space="preserve"> Note that reporting on the implementation of </w:t>
      </w:r>
      <w:r>
        <w:t>G</w:t>
      </w:r>
      <w:r w:rsidRPr="00E32D48">
        <w:t>oal D</w:t>
      </w:r>
      <w:r>
        <w:t xml:space="preserve"> and Target 19</w:t>
      </w:r>
      <w:r w:rsidRPr="00E32D48">
        <w:t xml:space="preserve"> will include detailed </w:t>
      </w:r>
      <w:r w:rsidRPr="00C55305">
        <w:t>assessments of support</w:t>
      </w:r>
      <w:r w:rsidRPr="00E32D48">
        <w:t xml:space="preserve"> provided for the implementation of the Convention</w:t>
      </w:r>
      <w:r>
        <w:t>. H</w:t>
      </w:r>
      <w:r w:rsidRPr="00E32D48">
        <w:t xml:space="preserve">owever, </w:t>
      </w:r>
      <w:r>
        <w:t xml:space="preserve">information on gaps in implementation can also be included in the conclusions, in section V. </w:t>
      </w:r>
    </w:p>
  </w:footnote>
  <w:footnote w:id="48">
    <w:p w14:paraId="48D335B4" w14:textId="77777777" w:rsidR="00005A3C" w:rsidRPr="00CA676A" w:rsidRDefault="00005A3C" w:rsidP="003E5A67">
      <w:pPr>
        <w:pStyle w:val="FootnoteText"/>
        <w:ind w:firstLine="0"/>
        <w:rPr>
          <w:lang w:val="en-CA"/>
        </w:rPr>
      </w:pPr>
      <w:r w:rsidRPr="00610646">
        <w:rPr>
          <w:rStyle w:val="FootnoteReference"/>
        </w:rPr>
        <w:footnoteRef/>
      </w:r>
      <w:r w:rsidRPr="00CA676A">
        <w:rPr>
          <w:lang w:val="en-CA"/>
        </w:rPr>
        <w:t xml:space="preserve"> </w:t>
      </w:r>
      <w:r w:rsidRPr="00CA676A">
        <w:rPr>
          <w:color w:val="000000" w:themeColor="text1"/>
          <w:szCs w:val="18"/>
          <w:lang w:val="en-CA"/>
        </w:rPr>
        <w:t>Decision 15/5.</w:t>
      </w:r>
    </w:p>
  </w:footnote>
  <w:footnote w:id="49">
    <w:p w14:paraId="69C021CA" w14:textId="4848C5AF" w:rsidR="00005A3C" w:rsidRPr="00CA676A" w:rsidRDefault="00005A3C" w:rsidP="009D6BD6">
      <w:pPr>
        <w:pStyle w:val="FootnoteText"/>
        <w:suppressLineNumbers/>
        <w:suppressAutoHyphens/>
        <w:kinsoku w:val="0"/>
        <w:overflowPunct w:val="0"/>
        <w:autoSpaceDE w:val="0"/>
        <w:autoSpaceDN w:val="0"/>
        <w:ind w:firstLine="0"/>
        <w:jc w:val="left"/>
        <w:rPr>
          <w:kern w:val="18"/>
          <w:szCs w:val="18"/>
          <w:lang w:val="en-CA"/>
        </w:rPr>
      </w:pPr>
      <w:r w:rsidRPr="00610646">
        <w:rPr>
          <w:rStyle w:val="FootnoteReference"/>
        </w:rPr>
        <w:footnoteRef/>
      </w:r>
      <w:r w:rsidRPr="00CA676A">
        <w:rPr>
          <w:kern w:val="18"/>
          <w:szCs w:val="18"/>
          <w:lang w:val="en-CA"/>
        </w:rPr>
        <w:t xml:space="preserve"> </w:t>
      </w:r>
      <w:hyperlink r:id="rId7" w:history="1">
        <w:r w:rsidRPr="00CA676A">
          <w:rPr>
            <w:rStyle w:val="Hyperlink"/>
            <w:kern w:val="18"/>
            <w:szCs w:val="18"/>
            <w:lang w:val="en-CA"/>
          </w:rPr>
          <w:t>https://chm.cbd.int</w:t>
        </w:r>
      </w:hyperlink>
      <w:r w:rsidRPr="00CA676A">
        <w:rPr>
          <w:kern w:val="18"/>
          <w:szCs w:val="18"/>
          <w:lang w:val="en-CA"/>
        </w:rPr>
        <w:t>.</w:t>
      </w:r>
    </w:p>
  </w:footnote>
  <w:footnote w:id="50">
    <w:p w14:paraId="0ADD35B3" w14:textId="77777777" w:rsidR="00005A3C" w:rsidRPr="00E62DA8" w:rsidRDefault="00005A3C" w:rsidP="00CA676A">
      <w:pPr>
        <w:pStyle w:val="FootnoteText"/>
        <w:ind w:firstLine="0"/>
      </w:pPr>
      <w:r w:rsidRPr="00610646">
        <w:rPr>
          <w:rStyle w:val="FootnoteReference"/>
        </w:rPr>
        <w:footnoteRef/>
      </w:r>
      <w:r>
        <w:t xml:space="preserve"> The capturing of the assessment of global targets based on national targets will be further reviewed in the development and finalization of the online reporting tool. </w:t>
      </w:r>
    </w:p>
  </w:footnote>
  <w:footnote w:id="51">
    <w:p w14:paraId="6361DC68" w14:textId="77777777" w:rsidR="00005A3C" w:rsidRPr="000E7292" w:rsidRDefault="00005A3C" w:rsidP="00AE1F8D">
      <w:pPr>
        <w:pStyle w:val="CommentText"/>
        <w:spacing w:after="0"/>
        <w:rPr>
          <w:lang w:val="en-US"/>
        </w:rPr>
      </w:pPr>
      <w:r w:rsidRPr="00610646">
        <w:rPr>
          <w:rStyle w:val="FootnoteReference"/>
        </w:rPr>
        <w:footnoteRef/>
      </w:r>
      <w:r w:rsidRPr="00CA676A">
        <w:rPr>
          <w:sz w:val="18"/>
        </w:rPr>
        <w:t xml:space="preserve"> This section could be further developed with advice from the </w:t>
      </w:r>
      <w:r>
        <w:rPr>
          <w:sz w:val="18"/>
        </w:rPr>
        <w:t>Ad Hoc Technical Expert Group</w:t>
      </w:r>
      <w:r w:rsidRPr="00CA676A">
        <w:rPr>
          <w:sz w:val="18"/>
        </w:rPr>
        <w:t xml:space="preserve"> on </w:t>
      </w:r>
      <w:r>
        <w:rPr>
          <w:sz w:val="18"/>
        </w:rPr>
        <w:t>I</w:t>
      </w:r>
      <w:r w:rsidRPr="00CA676A">
        <w:rPr>
          <w:sz w:val="18"/>
        </w:rPr>
        <w:t>ndicators</w:t>
      </w:r>
      <w:r>
        <w:rPr>
          <w:sz w:val="18"/>
        </w:rPr>
        <w:t xml:space="preserve"> for the Kunming</w:t>
      </w:r>
      <w:r>
        <w:rPr>
          <w:sz w:val="18"/>
        </w:rPr>
        <w:noBreakHyphen/>
        <w:t>Montreal Global Biodiversity Framework (decision 15/5).</w:t>
      </w:r>
    </w:p>
  </w:footnote>
  <w:footnote w:id="52">
    <w:p w14:paraId="3C516D74" w14:textId="77777777" w:rsidR="00005A3C" w:rsidRPr="001379C8" w:rsidRDefault="00005A3C" w:rsidP="00AE1F8D">
      <w:pPr>
        <w:pStyle w:val="FootnoteText"/>
        <w:ind w:firstLine="0"/>
        <w:rPr>
          <w:lang w:val="en-US"/>
        </w:rPr>
      </w:pPr>
      <w:r w:rsidRPr="00610646">
        <w:rPr>
          <w:rStyle w:val="FootnoteReference"/>
        </w:rPr>
        <w:footnoteRef/>
      </w:r>
      <w:r w:rsidRPr="001379C8">
        <w:t xml:space="preserve"> This section should be reviewed following the sixteenth meeting of the Conference of the Parties.</w:t>
      </w:r>
    </w:p>
  </w:footnote>
  <w:footnote w:id="53">
    <w:p w14:paraId="1AE0D5A8" w14:textId="77777777" w:rsidR="00005A3C" w:rsidRPr="00CA676A" w:rsidRDefault="00005A3C" w:rsidP="00CA676A">
      <w:pPr>
        <w:pStyle w:val="FootnoteText"/>
        <w:ind w:firstLine="0"/>
        <w:rPr>
          <w:lang w:val="en-US"/>
        </w:rPr>
      </w:pPr>
      <w:r w:rsidRPr="001379C8">
        <w:t xml:space="preserve">* </w:t>
      </w:r>
      <w:r w:rsidRPr="00CA676A">
        <w:rPr>
          <w:snapToGrid w:val="0"/>
          <w:kern w:val="22"/>
          <w:szCs w:val="18"/>
        </w:rPr>
        <w:t>Pending consideration and adoption at a future meeting of the Conference of the Parties.</w:t>
      </w:r>
    </w:p>
  </w:footnote>
  <w:footnote w:id="54">
    <w:p w14:paraId="0A975342" w14:textId="77777777" w:rsidR="0018728E" w:rsidRPr="008F6FFF" w:rsidRDefault="0018728E" w:rsidP="008F6FFF">
      <w:pPr>
        <w:pStyle w:val="FootnoteText"/>
        <w:ind w:firstLine="0"/>
        <w:rPr>
          <w:lang w:val="en-US"/>
        </w:rPr>
      </w:pPr>
      <w:r w:rsidRPr="00610646">
        <w:rPr>
          <w:rStyle w:val="FootnoteReference"/>
        </w:rPr>
        <w:footnoteRef/>
      </w:r>
      <w:r w:rsidRPr="00A24649">
        <w:t xml:space="preserve"> </w:t>
      </w:r>
      <w:r w:rsidRPr="008F6FFF">
        <w:rPr>
          <w:i/>
          <w:iCs/>
          <w:lang w:val="en-US"/>
        </w:rPr>
        <w:t>Global Biodiversity Outlook</w:t>
      </w:r>
      <w:r w:rsidRPr="00A24649">
        <w:rPr>
          <w:lang w:val="en-US"/>
        </w:rPr>
        <w:t>, fifth edition (SCBD, 2020).</w:t>
      </w:r>
    </w:p>
  </w:footnote>
  <w:footnote w:id="55">
    <w:p w14:paraId="6A61D095" w14:textId="77777777" w:rsidR="0018728E" w:rsidRPr="00491D58" w:rsidRDefault="0018728E" w:rsidP="008F6FFF">
      <w:pPr>
        <w:pStyle w:val="FootnoteText"/>
        <w:ind w:firstLine="0"/>
      </w:pPr>
      <w:r w:rsidRPr="00610646">
        <w:rPr>
          <w:rStyle w:val="FootnoteReference"/>
        </w:rPr>
        <w:footnoteRef/>
      </w:r>
      <w:r w:rsidRPr="000946FB">
        <w:t xml:space="preserve"> CBD/SBI/3/5/A</w:t>
      </w:r>
      <w:r w:rsidRPr="00AB32F5">
        <w:t>dd.</w:t>
      </w:r>
      <w:r w:rsidRPr="000946FB">
        <w:t>2/Rev.1</w:t>
      </w:r>
      <w:r>
        <w:t xml:space="preserve"> as well as </w:t>
      </w:r>
      <w:r w:rsidRPr="000946FB">
        <w:t>CBD/SBI/3/5/Add.1</w:t>
      </w:r>
      <w:r>
        <w:t xml:space="preserve"> and </w:t>
      </w:r>
      <w:r w:rsidRPr="000946FB">
        <w:t>CBD/SBI/3/5/Add.3</w:t>
      </w:r>
      <w:r>
        <w:t>.</w:t>
      </w:r>
    </w:p>
  </w:footnote>
  <w:footnote w:id="56">
    <w:p w14:paraId="458BDA84" w14:textId="77777777" w:rsidR="0018728E" w:rsidRPr="008F6FFF" w:rsidRDefault="0018728E" w:rsidP="008F6FFF">
      <w:pPr>
        <w:pStyle w:val="FootnoteText"/>
        <w:ind w:firstLine="0"/>
        <w:rPr>
          <w:lang w:val="en-US"/>
        </w:rPr>
      </w:pPr>
      <w:r w:rsidRPr="00610646">
        <w:rPr>
          <w:rStyle w:val="FootnoteReference"/>
        </w:rPr>
        <w:footnoteRef/>
      </w:r>
      <w:r>
        <w:t xml:space="preserve"> </w:t>
      </w:r>
      <w:r w:rsidRPr="008F6FFF">
        <w:rPr>
          <w:i/>
          <w:iCs/>
          <w:lang w:val="en-US"/>
        </w:rPr>
        <w:t>Global Biodiversity Outlook</w:t>
      </w:r>
      <w:r>
        <w:rPr>
          <w:lang w:val="en-US"/>
        </w:rPr>
        <w:t>, fifth edition (SCBD, 2020).</w:t>
      </w:r>
    </w:p>
  </w:footnote>
  <w:footnote w:id="57">
    <w:p w14:paraId="214AD37F" w14:textId="77777777" w:rsidR="0018728E" w:rsidRPr="009363DC" w:rsidRDefault="0018728E" w:rsidP="008F6FFF">
      <w:pPr>
        <w:pStyle w:val="FootnoteText"/>
        <w:ind w:firstLine="0"/>
      </w:pPr>
      <w:r w:rsidRPr="00610646">
        <w:rPr>
          <w:rStyle w:val="FootnoteReference"/>
        </w:rPr>
        <w:footnoteRef/>
      </w:r>
      <w:r>
        <w:t xml:space="preserve"> </w:t>
      </w:r>
      <w:r w:rsidRPr="008F6FFF">
        <w:rPr>
          <w:rFonts w:asciiTheme="majorBidi" w:hAnsiTheme="majorBidi" w:cstheme="majorBidi"/>
        </w:rPr>
        <w:t>Decision 15</w:t>
      </w:r>
      <w:r w:rsidRPr="008F6FFF">
        <w:rPr>
          <w:rFonts w:asciiTheme="majorBidi" w:eastAsia="SimSun" w:hAnsiTheme="majorBidi" w:cstheme="majorBidi"/>
          <w:lang w:eastAsia="zh-CN"/>
        </w:rPr>
        <w:t>/9.</w:t>
      </w:r>
    </w:p>
  </w:footnote>
  <w:footnote w:id="58">
    <w:p w14:paraId="4EA064EF" w14:textId="77777777" w:rsidR="0018728E" w:rsidRPr="0047587E" w:rsidRDefault="0018728E" w:rsidP="008F6FFF">
      <w:pPr>
        <w:pStyle w:val="FootnoteText"/>
        <w:ind w:firstLine="0"/>
      </w:pPr>
      <w:r w:rsidRPr="00610646">
        <w:rPr>
          <w:rStyle w:val="FootnoteReference"/>
        </w:rPr>
        <w:footnoteRef/>
      </w:r>
      <w:r>
        <w:t xml:space="preserve"> </w:t>
      </w:r>
      <w:r>
        <w:rPr>
          <w:szCs w:val="18"/>
          <w:lang w:val="en-US"/>
        </w:rPr>
        <w:t>In particular,</w:t>
      </w:r>
      <w:r w:rsidRPr="008F6FFF">
        <w:rPr>
          <w:szCs w:val="18"/>
          <w:lang w:val="en-US"/>
        </w:rPr>
        <w:t xml:space="preserve"> decisions 15/5 on the monitoring framework, 15/6 on </w:t>
      </w:r>
      <w:r>
        <w:rPr>
          <w:szCs w:val="18"/>
          <w:lang w:val="en-US"/>
        </w:rPr>
        <w:t xml:space="preserve">mechanisms for </w:t>
      </w:r>
      <w:r w:rsidRPr="008F6FFF">
        <w:rPr>
          <w:szCs w:val="18"/>
          <w:lang w:val="en-US"/>
        </w:rPr>
        <w:t>planning, monitoring reporting and review, 15/8 on capacity-building</w:t>
      </w:r>
      <w:r>
        <w:rPr>
          <w:szCs w:val="18"/>
          <w:lang w:val="en-US"/>
        </w:rPr>
        <w:t xml:space="preserve"> and development and technical and scientific cooperation</w:t>
      </w:r>
      <w:r w:rsidRPr="008F6FFF">
        <w:rPr>
          <w:szCs w:val="18"/>
          <w:lang w:val="en-US"/>
        </w:rPr>
        <w:t xml:space="preserve">, </w:t>
      </w:r>
      <w:r>
        <w:rPr>
          <w:szCs w:val="18"/>
          <w:lang w:val="en-US"/>
        </w:rPr>
        <w:t xml:space="preserve">and </w:t>
      </w:r>
      <w:r w:rsidRPr="008F6FFF">
        <w:rPr>
          <w:szCs w:val="18"/>
          <w:lang w:val="en-US"/>
        </w:rPr>
        <w:t>15/9 on digital sequence information on genetic resources.</w:t>
      </w:r>
    </w:p>
  </w:footnote>
  <w:footnote w:id="59">
    <w:p w14:paraId="7A4D0EB2" w14:textId="77777777" w:rsidR="0018728E" w:rsidRPr="00714A4B" w:rsidRDefault="0018728E" w:rsidP="008F6FFF">
      <w:pPr>
        <w:pStyle w:val="FootnoteText"/>
        <w:ind w:firstLine="0"/>
        <w:rPr>
          <w:lang w:val="en-US"/>
        </w:rPr>
      </w:pPr>
      <w:r w:rsidRPr="00610646">
        <w:rPr>
          <w:rStyle w:val="FootnoteReference"/>
        </w:rPr>
        <w:footnoteRef/>
      </w:r>
      <w:r w:rsidRPr="008D56F2">
        <w:t xml:space="preserve"> </w:t>
      </w:r>
      <w:r w:rsidRPr="00714A4B">
        <w:t>Refers to goal and target(s) as they appear in the first draft of the global biodiversity framework, as contained in document CBD/WG2020/3/3.</w:t>
      </w:r>
      <w:r w:rsidRPr="008D56F2">
        <w:t xml:space="preserve">  </w:t>
      </w:r>
    </w:p>
  </w:footnote>
  <w:footnote w:id="60">
    <w:p w14:paraId="7939B5C0" w14:textId="77777777" w:rsidR="0018728E" w:rsidRPr="00714A4B" w:rsidRDefault="0018728E" w:rsidP="00447B46">
      <w:pPr>
        <w:pStyle w:val="FootnoteText"/>
        <w:ind w:firstLine="0"/>
        <w:jc w:val="left"/>
        <w:rPr>
          <w:szCs w:val="18"/>
        </w:rPr>
      </w:pPr>
      <w:r w:rsidRPr="00610646">
        <w:rPr>
          <w:rStyle w:val="FootnoteReference"/>
        </w:rPr>
        <w:footnoteRef/>
      </w:r>
      <w:r w:rsidRPr="008D56F2">
        <w:rPr>
          <w:szCs w:val="18"/>
        </w:rPr>
        <w:t xml:space="preserve"> </w:t>
      </w:r>
      <w:r>
        <w:rPr>
          <w:szCs w:val="18"/>
        </w:rPr>
        <w:t>Decision 15/5.</w:t>
      </w:r>
    </w:p>
  </w:footnote>
  <w:footnote w:id="61">
    <w:p w14:paraId="5425AE55" w14:textId="77777777" w:rsidR="008C379F" w:rsidRPr="004C415C"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D71EDE">
        <w:rPr>
          <w:snapToGrid w:val="0"/>
          <w:kern w:val="18"/>
          <w:szCs w:val="18"/>
        </w:rPr>
        <w:t xml:space="preserve"> </w:t>
      </w:r>
      <w:r>
        <w:rPr>
          <w:snapToGrid w:val="0"/>
          <w:kern w:val="18"/>
          <w:szCs w:val="18"/>
        </w:rPr>
        <w:t>CBD/COP/15/INF/5.</w:t>
      </w:r>
    </w:p>
  </w:footnote>
  <w:footnote w:id="62">
    <w:p w14:paraId="449DC97F" w14:textId="38368696" w:rsidR="008C379F" w:rsidRPr="004C415C"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D71EDE">
        <w:rPr>
          <w:snapToGrid w:val="0"/>
          <w:kern w:val="18"/>
          <w:szCs w:val="18"/>
        </w:rPr>
        <w:t xml:space="preserve"> See </w:t>
      </w:r>
      <w:hyperlink r:id="rId8" w:history="1">
        <w:r w:rsidRPr="00D71EDE">
          <w:rPr>
            <w:rStyle w:val="Hyperlink"/>
            <w:snapToGrid w:val="0"/>
            <w:kern w:val="18"/>
            <w:szCs w:val="18"/>
          </w:rPr>
          <w:t>https://www.un.org/pga/75/united-nations-summit-on-biodiversity-summary</w:t>
        </w:r>
      </w:hyperlink>
      <w:r w:rsidRPr="00D71EDE">
        <w:rPr>
          <w:snapToGrid w:val="0"/>
          <w:kern w:val="18"/>
          <w:szCs w:val="18"/>
        </w:rPr>
        <w:t>.</w:t>
      </w:r>
    </w:p>
  </w:footnote>
  <w:footnote w:id="63">
    <w:p w14:paraId="7447E613" w14:textId="77777777" w:rsidR="008C379F" w:rsidRPr="006D7A92" w:rsidRDefault="008C379F" w:rsidP="00A30041">
      <w:pPr>
        <w:pStyle w:val="FootnoteText"/>
        <w:ind w:firstLine="0"/>
        <w:rPr>
          <w:lang w:val="en-US"/>
        </w:rPr>
      </w:pPr>
      <w:r w:rsidRPr="00610646">
        <w:rPr>
          <w:rStyle w:val="FootnoteReference"/>
        </w:rPr>
        <w:footnoteRef/>
      </w:r>
      <w:r>
        <w:t xml:space="preserve"> </w:t>
      </w:r>
      <w:r>
        <w:rPr>
          <w:lang w:val="en-US"/>
        </w:rPr>
        <w:t>Prepared pursuant to recommendation 3/3, paragraph 2 of the Subsidiary Body on Implementation.</w:t>
      </w:r>
    </w:p>
  </w:footnote>
  <w:footnote w:id="64">
    <w:p w14:paraId="0552580C" w14:textId="77777777" w:rsidR="008C379F" w:rsidRDefault="008C379F" w:rsidP="00040353">
      <w:pPr>
        <w:pStyle w:val="FootnoteText"/>
        <w:ind w:firstLine="0"/>
      </w:pPr>
      <w:r w:rsidRPr="00610646">
        <w:rPr>
          <w:rStyle w:val="FootnoteReference"/>
        </w:rPr>
        <w:footnoteRef/>
      </w:r>
      <w:r w:rsidRPr="007C69DA">
        <w:t xml:space="preserve"> Decision 15/</w:t>
      </w:r>
      <w:r>
        <w:t>9</w:t>
      </w:r>
      <w:r w:rsidRPr="007C69DA">
        <w:t xml:space="preserve"> on digital sequence information on genetic resources.</w:t>
      </w:r>
    </w:p>
  </w:footnote>
  <w:footnote w:id="65">
    <w:p w14:paraId="430882A0" w14:textId="537EAEAB" w:rsidR="008C379F" w:rsidRPr="00D71EDE"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D71EDE">
        <w:rPr>
          <w:snapToGrid w:val="0"/>
          <w:kern w:val="18"/>
          <w:szCs w:val="18"/>
        </w:rPr>
        <w:t xml:space="preserve"> The long-term strategic framework is further elaborated in document </w:t>
      </w:r>
      <w:hyperlink r:id="rId9" w:history="1">
        <w:r w:rsidRPr="00D71EDE">
          <w:rPr>
            <w:rStyle w:val="Hyperlink"/>
            <w:snapToGrid w:val="0"/>
            <w:kern w:val="18"/>
            <w:szCs w:val="18"/>
          </w:rPr>
          <w:t>CBD/SBI/3/7/Add.1</w:t>
        </w:r>
      </w:hyperlink>
      <w:r w:rsidRPr="00D71EDE">
        <w:rPr>
          <w:snapToGrid w:val="0"/>
          <w:kern w:val="18"/>
          <w:szCs w:val="18"/>
        </w:rPr>
        <w:t>.</w:t>
      </w:r>
    </w:p>
  </w:footnote>
  <w:footnote w:id="66">
    <w:p w14:paraId="38880BCB" w14:textId="77777777" w:rsidR="008C379F" w:rsidRPr="00D71EDE"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D71EDE">
        <w:rPr>
          <w:snapToGrid w:val="0"/>
          <w:kern w:val="18"/>
          <w:szCs w:val="18"/>
        </w:rPr>
        <w:t xml:space="preserve"> </w:t>
      </w:r>
      <w:r>
        <w:rPr>
          <w:snapToGrid w:val="0"/>
          <w:kern w:val="18"/>
          <w:szCs w:val="18"/>
        </w:rPr>
        <w:t xml:space="preserve">Decision </w:t>
      </w:r>
      <w:r w:rsidRPr="00AA5AF1">
        <w:rPr>
          <w:snapToGrid w:val="0"/>
          <w:kern w:val="18"/>
          <w:szCs w:val="18"/>
        </w:rPr>
        <w:t>CP-10/</w:t>
      </w:r>
      <w:r w:rsidRPr="004D32B6">
        <w:rPr>
          <w:snapToGrid w:val="0"/>
          <w:kern w:val="18"/>
          <w:szCs w:val="18"/>
        </w:rPr>
        <w:t>4</w:t>
      </w:r>
      <w:r>
        <w:rPr>
          <w:snapToGrid w:val="0"/>
          <w:kern w:val="18"/>
          <w:szCs w:val="18"/>
        </w:rPr>
        <w:t>, annex</w:t>
      </w:r>
      <w:r w:rsidRPr="00AA5AF1">
        <w:rPr>
          <w:lang w:val="en-US"/>
        </w:rPr>
        <w:t>.</w:t>
      </w:r>
    </w:p>
  </w:footnote>
  <w:footnote w:id="67">
    <w:p w14:paraId="56393227" w14:textId="77777777" w:rsidR="008C379F" w:rsidRPr="00D71EDE" w:rsidRDefault="008C379F" w:rsidP="004D32B6">
      <w:pPr>
        <w:pStyle w:val="FootnoteText"/>
        <w:suppressLineNumbers/>
        <w:suppressAutoHyphens/>
        <w:kinsoku w:val="0"/>
        <w:overflowPunct w:val="0"/>
        <w:autoSpaceDE w:val="0"/>
        <w:autoSpaceDN w:val="0"/>
        <w:adjustRightInd w:val="0"/>
        <w:snapToGrid w:val="0"/>
        <w:ind w:firstLine="0"/>
        <w:rPr>
          <w:snapToGrid w:val="0"/>
          <w:kern w:val="18"/>
          <w:szCs w:val="18"/>
        </w:rPr>
      </w:pPr>
      <w:r w:rsidRPr="00610646">
        <w:rPr>
          <w:rStyle w:val="FootnoteReference"/>
        </w:rPr>
        <w:footnoteRef/>
      </w:r>
      <w:r w:rsidRPr="00D71EDE">
        <w:rPr>
          <w:snapToGrid w:val="0"/>
          <w:kern w:val="18"/>
          <w:szCs w:val="18"/>
        </w:rPr>
        <w:t xml:space="preserve"> </w:t>
      </w:r>
      <w:r w:rsidRPr="00CC7BAE">
        <w:rPr>
          <w:snapToGrid w:val="0"/>
          <w:kern w:val="18"/>
          <w:szCs w:val="18"/>
        </w:rPr>
        <w:t>The strategic framework for capacity-building and development to support the effective implementation of the Nagoya Protocol</w:t>
      </w:r>
      <w:r>
        <w:rPr>
          <w:snapToGrid w:val="0"/>
          <w:kern w:val="18"/>
          <w:szCs w:val="18"/>
        </w:rPr>
        <w:t xml:space="preserve"> </w:t>
      </w:r>
      <w:r w:rsidRPr="00CC7BAE">
        <w:rPr>
          <w:snapToGrid w:val="0"/>
          <w:kern w:val="18"/>
          <w:szCs w:val="18"/>
        </w:rPr>
        <w:t>was adopted in decision NP-1/8. The evaluation of the strategic framework is contained in document CBD/SBI/3/INF/1.</w:t>
      </w:r>
    </w:p>
  </w:footnote>
  <w:footnote w:id="68">
    <w:p w14:paraId="6B45DFFA" w14:textId="77777777" w:rsidR="008C379F" w:rsidRPr="000C795F" w:rsidRDefault="008C379F" w:rsidP="00541EA7">
      <w:pPr>
        <w:pStyle w:val="FootnoteText"/>
        <w:ind w:firstLine="0"/>
      </w:pPr>
      <w:r w:rsidRPr="00610646">
        <w:rPr>
          <w:rStyle w:val="FootnoteReference"/>
        </w:rPr>
        <w:footnoteRef/>
      </w:r>
      <w:r>
        <w:t xml:space="preserve"> Decision 15/11, annex.</w:t>
      </w:r>
    </w:p>
  </w:footnote>
  <w:footnote w:id="69">
    <w:p w14:paraId="72AE638B" w14:textId="77777777" w:rsidR="008C379F" w:rsidRPr="00A43EE1" w:rsidRDefault="008C379F" w:rsidP="0098739A">
      <w:pPr>
        <w:pStyle w:val="FootnoteText"/>
        <w:ind w:firstLine="0"/>
      </w:pPr>
      <w:r w:rsidRPr="00610646">
        <w:rPr>
          <w:rStyle w:val="FootnoteReference"/>
        </w:rPr>
        <w:footnoteRef/>
      </w:r>
      <w:r>
        <w:t xml:space="preserve"> “Biotechnology” means any technological application that uses biological systems, living organisms, or derivatives thereof, to make or modify products or processes for specific use (Article 2 of the Convention).</w:t>
      </w:r>
    </w:p>
  </w:footnote>
  <w:footnote w:id="70">
    <w:p w14:paraId="272DB0BA" w14:textId="3F3DEEDF" w:rsidR="008C379F" w:rsidRPr="00541EA7" w:rsidRDefault="008C379F" w:rsidP="00541EA7">
      <w:pPr>
        <w:pStyle w:val="FootnoteText"/>
        <w:ind w:firstLine="0"/>
        <w:rPr>
          <w:lang w:val="en-US"/>
        </w:rPr>
      </w:pPr>
      <w:r w:rsidRPr="00610646">
        <w:rPr>
          <w:rStyle w:val="FootnoteReference"/>
        </w:rPr>
        <w:footnoteRef/>
      </w:r>
      <w:r>
        <w:t xml:space="preserve"> </w:t>
      </w:r>
      <w:hyperlink r:id="rId10" w:history="1">
        <w:r w:rsidRPr="00025996">
          <w:rPr>
            <w:rStyle w:val="Hyperlink"/>
          </w:rPr>
          <w:t>CEB/2021/1/Add.1</w:t>
        </w:r>
      </w:hyperlink>
      <w:r>
        <w:rPr>
          <w:lang w:val="en-US"/>
        </w:rPr>
        <w:t>.</w:t>
      </w:r>
    </w:p>
  </w:footnote>
  <w:footnote w:id="71">
    <w:p w14:paraId="1EE19255" w14:textId="77777777" w:rsidR="008C379F" w:rsidRPr="00760D30" w:rsidRDefault="008C379F" w:rsidP="00A30041">
      <w:pPr>
        <w:pStyle w:val="FootnoteText"/>
        <w:ind w:firstLine="0"/>
        <w:jc w:val="left"/>
        <w:rPr>
          <w:szCs w:val="18"/>
        </w:rPr>
      </w:pPr>
      <w:r w:rsidRPr="00610646">
        <w:rPr>
          <w:rStyle w:val="FootnoteReference"/>
        </w:rPr>
        <w:footnoteRef/>
      </w:r>
      <w:r w:rsidRPr="00760D30">
        <w:rPr>
          <w:szCs w:val="18"/>
        </w:rPr>
        <w:t xml:space="preserve"> </w:t>
      </w:r>
      <w:r>
        <w:rPr>
          <w:szCs w:val="18"/>
        </w:rPr>
        <w:t xml:space="preserve">See </w:t>
      </w:r>
      <w:r w:rsidRPr="00760D30">
        <w:rPr>
          <w:szCs w:val="18"/>
        </w:rPr>
        <w:t>CBD/SBSTTA/24/INF/28.</w:t>
      </w:r>
    </w:p>
  </w:footnote>
  <w:footnote w:id="72">
    <w:p w14:paraId="4EB79AA6" w14:textId="77777777" w:rsidR="008C379F" w:rsidRPr="00147B68" w:rsidRDefault="008C379F" w:rsidP="00B64EEF">
      <w:pPr>
        <w:pStyle w:val="FootnoteText"/>
        <w:ind w:firstLine="0"/>
      </w:pPr>
      <w:r w:rsidRPr="00610646">
        <w:rPr>
          <w:rStyle w:val="FootnoteReference"/>
        </w:rPr>
        <w:footnoteRef/>
      </w:r>
      <w:r>
        <w:t xml:space="preserve"> Biotechnology means any technological application that uses biological systems, living organisms, or derivatives thereof, to make or modify products or processes for specific uses (Article 2 of the Convention). </w:t>
      </w:r>
    </w:p>
  </w:footnote>
  <w:footnote w:id="73">
    <w:p w14:paraId="74B4AEFD" w14:textId="77777777" w:rsidR="008C379F" w:rsidRPr="00D71EDE"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D71EDE">
        <w:rPr>
          <w:snapToGrid w:val="0"/>
          <w:kern w:val="18"/>
          <w:szCs w:val="18"/>
        </w:rPr>
        <w:t xml:space="preserve"> In this framework, government actors include, as appro</w:t>
      </w:r>
      <w:r w:rsidRPr="00BB532D">
        <w:rPr>
          <w:snapToGrid w:val="0"/>
          <w:kern w:val="18"/>
          <w:szCs w:val="18"/>
        </w:rPr>
        <w:t>priate, government institutions at national and subnational levels. The term “non-government actors” includes United Nations organizations and programmes, multilateral environmental agreements, intergovernmental organizations, community organizations</w:t>
      </w:r>
      <w:r w:rsidRPr="00064579">
        <w:rPr>
          <w:snapToGrid w:val="0"/>
          <w:kern w:val="18"/>
          <w:szCs w:val="18"/>
        </w:rPr>
        <w:t>, indi</w:t>
      </w:r>
      <w:r w:rsidRPr="00D71EDE">
        <w:rPr>
          <w:snapToGrid w:val="0"/>
          <w:kern w:val="18"/>
          <w:szCs w:val="18"/>
        </w:rPr>
        <w:t>genous peoples and local communities, academia, faith-based and religious groups</w:t>
      </w:r>
      <w:r w:rsidRPr="00AE04F0">
        <w:rPr>
          <w:snapToGrid w:val="0"/>
          <w:kern w:val="18"/>
          <w:szCs w:val="18"/>
        </w:rPr>
        <w:t>, women and</w:t>
      </w:r>
      <w:r w:rsidRPr="00D71EDE">
        <w:rPr>
          <w:snapToGrid w:val="0"/>
          <w:kern w:val="18"/>
          <w:szCs w:val="18"/>
        </w:rPr>
        <w:t xml:space="preserve"> youth organizations, non-governmental organizations, media, the scientific community, and private sector entities such as private financial institutions, businesses, industries, insurers, producers and investors.</w:t>
      </w:r>
    </w:p>
  </w:footnote>
  <w:footnote w:id="74">
    <w:p w14:paraId="52AA1433" w14:textId="3EDC2F1B" w:rsidR="008C379F" w:rsidRPr="00BB532D"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D71EDE">
        <w:rPr>
          <w:snapToGrid w:val="0"/>
          <w:kern w:val="18"/>
          <w:szCs w:val="18"/>
        </w:rPr>
        <w:t xml:space="preserve"> A report of the study is available as information document </w:t>
      </w:r>
      <w:hyperlink r:id="rId11" w:history="1">
        <w:r w:rsidRPr="00D71EDE">
          <w:rPr>
            <w:rStyle w:val="Hyperlink"/>
            <w:snapToGrid w:val="0"/>
            <w:kern w:val="18"/>
            <w:szCs w:val="18"/>
          </w:rPr>
          <w:t>CBD/SBI/3/INF/9</w:t>
        </w:r>
      </w:hyperlink>
      <w:r w:rsidRPr="00D71EDE">
        <w:rPr>
          <w:snapToGrid w:val="0"/>
          <w:kern w:val="18"/>
          <w:szCs w:val="18"/>
        </w:rPr>
        <w:t>.</w:t>
      </w:r>
    </w:p>
  </w:footnote>
  <w:footnote w:id="75">
    <w:p w14:paraId="61D5BEC5" w14:textId="4A529E75" w:rsidR="008C379F" w:rsidRPr="00BB532D"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D71EDE">
        <w:rPr>
          <w:snapToGrid w:val="0"/>
          <w:kern w:val="18"/>
          <w:szCs w:val="18"/>
        </w:rPr>
        <w:t xml:space="preserve"> Adapted from the definition given in “</w:t>
      </w:r>
      <w:r w:rsidRPr="00BB532D">
        <w:rPr>
          <w:snapToGrid w:val="0"/>
          <w:kern w:val="18"/>
          <w:szCs w:val="18"/>
        </w:rPr>
        <w:t>Capacity development</w:t>
      </w:r>
      <w:r w:rsidRPr="00064579">
        <w:rPr>
          <w:snapToGrid w:val="0"/>
          <w:kern w:val="18"/>
          <w:szCs w:val="18"/>
        </w:rPr>
        <w:t xml:space="preserve">: UNDAF Companion Guidance” </w:t>
      </w:r>
      <w:r w:rsidRPr="00981752">
        <w:rPr>
          <w:snapToGrid w:val="0"/>
          <w:kern w:val="18"/>
          <w:szCs w:val="18"/>
        </w:rPr>
        <w:t>United Nations Development Group</w:t>
      </w:r>
      <w:r w:rsidRPr="00D85B1E">
        <w:rPr>
          <w:snapToGrid w:val="0"/>
          <w:kern w:val="18"/>
          <w:szCs w:val="18"/>
        </w:rPr>
        <w:t xml:space="preserve"> 2017</w:t>
      </w:r>
      <w:r>
        <w:rPr>
          <w:snapToGrid w:val="0"/>
          <w:kern w:val="18"/>
          <w:szCs w:val="18"/>
        </w:rPr>
        <w:t>,</w:t>
      </w:r>
      <w:r w:rsidRPr="00D85B1E">
        <w:rPr>
          <w:snapToGrid w:val="0"/>
          <w:kern w:val="18"/>
          <w:szCs w:val="18"/>
        </w:rPr>
        <w:t xml:space="preserve"> available at </w:t>
      </w:r>
      <w:hyperlink r:id="rId12" w:history="1">
        <w:r w:rsidRPr="00D85B1E">
          <w:rPr>
            <w:rStyle w:val="Hyperlink"/>
            <w:snapToGrid w:val="0"/>
            <w:kern w:val="18"/>
            <w:szCs w:val="18"/>
          </w:rPr>
          <w:t>https://unsdg.un.org/resources/capacity-development-undaf-companion-guidance</w:t>
        </w:r>
      </w:hyperlink>
      <w:r w:rsidRPr="00D71EDE">
        <w:rPr>
          <w:snapToGrid w:val="0"/>
          <w:kern w:val="18"/>
          <w:szCs w:val="18"/>
        </w:rPr>
        <w:t>.</w:t>
      </w:r>
    </w:p>
  </w:footnote>
  <w:footnote w:id="76">
    <w:p w14:paraId="60046807" w14:textId="0EAD7758" w:rsidR="008C379F" w:rsidRPr="00760D30"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760D30">
        <w:rPr>
          <w:snapToGrid w:val="0"/>
          <w:kern w:val="18"/>
          <w:szCs w:val="18"/>
        </w:rPr>
        <w:t xml:space="preserve"> An organization can become a “learning organization” by applying existing internal knowledge and learning from past experiences and lessons with the aim of improving its performance (e.g. see </w:t>
      </w:r>
      <w:hyperlink r:id="rId13" w:history="1">
        <w:r w:rsidRPr="00760D30">
          <w:rPr>
            <w:rStyle w:val="Hyperlink"/>
            <w:snapToGrid w:val="0"/>
            <w:kern w:val="18"/>
            <w:szCs w:val="18"/>
          </w:rPr>
          <w:t>https://warwick.ac.uk/fac/soc/wbs/conf/olkc/archive/olk4/papers/villardi.pdf</w:t>
        </w:r>
      </w:hyperlink>
      <w:r w:rsidRPr="00760D30">
        <w:rPr>
          <w:snapToGrid w:val="0"/>
          <w:kern w:val="18"/>
          <w:szCs w:val="18"/>
        </w:rPr>
        <w:t>).</w:t>
      </w:r>
    </w:p>
  </w:footnote>
  <w:footnote w:id="77">
    <w:p w14:paraId="2417B3EE" w14:textId="1D9E6E8F" w:rsidR="008C379F" w:rsidRPr="00BB532D"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D71EDE">
        <w:rPr>
          <w:snapToGrid w:val="0"/>
          <w:kern w:val="18"/>
          <w:szCs w:val="18"/>
        </w:rPr>
        <w:t xml:space="preserve"> The development of this theory of change took into account the technical guidance provided as part of the United Nations Development Assistance Framework (UNDAF) process: </w:t>
      </w:r>
      <w:hyperlink r:id="rId14" w:history="1">
        <w:r w:rsidRPr="00D71EDE">
          <w:rPr>
            <w:rStyle w:val="Hyperlink"/>
            <w:snapToGrid w:val="0"/>
            <w:kern w:val="18"/>
            <w:szCs w:val="18"/>
          </w:rPr>
          <w:t>https://unsdg.un.org/resources/theory-change-undaf-companion-guidance</w:t>
        </w:r>
      </w:hyperlink>
      <w:r w:rsidRPr="00D71EDE">
        <w:rPr>
          <w:snapToGrid w:val="0"/>
          <w:kern w:val="18"/>
          <w:szCs w:val="18"/>
        </w:rPr>
        <w:t>.</w:t>
      </w:r>
    </w:p>
  </w:footnote>
  <w:footnote w:id="78">
    <w:p w14:paraId="3C5E6DB4" w14:textId="77777777" w:rsidR="008C379F" w:rsidRPr="00FE673C" w:rsidRDefault="008C379F" w:rsidP="004D32B6">
      <w:pPr>
        <w:pStyle w:val="FootnoteText"/>
        <w:ind w:firstLine="0"/>
      </w:pPr>
      <w:r w:rsidRPr="00610646">
        <w:rPr>
          <w:rStyle w:val="FootnoteReference"/>
        </w:rPr>
        <w:footnoteRef/>
      </w:r>
      <w:r>
        <w:t xml:space="preserve"> Decision 15/11, annex.</w:t>
      </w:r>
    </w:p>
  </w:footnote>
  <w:footnote w:id="79">
    <w:p w14:paraId="0DA36DBB" w14:textId="37928723" w:rsidR="008C379F" w:rsidRPr="00BB532D"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D71EDE">
        <w:rPr>
          <w:snapToGrid w:val="0"/>
          <w:kern w:val="18"/>
          <w:szCs w:val="18"/>
        </w:rPr>
        <w:t xml:space="preserve"> At </w:t>
      </w:r>
      <w:r w:rsidRPr="00D170DA">
        <w:rPr>
          <w:snapToGrid w:val="0"/>
          <w:kern w:val="18"/>
          <w:szCs w:val="18"/>
        </w:rPr>
        <w:t>least 30 Parties</w:t>
      </w:r>
      <w:r w:rsidRPr="00D71EDE">
        <w:rPr>
          <w:snapToGrid w:val="0"/>
          <w:kern w:val="18"/>
          <w:szCs w:val="18"/>
        </w:rPr>
        <w:t xml:space="preserve"> to the Convention on Biological Diversity have prepared biodiversity </w:t>
      </w:r>
      <w:r w:rsidRPr="00BB532D">
        <w:rPr>
          <w:snapToGrid w:val="0"/>
          <w:kern w:val="18"/>
          <w:szCs w:val="18"/>
        </w:rPr>
        <w:t>capacity</w:t>
      </w:r>
      <w:r>
        <w:rPr>
          <w:snapToGrid w:val="0"/>
          <w:kern w:val="18"/>
          <w:szCs w:val="18"/>
        </w:rPr>
        <w:t>-</w:t>
      </w:r>
      <w:r w:rsidRPr="00BB532D">
        <w:rPr>
          <w:snapToGrid w:val="0"/>
          <w:kern w:val="18"/>
          <w:szCs w:val="18"/>
        </w:rPr>
        <w:t>building an</w:t>
      </w:r>
      <w:r w:rsidRPr="00064579">
        <w:rPr>
          <w:snapToGrid w:val="0"/>
          <w:kern w:val="18"/>
          <w:szCs w:val="18"/>
        </w:rPr>
        <w:t xml:space="preserve">d development strategies or plans, either as a chapter or section within their NBSAP or as stand-alone documents: </w:t>
      </w:r>
      <w:hyperlink r:id="rId15" w:history="1">
        <w:r w:rsidRPr="00D71EDE">
          <w:rPr>
            <w:rStyle w:val="Hyperlink"/>
            <w:snapToGrid w:val="0"/>
            <w:kern w:val="18"/>
            <w:szCs w:val="18"/>
          </w:rPr>
          <w:t>https://www.cbd.int/cb/plans/</w:t>
        </w:r>
      </w:hyperlink>
      <w:r w:rsidRPr="00D71EDE">
        <w:rPr>
          <w:snapToGrid w:val="0"/>
          <w:kern w:val="18"/>
          <w:szCs w:val="18"/>
        </w:rPr>
        <w:t>.</w:t>
      </w:r>
    </w:p>
  </w:footnote>
  <w:footnote w:id="80">
    <w:p w14:paraId="51B56285" w14:textId="3DCD9B73" w:rsidR="008C379F" w:rsidRPr="00BB532D" w:rsidRDefault="008C379F" w:rsidP="00A30041">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610646">
        <w:rPr>
          <w:rStyle w:val="FootnoteReference"/>
        </w:rPr>
        <w:footnoteRef/>
      </w:r>
      <w:r w:rsidRPr="00D71EDE">
        <w:rPr>
          <w:snapToGrid w:val="0"/>
          <w:kern w:val="18"/>
          <w:szCs w:val="18"/>
        </w:rPr>
        <w:t xml:space="preserve"> </w:t>
      </w:r>
      <w:r w:rsidRPr="00BB532D">
        <w:rPr>
          <w:snapToGrid w:val="0"/>
          <w:kern w:val="18"/>
          <w:szCs w:val="18"/>
        </w:rPr>
        <w:t>Capacity</w:t>
      </w:r>
      <w:r>
        <w:rPr>
          <w:snapToGrid w:val="0"/>
          <w:kern w:val="18"/>
          <w:szCs w:val="18"/>
        </w:rPr>
        <w:t>-</w:t>
      </w:r>
      <w:r w:rsidRPr="00BB532D">
        <w:rPr>
          <w:snapToGrid w:val="0"/>
          <w:kern w:val="18"/>
          <w:szCs w:val="18"/>
        </w:rPr>
        <w:t>building and development</w:t>
      </w:r>
      <w:r w:rsidRPr="00064579">
        <w:rPr>
          <w:snapToGrid w:val="0"/>
          <w:kern w:val="18"/>
          <w:szCs w:val="18"/>
        </w:rPr>
        <w:t xml:space="preserve"> is one of the core outcome areas of the United Nations Development Assistance Framework (UNDAF), renamed United Nations Sustainable Development Cooperation Framework by General Assembly resolution 72/279 in a number of countries, as demonstrated by the example of Bhutan (</w:t>
      </w:r>
      <w:hyperlink r:id="rId16" w:history="1">
        <w:r w:rsidRPr="00D71EDE">
          <w:rPr>
            <w:rStyle w:val="Hyperlink"/>
            <w:snapToGrid w:val="0"/>
            <w:kern w:val="18"/>
            <w:szCs w:val="18"/>
          </w:rPr>
          <w:t>https://www.unicef.org/evaldatabase/index_70552.html</w:t>
        </w:r>
      </w:hyperlink>
      <w:r w:rsidRPr="00D71EDE">
        <w:rPr>
          <w:snapToGrid w:val="0"/>
          <w:kern w:val="18"/>
          <w:szCs w:val="18"/>
        </w:rPr>
        <w:t>).</w:t>
      </w:r>
    </w:p>
  </w:footnote>
  <w:footnote w:id="81">
    <w:p w14:paraId="36915C03" w14:textId="73EBF58E" w:rsidR="008C379F" w:rsidRPr="00D71EDE" w:rsidRDefault="008C379F" w:rsidP="00A30041">
      <w:pPr>
        <w:keepLines/>
        <w:suppressLineNumbers/>
        <w:suppressAutoHyphens/>
        <w:kinsoku w:val="0"/>
        <w:overflowPunct w:val="0"/>
        <w:autoSpaceDE w:val="0"/>
        <w:autoSpaceDN w:val="0"/>
        <w:adjustRightInd w:val="0"/>
        <w:snapToGrid w:val="0"/>
        <w:spacing w:after="60"/>
        <w:jc w:val="left"/>
        <w:rPr>
          <w:snapToGrid w:val="0"/>
          <w:kern w:val="18"/>
          <w:sz w:val="18"/>
          <w:szCs w:val="18"/>
        </w:rPr>
      </w:pPr>
      <w:r w:rsidRPr="00610646">
        <w:rPr>
          <w:rStyle w:val="FootnoteReference"/>
        </w:rPr>
        <w:footnoteRef/>
      </w:r>
      <w:r w:rsidRPr="00D71EDE">
        <w:rPr>
          <w:snapToGrid w:val="0"/>
          <w:kern w:val="18"/>
          <w:sz w:val="18"/>
          <w:szCs w:val="18"/>
        </w:rPr>
        <w:t xml:space="preserve"> As cited in </w:t>
      </w:r>
      <w:r>
        <w:rPr>
          <w:snapToGrid w:val="0"/>
          <w:kern w:val="18"/>
          <w:sz w:val="18"/>
          <w:szCs w:val="18"/>
        </w:rPr>
        <w:t xml:space="preserve">the </w:t>
      </w:r>
      <w:r w:rsidRPr="00D71EDE">
        <w:rPr>
          <w:snapToGrid w:val="0"/>
          <w:kern w:val="18"/>
          <w:sz w:val="18"/>
          <w:szCs w:val="18"/>
        </w:rPr>
        <w:t>publication</w:t>
      </w:r>
      <w:r w:rsidRPr="005C50A3">
        <w:rPr>
          <w:i/>
          <w:iCs/>
          <w:snapToGrid w:val="0"/>
          <w:kern w:val="18"/>
          <w:sz w:val="18"/>
          <w:szCs w:val="18"/>
        </w:rPr>
        <w:t xml:space="preserve"> </w:t>
      </w:r>
      <w:r w:rsidRPr="004D32B6">
        <w:rPr>
          <w:i/>
          <w:iCs/>
        </w:rPr>
        <w:t>Incentive Systems: Incentives, motivation and development performance</w:t>
      </w:r>
      <w:r w:rsidRPr="00287C48">
        <w:rPr>
          <w:snapToGrid w:val="0"/>
          <w:kern w:val="18"/>
          <w:sz w:val="18"/>
          <w:szCs w:val="18"/>
        </w:rPr>
        <w:t>,</w:t>
      </w:r>
      <w:r>
        <w:rPr>
          <w:snapToGrid w:val="0"/>
          <w:kern w:val="18"/>
          <w:sz w:val="18"/>
          <w:szCs w:val="18"/>
        </w:rPr>
        <w:t xml:space="preserve"> United Nations Development Programme, 2006</w:t>
      </w:r>
      <w:r w:rsidRPr="00760D30">
        <w:rPr>
          <w:snapToGrid w:val="0"/>
          <w:kern w:val="18"/>
          <w:sz w:val="18"/>
          <w:szCs w:val="18"/>
        </w:rPr>
        <w:t>.</w:t>
      </w:r>
      <w:r>
        <w:rPr>
          <w:snapToGrid w:val="0"/>
          <w:kern w:val="18"/>
          <w:sz w:val="18"/>
          <w:szCs w:val="18"/>
        </w:rPr>
        <w:t xml:space="preserve"> </w:t>
      </w:r>
      <w:hyperlink r:id="rId17" w:history="1">
        <w:r w:rsidRPr="00750F31">
          <w:rPr>
            <w:rStyle w:val="Hyperlink"/>
            <w:snapToGrid w:val="0"/>
            <w:kern w:val="18"/>
            <w:szCs w:val="18"/>
          </w:rPr>
          <w:t>https://www.undp.org/sites/g/files/zskgke326/files/publications/Incentive-Systems-cp8.pdf</w:t>
        </w:r>
      </w:hyperlink>
      <w:r>
        <w:rPr>
          <w:snapToGrid w:val="0"/>
          <w:kern w:val="18"/>
          <w:sz w:val="18"/>
          <w:szCs w:val="18"/>
        </w:rPr>
        <w:t xml:space="preserve"> </w:t>
      </w:r>
    </w:p>
  </w:footnote>
  <w:footnote w:id="82">
    <w:p w14:paraId="0183B4D0" w14:textId="77777777" w:rsidR="008C379F" w:rsidRDefault="008C379F" w:rsidP="008D3ADF">
      <w:pPr>
        <w:pStyle w:val="FootnoteText"/>
        <w:ind w:firstLine="0"/>
      </w:pPr>
      <w:r w:rsidRPr="00610646">
        <w:rPr>
          <w:rStyle w:val="FootnoteReference"/>
        </w:rPr>
        <w:footnoteRef/>
      </w:r>
      <w:r>
        <w:t xml:space="preserve"> Principle 15 of the Rio Declaration on Environment and Development.</w:t>
      </w:r>
    </w:p>
  </w:footnote>
  <w:footnote w:id="83">
    <w:p w14:paraId="20ADD42D" w14:textId="77777777" w:rsidR="0000159D" w:rsidRPr="00B61018" w:rsidRDefault="0000159D" w:rsidP="00F01D57">
      <w:pPr>
        <w:pStyle w:val="FootnoteText"/>
        <w:ind w:firstLine="0"/>
        <w:jc w:val="left"/>
        <w:rPr>
          <w:lang w:val="en-CA"/>
        </w:rPr>
      </w:pPr>
      <w:r w:rsidRPr="00610646">
        <w:rPr>
          <w:rStyle w:val="FootnoteReference"/>
        </w:rPr>
        <w:footnoteRef/>
      </w:r>
      <w:r>
        <w:t xml:space="preserve"> </w:t>
      </w:r>
      <w:r w:rsidRPr="00F16DA5">
        <w:rPr>
          <w:lang w:val="en-CA"/>
        </w:rPr>
        <w:t>CBD/DSI/AHTEG/2020/1/2</w:t>
      </w:r>
      <w:r>
        <w:rPr>
          <w:lang w:val="en-CA"/>
        </w:rPr>
        <w:t xml:space="preserve">; </w:t>
      </w:r>
      <w:r w:rsidRPr="006D1A3D">
        <w:rPr>
          <w:lang w:val="en-CA"/>
        </w:rPr>
        <w:t>CBD/DSI/AHTEG/2020/1/3</w:t>
      </w:r>
      <w:r>
        <w:rPr>
          <w:lang w:val="en-CA"/>
        </w:rPr>
        <w:t xml:space="preserve">; </w:t>
      </w:r>
      <w:r w:rsidRPr="00726794">
        <w:rPr>
          <w:lang w:val="en-CA"/>
        </w:rPr>
        <w:t>CBD/DSI/AHTEG/2020/1/4</w:t>
      </w:r>
      <w:r>
        <w:rPr>
          <w:lang w:val="en-CA"/>
        </w:rPr>
        <w:t xml:space="preserve">; </w:t>
      </w:r>
      <w:r w:rsidRPr="00FF7532">
        <w:rPr>
          <w:lang w:val="en-CA"/>
        </w:rPr>
        <w:t>CBD/DSI/AHTEG/2020/1/5</w:t>
      </w:r>
      <w:r>
        <w:rPr>
          <w:lang w:val="en-CA"/>
        </w:rPr>
        <w:t>; CBD/DSI/AHTEG/2020/1/7.</w:t>
      </w:r>
    </w:p>
  </w:footnote>
  <w:footnote w:id="84">
    <w:p w14:paraId="47B188B5" w14:textId="77777777" w:rsidR="0000159D" w:rsidRPr="00B30DA6" w:rsidRDefault="0000159D" w:rsidP="00F01D57">
      <w:pPr>
        <w:pStyle w:val="FootnoteText"/>
        <w:ind w:firstLine="0"/>
        <w:rPr>
          <w:lang w:val="en-CA"/>
        </w:rPr>
      </w:pPr>
      <w:r w:rsidRPr="00610646">
        <w:rPr>
          <w:rStyle w:val="FootnoteReference"/>
        </w:rPr>
        <w:footnoteRef/>
      </w:r>
      <w:r>
        <w:t xml:space="preserve"> </w:t>
      </w:r>
      <w:r w:rsidRPr="00C54916">
        <w:t>CBD/WG2020/</w:t>
      </w:r>
      <w:r>
        <w:t>3</w:t>
      </w:r>
      <w:r w:rsidRPr="00C54916">
        <w:t>/INF/</w:t>
      </w:r>
      <w:r>
        <w:t xml:space="preserve">8; </w:t>
      </w:r>
      <w:r w:rsidRPr="00C54916">
        <w:t>CBD/WG2020/</w:t>
      </w:r>
      <w:r>
        <w:t>4</w:t>
      </w:r>
      <w:r w:rsidRPr="00C54916">
        <w:t>/INF/</w:t>
      </w:r>
      <w:r>
        <w:t xml:space="preserve">4; </w:t>
      </w:r>
      <w:r w:rsidRPr="00C54916">
        <w:t>CBD/WG2020/5/INF/1</w:t>
      </w:r>
      <w:r>
        <w:t>.</w:t>
      </w:r>
    </w:p>
  </w:footnote>
  <w:footnote w:id="85">
    <w:p w14:paraId="00D650BD" w14:textId="77777777" w:rsidR="0000159D" w:rsidRPr="00772488" w:rsidRDefault="0000159D" w:rsidP="00F01D57">
      <w:pPr>
        <w:pStyle w:val="FootnoteText"/>
        <w:ind w:firstLine="0"/>
        <w:rPr>
          <w:lang w:val="en-US"/>
        </w:rPr>
      </w:pPr>
      <w:r w:rsidRPr="00610646">
        <w:rPr>
          <w:rStyle w:val="FootnoteReference"/>
        </w:rPr>
        <w:footnoteRef/>
      </w:r>
      <w:r>
        <w:t xml:space="preserve"> </w:t>
      </w:r>
      <w:r>
        <w:rPr>
          <w:lang w:val="en-US"/>
        </w:rPr>
        <w:t xml:space="preserve">Recommendations 3/2, 4/2 and 5/2 of the </w:t>
      </w:r>
      <w:r w:rsidRPr="00F24CFF">
        <w:rPr>
          <w:lang w:val="en-US"/>
        </w:rPr>
        <w:t>Open-</w:t>
      </w:r>
      <w:r>
        <w:rPr>
          <w:lang w:val="en-US"/>
        </w:rPr>
        <w:t>e</w:t>
      </w:r>
      <w:r w:rsidRPr="00F24CFF">
        <w:rPr>
          <w:lang w:val="en-US"/>
        </w:rPr>
        <w:t>nded Working Group on the Post-2020 Global Biodiversity Framework</w:t>
      </w:r>
      <w:r>
        <w:rPr>
          <w:lang w:val="en-US"/>
        </w:rPr>
        <w:t>.</w:t>
      </w:r>
    </w:p>
  </w:footnote>
  <w:footnote w:id="86">
    <w:p w14:paraId="38E412FD" w14:textId="77777777" w:rsidR="0000159D" w:rsidRPr="00772488" w:rsidRDefault="0000159D" w:rsidP="00F01D57">
      <w:pPr>
        <w:pStyle w:val="FootnoteText"/>
        <w:ind w:firstLine="0"/>
        <w:rPr>
          <w:lang w:val="en-US"/>
        </w:rPr>
      </w:pPr>
      <w:r w:rsidRPr="00610646">
        <w:rPr>
          <w:rStyle w:val="FootnoteReference"/>
        </w:rPr>
        <w:footnoteRef/>
      </w:r>
      <w:r>
        <w:t xml:space="preserve"> </w:t>
      </w:r>
      <w:r w:rsidRPr="00EE2CAF">
        <w:rPr>
          <w:rFonts w:asciiTheme="majorBidi" w:hAnsiTheme="majorBidi" w:cstheme="majorBidi"/>
        </w:rPr>
        <w:t>CBD/WG2020/5/3</w:t>
      </w:r>
      <w:r>
        <w:rPr>
          <w:rFonts w:asciiTheme="majorBidi" w:hAnsiTheme="majorBidi" w:cstheme="majorBidi"/>
        </w:rPr>
        <w:t>.</w:t>
      </w:r>
    </w:p>
  </w:footnote>
  <w:footnote w:id="87">
    <w:p w14:paraId="20B953D2" w14:textId="77777777" w:rsidR="0000159D" w:rsidRPr="00FD3665" w:rsidRDefault="0000159D" w:rsidP="00F01D57">
      <w:pPr>
        <w:pStyle w:val="FootnoteText"/>
        <w:ind w:firstLine="0"/>
        <w:rPr>
          <w:lang w:val="en-CA"/>
        </w:rPr>
      </w:pPr>
      <w:r w:rsidRPr="00610646">
        <w:rPr>
          <w:rStyle w:val="FootnoteReference"/>
        </w:rPr>
        <w:footnoteRef/>
      </w:r>
      <w:r>
        <w:t xml:space="preserve"> </w:t>
      </w:r>
      <w:r>
        <w:rPr>
          <w:lang w:val="en-CA"/>
        </w:rPr>
        <w:t>Decision 15/4, annex.</w:t>
      </w:r>
    </w:p>
  </w:footnote>
  <w:footnote w:id="88">
    <w:p w14:paraId="00D1716A" w14:textId="77777777" w:rsidR="0000159D" w:rsidRPr="00F02F45" w:rsidRDefault="0000159D" w:rsidP="00F01D57">
      <w:pPr>
        <w:pStyle w:val="FootnoteText"/>
        <w:ind w:firstLine="0"/>
        <w:rPr>
          <w:lang w:val="en-CA"/>
        </w:rPr>
      </w:pPr>
      <w:r w:rsidRPr="00610646">
        <w:rPr>
          <w:rStyle w:val="FootnoteReference"/>
        </w:rPr>
        <w:footnoteRef/>
      </w:r>
      <w:r>
        <w:t xml:space="preserve"> </w:t>
      </w:r>
      <w:r w:rsidRPr="00BB7817">
        <w:t>Findable, Accessible, Interoperable, and Reusable</w:t>
      </w:r>
      <w:r>
        <w:t>, and their respective sub-principles.</w:t>
      </w:r>
    </w:p>
  </w:footnote>
  <w:footnote w:id="89">
    <w:p w14:paraId="7DF8A5FA" w14:textId="77777777" w:rsidR="0000159D" w:rsidRPr="00CA0059" w:rsidRDefault="0000159D" w:rsidP="00F01D57">
      <w:pPr>
        <w:pStyle w:val="FootnoteText"/>
        <w:ind w:firstLine="0"/>
        <w:rPr>
          <w:lang w:val="en-CA"/>
        </w:rPr>
      </w:pPr>
      <w:r w:rsidRPr="00610646">
        <w:rPr>
          <w:rStyle w:val="FootnoteReference"/>
        </w:rPr>
        <w:footnoteRef/>
      </w:r>
      <w:r>
        <w:t xml:space="preserve"> </w:t>
      </w:r>
      <w:r w:rsidRPr="009D6D23">
        <w:t>Collective benefit, Authority to control, Responsibility, and Ethics, and their respective sub-principles</w:t>
      </w:r>
      <w:r>
        <w:t>.</w:t>
      </w:r>
    </w:p>
  </w:footnote>
  <w:footnote w:id="90">
    <w:p w14:paraId="47046A0C" w14:textId="5AD7D3B6" w:rsidR="0000159D" w:rsidRPr="00772488" w:rsidRDefault="0000159D" w:rsidP="00F01D57">
      <w:pPr>
        <w:pStyle w:val="FootnoteText"/>
        <w:ind w:firstLine="0"/>
        <w:rPr>
          <w:lang w:val="en-US"/>
        </w:rPr>
      </w:pPr>
      <w:r w:rsidRPr="00610646">
        <w:rPr>
          <w:rStyle w:val="FootnoteReference"/>
        </w:rPr>
        <w:footnoteRef/>
      </w:r>
      <w:r>
        <w:t xml:space="preserve"> </w:t>
      </w:r>
      <w:r w:rsidRPr="007938B5">
        <w:rPr>
          <w:lang w:val="en-US"/>
        </w:rPr>
        <w:t>https://legalinstruments.oecd.org/en/instruments/OECD-LEGAL-0463</w:t>
      </w:r>
      <w:r w:rsidR="00DA23D8">
        <w:rPr>
          <w:lang w:val="en-US"/>
        </w:rPr>
        <w:t>.</w:t>
      </w:r>
    </w:p>
  </w:footnote>
  <w:footnote w:id="91">
    <w:p w14:paraId="0F6527E7" w14:textId="68A40F8A" w:rsidR="0000159D" w:rsidRPr="00772488" w:rsidRDefault="0000159D" w:rsidP="00F01D57">
      <w:pPr>
        <w:pStyle w:val="FootnoteText"/>
        <w:ind w:firstLine="0"/>
        <w:rPr>
          <w:lang w:val="en-US"/>
        </w:rPr>
      </w:pPr>
      <w:r w:rsidRPr="00610646">
        <w:rPr>
          <w:rStyle w:val="FootnoteReference"/>
        </w:rPr>
        <w:footnoteRef/>
      </w:r>
      <w:r>
        <w:t xml:space="preserve"> </w:t>
      </w:r>
      <w:hyperlink r:id="rId18" w:history="1">
        <w:r w:rsidRPr="00521F2E">
          <w:rPr>
            <w:rStyle w:val="Hyperlink"/>
            <w:lang w:val="en-US"/>
          </w:rPr>
          <w:t>https://unesdoc.unesco.org/ark:/48223/pf0000379949.locale=en</w:t>
        </w:r>
      </w:hyperlink>
      <w:r w:rsidR="00DA23D8">
        <w:rPr>
          <w:rStyle w:val="Hyperlink"/>
          <w:lang w:val="en-US"/>
        </w:rPr>
        <w:t>.</w:t>
      </w:r>
    </w:p>
  </w:footnote>
  <w:footnote w:id="92">
    <w:p w14:paraId="36B87EB8" w14:textId="77777777" w:rsidR="0000159D" w:rsidRPr="00FD3665" w:rsidRDefault="0000159D" w:rsidP="00DA23D8">
      <w:pPr>
        <w:pStyle w:val="FootnoteText"/>
        <w:ind w:firstLine="0"/>
        <w:rPr>
          <w:lang w:val="en-CA"/>
        </w:rPr>
      </w:pPr>
      <w:r w:rsidRPr="00610646">
        <w:rPr>
          <w:rStyle w:val="FootnoteReference"/>
        </w:rPr>
        <w:footnoteRef/>
      </w:r>
      <w:r>
        <w:t xml:space="preserve"> </w:t>
      </w:r>
      <w:r>
        <w:rPr>
          <w:lang w:val="en-CA"/>
        </w:rPr>
        <w:t>Decision 15/8, annex I.</w:t>
      </w:r>
    </w:p>
  </w:footnote>
  <w:footnote w:id="93">
    <w:p w14:paraId="5EE21C5A" w14:textId="77777777" w:rsidR="0000159D" w:rsidRPr="00A42B34" w:rsidRDefault="0000159D" w:rsidP="00DA23D8">
      <w:pPr>
        <w:pStyle w:val="FootnoteText"/>
        <w:ind w:firstLine="0"/>
        <w:rPr>
          <w:lang w:val="en-CA"/>
        </w:rPr>
      </w:pPr>
      <w:r w:rsidRPr="00610646">
        <w:rPr>
          <w:rStyle w:val="FootnoteReference"/>
        </w:rPr>
        <w:footnoteRef/>
      </w:r>
      <w:r>
        <w:t xml:space="preserve"> </w:t>
      </w:r>
      <w:r>
        <w:rPr>
          <w:lang w:val="en-CA"/>
        </w:rPr>
        <w:t>CBD/DSI/AHTEG/2020/1/7.</w:t>
      </w:r>
    </w:p>
  </w:footnote>
  <w:footnote w:id="94">
    <w:p w14:paraId="23669BCA" w14:textId="77777777" w:rsidR="0000159D" w:rsidRPr="00627E86" w:rsidRDefault="0000159D" w:rsidP="00DA23D8">
      <w:pPr>
        <w:pStyle w:val="FootnoteText"/>
        <w:ind w:firstLine="0"/>
        <w:rPr>
          <w:lang w:val="en-US"/>
        </w:rPr>
      </w:pPr>
      <w:r w:rsidRPr="00610646">
        <w:rPr>
          <w:rStyle w:val="FootnoteReference"/>
        </w:rPr>
        <w:footnoteRef/>
      </w:r>
      <w:r>
        <w:t xml:space="preserve"> </w:t>
      </w:r>
      <w:r>
        <w:rPr>
          <w:lang w:val="en-CA"/>
        </w:rPr>
        <w:t>Reference is made to the section on “Global instrument for biodiversity finance” in the terms of reference of the Advisory Committee on Resource Mobilization as contained in annex II of decision 15/7 on resource mobilization.</w:t>
      </w:r>
    </w:p>
  </w:footnote>
  <w:footnote w:id="95">
    <w:p w14:paraId="2B91B00E" w14:textId="7A913DF3" w:rsidR="00FE6115" w:rsidRPr="00A77261" w:rsidRDefault="00FE6115" w:rsidP="004C18A5">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In </w:t>
      </w:r>
      <w:sdt>
        <w:sdtPr>
          <w:rPr>
            <w:kern w:val="18"/>
            <w:sz w:val="18"/>
            <w:szCs w:val="18"/>
          </w:rPr>
          <w:tag w:val="goog_rdk_377"/>
          <w:id w:val="-496802311"/>
        </w:sdtPr>
        <w:sdtContent>
          <w:hyperlink r:id="rId19" w:history="1">
            <w:r w:rsidRPr="002C6284">
              <w:rPr>
                <w:kern w:val="18"/>
                <w:sz w:val="18"/>
                <w:szCs w:val="18"/>
              </w:rPr>
              <w:t xml:space="preserve">decision </w:t>
            </w:r>
            <w:r w:rsidRPr="00A77261">
              <w:rPr>
                <w:color w:val="1155CC"/>
                <w:kern w:val="18"/>
                <w:sz w:val="18"/>
                <w:szCs w:val="18"/>
                <w:u w:val="single"/>
              </w:rPr>
              <w:t>X/43</w:t>
            </w:r>
          </w:hyperlink>
        </w:sdtContent>
      </w:sdt>
      <w:r w:rsidRPr="00A77261">
        <w:rPr>
          <w:color w:val="000000"/>
          <w:kern w:val="18"/>
          <w:sz w:val="18"/>
          <w:szCs w:val="18"/>
        </w:rPr>
        <w:t>, the Conference of the Parties adopted a revised multi-year programme of work on Article 8(j), retiring completed or superseded tasks 3, 5, 8, 9 and 16.</w:t>
      </w:r>
    </w:p>
  </w:footnote>
  <w:footnote w:id="96">
    <w:p w14:paraId="0F1BC9E7" w14:textId="672140CB" w:rsidR="00FE6115" w:rsidRPr="00A77261" w:rsidRDefault="00FE6115" w:rsidP="004C18A5">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See General Assembly resolution </w:t>
      </w:r>
      <w:hyperlink r:id="rId20">
        <w:r w:rsidRPr="00A77261">
          <w:rPr>
            <w:color w:val="0000FF"/>
            <w:kern w:val="18"/>
            <w:sz w:val="18"/>
            <w:szCs w:val="18"/>
            <w:u w:val="single"/>
          </w:rPr>
          <w:t>70/1</w:t>
        </w:r>
      </w:hyperlink>
      <w:r w:rsidRPr="00A77261">
        <w:rPr>
          <w:color w:val="000000"/>
          <w:kern w:val="18"/>
          <w:sz w:val="18"/>
          <w:szCs w:val="18"/>
        </w:rPr>
        <w:t>, entitled “Transforming our world: the 2030 Agenda for Sustainable Development”.</w:t>
      </w:r>
    </w:p>
  </w:footnote>
  <w:footnote w:id="97">
    <w:p w14:paraId="381D5AF7" w14:textId="5480BAF2" w:rsidR="00FE6115" w:rsidRPr="00A77261" w:rsidRDefault="00FE6115" w:rsidP="004C18A5">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See </w:t>
      </w:r>
      <w:r w:rsidRPr="00A77261">
        <w:rPr>
          <w:kern w:val="18"/>
          <w:sz w:val="18"/>
          <w:szCs w:val="18"/>
        </w:rPr>
        <w:t>United Nations Framework Convention on Climate Change</w:t>
      </w:r>
      <w:r w:rsidRPr="00A77261">
        <w:rPr>
          <w:color w:val="000000"/>
          <w:kern w:val="18"/>
          <w:sz w:val="18"/>
          <w:szCs w:val="18"/>
        </w:rPr>
        <w:t>, Conference of the Parties, twenty-first session, decision 1/CP.21</w:t>
      </w:r>
      <w:r w:rsidRPr="00A77261">
        <w:rPr>
          <w:kern w:val="18"/>
          <w:sz w:val="18"/>
          <w:szCs w:val="18"/>
        </w:rPr>
        <w:t xml:space="preserve"> (</w:t>
      </w:r>
      <w:hyperlink r:id="rId21" w:history="1">
        <w:r w:rsidRPr="00A77261">
          <w:rPr>
            <w:color w:val="1155CC"/>
            <w:kern w:val="18"/>
            <w:sz w:val="18"/>
            <w:szCs w:val="18"/>
            <w:u w:val="single"/>
          </w:rPr>
          <w:t>FCCC/CP/2015/10/Add.1</w:t>
        </w:r>
      </w:hyperlink>
      <w:r w:rsidRPr="00A77261">
        <w:rPr>
          <w:color w:val="1155CC"/>
          <w:kern w:val="18"/>
          <w:sz w:val="18"/>
          <w:szCs w:val="18"/>
          <w:u w:val="single"/>
        </w:rPr>
        <w:t>).</w:t>
      </w:r>
    </w:p>
  </w:footnote>
  <w:footnote w:id="98">
    <w:p w14:paraId="59378A79" w14:textId="5D53E99A" w:rsidR="00FE6115" w:rsidRPr="00A77261" w:rsidRDefault="00FE6115" w:rsidP="004C18A5">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See </w:t>
      </w:r>
      <w:hyperlink r:id="rId22" w:history="1">
        <w:r w:rsidRPr="002C6284">
          <w:rPr>
            <w:kern w:val="18"/>
            <w:sz w:val="18"/>
            <w:szCs w:val="18"/>
          </w:rPr>
          <w:t>d</w:t>
        </w:r>
      </w:hyperlink>
      <w:r w:rsidRPr="002C6284">
        <w:rPr>
          <w:kern w:val="18"/>
          <w:sz w:val="18"/>
          <w:szCs w:val="18"/>
        </w:rPr>
        <w:t xml:space="preserve">ecision </w:t>
      </w:r>
      <w:hyperlink r:id="rId23" w:history="1">
        <w:r w:rsidRPr="00AE73B8">
          <w:rPr>
            <w:rStyle w:val="Hyperlink"/>
            <w:kern w:val="18"/>
            <w:szCs w:val="18"/>
          </w:rPr>
          <w:t>VII/16</w:t>
        </w:r>
      </w:hyperlink>
      <w:r w:rsidRPr="00A77261">
        <w:rPr>
          <w:color w:val="000000"/>
          <w:kern w:val="18"/>
          <w:sz w:val="18"/>
          <w:szCs w:val="18"/>
        </w:rPr>
        <w:t>.</w:t>
      </w:r>
    </w:p>
  </w:footnote>
  <w:footnote w:id="99">
    <w:p w14:paraId="42C82E81" w14:textId="25E5DB6E" w:rsidR="00FE6115" w:rsidRPr="002C6284" w:rsidRDefault="00FE6115" w:rsidP="004C18A5">
      <w:pPr>
        <w:pStyle w:val="FootnoteText"/>
        <w:suppressLineNumbers/>
        <w:suppressAutoHyphens/>
        <w:ind w:firstLine="0"/>
        <w:jc w:val="left"/>
        <w:rPr>
          <w:rFonts w:asciiTheme="majorBidi" w:hAnsiTheme="majorBidi" w:cstheme="majorBidi"/>
          <w:kern w:val="18"/>
          <w:szCs w:val="18"/>
        </w:rPr>
      </w:pPr>
      <w:r w:rsidRPr="00610646">
        <w:rPr>
          <w:rStyle w:val="FootnoteReference"/>
          <w:rFonts w:eastAsiaTheme="majorEastAsia"/>
        </w:rPr>
        <w:footnoteRef/>
      </w:r>
      <w:r w:rsidRPr="00AF09ED">
        <w:rPr>
          <w:kern w:val="18"/>
          <w:szCs w:val="18"/>
        </w:rPr>
        <w:t xml:space="preserve"> As requested by the Working Group</w:t>
      </w:r>
      <w:r w:rsidRPr="002C6284">
        <w:rPr>
          <w:kern w:val="18"/>
          <w:szCs w:val="18"/>
        </w:rPr>
        <w:t xml:space="preserve"> on Article 8(j)</w:t>
      </w:r>
      <w:r>
        <w:rPr>
          <w:kern w:val="18"/>
          <w:szCs w:val="18"/>
        </w:rPr>
        <w:t xml:space="preserve"> and Related Provisions, at its eleventh meeting</w:t>
      </w:r>
      <w:r w:rsidRPr="00AF09ED">
        <w:rPr>
          <w:kern w:val="18"/>
          <w:szCs w:val="18"/>
        </w:rPr>
        <w:t xml:space="preserve">, annex II </w:t>
      </w:r>
      <w:r>
        <w:rPr>
          <w:kern w:val="18"/>
          <w:szCs w:val="18"/>
        </w:rPr>
        <w:t>is being</w:t>
      </w:r>
      <w:r w:rsidRPr="00AF09ED">
        <w:rPr>
          <w:kern w:val="18"/>
          <w:szCs w:val="18"/>
        </w:rPr>
        <w:t xml:space="preserve"> peer reviewed and the results will be made available to the ad hoc technical expert group established by paragraph 7 of the present decision.</w:t>
      </w:r>
      <w:r>
        <w:rPr>
          <w:kern w:val="18"/>
          <w:szCs w:val="18"/>
        </w:rPr>
        <w:t xml:space="preserve"> </w:t>
      </w:r>
      <w:r w:rsidRPr="002C6284">
        <w:rPr>
          <w:rFonts w:asciiTheme="majorBidi" w:hAnsiTheme="majorBidi" w:cstheme="majorBidi"/>
          <w:kern w:val="18"/>
          <w:szCs w:val="18"/>
        </w:rPr>
        <w:t xml:space="preserve">(Notification </w:t>
      </w:r>
      <w:r w:rsidRPr="002C6284">
        <w:rPr>
          <w:rFonts w:asciiTheme="majorBidi" w:hAnsiTheme="majorBidi" w:cstheme="majorBidi"/>
          <w:spacing w:val="6"/>
          <w:shd w:val="clear" w:color="auto" w:fill="FFFFFF"/>
        </w:rPr>
        <w:t>2022-070, dated 3 November 2022)</w:t>
      </w:r>
      <w:r w:rsidR="004C18A5">
        <w:rPr>
          <w:rFonts w:asciiTheme="majorBidi" w:hAnsiTheme="majorBidi" w:cstheme="majorBidi"/>
          <w:spacing w:val="6"/>
          <w:shd w:val="clear" w:color="auto" w:fill="FFFFFF"/>
        </w:rPr>
        <w:t>.</w:t>
      </w:r>
    </w:p>
  </w:footnote>
  <w:footnote w:id="100">
    <w:p w14:paraId="14ACEFF2" w14:textId="77777777" w:rsidR="00FE6115" w:rsidRPr="00A77261" w:rsidRDefault="00FE6115" w:rsidP="004C18A5">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As of </w:t>
      </w:r>
      <w:r>
        <w:rPr>
          <w:color w:val="000000"/>
          <w:kern w:val="18"/>
          <w:sz w:val="18"/>
          <w:szCs w:val="18"/>
        </w:rPr>
        <w:t>December 2020, 46</w:t>
      </w:r>
      <w:r w:rsidRPr="00A77261">
        <w:rPr>
          <w:color w:val="000000"/>
          <w:kern w:val="18"/>
          <w:sz w:val="18"/>
          <w:szCs w:val="18"/>
        </w:rPr>
        <w:t xml:space="preserve"> national focal point </w:t>
      </w:r>
      <w:r w:rsidRPr="00076270">
        <w:rPr>
          <w:color w:val="000000"/>
          <w:kern w:val="18"/>
          <w:sz w:val="18"/>
          <w:szCs w:val="18"/>
        </w:rPr>
        <w:t>for Article 8(j) and related provisions</w:t>
      </w:r>
      <w:r w:rsidRPr="00A77261" w:rsidDel="008714B6">
        <w:rPr>
          <w:color w:val="000000"/>
          <w:kern w:val="18"/>
          <w:sz w:val="18"/>
          <w:szCs w:val="18"/>
        </w:rPr>
        <w:t xml:space="preserve"> </w:t>
      </w:r>
      <w:r>
        <w:rPr>
          <w:color w:val="000000"/>
          <w:kern w:val="18"/>
          <w:sz w:val="18"/>
          <w:szCs w:val="18"/>
        </w:rPr>
        <w:t>were</w:t>
      </w:r>
      <w:r w:rsidRPr="00A77261">
        <w:rPr>
          <w:color w:val="000000"/>
          <w:kern w:val="18"/>
          <w:sz w:val="18"/>
          <w:szCs w:val="18"/>
        </w:rPr>
        <w:t xml:space="preserve"> designated </w:t>
      </w:r>
      <w:r>
        <w:rPr>
          <w:color w:val="000000"/>
          <w:kern w:val="18"/>
          <w:sz w:val="18"/>
          <w:szCs w:val="18"/>
        </w:rPr>
        <w:t xml:space="preserve">in 42 </w:t>
      </w:r>
      <w:r w:rsidRPr="00A77261">
        <w:rPr>
          <w:color w:val="000000"/>
          <w:kern w:val="18"/>
          <w:sz w:val="18"/>
          <w:szCs w:val="18"/>
        </w:rPr>
        <w:t>countries</w:t>
      </w:r>
      <w:r>
        <w:rPr>
          <w:color w:val="000000"/>
          <w:kern w:val="18"/>
          <w:sz w:val="18"/>
          <w:szCs w:val="18"/>
        </w:rPr>
        <w:t xml:space="preserve">. </w:t>
      </w:r>
    </w:p>
  </w:footnote>
  <w:footnote w:id="101">
    <w:p w14:paraId="497DCBAA" w14:textId="77777777" w:rsidR="00FE6115" w:rsidRPr="00D23E5E" w:rsidRDefault="00FE6115" w:rsidP="004C18A5">
      <w:pPr>
        <w:pStyle w:val="FootnoteText"/>
        <w:ind w:firstLine="0"/>
        <w:rPr>
          <w:lang w:val="en-CA"/>
        </w:rPr>
      </w:pPr>
      <w:r w:rsidRPr="00610646">
        <w:rPr>
          <w:rStyle w:val="FootnoteReference"/>
        </w:rPr>
        <w:footnoteRef/>
      </w:r>
      <w:r>
        <w:t xml:space="preserve"> Free, prior and informed consent refers to the tripartite terminology of “prior and informed consent” or “free, prior and informed consent” or “approval and involvement”.</w:t>
      </w:r>
    </w:p>
  </w:footnote>
  <w:footnote w:id="102">
    <w:p w14:paraId="79FB0DCC" w14:textId="77777777" w:rsidR="00FE6115" w:rsidRPr="00D23E5E" w:rsidRDefault="00FE6115" w:rsidP="0048113D">
      <w:pPr>
        <w:pStyle w:val="FootnoteText"/>
        <w:ind w:firstLine="0"/>
        <w:rPr>
          <w:lang w:val="en-CA"/>
        </w:rPr>
      </w:pPr>
      <w:r w:rsidRPr="00610646">
        <w:rPr>
          <w:rStyle w:val="FootnoteReference"/>
        </w:rPr>
        <w:footnoteRef/>
      </w:r>
      <w:r>
        <w:t xml:space="preserve"> </w:t>
      </w:r>
      <w:r w:rsidRPr="00397840">
        <w:t>Free, prior and informed consent refers to the tripartite terminology of “prior and informed consent” or “free, prior and informed consent” or “approval and invol</w:t>
      </w:r>
      <w:r>
        <w:t>ve</w:t>
      </w:r>
      <w:r w:rsidRPr="00397840">
        <w:t>ment”</w:t>
      </w:r>
    </w:p>
  </w:footnote>
  <w:footnote w:id="103">
    <w:p w14:paraId="2F4D5188" w14:textId="77777777" w:rsidR="00FE6115" w:rsidRPr="00A77261" w:rsidRDefault="00FE6115" w:rsidP="00190177">
      <w:pPr>
        <w:pStyle w:val="FootnoteText"/>
        <w:suppressLineNumbers/>
        <w:suppressAutoHyphens/>
        <w:ind w:firstLine="0"/>
        <w:jc w:val="left"/>
        <w:rPr>
          <w:kern w:val="18"/>
          <w:szCs w:val="18"/>
        </w:rPr>
      </w:pPr>
      <w:r w:rsidRPr="00610646">
        <w:rPr>
          <w:rStyle w:val="FootnoteReference"/>
          <w:rFonts w:eastAsiaTheme="majorEastAsia"/>
        </w:rPr>
        <w:footnoteRef/>
      </w:r>
      <w:r w:rsidRPr="00A77261">
        <w:rPr>
          <w:kern w:val="18"/>
          <w:szCs w:val="18"/>
        </w:rPr>
        <w:t xml:space="preserve"> The adopted indicators for traditional knowledge are: trends in land-use change and land tenure in the traditional territories of indigenous and local communities (decision X/43); trends in linguistic diversity and numbers of speakers of indigenous languages (decisions VII/30 and VIII/15); trends in the practice of traditional occupations (decision X/43); trends in which traditional knowledge and practices are respected through their full integration, safeguards and full and effective participation of indigenous and local communities in the national implementation of the Strategic Plan.</w:t>
      </w:r>
    </w:p>
  </w:footnote>
  <w:footnote w:id="104">
    <w:p w14:paraId="443DA326" w14:textId="77777777" w:rsidR="00FE6115" w:rsidRPr="001F547A" w:rsidRDefault="00FE6115" w:rsidP="002C6284">
      <w:pPr>
        <w:pStyle w:val="FootnoteText"/>
        <w:ind w:firstLine="0"/>
      </w:pPr>
      <w:r w:rsidRPr="00610646">
        <w:rPr>
          <w:rStyle w:val="FootnoteReference"/>
        </w:rPr>
        <w:footnoteRef/>
      </w:r>
      <w:r>
        <w:t xml:space="preserve"> </w:t>
      </w:r>
      <w:r w:rsidRPr="007E7596">
        <w:t>Decision 15/22.</w:t>
      </w:r>
    </w:p>
  </w:footnote>
  <w:footnote w:id="105">
    <w:p w14:paraId="0BA8D35B" w14:textId="77777777" w:rsidR="00FE6115" w:rsidRPr="00A77261" w:rsidRDefault="00FE6115" w:rsidP="00190177">
      <w:pPr>
        <w:pStyle w:val="FootnoteText"/>
        <w:suppressLineNumbers/>
        <w:suppressAutoHyphens/>
        <w:ind w:firstLine="0"/>
        <w:jc w:val="left"/>
        <w:rPr>
          <w:kern w:val="18"/>
          <w:szCs w:val="18"/>
        </w:rPr>
      </w:pPr>
      <w:r w:rsidRPr="00610646">
        <w:rPr>
          <w:rStyle w:val="FootnoteReference"/>
          <w:rFonts w:eastAsiaTheme="majorEastAsia"/>
        </w:rPr>
        <w:footnoteRef/>
      </w:r>
      <w:r w:rsidRPr="00A77261">
        <w:rPr>
          <w:kern w:val="18"/>
          <w:szCs w:val="18"/>
        </w:rPr>
        <w:t xml:space="preserve"> References to “land” include both lands and waters traditionally occupied or used by indigenous peoples and local communities.</w:t>
      </w:r>
    </w:p>
  </w:footnote>
  <w:footnote w:id="106">
    <w:p w14:paraId="66C108C6" w14:textId="77777777" w:rsidR="00FE6115" w:rsidRPr="002C6284" w:rsidRDefault="00FE6115" w:rsidP="002C6284">
      <w:pPr>
        <w:pStyle w:val="FootnoteText"/>
        <w:ind w:firstLine="0"/>
        <w:rPr>
          <w:kern w:val="22"/>
          <w:szCs w:val="18"/>
        </w:rPr>
      </w:pPr>
      <w:r w:rsidRPr="00610646">
        <w:rPr>
          <w:rStyle w:val="FootnoteReference"/>
        </w:rPr>
        <w:footnoteRef/>
      </w:r>
      <w:r>
        <w:rPr>
          <w:szCs w:val="18"/>
        </w:rPr>
        <w:t xml:space="preserve"> The Secretariat of the </w:t>
      </w:r>
      <w:r w:rsidRPr="002C6284">
        <w:rPr>
          <w:kern w:val="22"/>
          <w:szCs w:val="18"/>
        </w:rPr>
        <w:t xml:space="preserve">Convention on Biological Diversity, the United Nations Educational, Scientific and Cultural Organization, </w:t>
      </w:r>
      <w:r>
        <w:rPr>
          <w:kern w:val="22"/>
          <w:szCs w:val="18"/>
        </w:rPr>
        <w:t xml:space="preserve">the </w:t>
      </w:r>
      <w:r w:rsidRPr="002C6284">
        <w:rPr>
          <w:kern w:val="22"/>
          <w:szCs w:val="18"/>
        </w:rPr>
        <w:t>International Union for Conservation of Nature and partners.</w:t>
      </w:r>
      <w:r>
        <w:rPr>
          <w:kern w:val="22"/>
          <w:szCs w:val="18"/>
        </w:rPr>
        <w:t xml:space="preserve"> See decision 15/22.</w:t>
      </w:r>
    </w:p>
  </w:footnote>
  <w:footnote w:id="107">
    <w:p w14:paraId="167A6F0C" w14:textId="65D0D0F9" w:rsidR="00FE6115" w:rsidRPr="00A77261" w:rsidRDefault="00FE6115" w:rsidP="00490108">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Adopted in </w:t>
      </w:r>
      <w:hyperlink r:id="rId24" w:history="1">
        <w:r w:rsidRPr="00A77261">
          <w:rPr>
            <w:color w:val="1155CC"/>
            <w:kern w:val="18"/>
            <w:sz w:val="18"/>
            <w:szCs w:val="18"/>
            <w:u w:val="single"/>
          </w:rPr>
          <w:t>d</w:t>
        </w:r>
      </w:hyperlink>
      <w:hyperlink r:id="rId25" w:history="1">
        <w:r w:rsidRPr="00A77261">
          <w:rPr>
            <w:color w:val="1155CC"/>
            <w:kern w:val="18"/>
            <w:sz w:val="18"/>
            <w:szCs w:val="18"/>
            <w:u w:val="single"/>
          </w:rPr>
          <w:t>ecision VII/16</w:t>
        </w:r>
      </w:hyperlink>
      <w:r w:rsidRPr="00A77261">
        <w:rPr>
          <w:color w:val="000000"/>
          <w:kern w:val="18"/>
          <w:sz w:val="18"/>
          <w:szCs w:val="18"/>
        </w:rPr>
        <w:t>.</w:t>
      </w:r>
    </w:p>
  </w:footnote>
  <w:footnote w:id="108">
    <w:p w14:paraId="7202CE09" w14:textId="57D49776" w:rsidR="00FE6115" w:rsidRPr="00A77261" w:rsidRDefault="00FE6115" w:rsidP="00490108">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Adopted in </w:t>
      </w:r>
      <w:hyperlink r:id="rId26" w:history="1">
        <w:r w:rsidRPr="00A77261">
          <w:rPr>
            <w:color w:val="1155CC"/>
            <w:kern w:val="18"/>
            <w:sz w:val="18"/>
            <w:szCs w:val="18"/>
            <w:u w:val="single"/>
          </w:rPr>
          <w:t>d</w:t>
        </w:r>
      </w:hyperlink>
      <w:hyperlink r:id="rId27" w:history="1">
        <w:r w:rsidRPr="00A77261">
          <w:rPr>
            <w:color w:val="1155CC"/>
            <w:kern w:val="18"/>
            <w:sz w:val="18"/>
            <w:szCs w:val="18"/>
            <w:u w:val="single"/>
          </w:rPr>
          <w:t>eci</w:t>
        </w:r>
      </w:hyperlink>
      <w:hyperlink r:id="rId28" w:history="1">
        <w:r w:rsidRPr="00A77261">
          <w:rPr>
            <w:color w:val="1155CC"/>
            <w:kern w:val="18"/>
            <w:sz w:val="18"/>
            <w:szCs w:val="18"/>
            <w:u w:val="single"/>
          </w:rPr>
          <w:t>sion X/42</w:t>
        </w:r>
      </w:hyperlink>
      <w:r w:rsidRPr="00A77261">
        <w:rPr>
          <w:color w:val="000000"/>
          <w:kern w:val="18"/>
          <w:sz w:val="18"/>
          <w:szCs w:val="18"/>
        </w:rPr>
        <w:t>.</w:t>
      </w:r>
    </w:p>
  </w:footnote>
  <w:footnote w:id="109">
    <w:p w14:paraId="70A735B0" w14:textId="7C5274AD" w:rsidR="00FE6115" w:rsidRPr="00A77261" w:rsidRDefault="00FE6115" w:rsidP="00490108">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Adopted in </w:t>
      </w:r>
      <w:hyperlink r:id="rId29" w:history="1">
        <w:r w:rsidRPr="00A77261">
          <w:rPr>
            <w:kern w:val="18"/>
            <w:sz w:val="18"/>
            <w:szCs w:val="18"/>
          </w:rPr>
          <w:t>d</w:t>
        </w:r>
      </w:hyperlink>
      <w:hyperlink r:id="rId30" w:history="1">
        <w:r w:rsidRPr="00A77261">
          <w:rPr>
            <w:kern w:val="18"/>
            <w:sz w:val="18"/>
            <w:szCs w:val="18"/>
          </w:rPr>
          <w:t>ecision XII/12</w:t>
        </w:r>
      </w:hyperlink>
      <w:hyperlink r:id="rId31" w:history="1">
        <w:r w:rsidRPr="00A77261">
          <w:rPr>
            <w:color w:val="1155CC"/>
            <w:kern w:val="18"/>
            <w:sz w:val="18"/>
            <w:szCs w:val="18"/>
            <w:u w:val="single"/>
          </w:rPr>
          <w:t xml:space="preserve"> B</w:t>
        </w:r>
      </w:hyperlink>
      <w:r w:rsidRPr="00A77261">
        <w:rPr>
          <w:color w:val="000000"/>
          <w:kern w:val="18"/>
          <w:sz w:val="18"/>
          <w:szCs w:val="18"/>
        </w:rPr>
        <w:t>, contained in the annex.</w:t>
      </w:r>
    </w:p>
  </w:footnote>
  <w:footnote w:id="110">
    <w:p w14:paraId="59C39C0B" w14:textId="77777777" w:rsidR="00FE6115" w:rsidRPr="00A77261" w:rsidRDefault="00FE6115" w:rsidP="00490108">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Meaning “roots of life” in the Mayan language.</w:t>
      </w:r>
    </w:p>
  </w:footnote>
  <w:footnote w:id="111">
    <w:p w14:paraId="40463C9F" w14:textId="5711585B" w:rsidR="00FE6115" w:rsidRPr="00A77261" w:rsidRDefault="00FE6115" w:rsidP="00490108">
      <w:pPr>
        <w:keepLines/>
        <w:suppressLineNumbers/>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The use and interpretation of the term “indigenous peoples and local communities” in these Guidelines should refer to </w:t>
      </w:r>
      <w:hyperlink r:id="rId32" w:history="1">
        <w:r w:rsidRPr="00A77261">
          <w:rPr>
            <w:color w:val="1155CC"/>
            <w:kern w:val="18"/>
            <w:sz w:val="18"/>
            <w:szCs w:val="18"/>
            <w:u w:val="single"/>
          </w:rPr>
          <w:t>decision XII/12 F</w:t>
        </w:r>
      </w:hyperlink>
      <w:r w:rsidRPr="00A77261">
        <w:rPr>
          <w:color w:val="000000"/>
          <w:kern w:val="18"/>
          <w:sz w:val="18"/>
          <w:szCs w:val="18"/>
        </w:rPr>
        <w:t>, paragraphs 2 (a), (b) and (c).</w:t>
      </w:r>
    </w:p>
  </w:footnote>
  <w:footnote w:id="112">
    <w:p w14:paraId="61906571" w14:textId="6579198A" w:rsidR="00FE6115" w:rsidRPr="00A77261" w:rsidRDefault="00FE6115" w:rsidP="00490108">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Adopted in </w:t>
      </w:r>
      <w:hyperlink r:id="rId33" w:history="1">
        <w:r w:rsidRPr="00A77261">
          <w:rPr>
            <w:color w:val="1155CC"/>
            <w:kern w:val="18"/>
            <w:sz w:val="18"/>
            <w:szCs w:val="18"/>
            <w:u w:val="single"/>
          </w:rPr>
          <w:t>d</w:t>
        </w:r>
      </w:hyperlink>
      <w:hyperlink r:id="rId34" w:history="1">
        <w:r w:rsidRPr="00A77261">
          <w:rPr>
            <w:color w:val="1155CC"/>
            <w:kern w:val="18"/>
            <w:sz w:val="18"/>
            <w:szCs w:val="18"/>
            <w:u w:val="single"/>
          </w:rPr>
          <w:t>ecision XIII/18</w:t>
        </w:r>
      </w:hyperlink>
      <w:r w:rsidRPr="00A77261">
        <w:rPr>
          <w:color w:val="000000"/>
          <w:kern w:val="18"/>
          <w:sz w:val="18"/>
          <w:szCs w:val="18"/>
        </w:rPr>
        <w:t xml:space="preserve">. </w:t>
      </w:r>
      <w:r w:rsidRPr="00A77261">
        <w:rPr>
          <w:kern w:val="18"/>
          <w:sz w:val="18"/>
          <w:szCs w:val="18"/>
        </w:rPr>
        <w:t>The adoption of the Mo’otz kuxtal voluntary Guidelines has also advanced the work being pursued by the Working Group on</w:t>
      </w:r>
      <w:r w:rsidRPr="00A77261">
        <w:rPr>
          <w:color w:val="000000"/>
          <w:kern w:val="18"/>
          <w:sz w:val="18"/>
          <w:szCs w:val="18"/>
        </w:rPr>
        <w:t xml:space="preserve"> </w:t>
      </w:r>
      <w:r w:rsidRPr="00A77261">
        <w:rPr>
          <w:i/>
          <w:color w:val="000000"/>
          <w:kern w:val="18"/>
          <w:sz w:val="18"/>
          <w:szCs w:val="18"/>
        </w:rPr>
        <w:t>sui generis</w:t>
      </w:r>
      <w:r w:rsidRPr="00A77261">
        <w:rPr>
          <w:color w:val="000000"/>
          <w:kern w:val="18"/>
          <w:sz w:val="18"/>
          <w:szCs w:val="18"/>
        </w:rPr>
        <w:t xml:space="preserve"> systems for the protection of traditional knowledge, innovations and practices of indigenous peoples and local communities by highlighting the potential role of community protocols and procedures for access to traditional knowledge.</w:t>
      </w:r>
    </w:p>
  </w:footnote>
  <w:footnote w:id="113">
    <w:p w14:paraId="7B909D67" w14:textId="77777777" w:rsidR="00FE6115" w:rsidRPr="00A77261" w:rsidRDefault="00FE6115" w:rsidP="00490108">
      <w:pPr>
        <w:keepLines/>
        <w:suppressLineNumbers/>
        <w:pBdr>
          <w:top w:val="nil"/>
          <w:left w:val="nil"/>
          <w:bottom w:val="nil"/>
          <w:right w:val="nil"/>
          <w:between w:val="nil"/>
        </w:pBdr>
        <w:suppressAutoHyphens/>
        <w:jc w:val="left"/>
        <w:rPr>
          <w:color w:val="000000"/>
          <w:kern w:val="18"/>
          <w:sz w:val="18"/>
          <w:szCs w:val="18"/>
        </w:rPr>
      </w:pPr>
      <w:r w:rsidRPr="00610646">
        <w:rPr>
          <w:rStyle w:val="FootnoteReference"/>
          <w:rFonts w:eastAsiaTheme="majorEastAsia"/>
        </w:rPr>
        <w:footnoteRef/>
      </w:r>
      <w:r w:rsidRPr="00A77261">
        <w:rPr>
          <w:color w:val="000000"/>
          <w:kern w:val="18"/>
          <w:sz w:val="18"/>
          <w:szCs w:val="18"/>
        </w:rPr>
        <w:t xml:space="preserve"> Adopted in decision 14/2.</w:t>
      </w:r>
    </w:p>
  </w:footnote>
  <w:footnote w:id="114">
    <w:p w14:paraId="75F37432" w14:textId="77777777" w:rsidR="00FE6115" w:rsidRPr="0054393A" w:rsidRDefault="00FE6115" w:rsidP="00190177">
      <w:pPr>
        <w:pStyle w:val="FootnoteText"/>
        <w:suppressLineNumbers/>
        <w:suppressAutoHyphens/>
        <w:ind w:firstLine="0"/>
        <w:jc w:val="left"/>
        <w:rPr>
          <w:kern w:val="18"/>
          <w:szCs w:val="18"/>
        </w:rPr>
      </w:pPr>
      <w:r w:rsidRPr="00610646">
        <w:rPr>
          <w:rStyle w:val="FootnoteReference"/>
          <w:rFonts w:eastAsiaTheme="majorEastAsia"/>
        </w:rPr>
        <w:footnoteRef/>
      </w:r>
      <w:r w:rsidRPr="0054393A">
        <w:rPr>
          <w:kern w:val="18"/>
          <w:szCs w:val="18"/>
        </w:rPr>
        <w:t xml:space="preserve"> See decision XII/7.</w:t>
      </w:r>
    </w:p>
  </w:footnote>
  <w:footnote w:id="115">
    <w:p w14:paraId="17BDA511" w14:textId="77777777" w:rsidR="00FE6115" w:rsidRPr="0054393A" w:rsidRDefault="00FE6115" w:rsidP="00190177">
      <w:pPr>
        <w:pStyle w:val="FootnoteText"/>
        <w:suppressLineNumbers/>
        <w:suppressAutoHyphens/>
        <w:ind w:firstLine="0"/>
        <w:jc w:val="left"/>
        <w:rPr>
          <w:kern w:val="18"/>
          <w:szCs w:val="18"/>
        </w:rPr>
      </w:pPr>
      <w:r w:rsidRPr="00610646">
        <w:rPr>
          <w:rStyle w:val="FootnoteReference"/>
          <w:rFonts w:eastAsiaTheme="majorEastAsia"/>
        </w:rPr>
        <w:footnoteRef/>
      </w:r>
      <w:r w:rsidRPr="0054393A">
        <w:rPr>
          <w:kern w:val="18"/>
          <w:szCs w:val="18"/>
        </w:rPr>
        <w:t xml:space="preserve"> References to “traditional tenure” include lands and waters.</w:t>
      </w:r>
    </w:p>
  </w:footnote>
  <w:footnote w:id="116">
    <w:p w14:paraId="61723D3D" w14:textId="6EB39FCE" w:rsidR="00FE6115" w:rsidRPr="0054393A" w:rsidRDefault="00FE6115" w:rsidP="00190177">
      <w:pPr>
        <w:keepLines/>
        <w:suppressLineNumbers/>
        <w:suppressAutoHyphens/>
        <w:spacing w:after="60"/>
        <w:jc w:val="left"/>
        <w:rPr>
          <w:kern w:val="18"/>
          <w:sz w:val="18"/>
          <w:szCs w:val="18"/>
        </w:rPr>
      </w:pPr>
      <w:r w:rsidRPr="00610646">
        <w:rPr>
          <w:rStyle w:val="FootnoteReference"/>
        </w:rPr>
        <w:footnoteRef/>
      </w:r>
      <w:r w:rsidRPr="0054393A">
        <w:rPr>
          <w:kern w:val="18"/>
          <w:sz w:val="18"/>
          <w:szCs w:val="18"/>
        </w:rPr>
        <w:t xml:space="preserve"> See Office of the United Nations High Commissioner for Human Rights: </w:t>
      </w:r>
      <w:hyperlink r:id="rId35" w:history="1">
        <w:r w:rsidRPr="0054393A">
          <w:rPr>
            <w:rStyle w:val="Hyperlink"/>
            <w:kern w:val="18"/>
            <w:szCs w:val="18"/>
          </w:rPr>
          <w:t>https://www.ohchr.org/EN/HRBodies/CERD/Pages/EarlyWarningProcedure.aspx</w:t>
        </w:r>
      </w:hyperlink>
    </w:p>
  </w:footnote>
  <w:footnote w:id="117">
    <w:p w14:paraId="76A4329C" w14:textId="77777777" w:rsidR="00FE6115" w:rsidRPr="0054393A" w:rsidRDefault="00FE6115" w:rsidP="00190177">
      <w:pPr>
        <w:pStyle w:val="FootnoteText"/>
        <w:suppressLineNumbers/>
        <w:suppressAutoHyphens/>
        <w:ind w:firstLine="0"/>
        <w:jc w:val="left"/>
        <w:rPr>
          <w:kern w:val="18"/>
          <w:szCs w:val="18"/>
        </w:rPr>
      </w:pPr>
      <w:r w:rsidRPr="00610646">
        <w:rPr>
          <w:rStyle w:val="FootnoteReference"/>
          <w:rFonts w:eastAsiaTheme="majorEastAsia"/>
        </w:rPr>
        <w:footnoteRef/>
      </w:r>
      <w:r w:rsidRPr="0054393A">
        <w:rPr>
          <w:kern w:val="18"/>
          <w:szCs w:val="18"/>
        </w:rPr>
        <w:t xml:space="preserve"> List of adopted guidelines and standards.</w:t>
      </w:r>
    </w:p>
  </w:footnote>
  <w:footnote w:id="118">
    <w:p w14:paraId="26A9FDA9" w14:textId="77777777" w:rsidR="00FE6115" w:rsidRPr="00864F18" w:rsidRDefault="00FE6115" w:rsidP="005A6654">
      <w:pPr>
        <w:pStyle w:val="FootnoteText"/>
        <w:ind w:firstLine="0"/>
      </w:pPr>
      <w:r w:rsidRPr="00610646">
        <w:rPr>
          <w:rStyle w:val="FootnoteReference"/>
        </w:rPr>
        <w:footnoteRef/>
      </w:r>
      <w:r>
        <w:t xml:space="preserve"> Decision 15/4, annex.</w:t>
      </w:r>
    </w:p>
  </w:footnote>
  <w:footnote w:id="119">
    <w:p w14:paraId="6274F1D1" w14:textId="77777777" w:rsidR="00FE6115" w:rsidRPr="00A45860" w:rsidRDefault="00FE6115" w:rsidP="00265970">
      <w:pPr>
        <w:pStyle w:val="FootnoteText"/>
        <w:suppressLineNumbers/>
        <w:suppressAutoHyphens/>
        <w:kinsoku w:val="0"/>
        <w:overflowPunct w:val="0"/>
        <w:autoSpaceDE w:val="0"/>
        <w:autoSpaceDN w:val="0"/>
        <w:ind w:firstLine="0"/>
        <w:rPr>
          <w:kern w:val="18"/>
        </w:rPr>
      </w:pPr>
      <w:r w:rsidRPr="00610646">
        <w:rPr>
          <w:rStyle w:val="FootnoteReference"/>
        </w:rPr>
        <w:footnoteRef/>
      </w:r>
      <w:r w:rsidRPr="00A45860">
        <w:rPr>
          <w:kern w:val="18"/>
        </w:rPr>
        <w:t xml:space="preserve"> These </w:t>
      </w:r>
      <w:r>
        <w:rPr>
          <w:kern w:val="18"/>
        </w:rPr>
        <w:t>modalities</w:t>
      </w:r>
      <w:r w:rsidRPr="00A45860">
        <w:rPr>
          <w:kern w:val="18"/>
        </w:rPr>
        <w:t xml:space="preserve"> are put forward as measures to ensure the effective implementation of the </w:t>
      </w:r>
      <w:r>
        <w:rPr>
          <w:kern w:val="18"/>
        </w:rPr>
        <w:t>G</w:t>
      </w:r>
      <w:r w:rsidRPr="00A45860">
        <w:rPr>
          <w:kern w:val="18"/>
        </w:rPr>
        <w:t xml:space="preserve">ender </w:t>
      </w:r>
      <w:r>
        <w:rPr>
          <w:kern w:val="18"/>
        </w:rPr>
        <w:t>P</w:t>
      </w:r>
      <w:r w:rsidRPr="00A45860">
        <w:rPr>
          <w:kern w:val="18"/>
        </w:rPr>
        <w:t xml:space="preserve">lan of </w:t>
      </w:r>
      <w:r>
        <w:rPr>
          <w:kern w:val="18"/>
        </w:rPr>
        <w:t>A</w:t>
      </w:r>
      <w:r w:rsidRPr="00A45860">
        <w:rPr>
          <w:kern w:val="18"/>
        </w:rPr>
        <w:t xml:space="preserve">ction. As the </w:t>
      </w:r>
      <w:r>
        <w:rPr>
          <w:kern w:val="18"/>
        </w:rPr>
        <w:t>P</w:t>
      </w:r>
      <w:r w:rsidRPr="00A45860">
        <w:rPr>
          <w:kern w:val="18"/>
        </w:rPr>
        <w:t xml:space="preserve">lan is intended to enable the gender-responsive implementation of the </w:t>
      </w:r>
      <w:r>
        <w:rPr>
          <w:kern w:val="22"/>
          <w:szCs w:val="22"/>
        </w:rPr>
        <w:t>Kunming-Montreal</w:t>
      </w:r>
      <w:r w:rsidRPr="006A227D">
        <w:rPr>
          <w:kern w:val="22"/>
          <w:sz w:val="22"/>
          <w:szCs w:val="22"/>
        </w:rPr>
        <w:t xml:space="preserve"> </w:t>
      </w:r>
      <w:r>
        <w:rPr>
          <w:kern w:val="18"/>
        </w:rPr>
        <w:t>G</w:t>
      </w:r>
      <w:r w:rsidRPr="00A45860">
        <w:rPr>
          <w:kern w:val="18"/>
        </w:rPr>
        <w:t xml:space="preserve">lobal </w:t>
      </w:r>
      <w:r>
        <w:rPr>
          <w:kern w:val="18"/>
        </w:rPr>
        <w:t>B</w:t>
      </w:r>
      <w:r w:rsidRPr="00A45860">
        <w:rPr>
          <w:kern w:val="18"/>
        </w:rPr>
        <w:t xml:space="preserve">iodiversity </w:t>
      </w:r>
      <w:r>
        <w:rPr>
          <w:kern w:val="18"/>
        </w:rPr>
        <w:t>F</w:t>
      </w:r>
      <w:r w:rsidRPr="00A45860">
        <w:rPr>
          <w:kern w:val="18"/>
        </w:rPr>
        <w:t xml:space="preserve">ramework, the </w:t>
      </w:r>
      <w:r>
        <w:rPr>
          <w:kern w:val="18"/>
        </w:rPr>
        <w:t>modalities</w:t>
      </w:r>
      <w:r w:rsidRPr="00A45860">
        <w:rPr>
          <w:kern w:val="18"/>
        </w:rPr>
        <w:t xml:space="preserve"> put forward may also be considered relevant to the implementation of the </w:t>
      </w:r>
      <w:r>
        <w:rPr>
          <w:kern w:val="18"/>
        </w:rPr>
        <w:t>F</w:t>
      </w:r>
      <w:r w:rsidRPr="00A45860">
        <w:rPr>
          <w:kern w:val="18"/>
        </w:rPr>
        <w:t>ramework.</w:t>
      </w:r>
    </w:p>
  </w:footnote>
  <w:footnote w:id="120">
    <w:p w14:paraId="3B6DCC52" w14:textId="77777777" w:rsidR="00FE6115" w:rsidRPr="0000011D" w:rsidRDefault="00FE6115" w:rsidP="00737611">
      <w:pPr>
        <w:pStyle w:val="FootnoteText"/>
        <w:ind w:firstLine="0"/>
        <w:rPr>
          <w:kern w:val="18"/>
        </w:rPr>
      </w:pPr>
      <w:r w:rsidRPr="00610646">
        <w:rPr>
          <w:rStyle w:val="FootnoteReference"/>
        </w:rPr>
        <w:footnoteRef/>
      </w:r>
      <w:r w:rsidRPr="0000011D">
        <w:rPr>
          <w:kern w:val="18"/>
        </w:rPr>
        <w:t xml:space="preserve"> CBD/SBI/3/INF/41</w:t>
      </w:r>
      <w:r>
        <w:rPr>
          <w:kern w:val="18"/>
        </w:rPr>
        <w:t>.</w:t>
      </w:r>
    </w:p>
  </w:footnote>
  <w:footnote w:id="121">
    <w:p w14:paraId="5A9AD70B" w14:textId="7E7237F1" w:rsidR="00745C34" w:rsidRPr="00745C34" w:rsidRDefault="00745C34" w:rsidP="00FF1A84">
      <w:pPr>
        <w:pStyle w:val="FootnoteText"/>
        <w:ind w:firstLine="0"/>
        <w:rPr>
          <w:lang w:val="en-US"/>
        </w:rPr>
      </w:pPr>
      <w:r w:rsidRPr="00B72140">
        <w:rPr>
          <w:rStyle w:val="FootnoteReference"/>
        </w:rPr>
        <w:t>4</w:t>
      </w:r>
      <w:r w:rsidRPr="00B72140">
        <w:t xml:space="preserve"> </w:t>
      </w:r>
      <w:r w:rsidR="00FF1A84" w:rsidRPr="00B72140">
        <w:rPr>
          <w:lang w:val="en-US"/>
        </w:rPr>
        <w:t>As per decision 15/5 on the monitoring framework for the Kunming-Montreal Global Biodiversity Framework.</w:t>
      </w:r>
    </w:p>
  </w:footnote>
  <w:footnote w:id="122">
    <w:p w14:paraId="2F3C6A94" w14:textId="77777777" w:rsidR="0094446B" w:rsidRPr="007B1C3F" w:rsidRDefault="0094446B" w:rsidP="006300C8">
      <w:pPr>
        <w:pStyle w:val="FootnoteText"/>
        <w:ind w:firstLine="0"/>
        <w:rPr>
          <w:lang w:val="en-CA"/>
        </w:rPr>
      </w:pPr>
      <w:r w:rsidRPr="00610646">
        <w:rPr>
          <w:rStyle w:val="FootnoteReference"/>
        </w:rPr>
        <w:footnoteRef/>
      </w:r>
      <w:r w:rsidRPr="007B1C3F">
        <w:rPr>
          <w:lang w:val="en-CA"/>
        </w:rPr>
        <w:t xml:space="preserve"> Decision X/22</w:t>
      </w:r>
      <w:r>
        <w:rPr>
          <w:lang w:val="en-CA"/>
        </w:rPr>
        <w:t>.</w:t>
      </w:r>
    </w:p>
  </w:footnote>
  <w:footnote w:id="123">
    <w:p w14:paraId="3BD17CB8" w14:textId="77777777" w:rsidR="0094446B" w:rsidRPr="00326E07" w:rsidRDefault="0094446B" w:rsidP="006300C8">
      <w:pPr>
        <w:pStyle w:val="FootnoteText"/>
        <w:ind w:firstLine="0"/>
      </w:pPr>
      <w:r w:rsidRPr="00610646">
        <w:rPr>
          <w:rStyle w:val="FootnoteReference"/>
        </w:rPr>
        <w:footnoteRef/>
      </w:r>
      <w:r>
        <w:t xml:space="preserve"> Decision V/6, annex.</w:t>
      </w:r>
    </w:p>
  </w:footnote>
  <w:footnote w:id="124">
    <w:p w14:paraId="6EAA6739" w14:textId="77777777" w:rsidR="0094446B" w:rsidRPr="00F800F5" w:rsidRDefault="0094446B" w:rsidP="006300C8">
      <w:pPr>
        <w:pStyle w:val="FootnoteText"/>
        <w:ind w:firstLine="0"/>
        <w:jc w:val="left"/>
        <w:rPr>
          <w:kern w:val="18"/>
          <w:szCs w:val="18"/>
        </w:rPr>
      </w:pPr>
      <w:r w:rsidRPr="00610646">
        <w:rPr>
          <w:rStyle w:val="FootnoteReference"/>
        </w:rPr>
        <w:footnoteRef/>
      </w:r>
      <w:r w:rsidRPr="00F800F5">
        <w:rPr>
          <w:kern w:val="18"/>
          <w:szCs w:val="18"/>
        </w:rPr>
        <w:t xml:space="preserve"> Principle 2 of the ecosystem approach, adopted in decision </w:t>
      </w:r>
      <w:r w:rsidRPr="005E2D95">
        <w:t>V/6</w:t>
      </w:r>
      <w:r>
        <w:t>, annex</w:t>
      </w:r>
      <w:r w:rsidRPr="00F800F5">
        <w:rPr>
          <w:kern w:val="18"/>
          <w:szCs w:val="18"/>
        </w:rPr>
        <w:t>, is “Management should be decentralized to the lowest appropriate level.”</w:t>
      </w:r>
    </w:p>
  </w:footnote>
  <w:footnote w:id="125">
    <w:p w14:paraId="1A46E162" w14:textId="77777777" w:rsidR="0094446B" w:rsidRPr="00F800F5" w:rsidRDefault="0094446B" w:rsidP="00F854FF">
      <w:pPr>
        <w:pStyle w:val="FootnoteText"/>
        <w:ind w:firstLine="0"/>
        <w:jc w:val="left"/>
        <w:rPr>
          <w:kern w:val="18"/>
          <w:szCs w:val="18"/>
        </w:rPr>
      </w:pPr>
      <w:r w:rsidRPr="00610646">
        <w:rPr>
          <w:rStyle w:val="FootnoteReference"/>
        </w:rPr>
        <w:footnoteRef/>
      </w:r>
      <w:r w:rsidRPr="00F800F5">
        <w:rPr>
          <w:kern w:val="18"/>
          <w:szCs w:val="18"/>
        </w:rPr>
        <w:t xml:space="preserve"> This updated plan of action builds on the</w:t>
      </w:r>
      <w:r w:rsidRPr="008123B7">
        <w:rPr>
          <w:rFonts w:asciiTheme="majorBidi" w:hAnsiTheme="majorBidi" w:cstheme="majorBidi"/>
          <w:i/>
          <w:szCs w:val="18"/>
        </w:rPr>
        <w:t xml:space="preserve"> </w:t>
      </w:r>
      <w:r w:rsidRPr="008123B7">
        <w:rPr>
          <w:rFonts w:asciiTheme="majorBidi" w:hAnsiTheme="majorBidi" w:cstheme="majorBidi"/>
          <w:szCs w:val="18"/>
        </w:rPr>
        <w:t xml:space="preserve">Plan of Action on Subnational Governments, Cities and Other Local Authorities for </w:t>
      </w:r>
      <w:r w:rsidRPr="008123B7">
        <w:rPr>
          <w:szCs w:val="18"/>
        </w:rPr>
        <w:t>Biodiversity</w:t>
      </w:r>
      <w:r>
        <w:rPr>
          <w:szCs w:val="18"/>
        </w:rPr>
        <w:t xml:space="preserve"> (2011</w:t>
      </w:r>
      <w:r w:rsidRPr="008123B7">
        <w:rPr>
          <w:kern w:val="22"/>
          <w:szCs w:val="18"/>
        </w:rPr>
        <w:t>–</w:t>
      </w:r>
      <w:r>
        <w:rPr>
          <w:szCs w:val="18"/>
        </w:rPr>
        <w:t xml:space="preserve">2020) </w:t>
      </w:r>
      <w:r>
        <w:rPr>
          <w:kern w:val="18"/>
          <w:szCs w:val="18"/>
        </w:rPr>
        <w:t>endorsed</w:t>
      </w:r>
      <w:r w:rsidRPr="00F800F5">
        <w:rPr>
          <w:kern w:val="18"/>
          <w:szCs w:val="18"/>
        </w:rPr>
        <w:t xml:space="preserve"> in decision X/22</w:t>
      </w:r>
      <w:r>
        <w:rPr>
          <w:kern w:val="18"/>
          <w:szCs w:val="18"/>
        </w:rPr>
        <w:t>, annex</w:t>
      </w:r>
      <w:r w:rsidRPr="00F800F5">
        <w:rPr>
          <w:kern w:val="18"/>
          <w:szCs w:val="18"/>
        </w:rPr>
        <w:t>.</w:t>
      </w:r>
    </w:p>
  </w:footnote>
  <w:footnote w:id="126">
    <w:p w14:paraId="2C4120D4" w14:textId="5637D995" w:rsidR="0094446B" w:rsidRPr="00F800F5" w:rsidRDefault="0094446B" w:rsidP="00951193">
      <w:pPr>
        <w:pStyle w:val="FootnoteText"/>
        <w:ind w:firstLine="0"/>
        <w:jc w:val="left"/>
        <w:rPr>
          <w:kern w:val="18"/>
          <w:szCs w:val="18"/>
        </w:rPr>
      </w:pPr>
      <w:r w:rsidRPr="00610646">
        <w:rPr>
          <w:rStyle w:val="FootnoteReference"/>
        </w:rPr>
        <w:footnoteRef/>
      </w:r>
      <w:r w:rsidRPr="00A057EC">
        <w:rPr>
          <w:kern w:val="18"/>
          <w:szCs w:val="18"/>
        </w:rPr>
        <w:t xml:space="preserve"> Referred to in paragraph 7 of the Plan of Action </w:t>
      </w:r>
      <w:r>
        <w:rPr>
          <w:kern w:val="18"/>
          <w:szCs w:val="18"/>
        </w:rPr>
        <w:t>on Subnational Governments, Cities and Other Local Authorities for Biodiversity (2011-2020) endorsed</w:t>
      </w:r>
      <w:r w:rsidRPr="00A057EC">
        <w:rPr>
          <w:kern w:val="18"/>
          <w:szCs w:val="18"/>
        </w:rPr>
        <w:t xml:space="preserve"> in decision X/22</w:t>
      </w:r>
      <w:r>
        <w:rPr>
          <w:kern w:val="18"/>
          <w:szCs w:val="18"/>
        </w:rPr>
        <w:t xml:space="preserve">, </w:t>
      </w:r>
      <w:r w:rsidRPr="00CA5C2C">
        <w:rPr>
          <w:kern w:val="18"/>
          <w:szCs w:val="18"/>
        </w:rPr>
        <w:t xml:space="preserve">annex, and paragraph </w:t>
      </w:r>
      <w:r w:rsidRPr="00CA5C2C">
        <w:rPr>
          <w:kern w:val="18"/>
          <w:szCs w:val="18"/>
        </w:rPr>
        <w:fldChar w:fldCharType="begin"/>
      </w:r>
      <w:r w:rsidRPr="00CA5C2C">
        <w:rPr>
          <w:kern w:val="18"/>
          <w:szCs w:val="18"/>
        </w:rPr>
        <w:instrText xml:space="preserve"> REF _Ref73136863 \r \h  \* MERGEFORMAT </w:instrText>
      </w:r>
      <w:r w:rsidRPr="00CA5C2C">
        <w:rPr>
          <w:kern w:val="18"/>
          <w:szCs w:val="18"/>
        </w:rPr>
      </w:r>
      <w:r w:rsidRPr="00CA5C2C">
        <w:rPr>
          <w:kern w:val="18"/>
          <w:szCs w:val="18"/>
        </w:rPr>
        <w:fldChar w:fldCharType="separate"/>
      </w:r>
      <w:r w:rsidR="00B54ED0">
        <w:rPr>
          <w:kern w:val="18"/>
          <w:szCs w:val="18"/>
        </w:rPr>
        <w:t>0</w:t>
      </w:r>
      <w:r w:rsidRPr="00CA5C2C">
        <w:rPr>
          <w:kern w:val="18"/>
          <w:szCs w:val="18"/>
        </w:rPr>
        <w:fldChar w:fldCharType="end"/>
      </w:r>
      <w:r w:rsidRPr="00CA5C2C">
        <w:rPr>
          <w:kern w:val="18"/>
          <w:szCs w:val="18"/>
        </w:rPr>
        <w:t xml:space="preserve"> of the present</w:t>
      </w:r>
      <w:r w:rsidRPr="00A057EC">
        <w:rPr>
          <w:kern w:val="18"/>
          <w:szCs w:val="18"/>
        </w:rPr>
        <w:t xml:space="preserve"> Plan of Action.</w:t>
      </w:r>
    </w:p>
  </w:footnote>
  <w:footnote w:id="127">
    <w:p w14:paraId="59952FA5" w14:textId="77777777" w:rsidR="0094446B" w:rsidRPr="00F800F5" w:rsidRDefault="0094446B" w:rsidP="00951193">
      <w:pPr>
        <w:pStyle w:val="FootnoteText"/>
        <w:ind w:firstLine="0"/>
        <w:jc w:val="left"/>
        <w:rPr>
          <w:kern w:val="18"/>
          <w:szCs w:val="18"/>
        </w:rPr>
      </w:pPr>
      <w:r w:rsidRPr="00610646">
        <w:rPr>
          <w:rStyle w:val="FootnoteReference"/>
        </w:rPr>
        <w:footnoteRef/>
      </w:r>
      <w:r w:rsidRPr="00F800F5">
        <w:rPr>
          <w:kern w:val="18"/>
          <w:szCs w:val="18"/>
        </w:rPr>
        <w:t xml:space="preserve"> Principle 2 of the ecosystem approach, adopted in decision V/6, </w:t>
      </w:r>
      <w:r>
        <w:rPr>
          <w:kern w:val="18"/>
          <w:szCs w:val="18"/>
        </w:rPr>
        <w:t xml:space="preserve">annex, </w:t>
      </w:r>
      <w:r w:rsidRPr="00F800F5">
        <w:rPr>
          <w:kern w:val="18"/>
          <w:szCs w:val="18"/>
        </w:rPr>
        <w:t>is “Management should be decentrali</w:t>
      </w:r>
      <w:r>
        <w:rPr>
          <w:kern w:val="18"/>
          <w:szCs w:val="18"/>
        </w:rPr>
        <w:t>z</w:t>
      </w:r>
      <w:r w:rsidRPr="00F800F5">
        <w:rPr>
          <w:kern w:val="18"/>
          <w:szCs w:val="18"/>
        </w:rPr>
        <w:t>ed to the lowest appropriate level.”</w:t>
      </w:r>
    </w:p>
  </w:footnote>
  <w:footnote w:id="128">
    <w:p w14:paraId="4B51A37C" w14:textId="77777777" w:rsidR="0094446B" w:rsidRPr="00F800F5" w:rsidRDefault="0094446B" w:rsidP="00951193">
      <w:pPr>
        <w:pStyle w:val="FootnoteText"/>
        <w:ind w:firstLine="0"/>
        <w:jc w:val="left"/>
        <w:rPr>
          <w:kern w:val="18"/>
          <w:szCs w:val="18"/>
        </w:rPr>
      </w:pPr>
      <w:r w:rsidRPr="00610646">
        <w:rPr>
          <w:rStyle w:val="FootnoteReference"/>
        </w:rPr>
        <w:footnoteRef/>
      </w:r>
      <w:r w:rsidRPr="00D705A3">
        <w:rPr>
          <w:kern w:val="18"/>
          <w:szCs w:val="18"/>
        </w:rPr>
        <w:t xml:space="preserve"> Linked with the Sharm El-Sheikh to Kunming </w:t>
      </w:r>
      <w:r w:rsidRPr="008123B7">
        <w:rPr>
          <w:kern w:val="18"/>
          <w:szCs w:val="18"/>
        </w:rPr>
        <w:t>and</w:t>
      </w:r>
      <w:r w:rsidRPr="00D705A3">
        <w:rPr>
          <w:kern w:val="18"/>
          <w:szCs w:val="18"/>
        </w:rPr>
        <w:t xml:space="preserve"> Montreal Action Agenda for Nature and People.</w:t>
      </w:r>
    </w:p>
  </w:footnote>
  <w:footnote w:id="129">
    <w:p w14:paraId="1865B1A3" w14:textId="77777777" w:rsidR="0065659F" w:rsidRPr="00A40C30" w:rsidRDefault="0065659F" w:rsidP="00235279">
      <w:pPr>
        <w:rPr>
          <w:lang w:val="en-US"/>
        </w:rPr>
      </w:pPr>
      <w:r w:rsidRPr="00610646">
        <w:rPr>
          <w:rStyle w:val="FootnoteReference"/>
        </w:rPr>
        <w:footnoteRef/>
      </w:r>
      <w:r>
        <w:t xml:space="preserve"> </w:t>
      </w:r>
      <w:r w:rsidRPr="00A40C30">
        <w:rPr>
          <w:sz w:val="18"/>
          <w:szCs w:val="18"/>
        </w:rPr>
        <w:t xml:space="preserve">Report of the Consultation Workshop of Biodiversity-related Conventions on the Post-2020 Global Biodiversity Framework, Bern, 10-12 June 2019 (CBD/POST2020/WS/2019/6/2) and report of the Second Consultation Workshop of Biodiversity-related Conventions on the Post-2020 Global Biodiversity Framework (Bern II) </w:t>
      </w:r>
      <w:r w:rsidRPr="00A40C30">
        <w:rPr>
          <w:sz w:val="18"/>
          <w:szCs w:val="18"/>
          <w:lang w:val="en-US"/>
        </w:rPr>
        <w:t>(</w:t>
      </w:r>
      <w:r w:rsidRPr="00A40C30">
        <w:rPr>
          <w:sz w:val="18"/>
          <w:szCs w:val="18"/>
        </w:rPr>
        <w:t>CBD/SBI/3/INF/29)</w:t>
      </w:r>
      <w:r>
        <w:rPr>
          <w:sz w:val="18"/>
          <w:szCs w:val="18"/>
        </w:rPr>
        <w:t>.</w:t>
      </w:r>
    </w:p>
  </w:footnote>
  <w:footnote w:id="130">
    <w:p w14:paraId="105C7111" w14:textId="77777777" w:rsidR="0065659F" w:rsidRPr="00A40C30" w:rsidRDefault="0065659F" w:rsidP="00235279">
      <w:pPr>
        <w:rPr>
          <w:rFonts w:asciiTheme="majorBidi" w:hAnsiTheme="majorBidi" w:cstheme="majorBidi"/>
        </w:rPr>
      </w:pPr>
      <w:r w:rsidRPr="00610646">
        <w:rPr>
          <w:rStyle w:val="FootnoteReference"/>
        </w:rPr>
        <w:footnoteRef/>
      </w:r>
      <w:r>
        <w:t xml:space="preserve"> </w:t>
      </w:r>
      <w:r w:rsidRPr="00DA09FD">
        <w:rPr>
          <w:rFonts w:asciiTheme="majorBidi" w:hAnsiTheme="majorBidi" w:cstheme="majorBidi"/>
          <w:kern w:val="18"/>
          <w:sz w:val="18"/>
          <w:szCs w:val="18"/>
        </w:rPr>
        <w:t xml:space="preserve">Secretariat of the Convention on Biological Diversity (2020). </w:t>
      </w:r>
      <w:r w:rsidRPr="00DA09FD">
        <w:rPr>
          <w:rFonts w:asciiTheme="majorBidi" w:hAnsiTheme="majorBidi" w:cstheme="majorBidi"/>
          <w:i/>
          <w:kern w:val="18"/>
          <w:sz w:val="18"/>
          <w:szCs w:val="18"/>
        </w:rPr>
        <w:t>Global Biodiversity Outlook 5</w:t>
      </w:r>
      <w:r w:rsidRPr="00DA09FD">
        <w:rPr>
          <w:rFonts w:asciiTheme="majorBidi" w:hAnsiTheme="majorBidi" w:cstheme="majorBidi"/>
          <w:kern w:val="18"/>
          <w:sz w:val="18"/>
          <w:szCs w:val="18"/>
        </w:rPr>
        <w:t>. Montreal.</w:t>
      </w:r>
    </w:p>
  </w:footnote>
  <w:footnote w:id="131">
    <w:p w14:paraId="456A4B27" w14:textId="77777777" w:rsidR="0065659F" w:rsidRPr="00D445A7" w:rsidRDefault="0065659F" w:rsidP="00235279">
      <w:pPr>
        <w:pStyle w:val="FootnoteText"/>
        <w:ind w:firstLine="0"/>
      </w:pPr>
      <w:r w:rsidRPr="00610646">
        <w:rPr>
          <w:rStyle w:val="FootnoteReference"/>
        </w:rPr>
        <w:footnoteRef/>
      </w:r>
      <w:r>
        <w:t xml:space="preserve"> </w:t>
      </w:r>
      <w:r w:rsidRPr="005B44C4">
        <w:rPr>
          <w:rFonts w:asciiTheme="majorBidi" w:hAnsiTheme="majorBidi" w:cstheme="majorBidi"/>
          <w:kern w:val="18"/>
          <w:szCs w:val="18"/>
        </w:rPr>
        <w:t xml:space="preserve">Sharrock, S. (2020). </w:t>
      </w:r>
      <w:r w:rsidRPr="005B44C4">
        <w:rPr>
          <w:rFonts w:asciiTheme="majorBidi" w:hAnsiTheme="majorBidi" w:cstheme="majorBidi"/>
          <w:i/>
          <w:kern w:val="18"/>
          <w:szCs w:val="18"/>
        </w:rPr>
        <w:t>Plant Conservation Report 2020: A review of progress in implementation of the Global Strategy for Plant Conservation 2011-2020</w:t>
      </w:r>
      <w:r w:rsidRPr="005B44C4">
        <w:rPr>
          <w:rFonts w:asciiTheme="majorBidi" w:hAnsiTheme="majorBidi" w:cstheme="majorBidi"/>
          <w:kern w:val="18"/>
          <w:szCs w:val="18"/>
        </w:rPr>
        <w:t xml:space="preserve">. Secretariat of the Convention on Biological Diversity, Montreal, Canada and Botanic Gardens Conservation International, Richmond, United Kingdom. </w:t>
      </w:r>
      <w:r w:rsidRPr="005B44C4">
        <w:rPr>
          <w:rFonts w:asciiTheme="majorBidi" w:hAnsiTheme="majorBidi" w:cstheme="majorBidi"/>
          <w:i/>
          <w:kern w:val="18"/>
          <w:szCs w:val="18"/>
        </w:rPr>
        <w:t>Technical Series No. 95</w:t>
      </w:r>
      <w:r w:rsidRPr="005B44C4">
        <w:rPr>
          <w:rFonts w:asciiTheme="majorBidi" w:hAnsiTheme="majorBidi" w:cstheme="majorBidi"/>
          <w:kern w:val="18"/>
          <w:szCs w:val="18"/>
        </w:rPr>
        <w:t>.</w:t>
      </w:r>
    </w:p>
  </w:footnote>
  <w:footnote w:id="132">
    <w:p w14:paraId="19D1F6EE" w14:textId="77777777" w:rsidR="0065659F" w:rsidRPr="005D063B" w:rsidRDefault="0065659F" w:rsidP="00235279">
      <w:pPr>
        <w:pStyle w:val="FootnoteText"/>
        <w:ind w:firstLine="0"/>
      </w:pPr>
      <w:r w:rsidRPr="00610646">
        <w:rPr>
          <w:rStyle w:val="FootnoteReference"/>
        </w:rPr>
        <w:footnoteRef/>
      </w:r>
      <w:r>
        <w:t xml:space="preserve"> Resolution XIII.20 </w:t>
      </w:r>
      <w:r w:rsidRPr="00FA2B38">
        <w:rPr>
          <w:color w:val="000000" w:themeColor="text1"/>
          <w:szCs w:val="22"/>
        </w:rPr>
        <w:t xml:space="preserve">on </w:t>
      </w:r>
      <w:r>
        <w:rPr>
          <w:color w:val="000000" w:themeColor="text1"/>
          <w:szCs w:val="22"/>
        </w:rPr>
        <w:t>p</w:t>
      </w:r>
      <w:r w:rsidRPr="006A227D">
        <w:rPr>
          <w:color w:val="000000" w:themeColor="text1"/>
          <w:szCs w:val="22"/>
        </w:rPr>
        <w:t>romoting the conservation and wise use of intertidal wetlands and ecologically-associated habitats</w:t>
      </w:r>
      <w:r>
        <w:rPr>
          <w:color w:val="000000" w:themeColor="text1"/>
          <w:szCs w:val="22"/>
        </w:rPr>
        <w:t>.</w:t>
      </w:r>
    </w:p>
  </w:footnote>
  <w:footnote w:id="133">
    <w:p w14:paraId="26FAC12F" w14:textId="77777777" w:rsidR="0065659F" w:rsidRPr="00A40C30" w:rsidRDefault="0065659F" w:rsidP="00235279">
      <w:pPr>
        <w:pStyle w:val="FootnoteText"/>
        <w:ind w:firstLine="0"/>
        <w:rPr>
          <w:lang w:val="en-US"/>
        </w:rPr>
      </w:pPr>
      <w:r w:rsidRPr="00610646">
        <w:rPr>
          <w:rStyle w:val="FootnoteReference"/>
        </w:rPr>
        <w:footnoteRef/>
      </w:r>
      <w:r>
        <w:t xml:space="preserve"> Resolution 12.25 </w:t>
      </w:r>
      <w:r w:rsidRPr="00FA2B38">
        <w:rPr>
          <w:color w:val="000000" w:themeColor="text1"/>
          <w:szCs w:val="22"/>
        </w:rPr>
        <w:t xml:space="preserve">on </w:t>
      </w:r>
      <w:r>
        <w:rPr>
          <w:color w:val="000000" w:themeColor="text1"/>
          <w:szCs w:val="22"/>
        </w:rPr>
        <w:t>p</w:t>
      </w:r>
      <w:r w:rsidRPr="006A227D">
        <w:rPr>
          <w:color w:val="000000" w:themeColor="text1"/>
          <w:szCs w:val="22"/>
        </w:rPr>
        <w:t>romoting Conservation of Critical Intertidal and Other Coastal Habitats for Migratory Species</w:t>
      </w:r>
      <w:r>
        <w:rPr>
          <w:color w:val="000000" w:themeColor="text1"/>
          <w:szCs w:val="22"/>
        </w:rPr>
        <w:t>.</w:t>
      </w:r>
    </w:p>
  </w:footnote>
  <w:footnote w:id="134">
    <w:p w14:paraId="7CD1EECE" w14:textId="77777777" w:rsidR="0065659F" w:rsidRPr="00BD70D5" w:rsidRDefault="0065659F" w:rsidP="00235279">
      <w:pPr>
        <w:pStyle w:val="FootnoteText"/>
        <w:ind w:firstLine="0"/>
      </w:pPr>
      <w:r w:rsidRPr="00610646">
        <w:rPr>
          <w:rStyle w:val="FootnoteReference"/>
        </w:rPr>
        <w:footnoteRef/>
      </w:r>
      <w:r>
        <w:t xml:space="preserve"> UNEP/EA.5/Res/5.</w:t>
      </w:r>
    </w:p>
  </w:footnote>
  <w:footnote w:id="135">
    <w:p w14:paraId="34437ABF" w14:textId="77777777" w:rsidR="00DA0273" w:rsidRPr="00F03EE2" w:rsidRDefault="00DA0273" w:rsidP="00710D42">
      <w:pPr>
        <w:pStyle w:val="FootnoteText"/>
        <w:suppressLineNumbers/>
        <w:suppressAutoHyphens/>
        <w:kinsoku w:val="0"/>
        <w:overflowPunct w:val="0"/>
        <w:autoSpaceDE w:val="0"/>
        <w:autoSpaceDN w:val="0"/>
        <w:ind w:firstLine="0"/>
        <w:jc w:val="left"/>
        <w:rPr>
          <w:szCs w:val="18"/>
          <w:lang w:val="it-IT"/>
        </w:rPr>
      </w:pPr>
      <w:r w:rsidRPr="00610646">
        <w:rPr>
          <w:rStyle w:val="FootnoteReference"/>
        </w:rPr>
        <w:footnoteRef/>
      </w:r>
      <w:r w:rsidRPr="00F03EE2">
        <w:rPr>
          <w:szCs w:val="18"/>
          <w:lang w:val="it-IT"/>
        </w:rPr>
        <w:t xml:space="preserve"> Decision VII/24, paragraph 4(ii); decision VIII/6, para. 9.</w:t>
      </w:r>
    </w:p>
  </w:footnote>
  <w:footnote w:id="136">
    <w:p w14:paraId="1BC8C6A8" w14:textId="77777777" w:rsidR="00DA0273" w:rsidRPr="00F03EE2" w:rsidRDefault="00DA0273" w:rsidP="00710D42">
      <w:pPr>
        <w:pStyle w:val="FootnoteText"/>
        <w:ind w:firstLine="0"/>
        <w:rPr>
          <w:lang w:val="it-IT"/>
        </w:rPr>
      </w:pPr>
      <w:r w:rsidRPr="00610646">
        <w:rPr>
          <w:rStyle w:val="FootnoteReference"/>
        </w:rPr>
        <w:footnoteRef/>
      </w:r>
      <w:r w:rsidRPr="00F03EE2">
        <w:rPr>
          <w:lang w:val="it-IT"/>
        </w:rPr>
        <w:t xml:space="preserve"> CBD/SBI/3/9.</w:t>
      </w:r>
    </w:p>
  </w:footnote>
  <w:footnote w:id="137">
    <w:p w14:paraId="0079E9A3" w14:textId="4AC200BA" w:rsidR="00DA0273" w:rsidRPr="00F03EE2" w:rsidRDefault="00DA0273" w:rsidP="00797EDB">
      <w:pPr>
        <w:pStyle w:val="FootnoteText"/>
        <w:ind w:firstLine="0"/>
        <w:jc w:val="left"/>
        <w:rPr>
          <w:kern w:val="18"/>
          <w:szCs w:val="18"/>
          <w:lang w:val="it-IT"/>
        </w:rPr>
      </w:pPr>
      <w:r w:rsidRPr="00610646">
        <w:rPr>
          <w:rStyle w:val="FootnoteReference"/>
        </w:rPr>
        <w:footnoteRef/>
      </w:r>
      <w:r w:rsidRPr="00F03EE2">
        <w:rPr>
          <w:kern w:val="18"/>
          <w:szCs w:val="18"/>
          <w:lang w:val="it-IT"/>
        </w:rPr>
        <w:t xml:space="preserve"> </w:t>
      </w:r>
      <w:hyperlink r:id="rId36" w:history="1">
        <w:r w:rsidRPr="00F03EE2">
          <w:rPr>
            <w:rStyle w:val="Hyperlink"/>
            <w:kern w:val="18"/>
            <w:szCs w:val="18"/>
            <w:lang w:val="it-IT"/>
          </w:rPr>
          <w:t>https://www.cbd.int/cepa/toolkit/2008/doc/CBD-Toolkit-Complete.pdf</w:t>
        </w:r>
      </w:hyperlink>
      <w:r w:rsidRPr="00F03EE2">
        <w:rPr>
          <w:kern w:val="18"/>
          <w:szCs w:val="18"/>
          <w:lang w:val="it-IT"/>
        </w:rPr>
        <w:t>.</w:t>
      </w:r>
    </w:p>
  </w:footnote>
  <w:footnote w:id="138">
    <w:p w14:paraId="6004B415" w14:textId="77777777" w:rsidR="00DA0273" w:rsidRPr="00F03EE2" w:rsidRDefault="00DA0273" w:rsidP="00797EDB">
      <w:pPr>
        <w:jc w:val="left"/>
        <w:rPr>
          <w:rFonts w:asciiTheme="majorBidi" w:hAnsiTheme="majorBidi" w:cstheme="majorBidi"/>
          <w:kern w:val="18"/>
          <w:szCs w:val="18"/>
        </w:rPr>
      </w:pPr>
      <w:r w:rsidRPr="00610646">
        <w:rPr>
          <w:rStyle w:val="FootnoteReference"/>
        </w:rPr>
        <w:footnoteRef/>
      </w:r>
      <w:r w:rsidRPr="00F03EE2">
        <w:rPr>
          <w:sz w:val="18"/>
          <w:szCs w:val="18"/>
          <w:lang w:val="en-US"/>
        </w:rPr>
        <w:t xml:space="preserve"> </w:t>
      </w:r>
      <w:r w:rsidRPr="00F03EE2">
        <w:rPr>
          <w:rFonts w:asciiTheme="majorBidi" w:hAnsiTheme="majorBidi" w:cstheme="majorBidi"/>
          <w:kern w:val="18"/>
          <w:sz w:val="18"/>
          <w:szCs w:val="18"/>
        </w:rPr>
        <w:t xml:space="preserve">Secretariat of the Convention on Biological Diversity (2020). </w:t>
      </w:r>
      <w:r w:rsidRPr="00F03EE2">
        <w:rPr>
          <w:rFonts w:asciiTheme="majorBidi" w:hAnsiTheme="majorBidi" w:cstheme="majorBidi"/>
          <w:i/>
          <w:kern w:val="18"/>
          <w:sz w:val="18"/>
          <w:szCs w:val="18"/>
        </w:rPr>
        <w:t>Global Biodiversity Outlook 5</w:t>
      </w:r>
      <w:r w:rsidRPr="00F03EE2">
        <w:rPr>
          <w:rFonts w:asciiTheme="majorBidi" w:hAnsiTheme="majorBidi" w:cstheme="majorBidi"/>
          <w:kern w:val="18"/>
          <w:sz w:val="18"/>
          <w:szCs w:val="18"/>
        </w:rPr>
        <w:t>. Montreal</w:t>
      </w:r>
      <w:r>
        <w:rPr>
          <w:rFonts w:asciiTheme="majorBidi" w:hAnsiTheme="majorBidi" w:cstheme="majorBidi"/>
          <w:kern w:val="18"/>
          <w:sz w:val="18"/>
          <w:szCs w:val="18"/>
        </w:rPr>
        <w:t>.</w:t>
      </w:r>
    </w:p>
  </w:footnote>
  <w:footnote w:id="139">
    <w:p w14:paraId="2F7D675E" w14:textId="51DD1881" w:rsidR="00DA0273" w:rsidRPr="00F03EE2" w:rsidRDefault="00DA0273" w:rsidP="00797EDB">
      <w:pPr>
        <w:pStyle w:val="FootnoteText"/>
        <w:ind w:firstLine="0"/>
        <w:jc w:val="left"/>
        <w:rPr>
          <w:kern w:val="18"/>
          <w:szCs w:val="18"/>
        </w:rPr>
      </w:pPr>
      <w:r w:rsidRPr="00610646">
        <w:rPr>
          <w:rStyle w:val="FootnoteReference"/>
        </w:rPr>
        <w:footnoteRef/>
      </w:r>
      <w:r w:rsidRPr="00F03EE2">
        <w:rPr>
          <w:kern w:val="18"/>
          <w:szCs w:val="18"/>
        </w:rPr>
        <w:t xml:space="preserve"> </w:t>
      </w:r>
      <w:hyperlink r:id="rId37" w:history="1">
        <w:r w:rsidRPr="00F03EE2">
          <w:rPr>
            <w:rStyle w:val="Hyperlink"/>
            <w:kern w:val="18"/>
            <w:szCs w:val="18"/>
          </w:rPr>
          <w:t>https://ontheedge.org/impact/sentiment-tracker</w:t>
        </w:r>
      </w:hyperlink>
      <w:r w:rsidRPr="00F03EE2">
        <w:rPr>
          <w:kern w:val="18"/>
          <w:szCs w:val="18"/>
        </w:rPr>
        <w:t>.</w:t>
      </w:r>
    </w:p>
  </w:footnote>
  <w:footnote w:id="140">
    <w:p w14:paraId="78F34900" w14:textId="77777777" w:rsidR="00DA0273" w:rsidRPr="001769C1" w:rsidRDefault="00DA0273" w:rsidP="00797EDB">
      <w:pPr>
        <w:pStyle w:val="FootnoteText"/>
        <w:ind w:firstLine="0"/>
        <w:jc w:val="left"/>
        <w:rPr>
          <w:szCs w:val="18"/>
          <w:lang w:val="en-CA"/>
        </w:rPr>
      </w:pPr>
      <w:r w:rsidRPr="00610646">
        <w:rPr>
          <w:rStyle w:val="FootnoteReference"/>
        </w:rPr>
        <w:footnoteRef/>
      </w:r>
      <w:r w:rsidRPr="001769C1">
        <w:rPr>
          <w:szCs w:val="18"/>
        </w:rPr>
        <w:t xml:space="preserve"> Brazil, France, Germany, United Kingdom of Great Britain and Northern Ireland, and United States of America.</w:t>
      </w:r>
    </w:p>
  </w:footnote>
  <w:footnote w:id="141">
    <w:p w14:paraId="28448C9F" w14:textId="6DEC17B5" w:rsidR="00DA0273" w:rsidRPr="001769C1" w:rsidRDefault="00DA0273" w:rsidP="00797EDB">
      <w:pPr>
        <w:pStyle w:val="FootnoteText"/>
        <w:ind w:firstLine="0"/>
        <w:jc w:val="left"/>
        <w:rPr>
          <w:kern w:val="18"/>
          <w:szCs w:val="18"/>
        </w:rPr>
      </w:pPr>
      <w:r w:rsidRPr="00610646">
        <w:rPr>
          <w:rStyle w:val="FootnoteReference"/>
        </w:rPr>
        <w:footnoteRef/>
      </w:r>
      <w:r w:rsidRPr="001769C1">
        <w:rPr>
          <w:kern w:val="18"/>
          <w:szCs w:val="18"/>
        </w:rPr>
        <w:t xml:space="preserve"> </w:t>
      </w:r>
      <w:hyperlink r:id="rId38" w:anchor="uebt-biodiversity-barometer-2020" w:history="1">
        <w:r w:rsidRPr="001769C1">
          <w:rPr>
            <w:rStyle w:val="Hyperlink"/>
            <w:kern w:val="18"/>
            <w:szCs w:val="18"/>
          </w:rPr>
          <w:t>http://www.biodiversitybarometer.org/#uebt-biodiversity-barometer-2020</w:t>
        </w:r>
      </w:hyperlink>
      <w:r w:rsidRPr="001769C1">
        <w:rPr>
          <w:kern w:val="18"/>
          <w:szCs w:val="18"/>
        </w:rPr>
        <w:t>.</w:t>
      </w:r>
    </w:p>
  </w:footnote>
  <w:footnote w:id="142">
    <w:p w14:paraId="68D380E8" w14:textId="581AC77F" w:rsidR="00DA0273" w:rsidRPr="00C55083" w:rsidRDefault="00DA0273" w:rsidP="00797EDB">
      <w:pPr>
        <w:pStyle w:val="FootnoteText"/>
        <w:ind w:firstLine="0"/>
        <w:jc w:val="left"/>
        <w:rPr>
          <w:kern w:val="18"/>
          <w:szCs w:val="18"/>
        </w:rPr>
      </w:pPr>
      <w:r w:rsidRPr="00610646">
        <w:rPr>
          <w:rStyle w:val="FootnoteReference"/>
        </w:rPr>
        <w:footnoteRef/>
      </w:r>
      <w:r w:rsidRPr="001769C1">
        <w:rPr>
          <w:kern w:val="18"/>
          <w:szCs w:val="18"/>
        </w:rPr>
        <w:t> </w:t>
      </w:r>
      <w:hyperlink r:id="rId39" w:history="1">
        <w:r w:rsidRPr="001769C1">
          <w:rPr>
            <w:rStyle w:val="Hyperlink"/>
            <w:kern w:val="18"/>
            <w:szCs w:val="18"/>
          </w:rPr>
          <w:t>https://wwfint.awsassets.panda.org/downloads/an_ecowakening_measuring_awareness__engagement_and_action_for_nature_final_may_2021__.pdf</w:t>
        </w:r>
      </w:hyperlink>
      <w:r w:rsidRPr="001769C1">
        <w:rPr>
          <w:rFonts w:asciiTheme="majorBidi" w:hAnsiTheme="majorBidi" w:cstheme="majorBidi"/>
          <w:spacing w:val="-12"/>
          <w:kern w:val="18"/>
          <w:szCs w:val="18"/>
        </w:rPr>
        <w:t>.</w:t>
      </w:r>
      <w:r>
        <w:rPr>
          <w:rFonts w:asciiTheme="majorBidi" w:hAnsiTheme="majorBidi" w:cstheme="majorBidi"/>
          <w:spacing w:val="-12"/>
          <w:kern w:val="18"/>
          <w:szCs w:val="18"/>
        </w:rPr>
        <w:t xml:space="preserve"> </w:t>
      </w:r>
    </w:p>
  </w:footnote>
  <w:footnote w:id="143">
    <w:p w14:paraId="1505399F" w14:textId="77777777" w:rsidR="00DA0273" w:rsidRPr="00FE0F28" w:rsidRDefault="00DA0273" w:rsidP="00057A35">
      <w:pPr>
        <w:pStyle w:val="FootnoteText"/>
        <w:ind w:firstLine="0"/>
        <w:jc w:val="left"/>
        <w:rPr>
          <w:kern w:val="18"/>
          <w:szCs w:val="18"/>
        </w:rPr>
      </w:pPr>
      <w:r w:rsidRPr="00610646">
        <w:rPr>
          <w:rStyle w:val="FootnoteReference"/>
        </w:rPr>
        <w:footnoteRef/>
      </w:r>
      <w:r w:rsidRPr="00FE0F28">
        <w:rPr>
          <w:kern w:val="18"/>
          <w:szCs w:val="18"/>
        </w:rPr>
        <w:t xml:space="preserve"> Tentative dates, to be determined by the Conference of the Parties.</w:t>
      </w:r>
    </w:p>
  </w:footnote>
  <w:footnote w:id="144">
    <w:p w14:paraId="04804D7A" w14:textId="77777777" w:rsidR="00DA0273" w:rsidRPr="00957BCB" w:rsidRDefault="00DA0273" w:rsidP="00263051">
      <w:pPr>
        <w:pStyle w:val="FootnoteText"/>
        <w:ind w:firstLine="0"/>
        <w:rPr>
          <w:szCs w:val="18"/>
          <w:lang w:val="en-US"/>
        </w:rPr>
      </w:pPr>
      <w:r w:rsidRPr="00610646">
        <w:rPr>
          <w:rStyle w:val="FootnoteReference"/>
        </w:rPr>
        <w:footnoteRef/>
      </w:r>
      <w:r w:rsidRPr="00060F33">
        <w:rPr>
          <w:szCs w:val="18"/>
        </w:rPr>
        <w:t xml:space="preserve"> </w:t>
      </w:r>
      <w:r w:rsidRPr="00060F33">
        <w:rPr>
          <w:szCs w:val="18"/>
          <w:lang w:val="en-US"/>
        </w:rPr>
        <w:t>See decision XIII/29.</w:t>
      </w:r>
    </w:p>
  </w:footnote>
  <w:footnote w:id="145">
    <w:p w14:paraId="4928E416" w14:textId="63F6E443" w:rsidR="00DA0273" w:rsidRPr="00797E10" w:rsidRDefault="00DA0273" w:rsidP="003F12C5">
      <w:pPr>
        <w:keepLines/>
        <w:pBdr>
          <w:top w:val="nil"/>
          <w:left w:val="nil"/>
          <w:bottom w:val="nil"/>
          <w:right w:val="nil"/>
          <w:between w:val="nil"/>
        </w:pBdr>
        <w:jc w:val="left"/>
        <w:rPr>
          <w:color w:val="000000"/>
          <w:kern w:val="18"/>
          <w:sz w:val="18"/>
          <w:szCs w:val="18"/>
        </w:rPr>
      </w:pPr>
      <w:r w:rsidRPr="00610646">
        <w:rPr>
          <w:rStyle w:val="FootnoteReference"/>
        </w:rPr>
        <w:footnoteRef/>
      </w:r>
      <w:r w:rsidRPr="00797E10">
        <w:rPr>
          <w:color w:val="000000"/>
          <w:kern w:val="18"/>
          <w:sz w:val="18"/>
          <w:szCs w:val="18"/>
        </w:rPr>
        <w:t xml:space="preserve"> General Assembly resolution </w:t>
      </w:r>
      <w:hyperlink r:id="rId40">
        <w:r w:rsidRPr="00797E10">
          <w:rPr>
            <w:color w:val="0000FF"/>
            <w:kern w:val="18"/>
            <w:sz w:val="18"/>
            <w:szCs w:val="18"/>
            <w:u w:val="single"/>
          </w:rPr>
          <w:t>70/1</w:t>
        </w:r>
      </w:hyperlink>
      <w:r w:rsidRPr="00797E10">
        <w:rPr>
          <w:color w:val="000000"/>
          <w:kern w:val="18"/>
          <w:sz w:val="18"/>
          <w:szCs w:val="18"/>
        </w:rPr>
        <w:t>.</w:t>
      </w:r>
    </w:p>
  </w:footnote>
  <w:footnote w:id="146">
    <w:p w14:paraId="40C3049F" w14:textId="77777777" w:rsidR="00DA0273" w:rsidRPr="00797E10" w:rsidRDefault="00DA0273" w:rsidP="003F12C5">
      <w:pPr>
        <w:keepLines/>
        <w:jc w:val="left"/>
        <w:rPr>
          <w:color w:val="000000"/>
          <w:kern w:val="18"/>
          <w:sz w:val="18"/>
          <w:szCs w:val="18"/>
        </w:rPr>
      </w:pPr>
      <w:r w:rsidRPr="00610646">
        <w:rPr>
          <w:rStyle w:val="FootnoteReference"/>
        </w:rPr>
        <w:footnoteRef/>
      </w:r>
      <w:r w:rsidRPr="00797E10">
        <w:rPr>
          <w:color w:val="000000"/>
          <w:kern w:val="18"/>
          <w:sz w:val="18"/>
          <w:szCs w:val="18"/>
        </w:rPr>
        <w:t xml:space="preserve"> </w:t>
      </w:r>
      <w:r w:rsidRPr="00844D78">
        <w:rPr>
          <w:color w:val="000000"/>
          <w:kern w:val="18"/>
          <w:sz w:val="18"/>
          <w:szCs w:val="18"/>
        </w:rPr>
        <w:t xml:space="preserve">See </w:t>
      </w:r>
      <w:r w:rsidRPr="00797E10">
        <w:rPr>
          <w:color w:val="000000"/>
          <w:kern w:val="18"/>
          <w:sz w:val="18"/>
          <w:szCs w:val="18"/>
        </w:rPr>
        <w:t>General Assembly resolution</w:t>
      </w:r>
      <w:r>
        <w:rPr>
          <w:color w:val="000000"/>
          <w:kern w:val="18"/>
          <w:sz w:val="18"/>
          <w:szCs w:val="18"/>
        </w:rPr>
        <w:t xml:space="preserve"> </w:t>
      </w:r>
      <w:r w:rsidRPr="00844D78">
        <w:rPr>
          <w:color w:val="000000"/>
          <w:kern w:val="18"/>
          <w:sz w:val="18"/>
          <w:szCs w:val="18"/>
        </w:rPr>
        <w:t>72/73, para. 292</w:t>
      </w:r>
      <w:r w:rsidRPr="00797E10">
        <w:rPr>
          <w:color w:val="000000"/>
          <w:kern w:val="18"/>
          <w:sz w:val="18"/>
          <w:szCs w:val="18"/>
        </w:rPr>
        <w:t>.</w:t>
      </w:r>
    </w:p>
  </w:footnote>
  <w:footnote w:id="147">
    <w:p w14:paraId="14951F6E" w14:textId="77777777" w:rsidR="00DA0273" w:rsidRPr="00646159" w:rsidRDefault="00DA0273" w:rsidP="00F03EE2">
      <w:pPr>
        <w:pStyle w:val="FootnoteText"/>
        <w:ind w:firstLine="0"/>
        <w:jc w:val="left"/>
      </w:pPr>
      <w:r w:rsidRPr="00610646">
        <w:rPr>
          <w:rStyle w:val="FootnoteReference"/>
        </w:rPr>
        <w:footnoteRef/>
      </w:r>
      <w:r w:rsidRPr="00E51F76">
        <w:rPr>
          <w:szCs w:val="18"/>
        </w:rPr>
        <w:t xml:space="preserve"> </w:t>
      </w:r>
      <w:r w:rsidRPr="00646159">
        <w:t xml:space="preserve">The Convention on Biological Diversity, the Convention on </w:t>
      </w:r>
      <w:r>
        <w:t xml:space="preserve">the </w:t>
      </w:r>
      <w:r w:rsidRPr="00646159">
        <w:t>Conservation of Migratory Species</w:t>
      </w:r>
      <w:r>
        <w:t xml:space="preserve"> of Wild Animals</w:t>
      </w:r>
      <w:r w:rsidRPr="00646159">
        <w:t>, the Convention on International Trade in Endangered Species of Wild Fauna and Flora, the International Treaty on Plant Genetic Resources for Food and Agriculture, the Ramsar Convention on Wetlands, the World Heritage Convention, the International Plant Protection Convention and the International Whaling Commission</w:t>
      </w:r>
      <w:r>
        <w:t>.</w:t>
      </w:r>
    </w:p>
  </w:footnote>
  <w:footnote w:id="148">
    <w:p w14:paraId="37E3865E" w14:textId="314698D2" w:rsidR="00DA0273" w:rsidRPr="00060F33" w:rsidRDefault="00DA0273" w:rsidP="00060F33">
      <w:pPr>
        <w:pStyle w:val="FootnoteText"/>
        <w:ind w:firstLine="0"/>
      </w:pPr>
      <w:r w:rsidRPr="00610646">
        <w:rPr>
          <w:rStyle w:val="FootnoteReference"/>
        </w:rPr>
        <w:footnoteRef/>
      </w:r>
      <w:r>
        <w:t xml:space="preserve"> </w:t>
      </w:r>
      <w:hyperlink r:id="rId41" w:tgtFrame="_blank" w:tooltip="https://youngoclimate.org/" w:history="1">
        <w:r w:rsidRPr="00060F33">
          <w:rPr>
            <w:rStyle w:val="Hyperlink"/>
            <w:rFonts w:asciiTheme="majorBidi" w:hAnsiTheme="majorBidi" w:cstheme="majorBidi"/>
            <w:color w:val="auto"/>
            <w:szCs w:val="18"/>
            <w:u w:val="none"/>
            <w:bdr w:val="none" w:sz="0" w:space="0" w:color="auto" w:frame="1"/>
            <w:shd w:val="clear" w:color="auto" w:fill="FFFFFF"/>
          </w:rPr>
          <w:t>https://youngoclimate.org</w:t>
        </w:r>
      </w:hyperlink>
      <w:r>
        <w:rPr>
          <w:rStyle w:val="Hyperlink"/>
          <w:rFonts w:asciiTheme="majorBidi" w:hAnsiTheme="majorBidi" w:cstheme="majorBidi"/>
          <w:color w:val="auto"/>
          <w:szCs w:val="18"/>
          <w:u w:val="none"/>
          <w:bdr w:val="none" w:sz="0" w:space="0" w:color="auto" w:frame="1"/>
          <w:shd w:val="clear" w:color="auto" w:fill="FFFFFF"/>
        </w:rPr>
        <w:t>.</w:t>
      </w:r>
      <w:r>
        <w:rPr>
          <w:rFonts w:asciiTheme="majorBidi" w:hAnsiTheme="majorBidi" w:cstheme="majorBidi"/>
          <w:szCs w:val="18"/>
        </w:rPr>
        <w:t xml:space="preserve"> </w:t>
      </w:r>
    </w:p>
  </w:footnote>
  <w:footnote w:id="149">
    <w:p w14:paraId="2EA6A1F6" w14:textId="21E3B853" w:rsidR="00DA0273" w:rsidRPr="00797E10" w:rsidRDefault="00DA0273" w:rsidP="00477193">
      <w:pPr>
        <w:keepLines/>
        <w:pBdr>
          <w:top w:val="nil"/>
          <w:left w:val="nil"/>
          <w:bottom w:val="nil"/>
          <w:right w:val="nil"/>
          <w:between w:val="nil"/>
        </w:pBdr>
        <w:jc w:val="left"/>
        <w:rPr>
          <w:color w:val="000000"/>
          <w:kern w:val="18"/>
          <w:sz w:val="18"/>
          <w:szCs w:val="18"/>
        </w:rPr>
      </w:pPr>
      <w:r w:rsidRPr="00610646">
        <w:rPr>
          <w:rStyle w:val="FootnoteReference"/>
        </w:rPr>
        <w:footnoteRef/>
      </w:r>
      <w:r w:rsidRPr="00797E10">
        <w:rPr>
          <w:color w:val="000000"/>
          <w:kern w:val="18"/>
          <w:sz w:val="18"/>
          <w:szCs w:val="18"/>
        </w:rPr>
        <w:t xml:space="preserve"> Conference of the Parties, decision </w:t>
      </w:r>
      <w:hyperlink r:id="rId42">
        <w:r w:rsidRPr="00797E10">
          <w:rPr>
            <w:color w:val="0000FF"/>
            <w:kern w:val="18"/>
            <w:sz w:val="18"/>
            <w:szCs w:val="18"/>
            <w:u w:val="single"/>
          </w:rPr>
          <w:t>X/2</w:t>
        </w:r>
      </w:hyperlink>
      <w:r w:rsidRPr="00797E10">
        <w:rPr>
          <w:color w:val="000000"/>
          <w:kern w:val="18"/>
          <w:sz w:val="18"/>
          <w:szCs w:val="18"/>
        </w:rPr>
        <w:t>.</w:t>
      </w:r>
    </w:p>
  </w:footnote>
  <w:footnote w:id="150">
    <w:p w14:paraId="49A01DBA" w14:textId="77777777" w:rsidR="00DA0273" w:rsidRPr="00F03EE2" w:rsidRDefault="00DA0273" w:rsidP="00477193">
      <w:pPr>
        <w:pStyle w:val="FootnoteText"/>
        <w:ind w:firstLine="0"/>
        <w:rPr>
          <w:szCs w:val="18"/>
          <w:lang w:val="it-IT"/>
        </w:rPr>
      </w:pPr>
      <w:r w:rsidRPr="00610646">
        <w:rPr>
          <w:rStyle w:val="FootnoteReference"/>
        </w:rPr>
        <w:footnoteRef/>
      </w:r>
      <w:r w:rsidRPr="00F03EE2">
        <w:rPr>
          <w:szCs w:val="18"/>
          <w:lang w:val="it-IT"/>
        </w:rPr>
        <w:t xml:space="preserve"> Decision 15/11.</w:t>
      </w:r>
    </w:p>
  </w:footnote>
  <w:footnote w:id="151">
    <w:p w14:paraId="1EA14DBA" w14:textId="740E8CCA" w:rsidR="00DA0273" w:rsidRPr="00F03EE2" w:rsidRDefault="00DA0273" w:rsidP="00DE52D9">
      <w:pPr>
        <w:pStyle w:val="FootnoteText"/>
        <w:ind w:firstLine="0"/>
        <w:rPr>
          <w:szCs w:val="18"/>
          <w:lang w:val="it-IT"/>
        </w:rPr>
      </w:pPr>
      <w:r w:rsidRPr="00610646">
        <w:rPr>
          <w:rStyle w:val="FootnoteReference"/>
        </w:rPr>
        <w:footnoteRef/>
      </w:r>
      <w:r w:rsidRPr="00F03EE2">
        <w:rPr>
          <w:szCs w:val="18"/>
          <w:lang w:val="it-IT"/>
        </w:rPr>
        <w:t xml:space="preserve"> </w:t>
      </w:r>
      <w:hyperlink r:id="rId43" w:history="1">
        <w:r w:rsidRPr="00F03EE2">
          <w:rPr>
            <w:rStyle w:val="Hyperlink"/>
            <w:snapToGrid w:val="0"/>
            <w:kern w:val="22"/>
            <w:szCs w:val="18"/>
            <w:lang w:val="it-IT"/>
          </w:rPr>
          <w:t>https://www.cbd.int/article/people-for-our-planet-aggregator</w:t>
        </w:r>
      </w:hyperlink>
      <w:r w:rsidRPr="00F03EE2">
        <w:rPr>
          <w:szCs w:val="18"/>
          <w:lang w:val="it-IT"/>
        </w:rPr>
        <w:t>.</w:t>
      </w:r>
    </w:p>
  </w:footnote>
  <w:footnote w:id="152">
    <w:p w14:paraId="2D2F944A" w14:textId="77777777" w:rsidR="00DA0273" w:rsidRPr="00F03EE2" w:rsidRDefault="00DA0273" w:rsidP="00F03EE2">
      <w:pPr>
        <w:pStyle w:val="FootnoteText"/>
        <w:ind w:firstLine="0"/>
        <w:rPr>
          <w:lang w:val="en-US"/>
        </w:rPr>
      </w:pPr>
      <w:r w:rsidRPr="00610646">
        <w:rPr>
          <w:rStyle w:val="FootnoteReference"/>
        </w:rPr>
        <w:footnoteRef/>
      </w:r>
      <w:r w:rsidRPr="005E3A73">
        <w:rPr>
          <w:szCs w:val="18"/>
        </w:rPr>
        <w:t xml:space="preserve"> </w:t>
      </w:r>
      <w:r w:rsidRPr="005E3A73">
        <w:rPr>
          <w:szCs w:val="18"/>
          <w:lang w:val="en-US"/>
        </w:rPr>
        <w:t>Decision 15/5.</w:t>
      </w:r>
    </w:p>
  </w:footnote>
  <w:footnote w:id="153">
    <w:p w14:paraId="2F09DBE7" w14:textId="77777777" w:rsidR="00DA0273" w:rsidRPr="008079EE" w:rsidRDefault="00DA0273" w:rsidP="000E778E">
      <w:pPr>
        <w:pStyle w:val="FootnoteText"/>
        <w:ind w:firstLine="0"/>
      </w:pPr>
      <w:r w:rsidRPr="00610646">
        <w:rPr>
          <w:rStyle w:val="FootnoteReference"/>
        </w:rPr>
        <w:footnoteRef/>
      </w:r>
      <w:r>
        <w:t xml:space="preserve"> CBD/COP/15/8.</w:t>
      </w:r>
    </w:p>
  </w:footnote>
  <w:footnote w:id="154">
    <w:p w14:paraId="28460915" w14:textId="77777777" w:rsidR="00DA0273" w:rsidRPr="00B926B8" w:rsidRDefault="00DA0273" w:rsidP="00E66C6E">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B926B8">
        <w:rPr>
          <w:kern w:val="18"/>
          <w:szCs w:val="18"/>
        </w:rPr>
        <w:t xml:space="preserve"> </w:t>
      </w:r>
      <w:r>
        <w:rPr>
          <w:kern w:val="18"/>
          <w:szCs w:val="18"/>
        </w:rPr>
        <w:t>The executive summary is available in CBD/SBI/3/6/Add.2/Rev.1 and the full report is available in CBD/SBI/3/INF/44.</w:t>
      </w:r>
    </w:p>
  </w:footnote>
  <w:footnote w:id="155">
    <w:p w14:paraId="21D72E24" w14:textId="59C2F130" w:rsidR="00DA0273" w:rsidRPr="00824CC1" w:rsidRDefault="00DA0273" w:rsidP="00E21EEB">
      <w:pPr>
        <w:pStyle w:val="FootnoteText"/>
        <w:ind w:firstLine="0"/>
      </w:pPr>
      <w:r w:rsidRPr="00610646">
        <w:rPr>
          <w:rStyle w:val="FootnoteReference"/>
        </w:rPr>
        <w:footnoteRef/>
      </w:r>
      <w:r>
        <w:t xml:space="preserve"> </w:t>
      </w:r>
      <w:bookmarkStart w:id="201" w:name="_Hlk122084754"/>
      <w:r>
        <w:t>Replenishment of the Global Environment Facility refers to replenishment of the Global Environment Facility Trust Fund</w:t>
      </w:r>
      <w:bookmarkEnd w:id="201"/>
      <w:r w:rsidR="00DA4E24">
        <w:t>.</w:t>
      </w:r>
    </w:p>
  </w:footnote>
  <w:footnote w:id="156">
    <w:p w14:paraId="5711E7CE" w14:textId="77777777" w:rsidR="00DA0273" w:rsidRPr="00A01C63" w:rsidRDefault="00DA0273" w:rsidP="000E778E">
      <w:pPr>
        <w:pStyle w:val="FootnoteText"/>
        <w:ind w:firstLine="0"/>
      </w:pPr>
      <w:r w:rsidRPr="00610646">
        <w:rPr>
          <w:rStyle w:val="FootnoteReference"/>
        </w:rPr>
        <w:footnoteRef/>
      </w:r>
      <w:r>
        <w:t xml:space="preserve"> Decision 15/4, annex.</w:t>
      </w:r>
    </w:p>
  </w:footnote>
  <w:footnote w:id="157">
    <w:p w14:paraId="64F6A3AC" w14:textId="77777777" w:rsidR="00DA0273" w:rsidRPr="00E26015" w:rsidRDefault="00DA0273" w:rsidP="000E778E">
      <w:pPr>
        <w:pStyle w:val="FootnoteText"/>
        <w:ind w:firstLine="0"/>
      </w:pPr>
      <w:r w:rsidRPr="00610646">
        <w:rPr>
          <w:rStyle w:val="FootnoteReference"/>
        </w:rPr>
        <w:footnoteRef/>
      </w:r>
      <w:r>
        <w:t xml:space="preserve"> Decision 15/5, annex I.</w:t>
      </w:r>
    </w:p>
  </w:footnote>
  <w:footnote w:id="158">
    <w:p w14:paraId="64F1F584" w14:textId="77777777" w:rsidR="00DA0273" w:rsidRPr="000E778E" w:rsidRDefault="00DA0273" w:rsidP="006B08B1">
      <w:pPr>
        <w:pStyle w:val="FootnoteText"/>
        <w:ind w:firstLine="0"/>
        <w:rPr>
          <w:lang w:val="en-US"/>
        </w:rPr>
      </w:pPr>
      <w:r w:rsidRPr="00610646">
        <w:rPr>
          <w:rStyle w:val="FootnoteReference"/>
        </w:rPr>
        <w:footnoteRef/>
      </w:r>
      <w:r>
        <w:t xml:space="preserve"> </w:t>
      </w:r>
      <w:r>
        <w:rPr>
          <w:lang w:val="en-US"/>
        </w:rPr>
        <w:t>Decision 15/7.</w:t>
      </w:r>
    </w:p>
  </w:footnote>
  <w:footnote w:id="159">
    <w:p w14:paraId="3164C8B5" w14:textId="77777777" w:rsidR="00DA0273" w:rsidRPr="000E778E" w:rsidRDefault="00DA0273" w:rsidP="006B08B1">
      <w:pPr>
        <w:pStyle w:val="FootnoteText"/>
        <w:ind w:firstLine="0"/>
        <w:rPr>
          <w:lang w:val="en-US"/>
        </w:rPr>
      </w:pPr>
      <w:r w:rsidRPr="00610646">
        <w:rPr>
          <w:rStyle w:val="FootnoteReference"/>
        </w:rPr>
        <w:footnoteRef/>
      </w:r>
      <w:r>
        <w:t xml:space="preserve"> </w:t>
      </w:r>
      <w:r>
        <w:rPr>
          <w:lang w:val="en-US"/>
        </w:rPr>
        <w:t>Decision 15/8, annex I.</w:t>
      </w:r>
    </w:p>
  </w:footnote>
  <w:footnote w:id="160">
    <w:p w14:paraId="027495FC" w14:textId="77777777" w:rsidR="00DA0273" w:rsidRPr="000E778E" w:rsidRDefault="00DA0273" w:rsidP="006B08B1">
      <w:pPr>
        <w:pStyle w:val="FootnoteText"/>
        <w:ind w:firstLine="0"/>
        <w:rPr>
          <w:lang w:val="en-US"/>
        </w:rPr>
      </w:pPr>
      <w:r w:rsidRPr="00610646">
        <w:rPr>
          <w:rStyle w:val="FootnoteReference"/>
        </w:rPr>
        <w:footnoteRef/>
      </w:r>
      <w:r>
        <w:t xml:space="preserve"> </w:t>
      </w:r>
      <w:r>
        <w:rPr>
          <w:lang w:val="en-US"/>
        </w:rPr>
        <w:t>Decision 15/12, annex.</w:t>
      </w:r>
    </w:p>
  </w:footnote>
  <w:footnote w:id="161">
    <w:p w14:paraId="4DAA89F0" w14:textId="77777777" w:rsidR="00DA0273" w:rsidRPr="000E778E" w:rsidRDefault="00DA0273" w:rsidP="006B08B1">
      <w:pPr>
        <w:pStyle w:val="FootnoteText"/>
        <w:ind w:firstLine="0"/>
        <w:rPr>
          <w:lang w:val="en-US"/>
        </w:rPr>
      </w:pPr>
      <w:r w:rsidRPr="00610646">
        <w:rPr>
          <w:rStyle w:val="FootnoteReference"/>
        </w:rPr>
        <w:footnoteRef/>
      </w:r>
      <w:r>
        <w:t xml:space="preserve"> </w:t>
      </w:r>
      <w:r>
        <w:rPr>
          <w:lang w:val="en-US"/>
        </w:rPr>
        <w:t>Decision 15/11, annex.</w:t>
      </w:r>
    </w:p>
  </w:footnote>
  <w:footnote w:id="162">
    <w:p w14:paraId="227A882B" w14:textId="77777777" w:rsidR="00DA0273" w:rsidRPr="00AB32F5" w:rsidRDefault="00DA0273" w:rsidP="006B08B1">
      <w:pPr>
        <w:pStyle w:val="FootnoteText"/>
        <w:ind w:firstLine="0"/>
        <w:rPr>
          <w:lang w:val="en-US"/>
        </w:rPr>
      </w:pPr>
      <w:r w:rsidRPr="00610646">
        <w:rPr>
          <w:rStyle w:val="FootnoteReference"/>
        </w:rPr>
        <w:footnoteRef/>
      </w:r>
      <w:r>
        <w:t xml:space="preserve"> Decision 15/6</w:t>
      </w:r>
    </w:p>
  </w:footnote>
  <w:footnote w:id="163">
    <w:p w14:paraId="51C6AB24" w14:textId="77777777" w:rsidR="00DA0273" w:rsidRPr="006573D7" w:rsidRDefault="00DA0273" w:rsidP="006B08B1">
      <w:pPr>
        <w:pStyle w:val="FootnoteText"/>
        <w:ind w:firstLine="0"/>
      </w:pPr>
      <w:r w:rsidRPr="00610646">
        <w:rPr>
          <w:rStyle w:val="FootnoteReference"/>
        </w:rPr>
        <w:footnoteRef/>
      </w:r>
      <w:r>
        <w:t xml:space="preserve"> Decision CP-10/3, annex.</w:t>
      </w:r>
    </w:p>
  </w:footnote>
  <w:footnote w:id="164">
    <w:p w14:paraId="4DA075E5" w14:textId="77777777" w:rsidR="00DA0273" w:rsidRPr="00C038FE" w:rsidRDefault="00DA0273" w:rsidP="006B08B1">
      <w:pPr>
        <w:pStyle w:val="FootnoteText"/>
        <w:ind w:firstLine="0"/>
      </w:pPr>
      <w:r w:rsidRPr="00610646">
        <w:rPr>
          <w:rStyle w:val="FootnoteReference"/>
        </w:rPr>
        <w:footnoteRef/>
      </w:r>
      <w:r>
        <w:t xml:space="preserve"> Decision CP-10/4, annex.</w:t>
      </w:r>
    </w:p>
  </w:footnote>
  <w:footnote w:id="165">
    <w:p w14:paraId="1FD7A8A9" w14:textId="77777777" w:rsidR="00DA0273" w:rsidRPr="00740F4D" w:rsidRDefault="00DA0273" w:rsidP="006B08B1">
      <w:pPr>
        <w:pStyle w:val="FootnoteText"/>
        <w:ind w:firstLine="0"/>
        <w:rPr>
          <w:szCs w:val="18"/>
        </w:rPr>
      </w:pPr>
      <w:r w:rsidRPr="00610646">
        <w:rPr>
          <w:rStyle w:val="FootnoteReference"/>
        </w:rPr>
        <w:footnoteRef/>
      </w:r>
      <w:r w:rsidRPr="00740F4D">
        <w:rPr>
          <w:szCs w:val="18"/>
        </w:rPr>
        <w:t xml:space="preserve"> Such support under GEF-8 would build upon support being provided under GEF-7. </w:t>
      </w:r>
    </w:p>
  </w:footnote>
  <w:footnote w:id="166">
    <w:p w14:paraId="2F6E2666" w14:textId="3025ABF9" w:rsidR="00DA0273" w:rsidRPr="00F121AC" w:rsidRDefault="00DA0273" w:rsidP="00E66C6E">
      <w:pPr>
        <w:pStyle w:val="FootnoteText"/>
        <w:ind w:firstLine="0"/>
      </w:pPr>
      <w:r w:rsidRPr="00610646">
        <w:rPr>
          <w:rStyle w:val="FootnoteReference"/>
        </w:rPr>
        <w:footnoteRef/>
      </w:r>
      <w:r w:rsidRPr="00F121AC">
        <w:t xml:space="preserve"> Defined in </w:t>
      </w:r>
      <w:hyperlink r:id="rId44" w:history="1">
        <w:r w:rsidRPr="00F121AC">
          <w:rPr>
            <w:rStyle w:val="Hyperlink"/>
          </w:rPr>
          <w:t>decision V/6</w:t>
        </w:r>
      </w:hyperlink>
    </w:p>
  </w:footnote>
  <w:footnote w:id="167">
    <w:p w14:paraId="2FC3EA14" w14:textId="77777777" w:rsidR="00DA0273" w:rsidRPr="00F121AC" w:rsidRDefault="00DA0273" w:rsidP="00E66C6E">
      <w:pPr>
        <w:pStyle w:val="FootnoteText"/>
        <w:ind w:firstLine="0"/>
      </w:pPr>
      <w:r w:rsidRPr="00610646">
        <w:rPr>
          <w:rStyle w:val="FootnoteReference"/>
        </w:rPr>
        <w:footnoteRef/>
      </w:r>
      <w:r w:rsidRPr="00F121AC">
        <w:t xml:space="preserve"> </w:t>
      </w:r>
      <w:r w:rsidRPr="00F121AC">
        <w:rPr>
          <w:szCs w:val="18"/>
        </w:rPr>
        <w:t xml:space="preserve">Resolution </w:t>
      </w:r>
      <w:r w:rsidRPr="00C047BC">
        <w:rPr>
          <w:szCs w:val="18"/>
        </w:rPr>
        <w:t>UNEP/EA.5/Res.5</w:t>
      </w:r>
      <w:r>
        <w:rPr>
          <w:szCs w:val="18"/>
        </w:rPr>
        <w:t xml:space="preserve">. </w:t>
      </w:r>
      <w:r w:rsidRPr="00AB5474">
        <w:rPr>
          <w:szCs w:val="18"/>
        </w:rPr>
        <w:t>Nature-based solutions for supporting sustainable development</w:t>
      </w:r>
      <w:r>
        <w:rPr>
          <w:szCs w:val="18"/>
        </w:rPr>
        <w:t xml:space="preserve">), </w:t>
      </w:r>
      <w:r w:rsidRPr="008E37A4">
        <w:rPr>
          <w:szCs w:val="18"/>
        </w:rPr>
        <w:t>adopted by the United Nations Environment Assembly on 2 March 2022</w:t>
      </w:r>
    </w:p>
  </w:footnote>
  <w:footnote w:id="168">
    <w:p w14:paraId="09F7BEA3" w14:textId="77777777" w:rsidR="00DA0273" w:rsidRPr="00E21EEB" w:rsidRDefault="00DA0273" w:rsidP="0081037E">
      <w:pPr>
        <w:pStyle w:val="FootnoteText"/>
        <w:ind w:firstLine="0"/>
        <w:rPr>
          <w:lang w:val="en-US"/>
        </w:rPr>
      </w:pPr>
      <w:r w:rsidRPr="00610646">
        <w:rPr>
          <w:rStyle w:val="FootnoteReference"/>
        </w:rPr>
        <w:footnoteRef/>
      </w:r>
      <w:r w:rsidRPr="00E21EEB">
        <w:t xml:space="preserve"> </w:t>
      </w:r>
      <w:r w:rsidRPr="00E21EEB">
        <w:rPr>
          <w:lang w:val="en-US"/>
        </w:rPr>
        <w:t>Decision</w:t>
      </w:r>
      <w:r w:rsidRPr="00B07C20">
        <w:rPr>
          <w:lang w:val="en-US"/>
        </w:rPr>
        <w:t xml:space="preserve"> NP-4/</w:t>
      </w:r>
      <w:r>
        <w:rPr>
          <w:lang w:val="en-US"/>
        </w:rPr>
        <w:t>7</w:t>
      </w:r>
      <w:r w:rsidRPr="00B07C20">
        <w:rPr>
          <w:lang w:val="en-US"/>
        </w:rPr>
        <w:t xml:space="preserve">, </w:t>
      </w:r>
      <w:r>
        <w:rPr>
          <w:lang w:val="en-US"/>
        </w:rPr>
        <w:t>a</w:t>
      </w:r>
      <w:r w:rsidRPr="00B07C20">
        <w:rPr>
          <w:lang w:val="en-US"/>
        </w:rPr>
        <w:t>nnex</w:t>
      </w:r>
      <w:r>
        <w:rPr>
          <w:lang w:val="en-US"/>
        </w:rPr>
        <w:t>.</w:t>
      </w:r>
    </w:p>
  </w:footnote>
  <w:footnote w:id="169">
    <w:p w14:paraId="00591DA1" w14:textId="6E731783" w:rsidR="00DA0273" w:rsidRPr="00FF7447" w:rsidRDefault="00DA0273" w:rsidP="008103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FF7447">
        <w:rPr>
          <w:snapToGrid w:val="0"/>
          <w:kern w:val="18"/>
          <w:szCs w:val="18"/>
        </w:rPr>
        <w:t xml:space="preserve"> Decision XIII/21, annex II, paragraph 52</w:t>
      </w:r>
      <w:r w:rsidR="00573E6C">
        <w:rPr>
          <w:snapToGrid w:val="0"/>
          <w:kern w:val="18"/>
          <w:szCs w:val="18"/>
        </w:rPr>
        <w:t>.</w:t>
      </w:r>
    </w:p>
  </w:footnote>
  <w:footnote w:id="170">
    <w:p w14:paraId="75D2559E" w14:textId="6139BF79" w:rsidR="00DA0273" w:rsidRPr="00FF7447" w:rsidRDefault="00DA0273" w:rsidP="008103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FF7447">
        <w:rPr>
          <w:snapToGrid w:val="0"/>
          <w:kern w:val="18"/>
          <w:szCs w:val="18"/>
        </w:rPr>
        <w:t xml:space="preserve"> </w:t>
      </w:r>
      <w:r>
        <w:rPr>
          <w:snapToGrid w:val="0"/>
          <w:kern w:val="18"/>
          <w:szCs w:val="18"/>
        </w:rPr>
        <w:t>Adapted from d</w:t>
      </w:r>
      <w:r w:rsidRPr="00FF7447">
        <w:rPr>
          <w:snapToGrid w:val="0"/>
          <w:kern w:val="18"/>
          <w:szCs w:val="18"/>
        </w:rPr>
        <w:t>ecisions XIII/21, annex II, paragraph 53, and 14/23, paragraph 2</w:t>
      </w:r>
      <w:r w:rsidR="0081037E">
        <w:rPr>
          <w:snapToGrid w:val="0"/>
          <w:kern w:val="18"/>
          <w:szCs w:val="18"/>
        </w:rPr>
        <w:t>.</w:t>
      </w:r>
    </w:p>
  </w:footnote>
  <w:footnote w:id="171">
    <w:p w14:paraId="212B8E14" w14:textId="0F82181D" w:rsidR="00DA0273" w:rsidRPr="00FF7447" w:rsidRDefault="00DA0273" w:rsidP="00573E6C">
      <w:pPr>
        <w:pStyle w:val="FootnoteText"/>
        <w:keepLines w:val="0"/>
        <w:suppressLineNumbers/>
        <w:tabs>
          <w:tab w:val="left" w:pos="7118"/>
        </w:tabs>
        <w:suppressAutoHyphens/>
        <w:adjustRightInd w:val="0"/>
        <w:snapToGrid w:val="0"/>
        <w:ind w:firstLine="0"/>
        <w:jc w:val="left"/>
        <w:rPr>
          <w:snapToGrid w:val="0"/>
          <w:kern w:val="18"/>
          <w:szCs w:val="18"/>
        </w:rPr>
      </w:pPr>
      <w:r w:rsidRPr="00610646">
        <w:rPr>
          <w:rStyle w:val="FootnoteReference"/>
          <w:rFonts w:eastAsiaTheme="majorEastAsia"/>
        </w:rPr>
        <w:footnoteRef/>
      </w:r>
      <w:r w:rsidRPr="00FF7447">
        <w:rPr>
          <w:snapToGrid w:val="0"/>
          <w:kern w:val="18"/>
          <w:szCs w:val="18"/>
        </w:rPr>
        <w:t xml:space="preserve"> Decision XIII/21, annex II, paragraph 1</w:t>
      </w:r>
      <w:r w:rsidR="00573E6C">
        <w:rPr>
          <w:snapToGrid w:val="0"/>
          <w:kern w:val="18"/>
          <w:szCs w:val="18"/>
        </w:rPr>
        <w:t>.</w:t>
      </w:r>
    </w:p>
  </w:footnote>
  <w:footnote w:id="172">
    <w:p w14:paraId="1EF66AE9" w14:textId="4E0AAC12" w:rsidR="00DA0273" w:rsidRPr="00FF7447" w:rsidRDefault="00DA0273" w:rsidP="00573E6C">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FF7447">
        <w:rPr>
          <w:snapToGrid w:val="0"/>
          <w:kern w:val="18"/>
          <w:szCs w:val="18"/>
        </w:rPr>
        <w:t xml:space="preserve"> Decision XIII/21, annex II, paragraph 2</w:t>
      </w:r>
      <w:r w:rsidR="00573E6C">
        <w:rPr>
          <w:snapToGrid w:val="0"/>
          <w:kern w:val="18"/>
          <w:szCs w:val="18"/>
        </w:rPr>
        <w:t>.</w:t>
      </w:r>
    </w:p>
  </w:footnote>
  <w:footnote w:id="173">
    <w:p w14:paraId="6E7037B8" w14:textId="65B653CE" w:rsidR="00DA0273" w:rsidRPr="00FF7447" w:rsidRDefault="00DA0273" w:rsidP="00573E6C">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FF7447">
        <w:rPr>
          <w:snapToGrid w:val="0"/>
          <w:kern w:val="18"/>
          <w:szCs w:val="18"/>
        </w:rPr>
        <w:t xml:space="preserve"> Decision XIII/21, annex II, paragraph 3</w:t>
      </w:r>
      <w:r w:rsidR="00573E6C">
        <w:rPr>
          <w:snapToGrid w:val="0"/>
          <w:kern w:val="18"/>
          <w:szCs w:val="18"/>
        </w:rPr>
        <w:t>.</w:t>
      </w:r>
    </w:p>
  </w:footnote>
  <w:footnote w:id="174">
    <w:p w14:paraId="62168E32" w14:textId="77777777" w:rsidR="00DA0273" w:rsidRPr="00FF7447" w:rsidRDefault="00DA0273" w:rsidP="00573E6C">
      <w:pPr>
        <w:pStyle w:val="FootnoteText"/>
        <w:keepLines w:val="0"/>
        <w:suppressLineNumbers/>
        <w:suppressAutoHyphens/>
        <w:adjustRightInd w:val="0"/>
        <w:snapToGrid w:val="0"/>
        <w:ind w:firstLine="0"/>
        <w:jc w:val="left"/>
        <w:rPr>
          <w:lang w:val="en-US"/>
        </w:rPr>
      </w:pPr>
      <w:r w:rsidRPr="00610646">
        <w:rPr>
          <w:rStyle w:val="FootnoteReference"/>
          <w:rFonts w:eastAsiaTheme="majorEastAsia"/>
        </w:rPr>
        <w:footnoteRef/>
      </w:r>
      <w:r w:rsidRPr="00FF7447">
        <w:rPr>
          <w:lang w:val="en-US"/>
        </w:rPr>
        <w:t xml:space="preserve"> </w:t>
      </w:r>
      <w:r w:rsidRPr="00FF7447">
        <w:rPr>
          <w:snapToGrid w:val="0"/>
          <w:kern w:val="18"/>
          <w:szCs w:val="18"/>
          <w:lang w:val="en-US"/>
        </w:rPr>
        <w:t xml:space="preserve">Decisions XIII/21, paragraph 24, and </w:t>
      </w:r>
      <w:r w:rsidRPr="00FF7447">
        <w:rPr>
          <w:lang w:val="en-US"/>
        </w:rPr>
        <w:t>XIII/5, paragraph 4</w:t>
      </w:r>
    </w:p>
  </w:footnote>
  <w:footnote w:id="175">
    <w:p w14:paraId="1659F3DA" w14:textId="77777777" w:rsidR="00DA0273" w:rsidRPr="003A50A0" w:rsidRDefault="00DA0273" w:rsidP="00573E6C">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FF7447">
        <w:rPr>
          <w:snapToGrid w:val="0"/>
          <w:kern w:val="18"/>
          <w:szCs w:val="18"/>
        </w:rPr>
        <w:t xml:space="preserve"> Decision XIII/21, annex II, paragraph 4.</w:t>
      </w:r>
    </w:p>
  </w:footnote>
  <w:footnote w:id="176">
    <w:p w14:paraId="13ECA3F3" w14:textId="77777777" w:rsidR="00DA0273" w:rsidRPr="003A50A0" w:rsidRDefault="00DA0273" w:rsidP="00573E6C">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w:t>
      </w:r>
      <w:r>
        <w:rPr>
          <w:snapToGrid w:val="0"/>
          <w:kern w:val="18"/>
          <w:szCs w:val="18"/>
        </w:rPr>
        <w:t>Updated from d</w:t>
      </w:r>
      <w:r w:rsidRPr="003A50A0">
        <w:rPr>
          <w:snapToGrid w:val="0"/>
          <w:kern w:val="18"/>
          <w:szCs w:val="18"/>
        </w:rPr>
        <w:t>ecision XIII/21, annex II, paragraph 5.</w:t>
      </w:r>
    </w:p>
  </w:footnote>
  <w:footnote w:id="177">
    <w:p w14:paraId="785A6C21" w14:textId="77777777"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6.</w:t>
      </w:r>
    </w:p>
  </w:footnote>
  <w:footnote w:id="178">
    <w:p w14:paraId="3FF31970" w14:textId="483E0B3F"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7</w:t>
      </w:r>
      <w:r w:rsidR="00D64C7E">
        <w:rPr>
          <w:snapToGrid w:val="0"/>
          <w:kern w:val="18"/>
          <w:szCs w:val="18"/>
        </w:rPr>
        <w:t>.</w:t>
      </w:r>
    </w:p>
  </w:footnote>
  <w:footnote w:id="179">
    <w:p w14:paraId="6C23A372" w14:textId="70D53491"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8</w:t>
      </w:r>
      <w:r w:rsidR="00D64C7E">
        <w:rPr>
          <w:snapToGrid w:val="0"/>
          <w:kern w:val="18"/>
          <w:szCs w:val="18"/>
        </w:rPr>
        <w:t>.</w:t>
      </w:r>
    </w:p>
  </w:footnote>
  <w:footnote w:id="180">
    <w:p w14:paraId="2E422A60" w14:textId="3A5214C2"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9</w:t>
      </w:r>
      <w:r w:rsidR="00D64C7E">
        <w:rPr>
          <w:snapToGrid w:val="0"/>
          <w:kern w:val="18"/>
          <w:szCs w:val="18"/>
        </w:rPr>
        <w:t>.</w:t>
      </w:r>
    </w:p>
  </w:footnote>
  <w:footnote w:id="181">
    <w:p w14:paraId="3B607653" w14:textId="262C2094"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10</w:t>
      </w:r>
      <w:r w:rsidR="00D64C7E">
        <w:rPr>
          <w:snapToGrid w:val="0"/>
          <w:kern w:val="18"/>
          <w:szCs w:val="18"/>
        </w:rPr>
        <w:t>.</w:t>
      </w:r>
    </w:p>
  </w:footnote>
  <w:footnote w:id="182">
    <w:p w14:paraId="7EA812A2" w14:textId="51CD234E" w:rsidR="00DA0273" w:rsidRPr="003A50A0" w:rsidRDefault="00DA0273" w:rsidP="00D64C7E">
      <w:pPr>
        <w:pStyle w:val="FootnoteText"/>
        <w:keepLines w:val="0"/>
        <w:suppressLineNumbers/>
        <w:suppressAutoHyphens/>
        <w:adjustRightInd w:val="0"/>
        <w:snapToGrid w:val="0"/>
        <w:ind w:firstLine="0"/>
        <w:jc w:val="left"/>
      </w:pPr>
      <w:r w:rsidRPr="00610646">
        <w:rPr>
          <w:rStyle w:val="FootnoteReference"/>
          <w:rFonts w:eastAsiaTheme="majorEastAsia"/>
        </w:rPr>
        <w:footnoteRef/>
      </w:r>
      <w:r w:rsidRPr="003A50A0">
        <w:t xml:space="preserve"> Decision 14/6, </w:t>
      </w:r>
      <w:r w:rsidRPr="003A50A0">
        <w:rPr>
          <w:snapToGrid w:val="0"/>
          <w:kern w:val="18"/>
          <w:szCs w:val="18"/>
        </w:rPr>
        <w:t>paragraph</w:t>
      </w:r>
      <w:r w:rsidRPr="003A50A0">
        <w:t xml:space="preserve"> 7</w:t>
      </w:r>
      <w:r w:rsidR="00D64C7E">
        <w:t>.</w:t>
      </w:r>
    </w:p>
  </w:footnote>
  <w:footnote w:id="183">
    <w:p w14:paraId="10DFD1CE" w14:textId="126DD156"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w:t>
      </w:r>
      <w:r>
        <w:rPr>
          <w:snapToGrid w:val="0"/>
          <w:kern w:val="18"/>
          <w:szCs w:val="18"/>
        </w:rPr>
        <w:t>Updated from d</w:t>
      </w:r>
      <w:r w:rsidRPr="003A50A0">
        <w:rPr>
          <w:snapToGrid w:val="0"/>
          <w:kern w:val="18"/>
          <w:szCs w:val="18"/>
        </w:rPr>
        <w:t>ecision XIII/21, annex II, paragraph 11</w:t>
      </w:r>
      <w:r w:rsidR="00D64C7E">
        <w:rPr>
          <w:snapToGrid w:val="0"/>
          <w:kern w:val="18"/>
          <w:szCs w:val="18"/>
        </w:rPr>
        <w:t>.</w:t>
      </w:r>
    </w:p>
  </w:footnote>
  <w:footnote w:id="184">
    <w:p w14:paraId="75809689" w14:textId="2A5ECF48"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12</w:t>
      </w:r>
      <w:r w:rsidR="00D64C7E">
        <w:rPr>
          <w:snapToGrid w:val="0"/>
          <w:kern w:val="18"/>
          <w:szCs w:val="18"/>
        </w:rPr>
        <w:t>.</w:t>
      </w:r>
    </w:p>
  </w:footnote>
  <w:footnote w:id="185">
    <w:p w14:paraId="611C09A4" w14:textId="4C0E7A15" w:rsidR="00DA0273" w:rsidRPr="003A50A0" w:rsidRDefault="00DA0273" w:rsidP="00D64C7E">
      <w:pPr>
        <w:pStyle w:val="FootnoteText"/>
        <w:keepLines w:val="0"/>
        <w:suppressLineNumbers/>
        <w:suppressAutoHyphens/>
        <w:adjustRightInd w:val="0"/>
        <w:snapToGrid w:val="0"/>
        <w:ind w:firstLine="0"/>
        <w:jc w:val="left"/>
      </w:pPr>
      <w:r w:rsidRPr="00610646">
        <w:rPr>
          <w:rStyle w:val="FootnoteReference"/>
          <w:rFonts w:eastAsiaTheme="majorEastAsia"/>
        </w:rPr>
        <w:footnoteRef/>
      </w:r>
      <w:r w:rsidRPr="003A50A0">
        <w:t xml:space="preserve"> </w:t>
      </w:r>
      <w:r w:rsidRPr="003A50A0">
        <w:rPr>
          <w:snapToGrid w:val="0"/>
          <w:kern w:val="18"/>
          <w:szCs w:val="18"/>
        </w:rPr>
        <w:t xml:space="preserve">Decision XIII/21, paragraph 25, and </w:t>
      </w:r>
      <w:r w:rsidRPr="003A50A0">
        <w:t>XIII/1, paragraph 20</w:t>
      </w:r>
      <w:r w:rsidR="00D64C7E">
        <w:t>.</w:t>
      </w:r>
    </w:p>
  </w:footnote>
  <w:footnote w:id="186">
    <w:p w14:paraId="0BAACCCC" w14:textId="7BF88815"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13</w:t>
      </w:r>
      <w:r w:rsidR="00D64C7E">
        <w:rPr>
          <w:snapToGrid w:val="0"/>
          <w:kern w:val="18"/>
          <w:szCs w:val="18"/>
        </w:rPr>
        <w:t>.</w:t>
      </w:r>
    </w:p>
  </w:footnote>
  <w:footnote w:id="187">
    <w:p w14:paraId="327F5705" w14:textId="0374A360" w:rsidR="00DA0273" w:rsidRPr="003A50A0" w:rsidRDefault="00DA0273" w:rsidP="00D64C7E">
      <w:pPr>
        <w:pStyle w:val="FootnoteText"/>
        <w:keepLines w:val="0"/>
        <w:suppressLineNumbers/>
        <w:suppressAutoHyphens/>
        <w:adjustRightInd w:val="0"/>
        <w:snapToGrid w:val="0"/>
        <w:ind w:firstLine="0"/>
        <w:jc w:val="left"/>
      </w:pPr>
      <w:r w:rsidRPr="00610646">
        <w:rPr>
          <w:rStyle w:val="FootnoteReference"/>
          <w:rFonts w:eastAsiaTheme="majorEastAsia"/>
        </w:rPr>
        <w:footnoteRef/>
      </w:r>
      <w:r w:rsidRPr="003A50A0">
        <w:t xml:space="preserve"> </w:t>
      </w:r>
      <w:r w:rsidRPr="003A50A0">
        <w:rPr>
          <w:snapToGrid w:val="0"/>
          <w:kern w:val="18"/>
          <w:szCs w:val="18"/>
        </w:rPr>
        <w:t xml:space="preserve">Decision XIII/21, paragraph 28, and </w:t>
      </w:r>
      <w:r w:rsidRPr="003A50A0">
        <w:t>XIII/3, paragraph 112</w:t>
      </w:r>
      <w:r w:rsidR="00D64C7E">
        <w:t>.</w:t>
      </w:r>
    </w:p>
  </w:footnote>
  <w:footnote w:id="188">
    <w:p w14:paraId="5A3A3B66" w14:textId="5FD8AAFF"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14</w:t>
      </w:r>
      <w:r w:rsidR="00D64C7E">
        <w:rPr>
          <w:snapToGrid w:val="0"/>
          <w:kern w:val="18"/>
          <w:szCs w:val="18"/>
        </w:rPr>
        <w:t>.</w:t>
      </w:r>
    </w:p>
  </w:footnote>
  <w:footnote w:id="189">
    <w:p w14:paraId="07059711" w14:textId="17DCE02D"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15; XIII/21, paragraph 26, and </w:t>
      </w:r>
      <w:r w:rsidRPr="003A50A0">
        <w:t>XIII/2, paragraph 11</w:t>
      </w:r>
      <w:r w:rsidR="00D64C7E">
        <w:t>.</w:t>
      </w:r>
    </w:p>
  </w:footnote>
  <w:footnote w:id="190">
    <w:p w14:paraId="7C8126F0" w14:textId="55CCB73D"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16</w:t>
      </w:r>
      <w:r w:rsidR="00D64C7E">
        <w:rPr>
          <w:snapToGrid w:val="0"/>
          <w:kern w:val="18"/>
          <w:szCs w:val="18"/>
        </w:rPr>
        <w:t>.</w:t>
      </w:r>
    </w:p>
  </w:footnote>
  <w:footnote w:id="191">
    <w:p w14:paraId="01BFB522" w14:textId="2BED9E84"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16</w:t>
      </w:r>
      <w:r w:rsidR="00D64C7E">
        <w:rPr>
          <w:snapToGrid w:val="0"/>
          <w:kern w:val="18"/>
          <w:szCs w:val="18"/>
        </w:rPr>
        <w:t>.</w:t>
      </w:r>
    </w:p>
  </w:footnote>
  <w:footnote w:id="192">
    <w:p w14:paraId="32949B37" w14:textId="2DEADA2C" w:rsidR="00DA0273" w:rsidRPr="003A50A0" w:rsidRDefault="00DA0273" w:rsidP="00D64C7E">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16</w:t>
      </w:r>
      <w:r w:rsidR="00D64C7E">
        <w:rPr>
          <w:snapToGrid w:val="0"/>
          <w:kern w:val="18"/>
          <w:szCs w:val="18"/>
        </w:rPr>
        <w:t>.</w:t>
      </w:r>
    </w:p>
  </w:footnote>
  <w:footnote w:id="193">
    <w:p w14:paraId="0A1359DD" w14:textId="6BD35408" w:rsidR="00DA0273" w:rsidRPr="003A50A0" w:rsidRDefault="00DA0273" w:rsidP="00F72E0A">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16; </w:t>
      </w:r>
      <w:r w:rsidRPr="003A50A0">
        <w:t>14/11, para. 14</w:t>
      </w:r>
      <w:r w:rsidR="00F72E0A">
        <w:t>.</w:t>
      </w:r>
    </w:p>
  </w:footnote>
  <w:footnote w:id="194">
    <w:p w14:paraId="236B2557" w14:textId="069C8CFB" w:rsidR="00DA0273" w:rsidRPr="003A50A0" w:rsidRDefault="00DA0273" w:rsidP="00F72E0A">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17</w:t>
      </w:r>
      <w:r w:rsidR="00F72E0A">
        <w:rPr>
          <w:snapToGrid w:val="0"/>
          <w:kern w:val="18"/>
          <w:szCs w:val="18"/>
        </w:rPr>
        <w:t>.</w:t>
      </w:r>
    </w:p>
  </w:footnote>
  <w:footnote w:id="195">
    <w:p w14:paraId="60843AF8" w14:textId="1D419081" w:rsidR="00DA0273" w:rsidRPr="003A50A0" w:rsidRDefault="00DA0273" w:rsidP="00F72E0A">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17</w:t>
      </w:r>
      <w:r w:rsidR="00F72E0A">
        <w:rPr>
          <w:snapToGrid w:val="0"/>
          <w:kern w:val="18"/>
          <w:szCs w:val="18"/>
        </w:rPr>
        <w:t>.</w:t>
      </w:r>
    </w:p>
  </w:footnote>
  <w:footnote w:id="196">
    <w:p w14:paraId="4BD7170E" w14:textId="563BE755" w:rsidR="00DA0273" w:rsidRPr="003A50A0" w:rsidRDefault="00DA0273" w:rsidP="00F72E0A">
      <w:pPr>
        <w:pStyle w:val="FootnoteText"/>
        <w:ind w:firstLine="0"/>
      </w:pPr>
      <w:r w:rsidRPr="00610646">
        <w:rPr>
          <w:rStyle w:val="FootnoteReference"/>
          <w:rFonts w:eastAsiaTheme="majorEastAsia"/>
        </w:rPr>
        <w:footnoteRef/>
      </w:r>
      <w:r w:rsidRPr="003A50A0">
        <w:t xml:space="preserve"> </w:t>
      </w:r>
      <w:r w:rsidRPr="003A50A0">
        <w:rPr>
          <w:snapToGrid w:val="0"/>
          <w:kern w:val="18"/>
          <w:szCs w:val="18"/>
        </w:rPr>
        <w:t>Decision XIII/21, paragraph 29</w:t>
      </w:r>
      <w:r w:rsidR="00F72E0A">
        <w:rPr>
          <w:snapToGrid w:val="0"/>
          <w:kern w:val="18"/>
          <w:szCs w:val="18"/>
        </w:rPr>
        <w:t>.</w:t>
      </w:r>
    </w:p>
  </w:footnote>
  <w:footnote w:id="197">
    <w:p w14:paraId="159C618F" w14:textId="6EAAD8E9" w:rsidR="00DA0273" w:rsidRPr="003A50A0" w:rsidRDefault="00DA0273" w:rsidP="00F72E0A">
      <w:pPr>
        <w:pStyle w:val="FootnoteText"/>
        <w:keepLines w:val="0"/>
        <w:suppressLineNumbers/>
        <w:suppressAutoHyphens/>
        <w:adjustRightInd w:val="0"/>
        <w:snapToGrid w:val="0"/>
        <w:ind w:firstLine="0"/>
        <w:jc w:val="left"/>
      </w:pPr>
      <w:r w:rsidRPr="00610646">
        <w:rPr>
          <w:rStyle w:val="FootnoteReference"/>
          <w:rFonts w:eastAsiaTheme="majorEastAsia"/>
        </w:rPr>
        <w:footnoteRef/>
      </w:r>
      <w:r w:rsidRPr="003A50A0">
        <w:t xml:space="preserve"> Decision XIII/18, </w:t>
      </w:r>
      <w:r w:rsidRPr="003A50A0">
        <w:rPr>
          <w:snapToGrid w:val="0"/>
          <w:kern w:val="18"/>
          <w:szCs w:val="18"/>
        </w:rPr>
        <w:t>para</w:t>
      </w:r>
      <w:r w:rsidRPr="003A50A0">
        <w:t>graph 10</w:t>
      </w:r>
      <w:r w:rsidR="00F72E0A">
        <w:t>.</w:t>
      </w:r>
    </w:p>
  </w:footnote>
  <w:footnote w:id="198">
    <w:p w14:paraId="2B576CE3" w14:textId="12CCAD01" w:rsidR="00DA0273" w:rsidRPr="003A50A0" w:rsidRDefault="00DA0273" w:rsidP="00F72E0A">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18</w:t>
      </w:r>
      <w:r w:rsidR="00F72E0A">
        <w:rPr>
          <w:snapToGrid w:val="0"/>
          <w:kern w:val="18"/>
          <w:szCs w:val="18"/>
        </w:rPr>
        <w:t>.</w:t>
      </w:r>
    </w:p>
  </w:footnote>
  <w:footnote w:id="199">
    <w:p w14:paraId="53F9144F" w14:textId="3AEC4819" w:rsidR="00DA0273" w:rsidRPr="003A50A0" w:rsidRDefault="00DA0273" w:rsidP="00F72E0A">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19</w:t>
      </w:r>
      <w:r w:rsidR="00F72E0A">
        <w:rPr>
          <w:snapToGrid w:val="0"/>
          <w:kern w:val="18"/>
          <w:szCs w:val="18"/>
        </w:rPr>
        <w:t>.</w:t>
      </w:r>
    </w:p>
  </w:footnote>
  <w:footnote w:id="200">
    <w:p w14:paraId="158CFE5B" w14:textId="447BB42A" w:rsidR="00DA0273" w:rsidRPr="003A50A0" w:rsidRDefault="00DA0273" w:rsidP="00F72E0A">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20</w:t>
      </w:r>
      <w:r w:rsidR="00F72E0A">
        <w:rPr>
          <w:snapToGrid w:val="0"/>
          <w:kern w:val="18"/>
          <w:szCs w:val="18"/>
        </w:rPr>
        <w:t>.</w:t>
      </w:r>
    </w:p>
  </w:footnote>
  <w:footnote w:id="201">
    <w:p w14:paraId="5D06B2DD" w14:textId="6E711EF5" w:rsidR="00DA0273" w:rsidRPr="003A50A0" w:rsidRDefault="00DA0273" w:rsidP="00F72E0A">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21</w:t>
      </w:r>
      <w:r w:rsidR="00F72E0A">
        <w:rPr>
          <w:snapToGrid w:val="0"/>
          <w:kern w:val="18"/>
          <w:szCs w:val="18"/>
        </w:rPr>
        <w:t>.</w:t>
      </w:r>
    </w:p>
  </w:footnote>
  <w:footnote w:id="202">
    <w:p w14:paraId="65089EE6" w14:textId="3F2B5BAE" w:rsidR="00DA0273" w:rsidRPr="003A50A0" w:rsidRDefault="00DA0273" w:rsidP="00F72E0A">
      <w:pPr>
        <w:pStyle w:val="FootnoteText"/>
        <w:keepLines w:val="0"/>
        <w:suppressLineNumbers/>
        <w:suppressAutoHyphens/>
        <w:adjustRightInd w:val="0"/>
        <w:snapToGrid w:val="0"/>
        <w:ind w:firstLine="0"/>
        <w:jc w:val="left"/>
        <w:rPr>
          <w:snapToGrid w:val="0"/>
          <w:kern w:val="18"/>
          <w:szCs w:val="18"/>
        </w:rPr>
      </w:pPr>
      <w:r w:rsidRPr="00610646">
        <w:rPr>
          <w:rStyle w:val="FootnoteReference"/>
          <w:rFonts w:eastAsiaTheme="majorEastAsia"/>
        </w:rPr>
        <w:footnoteRef/>
      </w:r>
      <w:r w:rsidRPr="003A50A0">
        <w:rPr>
          <w:snapToGrid w:val="0"/>
          <w:kern w:val="18"/>
          <w:szCs w:val="18"/>
        </w:rPr>
        <w:t xml:space="preserve"> Decision XIII/21, annex II, paragraph 22</w:t>
      </w:r>
      <w:r w:rsidR="00F72E0A">
        <w:rPr>
          <w:snapToGrid w:val="0"/>
          <w:kern w:val="18"/>
          <w:szCs w:val="18"/>
        </w:rPr>
        <w:t>.</w:t>
      </w:r>
    </w:p>
  </w:footnote>
  <w:footnote w:id="203">
    <w:p w14:paraId="16C4DCDC" w14:textId="1A30B0E2" w:rsidR="00DA0273" w:rsidRPr="00230ABB" w:rsidRDefault="00DA0273" w:rsidP="00F72E0A">
      <w:pPr>
        <w:pStyle w:val="FootnoteText"/>
        <w:keepLines w:val="0"/>
        <w:suppressLineNumbers/>
        <w:suppressAutoHyphens/>
        <w:adjustRightInd w:val="0"/>
        <w:snapToGrid w:val="0"/>
        <w:ind w:firstLine="0"/>
        <w:jc w:val="left"/>
        <w:rPr>
          <w:snapToGrid w:val="0"/>
          <w:kern w:val="18"/>
          <w:szCs w:val="18"/>
          <w:lang w:val="en-US"/>
        </w:rPr>
      </w:pPr>
      <w:r w:rsidRPr="00610646">
        <w:rPr>
          <w:rStyle w:val="FootnoteReference"/>
          <w:rFonts w:eastAsiaTheme="majorEastAsia"/>
        </w:rPr>
        <w:footnoteRef/>
      </w:r>
      <w:r w:rsidRPr="00230ABB">
        <w:rPr>
          <w:snapToGrid w:val="0"/>
          <w:kern w:val="18"/>
          <w:szCs w:val="18"/>
          <w:lang w:val="en-US"/>
        </w:rPr>
        <w:t xml:space="preserve"> Decision XIII/21, annex II, paragraph 23, an</w:t>
      </w:r>
      <w:r>
        <w:rPr>
          <w:snapToGrid w:val="0"/>
          <w:kern w:val="18"/>
          <w:szCs w:val="18"/>
          <w:lang w:val="en-US"/>
        </w:rPr>
        <w:t xml:space="preserve">d </w:t>
      </w:r>
      <w:r w:rsidRPr="00230ABB">
        <w:rPr>
          <w:lang w:val="en-US"/>
        </w:rPr>
        <w:t>14/23, para</w:t>
      </w:r>
      <w:r>
        <w:rPr>
          <w:lang w:val="en-US"/>
        </w:rPr>
        <w:t>graph</w:t>
      </w:r>
      <w:r w:rsidRPr="00230ABB">
        <w:rPr>
          <w:lang w:val="en-US"/>
        </w:rPr>
        <w:t xml:space="preserve"> 11</w:t>
      </w:r>
      <w:r w:rsidR="00F72E0A">
        <w:rPr>
          <w:lang w:val="en-US"/>
        </w:rPr>
        <w:t>.</w:t>
      </w:r>
    </w:p>
  </w:footnote>
  <w:footnote w:id="204">
    <w:p w14:paraId="1959AEB4" w14:textId="33086197" w:rsidR="00DA0273" w:rsidRPr="00887761" w:rsidRDefault="00DA0273" w:rsidP="00F72E0A">
      <w:pPr>
        <w:pStyle w:val="FootnoteText"/>
        <w:keepLines w:val="0"/>
        <w:suppressLineNumbers/>
        <w:suppressAutoHyphens/>
        <w:adjustRightInd w:val="0"/>
        <w:snapToGrid w:val="0"/>
        <w:ind w:firstLine="0"/>
        <w:jc w:val="left"/>
        <w:rPr>
          <w:snapToGrid w:val="0"/>
          <w:kern w:val="18"/>
          <w:szCs w:val="18"/>
          <w:lang w:val="en-US"/>
        </w:rPr>
      </w:pPr>
      <w:r w:rsidRPr="00610646">
        <w:rPr>
          <w:rStyle w:val="FootnoteReference"/>
          <w:rFonts w:eastAsiaTheme="majorEastAsia"/>
        </w:rPr>
        <w:footnoteRef/>
      </w:r>
      <w:r w:rsidRPr="00887761">
        <w:rPr>
          <w:snapToGrid w:val="0"/>
          <w:kern w:val="18"/>
          <w:szCs w:val="18"/>
          <w:lang w:val="en-US"/>
        </w:rPr>
        <w:t xml:space="preserve"> Decision XIII/21, annex II, paragraph 23</w:t>
      </w:r>
      <w:r w:rsidR="00F72E0A">
        <w:rPr>
          <w:snapToGrid w:val="0"/>
          <w:kern w:val="18"/>
          <w:szCs w:val="18"/>
          <w:lang w:val="en-US"/>
        </w:rPr>
        <w:t>.</w:t>
      </w:r>
    </w:p>
  </w:footnote>
  <w:footnote w:id="205">
    <w:p w14:paraId="208FED82" w14:textId="59DD79BC" w:rsidR="00DA0273" w:rsidRPr="00887761" w:rsidRDefault="00DA0273" w:rsidP="00F72E0A">
      <w:pPr>
        <w:pStyle w:val="FootnoteText"/>
        <w:keepLines w:val="0"/>
        <w:suppressLineNumbers/>
        <w:suppressAutoHyphens/>
        <w:adjustRightInd w:val="0"/>
        <w:snapToGrid w:val="0"/>
        <w:ind w:firstLine="0"/>
        <w:jc w:val="left"/>
        <w:rPr>
          <w:snapToGrid w:val="0"/>
          <w:kern w:val="18"/>
          <w:szCs w:val="18"/>
          <w:lang w:val="en-US"/>
        </w:rPr>
      </w:pPr>
      <w:r w:rsidRPr="00610646">
        <w:rPr>
          <w:rStyle w:val="FootnoteReference"/>
          <w:rFonts w:eastAsiaTheme="majorEastAsia"/>
        </w:rPr>
        <w:footnoteRef/>
      </w:r>
      <w:r w:rsidRPr="00887761">
        <w:rPr>
          <w:snapToGrid w:val="0"/>
          <w:kern w:val="18"/>
          <w:szCs w:val="18"/>
          <w:lang w:val="en-US"/>
        </w:rPr>
        <w:t xml:space="preserve"> Decision XIII/21, annex II, paragraph 23</w:t>
      </w:r>
      <w:r w:rsidR="00F72E0A">
        <w:rPr>
          <w:snapToGrid w:val="0"/>
          <w:kern w:val="18"/>
          <w:szCs w:val="18"/>
          <w:lang w:val="en-US"/>
        </w:rPr>
        <w:t>.</w:t>
      </w:r>
    </w:p>
  </w:footnote>
  <w:footnote w:id="206">
    <w:p w14:paraId="4C975DF5" w14:textId="45D799EB" w:rsidR="00DA0273" w:rsidRPr="00887761" w:rsidRDefault="00DA0273" w:rsidP="00EE0658">
      <w:pPr>
        <w:pStyle w:val="FootnoteText"/>
        <w:keepLines w:val="0"/>
        <w:suppressLineNumbers/>
        <w:suppressAutoHyphens/>
        <w:adjustRightInd w:val="0"/>
        <w:snapToGrid w:val="0"/>
        <w:ind w:firstLine="0"/>
        <w:jc w:val="left"/>
        <w:rPr>
          <w:snapToGrid w:val="0"/>
          <w:kern w:val="18"/>
          <w:szCs w:val="18"/>
          <w:lang w:val="en-US"/>
        </w:rPr>
      </w:pPr>
      <w:r w:rsidRPr="00610646">
        <w:rPr>
          <w:rStyle w:val="FootnoteReference"/>
          <w:rFonts w:eastAsiaTheme="majorEastAsia"/>
        </w:rPr>
        <w:footnoteRef/>
      </w:r>
      <w:r w:rsidRPr="00887761">
        <w:rPr>
          <w:snapToGrid w:val="0"/>
          <w:kern w:val="18"/>
          <w:szCs w:val="18"/>
          <w:lang w:val="en-US"/>
        </w:rPr>
        <w:t xml:space="preserve"> Decision XIII/21, annex II, paragraph 23</w:t>
      </w:r>
      <w:r w:rsidR="00F72E0A">
        <w:rPr>
          <w:snapToGrid w:val="0"/>
          <w:kern w:val="18"/>
          <w:szCs w:val="18"/>
          <w:lang w:val="en-US"/>
        </w:rPr>
        <w:t>.</w:t>
      </w:r>
    </w:p>
  </w:footnote>
  <w:footnote w:id="207">
    <w:p w14:paraId="65FC4FA7" w14:textId="516BB8ED" w:rsidR="00DA0273" w:rsidRPr="00887761" w:rsidRDefault="00DA0273" w:rsidP="00EE0658">
      <w:pPr>
        <w:pStyle w:val="FootnoteText"/>
        <w:keepLines w:val="0"/>
        <w:suppressLineNumbers/>
        <w:suppressAutoHyphens/>
        <w:adjustRightInd w:val="0"/>
        <w:snapToGrid w:val="0"/>
        <w:ind w:firstLine="0"/>
        <w:jc w:val="left"/>
        <w:rPr>
          <w:snapToGrid w:val="0"/>
          <w:kern w:val="18"/>
          <w:szCs w:val="18"/>
          <w:lang w:val="en-US"/>
        </w:rPr>
      </w:pPr>
      <w:r w:rsidRPr="00610646">
        <w:rPr>
          <w:rStyle w:val="FootnoteReference"/>
          <w:rFonts w:eastAsiaTheme="majorEastAsia"/>
        </w:rPr>
        <w:footnoteRef/>
      </w:r>
      <w:r w:rsidRPr="00887761">
        <w:rPr>
          <w:snapToGrid w:val="0"/>
          <w:kern w:val="18"/>
          <w:szCs w:val="18"/>
          <w:lang w:val="en-US"/>
        </w:rPr>
        <w:t xml:space="preserve"> Decision XIII/21, annex II, paragraph 23</w:t>
      </w:r>
      <w:r w:rsidR="00F72E0A">
        <w:rPr>
          <w:snapToGrid w:val="0"/>
          <w:kern w:val="18"/>
          <w:szCs w:val="18"/>
          <w:lang w:val="en-US"/>
        </w:rPr>
        <w:t>.</w:t>
      </w:r>
    </w:p>
  </w:footnote>
  <w:footnote w:id="208">
    <w:p w14:paraId="1B8896BB" w14:textId="6EF6FB5C" w:rsidR="00DA0273" w:rsidRPr="00887761" w:rsidRDefault="00DA0273" w:rsidP="00EE0658">
      <w:pPr>
        <w:pStyle w:val="FootnoteText"/>
        <w:keepLines w:val="0"/>
        <w:suppressLineNumbers/>
        <w:suppressAutoHyphens/>
        <w:adjustRightInd w:val="0"/>
        <w:snapToGrid w:val="0"/>
        <w:ind w:firstLine="0"/>
        <w:jc w:val="left"/>
        <w:rPr>
          <w:snapToGrid w:val="0"/>
          <w:kern w:val="18"/>
          <w:szCs w:val="18"/>
          <w:lang w:val="en-US"/>
        </w:rPr>
      </w:pPr>
      <w:r w:rsidRPr="00610646">
        <w:rPr>
          <w:rStyle w:val="FootnoteReference"/>
          <w:rFonts w:eastAsiaTheme="majorEastAsia"/>
        </w:rPr>
        <w:footnoteRef/>
      </w:r>
      <w:r w:rsidRPr="00887761">
        <w:rPr>
          <w:snapToGrid w:val="0"/>
          <w:kern w:val="18"/>
          <w:szCs w:val="18"/>
          <w:lang w:val="en-US"/>
        </w:rPr>
        <w:t xml:space="preserve"> Decision XIII/21, annex II, paragraph 23</w:t>
      </w:r>
      <w:r w:rsidR="00F72E0A">
        <w:rPr>
          <w:snapToGrid w:val="0"/>
          <w:kern w:val="18"/>
          <w:szCs w:val="18"/>
          <w:lang w:val="en-US"/>
        </w:rPr>
        <w:t>.</w:t>
      </w:r>
    </w:p>
  </w:footnote>
  <w:footnote w:id="209">
    <w:p w14:paraId="620B4E56" w14:textId="2B44F39B" w:rsidR="00DA0273" w:rsidRPr="00117B86" w:rsidRDefault="00DA0273" w:rsidP="00EE0658">
      <w:pPr>
        <w:pStyle w:val="FootnoteText"/>
        <w:keepLines w:val="0"/>
        <w:suppressLineNumbers/>
        <w:suppressAutoHyphens/>
        <w:adjustRightInd w:val="0"/>
        <w:snapToGrid w:val="0"/>
        <w:ind w:firstLine="0"/>
        <w:jc w:val="left"/>
        <w:rPr>
          <w:snapToGrid w:val="0"/>
          <w:kern w:val="18"/>
          <w:szCs w:val="18"/>
          <w:lang w:val="en-US"/>
        </w:rPr>
      </w:pPr>
      <w:r w:rsidRPr="00610646">
        <w:rPr>
          <w:rStyle w:val="FootnoteReference"/>
          <w:rFonts w:eastAsiaTheme="majorEastAsia"/>
        </w:rPr>
        <w:footnoteRef/>
      </w:r>
      <w:r w:rsidRPr="00117B86">
        <w:rPr>
          <w:snapToGrid w:val="0"/>
          <w:kern w:val="18"/>
          <w:szCs w:val="18"/>
          <w:lang w:val="en-US"/>
        </w:rPr>
        <w:t xml:space="preserve"> Decision XIII/21, annex II, paragraph 23, </w:t>
      </w:r>
      <w:r>
        <w:rPr>
          <w:snapToGrid w:val="0"/>
          <w:kern w:val="18"/>
          <w:szCs w:val="18"/>
          <w:lang w:val="en-US"/>
        </w:rPr>
        <w:t xml:space="preserve">and </w:t>
      </w:r>
      <w:r w:rsidRPr="00117B86">
        <w:rPr>
          <w:lang w:val="en-US"/>
        </w:rPr>
        <w:t>14/23, para</w:t>
      </w:r>
      <w:r>
        <w:rPr>
          <w:lang w:val="en-US"/>
        </w:rPr>
        <w:t>graph</w:t>
      </w:r>
      <w:r w:rsidRPr="00117B86">
        <w:rPr>
          <w:lang w:val="en-US"/>
        </w:rPr>
        <w:t xml:space="preserve"> 7(b)</w:t>
      </w:r>
      <w:r w:rsidR="00F72E0A">
        <w:rPr>
          <w:lang w:val="en-US"/>
        </w:rPr>
        <w:t>.</w:t>
      </w:r>
    </w:p>
  </w:footnote>
  <w:footnote w:id="210">
    <w:p w14:paraId="66C9213E" w14:textId="1B91141E" w:rsidR="00DA0273" w:rsidRPr="00117B86" w:rsidRDefault="00DA0273" w:rsidP="00EE0658">
      <w:pPr>
        <w:pStyle w:val="FootnoteText"/>
        <w:keepLines w:val="0"/>
        <w:suppressLineNumbers/>
        <w:suppressAutoHyphens/>
        <w:adjustRightInd w:val="0"/>
        <w:snapToGrid w:val="0"/>
        <w:ind w:firstLine="0"/>
        <w:jc w:val="left"/>
        <w:rPr>
          <w:snapToGrid w:val="0"/>
          <w:kern w:val="18"/>
          <w:szCs w:val="18"/>
          <w:lang w:val="en-US"/>
        </w:rPr>
      </w:pPr>
      <w:r w:rsidRPr="00610646">
        <w:rPr>
          <w:rStyle w:val="FootnoteReference"/>
          <w:rFonts w:eastAsiaTheme="majorEastAsia"/>
        </w:rPr>
        <w:footnoteRef/>
      </w:r>
      <w:r w:rsidRPr="00117B86">
        <w:rPr>
          <w:snapToGrid w:val="0"/>
          <w:kern w:val="18"/>
          <w:szCs w:val="18"/>
          <w:lang w:val="en-US"/>
        </w:rPr>
        <w:t xml:space="preserve"> Decision XIII/21, annex II, paragraph 23</w:t>
      </w:r>
      <w:r w:rsidR="00F72E0A">
        <w:rPr>
          <w:snapToGrid w:val="0"/>
          <w:kern w:val="18"/>
          <w:szCs w:val="18"/>
          <w:lang w:val="en-US"/>
        </w:rPr>
        <w:t>.</w:t>
      </w:r>
    </w:p>
  </w:footnote>
  <w:footnote w:id="211">
    <w:p w14:paraId="4D0D25DC" w14:textId="024CD778" w:rsidR="00DA0273" w:rsidRPr="00117B86" w:rsidRDefault="00DA0273" w:rsidP="00EE0658">
      <w:pPr>
        <w:pStyle w:val="FootnoteText"/>
        <w:keepLines w:val="0"/>
        <w:suppressLineNumbers/>
        <w:suppressAutoHyphens/>
        <w:adjustRightInd w:val="0"/>
        <w:snapToGrid w:val="0"/>
        <w:ind w:firstLine="0"/>
        <w:jc w:val="left"/>
        <w:rPr>
          <w:snapToGrid w:val="0"/>
          <w:kern w:val="18"/>
          <w:szCs w:val="18"/>
          <w:lang w:val="en-US"/>
        </w:rPr>
      </w:pPr>
      <w:r w:rsidRPr="00610646">
        <w:rPr>
          <w:rStyle w:val="FootnoteReference"/>
          <w:rFonts w:eastAsiaTheme="majorEastAsia"/>
        </w:rPr>
        <w:footnoteRef/>
      </w:r>
      <w:r w:rsidRPr="00117B86">
        <w:rPr>
          <w:snapToGrid w:val="0"/>
          <w:kern w:val="18"/>
          <w:szCs w:val="18"/>
          <w:lang w:val="en-US"/>
        </w:rPr>
        <w:t xml:space="preserve"> Decision XIII/21, annex II, paragraph 23, and</w:t>
      </w:r>
      <w:r>
        <w:rPr>
          <w:snapToGrid w:val="0"/>
          <w:kern w:val="18"/>
          <w:szCs w:val="18"/>
          <w:lang w:val="en-US"/>
        </w:rPr>
        <w:t xml:space="preserve"> </w:t>
      </w:r>
      <w:r w:rsidRPr="00117B86">
        <w:rPr>
          <w:snapToGrid w:val="0"/>
          <w:kern w:val="18"/>
          <w:szCs w:val="18"/>
          <w:lang w:val="en-US"/>
        </w:rPr>
        <w:t>XIII/21, paragraph 38</w:t>
      </w:r>
      <w:r>
        <w:rPr>
          <w:snapToGrid w:val="0"/>
          <w:kern w:val="18"/>
          <w:szCs w:val="18"/>
          <w:lang w:val="en-US"/>
        </w:rPr>
        <w:t xml:space="preserve">, </w:t>
      </w:r>
      <w:r w:rsidRPr="00117B86">
        <w:rPr>
          <w:lang w:val="en-US"/>
        </w:rPr>
        <w:t>14/23, para</w:t>
      </w:r>
      <w:r>
        <w:rPr>
          <w:lang w:val="en-US"/>
        </w:rPr>
        <w:t>graph</w:t>
      </w:r>
      <w:r w:rsidRPr="00117B86">
        <w:rPr>
          <w:lang w:val="en-US"/>
        </w:rPr>
        <w:t xml:space="preserve"> 10</w:t>
      </w:r>
      <w:r w:rsidR="00F72E0A">
        <w:rPr>
          <w:lang w:val="en-US"/>
        </w:rPr>
        <w:t>.</w:t>
      </w:r>
    </w:p>
  </w:footnote>
  <w:footnote w:id="212">
    <w:p w14:paraId="0C7236B3" w14:textId="3F3EC39E" w:rsidR="00DA0273" w:rsidRPr="009C7E6D" w:rsidRDefault="00DA0273" w:rsidP="00EE0658">
      <w:pPr>
        <w:pStyle w:val="FootnoteText"/>
        <w:ind w:firstLine="0"/>
        <w:rPr>
          <w:lang w:val="it-IT"/>
        </w:rPr>
      </w:pPr>
      <w:r w:rsidRPr="00610646">
        <w:rPr>
          <w:rStyle w:val="FootnoteReference"/>
          <w:rFonts w:eastAsiaTheme="majorEastAsia"/>
        </w:rPr>
        <w:footnoteRef/>
      </w:r>
      <w:r w:rsidRPr="009C7E6D">
        <w:rPr>
          <w:lang w:val="it-IT"/>
        </w:rPr>
        <w:t xml:space="preserve"> Decision 14/23, paragraph 7(a)</w:t>
      </w:r>
      <w:r w:rsidR="00F72E0A">
        <w:rPr>
          <w:lang w:val="it-IT"/>
        </w:rPr>
        <w:t>.</w:t>
      </w:r>
    </w:p>
  </w:footnote>
  <w:footnote w:id="213">
    <w:p w14:paraId="14A93956" w14:textId="34CC1D9D"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24</w:t>
      </w:r>
      <w:r w:rsidR="00CE1C88">
        <w:rPr>
          <w:snapToGrid w:val="0"/>
          <w:kern w:val="18"/>
          <w:szCs w:val="18"/>
          <w:lang w:val="it-IT"/>
        </w:rPr>
        <w:t>.</w:t>
      </w:r>
    </w:p>
  </w:footnote>
  <w:footnote w:id="214">
    <w:p w14:paraId="3B095695" w14:textId="72D5C7A4"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25</w:t>
      </w:r>
      <w:r w:rsidR="00CE1C88">
        <w:rPr>
          <w:snapToGrid w:val="0"/>
          <w:kern w:val="18"/>
          <w:szCs w:val="18"/>
          <w:lang w:val="it-IT"/>
        </w:rPr>
        <w:t>.</w:t>
      </w:r>
    </w:p>
  </w:footnote>
  <w:footnote w:id="215">
    <w:p w14:paraId="704B70C3" w14:textId="37B5943E"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26</w:t>
      </w:r>
      <w:r w:rsidR="00CE1C88">
        <w:rPr>
          <w:snapToGrid w:val="0"/>
          <w:kern w:val="18"/>
          <w:szCs w:val="18"/>
          <w:lang w:val="it-IT"/>
        </w:rPr>
        <w:t>.</w:t>
      </w:r>
    </w:p>
  </w:footnote>
  <w:footnote w:id="216">
    <w:p w14:paraId="1931D27E" w14:textId="7F71B495"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26</w:t>
      </w:r>
      <w:r w:rsidR="00CE1C88">
        <w:rPr>
          <w:snapToGrid w:val="0"/>
          <w:kern w:val="18"/>
          <w:szCs w:val="18"/>
          <w:lang w:val="it-IT"/>
        </w:rPr>
        <w:t>.</w:t>
      </w:r>
    </w:p>
  </w:footnote>
  <w:footnote w:id="217">
    <w:p w14:paraId="2764E3BF" w14:textId="6E92DC59"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Decision 14/23, paragraph 8(a); </w:t>
      </w:r>
      <w:r w:rsidRPr="009C7E6D">
        <w:rPr>
          <w:snapToGrid w:val="0"/>
          <w:kern w:val="18"/>
          <w:szCs w:val="18"/>
          <w:lang w:val="it-IT"/>
        </w:rPr>
        <w:t>XIII/21, paragraphs 33 and 36</w:t>
      </w:r>
      <w:r w:rsidR="00CE1C88">
        <w:rPr>
          <w:snapToGrid w:val="0"/>
          <w:kern w:val="18"/>
          <w:szCs w:val="18"/>
          <w:lang w:val="it-IT"/>
        </w:rPr>
        <w:t>.</w:t>
      </w:r>
    </w:p>
  </w:footnote>
  <w:footnote w:id="218">
    <w:p w14:paraId="6481E429" w14:textId="40295467"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26</w:t>
      </w:r>
      <w:r w:rsidR="00CE1C88">
        <w:rPr>
          <w:snapToGrid w:val="0"/>
          <w:kern w:val="18"/>
          <w:szCs w:val="18"/>
          <w:lang w:val="it-IT"/>
        </w:rPr>
        <w:t>.</w:t>
      </w:r>
    </w:p>
  </w:footnote>
  <w:footnote w:id="219">
    <w:p w14:paraId="661AE790" w14:textId="20623E81"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Decision 14/23, para</w:t>
      </w:r>
      <w:r>
        <w:rPr>
          <w:lang w:val="it-IT"/>
        </w:rPr>
        <w:t>graph</w:t>
      </w:r>
      <w:r w:rsidRPr="009C7E6D">
        <w:rPr>
          <w:lang w:val="it-IT"/>
        </w:rPr>
        <w:t xml:space="preserve"> 9</w:t>
      </w:r>
      <w:r w:rsidR="00CE1C88">
        <w:rPr>
          <w:lang w:val="it-IT"/>
        </w:rPr>
        <w:t>.</w:t>
      </w:r>
    </w:p>
  </w:footnote>
  <w:footnote w:id="220">
    <w:p w14:paraId="31326404" w14:textId="5071404F"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26, and XIII/21, paragraph 35</w:t>
      </w:r>
      <w:r w:rsidR="00CE1C88">
        <w:rPr>
          <w:snapToGrid w:val="0"/>
          <w:kern w:val="18"/>
          <w:szCs w:val="18"/>
          <w:lang w:val="it-IT"/>
        </w:rPr>
        <w:t>.</w:t>
      </w:r>
    </w:p>
  </w:footnote>
  <w:footnote w:id="221">
    <w:p w14:paraId="7533CC16" w14:textId="30BABD33"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annex II, paragraph 26</w:t>
      </w:r>
      <w:r w:rsidR="00CE1C88">
        <w:rPr>
          <w:snapToGrid w:val="0"/>
          <w:kern w:val="18"/>
          <w:szCs w:val="18"/>
          <w:lang w:val="it-IT"/>
        </w:rPr>
        <w:t>.</w:t>
      </w:r>
    </w:p>
  </w:footnote>
  <w:footnote w:id="222">
    <w:p w14:paraId="5F2951A4" w14:textId="34F307FF"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26</w:t>
      </w:r>
      <w:r w:rsidR="00CE1C88">
        <w:rPr>
          <w:snapToGrid w:val="0"/>
          <w:kern w:val="18"/>
          <w:szCs w:val="18"/>
          <w:lang w:val="it-IT"/>
        </w:rPr>
        <w:t>.</w:t>
      </w:r>
    </w:p>
  </w:footnote>
  <w:footnote w:id="223">
    <w:p w14:paraId="4F2DDEEA" w14:textId="5F3CECF9"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26</w:t>
      </w:r>
      <w:r w:rsidR="00CE1C88">
        <w:rPr>
          <w:snapToGrid w:val="0"/>
          <w:kern w:val="18"/>
          <w:szCs w:val="18"/>
          <w:lang w:val="it-IT"/>
        </w:rPr>
        <w:t>.</w:t>
      </w:r>
    </w:p>
  </w:footnote>
  <w:footnote w:id="224">
    <w:p w14:paraId="2DCD84C9" w14:textId="328FC5FA"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26</w:t>
      </w:r>
      <w:r w:rsidR="00CE1C88">
        <w:rPr>
          <w:snapToGrid w:val="0"/>
          <w:kern w:val="18"/>
          <w:szCs w:val="18"/>
          <w:lang w:val="it-IT"/>
        </w:rPr>
        <w:t>.</w:t>
      </w:r>
    </w:p>
  </w:footnote>
  <w:footnote w:id="225">
    <w:p w14:paraId="406BDB53" w14:textId="5D0A495A"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paragraph 34</w:t>
      </w:r>
      <w:r w:rsidR="00CE1C88">
        <w:rPr>
          <w:snapToGrid w:val="0"/>
          <w:kern w:val="18"/>
          <w:szCs w:val="18"/>
          <w:lang w:val="it-IT"/>
        </w:rPr>
        <w:t>.</w:t>
      </w:r>
    </w:p>
  </w:footnote>
  <w:footnote w:id="226">
    <w:p w14:paraId="04C9E3DC" w14:textId="7AA6CAA2"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26; XIII/21, paragraphs 30 and 31; </w:t>
      </w:r>
      <w:r w:rsidRPr="009C7E6D">
        <w:rPr>
          <w:lang w:val="it-IT"/>
        </w:rPr>
        <w:t>14/23, paragraph 7(b)</w:t>
      </w:r>
      <w:r w:rsidR="00CE1C88">
        <w:rPr>
          <w:lang w:val="it-IT"/>
        </w:rPr>
        <w:t>.</w:t>
      </w:r>
    </w:p>
  </w:footnote>
  <w:footnote w:id="227">
    <w:p w14:paraId="50372731" w14:textId="2EAE8E7F"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paragraph 32</w:t>
      </w:r>
      <w:r w:rsidR="00CE1C88">
        <w:rPr>
          <w:snapToGrid w:val="0"/>
          <w:kern w:val="18"/>
          <w:szCs w:val="18"/>
          <w:lang w:val="it-IT"/>
        </w:rPr>
        <w:t>.</w:t>
      </w:r>
    </w:p>
  </w:footnote>
  <w:footnote w:id="228">
    <w:p w14:paraId="6EE76C72" w14:textId="76C5B387"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26; </w:t>
      </w:r>
      <w:r w:rsidRPr="009C7E6D">
        <w:rPr>
          <w:lang w:val="it-IT"/>
        </w:rPr>
        <w:t>14/23, para. 8(b)</w:t>
      </w:r>
      <w:r w:rsidR="00CE1C88">
        <w:rPr>
          <w:lang w:val="it-IT"/>
        </w:rPr>
        <w:t>.</w:t>
      </w:r>
    </w:p>
  </w:footnote>
  <w:footnote w:id="229">
    <w:p w14:paraId="3F3855F6" w14:textId="7788D268"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Decision 14/23, para</w:t>
      </w:r>
      <w:r>
        <w:rPr>
          <w:lang w:val="it-IT"/>
        </w:rPr>
        <w:t>graph</w:t>
      </w:r>
      <w:r w:rsidRPr="009C7E6D">
        <w:rPr>
          <w:lang w:val="it-IT"/>
        </w:rPr>
        <w:t xml:space="preserve"> 8(c)</w:t>
      </w:r>
      <w:r w:rsidR="00CE1C88">
        <w:rPr>
          <w:lang w:val="it-IT"/>
        </w:rPr>
        <w:t>.</w:t>
      </w:r>
    </w:p>
  </w:footnote>
  <w:footnote w:id="230">
    <w:p w14:paraId="6F46A4A4" w14:textId="52800101"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 xml:space="preserve">Decision XIII/21, paragraph 36(b); </w:t>
      </w:r>
      <w:r w:rsidRPr="009C7E6D">
        <w:rPr>
          <w:lang w:val="it-IT"/>
        </w:rPr>
        <w:t>14/23, para. 7(a)</w:t>
      </w:r>
      <w:r w:rsidR="00CE1C88">
        <w:rPr>
          <w:lang w:val="it-IT"/>
        </w:rPr>
        <w:t>.</w:t>
      </w:r>
    </w:p>
  </w:footnote>
  <w:footnote w:id="231">
    <w:p w14:paraId="04272576" w14:textId="7E76D3CD"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27</w:t>
      </w:r>
      <w:r w:rsidR="00CE1C88">
        <w:rPr>
          <w:snapToGrid w:val="0"/>
          <w:kern w:val="18"/>
          <w:szCs w:val="18"/>
          <w:lang w:val="it-IT"/>
        </w:rPr>
        <w:t>.</w:t>
      </w:r>
    </w:p>
  </w:footnote>
  <w:footnote w:id="232">
    <w:p w14:paraId="6CD4D956" w14:textId="3BA014D5"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paragraph 4</w:t>
      </w:r>
      <w:r w:rsidR="00CE1C88">
        <w:rPr>
          <w:snapToGrid w:val="0"/>
          <w:kern w:val="18"/>
          <w:szCs w:val="18"/>
          <w:lang w:val="it-IT"/>
        </w:rPr>
        <w:t>.</w:t>
      </w:r>
    </w:p>
  </w:footnote>
  <w:footnote w:id="233">
    <w:p w14:paraId="3CA29E4C" w14:textId="0A0865D8"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34">
    <w:p w14:paraId="459F8C5F" w14:textId="72670651"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35">
    <w:p w14:paraId="14D8EC49" w14:textId="4D87D500"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36">
    <w:p w14:paraId="60ED62D7" w14:textId="69386D9E"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37">
    <w:p w14:paraId="0DF5C666" w14:textId="0DD8294D"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38">
    <w:p w14:paraId="28C8E6F0" w14:textId="5727A5E6"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39">
    <w:p w14:paraId="3E503B49" w14:textId="024B47B4"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40">
    <w:p w14:paraId="26FF3EE8" w14:textId="77388073"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 XIII/21, paragraph 21</w:t>
      </w:r>
      <w:r w:rsidR="00CE1C88">
        <w:rPr>
          <w:snapToGrid w:val="0"/>
          <w:kern w:val="18"/>
          <w:szCs w:val="18"/>
          <w:lang w:val="it-IT"/>
        </w:rPr>
        <w:t>.</w:t>
      </w:r>
    </w:p>
  </w:footnote>
  <w:footnote w:id="241">
    <w:p w14:paraId="291D0686" w14:textId="7AD12C91"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42">
    <w:p w14:paraId="59901E04" w14:textId="367F4FE5"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paragraph 17</w:t>
      </w:r>
      <w:r w:rsidR="00CE1C88">
        <w:rPr>
          <w:snapToGrid w:val="0"/>
          <w:kern w:val="18"/>
          <w:szCs w:val="18"/>
          <w:lang w:val="it-IT"/>
        </w:rPr>
        <w:t>.</w:t>
      </w:r>
    </w:p>
  </w:footnote>
  <w:footnote w:id="243">
    <w:p w14:paraId="08DC6968" w14:textId="459D13D0"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44">
    <w:p w14:paraId="0AC4681E" w14:textId="420F8D7E"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45">
    <w:p w14:paraId="2BDAF641" w14:textId="6254CFCF"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46">
    <w:p w14:paraId="0A25EDAA" w14:textId="53D6254C"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Decision 14/23, para</w:t>
      </w:r>
      <w:r>
        <w:rPr>
          <w:lang w:val="it-IT"/>
        </w:rPr>
        <w:t>graph</w:t>
      </w:r>
      <w:r w:rsidRPr="009C7E6D">
        <w:rPr>
          <w:lang w:val="it-IT"/>
        </w:rPr>
        <w:t xml:space="preserve"> 12(c)</w:t>
      </w:r>
      <w:r w:rsidR="00CE1C88">
        <w:rPr>
          <w:lang w:val="it-IT"/>
        </w:rPr>
        <w:t>.</w:t>
      </w:r>
    </w:p>
  </w:footnote>
  <w:footnote w:id="247">
    <w:p w14:paraId="6C1B4243" w14:textId="2EE3A1B6"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 XIII/21, paragraph 6</w:t>
      </w:r>
      <w:r w:rsidR="00CE1C88">
        <w:rPr>
          <w:snapToGrid w:val="0"/>
          <w:kern w:val="18"/>
          <w:szCs w:val="18"/>
          <w:lang w:val="it-IT"/>
        </w:rPr>
        <w:t>.</w:t>
      </w:r>
    </w:p>
  </w:footnote>
  <w:footnote w:id="248">
    <w:p w14:paraId="6CC9E452" w14:textId="5AC4D381"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49">
    <w:p w14:paraId="184911DB" w14:textId="2E866C3B"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50">
    <w:p w14:paraId="463EBFF9" w14:textId="69F7AF30"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51">
    <w:p w14:paraId="70577CE2" w14:textId="0DB6D645"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52">
    <w:p w14:paraId="675EEA9A" w14:textId="1368BBC0"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Decision 14/23, paragraph 12(d)</w:t>
      </w:r>
      <w:r w:rsidR="00CE1C88">
        <w:rPr>
          <w:lang w:val="it-IT"/>
        </w:rPr>
        <w:t>.</w:t>
      </w:r>
    </w:p>
  </w:footnote>
  <w:footnote w:id="253">
    <w:p w14:paraId="3F5B0391" w14:textId="19286244"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54">
    <w:p w14:paraId="21A4A18D" w14:textId="201ED8ED"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55">
    <w:p w14:paraId="43D669D3" w14:textId="74D5D12A"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56">
    <w:p w14:paraId="13A6A80F" w14:textId="2E46F6BC"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57">
    <w:p w14:paraId="7B8A0A35" w14:textId="14C3B262"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w:t>
      </w:r>
      <w:r>
        <w:rPr>
          <w:lang w:val="it-IT"/>
        </w:rPr>
        <w:t>Updated from d</w:t>
      </w:r>
      <w:r w:rsidRPr="009C7E6D">
        <w:rPr>
          <w:lang w:val="it-IT"/>
        </w:rPr>
        <w:t>ecision 14/23, paragraph 6</w:t>
      </w:r>
      <w:r w:rsidR="00CE1C88">
        <w:rPr>
          <w:lang w:val="it-IT"/>
        </w:rPr>
        <w:t>.</w:t>
      </w:r>
    </w:p>
  </w:footnote>
  <w:footnote w:id="258">
    <w:p w14:paraId="79B68D62" w14:textId="4A3BF539"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28</w:t>
      </w:r>
      <w:r w:rsidR="00CE1C88">
        <w:rPr>
          <w:snapToGrid w:val="0"/>
          <w:kern w:val="18"/>
          <w:szCs w:val="18"/>
          <w:lang w:val="it-IT"/>
        </w:rPr>
        <w:t>.</w:t>
      </w:r>
    </w:p>
  </w:footnote>
  <w:footnote w:id="259">
    <w:p w14:paraId="6B5AEBCC" w14:textId="6BC24458"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paragraphs 18, 19 and 20</w:t>
      </w:r>
      <w:r w:rsidR="00CE1C88">
        <w:rPr>
          <w:snapToGrid w:val="0"/>
          <w:kern w:val="18"/>
          <w:szCs w:val="18"/>
          <w:lang w:val="it-IT"/>
        </w:rPr>
        <w:t>.</w:t>
      </w:r>
    </w:p>
  </w:footnote>
  <w:footnote w:id="260">
    <w:p w14:paraId="1A14F36A" w14:textId="4160C767"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 xml:space="preserve">Decision XIII/21, paragraph 3; </w:t>
      </w:r>
      <w:r w:rsidRPr="009C7E6D">
        <w:rPr>
          <w:lang w:val="it-IT"/>
        </w:rPr>
        <w:t>14/30, paragraph 14; XIII/24, paragraph 7</w:t>
      </w:r>
      <w:r w:rsidR="00CE1C88">
        <w:rPr>
          <w:lang w:val="it-IT"/>
        </w:rPr>
        <w:t>.</w:t>
      </w:r>
    </w:p>
  </w:footnote>
  <w:footnote w:id="261">
    <w:p w14:paraId="30CAD830" w14:textId="06C00BD6"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Decision 14/23, para. 12(b)</w:t>
      </w:r>
      <w:r w:rsidR="00CE1C88">
        <w:rPr>
          <w:lang w:val="it-IT"/>
        </w:rPr>
        <w:t>.</w:t>
      </w:r>
    </w:p>
  </w:footnote>
  <w:footnote w:id="262">
    <w:p w14:paraId="70D4897E" w14:textId="29016130"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29</w:t>
      </w:r>
      <w:r w:rsidR="00CE1C88">
        <w:rPr>
          <w:snapToGrid w:val="0"/>
          <w:kern w:val="18"/>
          <w:szCs w:val="18"/>
          <w:lang w:val="it-IT"/>
        </w:rPr>
        <w:t>.</w:t>
      </w:r>
    </w:p>
  </w:footnote>
  <w:footnote w:id="263">
    <w:p w14:paraId="24ABA1BC" w14:textId="6F19F82D"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30</w:t>
      </w:r>
      <w:r w:rsidR="00CE1C88">
        <w:rPr>
          <w:snapToGrid w:val="0"/>
          <w:kern w:val="18"/>
          <w:szCs w:val="18"/>
          <w:lang w:val="it-IT"/>
        </w:rPr>
        <w:t>.</w:t>
      </w:r>
    </w:p>
  </w:footnote>
  <w:footnote w:id="264">
    <w:p w14:paraId="67685F9E" w14:textId="65D13B7C" w:rsidR="00DA0273" w:rsidRPr="009C7E6D" w:rsidRDefault="00DA0273" w:rsidP="00CE1C88">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 xml:space="preserve">Decision XIII/21, paragraph 27; </w:t>
      </w:r>
      <w:r w:rsidRPr="009C7E6D">
        <w:rPr>
          <w:lang w:val="it-IT"/>
        </w:rPr>
        <w:t>XIII/27, paragraph 4; 14/27, paragraph 3(a)</w:t>
      </w:r>
      <w:r w:rsidR="00CE1C88">
        <w:rPr>
          <w:lang w:val="it-IT"/>
        </w:rPr>
        <w:t>.</w:t>
      </w:r>
    </w:p>
  </w:footnote>
  <w:footnote w:id="265">
    <w:p w14:paraId="2A2924B0" w14:textId="46BB8A73"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 31-32</w:t>
      </w:r>
      <w:r w:rsidR="00CE1C88">
        <w:rPr>
          <w:snapToGrid w:val="0"/>
          <w:kern w:val="18"/>
          <w:szCs w:val="18"/>
          <w:lang w:val="it-IT"/>
        </w:rPr>
        <w:t>.</w:t>
      </w:r>
    </w:p>
  </w:footnote>
  <w:footnote w:id="266">
    <w:p w14:paraId="07714A2F" w14:textId="12A13A91"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Fonts w:eastAsiaTheme="majorEastAsia"/>
        </w:rPr>
        <w:footnoteRef/>
      </w:r>
      <w:r w:rsidRPr="009C7E6D">
        <w:rPr>
          <w:snapToGrid w:val="0"/>
          <w:kern w:val="18"/>
          <w:szCs w:val="18"/>
          <w:lang w:val="it-IT"/>
        </w:rPr>
        <w:t xml:space="preserve"> Decision XIII/21, annex II, paragraphs 33-34</w:t>
      </w:r>
      <w:r w:rsidR="00CE1C88">
        <w:rPr>
          <w:snapToGrid w:val="0"/>
          <w:kern w:val="18"/>
          <w:szCs w:val="18"/>
          <w:lang w:val="it-IT"/>
        </w:rPr>
        <w:t>.</w:t>
      </w:r>
    </w:p>
  </w:footnote>
  <w:footnote w:id="267">
    <w:p w14:paraId="2037A32D" w14:textId="7B869B7B"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9C7E6D">
        <w:rPr>
          <w:snapToGrid w:val="0"/>
          <w:kern w:val="18"/>
          <w:szCs w:val="18"/>
          <w:lang w:val="it-IT"/>
        </w:rPr>
        <w:t xml:space="preserve"> Decision XIII/21, annex II, paragraphs 35-36</w:t>
      </w:r>
      <w:r w:rsidR="00CE1C88">
        <w:rPr>
          <w:snapToGrid w:val="0"/>
          <w:kern w:val="18"/>
          <w:szCs w:val="18"/>
          <w:lang w:val="it-IT"/>
        </w:rPr>
        <w:t>.</w:t>
      </w:r>
    </w:p>
  </w:footnote>
  <w:footnote w:id="268">
    <w:p w14:paraId="117BAE5F" w14:textId="0717AA82" w:rsidR="00DA0273" w:rsidRPr="009C7E6D" w:rsidRDefault="00DA0273" w:rsidP="00CE1C88">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9C7E6D">
        <w:rPr>
          <w:snapToGrid w:val="0"/>
          <w:kern w:val="18"/>
          <w:szCs w:val="18"/>
          <w:lang w:val="it-IT"/>
        </w:rPr>
        <w:t xml:space="preserve"> Decision XIII/21, annex II, paragraph 37</w:t>
      </w:r>
      <w:r w:rsidR="00CE1C88">
        <w:rPr>
          <w:snapToGrid w:val="0"/>
          <w:kern w:val="18"/>
          <w:szCs w:val="18"/>
          <w:lang w:val="it-IT"/>
        </w:rPr>
        <w:t>.</w:t>
      </w:r>
    </w:p>
  </w:footnote>
  <w:footnote w:id="269">
    <w:p w14:paraId="50DD2EC1" w14:textId="15CC5815" w:rsidR="00DA0273" w:rsidRPr="009C7E6D" w:rsidRDefault="00DA0273" w:rsidP="00725BFC">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9C7E6D">
        <w:rPr>
          <w:snapToGrid w:val="0"/>
          <w:kern w:val="18"/>
          <w:szCs w:val="18"/>
          <w:lang w:val="it-IT"/>
        </w:rPr>
        <w:t xml:space="preserve"> Decision XIII/21, annex II, paragraph 40</w:t>
      </w:r>
      <w:r w:rsidR="00725BFC">
        <w:rPr>
          <w:snapToGrid w:val="0"/>
          <w:kern w:val="18"/>
          <w:szCs w:val="18"/>
          <w:lang w:val="it-IT"/>
        </w:rPr>
        <w:t>.</w:t>
      </w:r>
    </w:p>
  </w:footnote>
  <w:footnote w:id="270">
    <w:p w14:paraId="50577D73" w14:textId="1A9AD7BF" w:rsidR="00DA0273" w:rsidRPr="009C7E6D" w:rsidRDefault="00DA0273" w:rsidP="00725BFC">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9C7E6D">
        <w:rPr>
          <w:snapToGrid w:val="0"/>
          <w:kern w:val="18"/>
          <w:szCs w:val="18"/>
          <w:lang w:val="it-IT"/>
        </w:rPr>
        <w:t xml:space="preserve"> </w:t>
      </w:r>
      <w:r>
        <w:rPr>
          <w:snapToGrid w:val="0"/>
          <w:kern w:val="18"/>
          <w:szCs w:val="18"/>
          <w:lang w:val="it-IT"/>
        </w:rPr>
        <w:t>Updated from d</w:t>
      </w:r>
      <w:r w:rsidRPr="009C7E6D">
        <w:rPr>
          <w:snapToGrid w:val="0"/>
          <w:kern w:val="18"/>
          <w:szCs w:val="18"/>
          <w:lang w:val="it-IT"/>
        </w:rPr>
        <w:t>ecision XIII/21, annex II, paragraph 41</w:t>
      </w:r>
      <w:r w:rsidR="00725BFC">
        <w:rPr>
          <w:snapToGrid w:val="0"/>
          <w:kern w:val="18"/>
          <w:szCs w:val="18"/>
          <w:lang w:val="it-IT"/>
        </w:rPr>
        <w:t>.</w:t>
      </w:r>
    </w:p>
  </w:footnote>
  <w:footnote w:id="271">
    <w:p w14:paraId="47748EBA" w14:textId="59FF1C53" w:rsidR="00DA0273" w:rsidRPr="009C7E6D" w:rsidRDefault="00DA0273" w:rsidP="00725BFC">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9C7E6D">
        <w:rPr>
          <w:snapToGrid w:val="0"/>
          <w:kern w:val="18"/>
          <w:szCs w:val="18"/>
          <w:lang w:val="it-IT"/>
        </w:rPr>
        <w:t xml:space="preserve"> Decision XIII/21, annex II, paragraph 38</w:t>
      </w:r>
      <w:r w:rsidR="00725BFC">
        <w:rPr>
          <w:snapToGrid w:val="0"/>
          <w:kern w:val="18"/>
          <w:szCs w:val="18"/>
          <w:lang w:val="it-IT"/>
        </w:rPr>
        <w:t>.</w:t>
      </w:r>
    </w:p>
  </w:footnote>
  <w:footnote w:id="272">
    <w:p w14:paraId="5D944944" w14:textId="4F177B5D" w:rsidR="00DA0273" w:rsidRPr="009C7E6D" w:rsidRDefault="00DA0273" w:rsidP="00725BFC">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9C7E6D">
        <w:rPr>
          <w:snapToGrid w:val="0"/>
          <w:kern w:val="18"/>
          <w:szCs w:val="18"/>
          <w:lang w:val="it-IT"/>
        </w:rPr>
        <w:t xml:space="preserve"> Decision XIII/21, annex II, paragraph 39</w:t>
      </w:r>
      <w:r w:rsidR="00725BFC">
        <w:rPr>
          <w:snapToGrid w:val="0"/>
          <w:kern w:val="18"/>
          <w:szCs w:val="18"/>
          <w:lang w:val="it-IT"/>
        </w:rPr>
        <w:t>.</w:t>
      </w:r>
    </w:p>
  </w:footnote>
  <w:footnote w:id="273">
    <w:p w14:paraId="1CCB8B6C" w14:textId="7E05E08C" w:rsidR="00DA0273" w:rsidRPr="009C7E6D" w:rsidRDefault="00DA0273" w:rsidP="00725BFC">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paragraph 5</w:t>
      </w:r>
      <w:r w:rsidR="00725BFC">
        <w:rPr>
          <w:snapToGrid w:val="0"/>
          <w:kern w:val="18"/>
          <w:szCs w:val="18"/>
          <w:lang w:val="it-IT"/>
        </w:rPr>
        <w:t>.</w:t>
      </w:r>
    </w:p>
  </w:footnote>
  <w:footnote w:id="274">
    <w:p w14:paraId="47B08048" w14:textId="6DB9644D" w:rsidR="00DA0273" w:rsidRPr="009C7E6D" w:rsidRDefault="00DA0273" w:rsidP="00725BFC">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9C7E6D">
        <w:rPr>
          <w:snapToGrid w:val="0"/>
          <w:kern w:val="18"/>
          <w:szCs w:val="18"/>
          <w:vertAlign w:val="superscript"/>
          <w:lang w:val="it-IT"/>
        </w:rPr>
        <w:t xml:space="preserve"> </w:t>
      </w:r>
      <w:r w:rsidRPr="009C7E6D">
        <w:rPr>
          <w:snapToGrid w:val="0"/>
          <w:kern w:val="18"/>
          <w:szCs w:val="18"/>
          <w:lang w:val="it-IT"/>
        </w:rPr>
        <w:t>Decision XIII/21, annex II, paragraph 42</w:t>
      </w:r>
      <w:r w:rsidR="00725BFC">
        <w:rPr>
          <w:snapToGrid w:val="0"/>
          <w:kern w:val="18"/>
          <w:szCs w:val="18"/>
          <w:lang w:val="it-IT"/>
        </w:rPr>
        <w:t>.</w:t>
      </w:r>
    </w:p>
  </w:footnote>
  <w:footnote w:id="275">
    <w:p w14:paraId="59362006" w14:textId="5898B826" w:rsidR="00DA0273" w:rsidRPr="009C7E6D" w:rsidRDefault="00DA0273" w:rsidP="00725BFC">
      <w:pPr>
        <w:pStyle w:val="FootnoteText"/>
        <w:keepLines w:val="0"/>
        <w:suppressLineNumbers/>
        <w:suppressAutoHyphens/>
        <w:adjustRightInd w:val="0"/>
        <w:snapToGrid w:val="0"/>
        <w:ind w:firstLine="0"/>
        <w:jc w:val="left"/>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annex II, paragraph 47; XIII/21, paragraph 15</w:t>
      </w:r>
      <w:r w:rsidR="00725BFC">
        <w:rPr>
          <w:snapToGrid w:val="0"/>
          <w:kern w:val="18"/>
          <w:szCs w:val="18"/>
          <w:lang w:val="it-IT"/>
        </w:rPr>
        <w:t>.</w:t>
      </w:r>
    </w:p>
  </w:footnote>
  <w:footnote w:id="276">
    <w:p w14:paraId="0C77662B" w14:textId="5EE3BA51" w:rsidR="00DA0273" w:rsidRPr="009C7E6D" w:rsidRDefault="00DA0273" w:rsidP="00725BFC">
      <w:pPr>
        <w:pStyle w:val="FootnoteText"/>
        <w:ind w:firstLine="0"/>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paragraphs 22 and 23</w:t>
      </w:r>
      <w:r w:rsidR="00725BFC">
        <w:rPr>
          <w:snapToGrid w:val="0"/>
          <w:kern w:val="18"/>
          <w:szCs w:val="18"/>
          <w:lang w:val="it-IT"/>
        </w:rPr>
        <w:t>.</w:t>
      </w:r>
    </w:p>
  </w:footnote>
  <w:footnote w:id="277">
    <w:p w14:paraId="5B9726E2" w14:textId="7C46DF98" w:rsidR="00DA0273" w:rsidRPr="009C7E6D" w:rsidRDefault="00DA0273" w:rsidP="00725BFC">
      <w:pPr>
        <w:pStyle w:val="FootnoteText"/>
        <w:ind w:firstLine="0"/>
        <w:rPr>
          <w:lang w:val="it-IT"/>
        </w:rPr>
      </w:pPr>
      <w:r w:rsidRPr="00610646">
        <w:rPr>
          <w:rStyle w:val="FootnoteReference"/>
          <w:rFonts w:eastAsiaTheme="majorEastAsia"/>
        </w:rPr>
        <w:footnoteRef/>
      </w:r>
      <w:r w:rsidRPr="009C7E6D">
        <w:rPr>
          <w:lang w:val="it-IT"/>
        </w:rPr>
        <w:t xml:space="preserve"> Decision 14/23, paragraph 3; 14/15, paragraph 6</w:t>
      </w:r>
      <w:r w:rsidR="00725BFC">
        <w:rPr>
          <w:lang w:val="it-IT"/>
        </w:rPr>
        <w:t>.</w:t>
      </w:r>
    </w:p>
  </w:footnote>
  <w:footnote w:id="278">
    <w:p w14:paraId="50BB8CD5" w14:textId="6F508911" w:rsidR="00DA0273" w:rsidRPr="009C7E6D" w:rsidRDefault="00DA0273" w:rsidP="00D63731">
      <w:pPr>
        <w:pStyle w:val="FootnoteText"/>
        <w:ind w:firstLine="0"/>
        <w:rPr>
          <w:lang w:val="it-IT"/>
        </w:rPr>
      </w:pPr>
      <w:r w:rsidRPr="00610646">
        <w:rPr>
          <w:rStyle w:val="FootnoteReference"/>
          <w:rFonts w:eastAsiaTheme="majorEastAsia"/>
        </w:rPr>
        <w:footnoteRef/>
      </w:r>
      <w:r w:rsidRPr="009C7E6D">
        <w:rPr>
          <w:lang w:val="it-IT"/>
        </w:rPr>
        <w:t xml:space="preserve"> Decision 14/23, para</w:t>
      </w:r>
      <w:r>
        <w:rPr>
          <w:lang w:val="it-IT"/>
        </w:rPr>
        <w:t>graph</w:t>
      </w:r>
      <w:r w:rsidRPr="009C7E6D">
        <w:rPr>
          <w:lang w:val="it-IT"/>
        </w:rPr>
        <w:t xml:space="preserve"> 12(e)(i)</w:t>
      </w:r>
      <w:r w:rsidR="00D63731">
        <w:rPr>
          <w:lang w:val="it-IT"/>
        </w:rPr>
        <w:t>.</w:t>
      </w:r>
    </w:p>
  </w:footnote>
  <w:footnote w:id="279">
    <w:p w14:paraId="4616B453" w14:textId="3BED4ABD" w:rsidR="00DA0273" w:rsidRPr="009C7E6D" w:rsidRDefault="00DA0273" w:rsidP="00D63731">
      <w:pPr>
        <w:pStyle w:val="FootnoteText"/>
        <w:ind w:firstLine="0"/>
        <w:rPr>
          <w:lang w:val="it-IT"/>
        </w:rPr>
      </w:pPr>
      <w:r w:rsidRPr="00610646">
        <w:rPr>
          <w:rStyle w:val="FootnoteReference"/>
          <w:rFonts w:eastAsiaTheme="majorEastAsia"/>
        </w:rPr>
        <w:footnoteRef/>
      </w:r>
      <w:r w:rsidRPr="009C7E6D">
        <w:rPr>
          <w:lang w:val="it-IT"/>
        </w:rPr>
        <w:t xml:space="preserve"> Decision 14/23, paragraph 12(e)(ii)</w:t>
      </w:r>
      <w:r w:rsidR="00D63731">
        <w:rPr>
          <w:lang w:val="it-IT"/>
        </w:rPr>
        <w:t>.</w:t>
      </w:r>
    </w:p>
  </w:footnote>
  <w:footnote w:id="280">
    <w:p w14:paraId="7010B209" w14:textId="6FEB0353" w:rsidR="00DA0273" w:rsidRPr="009C7E6D" w:rsidRDefault="00DA0273" w:rsidP="00D63731">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9C7E6D">
        <w:rPr>
          <w:snapToGrid w:val="0"/>
          <w:kern w:val="18"/>
          <w:szCs w:val="18"/>
          <w:lang w:val="it-IT"/>
        </w:rPr>
        <w:t xml:space="preserve"> Decision XIII/21, annex II, paragraph 43</w:t>
      </w:r>
      <w:r w:rsidR="00D63731">
        <w:rPr>
          <w:snapToGrid w:val="0"/>
          <w:kern w:val="18"/>
          <w:szCs w:val="18"/>
          <w:lang w:val="it-IT"/>
        </w:rPr>
        <w:t>.</w:t>
      </w:r>
    </w:p>
  </w:footnote>
  <w:footnote w:id="281">
    <w:p w14:paraId="4B8AF3F6" w14:textId="0F304ADB" w:rsidR="00DA0273" w:rsidRPr="009C7E6D" w:rsidRDefault="00DA0273" w:rsidP="00D63731">
      <w:pPr>
        <w:pStyle w:val="FootnoteText"/>
        <w:keepLines w:val="0"/>
        <w:suppressLineNumbers/>
        <w:suppressAutoHyphens/>
        <w:adjustRightInd w:val="0"/>
        <w:snapToGrid w:val="0"/>
        <w:ind w:firstLine="0"/>
        <w:jc w:val="left"/>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annex II, paragraph 44</w:t>
      </w:r>
      <w:r w:rsidR="00D63731">
        <w:rPr>
          <w:snapToGrid w:val="0"/>
          <w:kern w:val="18"/>
          <w:szCs w:val="18"/>
          <w:lang w:val="it-IT"/>
        </w:rPr>
        <w:t>.</w:t>
      </w:r>
    </w:p>
  </w:footnote>
  <w:footnote w:id="282">
    <w:p w14:paraId="2CBE0567" w14:textId="65AE0A03" w:rsidR="00DA0273" w:rsidRPr="009C7E6D" w:rsidRDefault="00DA0273" w:rsidP="00D63731">
      <w:pPr>
        <w:pStyle w:val="FootnoteText"/>
        <w:keepLines w:val="0"/>
        <w:suppressLineNumbers/>
        <w:suppressAutoHyphens/>
        <w:adjustRightInd w:val="0"/>
        <w:snapToGrid w:val="0"/>
        <w:ind w:firstLine="0"/>
        <w:jc w:val="left"/>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Decision XIII/21, annex II, paragraph 45</w:t>
      </w:r>
      <w:r w:rsidR="00D63731">
        <w:rPr>
          <w:snapToGrid w:val="0"/>
          <w:kern w:val="18"/>
          <w:szCs w:val="18"/>
          <w:lang w:val="it-IT"/>
        </w:rPr>
        <w:t>.</w:t>
      </w:r>
    </w:p>
  </w:footnote>
  <w:footnote w:id="283">
    <w:p w14:paraId="10E1FC83" w14:textId="1A33DB25" w:rsidR="00DA0273" w:rsidRPr="009C7E6D" w:rsidRDefault="00DA0273" w:rsidP="00D63731">
      <w:pPr>
        <w:pStyle w:val="FootnoteText"/>
        <w:keepLines w:val="0"/>
        <w:suppressLineNumbers/>
        <w:suppressAutoHyphens/>
        <w:adjustRightInd w:val="0"/>
        <w:snapToGrid w:val="0"/>
        <w:ind w:firstLine="0"/>
        <w:jc w:val="left"/>
        <w:rPr>
          <w:lang w:val="it-IT"/>
        </w:rPr>
      </w:pPr>
      <w:r w:rsidRPr="00610646">
        <w:rPr>
          <w:rStyle w:val="FootnoteReference"/>
          <w:rFonts w:eastAsiaTheme="majorEastAsia"/>
        </w:rPr>
        <w:footnoteRef/>
      </w:r>
      <w:r w:rsidRPr="009C7E6D">
        <w:rPr>
          <w:lang w:val="it-IT"/>
        </w:rPr>
        <w:t xml:space="preserve"> </w:t>
      </w:r>
      <w:r w:rsidRPr="009C7E6D">
        <w:rPr>
          <w:snapToGrid w:val="0"/>
          <w:kern w:val="18"/>
          <w:szCs w:val="18"/>
          <w:lang w:val="it-IT"/>
        </w:rPr>
        <w:t xml:space="preserve">Decision XIII/21, annex II, paragraphs 46, 48; XIII/21, paragraph 16; </w:t>
      </w:r>
      <w:r w:rsidRPr="009C7E6D">
        <w:rPr>
          <w:lang w:val="it-IT"/>
        </w:rPr>
        <w:t>14/23, paragraph 1</w:t>
      </w:r>
      <w:r w:rsidR="00D63731">
        <w:rPr>
          <w:lang w:val="it-IT"/>
        </w:rPr>
        <w:t>.</w:t>
      </w:r>
    </w:p>
  </w:footnote>
  <w:footnote w:id="284">
    <w:p w14:paraId="48A0FAFE" w14:textId="00360E6E" w:rsidR="00DA0273" w:rsidRPr="000E778E" w:rsidRDefault="00DA0273" w:rsidP="00D63731">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0E778E">
        <w:rPr>
          <w:snapToGrid w:val="0"/>
          <w:kern w:val="18"/>
          <w:szCs w:val="18"/>
          <w:lang w:val="it-IT"/>
        </w:rPr>
        <w:t xml:space="preserve"> Decision XIII/21, annex II, paragraph 49</w:t>
      </w:r>
      <w:r w:rsidR="00D63731">
        <w:rPr>
          <w:snapToGrid w:val="0"/>
          <w:kern w:val="18"/>
          <w:szCs w:val="18"/>
          <w:lang w:val="it-IT"/>
        </w:rPr>
        <w:t>.</w:t>
      </w:r>
    </w:p>
  </w:footnote>
  <w:footnote w:id="285">
    <w:p w14:paraId="62C9AE19" w14:textId="537EC921" w:rsidR="00DA0273" w:rsidRPr="000E778E" w:rsidRDefault="00DA0273" w:rsidP="00D63731">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0E778E">
        <w:rPr>
          <w:snapToGrid w:val="0"/>
          <w:kern w:val="18"/>
          <w:szCs w:val="18"/>
          <w:lang w:val="it-IT"/>
        </w:rPr>
        <w:t xml:space="preserve"> Decision XIII/21, annex II, paragraph 50</w:t>
      </w:r>
      <w:r w:rsidR="00D63731">
        <w:rPr>
          <w:snapToGrid w:val="0"/>
          <w:kern w:val="18"/>
          <w:szCs w:val="18"/>
          <w:lang w:val="it-IT"/>
        </w:rPr>
        <w:t>.</w:t>
      </w:r>
    </w:p>
  </w:footnote>
  <w:footnote w:id="286">
    <w:p w14:paraId="6E28EE63" w14:textId="239AF081" w:rsidR="00DA0273" w:rsidRPr="000E778E" w:rsidRDefault="00DA0273" w:rsidP="00D63731">
      <w:pPr>
        <w:pStyle w:val="FootnoteText"/>
        <w:keepLines w:val="0"/>
        <w:suppressLineNumbers/>
        <w:suppressAutoHyphens/>
        <w:adjustRightInd w:val="0"/>
        <w:snapToGrid w:val="0"/>
        <w:ind w:firstLine="0"/>
        <w:jc w:val="left"/>
        <w:rPr>
          <w:snapToGrid w:val="0"/>
          <w:kern w:val="18"/>
          <w:szCs w:val="18"/>
          <w:lang w:val="it-IT"/>
        </w:rPr>
      </w:pPr>
      <w:r w:rsidRPr="00610646">
        <w:rPr>
          <w:rStyle w:val="FootnoteReference"/>
        </w:rPr>
        <w:footnoteRef/>
      </w:r>
      <w:r w:rsidRPr="000E778E">
        <w:rPr>
          <w:snapToGrid w:val="0"/>
          <w:kern w:val="18"/>
          <w:szCs w:val="18"/>
          <w:lang w:val="it-IT"/>
        </w:rPr>
        <w:t xml:space="preserve"> Decision XIII/21, annex II, paragraph 51</w:t>
      </w:r>
      <w:r w:rsidR="00D63731">
        <w:rPr>
          <w:snapToGrid w:val="0"/>
          <w:kern w:val="18"/>
          <w:szCs w:val="18"/>
          <w:lang w:val="it-IT"/>
        </w:rPr>
        <w:t>.</w:t>
      </w:r>
    </w:p>
  </w:footnote>
  <w:footnote w:id="287">
    <w:p w14:paraId="334E4F17" w14:textId="3E5850FD" w:rsidR="00DA0273" w:rsidRPr="000E778E" w:rsidRDefault="00DA0273" w:rsidP="00D63731">
      <w:pPr>
        <w:pStyle w:val="FootnoteText"/>
        <w:ind w:firstLine="0"/>
        <w:rPr>
          <w:lang w:val="it-IT"/>
        </w:rPr>
      </w:pPr>
      <w:r w:rsidRPr="00610646">
        <w:rPr>
          <w:rStyle w:val="FootnoteReference"/>
          <w:rFonts w:eastAsiaTheme="majorEastAsia"/>
        </w:rPr>
        <w:footnoteRef/>
      </w:r>
      <w:r w:rsidRPr="000E778E">
        <w:rPr>
          <w:lang w:val="it-IT"/>
        </w:rPr>
        <w:t xml:space="preserve"> Decision 14/23, paragraph 18</w:t>
      </w:r>
      <w:r w:rsidR="00D63731">
        <w:rPr>
          <w:lang w:val="it-IT"/>
        </w:rPr>
        <w:t>.</w:t>
      </w:r>
    </w:p>
  </w:footnote>
  <w:footnote w:id="288">
    <w:p w14:paraId="5E3CFA66" w14:textId="53F29857" w:rsidR="00DA0273" w:rsidRPr="000E778E" w:rsidRDefault="00DA0273" w:rsidP="00D63731">
      <w:pPr>
        <w:pStyle w:val="FootnoteText"/>
        <w:ind w:firstLine="0"/>
        <w:rPr>
          <w:lang w:val="it-IT"/>
        </w:rPr>
      </w:pPr>
      <w:r w:rsidRPr="00610646">
        <w:rPr>
          <w:rStyle w:val="FootnoteReference"/>
          <w:rFonts w:eastAsiaTheme="majorEastAsia"/>
        </w:rPr>
        <w:footnoteRef/>
      </w:r>
      <w:r w:rsidRPr="000E778E">
        <w:rPr>
          <w:lang w:val="it-IT"/>
        </w:rPr>
        <w:t xml:space="preserve"> Decision 14/23, paragraph 19</w:t>
      </w:r>
      <w:r w:rsidR="00D63731">
        <w:rPr>
          <w:lang w:val="it-IT"/>
        </w:rPr>
        <w:t>.</w:t>
      </w:r>
    </w:p>
  </w:footnote>
  <w:footnote w:id="289">
    <w:p w14:paraId="645EFB1C" w14:textId="77777777" w:rsidR="00DA0273" w:rsidRPr="000E778E" w:rsidRDefault="00DA0273" w:rsidP="00D63731">
      <w:pPr>
        <w:pStyle w:val="FootnoteText"/>
        <w:ind w:firstLine="0"/>
        <w:rPr>
          <w:lang w:val="it-IT"/>
        </w:rPr>
      </w:pPr>
      <w:r w:rsidRPr="00610646">
        <w:rPr>
          <w:rStyle w:val="FootnoteReference"/>
        </w:rPr>
        <w:footnoteRef/>
      </w:r>
      <w:r w:rsidRPr="000E778E">
        <w:rPr>
          <w:lang w:val="it-IT"/>
        </w:rPr>
        <w:t xml:space="preserve"> Decision 15/7.</w:t>
      </w:r>
    </w:p>
  </w:footnote>
  <w:footnote w:id="290">
    <w:p w14:paraId="2AD45C21" w14:textId="77777777" w:rsidR="00DA0273" w:rsidRPr="00DD002D" w:rsidRDefault="00DA0273" w:rsidP="00D63731">
      <w:pPr>
        <w:pStyle w:val="FootnoteText"/>
        <w:ind w:firstLine="0"/>
        <w:rPr>
          <w:lang w:val="en-US"/>
        </w:rPr>
      </w:pPr>
      <w:r w:rsidRPr="00610646">
        <w:rPr>
          <w:rStyle w:val="FootnoteReference"/>
        </w:rPr>
        <w:footnoteRef/>
      </w:r>
      <w:r w:rsidRPr="000F2F32">
        <w:t xml:space="preserve"> CBD/POST2020/WS/2020/3/2.</w:t>
      </w:r>
    </w:p>
  </w:footnote>
  <w:footnote w:id="291">
    <w:p w14:paraId="2FDF3A9A" w14:textId="438877DE" w:rsidR="00DA0273" w:rsidRPr="007254B6" w:rsidRDefault="00DA0273" w:rsidP="00F858E4">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B926B8">
        <w:rPr>
          <w:kern w:val="18"/>
          <w:szCs w:val="18"/>
        </w:rPr>
        <w:t xml:space="preserve"> </w:t>
      </w:r>
      <w:r w:rsidRPr="007254B6">
        <w:rPr>
          <w:kern w:val="18"/>
          <w:szCs w:val="18"/>
        </w:rPr>
        <w:t xml:space="preserve">Instrument for the Establishment of the Restructured Global Environment Facility, September 2019. </w:t>
      </w:r>
      <w:hyperlink r:id="rId45" w:history="1">
        <w:r w:rsidRPr="00B926B8">
          <w:rPr>
            <w:rStyle w:val="Hyperlink"/>
            <w:kern w:val="18"/>
            <w:szCs w:val="18"/>
          </w:rPr>
          <w:t>http://www.thegef.org/publications/instrument-establishment-restructured-gef-2019</w:t>
        </w:r>
      </w:hyperlink>
      <w:r w:rsidRPr="00B926B8">
        <w:rPr>
          <w:kern w:val="18"/>
          <w:szCs w:val="18"/>
        </w:rPr>
        <w:t>.</w:t>
      </w:r>
    </w:p>
  </w:footnote>
  <w:footnote w:id="292">
    <w:p w14:paraId="33625DE3" w14:textId="041247AA" w:rsidR="0050667D" w:rsidRPr="00E80CEA" w:rsidRDefault="0050667D" w:rsidP="00912FBA">
      <w:pPr>
        <w:pStyle w:val="FootnoteText"/>
        <w:suppressLineNumbers/>
        <w:suppressAutoHyphens/>
        <w:kinsoku w:val="0"/>
        <w:overflowPunct w:val="0"/>
        <w:autoSpaceDE w:val="0"/>
        <w:autoSpaceDN w:val="0"/>
        <w:adjustRightInd w:val="0"/>
        <w:snapToGrid w:val="0"/>
        <w:ind w:firstLine="0"/>
        <w:jc w:val="left"/>
        <w:rPr>
          <w:kern w:val="18"/>
          <w:szCs w:val="18"/>
        </w:rPr>
      </w:pPr>
      <w:r w:rsidRPr="00610646">
        <w:rPr>
          <w:rStyle w:val="FootnoteReference"/>
        </w:rPr>
        <w:footnoteRef/>
      </w:r>
      <w:r w:rsidRPr="005163FD">
        <w:rPr>
          <w:kern w:val="18"/>
          <w:szCs w:val="18"/>
          <w:lang w:val="en-CA"/>
        </w:rPr>
        <w:t xml:space="preserve"> See decision </w:t>
      </w:r>
      <w:hyperlink r:id="rId46" w:history="1">
        <w:r w:rsidRPr="005163FD">
          <w:rPr>
            <w:rStyle w:val="Hyperlink"/>
            <w:kern w:val="18"/>
            <w:szCs w:val="18"/>
            <w:lang w:val="en-CA"/>
          </w:rPr>
          <w:t>XI/2</w:t>
        </w:r>
      </w:hyperlink>
      <w:r w:rsidRPr="005163FD">
        <w:rPr>
          <w:kern w:val="18"/>
          <w:szCs w:val="18"/>
          <w:lang w:val="en-CA"/>
        </w:rPr>
        <w:t xml:space="preserve">, para. </w:t>
      </w:r>
      <w:r w:rsidRPr="00E80CEA">
        <w:rPr>
          <w:kern w:val="18"/>
          <w:szCs w:val="18"/>
        </w:rPr>
        <w:t xml:space="preserve">11, and </w:t>
      </w:r>
      <w:hyperlink r:id="rId47" w:history="1">
        <w:r w:rsidRPr="00E80CEA">
          <w:rPr>
            <w:rStyle w:val="Hyperlink"/>
            <w:kern w:val="18"/>
            <w:szCs w:val="18"/>
          </w:rPr>
          <w:t>UNEP/CBD/COP/11/31</w:t>
        </w:r>
      </w:hyperlink>
      <w:r w:rsidRPr="00E80CEA">
        <w:rPr>
          <w:kern w:val="18"/>
          <w:szCs w:val="18"/>
        </w:rPr>
        <w:t>.</w:t>
      </w:r>
    </w:p>
  </w:footnote>
  <w:footnote w:id="293">
    <w:p w14:paraId="5FB889DB" w14:textId="24E9CE61" w:rsidR="0050667D" w:rsidRPr="005163FD" w:rsidRDefault="0050667D" w:rsidP="00912FBA">
      <w:pPr>
        <w:pStyle w:val="FootnoteText"/>
        <w:ind w:firstLine="0"/>
        <w:rPr>
          <w:lang w:val="it-IT"/>
        </w:rPr>
      </w:pPr>
      <w:r w:rsidRPr="00610646">
        <w:rPr>
          <w:rStyle w:val="FootnoteReference"/>
        </w:rPr>
        <w:footnoteRef/>
      </w:r>
      <w:r w:rsidRPr="005163FD">
        <w:rPr>
          <w:lang w:val="it-IT"/>
        </w:rPr>
        <w:t xml:space="preserve"> </w:t>
      </w:r>
      <w:hyperlink r:id="rId48" w:history="1">
        <w:r w:rsidRPr="005163FD">
          <w:rPr>
            <w:rStyle w:val="Hyperlink"/>
            <w:lang w:val="it-IT"/>
          </w:rPr>
          <w:t>CBD/SBSTTA/24/INF/28</w:t>
        </w:r>
      </w:hyperlink>
      <w:r w:rsidRPr="005163FD">
        <w:rPr>
          <w:lang w:val="it-IT"/>
        </w:rPr>
        <w:t>.</w:t>
      </w:r>
    </w:p>
  </w:footnote>
  <w:footnote w:id="294">
    <w:p w14:paraId="458D7FD5" w14:textId="685630F8" w:rsidR="0050667D" w:rsidRPr="005163FD" w:rsidRDefault="0050667D" w:rsidP="00912FBA">
      <w:pPr>
        <w:pStyle w:val="FootnoteText"/>
        <w:ind w:firstLine="0"/>
        <w:rPr>
          <w:kern w:val="18"/>
          <w:szCs w:val="18"/>
          <w:lang w:val="it-IT"/>
        </w:rPr>
      </w:pPr>
      <w:r w:rsidRPr="00610646">
        <w:rPr>
          <w:rStyle w:val="FootnoteReference"/>
        </w:rPr>
        <w:footnoteRef/>
      </w:r>
      <w:r w:rsidRPr="005163FD">
        <w:rPr>
          <w:kern w:val="18"/>
          <w:szCs w:val="18"/>
          <w:lang w:val="it-IT"/>
        </w:rPr>
        <w:t xml:space="preserve"> </w:t>
      </w:r>
      <w:hyperlink r:id="rId49" w:history="1">
        <w:r w:rsidRPr="005163FD">
          <w:rPr>
            <w:rStyle w:val="Hyperlink"/>
            <w:lang w:val="it-IT"/>
          </w:rPr>
          <w:t>https://gkssb.chm-cbd.net</w:t>
        </w:r>
      </w:hyperlink>
      <w:r w:rsidR="00912FBA">
        <w:rPr>
          <w:rStyle w:val="Hyperlink"/>
          <w:lang w:val="it-IT"/>
        </w:rPr>
        <w:t>.</w:t>
      </w:r>
    </w:p>
  </w:footnote>
  <w:footnote w:id="295">
    <w:p w14:paraId="606DF015" w14:textId="0DA93237" w:rsidR="0050667D" w:rsidRPr="005163FD" w:rsidRDefault="0050667D" w:rsidP="00912FBA">
      <w:pPr>
        <w:pStyle w:val="FootnoteText"/>
        <w:ind w:firstLine="0"/>
        <w:rPr>
          <w:kern w:val="18"/>
          <w:szCs w:val="18"/>
          <w:lang w:val="it-IT"/>
        </w:rPr>
      </w:pPr>
      <w:r w:rsidRPr="00610646">
        <w:rPr>
          <w:rStyle w:val="FootnoteReference"/>
        </w:rPr>
        <w:footnoteRef/>
      </w:r>
      <w:r w:rsidRPr="005163FD">
        <w:rPr>
          <w:kern w:val="18"/>
          <w:szCs w:val="18"/>
          <w:lang w:val="it-IT"/>
        </w:rPr>
        <w:t xml:space="preserve"> </w:t>
      </w:r>
      <w:hyperlink r:id="rId50" w:history="1">
        <w:r w:rsidRPr="005163FD">
          <w:rPr>
            <w:rStyle w:val="Hyperlink"/>
            <w:lang w:val="it-IT"/>
          </w:rPr>
          <w:t>https://www.gbif.org/data4nature</w:t>
        </w:r>
      </w:hyperlink>
      <w:r w:rsidR="00912FBA">
        <w:rPr>
          <w:lang w:val="it-IT"/>
        </w:rPr>
        <w:t>.</w:t>
      </w:r>
      <w:r w:rsidRPr="005163FD">
        <w:rPr>
          <w:kern w:val="18"/>
          <w:szCs w:val="18"/>
          <w:lang w:val="it-IT"/>
        </w:rPr>
        <w:t xml:space="preserve"> </w:t>
      </w:r>
    </w:p>
  </w:footnote>
  <w:footnote w:id="296">
    <w:p w14:paraId="74A0506F" w14:textId="62CE6678" w:rsidR="0050667D" w:rsidRPr="005163FD" w:rsidRDefault="0050667D" w:rsidP="00912FBA">
      <w:pPr>
        <w:pStyle w:val="FootnoteText"/>
        <w:ind w:firstLine="0"/>
        <w:rPr>
          <w:kern w:val="18"/>
          <w:szCs w:val="18"/>
          <w:lang w:val="it-IT"/>
        </w:rPr>
      </w:pPr>
      <w:r w:rsidRPr="00610646">
        <w:rPr>
          <w:rStyle w:val="FootnoteReference"/>
        </w:rPr>
        <w:footnoteRef/>
      </w:r>
      <w:r w:rsidRPr="005163FD">
        <w:rPr>
          <w:kern w:val="18"/>
          <w:szCs w:val="18"/>
          <w:lang w:val="it-IT"/>
        </w:rPr>
        <w:t xml:space="preserve"> </w:t>
      </w:r>
      <w:hyperlink r:id="rId51" w:history="1">
        <w:r w:rsidRPr="005163FD">
          <w:rPr>
            <w:rStyle w:val="Hyperlink"/>
            <w:kern w:val="18"/>
            <w:szCs w:val="18"/>
            <w:lang w:val="it-IT"/>
          </w:rPr>
          <w:t>https://panorama.solutions/en</w:t>
        </w:r>
      </w:hyperlink>
      <w:r w:rsidR="00912FBA">
        <w:rPr>
          <w:rStyle w:val="Hyperlink"/>
          <w:kern w:val="18"/>
          <w:szCs w:val="18"/>
          <w:lang w:val="it-IT"/>
        </w:rPr>
        <w:t>.</w:t>
      </w:r>
    </w:p>
  </w:footnote>
  <w:footnote w:id="297">
    <w:p w14:paraId="453AA75D" w14:textId="7D5DE6C4" w:rsidR="0050667D" w:rsidRPr="005163FD" w:rsidRDefault="0050667D" w:rsidP="00912FBA">
      <w:pPr>
        <w:pStyle w:val="FootnoteText"/>
        <w:ind w:firstLine="0"/>
        <w:rPr>
          <w:lang w:val="it-IT"/>
        </w:rPr>
      </w:pPr>
      <w:r w:rsidRPr="00610646">
        <w:rPr>
          <w:rStyle w:val="FootnoteReference"/>
        </w:rPr>
        <w:footnoteRef/>
      </w:r>
      <w:r w:rsidRPr="005163FD">
        <w:rPr>
          <w:lang w:val="it-IT"/>
        </w:rPr>
        <w:t xml:space="preserve"> </w:t>
      </w:r>
      <w:hyperlink r:id="rId52" w:history="1">
        <w:r w:rsidRPr="005163FD">
          <w:rPr>
            <w:rStyle w:val="Hyperlink"/>
            <w:lang w:val="it-IT"/>
          </w:rPr>
          <w:t>https://www.cbd.int/conferences/post2020/brc-ws</w:t>
        </w:r>
      </w:hyperlink>
      <w:r w:rsidR="00912FBA">
        <w:rPr>
          <w:lang w:val="it-IT"/>
        </w:rPr>
        <w:t>.</w:t>
      </w:r>
    </w:p>
  </w:footnote>
  <w:footnote w:id="298">
    <w:p w14:paraId="76336A22" w14:textId="7A76C9D8" w:rsidR="0050667D" w:rsidRPr="005163FD" w:rsidRDefault="0050667D" w:rsidP="00912FBA">
      <w:pPr>
        <w:pStyle w:val="FootnoteText"/>
        <w:ind w:firstLine="0"/>
        <w:rPr>
          <w:lang w:val="it-IT"/>
        </w:rPr>
      </w:pPr>
      <w:r w:rsidRPr="00610646">
        <w:rPr>
          <w:rStyle w:val="FootnoteReference"/>
        </w:rPr>
        <w:footnoteRef/>
      </w:r>
      <w:r w:rsidRPr="005163FD">
        <w:rPr>
          <w:lang w:val="it-IT"/>
        </w:rPr>
        <w:t xml:space="preserve"> </w:t>
      </w:r>
      <w:hyperlink r:id="rId53" w:history="1">
        <w:r w:rsidRPr="005163FD">
          <w:rPr>
            <w:rStyle w:val="Hyperlink"/>
            <w:lang w:val="it-IT"/>
          </w:rPr>
          <w:t>https://oraotca.org</w:t>
        </w:r>
      </w:hyperlink>
      <w:r w:rsidR="00912FBA">
        <w:rPr>
          <w:rStyle w:val="Hyperlink"/>
          <w:lang w:val="it-IT"/>
        </w:rPr>
        <w:t>.</w:t>
      </w:r>
    </w:p>
  </w:footnote>
  <w:footnote w:id="299">
    <w:p w14:paraId="2D7B81E7" w14:textId="77777777" w:rsidR="0050667D" w:rsidRPr="005163FD" w:rsidRDefault="0050667D" w:rsidP="00912FBA">
      <w:pPr>
        <w:pStyle w:val="FootnoteText"/>
        <w:suppressLineNumbers/>
        <w:suppressAutoHyphens/>
        <w:kinsoku w:val="0"/>
        <w:overflowPunct w:val="0"/>
        <w:autoSpaceDE w:val="0"/>
        <w:autoSpaceDN w:val="0"/>
        <w:adjustRightInd w:val="0"/>
        <w:snapToGrid w:val="0"/>
        <w:ind w:firstLine="0"/>
        <w:jc w:val="left"/>
        <w:rPr>
          <w:kern w:val="18"/>
          <w:szCs w:val="18"/>
          <w:lang w:val="it-IT"/>
        </w:rPr>
      </w:pPr>
      <w:r w:rsidRPr="00610646">
        <w:rPr>
          <w:rStyle w:val="FootnoteReference"/>
        </w:rPr>
        <w:footnoteRef/>
      </w:r>
      <w:r w:rsidRPr="005163FD">
        <w:rPr>
          <w:kern w:val="18"/>
          <w:szCs w:val="18"/>
          <w:lang w:val="it-IT"/>
        </w:rPr>
        <w:t xml:space="preserve"> CBD/SBI/3/8.</w:t>
      </w:r>
    </w:p>
  </w:footnote>
  <w:footnote w:id="300">
    <w:p w14:paraId="763355F4" w14:textId="065B0F83" w:rsidR="0050667D" w:rsidRPr="00E80CEA" w:rsidRDefault="0050667D" w:rsidP="00912FBA">
      <w:pPr>
        <w:pStyle w:val="FootnoteText"/>
        <w:suppressLineNumbers/>
        <w:suppressAutoHyphens/>
        <w:kinsoku w:val="0"/>
        <w:overflowPunct w:val="0"/>
        <w:autoSpaceDE w:val="0"/>
        <w:autoSpaceDN w:val="0"/>
        <w:adjustRightInd w:val="0"/>
        <w:snapToGrid w:val="0"/>
        <w:ind w:firstLine="0"/>
        <w:jc w:val="left"/>
        <w:rPr>
          <w:kern w:val="18"/>
          <w:szCs w:val="18"/>
        </w:rPr>
      </w:pPr>
      <w:r w:rsidRPr="00610646">
        <w:rPr>
          <w:rStyle w:val="FootnoteReference"/>
        </w:rPr>
        <w:footnoteRef/>
      </w:r>
      <w:r w:rsidRPr="00E80CEA">
        <w:rPr>
          <w:kern w:val="18"/>
          <w:szCs w:val="18"/>
        </w:rPr>
        <w:t xml:space="preserve"> </w:t>
      </w:r>
      <w:r>
        <w:rPr>
          <w:kern w:val="18"/>
          <w:szCs w:val="18"/>
        </w:rPr>
        <w:t>Decision 15/8,</w:t>
      </w:r>
      <w:r w:rsidRPr="00E80CEA">
        <w:rPr>
          <w:kern w:val="18"/>
          <w:szCs w:val="18"/>
        </w:rPr>
        <w:t xml:space="preserve"> annex III.</w:t>
      </w:r>
    </w:p>
  </w:footnote>
  <w:footnote w:id="301">
    <w:p w14:paraId="2A756615" w14:textId="77777777" w:rsidR="0050667D" w:rsidRDefault="0050667D" w:rsidP="00912FBA">
      <w:pPr>
        <w:pStyle w:val="FootnoteText"/>
        <w:ind w:firstLine="0"/>
        <w:rPr>
          <w:lang w:val="en-US"/>
        </w:rPr>
      </w:pPr>
      <w:r w:rsidRPr="00610646">
        <w:rPr>
          <w:rStyle w:val="FootnoteReference"/>
        </w:rPr>
        <w:footnoteRef/>
      </w:r>
      <w:r>
        <w:t xml:space="preserve"> R</w:t>
      </w:r>
      <w:r>
        <w:rPr>
          <w:lang w:val="en-US"/>
        </w:rPr>
        <w:t xml:space="preserve">ecommendation 3/10 of the Subsidiary Body on Implementation. </w:t>
      </w:r>
    </w:p>
    <w:p w14:paraId="74D9F197" w14:textId="77777777" w:rsidR="0050667D" w:rsidRPr="001F4782" w:rsidRDefault="0050667D" w:rsidP="00E86498">
      <w:pPr>
        <w:pStyle w:val="FootnoteText"/>
        <w:ind w:firstLine="0"/>
        <w:rPr>
          <w:lang w:val="en-US"/>
        </w:rPr>
      </w:pPr>
    </w:p>
  </w:footnote>
  <w:footnote w:id="302">
    <w:p w14:paraId="31A7F0AD" w14:textId="77777777" w:rsidR="0050667D" w:rsidRPr="00641667" w:rsidRDefault="0050667D" w:rsidP="00EA67A8">
      <w:pPr>
        <w:pStyle w:val="FootnoteText"/>
        <w:ind w:firstLine="0"/>
        <w:jc w:val="left"/>
        <w:rPr>
          <w:kern w:val="18"/>
          <w:szCs w:val="18"/>
        </w:rPr>
      </w:pPr>
      <w:r w:rsidRPr="00610646">
        <w:rPr>
          <w:rStyle w:val="FootnoteReference"/>
        </w:rPr>
        <w:footnoteRef/>
      </w:r>
      <w:r w:rsidRPr="00641667">
        <w:rPr>
          <w:kern w:val="18"/>
          <w:szCs w:val="18"/>
        </w:rPr>
        <w:t xml:space="preserve"> CBD/SBI/3/13.</w:t>
      </w:r>
    </w:p>
  </w:footnote>
  <w:footnote w:id="303">
    <w:p w14:paraId="56C1D1E0" w14:textId="448AD783" w:rsidR="0050667D" w:rsidRPr="005C7DD5" w:rsidRDefault="0050667D" w:rsidP="008022A0">
      <w:pPr>
        <w:keepLines/>
        <w:suppressLineNumbers/>
        <w:suppressAutoHyphens/>
        <w:spacing w:after="60"/>
        <w:jc w:val="left"/>
        <w:rPr>
          <w:kern w:val="18"/>
          <w:sz w:val="18"/>
          <w:szCs w:val="18"/>
        </w:rPr>
      </w:pPr>
      <w:r w:rsidRPr="00610646">
        <w:rPr>
          <w:rStyle w:val="FootnoteReference"/>
        </w:rPr>
        <w:footnoteRef/>
      </w:r>
      <w:r w:rsidRPr="00EA714F">
        <w:rPr>
          <w:kern w:val="18"/>
          <w:sz w:val="18"/>
          <w:szCs w:val="18"/>
          <w:lang w:val="en-US"/>
        </w:rPr>
        <w:t xml:space="preserve"> </w:t>
      </w:r>
      <w:r w:rsidRPr="00207F9F">
        <w:rPr>
          <w:kern w:val="18"/>
          <w:sz w:val="18"/>
          <w:szCs w:val="18"/>
        </w:rPr>
        <w:t xml:space="preserve">See </w:t>
      </w:r>
      <w:hyperlink r:id="rId54" w:history="1">
        <w:r w:rsidRPr="00FC5BFE">
          <w:rPr>
            <w:rStyle w:val="Hyperlink"/>
            <w:kern w:val="18"/>
            <w:szCs w:val="18"/>
          </w:rPr>
          <w:t>CBD/SBI/2/16/Add.1</w:t>
        </w:r>
      </w:hyperlink>
      <w:r w:rsidRPr="00EA714F">
        <w:rPr>
          <w:kern w:val="18"/>
          <w:sz w:val="18"/>
          <w:szCs w:val="18"/>
        </w:rPr>
        <w:t xml:space="preserve"> and associated information notes (</w:t>
      </w:r>
      <w:hyperlink r:id="rId55" w:history="1">
        <w:r w:rsidRPr="00EA714F">
          <w:rPr>
            <w:rStyle w:val="Hyperlink"/>
            <w:kern w:val="18"/>
            <w:szCs w:val="18"/>
          </w:rPr>
          <w:t>CBD/SBI/2/INF/1</w:t>
        </w:r>
      </w:hyperlink>
      <w:r w:rsidRPr="00EA714F">
        <w:rPr>
          <w:kern w:val="18"/>
          <w:sz w:val="18"/>
          <w:szCs w:val="18"/>
        </w:rPr>
        <w:t xml:space="preserve"> and </w:t>
      </w:r>
      <w:hyperlink r:id="rId56" w:history="1">
        <w:r w:rsidRPr="00EA714F">
          <w:rPr>
            <w:rStyle w:val="Hyperlink"/>
            <w:kern w:val="18"/>
            <w:szCs w:val="18"/>
          </w:rPr>
          <w:t>INF/2</w:t>
        </w:r>
      </w:hyperlink>
      <w:r w:rsidRPr="00EA714F">
        <w:rPr>
          <w:kern w:val="18"/>
          <w:sz w:val="18"/>
          <w:szCs w:val="18"/>
        </w:rPr>
        <w:t>).</w:t>
      </w:r>
    </w:p>
  </w:footnote>
  <w:footnote w:id="304">
    <w:p w14:paraId="09EB3F91" w14:textId="2596E026" w:rsidR="00F02C6B" w:rsidRPr="00A17804" w:rsidRDefault="00F02C6B" w:rsidP="00E34747">
      <w:pPr>
        <w:pStyle w:val="FootnoteText"/>
        <w:suppressLineNumbers/>
        <w:suppressAutoHyphens/>
        <w:kinsoku w:val="0"/>
        <w:overflowPunct w:val="0"/>
        <w:autoSpaceDE w:val="0"/>
        <w:autoSpaceDN w:val="0"/>
        <w:ind w:firstLine="0"/>
        <w:jc w:val="left"/>
        <w:rPr>
          <w:snapToGrid w:val="0"/>
          <w:kern w:val="18"/>
          <w:szCs w:val="18"/>
        </w:rPr>
      </w:pPr>
      <w:r w:rsidRPr="00610646">
        <w:rPr>
          <w:rStyle w:val="FootnoteReference"/>
          <w:rFonts w:eastAsiaTheme="majorEastAsia"/>
        </w:rPr>
        <w:footnoteRef/>
      </w:r>
      <w:r w:rsidRPr="00A17804">
        <w:rPr>
          <w:snapToGrid w:val="0"/>
          <w:kern w:val="18"/>
          <w:szCs w:val="18"/>
        </w:rPr>
        <w:t xml:space="preserve"> </w:t>
      </w:r>
      <w:r>
        <w:rPr>
          <w:snapToGrid w:val="0"/>
          <w:kern w:val="18"/>
          <w:szCs w:val="18"/>
        </w:rPr>
        <w:t xml:space="preserve">The scoping reports are available </w:t>
      </w:r>
      <w:r w:rsidRPr="004C474B">
        <w:rPr>
          <w:snapToGrid w:val="0"/>
          <w:kern w:val="18"/>
          <w:szCs w:val="18"/>
        </w:rPr>
        <w:t>in</w:t>
      </w:r>
      <w:r>
        <w:rPr>
          <w:snapToGrid w:val="0"/>
          <w:kern w:val="18"/>
          <w:szCs w:val="18"/>
        </w:rPr>
        <w:t xml:space="preserve"> annexes I and II to decision IPBES-8/1 and annex II to decision IPBES-9/1, available at: </w:t>
      </w:r>
      <w:hyperlink r:id="rId57" w:history="1">
        <w:r w:rsidRPr="00FD0FB5">
          <w:rPr>
            <w:rStyle w:val="Hyperlink"/>
            <w:snapToGrid w:val="0"/>
            <w:kern w:val="18"/>
            <w:szCs w:val="18"/>
          </w:rPr>
          <w:t>https://ipbes.net/documents-by-category/Decisions</w:t>
        </w:r>
      </w:hyperlink>
      <w:r>
        <w:rPr>
          <w:snapToGrid w:val="0"/>
          <w:kern w:val="18"/>
          <w:szCs w:val="18"/>
        </w:rPr>
        <w:t xml:space="preserve"> </w:t>
      </w:r>
    </w:p>
  </w:footnote>
  <w:footnote w:id="305">
    <w:p w14:paraId="20F25F77" w14:textId="77777777" w:rsidR="00F02C6B" w:rsidRPr="001405F5" w:rsidRDefault="00F02C6B" w:rsidP="004F145E">
      <w:pPr>
        <w:pStyle w:val="FootnoteText"/>
        <w:ind w:firstLine="0"/>
        <w:rPr>
          <w:lang w:val="en-US"/>
        </w:rPr>
      </w:pPr>
      <w:r w:rsidRPr="00610646">
        <w:rPr>
          <w:rStyle w:val="FootnoteReference"/>
        </w:rPr>
        <w:footnoteRef/>
      </w:r>
      <w:r>
        <w:t xml:space="preserve"> </w:t>
      </w:r>
      <w:r w:rsidRPr="00BE6BC6">
        <w:t xml:space="preserve">IPBES (2022). </w:t>
      </w:r>
      <w:r w:rsidRPr="001405F5">
        <w:rPr>
          <w:i/>
          <w:iCs/>
        </w:rPr>
        <w:t>Summary for Policymakers of the Methodological Assessment Report on the Diverse Values and Valuation of Nature of the Intergovernmental Science-Policy Platform on Biodiversity and Ecosystem Services</w:t>
      </w:r>
      <w:r>
        <w:t>. IPBES secretariat, Bonn, Germany.</w:t>
      </w:r>
    </w:p>
  </w:footnote>
  <w:footnote w:id="306">
    <w:p w14:paraId="0D451E24" w14:textId="77777777" w:rsidR="00F02C6B" w:rsidRPr="001405F5" w:rsidRDefault="00F02C6B" w:rsidP="004F145E">
      <w:pPr>
        <w:pStyle w:val="FootnoteText"/>
        <w:ind w:firstLine="0"/>
        <w:rPr>
          <w:lang w:val="en-US"/>
        </w:rPr>
      </w:pPr>
      <w:r w:rsidRPr="00610646">
        <w:rPr>
          <w:rStyle w:val="FootnoteReference"/>
        </w:rPr>
        <w:footnoteRef/>
      </w:r>
      <w:r>
        <w:t xml:space="preserve"> IPBES (2022). </w:t>
      </w:r>
      <w:r w:rsidRPr="001405F5">
        <w:rPr>
          <w:i/>
          <w:iCs/>
        </w:rPr>
        <w:t>Summary for Policymakers of the Thematic Assessment Report on the Sustainable Use of Wild Species of the Intergovernmental Science-Policy Platform on Biodiversity and Ecosystem Services</w:t>
      </w:r>
      <w:r>
        <w:t>. IPBES secretariat, Bonn, Germany.</w:t>
      </w:r>
    </w:p>
  </w:footnote>
  <w:footnote w:id="307">
    <w:p w14:paraId="2FA2109D" w14:textId="4B53B7CA" w:rsidR="00F02C6B" w:rsidRPr="00A17804" w:rsidRDefault="00F02C6B" w:rsidP="004F145E">
      <w:pPr>
        <w:pStyle w:val="FootnoteText"/>
        <w:suppressLineNumbers/>
        <w:suppressAutoHyphens/>
        <w:kinsoku w:val="0"/>
        <w:overflowPunct w:val="0"/>
        <w:autoSpaceDE w:val="0"/>
        <w:autoSpaceDN w:val="0"/>
        <w:ind w:firstLine="0"/>
        <w:jc w:val="left"/>
        <w:rPr>
          <w:snapToGrid w:val="0"/>
          <w:kern w:val="18"/>
          <w:szCs w:val="18"/>
          <w:lang w:val="en-CA"/>
        </w:rPr>
      </w:pPr>
      <w:r w:rsidRPr="00610646">
        <w:rPr>
          <w:rStyle w:val="FootnoteReference"/>
        </w:rPr>
        <w:footnoteRef/>
      </w:r>
      <w:r w:rsidRPr="00A17804">
        <w:rPr>
          <w:snapToGrid w:val="0"/>
          <w:kern w:val="18"/>
          <w:szCs w:val="18"/>
        </w:rPr>
        <w:t xml:space="preserve"> IPBES (2020). Workshop report on biodiversity and pandemics of the Intergovernmental Platform on Biodiversity and Ecosystem Services. IPBES secretariat, Bonn. </w:t>
      </w:r>
      <w:hyperlink r:id="rId58" w:history="1">
        <w:r w:rsidRPr="00A17804">
          <w:rPr>
            <w:rStyle w:val="Hyperlink"/>
            <w:snapToGrid w:val="0"/>
            <w:kern w:val="18"/>
            <w:szCs w:val="18"/>
          </w:rPr>
          <w:t>https://ipbes.net/pandemics</w:t>
        </w:r>
      </w:hyperlink>
      <w:r w:rsidRPr="00A17804">
        <w:rPr>
          <w:snapToGrid w:val="0"/>
          <w:kern w:val="18"/>
          <w:szCs w:val="18"/>
        </w:rPr>
        <w:t>.</w:t>
      </w:r>
      <w:r>
        <w:rPr>
          <w:snapToGrid w:val="0"/>
          <w:kern w:val="18"/>
          <w:szCs w:val="18"/>
        </w:rPr>
        <w:t xml:space="preserve"> </w:t>
      </w:r>
      <w:r w:rsidRPr="00A17804">
        <w:rPr>
          <w:snapToGrid w:val="0"/>
          <w:kern w:val="18"/>
          <w:szCs w:val="18"/>
        </w:rPr>
        <w:t>This workshop report and any recommendations or conclusions contained therein have not been reviewed, endorsed or approved by the Plenary of the Intergovernmental Science-Policy Platform on Biodiversity and Ecosystem Services</w:t>
      </w:r>
      <w:r>
        <w:rPr>
          <w:snapToGrid w:val="0"/>
          <w:kern w:val="18"/>
          <w:szCs w:val="18"/>
        </w:rPr>
        <w:t>.</w:t>
      </w:r>
    </w:p>
  </w:footnote>
  <w:footnote w:id="308">
    <w:p w14:paraId="77642016" w14:textId="77777777" w:rsidR="00F02C6B" w:rsidRPr="00A17804" w:rsidRDefault="00F02C6B" w:rsidP="004F145E">
      <w:pPr>
        <w:pStyle w:val="FootnoteText"/>
        <w:suppressLineNumbers/>
        <w:suppressAutoHyphens/>
        <w:kinsoku w:val="0"/>
        <w:overflowPunct w:val="0"/>
        <w:autoSpaceDE w:val="0"/>
        <w:autoSpaceDN w:val="0"/>
        <w:ind w:firstLine="0"/>
        <w:jc w:val="left"/>
        <w:rPr>
          <w:snapToGrid w:val="0"/>
          <w:kern w:val="18"/>
          <w:szCs w:val="18"/>
        </w:rPr>
      </w:pPr>
      <w:r w:rsidRPr="00610646">
        <w:rPr>
          <w:rStyle w:val="FootnoteReference"/>
          <w:rFonts w:eastAsiaTheme="majorEastAsia"/>
        </w:rPr>
        <w:footnoteRef/>
      </w:r>
      <w:r w:rsidRPr="00A17804">
        <w:rPr>
          <w:snapToGrid w:val="0"/>
          <w:kern w:val="18"/>
          <w:szCs w:val="18"/>
        </w:rPr>
        <w:t xml:space="preserve"> </w:t>
      </w:r>
      <w:r>
        <w:rPr>
          <w:snapToGrid w:val="0"/>
          <w:kern w:val="18"/>
          <w:szCs w:val="18"/>
        </w:rPr>
        <w:t xml:space="preserve">IPBES/IPCC (2021) </w:t>
      </w:r>
      <w:r w:rsidRPr="00F27277">
        <w:rPr>
          <w:snapToGrid w:val="0"/>
          <w:kern w:val="18"/>
          <w:szCs w:val="18"/>
        </w:rPr>
        <w:t>IPBES-IPCC co-sponsored workshop report on biodiversity and climate change</w:t>
      </w:r>
      <w:r>
        <w:rPr>
          <w:snapToGrid w:val="0"/>
          <w:kern w:val="18"/>
          <w:szCs w:val="18"/>
        </w:rPr>
        <w:t xml:space="preserve">. </w:t>
      </w:r>
      <w:r w:rsidRPr="00A17804">
        <w:rPr>
          <w:snapToGrid w:val="0"/>
          <w:kern w:val="18"/>
          <w:szCs w:val="18"/>
        </w:rPr>
        <w:t xml:space="preserve">This workshop report and any recommendations or conclusions contained therein have not been reviewed, endorsed or approved by the </w:t>
      </w:r>
      <w:r>
        <w:rPr>
          <w:snapToGrid w:val="0"/>
          <w:kern w:val="18"/>
          <w:szCs w:val="18"/>
        </w:rPr>
        <w:t>Plenary of the</w:t>
      </w:r>
      <w:r w:rsidRPr="00A17804">
        <w:rPr>
          <w:snapToGrid w:val="0"/>
          <w:kern w:val="18"/>
          <w:szCs w:val="18"/>
        </w:rPr>
        <w:t xml:space="preserve"> Intergovernmental Science-Policy Platform on Biodiversity and Ecosystem Services</w:t>
      </w:r>
      <w:r>
        <w:rPr>
          <w:snapToGrid w:val="0"/>
          <w:kern w:val="18"/>
          <w:szCs w:val="18"/>
        </w:rPr>
        <w:t xml:space="preserve"> </w:t>
      </w:r>
      <w:r w:rsidRPr="00A17804">
        <w:rPr>
          <w:snapToGrid w:val="0"/>
          <w:kern w:val="18"/>
          <w:szCs w:val="18"/>
        </w:rPr>
        <w:t>or the Intergovernmental Panel on Climate Change</w:t>
      </w:r>
      <w:r w:rsidRPr="00A17804">
        <w:rPr>
          <w:snapToGrid w:val="0"/>
          <w:color w:val="000000" w:themeColor="text1"/>
          <w:kern w:val="18"/>
          <w:szCs w:val="18"/>
        </w:rPr>
        <w:t>.</w:t>
      </w:r>
    </w:p>
  </w:footnote>
  <w:footnote w:id="309">
    <w:p w14:paraId="572FF004" w14:textId="77777777" w:rsidR="00F02C6B" w:rsidRPr="001405F5" w:rsidRDefault="00F02C6B" w:rsidP="004F145E">
      <w:pPr>
        <w:pStyle w:val="FootnoteText"/>
        <w:ind w:firstLine="0"/>
        <w:rPr>
          <w:lang w:val="en-US"/>
        </w:rPr>
      </w:pPr>
      <w:r w:rsidRPr="00610646">
        <w:rPr>
          <w:rStyle w:val="FootnoteReference"/>
        </w:rPr>
        <w:footnoteRef/>
      </w:r>
      <w:r>
        <w:t xml:space="preserve"> </w:t>
      </w:r>
      <w:r w:rsidRPr="00DB2347">
        <w:rPr>
          <w:lang w:val="en-US"/>
        </w:rPr>
        <w:t>Decision 15/5.</w:t>
      </w:r>
    </w:p>
  </w:footnote>
  <w:footnote w:id="310">
    <w:p w14:paraId="6517A563" w14:textId="77777777" w:rsidR="00F02C6B" w:rsidRPr="00A17804" w:rsidRDefault="00F02C6B" w:rsidP="004F145E">
      <w:pPr>
        <w:pStyle w:val="FootnoteText"/>
        <w:suppressLineNumbers/>
        <w:suppressAutoHyphens/>
        <w:kinsoku w:val="0"/>
        <w:overflowPunct w:val="0"/>
        <w:autoSpaceDE w:val="0"/>
        <w:autoSpaceDN w:val="0"/>
        <w:ind w:firstLine="0"/>
        <w:jc w:val="left"/>
        <w:rPr>
          <w:snapToGrid w:val="0"/>
          <w:kern w:val="18"/>
          <w:szCs w:val="18"/>
          <w:lang w:val="en-CA"/>
        </w:rPr>
      </w:pPr>
      <w:r w:rsidRPr="00610646">
        <w:rPr>
          <w:rStyle w:val="FootnoteReference"/>
        </w:rPr>
        <w:footnoteRef/>
      </w:r>
      <w:r w:rsidRPr="00DB2347">
        <w:rPr>
          <w:snapToGrid w:val="0"/>
          <w:kern w:val="18"/>
          <w:szCs w:val="18"/>
        </w:rPr>
        <w:t xml:space="preserve"> CBD/SBSTTA/24/8.</w:t>
      </w:r>
    </w:p>
  </w:footnote>
  <w:footnote w:id="311">
    <w:p w14:paraId="5730C24C" w14:textId="77777777" w:rsidR="00F02C6B" w:rsidRPr="001405F5" w:rsidRDefault="00F02C6B" w:rsidP="004F145E">
      <w:pPr>
        <w:pStyle w:val="FootnoteText"/>
        <w:ind w:firstLine="0"/>
        <w:rPr>
          <w:lang w:val="en-US"/>
        </w:rPr>
      </w:pPr>
      <w:r w:rsidRPr="00610646">
        <w:rPr>
          <w:rStyle w:val="FootnoteReference"/>
        </w:rPr>
        <w:footnoteRef/>
      </w:r>
      <w:r>
        <w:t xml:space="preserve"> </w:t>
      </w:r>
      <w:r w:rsidRPr="001136CE">
        <w:t xml:space="preserve">IPBES (2022). </w:t>
      </w:r>
      <w:r w:rsidRPr="001405F5">
        <w:rPr>
          <w:i/>
          <w:iCs/>
        </w:rPr>
        <w:t>Summary for Policymakers of the Methodological Assessment Report on the Diverse Values and Valuation of Nature of the Intergovernmental Science-Policy Platform on Biodiversity and Ecosystem Services</w:t>
      </w:r>
      <w:r>
        <w:t xml:space="preserve">. </w:t>
      </w:r>
      <w:r w:rsidRPr="005B44C4">
        <w:rPr>
          <w:rFonts w:asciiTheme="majorBidi" w:hAnsiTheme="majorBidi" w:cstheme="majorBidi"/>
        </w:rPr>
        <w:t>IPBES secretariat, Bonn, Germany</w:t>
      </w:r>
      <w:r>
        <w:rPr>
          <w:rFonts w:asciiTheme="majorBidi" w:hAnsiTheme="majorBidi" w:cstheme="majorBidi"/>
        </w:rPr>
        <w:t>.</w:t>
      </w:r>
    </w:p>
  </w:footnote>
  <w:footnote w:id="312">
    <w:p w14:paraId="74DBF258" w14:textId="1E7AFCE0" w:rsidR="00991198" w:rsidRPr="00B269AE" w:rsidRDefault="00991198" w:rsidP="00FB13AC">
      <w:pPr>
        <w:pStyle w:val="Default"/>
        <w:keepLines/>
        <w:suppressLineNumbers/>
        <w:suppressAutoHyphens/>
        <w:rPr>
          <w:rFonts w:eastAsia="MS Mincho"/>
          <w:noProof/>
          <w:kern w:val="18"/>
          <w:sz w:val="18"/>
          <w:szCs w:val="18"/>
        </w:rPr>
      </w:pPr>
      <w:r w:rsidRPr="00610646">
        <w:rPr>
          <w:rStyle w:val="FootnoteReference"/>
        </w:rPr>
        <w:footnoteRef/>
      </w:r>
      <w:r w:rsidRPr="00B269AE">
        <w:rPr>
          <w:kern w:val="18"/>
          <w:sz w:val="18"/>
          <w:szCs w:val="18"/>
        </w:rPr>
        <w:t xml:space="preserve"> </w:t>
      </w:r>
      <w:hyperlink r:id="rId59" w:history="1">
        <w:r w:rsidRPr="00ED53F8">
          <w:rPr>
            <w:rStyle w:val="Hyperlink"/>
            <w:kern w:val="18"/>
            <w:szCs w:val="18"/>
          </w:rPr>
          <w:t>CBD/WG8J/11/6</w:t>
        </w:r>
      </w:hyperlink>
      <w:r w:rsidRPr="00B269AE">
        <w:rPr>
          <w:noProof/>
          <w:color w:val="auto"/>
          <w:kern w:val="18"/>
          <w:sz w:val="18"/>
          <w:szCs w:val="18"/>
          <w:lang w:val="en-GB"/>
        </w:rPr>
        <w:t>.</w:t>
      </w:r>
    </w:p>
  </w:footnote>
  <w:footnote w:id="313">
    <w:p w14:paraId="34ED0617" w14:textId="1B5C7105" w:rsidR="00991198" w:rsidRPr="00B269AE" w:rsidRDefault="00991198" w:rsidP="00FB13AC">
      <w:pPr>
        <w:pStyle w:val="FootnoteText"/>
        <w:suppressLineNumbers/>
        <w:suppressAutoHyphens/>
        <w:ind w:firstLine="0"/>
        <w:jc w:val="left"/>
        <w:rPr>
          <w:kern w:val="18"/>
          <w:szCs w:val="18"/>
        </w:rPr>
      </w:pPr>
      <w:r w:rsidRPr="00610646">
        <w:rPr>
          <w:rStyle w:val="FootnoteReference"/>
          <w:rFonts w:eastAsiaTheme="majorEastAsia"/>
        </w:rPr>
        <w:footnoteRef/>
      </w:r>
      <w:r w:rsidRPr="00B4267B">
        <w:rPr>
          <w:kern w:val="18"/>
          <w:szCs w:val="18"/>
        </w:rPr>
        <w:t xml:space="preserve"> </w:t>
      </w:r>
      <w:hyperlink r:id="rId60" w:history="1">
        <w:r w:rsidRPr="00B269AE">
          <w:rPr>
            <w:rStyle w:val="Hyperlink"/>
            <w:kern w:val="18"/>
            <w:szCs w:val="18"/>
          </w:rPr>
          <w:t>E/C.19/2016/5</w:t>
        </w:r>
      </w:hyperlink>
      <w:r w:rsidRPr="00B269AE">
        <w:rPr>
          <w:kern w:val="18"/>
          <w:szCs w:val="18"/>
        </w:rPr>
        <w:t xml:space="preserve"> and </w:t>
      </w:r>
      <w:hyperlink r:id="rId61" w:history="1">
        <w:r w:rsidRPr="00B269AE">
          <w:rPr>
            <w:rStyle w:val="Hyperlink"/>
            <w:kern w:val="18"/>
            <w:szCs w:val="18"/>
          </w:rPr>
          <w:t>Corr.1</w:t>
        </w:r>
      </w:hyperlink>
      <w:r w:rsidRPr="00B269AE">
        <w:rPr>
          <w:kern w:val="18"/>
          <w:szCs w:val="18"/>
        </w:rPr>
        <w:t>.</w:t>
      </w:r>
    </w:p>
  </w:footnote>
  <w:footnote w:id="314">
    <w:p w14:paraId="2DA97352" w14:textId="77777777" w:rsidR="00927BF8" w:rsidRPr="00A26AED" w:rsidRDefault="00927BF8" w:rsidP="00AB17F9">
      <w:pPr>
        <w:pStyle w:val="FootnoteText"/>
        <w:suppressLineNumbers/>
        <w:suppressAutoHyphens/>
        <w:ind w:firstLine="0"/>
        <w:jc w:val="left"/>
        <w:rPr>
          <w:kern w:val="18"/>
          <w:szCs w:val="18"/>
        </w:rPr>
      </w:pPr>
      <w:r w:rsidRPr="00610646">
        <w:rPr>
          <w:rStyle w:val="FootnoteReference"/>
        </w:rPr>
        <w:footnoteRef/>
      </w:r>
      <w:r w:rsidRPr="00A26AED">
        <w:rPr>
          <w:kern w:val="18"/>
          <w:szCs w:val="18"/>
        </w:rPr>
        <w:t xml:space="preserve"> See the compilation of declarations </w:t>
      </w:r>
      <w:r>
        <w:rPr>
          <w:kern w:val="18"/>
          <w:szCs w:val="18"/>
        </w:rPr>
        <w:t>on the</w:t>
      </w:r>
      <w:r w:rsidRPr="00A26AED">
        <w:rPr>
          <w:kern w:val="18"/>
          <w:szCs w:val="18"/>
        </w:rPr>
        <w:t xml:space="preserve"> links between nature and culture (CBD/WG8J/11/INF/2).</w:t>
      </w:r>
    </w:p>
  </w:footnote>
  <w:footnote w:id="315">
    <w:p w14:paraId="58B9E2D6" w14:textId="77777777" w:rsidR="00927BF8" w:rsidRPr="00414970" w:rsidRDefault="00927BF8" w:rsidP="00AB17F9">
      <w:pPr>
        <w:pStyle w:val="FootnoteText"/>
        <w:ind w:firstLine="0"/>
      </w:pPr>
      <w:r w:rsidRPr="00610646">
        <w:rPr>
          <w:rStyle w:val="FootnoteReference"/>
        </w:rPr>
        <w:footnoteRef/>
      </w:r>
      <w:r>
        <w:t xml:space="preserve"> Decision 15/4, annex.</w:t>
      </w:r>
    </w:p>
  </w:footnote>
  <w:footnote w:id="316">
    <w:p w14:paraId="6E40019C" w14:textId="77777777" w:rsidR="00927BF8" w:rsidRPr="00E5752B" w:rsidRDefault="00927BF8" w:rsidP="00AB17F9">
      <w:pPr>
        <w:pStyle w:val="FootnoteText"/>
        <w:ind w:firstLine="0"/>
      </w:pPr>
      <w:r w:rsidRPr="00610646">
        <w:rPr>
          <w:rStyle w:val="FootnoteReference"/>
        </w:rPr>
        <w:footnoteRef/>
      </w:r>
      <w:r>
        <w:t xml:space="preserve"> Decision X/2.</w:t>
      </w:r>
    </w:p>
  </w:footnote>
  <w:footnote w:id="317">
    <w:p w14:paraId="288A9DA8" w14:textId="0A40B815" w:rsidR="00927BF8" w:rsidRPr="008F2A65" w:rsidRDefault="00927BF8" w:rsidP="003D17CE">
      <w:pPr>
        <w:pStyle w:val="FootnoteText"/>
        <w:suppressLineNumbers/>
        <w:suppressAutoHyphens/>
        <w:ind w:firstLine="0"/>
        <w:jc w:val="left"/>
        <w:rPr>
          <w:kern w:val="18"/>
          <w:szCs w:val="18"/>
        </w:rPr>
      </w:pPr>
      <w:r w:rsidRPr="00610646">
        <w:rPr>
          <w:rStyle w:val="FootnoteReference"/>
        </w:rPr>
        <w:footnoteRef/>
      </w:r>
      <w:r w:rsidRPr="00A26AED">
        <w:rPr>
          <w:kern w:val="18"/>
          <w:szCs w:val="18"/>
        </w:rPr>
        <w:t xml:space="preserve"> In decision XIII/28, the Conference of the Parties adopted the following indicators for status and trends in the knowledge, innovations and practices of indigenous peoples and local communities relevant for the conservation and sustainable use of biological diversity: (a) </w:t>
      </w:r>
      <w:hyperlink r:id="rId62" w:history="1">
        <w:r w:rsidRPr="00A26AED">
          <w:rPr>
            <w:kern w:val="18"/>
            <w:szCs w:val="18"/>
            <w:lang w:eastAsia="en-GB"/>
          </w:rPr>
          <w:t>Trends of linguistic diversity and numbers of speakers of indigenous languages</w:t>
        </w:r>
      </w:hyperlink>
      <w:r w:rsidRPr="00A26AED">
        <w:rPr>
          <w:kern w:val="18"/>
          <w:szCs w:val="18"/>
          <w:lang w:eastAsia="en-GB"/>
        </w:rPr>
        <w:t>; (b) </w:t>
      </w:r>
      <w:hyperlink r:id="rId63" w:history="1">
        <w:r w:rsidRPr="00A26AED">
          <w:rPr>
            <w:kern w:val="18"/>
            <w:szCs w:val="18"/>
            <w:lang w:eastAsia="en-GB"/>
          </w:rPr>
          <w:t>Trends in land-use change and land tenure in the traditional territories of indigenous and local communities</w:t>
        </w:r>
      </w:hyperlink>
      <w:r w:rsidRPr="00A26AED">
        <w:rPr>
          <w:kern w:val="18"/>
          <w:szCs w:val="18"/>
          <w:lang w:eastAsia="en-GB"/>
        </w:rPr>
        <w:t>; (c) </w:t>
      </w:r>
      <w:hyperlink r:id="rId64" w:history="1">
        <w:r w:rsidRPr="00A26AED">
          <w:rPr>
            <w:kern w:val="18"/>
            <w:szCs w:val="18"/>
            <w:lang w:eastAsia="en-GB"/>
          </w:rPr>
          <w:t>Trends in the practice of traditional occupations</w:t>
        </w:r>
      </w:hyperlink>
      <w:r w:rsidRPr="00A26AED">
        <w:rPr>
          <w:kern w:val="18"/>
          <w:szCs w:val="18"/>
          <w:lang w:eastAsia="en-GB"/>
        </w:rPr>
        <w:t>; and (d) </w:t>
      </w:r>
      <w:hyperlink r:id="rId65" w:history="1">
        <w:r w:rsidRPr="00A26AED">
          <w:rPr>
            <w:kern w:val="18"/>
            <w:szCs w:val="18"/>
            <w:lang w:eastAsia="en-GB"/>
          </w:rPr>
          <w:t>Trends in degree to which traditional knowledge and practices are respected through: full integration, participation and safeguards in national implementation of the Strategic Plan</w:t>
        </w:r>
      </w:hyperlink>
      <w:r w:rsidRPr="00A26AED">
        <w:rPr>
          <w:kern w:val="18"/>
          <w:szCs w:val="18"/>
          <w:lang w:eastAsia="en-GB"/>
        </w:rPr>
        <w:t>.</w:t>
      </w:r>
    </w:p>
  </w:footnote>
  <w:footnote w:id="318">
    <w:p w14:paraId="68CF03BB" w14:textId="77777777" w:rsidR="00927BF8" w:rsidRPr="00A26AED" w:rsidRDefault="00927BF8" w:rsidP="003D17CE">
      <w:pPr>
        <w:pStyle w:val="FootnoteText"/>
        <w:suppressLineNumbers/>
        <w:suppressAutoHyphens/>
        <w:ind w:firstLine="0"/>
        <w:jc w:val="left"/>
        <w:rPr>
          <w:kern w:val="18"/>
          <w:szCs w:val="18"/>
        </w:rPr>
      </w:pPr>
      <w:r w:rsidRPr="00610646">
        <w:rPr>
          <w:rStyle w:val="FootnoteReference"/>
        </w:rPr>
        <w:footnoteRef/>
      </w:r>
      <w:r w:rsidRPr="00A26AED">
        <w:rPr>
          <w:kern w:val="18"/>
          <w:szCs w:val="18"/>
        </w:rPr>
        <w:t xml:space="preserve"> Recalling that </w:t>
      </w:r>
      <w:r w:rsidRPr="008F2A65">
        <w:rPr>
          <w:kern w:val="18"/>
          <w:szCs w:val="18"/>
        </w:rPr>
        <w:t xml:space="preserve">UNESCO is the lead agency on languages, as proposed by participants in </w:t>
      </w:r>
      <w:r w:rsidRPr="00871703">
        <w:rPr>
          <w:kern w:val="18"/>
          <w:szCs w:val="18"/>
        </w:rPr>
        <w:t xml:space="preserve">the Online Forum on the integration of Article 8(j) </w:t>
      </w:r>
      <w:r w:rsidRPr="00A26AED">
        <w:rPr>
          <w:kern w:val="18"/>
          <w:szCs w:val="18"/>
        </w:rPr>
        <w:t xml:space="preserve">and provisions related to indigenous peoples and local communities in the work of the Convention and its </w:t>
      </w:r>
      <w:r>
        <w:rPr>
          <w:kern w:val="18"/>
          <w:szCs w:val="18"/>
        </w:rPr>
        <w:t>P</w:t>
      </w:r>
      <w:r w:rsidRPr="00A26AED">
        <w:rPr>
          <w:kern w:val="18"/>
          <w:szCs w:val="18"/>
        </w:rPr>
        <w:t>rotocols.</w:t>
      </w:r>
    </w:p>
  </w:footnote>
  <w:footnote w:id="319">
    <w:p w14:paraId="3416FC47" w14:textId="77777777" w:rsidR="00284A40" w:rsidRPr="00496801" w:rsidRDefault="00284A40" w:rsidP="001D6203">
      <w:pPr>
        <w:pStyle w:val="FootnoteText"/>
        <w:ind w:firstLine="0"/>
        <w:rPr>
          <w:lang w:val="en-US"/>
        </w:rPr>
      </w:pPr>
      <w:r w:rsidRPr="00610646">
        <w:rPr>
          <w:rStyle w:val="FootnoteReference"/>
        </w:rPr>
        <w:footnoteRef/>
      </w:r>
      <w:r w:rsidRPr="00B7399F">
        <w:t xml:space="preserve"> </w:t>
      </w:r>
      <w:r w:rsidRPr="00890367">
        <w:t xml:space="preserve">IPBES (2022). </w:t>
      </w:r>
      <w:r w:rsidRPr="00496801">
        <w:rPr>
          <w:i/>
          <w:iCs/>
        </w:rPr>
        <w:t>Thematic Assessment Report on the Sustainable Use of Wild Species of the Intergovernmental Science-Policy Platform on Biodiversity and Ecosystem Services</w:t>
      </w:r>
      <w:r w:rsidRPr="00890367">
        <w:t>. IPBES secretariat, Bonn, Germany.</w:t>
      </w:r>
    </w:p>
  </w:footnote>
  <w:footnote w:id="320">
    <w:p w14:paraId="70D90DE6" w14:textId="4BAF2365" w:rsidR="00284A40" w:rsidRPr="007C6BFD" w:rsidRDefault="00284A40" w:rsidP="001D6203">
      <w:pPr>
        <w:pStyle w:val="FootnoteText"/>
        <w:suppressLineNumbers/>
        <w:suppressAutoHyphens/>
        <w:ind w:firstLine="0"/>
        <w:jc w:val="left"/>
        <w:rPr>
          <w:szCs w:val="18"/>
        </w:rPr>
      </w:pPr>
      <w:r w:rsidRPr="00610646">
        <w:rPr>
          <w:rStyle w:val="FootnoteReference"/>
          <w:rFonts w:eastAsiaTheme="majorEastAsia"/>
        </w:rPr>
        <w:footnoteRef/>
      </w:r>
      <w:r w:rsidRPr="007C6BFD">
        <w:rPr>
          <w:szCs w:val="18"/>
        </w:rPr>
        <w:t xml:space="preserve"> See </w:t>
      </w:r>
      <w:hyperlink r:id="rId66" w:history="1">
        <w:r w:rsidRPr="00A93B87">
          <w:rPr>
            <w:rStyle w:val="Hyperlink"/>
            <w:szCs w:val="18"/>
          </w:rPr>
          <w:t>CBD/WG2020/1/INF/3</w:t>
        </w:r>
      </w:hyperlink>
      <w:r w:rsidRPr="00A93B87">
        <w:rPr>
          <w:szCs w:val="18"/>
        </w:rPr>
        <w:t>.</w:t>
      </w:r>
    </w:p>
  </w:footnote>
  <w:footnote w:id="321">
    <w:p w14:paraId="6422345E" w14:textId="77777777" w:rsidR="000062FB" w:rsidRPr="00554D43" w:rsidRDefault="000062FB" w:rsidP="0009479E">
      <w:pPr>
        <w:pStyle w:val="FootnoteText"/>
        <w:ind w:firstLine="0"/>
        <w:rPr>
          <w:lang w:val="en-US"/>
        </w:rPr>
      </w:pPr>
      <w:r w:rsidRPr="00610646">
        <w:rPr>
          <w:rStyle w:val="FootnoteReference"/>
        </w:rPr>
        <w:footnoteRef/>
      </w:r>
      <w:r>
        <w:t xml:space="preserve"> </w:t>
      </w:r>
      <w:r>
        <w:rPr>
          <w:szCs w:val="22"/>
        </w:rPr>
        <w:t>Principle 15 of the Rio Declaration on Environment and Development.</w:t>
      </w:r>
    </w:p>
  </w:footnote>
  <w:footnote w:id="322">
    <w:p w14:paraId="0F3FD6C3" w14:textId="77777777" w:rsidR="000062FB" w:rsidRPr="00700326" w:rsidRDefault="000062FB" w:rsidP="0009479E">
      <w:pPr>
        <w:pStyle w:val="FootnoteText"/>
        <w:ind w:firstLine="0"/>
        <w:rPr>
          <w:lang w:val="en-US"/>
        </w:rPr>
      </w:pPr>
      <w:r w:rsidRPr="00610646">
        <w:rPr>
          <w:rStyle w:val="FootnoteReference"/>
        </w:rPr>
        <w:footnoteRef/>
      </w:r>
      <w:r>
        <w:t xml:space="preserve"> In this decision, free, prior and informed consent refers to the tripartite terminology of “prior and informed consent” or “free, prior and informed consent” or “approval and involvement”.</w:t>
      </w:r>
    </w:p>
  </w:footnote>
  <w:footnote w:id="323">
    <w:p w14:paraId="1F1EBDCD" w14:textId="77777777" w:rsidR="000062FB" w:rsidRPr="006D53FB" w:rsidRDefault="000062FB" w:rsidP="0009479E">
      <w:pPr>
        <w:pStyle w:val="FootnoteText"/>
        <w:ind w:firstLine="0"/>
        <w:rPr>
          <w:lang w:val="en-US"/>
        </w:rPr>
      </w:pPr>
      <w:r w:rsidRPr="00610646">
        <w:rPr>
          <w:rStyle w:val="FootnoteReference"/>
        </w:rPr>
        <w:footnoteRef/>
      </w:r>
      <w:r w:rsidRPr="00E509A1">
        <w:t xml:space="preserve"> </w:t>
      </w:r>
      <w:r w:rsidRPr="006D53FB">
        <w:rPr>
          <w:lang w:val="en-US"/>
        </w:rPr>
        <w:t>Decision XII/23, annex.</w:t>
      </w:r>
    </w:p>
  </w:footnote>
  <w:footnote w:id="324">
    <w:p w14:paraId="79641578" w14:textId="77777777" w:rsidR="000062FB" w:rsidRPr="006D53FB" w:rsidRDefault="000062FB" w:rsidP="0009479E">
      <w:pPr>
        <w:pStyle w:val="FootnoteText"/>
        <w:ind w:firstLine="0"/>
        <w:rPr>
          <w:lang w:val="en-US"/>
        </w:rPr>
      </w:pPr>
      <w:r w:rsidRPr="00610646">
        <w:rPr>
          <w:rStyle w:val="FootnoteReference"/>
        </w:rPr>
        <w:footnoteRef/>
      </w:r>
      <w:r w:rsidRPr="00E509A1">
        <w:t xml:space="preserve"> </w:t>
      </w:r>
      <w:r w:rsidRPr="00E509A1">
        <w:rPr>
          <w:lang w:val="en-US"/>
        </w:rPr>
        <w:t>Decision XIII/11.</w:t>
      </w:r>
    </w:p>
  </w:footnote>
  <w:footnote w:id="325">
    <w:p w14:paraId="0F989F0C" w14:textId="77777777" w:rsidR="000062FB" w:rsidRPr="00061112" w:rsidRDefault="000062FB" w:rsidP="0009479E">
      <w:pPr>
        <w:keepLines/>
        <w:suppressLineNumbers/>
        <w:suppressAutoHyphens/>
        <w:kinsoku w:val="0"/>
        <w:overflowPunct w:val="0"/>
        <w:autoSpaceDE w:val="0"/>
        <w:autoSpaceDN w:val="0"/>
        <w:jc w:val="left"/>
        <w:rPr>
          <w:rFonts w:ascii="Segoe UI" w:hAnsi="Segoe UI" w:cs="Segoe UI"/>
          <w:color w:val="212529"/>
          <w:kern w:val="18"/>
          <w:sz w:val="18"/>
          <w:szCs w:val="18"/>
          <w:lang w:eastAsia="en-CA"/>
        </w:rPr>
      </w:pPr>
      <w:r w:rsidRPr="00610646">
        <w:rPr>
          <w:rStyle w:val="FootnoteReference"/>
          <w:rFonts w:eastAsiaTheme="majorEastAsia"/>
        </w:rPr>
        <w:footnoteRef/>
      </w:r>
      <w:r w:rsidRPr="00E509A1">
        <w:rPr>
          <w:kern w:val="18"/>
          <w:sz w:val="18"/>
          <w:szCs w:val="18"/>
        </w:rPr>
        <w:t xml:space="preserve"> </w:t>
      </w:r>
      <w:r w:rsidRPr="00E509A1">
        <w:rPr>
          <w:color w:val="212529"/>
          <w:kern w:val="18"/>
          <w:sz w:val="18"/>
          <w:szCs w:val="18"/>
          <w:lang w:eastAsia="en-CA"/>
        </w:rPr>
        <w:t>CBD/POST2020/WS/2019/10/2.</w:t>
      </w:r>
    </w:p>
  </w:footnote>
  <w:footnote w:id="326">
    <w:p w14:paraId="6D1A4BF9" w14:textId="77777777" w:rsidR="000062FB" w:rsidRPr="00061112" w:rsidRDefault="000062FB" w:rsidP="0009479E">
      <w:pPr>
        <w:pStyle w:val="FootnoteText"/>
        <w:suppressLineNumbers/>
        <w:suppressAutoHyphens/>
        <w:kinsoku w:val="0"/>
        <w:overflowPunct w:val="0"/>
        <w:autoSpaceDE w:val="0"/>
        <w:autoSpaceDN w:val="0"/>
        <w:ind w:firstLine="0"/>
        <w:jc w:val="left"/>
        <w:rPr>
          <w:kern w:val="18"/>
          <w:szCs w:val="18"/>
        </w:rPr>
      </w:pPr>
      <w:r w:rsidRPr="00610646">
        <w:rPr>
          <w:rStyle w:val="FootnoteReference"/>
          <w:rFonts w:eastAsiaTheme="majorEastAsia"/>
        </w:rPr>
        <w:footnoteRef/>
      </w:r>
      <w:r w:rsidRPr="00061112">
        <w:rPr>
          <w:kern w:val="18"/>
          <w:szCs w:val="18"/>
        </w:rPr>
        <w:t xml:space="preserve"> United Nations, </w:t>
      </w:r>
      <w:r w:rsidRPr="00061112">
        <w:rPr>
          <w:i/>
          <w:iCs/>
          <w:kern w:val="18"/>
          <w:szCs w:val="18"/>
        </w:rPr>
        <w:t>Treaty Series</w:t>
      </w:r>
      <w:r w:rsidRPr="00061112">
        <w:rPr>
          <w:kern w:val="18"/>
          <w:szCs w:val="18"/>
        </w:rPr>
        <w:t>, vol.</w:t>
      </w:r>
      <w:r w:rsidRPr="00470142">
        <w:rPr>
          <w:kern w:val="18"/>
          <w:szCs w:val="18"/>
        </w:rPr>
        <w:t> </w:t>
      </w:r>
      <w:r w:rsidRPr="00061112">
        <w:rPr>
          <w:kern w:val="18"/>
          <w:szCs w:val="18"/>
        </w:rPr>
        <w:t>1833, No.</w:t>
      </w:r>
      <w:r w:rsidRPr="00470142">
        <w:rPr>
          <w:kern w:val="18"/>
          <w:szCs w:val="18"/>
        </w:rPr>
        <w:t> </w:t>
      </w:r>
      <w:r w:rsidRPr="00061112">
        <w:rPr>
          <w:kern w:val="18"/>
          <w:szCs w:val="18"/>
        </w:rPr>
        <w:t>31363.</w:t>
      </w:r>
    </w:p>
  </w:footnote>
  <w:footnote w:id="327">
    <w:p w14:paraId="24E18DA3" w14:textId="7779F716" w:rsidR="000062FB" w:rsidRPr="006D53FB" w:rsidRDefault="000062FB" w:rsidP="0009479E">
      <w:pPr>
        <w:pStyle w:val="FootnoteText"/>
        <w:ind w:firstLine="0"/>
        <w:rPr>
          <w:lang w:val="en-US"/>
        </w:rPr>
      </w:pPr>
      <w:r w:rsidRPr="00610646">
        <w:rPr>
          <w:rStyle w:val="FootnoteReference"/>
        </w:rPr>
        <w:footnoteRef/>
      </w:r>
      <w:r>
        <w:t xml:space="preserve"> </w:t>
      </w:r>
      <w:r>
        <w:rPr>
          <w:lang w:val="en-US"/>
        </w:rPr>
        <w:t>Rome, 7</w:t>
      </w:r>
      <w:r w:rsidR="0009479E">
        <w:rPr>
          <w:lang w:val="en-US"/>
        </w:rPr>
        <w:t>–</w:t>
      </w:r>
      <w:r>
        <w:rPr>
          <w:lang w:val="en-US"/>
        </w:rPr>
        <w:t xml:space="preserve">10 May 2010. See </w:t>
      </w:r>
      <w:hyperlink r:id="rId67" w:history="1">
        <w:r w:rsidR="0009479E" w:rsidRPr="00740B92">
          <w:rPr>
            <w:rStyle w:val="Hyperlink"/>
            <w:lang w:val="en-US"/>
          </w:rPr>
          <w:t>https://www.fao.org/3/ca7194en/ca7194en.pdf</w:t>
        </w:r>
      </w:hyperlink>
      <w:r w:rsidR="0009479E">
        <w:rPr>
          <w:lang w:val="en-US"/>
        </w:rPr>
        <w:t xml:space="preserve">. </w:t>
      </w:r>
    </w:p>
  </w:footnote>
  <w:footnote w:id="328">
    <w:p w14:paraId="7C037B8E" w14:textId="77777777" w:rsidR="000062FB" w:rsidRPr="006D53FB" w:rsidRDefault="000062FB" w:rsidP="0009479E">
      <w:pPr>
        <w:pStyle w:val="FootnoteText"/>
        <w:ind w:firstLine="0"/>
        <w:rPr>
          <w:lang w:val="en-US"/>
        </w:rPr>
      </w:pPr>
      <w:r w:rsidRPr="00610646">
        <w:rPr>
          <w:rStyle w:val="FootnoteReference"/>
        </w:rPr>
        <w:footnoteRef/>
      </w:r>
      <w:r w:rsidRPr="005A0E60">
        <w:rPr>
          <w:lang w:val="en-US"/>
        </w:rPr>
        <w:t xml:space="preserve"> IUCN-WCPA Task Force on OECMs, (2019). Recogni</w:t>
      </w:r>
      <w:r>
        <w:rPr>
          <w:lang w:val="en-US"/>
        </w:rPr>
        <w:t>z</w:t>
      </w:r>
      <w:r w:rsidRPr="005A0E60">
        <w:rPr>
          <w:lang w:val="en-US"/>
        </w:rPr>
        <w:t>ing and reporting other effective area-based conservation measures. Gland, Switzerland: IUCN.</w:t>
      </w:r>
    </w:p>
  </w:footnote>
  <w:footnote w:id="329">
    <w:p w14:paraId="2CA7F285" w14:textId="77777777" w:rsidR="000062FB" w:rsidRPr="002323E0" w:rsidRDefault="000062FB" w:rsidP="0009479E">
      <w:pPr>
        <w:pStyle w:val="FootnoteText"/>
        <w:suppressLineNumbers/>
        <w:suppressAutoHyphens/>
        <w:kinsoku w:val="0"/>
        <w:overflowPunct w:val="0"/>
        <w:autoSpaceDE w:val="0"/>
        <w:autoSpaceDN w:val="0"/>
        <w:ind w:firstLine="0"/>
        <w:jc w:val="left"/>
        <w:rPr>
          <w:kern w:val="18"/>
          <w:szCs w:val="18"/>
        </w:rPr>
      </w:pPr>
      <w:r w:rsidRPr="00610646">
        <w:rPr>
          <w:rStyle w:val="FootnoteReference"/>
          <w:rFonts w:eastAsiaTheme="majorEastAsia"/>
        </w:rPr>
        <w:footnoteRef/>
      </w:r>
      <w:r w:rsidRPr="002323E0">
        <w:rPr>
          <w:kern w:val="18"/>
          <w:szCs w:val="18"/>
        </w:rPr>
        <w:t xml:space="preserve"> General Assembly resolution 70/1.</w:t>
      </w:r>
    </w:p>
  </w:footnote>
  <w:footnote w:id="330">
    <w:p w14:paraId="420F9C94" w14:textId="77777777" w:rsidR="000062FB" w:rsidRPr="00061112" w:rsidRDefault="000062FB" w:rsidP="0009479E">
      <w:pPr>
        <w:pStyle w:val="FootnoteText"/>
        <w:suppressLineNumbers/>
        <w:suppressAutoHyphens/>
        <w:kinsoku w:val="0"/>
        <w:overflowPunct w:val="0"/>
        <w:autoSpaceDE w:val="0"/>
        <w:autoSpaceDN w:val="0"/>
        <w:ind w:firstLine="0"/>
        <w:jc w:val="left"/>
        <w:rPr>
          <w:kern w:val="18"/>
          <w:szCs w:val="18"/>
        </w:rPr>
      </w:pPr>
      <w:r w:rsidRPr="00610646">
        <w:rPr>
          <w:rStyle w:val="FootnoteReference"/>
          <w:rFonts w:eastAsiaTheme="majorEastAsia"/>
        </w:rPr>
        <w:footnoteRef/>
      </w:r>
      <w:r w:rsidRPr="002323E0">
        <w:rPr>
          <w:kern w:val="18"/>
          <w:szCs w:val="18"/>
        </w:rPr>
        <w:t xml:space="preserve"> United Nations, Treaty Series, vol. 1771, No. I-30822.</w:t>
      </w:r>
    </w:p>
  </w:footnote>
  <w:footnote w:id="331">
    <w:p w14:paraId="23D6911A" w14:textId="77777777" w:rsidR="00963618" w:rsidRPr="0052289A" w:rsidRDefault="00963618" w:rsidP="007C350C">
      <w:pPr>
        <w:pStyle w:val="FootnoteText"/>
        <w:suppressLineNumbers/>
        <w:suppressAutoHyphens/>
        <w:ind w:firstLine="0"/>
        <w:jc w:val="left"/>
        <w:rPr>
          <w:kern w:val="18"/>
          <w:szCs w:val="18"/>
        </w:rPr>
      </w:pPr>
      <w:r w:rsidRPr="00610646">
        <w:rPr>
          <w:rStyle w:val="FootnoteReference"/>
        </w:rPr>
        <w:footnoteRef/>
      </w:r>
      <w:r w:rsidRPr="0052289A">
        <w:rPr>
          <w:kern w:val="18"/>
          <w:szCs w:val="18"/>
        </w:rPr>
        <w:t xml:space="preserve"> See decision</w:t>
      </w:r>
      <w:r>
        <w:rPr>
          <w:kern w:val="18"/>
          <w:szCs w:val="18"/>
        </w:rPr>
        <w:t>s</w:t>
      </w:r>
      <w:r w:rsidRPr="0052289A">
        <w:rPr>
          <w:kern w:val="18"/>
          <w:szCs w:val="18"/>
        </w:rPr>
        <w:t xml:space="preserve"> X/29, para. 36, and XI/17, para. 12.</w:t>
      </w:r>
    </w:p>
  </w:footnote>
  <w:footnote w:id="332">
    <w:p w14:paraId="79895D38" w14:textId="77777777" w:rsidR="00963618" w:rsidRPr="00B656C8" w:rsidRDefault="00963618" w:rsidP="007C350C">
      <w:pPr>
        <w:pStyle w:val="FootnoteText"/>
        <w:suppressLineNumbers/>
        <w:suppressAutoHyphens/>
        <w:kinsoku w:val="0"/>
        <w:overflowPunct w:val="0"/>
        <w:autoSpaceDE w:val="0"/>
        <w:autoSpaceDN w:val="0"/>
        <w:ind w:firstLine="0"/>
        <w:jc w:val="left"/>
        <w:rPr>
          <w:snapToGrid w:val="0"/>
          <w:kern w:val="18"/>
          <w:szCs w:val="18"/>
        </w:rPr>
      </w:pPr>
      <w:r w:rsidRPr="00610646">
        <w:rPr>
          <w:rStyle w:val="FootnoteReference"/>
          <w:rFonts w:eastAsiaTheme="majorEastAsia"/>
        </w:rPr>
        <w:footnoteRef/>
      </w:r>
      <w:r w:rsidRPr="0064342E">
        <w:rPr>
          <w:snapToGrid w:val="0"/>
          <w:kern w:val="18"/>
          <w:szCs w:val="18"/>
        </w:rPr>
        <w:t xml:space="preserve"> CBD/EBSA/WS/2019/1/5</w:t>
      </w:r>
      <w:r w:rsidRPr="00B656C8">
        <w:rPr>
          <w:snapToGrid w:val="0"/>
          <w:kern w:val="18"/>
          <w:szCs w:val="18"/>
        </w:rPr>
        <w:t>.</w:t>
      </w:r>
    </w:p>
  </w:footnote>
  <w:footnote w:id="333">
    <w:p w14:paraId="25CA3830" w14:textId="77777777" w:rsidR="00963618" w:rsidRPr="00A73566" w:rsidRDefault="00963618" w:rsidP="007C350C">
      <w:pPr>
        <w:pStyle w:val="FootnoteText"/>
        <w:suppressLineNumbers/>
        <w:suppressAutoHyphens/>
        <w:ind w:firstLine="0"/>
        <w:jc w:val="left"/>
        <w:rPr>
          <w:kern w:val="18"/>
          <w:szCs w:val="18"/>
        </w:rPr>
      </w:pPr>
      <w:r w:rsidRPr="00610646">
        <w:rPr>
          <w:rStyle w:val="FootnoteReference"/>
        </w:rPr>
        <w:footnoteRef/>
      </w:r>
      <w:r w:rsidRPr="0064342E">
        <w:rPr>
          <w:kern w:val="18"/>
          <w:szCs w:val="18"/>
          <w:vertAlign w:val="superscript"/>
        </w:rPr>
        <w:t xml:space="preserve"> </w:t>
      </w:r>
      <w:r w:rsidRPr="00B656C8">
        <w:rPr>
          <w:kern w:val="18"/>
          <w:szCs w:val="18"/>
        </w:rPr>
        <w:t>For the report on the workshop, see CBD/EBSA/WS/2019/1/4.</w:t>
      </w:r>
    </w:p>
  </w:footnote>
  <w:footnote w:id="334">
    <w:p w14:paraId="59DA533E" w14:textId="00BFB0F7" w:rsidR="00963618" w:rsidRPr="00B656C8" w:rsidRDefault="00963618" w:rsidP="007C350C">
      <w:pPr>
        <w:pStyle w:val="FootnoteText"/>
        <w:suppressLineNumbers/>
        <w:suppressAutoHyphens/>
        <w:kinsoku w:val="0"/>
        <w:overflowPunct w:val="0"/>
        <w:autoSpaceDE w:val="0"/>
        <w:autoSpaceDN w:val="0"/>
        <w:ind w:firstLine="0"/>
        <w:jc w:val="left"/>
        <w:rPr>
          <w:snapToGrid w:val="0"/>
          <w:kern w:val="18"/>
          <w:szCs w:val="18"/>
        </w:rPr>
      </w:pPr>
      <w:r w:rsidRPr="00610646">
        <w:rPr>
          <w:rStyle w:val="FootnoteReference"/>
          <w:rFonts w:eastAsiaTheme="majorEastAsia"/>
        </w:rPr>
        <w:footnoteRef/>
      </w:r>
      <w:r w:rsidRPr="0064342E">
        <w:rPr>
          <w:snapToGrid w:val="0"/>
          <w:kern w:val="18"/>
          <w:szCs w:val="18"/>
        </w:rPr>
        <w:t xml:space="preserve"> </w:t>
      </w:r>
      <w:hyperlink r:id="rId68" w:history="1">
        <w:r w:rsidRPr="0064342E">
          <w:rPr>
            <w:rStyle w:val="Hyperlink"/>
            <w:snapToGrid w:val="0"/>
            <w:kern w:val="18"/>
            <w:szCs w:val="18"/>
          </w:rPr>
          <w:t xml:space="preserve">United Nations, </w:t>
        </w:r>
        <w:r w:rsidRPr="0064342E">
          <w:rPr>
            <w:rStyle w:val="Hyperlink"/>
            <w:i/>
            <w:iCs/>
            <w:snapToGrid w:val="0"/>
            <w:kern w:val="18"/>
            <w:szCs w:val="18"/>
          </w:rPr>
          <w:t>Treaty Series</w:t>
        </w:r>
        <w:r w:rsidRPr="0064342E">
          <w:rPr>
            <w:rStyle w:val="Hyperlink"/>
            <w:snapToGrid w:val="0"/>
            <w:kern w:val="18"/>
            <w:szCs w:val="18"/>
          </w:rPr>
          <w:t>, vol. 1833, No. 31363</w:t>
        </w:r>
      </w:hyperlink>
      <w:r w:rsidRPr="0064342E">
        <w:rPr>
          <w:snapToGrid w:val="0"/>
          <w:kern w:val="18"/>
          <w:szCs w:val="18"/>
        </w:rPr>
        <w:t>.</w:t>
      </w:r>
    </w:p>
  </w:footnote>
  <w:footnote w:id="335">
    <w:p w14:paraId="57834F24" w14:textId="77777777" w:rsidR="00252FCF" w:rsidRPr="001D3924" w:rsidRDefault="00252FCF" w:rsidP="006728ED">
      <w:pPr>
        <w:pStyle w:val="FootnoteText"/>
        <w:ind w:firstLine="0"/>
        <w:rPr>
          <w:szCs w:val="18"/>
          <w:lang w:val="en-US"/>
        </w:rPr>
      </w:pPr>
      <w:r w:rsidRPr="00610646">
        <w:rPr>
          <w:rStyle w:val="FootnoteReference"/>
        </w:rPr>
        <w:footnoteRef/>
      </w:r>
      <w:r w:rsidRPr="00BE7BAC">
        <w:rPr>
          <w:szCs w:val="18"/>
        </w:rPr>
        <w:t xml:space="preserve"> Türkiye dissociates itself from the reference made to the United Nations Convention on the Law of the Sea, to which it is not a party. </w:t>
      </w:r>
      <w:r>
        <w:rPr>
          <w:szCs w:val="18"/>
        </w:rPr>
        <w:t>The p</w:t>
      </w:r>
      <w:r w:rsidRPr="00BE7BAC">
        <w:rPr>
          <w:szCs w:val="18"/>
        </w:rPr>
        <w:t>articipat</w:t>
      </w:r>
      <w:r>
        <w:rPr>
          <w:szCs w:val="18"/>
        </w:rPr>
        <w:t xml:space="preserve">ion of </w:t>
      </w:r>
      <w:r w:rsidRPr="00BE7BAC">
        <w:rPr>
          <w:szCs w:val="18"/>
        </w:rPr>
        <w:t>Türkiye</w:t>
      </w:r>
      <w:r w:rsidRPr="00BE7BAC" w:rsidDel="00850468">
        <w:rPr>
          <w:szCs w:val="18"/>
        </w:rPr>
        <w:t xml:space="preserve"> </w:t>
      </w:r>
      <w:r>
        <w:rPr>
          <w:szCs w:val="18"/>
        </w:rPr>
        <w:t>in the discussions under this agenda item during</w:t>
      </w:r>
      <w:r w:rsidRPr="00BE7BAC">
        <w:rPr>
          <w:szCs w:val="18"/>
        </w:rPr>
        <w:t xml:space="preserve"> </w:t>
      </w:r>
      <w:r>
        <w:rPr>
          <w:szCs w:val="18"/>
        </w:rPr>
        <w:t>COP-</w:t>
      </w:r>
      <w:r w:rsidRPr="001D3924">
        <w:rPr>
          <w:szCs w:val="18"/>
        </w:rPr>
        <w:t>15 cannot be construed as a change in the well-known legal position of Türkiye with regard to the said instrument.</w:t>
      </w:r>
    </w:p>
  </w:footnote>
  <w:footnote w:id="336">
    <w:p w14:paraId="637FFD61" w14:textId="77777777" w:rsidR="00252FCF" w:rsidRPr="009A7D91" w:rsidRDefault="00252FCF" w:rsidP="006728ED">
      <w:pPr>
        <w:pStyle w:val="FootnoteText"/>
        <w:ind w:firstLine="0"/>
        <w:rPr>
          <w:szCs w:val="18"/>
        </w:rPr>
      </w:pPr>
      <w:r w:rsidRPr="00610646">
        <w:rPr>
          <w:rStyle w:val="FootnoteReference"/>
        </w:rPr>
        <w:footnoteRef/>
      </w:r>
      <w:r w:rsidRPr="001D3924">
        <w:rPr>
          <w:szCs w:val="18"/>
        </w:rPr>
        <w:t xml:space="preserve"> Colombia reaffirms that the United Nations Convention on the Law of the Sea is not the only legal instruments governing all of the legal activities carried out in the oceans and seas. The participation of Colombia in the discussions under this agenda item during COP-15 does not affect its status or rights, nor can it be interpreted as a tacit or express acceptance of the provisions of the United Nations Convention on the Law of the Sea, an instrument to which Colombia is not a party.</w:t>
      </w:r>
    </w:p>
  </w:footnote>
  <w:footnote w:id="337">
    <w:p w14:paraId="40286242" w14:textId="77777777" w:rsidR="00252FCF" w:rsidRPr="00F577CB" w:rsidRDefault="00252FCF" w:rsidP="006728ED">
      <w:pPr>
        <w:pStyle w:val="FootnoteText"/>
        <w:ind w:firstLine="0"/>
        <w:rPr>
          <w:szCs w:val="18"/>
        </w:rPr>
      </w:pPr>
      <w:r w:rsidRPr="00610646">
        <w:rPr>
          <w:rStyle w:val="FootnoteReference"/>
        </w:rPr>
        <w:footnoteRef/>
      </w:r>
      <w:r w:rsidRPr="001D3924">
        <w:t xml:space="preserve"> </w:t>
      </w:r>
      <w:r w:rsidRPr="001D3924">
        <w:rPr>
          <w:lang w:val="en-US"/>
        </w:rPr>
        <w:t xml:space="preserve">The Bolivarian Republic of Venezuela considers that </w:t>
      </w:r>
      <w:r w:rsidRPr="001D3924">
        <w:rPr>
          <w:szCs w:val="18"/>
        </w:rPr>
        <w:t xml:space="preserve">the United Nations Convention on the Law of the Sea </w:t>
      </w:r>
      <w:r w:rsidRPr="001D3924">
        <w:rPr>
          <w:lang w:val="en-US"/>
        </w:rPr>
        <w:t xml:space="preserve">is not the only legal instrument that governs activities related to the seas and oceans. Therefore, Venezuela disassociates itself from the reference to said international instrument, and participation in the discussions under this agenda item during COP-15 cannot be considered as a change in Venezuela’s national position regarding the </w:t>
      </w:r>
      <w:r w:rsidRPr="001D3924">
        <w:rPr>
          <w:szCs w:val="18"/>
        </w:rPr>
        <w:t>United Nations Convention on the Law of the Sea.</w:t>
      </w:r>
    </w:p>
  </w:footnote>
  <w:footnote w:id="338">
    <w:p w14:paraId="684E46A8" w14:textId="77777777" w:rsidR="00252FCF" w:rsidRPr="00B00D77" w:rsidRDefault="00252FCF" w:rsidP="006728ED">
      <w:pPr>
        <w:pStyle w:val="FootnoteText"/>
        <w:suppressLineNumbers/>
        <w:suppressAutoHyphens/>
        <w:kinsoku w:val="0"/>
        <w:overflowPunct w:val="0"/>
        <w:autoSpaceDE w:val="0"/>
        <w:autoSpaceDN w:val="0"/>
        <w:ind w:firstLine="0"/>
        <w:jc w:val="left"/>
        <w:rPr>
          <w:kern w:val="18"/>
          <w:szCs w:val="18"/>
        </w:rPr>
      </w:pPr>
      <w:r w:rsidRPr="00610646">
        <w:rPr>
          <w:rStyle w:val="FootnoteReference"/>
          <w:rFonts w:eastAsiaTheme="majorEastAsia"/>
        </w:rPr>
        <w:footnoteRef/>
      </w:r>
      <w:r w:rsidRPr="00B00D77">
        <w:rPr>
          <w:kern w:val="18"/>
          <w:szCs w:val="18"/>
        </w:rPr>
        <w:t xml:space="preserve"> CBD/EBSA/WS/2020/1/2.</w:t>
      </w:r>
    </w:p>
  </w:footnote>
  <w:footnote w:id="339">
    <w:p w14:paraId="1DF97C37" w14:textId="77777777" w:rsidR="00252FCF" w:rsidRPr="00980BF7" w:rsidRDefault="00252FCF" w:rsidP="006728ED">
      <w:pPr>
        <w:pStyle w:val="FootnoteText"/>
        <w:ind w:firstLine="0"/>
        <w:rPr>
          <w:lang w:val="en-US"/>
        </w:rPr>
      </w:pPr>
      <w:r w:rsidRPr="00610646">
        <w:rPr>
          <w:rStyle w:val="FootnoteReference"/>
        </w:rPr>
        <w:footnoteRef/>
      </w:r>
      <w:r>
        <w:t xml:space="preserve"> </w:t>
      </w:r>
      <w:r>
        <w:rPr>
          <w:lang w:val="en-US"/>
        </w:rPr>
        <w:t xml:space="preserve">Also considering the </w:t>
      </w:r>
      <w:r w:rsidRPr="00E510D7">
        <w:rPr>
          <w:lang w:val="en-US"/>
        </w:rPr>
        <w:t>information contained in document</w:t>
      </w:r>
      <w:r>
        <w:rPr>
          <w:lang w:val="en-US"/>
        </w:rPr>
        <w:t>s</w:t>
      </w:r>
      <w:r w:rsidRPr="00E510D7">
        <w:rPr>
          <w:lang w:val="en-US"/>
        </w:rPr>
        <w:t xml:space="preserve"> </w:t>
      </w:r>
      <w:r w:rsidRPr="009051BA">
        <w:t>CBD/SBSTTA/24/INF/41 and CBD/EBSA/OM/2022/2/1</w:t>
      </w:r>
      <w:r>
        <w:t>.</w:t>
      </w:r>
    </w:p>
  </w:footnote>
  <w:footnote w:id="340">
    <w:p w14:paraId="071F1403" w14:textId="77777777" w:rsidR="00252FCF" w:rsidRPr="00243A11" w:rsidRDefault="00252FCF" w:rsidP="005971BD">
      <w:pPr>
        <w:pStyle w:val="FootnoteText"/>
        <w:ind w:firstLine="0"/>
        <w:rPr>
          <w:lang w:val="en-US"/>
        </w:rPr>
      </w:pPr>
      <w:r w:rsidRPr="00610646">
        <w:rPr>
          <w:rStyle w:val="FootnoteReference"/>
        </w:rPr>
        <w:footnoteRef/>
      </w:r>
      <w:r>
        <w:t xml:space="preserve"> In this decision, free, prior and informed consent refers to the tripartite terminology of “prior and informed consent” or “free, prior and informed consent” or “approval and involvement”.</w:t>
      </w:r>
    </w:p>
  </w:footnote>
  <w:footnote w:id="341">
    <w:p w14:paraId="26A8889D" w14:textId="77777777" w:rsidR="007523D5" w:rsidRPr="00D9073D" w:rsidRDefault="007523D5" w:rsidP="00FC73CB">
      <w:pPr>
        <w:pStyle w:val="FootnoteText"/>
        <w:ind w:firstLine="0"/>
        <w:rPr>
          <w:lang w:val="en-US"/>
        </w:rPr>
      </w:pPr>
      <w:r w:rsidRPr="00610646">
        <w:rPr>
          <w:rStyle w:val="FootnoteReference"/>
        </w:rPr>
        <w:footnoteRef/>
      </w:r>
      <w:r>
        <w:t xml:space="preserve"> </w:t>
      </w:r>
      <w:r w:rsidRPr="00BE164B">
        <w:rPr>
          <w:rFonts w:asciiTheme="majorBidi" w:hAnsiTheme="majorBidi" w:cstheme="majorBidi"/>
        </w:rPr>
        <w:t xml:space="preserve">IPBES (2019): </w:t>
      </w:r>
      <w:r w:rsidRPr="00E24257">
        <w:rPr>
          <w:rFonts w:asciiTheme="majorBidi" w:hAnsiTheme="majorBidi" w:cstheme="majorBidi"/>
          <w:i/>
          <w:iCs/>
        </w:rPr>
        <w:t>Global assessment report on biodiversity and ecosystem services of the Intergovernmental Science-Policy Platform on Biodiversity and Ecosystem Services</w:t>
      </w:r>
      <w:r w:rsidRPr="00DC33D5">
        <w:rPr>
          <w:rFonts w:asciiTheme="majorBidi" w:hAnsiTheme="majorBidi" w:cstheme="majorBidi"/>
        </w:rPr>
        <w:t>.</w:t>
      </w:r>
      <w:r>
        <w:rPr>
          <w:rFonts w:asciiTheme="majorBidi" w:hAnsiTheme="majorBidi" w:cstheme="majorBidi"/>
        </w:rPr>
        <w:t xml:space="preserve"> </w:t>
      </w:r>
      <w:r w:rsidRPr="005B44C4">
        <w:rPr>
          <w:rFonts w:asciiTheme="majorBidi" w:hAnsiTheme="majorBidi" w:cstheme="majorBidi"/>
        </w:rPr>
        <w:t>IPBES secretariat, Bonn, Germany</w:t>
      </w:r>
      <w:r>
        <w:rPr>
          <w:rFonts w:asciiTheme="majorBidi" w:hAnsiTheme="majorBidi" w:cstheme="majorBidi"/>
        </w:rPr>
        <w:t>.</w:t>
      </w:r>
    </w:p>
  </w:footnote>
  <w:footnote w:id="342">
    <w:p w14:paraId="2A8DA715" w14:textId="77777777" w:rsidR="007523D5" w:rsidRPr="001D14FB" w:rsidRDefault="007523D5" w:rsidP="00FC73CB">
      <w:pPr>
        <w:pStyle w:val="FootnoteText"/>
        <w:suppressLineNumbers/>
        <w:suppressAutoHyphens/>
        <w:ind w:firstLine="0"/>
        <w:jc w:val="left"/>
        <w:rPr>
          <w:kern w:val="18"/>
          <w:szCs w:val="18"/>
        </w:rPr>
      </w:pPr>
      <w:r w:rsidRPr="00610646">
        <w:rPr>
          <w:rStyle w:val="FootnoteReference"/>
        </w:rPr>
        <w:footnoteRef/>
      </w:r>
      <w:r w:rsidRPr="001D14FB">
        <w:rPr>
          <w:kern w:val="18"/>
          <w:szCs w:val="18"/>
        </w:rPr>
        <w:t xml:space="preserve"> CBD/IAS/AHTEG/2019/INF/1.</w:t>
      </w:r>
    </w:p>
  </w:footnote>
  <w:footnote w:id="343">
    <w:p w14:paraId="174FA560" w14:textId="77777777" w:rsidR="007523D5" w:rsidRPr="00C50F14" w:rsidRDefault="007523D5" w:rsidP="00FC73CB">
      <w:pPr>
        <w:pStyle w:val="FootnoteText"/>
        <w:suppressLineNumbers/>
        <w:suppressAutoHyphens/>
        <w:ind w:firstLine="0"/>
        <w:jc w:val="left"/>
        <w:rPr>
          <w:kern w:val="18"/>
          <w:szCs w:val="18"/>
        </w:rPr>
      </w:pPr>
      <w:r w:rsidRPr="00610646">
        <w:rPr>
          <w:rStyle w:val="FootnoteReference"/>
        </w:rPr>
        <w:footnoteRef/>
      </w:r>
      <w:r w:rsidRPr="001D14FB">
        <w:rPr>
          <w:kern w:val="18"/>
          <w:szCs w:val="18"/>
        </w:rPr>
        <w:t xml:space="preserve"> CBD/IAS/AHTEG/2019/1/3.</w:t>
      </w:r>
    </w:p>
  </w:footnote>
  <w:footnote w:id="344">
    <w:p w14:paraId="6588180F" w14:textId="77777777" w:rsidR="007523D5" w:rsidRPr="00D9073D" w:rsidRDefault="007523D5" w:rsidP="00FC73CB">
      <w:pPr>
        <w:pStyle w:val="FootnoteText"/>
        <w:ind w:firstLine="0"/>
        <w:rPr>
          <w:kern w:val="22"/>
          <w:szCs w:val="22"/>
        </w:rPr>
      </w:pPr>
      <w:r w:rsidRPr="00610646">
        <w:rPr>
          <w:rStyle w:val="FootnoteReference"/>
        </w:rPr>
        <w:footnoteRef/>
      </w:r>
      <w:r w:rsidRPr="006019DE">
        <w:t xml:space="preserve"> </w:t>
      </w:r>
      <w:r w:rsidRPr="006019DE">
        <w:rPr>
          <w:kern w:val="22"/>
          <w:szCs w:val="22"/>
        </w:rPr>
        <w:t xml:space="preserve">IPBES (2022). </w:t>
      </w:r>
      <w:r w:rsidRPr="00D9073D">
        <w:rPr>
          <w:i/>
          <w:iCs/>
          <w:kern w:val="22"/>
          <w:szCs w:val="22"/>
        </w:rPr>
        <w:t>Methodological Assessment Report on the Diverse Values and Valuation of Nature of the Intergovernmental Science-Policy Platform on Biodiversity and Ecosystem Services</w:t>
      </w:r>
      <w:r w:rsidRPr="006019DE">
        <w:rPr>
          <w:kern w:val="22"/>
          <w:szCs w:val="22"/>
        </w:rPr>
        <w:t xml:space="preserve">. </w:t>
      </w:r>
      <w:r w:rsidRPr="00721E1F">
        <w:rPr>
          <w:rFonts w:asciiTheme="majorBidi" w:hAnsiTheme="majorBidi" w:cstheme="majorBidi"/>
        </w:rPr>
        <w:t>IPBES secretariat, Bonn, Germany</w:t>
      </w:r>
      <w:r>
        <w:rPr>
          <w:kern w:val="22"/>
          <w:szCs w:val="22"/>
        </w:rPr>
        <w:t>.</w:t>
      </w:r>
    </w:p>
  </w:footnote>
  <w:footnote w:id="345">
    <w:p w14:paraId="310FDC87" w14:textId="77777777" w:rsidR="007523D5" w:rsidRPr="001D14FB" w:rsidRDefault="007523D5" w:rsidP="00FC73CB">
      <w:pPr>
        <w:pStyle w:val="FootnoteText"/>
        <w:ind w:firstLine="0"/>
        <w:jc w:val="left"/>
        <w:rPr>
          <w:kern w:val="18"/>
          <w:szCs w:val="18"/>
        </w:rPr>
      </w:pPr>
      <w:r w:rsidRPr="00610646">
        <w:rPr>
          <w:rStyle w:val="FootnoteReference"/>
        </w:rPr>
        <w:footnoteRef/>
      </w:r>
      <w:r w:rsidRPr="001D14FB">
        <w:rPr>
          <w:kern w:val="18"/>
          <w:szCs w:val="18"/>
        </w:rPr>
        <w:t xml:space="preserve"> United Nations publication, Sales No. E.19.VIII.1.</w:t>
      </w:r>
    </w:p>
  </w:footnote>
  <w:footnote w:id="346">
    <w:p w14:paraId="488C0228" w14:textId="268BDFAB" w:rsidR="007523D5" w:rsidRPr="00C50F14" w:rsidRDefault="007523D5" w:rsidP="00494C69">
      <w:pPr>
        <w:pStyle w:val="FootnoteText"/>
        <w:suppressLineNumbers/>
        <w:suppressAutoHyphens/>
        <w:ind w:firstLine="0"/>
        <w:jc w:val="left"/>
        <w:rPr>
          <w:kern w:val="18"/>
          <w:szCs w:val="18"/>
        </w:rPr>
      </w:pPr>
      <w:r w:rsidRPr="00610646">
        <w:rPr>
          <w:rStyle w:val="FootnoteReference"/>
        </w:rPr>
        <w:footnoteRef/>
      </w:r>
      <w:r w:rsidRPr="00C50F14">
        <w:rPr>
          <w:kern w:val="18"/>
          <w:szCs w:val="18"/>
        </w:rPr>
        <w:t xml:space="preserve"> This refers to the “application of measures to prevent the introduction of, control or eradicate invasive alien species” (see </w:t>
      </w:r>
      <w:hyperlink r:id="rId69" w:history="1">
        <w:r w:rsidRPr="001D14FB">
          <w:rPr>
            <w:rStyle w:val="Hyperlink"/>
            <w:color w:val="0070C0"/>
            <w:kern w:val="18"/>
            <w:szCs w:val="18"/>
          </w:rPr>
          <w:t>CBD/IAS/AHTEG/2019/1/2</w:t>
        </w:r>
      </w:hyperlink>
      <w:r w:rsidRPr="00C50F14">
        <w:rPr>
          <w:kern w:val="18"/>
          <w:szCs w:val="18"/>
        </w:rPr>
        <w:t>, para. 13(e)).</w:t>
      </w:r>
    </w:p>
  </w:footnote>
  <w:footnote w:id="347">
    <w:p w14:paraId="3E3B8D93" w14:textId="77777777" w:rsidR="007523D5" w:rsidRPr="00BB4F68" w:rsidRDefault="007523D5" w:rsidP="00494C69">
      <w:pPr>
        <w:pStyle w:val="FootnoteText"/>
        <w:suppressLineNumbers/>
        <w:suppressAutoHyphens/>
        <w:ind w:firstLine="0"/>
        <w:jc w:val="left"/>
        <w:rPr>
          <w:kern w:val="18"/>
          <w:szCs w:val="18"/>
        </w:rPr>
      </w:pPr>
      <w:r w:rsidRPr="00610646">
        <w:rPr>
          <w:rStyle w:val="FootnoteReference"/>
        </w:rPr>
        <w:footnoteRef/>
      </w:r>
      <w:r w:rsidRPr="00BB4F68">
        <w:rPr>
          <w:kern w:val="18"/>
          <w:szCs w:val="18"/>
        </w:rPr>
        <w:t xml:space="preserve"> </w:t>
      </w:r>
      <w:r w:rsidRPr="00D9073D">
        <w:rPr>
          <w:kern w:val="18"/>
          <w:szCs w:val="18"/>
        </w:rPr>
        <w:t>States should maintain lists of species with the assessed potential to become invasive and associated with unacceptable risks for biodiversity and make it available through the clearing-house mechanism or other appropriate means. Decision XII/16, para. 23.</w:t>
      </w:r>
    </w:p>
  </w:footnote>
  <w:footnote w:id="348">
    <w:p w14:paraId="0DB32077" w14:textId="77777777" w:rsidR="007523D5" w:rsidRPr="001D14FB" w:rsidRDefault="007523D5" w:rsidP="00494C69">
      <w:pPr>
        <w:pStyle w:val="FootnoteText"/>
        <w:suppressLineNumbers/>
        <w:suppressAutoHyphens/>
        <w:ind w:firstLine="0"/>
        <w:jc w:val="left"/>
        <w:rPr>
          <w:kern w:val="18"/>
          <w:szCs w:val="18"/>
        </w:rPr>
      </w:pPr>
      <w:r w:rsidRPr="00610646">
        <w:rPr>
          <w:rStyle w:val="FootnoteReference"/>
        </w:rPr>
        <w:footnoteRef/>
      </w:r>
      <w:r w:rsidRPr="00BB4F68">
        <w:rPr>
          <w:kern w:val="18"/>
          <w:szCs w:val="18"/>
        </w:rPr>
        <w:t xml:space="preserve"> </w:t>
      </w:r>
      <w:r w:rsidRPr="00D9073D">
        <w:rPr>
          <w:kern w:val="18"/>
          <w:szCs w:val="18"/>
        </w:rPr>
        <w:t>Encourages Parties and invites other Governments (a) to develop and share a list of regulated invasive alien species, based on the results of risk analysis, where appropriate. Decision 14/11, para. 11 (a).</w:t>
      </w:r>
    </w:p>
  </w:footnote>
  <w:footnote w:id="349">
    <w:p w14:paraId="2BF12376" w14:textId="5292017C" w:rsidR="007523D5" w:rsidRPr="00C50F14" w:rsidRDefault="007523D5" w:rsidP="00073ECB">
      <w:pPr>
        <w:pStyle w:val="FootnoteText"/>
        <w:suppressLineNumbers/>
        <w:suppressAutoHyphens/>
        <w:ind w:firstLine="0"/>
        <w:jc w:val="left"/>
        <w:rPr>
          <w:kern w:val="18"/>
          <w:szCs w:val="18"/>
        </w:rPr>
      </w:pPr>
      <w:r w:rsidRPr="00610646">
        <w:rPr>
          <w:rStyle w:val="FootnoteReference"/>
        </w:rPr>
        <w:footnoteRef/>
      </w:r>
      <w:r w:rsidRPr="00C50F14">
        <w:rPr>
          <w:kern w:val="18"/>
          <w:szCs w:val="18"/>
        </w:rPr>
        <w:t xml:space="preserve"> A single window is defined as a facility that allows parties involved in trade and transport to lodge standardized information and documents with a single entry point to fulfil all import, export, and transit-related regulatory requirements</w:t>
      </w:r>
      <w:r w:rsidRPr="00C50F14" w:rsidDel="008967AC">
        <w:rPr>
          <w:kern w:val="18"/>
          <w:szCs w:val="18"/>
        </w:rPr>
        <w:t xml:space="preserve"> </w:t>
      </w:r>
      <w:r w:rsidRPr="00C50F14">
        <w:rPr>
          <w:kern w:val="18"/>
          <w:szCs w:val="18"/>
        </w:rPr>
        <w:t xml:space="preserve">(see </w:t>
      </w:r>
      <w:hyperlink r:id="rId70" w:history="1">
        <w:r w:rsidRPr="001D14FB">
          <w:rPr>
            <w:rStyle w:val="Hyperlink"/>
            <w:color w:val="0070C0"/>
            <w:kern w:val="18"/>
            <w:szCs w:val="18"/>
          </w:rPr>
          <w:t>http://www.wcoomd.org/~/media/wco/public/global/pdf/topics/facilitation/activities-and-programmes/tf-negociations/wco-docs/info-sheets-on-tf-measures/single-window-concept.pdf</w:t>
        </w:r>
      </w:hyperlink>
      <w:r w:rsidRPr="00C50F14">
        <w:rPr>
          <w:kern w:val="18"/>
          <w:szCs w:val="18"/>
        </w:rPr>
        <w:t>).</w:t>
      </w:r>
    </w:p>
  </w:footnote>
  <w:footnote w:id="350">
    <w:p w14:paraId="5CEA427A" w14:textId="38C57C22" w:rsidR="007523D5" w:rsidRPr="00C50F14" w:rsidRDefault="007523D5" w:rsidP="00D42940">
      <w:pPr>
        <w:pStyle w:val="FootnoteText"/>
        <w:suppressLineNumbers/>
        <w:suppressAutoHyphens/>
        <w:ind w:firstLine="0"/>
        <w:jc w:val="left"/>
        <w:rPr>
          <w:kern w:val="18"/>
          <w:szCs w:val="18"/>
        </w:rPr>
      </w:pPr>
      <w:r w:rsidRPr="00610646">
        <w:rPr>
          <w:rStyle w:val="FootnoteReference"/>
        </w:rPr>
        <w:footnoteRef/>
      </w:r>
      <w:r w:rsidRPr="00C50F14">
        <w:rPr>
          <w:kern w:val="18"/>
          <w:szCs w:val="18"/>
        </w:rPr>
        <w:t xml:space="preserve"> See also WCO </w:t>
      </w:r>
      <w:r w:rsidRPr="00C50F14">
        <w:rPr>
          <w:i/>
          <w:iCs/>
          <w:kern w:val="18"/>
          <w:szCs w:val="18"/>
        </w:rPr>
        <w:t>Compendium of Authorized Economic Operator Programmes</w:t>
      </w:r>
      <w:r w:rsidRPr="00C50F14">
        <w:rPr>
          <w:kern w:val="18"/>
          <w:szCs w:val="18"/>
        </w:rPr>
        <w:t xml:space="preserve"> (2019), </w:t>
      </w:r>
      <w:hyperlink r:id="rId71" w:history="1">
        <w:r w:rsidRPr="001D14FB">
          <w:rPr>
            <w:rStyle w:val="Hyperlink"/>
            <w:color w:val="0070C0"/>
            <w:kern w:val="18"/>
            <w:szCs w:val="18"/>
          </w:rPr>
          <w:t>http://www.wcoomd.org/-/media/wco/public/global/pdf/topics/facilitation/instruments-and-tools/tools/safe-package/aeo-compendium.pdf?db=web</w:t>
        </w:r>
      </w:hyperlink>
      <w:r w:rsidRPr="00780B6B">
        <w:rPr>
          <w:color w:val="0070C0"/>
          <w:kern w:val="18"/>
          <w:szCs w:val="18"/>
        </w:rPr>
        <w:t xml:space="preserve"> </w:t>
      </w:r>
    </w:p>
  </w:footnote>
  <w:footnote w:id="351">
    <w:p w14:paraId="22052FA5" w14:textId="73BB8A65" w:rsidR="007523D5" w:rsidRPr="00C50F14" w:rsidRDefault="007523D5" w:rsidP="00D42940">
      <w:pPr>
        <w:pStyle w:val="FootnoteText"/>
        <w:suppressLineNumbers/>
        <w:suppressAutoHyphens/>
        <w:ind w:firstLine="0"/>
        <w:jc w:val="left"/>
        <w:rPr>
          <w:kern w:val="18"/>
          <w:szCs w:val="18"/>
        </w:rPr>
      </w:pPr>
      <w:r w:rsidRPr="00610646">
        <w:rPr>
          <w:rStyle w:val="FootnoteReference"/>
        </w:rPr>
        <w:footnoteRef/>
      </w:r>
      <w:r w:rsidRPr="008F608C">
        <w:rPr>
          <w:kern w:val="18"/>
          <w:szCs w:val="18"/>
        </w:rPr>
        <w:t xml:space="preserve"> IUCN </w:t>
      </w:r>
      <w:r w:rsidRPr="00780B6B">
        <w:rPr>
          <w:i/>
          <w:iCs/>
          <w:kern w:val="18"/>
          <w:szCs w:val="18"/>
        </w:rPr>
        <w:t>Environmental Impact Classification for Alien Taxa</w:t>
      </w:r>
      <w:r w:rsidRPr="008F608C">
        <w:rPr>
          <w:kern w:val="18"/>
          <w:szCs w:val="18"/>
        </w:rPr>
        <w:t xml:space="preserve">, </w:t>
      </w:r>
      <w:hyperlink r:id="rId72" w:history="1">
        <w:r w:rsidRPr="008F608C">
          <w:rPr>
            <w:rStyle w:val="Hyperlink"/>
            <w:color w:val="0070C0"/>
            <w:kern w:val="18"/>
            <w:szCs w:val="18"/>
          </w:rPr>
          <w:t>https://ipbes.net/policy-support/tools-instruments/environmental-impact-classification-alien-taxa-eicat</w:t>
        </w:r>
      </w:hyperlink>
    </w:p>
  </w:footnote>
  <w:footnote w:id="352">
    <w:p w14:paraId="3C0180F1" w14:textId="77777777" w:rsidR="007523D5" w:rsidRPr="001D14FB" w:rsidRDefault="007523D5" w:rsidP="00D42940">
      <w:pPr>
        <w:pStyle w:val="FootnoteText"/>
        <w:suppressLineNumbers/>
        <w:suppressAutoHyphens/>
        <w:ind w:firstLine="0"/>
        <w:jc w:val="left"/>
        <w:rPr>
          <w:kern w:val="18"/>
          <w:szCs w:val="18"/>
        </w:rPr>
      </w:pPr>
      <w:r w:rsidRPr="00610646">
        <w:rPr>
          <w:rStyle w:val="FootnoteReference"/>
        </w:rPr>
        <w:footnoteRef/>
      </w:r>
      <w:r w:rsidRPr="005C2F7E">
        <w:rPr>
          <w:kern w:val="18"/>
          <w:szCs w:val="18"/>
        </w:rPr>
        <w:t xml:space="preserve"> </w:t>
      </w:r>
      <w:r w:rsidRPr="005C2F7E">
        <w:rPr>
          <w:bCs/>
          <w:kern w:val="18"/>
          <w:szCs w:val="18"/>
        </w:rPr>
        <w:t>(CBD/IAS/AHTEG/2019/1/INF/1).</w:t>
      </w:r>
    </w:p>
  </w:footnote>
  <w:footnote w:id="353">
    <w:p w14:paraId="20BC79A4" w14:textId="77777777" w:rsidR="007523D5" w:rsidRPr="00C50F14" w:rsidRDefault="007523D5" w:rsidP="00D42940">
      <w:pPr>
        <w:pStyle w:val="FootnoteText"/>
        <w:suppressLineNumbers/>
        <w:suppressAutoHyphens/>
        <w:ind w:firstLine="0"/>
        <w:jc w:val="left"/>
        <w:rPr>
          <w:kern w:val="18"/>
          <w:szCs w:val="18"/>
        </w:rPr>
      </w:pPr>
      <w:r w:rsidRPr="00610646">
        <w:rPr>
          <w:rStyle w:val="FootnoteReference"/>
        </w:rPr>
        <w:footnoteRef/>
      </w:r>
      <w:r w:rsidRPr="00C50F14">
        <w:rPr>
          <w:kern w:val="18"/>
          <w:szCs w:val="18"/>
        </w:rPr>
        <w:t xml:space="preserve"> Sleeper alien species: alien species whose population persistence is limited by the current climate and which are expected to exhibit greater rates of establishment as a result of climate change.</w:t>
      </w:r>
    </w:p>
  </w:footnote>
  <w:footnote w:id="354">
    <w:p w14:paraId="7993451E" w14:textId="5EEA7D66" w:rsidR="007523D5" w:rsidRPr="00C50F14" w:rsidRDefault="007523D5" w:rsidP="004F1B7C">
      <w:pPr>
        <w:pStyle w:val="FootnoteText"/>
        <w:suppressLineNumbers/>
        <w:suppressAutoHyphens/>
        <w:ind w:firstLine="0"/>
        <w:jc w:val="left"/>
        <w:rPr>
          <w:kern w:val="18"/>
          <w:szCs w:val="18"/>
        </w:rPr>
      </w:pPr>
      <w:r w:rsidRPr="00610646">
        <w:rPr>
          <w:rStyle w:val="FootnoteReference"/>
        </w:rPr>
        <w:footnoteRef/>
      </w:r>
      <w:r w:rsidRPr="00C50F14">
        <w:rPr>
          <w:kern w:val="18"/>
          <w:szCs w:val="18"/>
        </w:rPr>
        <w:t xml:space="preserve"> </w:t>
      </w:r>
      <w:hyperlink r:id="rId73" w:history="1">
        <w:r w:rsidRPr="001D14FB">
          <w:rPr>
            <w:rStyle w:val="Hyperlink"/>
            <w:color w:val="0070C0"/>
            <w:kern w:val="18"/>
            <w:szCs w:val="18"/>
          </w:rPr>
          <w:t>http://diise.islandconservation.org</w:t>
        </w:r>
      </w:hyperlink>
      <w:r w:rsidRPr="00C50F14">
        <w:rPr>
          <w:kern w:val="18"/>
          <w:szCs w:val="18"/>
        </w:rPr>
        <w:t>.</w:t>
      </w:r>
    </w:p>
  </w:footnote>
  <w:footnote w:id="355">
    <w:p w14:paraId="21CF871D" w14:textId="77777777" w:rsidR="007523D5" w:rsidRPr="001D14FB" w:rsidRDefault="007523D5" w:rsidP="006B555A">
      <w:pPr>
        <w:pStyle w:val="FootnoteText"/>
        <w:suppressLineNumbers/>
        <w:suppressAutoHyphens/>
        <w:ind w:firstLine="0"/>
        <w:jc w:val="left"/>
        <w:rPr>
          <w:kern w:val="18"/>
          <w:szCs w:val="18"/>
        </w:rPr>
      </w:pPr>
      <w:r w:rsidRPr="00610646">
        <w:rPr>
          <w:rStyle w:val="FootnoteReference"/>
        </w:rPr>
        <w:footnoteRef/>
      </w:r>
      <w:r w:rsidRPr="001D14FB">
        <w:rPr>
          <w:kern w:val="18"/>
          <w:szCs w:val="18"/>
        </w:rPr>
        <w:t xml:space="preserve"> For more information on using these tools, see CBD/AHTEG/IAS/2019/1/2</w:t>
      </w:r>
      <w:r w:rsidRPr="00C50F14">
        <w:rPr>
          <w:kern w:val="18"/>
          <w:szCs w:val="18"/>
        </w:rPr>
        <w:t>,</w:t>
      </w:r>
      <w:r w:rsidRPr="001D14FB">
        <w:rPr>
          <w:kern w:val="18"/>
          <w:szCs w:val="18"/>
        </w:rPr>
        <w:t xml:space="preserve"> pp</w:t>
      </w:r>
      <w:r>
        <w:rPr>
          <w:kern w:val="18"/>
          <w:szCs w:val="18"/>
        </w:rPr>
        <w:t>.</w:t>
      </w:r>
      <w:r w:rsidRPr="001D14FB">
        <w:rPr>
          <w:kern w:val="18"/>
          <w:szCs w:val="18"/>
        </w:rPr>
        <w:t xml:space="preserve"> 31-35.</w:t>
      </w:r>
    </w:p>
  </w:footnote>
  <w:footnote w:id="356">
    <w:p w14:paraId="317F16B6" w14:textId="387FDFE8" w:rsidR="007523D5" w:rsidRPr="001D14FB" w:rsidRDefault="007523D5" w:rsidP="00C702A6">
      <w:pPr>
        <w:pStyle w:val="FootnoteText"/>
        <w:suppressLineNumbers/>
        <w:suppressAutoHyphens/>
        <w:ind w:firstLine="0"/>
        <w:jc w:val="left"/>
        <w:rPr>
          <w:kern w:val="18"/>
          <w:szCs w:val="18"/>
        </w:rPr>
      </w:pPr>
      <w:r w:rsidRPr="00610646">
        <w:rPr>
          <w:rStyle w:val="FootnoteReference"/>
        </w:rPr>
        <w:footnoteRef/>
      </w:r>
      <w:r w:rsidRPr="001D14FB">
        <w:rPr>
          <w:kern w:val="18"/>
          <w:szCs w:val="18"/>
        </w:rPr>
        <w:t xml:space="preserve"> Reducing the spread of invasive pests by sea containers (</w:t>
      </w:r>
      <w:hyperlink r:id="rId74" w:history="1">
        <w:r w:rsidRPr="00E10E94">
          <w:rPr>
            <w:rStyle w:val="Hyperlink"/>
            <w:color w:val="0070C0"/>
            <w:kern w:val="18"/>
            <w:szCs w:val="18"/>
          </w:rPr>
          <w:t>http://www.fao.org/3/ca7670en/CA7670EN.pdf</w:t>
        </w:r>
      </w:hyperlink>
      <w:r w:rsidRPr="001D14FB">
        <w:rPr>
          <w:kern w:val="18"/>
          <w:szCs w:val="18"/>
        </w:rPr>
        <w:t>)</w:t>
      </w:r>
      <w:r>
        <w:rPr>
          <w:kern w:val="18"/>
          <w:szCs w:val="18"/>
        </w:rPr>
        <w:t>.</w:t>
      </w:r>
    </w:p>
  </w:footnote>
  <w:footnote w:id="357">
    <w:p w14:paraId="415CB3AE" w14:textId="77777777" w:rsidR="007A11A6" w:rsidRPr="00F544AF" w:rsidRDefault="007A11A6" w:rsidP="009A153A">
      <w:pPr>
        <w:pStyle w:val="FootnoteText"/>
        <w:ind w:firstLine="0"/>
        <w:rPr>
          <w:lang w:val="en-CA"/>
        </w:rPr>
      </w:pPr>
      <w:r w:rsidRPr="00610646">
        <w:rPr>
          <w:rStyle w:val="FootnoteReference"/>
        </w:rPr>
        <w:footnoteRef/>
      </w:r>
      <w:r>
        <w:t xml:space="preserve"> </w:t>
      </w:r>
      <w:r w:rsidRPr="00966C7B">
        <w:t xml:space="preserve">FAO, ITPS, GSBI, SCBD, and EC. 2020. </w:t>
      </w:r>
      <w:r w:rsidRPr="00AA309E">
        <w:rPr>
          <w:i/>
          <w:iCs/>
        </w:rPr>
        <w:t xml:space="preserve">State of knowledge of soil biodiversity - Status, challenges and potentialities, </w:t>
      </w:r>
      <w:r w:rsidRPr="0015519D">
        <w:t>Report 2020.</w:t>
      </w:r>
      <w:r w:rsidRPr="00966C7B">
        <w:t xml:space="preserve"> Rome, FAO.</w:t>
      </w:r>
      <w:r>
        <w:t xml:space="preserve"> </w:t>
      </w:r>
    </w:p>
  </w:footnote>
  <w:footnote w:id="358">
    <w:p w14:paraId="1C65E12C" w14:textId="77777777" w:rsidR="007A11A6" w:rsidRPr="00E91563" w:rsidRDefault="007A11A6" w:rsidP="009A153A">
      <w:pPr>
        <w:pStyle w:val="FootnoteText"/>
        <w:ind w:firstLine="0"/>
        <w:jc w:val="left"/>
        <w:rPr>
          <w:kern w:val="18"/>
          <w:szCs w:val="18"/>
          <w:lang w:val="en-CA"/>
        </w:rPr>
      </w:pPr>
      <w:r w:rsidRPr="00610646">
        <w:rPr>
          <w:rStyle w:val="FootnoteReference"/>
        </w:rPr>
        <w:footnoteRef/>
      </w:r>
      <w:r w:rsidRPr="00E91563">
        <w:rPr>
          <w:kern w:val="18"/>
          <w:szCs w:val="18"/>
        </w:rPr>
        <w:t xml:space="preserve"> See General Assembly resolution 73/284 of 1 March 2019.</w:t>
      </w:r>
    </w:p>
  </w:footnote>
  <w:footnote w:id="359">
    <w:p w14:paraId="0B7C08FD" w14:textId="77777777" w:rsidR="007A11A6" w:rsidRPr="00E91563" w:rsidRDefault="007A11A6" w:rsidP="009A153A">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w:t>
      </w:r>
      <w:r w:rsidRPr="00E36DB0">
        <w:rPr>
          <w:kern w:val="18"/>
          <w:szCs w:val="18"/>
        </w:rPr>
        <w:t xml:space="preserve">FAO and ITPS. 2015. </w:t>
      </w:r>
      <w:r w:rsidRPr="00AA309E">
        <w:rPr>
          <w:i/>
          <w:iCs/>
          <w:kern w:val="18"/>
          <w:szCs w:val="18"/>
        </w:rPr>
        <w:t>Status of the World’s Soil Resources</w:t>
      </w:r>
      <w:r w:rsidRPr="00E36DB0">
        <w:rPr>
          <w:kern w:val="18"/>
          <w:szCs w:val="18"/>
        </w:rPr>
        <w:t xml:space="preserve"> (SWSR) – Main Report. Food and Agriculture Organization of the United Nations and Intergovernmental Technical Panel on Soils, Rome, Italy</w:t>
      </w:r>
      <w:r w:rsidRPr="00E91563">
        <w:rPr>
          <w:kern w:val="18"/>
          <w:szCs w:val="18"/>
        </w:rPr>
        <w:t>.</w:t>
      </w:r>
    </w:p>
  </w:footnote>
  <w:footnote w:id="360">
    <w:p w14:paraId="307187A3" w14:textId="77777777" w:rsidR="007A11A6" w:rsidRPr="00AA309E" w:rsidRDefault="007A11A6" w:rsidP="009A153A">
      <w:pPr>
        <w:pStyle w:val="FootnoteText"/>
        <w:ind w:firstLine="0"/>
        <w:jc w:val="left"/>
        <w:rPr>
          <w:szCs w:val="22"/>
        </w:rPr>
      </w:pPr>
      <w:r w:rsidRPr="00610646">
        <w:rPr>
          <w:rStyle w:val="FootnoteReference"/>
        </w:rPr>
        <w:footnoteRef/>
      </w:r>
      <w:r w:rsidRPr="00E91563">
        <w:rPr>
          <w:kern w:val="18"/>
          <w:szCs w:val="18"/>
        </w:rPr>
        <w:t xml:space="preserve"> </w:t>
      </w:r>
      <w:r w:rsidRPr="000A5D7B">
        <w:t xml:space="preserve">FAO, ITPS, GSBI, SCBD, and EC. 2020. </w:t>
      </w:r>
      <w:r w:rsidRPr="000A5D7B">
        <w:rPr>
          <w:i/>
          <w:iCs/>
        </w:rPr>
        <w:t>State of knowledge of soil biodiversity - Status, challenges and potentialities</w:t>
      </w:r>
      <w:r w:rsidRPr="000A5D7B">
        <w:t>, Report 2020. Rome, FAO</w:t>
      </w:r>
      <w:r w:rsidRPr="00E91563">
        <w:rPr>
          <w:kern w:val="18"/>
          <w:szCs w:val="18"/>
        </w:rPr>
        <w:t>.</w:t>
      </w:r>
    </w:p>
  </w:footnote>
  <w:footnote w:id="361">
    <w:p w14:paraId="0E6D34C3" w14:textId="77777777" w:rsidR="007A11A6" w:rsidRPr="008220FC" w:rsidRDefault="007A11A6" w:rsidP="009A153A">
      <w:pPr>
        <w:pStyle w:val="FootnoteText"/>
        <w:ind w:firstLine="0"/>
        <w:jc w:val="left"/>
        <w:rPr>
          <w:highlight w:val="yellow"/>
          <w:lang w:val="en-CA"/>
        </w:rPr>
      </w:pPr>
      <w:r w:rsidRPr="00610646">
        <w:rPr>
          <w:rStyle w:val="FootnoteReference"/>
        </w:rPr>
        <w:footnoteRef/>
      </w:r>
      <w:r>
        <w:t xml:space="preserve"> </w:t>
      </w:r>
      <w:r w:rsidRPr="00E36DB0">
        <w:rPr>
          <w:szCs w:val="18"/>
        </w:rPr>
        <w:t xml:space="preserve">At its </w:t>
      </w:r>
      <w:r w:rsidRPr="00E36DB0">
        <w:rPr>
          <w:szCs w:val="18"/>
          <w:lang w:val="en-CA"/>
        </w:rPr>
        <w:t xml:space="preserve">fifth session, the United Nations Environment Assembly, in its resolution on “Nature-based solutions for supporting sustainable development”, formally adopted the definition of nature-based solutions as being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w:t>
      </w:r>
      <w:r w:rsidRPr="00AA309E">
        <w:t>services</w:t>
      </w:r>
      <w:r w:rsidRPr="00E36DB0">
        <w:rPr>
          <w:szCs w:val="18"/>
          <w:lang w:val="en-CA"/>
        </w:rPr>
        <w:t xml:space="preserve"> and resilience and biodiversity benefits</w:t>
      </w:r>
      <w:r w:rsidRPr="008220FC">
        <w:rPr>
          <w:lang w:val="en-CA"/>
        </w:rPr>
        <w:t>.</w:t>
      </w:r>
      <w:r>
        <w:rPr>
          <w:lang w:val="en-CA"/>
        </w:rPr>
        <w:t>”</w:t>
      </w:r>
    </w:p>
  </w:footnote>
  <w:footnote w:id="362">
    <w:p w14:paraId="0E8DC754" w14:textId="77777777" w:rsidR="007A11A6" w:rsidRPr="00E91563" w:rsidRDefault="007A11A6" w:rsidP="009A153A">
      <w:pPr>
        <w:pStyle w:val="FootnoteText"/>
        <w:ind w:firstLine="0"/>
        <w:jc w:val="left"/>
        <w:rPr>
          <w:rFonts w:eastAsiaTheme="minorHAnsi"/>
          <w:kern w:val="18"/>
          <w:szCs w:val="18"/>
        </w:rPr>
      </w:pPr>
      <w:r w:rsidRPr="00610646">
        <w:rPr>
          <w:rStyle w:val="FootnoteReference"/>
        </w:rPr>
        <w:footnoteRef/>
      </w:r>
      <w:r w:rsidRPr="00E91563">
        <w:rPr>
          <w:kern w:val="18"/>
          <w:szCs w:val="18"/>
        </w:rPr>
        <w:t xml:space="preserve"> </w:t>
      </w:r>
      <w:r w:rsidRPr="00E91563">
        <w:rPr>
          <w:rFonts w:eastAsiaTheme="minorHAnsi"/>
          <w:kern w:val="18"/>
          <w:szCs w:val="18"/>
        </w:rPr>
        <w:t xml:space="preserve">Soil health </w:t>
      </w:r>
      <w:r>
        <w:rPr>
          <w:rFonts w:eastAsiaTheme="minorHAnsi"/>
          <w:kern w:val="18"/>
          <w:szCs w:val="18"/>
        </w:rPr>
        <w:t xml:space="preserve">is </w:t>
      </w:r>
      <w:r w:rsidRPr="00E91563">
        <w:rPr>
          <w:rFonts w:eastAsiaTheme="minorHAnsi"/>
          <w:kern w:val="18"/>
          <w:szCs w:val="18"/>
        </w:rPr>
        <w:t xml:space="preserve">defined as: “The capacity of soil to function as a living system. Healthy soils maintain a diverse community of soil organisms that help to control plant disease, insect and weed pests, form beneficial symbiotic associations with plant roots, recycle essential plant nutrients, improve soil structure with positive repercussions for soil water and nutrient holding capacity, and ultimately improve crop production”. FAO. 2011. </w:t>
      </w:r>
      <w:r w:rsidRPr="00E91563">
        <w:rPr>
          <w:rFonts w:eastAsiaTheme="minorHAnsi"/>
          <w:i/>
          <w:iCs/>
          <w:kern w:val="18"/>
          <w:szCs w:val="18"/>
        </w:rPr>
        <w:t>Save and Grow: A Policymaker’s Guide to the Sustainable Intensification of Smallholder Crop Production</w:t>
      </w:r>
      <w:r w:rsidRPr="00E91563">
        <w:rPr>
          <w:rFonts w:eastAsiaTheme="minorHAnsi"/>
          <w:kern w:val="18"/>
          <w:szCs w:val="18"/>
        </w:rPr>
        <w:t xml:space="preserve">. ISBN 978-92-5-106871-7112. </w:t>
      </w:r>
    </w:p>
  </w:footnote>
  <w:footnote w:id="363">
    <w:p w14:paraId="7024949D" w14:textId="77777777" w:rsidR="007A11A6" w:rsidRPr="00E91563" w:rsidRDefault="007A11A6" w:rsidP="009A153A">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FAO</w:t>
      </w:r>
      <w:r>
        <w:rPr>
          <w:kern w:val="18"/>
          <w:szCs w:val="18"/>
        </w:rPr>
        <w:t>.</w:t>
      </w:r>
      <w:r w:rsidRPr="00E91563">
        <w:rPr>
          <w:kern w:val="18"/>
          <w:szCs w:val="18"/>
        </w:rPr>
        <w:t xml:space="preserve"> 2017. </w:t>
      </w:r>
      <w:r w:rsidRPr="00E91563">
        <w:rPr>
          <w:i/>
          <w:iCs/>
          <w:kern w:val="18"/>
          <w:szCs w:val="18"/>
        </w:rPr>
        <w:t>Voluntary Guidelines for Sustainable Soil Management</w:t>
      </w:r>
      <w:r w:rsidRPr="00E91563">
        <w:rPr>
          <w:kern w:val="18"/>
          <w:szCs w:val="18"/>
        </w:rPr>
        <w:t>. Food and Agriculture Organization of the United Nations, Rome</w:t>
      </w:r>
      <w:r>
        <w:rPr>
          <w:kern w:val="18"/>
          <w:szCs w:val="18"/>
        </w:rPr>
        <w:t>, Italy</w:t>
      </w:r>
      <w:r w:rsidRPr="00E91563">
        <w:rPr>
          <w:kern w:val="18"/>
          <w:szCs w:val="18"/>
        </w:rPr>
        <w:t>.</w:t>
      </w:r>
    </w:p>
  </w:footnote>
  <w:footnote w:id="364">
    <w:p w14:paraId="46664698" w14:textId="77777777" w:rsidR="007A11A6" w:rsidRPr="00E91563" w:rsidRDefault="007A11A6" w:rsidP="009A153A">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FAO. 2020. </w:t>
      </w:r>
      <w:r w:rsidRPr="00E91563">
        <w:rPr>
          <w:i/>
          <w:iCs/>
          <w:kern w:val="18"/>
          <w:szCs w:val="18"/>
        </w:rPr>
        <w:t>FAO Strategy on Mainstreaming Biodiversity across Agricultural Sectors</w:t>
      </w:r>
      <w:r w:rsidRPr="00E91563">
        <w:rPr>
          <w:kern w:val="18"/>
          <w:szCs w:val="18"/>
        </w:rPr>
        <w:t xml:space="preserve">. Rome. </w:t>
      </w:r>
      <w:hyperlink w:history="1"/>
    </w:p>
  </w:footnote>
  <w:footnote w:id="365">
    <w:p w14:paraId="5CAEFCEC" w14:textId="77777777" w:rsidR="007A11A6" w:rsidRPr="00E91563" w:rsidRDefault="007A11A6" w:rsidP="009A153A">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United Nations Convention to Combat Desertification, Conference of the Parties, thirteenth session, decision 7/COP.13 (see ICCD/COP(13)/21/Add.1).</w:t>
      </w:r>
    </w:p>
  </w:footnote>
  <w:footnote w:id="366">
    <w:p w14:paraId="4029E36B" w14:textId="77777777" w:rsidR="007A11A6" w:rsidRPr="00E91563" w:rsidRDefault="007A11A6" w:rsidP="009A153A">
      <w:pPr>
        <w:pStyle w:val="FootnoteText"/>
        <w:ind w:firstLine="0"/>
        <w:jc w:val="left"/>
        <w:rPr>
          <w:kern w:val="18"/>
          <w:szCs w:val="18"/>
          <w:lang w:val="en-CA"/>
        </w:rPr>
      </w:pPr>
      <w:r w:rsidRPr="00610646">
        <w:rPr>
          <w:rStyle w:val="FootnoteReference"/>
        </w:rPr>
        <w:footnoteRef/>
      </w:r>
      <w:r w:rsidRPr="00E91563">
        <w:rPr>
          <w:kern w:val="18"/>
          <w:szCs w:val="18"/>
        </w:rPr>
        <w:t xml:space="preserve"> United Nations, </w:t>
      </w:r>
      <w:r w:rsidRPr="00E91563">
        <w:rPr>
          <w:i/>
          <w:iCs/>
          <w:kern w:val="18"/>
          <w:szCs w:val="18"/>
        </w:rPr>
        <w:t>Treaty Series</w:t>
      </w:r>
      <w:r w:rsidRPr="00E91563">
        <w:rPr>
          <w:kern w:val="18"/>
          <w:szCs w:val="18"/>
        </w:rPr>
        <w:t>, vol. 1673, No. 28911.</w:t>
      </w:r>
    </w:p>
  </w:footnote>
  <w:footnote w:id="367">
    <w:p w14:paraId="2206591D" w14:textId="77777777" w:rsidR="007A11A6" w:rsidRPr="00AA309E" w:rsidRDefault="007A11A6" w:rsidP="009A153A">
      <w:pPr>
        <w:pStyle w:val="FootnoteText"/>
        <w:ind w:firstLine="0"/>
        <w:jc w:val="left"/>
        <w:rPr>
          <w:kern w:val="18"/>
          <w:szCs w:val="18"/>
          <w:lang w:val="en-CA"/>
        </w:rPr>
      </w:pPr>
      <w:r w:rsidRPr="00610646">
        <w:rPr>
          <w:rStyle w:val="FootnoteReference"/>
        </w:rPr>
        <w:footnoteRef/>
      </w:r>
      <w:r w:rsidRPr="00AA309E">
        <w:rPr>
          <w:kern w:val="18"/>
          <w:szCs w:val="18"/>
          <w:lang w:val="en-CA"/>
        </w:rPr>
        <w:t xml:space="preserve"> Ibid., vol. 2244, No. 39973.</w:t>
      </w:r>
    </w:p>
  </w:footnote>
  <w:footnote w:id="368">
    <w:p w14:paraId="68956DD2" w14:textId="77777777" w:rsidR="007A11A6" w:rsidRPr="00AA309E" w:rsidRDefault="007A11A6" w:rsidP="009A153A">
      <w:pPr>
        <w:pStyle w:val="FootnoteText"/>
        <w:ind w:firstLine="0"/>
        <w:jc w:val="left"/>
        <w:rPr>
          <w:kern w:val="18"/>
          <w:szCs w:val="18"/>
          <w:lang w:val="en-CA"/>
        </w:rPr>
      </w:pPr>
      <w:r w:rsidRPr="00610646">
        <w:rPr>
          <w:rStyle w:val="FootnoteReference"/>
        </w:rPr>
        <w:footnoteRef/>
      </w:r>
      <w:r w:rsidRPr="00AA309E">
        <w:rPr>
          <w:kern w:val="18"/>
          <w:szCs w:val="18"/>
          <w:lang w:val="en-CA"/>
        </w:rPr>
        <w:t xml:space="preserve"> Ibid., vol. 2256, No. 40214.</w:t>
      </w:r>
    </w:p>
  </w:footnote>
  <w:footnote w:id="369">
    <w:p w14:paraId="47A30BA6" w14:textId="77777777" w:rsidR="007A11A6" w:rsidRPr="00E91563" w:rsidRDefault="007A11A6" w:rsidP="009A153A">
      <w:pPr>
        <w:pStyle w:val="FootnoteText"/>
        <w:ind w:firstLine="0"/>
        <w:jc w:val="left"/>
        <w:rPr>
          <w:kern w:val="18"/>
          <w:szCs w:val="18"/>
          <w:lang w:val="en-CA"/>
        </w:rPr>
      </w:pPr>
      <w:r w:rsidRPr="00610646">
        <w:rPr>
          <w:rStyle w:val="FootnoteReference"/>
        </w:rPr>
        <w:footnoteRef/>
      </w:r>
      <w:r w:rsidRPr="00E91563">
        <w:rPr>
          <w:kern w:val="18"/>
          <w:szCs w:val="18"/>
        </w:rPr>
        <w:t xml:space="preserve"> See General Assembly resolution 73/284 of 1 March 2019.</w:t>
      </w:r>
    </w:p>
  </w:footnote>
  <w:footnote w:id="370">
    <w:p w14:paraId="5502AA88" w14:textId="23409846" w:rsidR="007A11A6" w:rsidRPr="00E91563" w:rsidRDefault="007A11A6" w:rsidP="009A153A">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General Assembly resolution </w:t>
      </w:r>
      <w:hyperlink r:id="rId75" w:history="1">
        <w:r w:rsidRPr="00E91563">
          <w:rPr>
            <w:rStyle w:val="Hyperlink"/>
            <w:kern w:val="18"/>
            <w:szCs w:val="18"/>
          </w:rPr>
          <w:t>70/1</w:t>
        </w:r>
      </w:hyperlink>
      <w:r w:rsidRPr="00E91563">
        <w:rPr>
          <w:kern w:val="18"/>
          <w:szCs w:val="18"/>
        </w:rPr>
        <w:t>.</w:t>
      </w:r>
    </w:p>
  </w:footnote>
  <w:footnote w:id="371">
    <w:p w14:paraId="62550B54" w14:textId="77777777" w:rsidR="007A11A6" w:rsidRPr="00E91563" w:rsidRDefault="007A11A6" w:rsidP="009A153A">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United Nations, </w:t>
      </w:r>
      <w:r w:rsidRPr="00E91563">
        <w:rPr>
          <w:i/>
          <w:iCs/>
          <w:kern w:val="18"/>
          <w:szCs w:val="18"/>
        </w:rPr>
        <w:t>Treaty Series</w:t>
      </w:r>
      <w:r w:rsidRPr="00E91563">
        <w:rPr>
          <w:kern w:val="18"/>
          <w:szCs w:val="18"/>
        </w:rPr>
        <w:t>, Registration No.</w:t>
      </w:r>
      <w:r>
        <w:rPr>
          <w:kern w:val="18"/>
          <w:szCs w:val="18"/>
        </w:rPr>
        <w:t> </w:t>
      </w:r>
      <w:r w:rsidRPr="00E91563">
        <w:rPr>
          <w:kern w:val="18"/>
          <w:szCs w:val="18"/>
        </w:rPr>
        <w:t>I-54113.</w:t>
      </w:r>
    </w:p>
  </w:footnote>
  <w:footnote w:id="372">
    <w:p w14:paraId="73A0933E" w14:textId="1AB28C32" w:rsidR="007A11A6" w:rsidRPr="00E91563" w:rsidRDefault="007A11A6" w:rsidP="009A153A">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Decision </w:t>
      </w:r>
      <w:hyperlink r:id="rId76" w:history="1">
        <w:r w:rsidRPr="00E91563">
          <w:rPr>
            <w:rStyle w:val="Hyperlink"/>
            <w:kern w:val="18"/>
            <w:szCs w:val="18"/>
          </w:rPr>
          <w:t>V/6</w:t>
        </w:r>
      </w:hyperlink>
      <w:r w:rsidRPr="00E91563">
        <w:rPr>
          <w:rStyle w:val="Hyperlink"/>
          <w:kern w:val="18"/>
          <w:szCs w:val="18"/>
        </w:rPr>
        <w:t>.</w:t>
      </w:r>
    </w:p>
  </w:footnote>
  <w:footnote w:id="373">
    <w:p w14:paraId="723DA9C8" w14:textId="77777777" w:rsidR="007A11A6" w:rsidRPr="00E91563" w:rsidRDefault="007A11A6" w:rsidP="004209DB">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F</w:t>
      </w:r>
      <w:r w:rsidRPr="00C703CE">
        <w:rPr>
          <w:kern w:val="18"/>
          <w:szCs w:val="18"/>
        </w:rPr>
        <w:t xml:space="preserve">AO. 2017. </w:t>
      </w:r>
      <w:r w:rsidRPr="00C703CE">
        <w:rPr>
          <w:i/>
          <w:iCs/>
          <w:kern w:val="18"/>
          <w:szCs w:val="18"/>
        </w:rPr>
        <w:t>Voluntary Guidelines for Sustainable Soil Management</w:t>
      </w:r>
      <w:r w:rsidRPr="00C703CE">
        <w:rPr>
          <w:kern w:val="18"/>
          <w:szCs w:val="18"/>
        </w:rPr>
        <w:t>. Food and Agriculture Organization of the United Nations. Rome.</w:t>
      </w:r>
      <w:r w:rsidRPr="00C703CE" w:rsidDel="00967EA4">
        <w:rPr>
          <w:kern w:val="18"/>
          <w:szCs w:val="18"/>
        </w:rPr>
        <w:t xml:space="preserve"> </w:t>
      </w:r>
    </w:p>
  </w:footnote>
  <w:footnote w:id="374">
    <w:p w14:paraId="42A74C07" w14:textId="77777777" w:rsidR="007A11A6" w:rsidRPr="00AA309E" w:rsidRDefault="007A11A6" w:rsidP="004209DB">
      <w:pPr>
        <w:pStyle w:val="FootnoteText"/>
        <w:suppressLineNumbers/>
        <w:suppressAutoHyphens/>
        <w:kinsoku w:val="0"/>
        <w:overflowPunct w:val="0"/>
        <w:autoSpaceDE w:val="0"/>
        <w:autoSpaceDN w:val="0"/>
        <w:ind w:firstLine="0"/>
        <w:jc w:val="left"/>
        <w:rPr>
          <w:kern w:val="18"/>
          <w:szCs w:val="18"/>
          <w:lang w:val="it-IT"/>
        </w:rPr>
      </w:pPr>
      <w:r w:rsidRPr="00610646">
        <w:rPr>
          <w:rStyle w:val="FootnoteReference"/>
        </w:rPr>
        <w:footnoteRef/>
      </w:r>
      <w:r w:rsidRPr="00E91563">
        <w:rPr>
          <w:kern w:val="18"/>
          <w:szCs w:val="18"/>
        </w:rPr>
        <w:t xml:space="preserve"> </w:t>
      </w:r>
      <w:r>
        <w:rPr>
          <w:kern w:val="18"/>
          <w:szCs w:val="18"/>
        </w:rPr>
        <w:t xml:space="preserve">FAO. 2015. </w:t>
      </w:r>
      <w:r w:rsidRPr="006A227D">
        <w:rPr>
          <w:i/>
          <w:iCs/>
          <w:kern w:val="18"/>
          <w:szCs w:val="18"/>
        </w:rPr>
        <w:t>Revised World Soil Charter.</w:t>
      </w:r>
      <w:r>
        <w:rPr>
          <w:kern w:val="18"/>
          <w:szCs w:val="18"/>
        </w:rPr>
        <w:t xml:space="preserve"> </w:t>
      </w:r>
      <w:r w:rsidRPr="003156B7">
        <w:rPr>
          <w:kern w:val="18"/>
          <w:szCs w:val="18"/>
        </w:rPr>
        <w:t xml:space="preserve">Food and Agriculture Organization of the United Nations. </w:t>
      </w:r>
      <w:r w:rsidRPr="00AA309E">
        <w:rPr>
          <w:kern w:val="18"/>
          <w:szCs w:val="18"/>
          <w:lang w:val="it-IT"/>
        </w:rPr>
        <w:t>Rome</w:t>
      </w:r>
      <w:r w:rsidRPr="00AA309E">
        <w:rPr>
          <w:lang w:val="it-IT"/>
        </w:rPr>
        <w:t xml:space="preserve">. </w:t>
      </w:r>
    </w:p>
  </w:footnote>
  <w:footnote w:id="375">
    <w:p w14:paraId="271C7173" w14:textId="77777777" w:rsidR="007A11A6" w:rsidRPr="00AA309E" w:rsidRDefault="007A11A6" w:rsidP="004209DB">
      <w:pPr>
        <w:pStyle w:val="FootnoteText"/>
        <w:suppressLineNumbers/>
        <w:suppressAutoHyphens/>
        <w:kinsoku w:val="0"/>
        <w:overflowPunct w:val="0"/>
        <w:autoSpaceDE w:val="0"/>
        <w:autoSpaceDN w:val="0"/>
        <w:ind w:firstLine="0"/>
        <w:jc w:val="left"/>
        <w:rPr>
          <w:kern w:val="18"/>
          <w:szCs w:val="18"/>
          <w:lang w:val="it-IT"/>
        </w:rPr>
      </w:pPr>
      <w:r w:rsidRPr="00610646">
        <w:rPr>
          <w:rStyle w:val="FootnoteReference"/>
        </w:rPr>
        <w:footnoteRef/>
      </w:r>
      <w:r>
        <w:rPr>
          <w:kern w:val="18"/>
          <w:szCs w:val="18"/>
        </w:rPr>
        <w:t xml:space="preserve"> </w:t>
      </w:r>
      <w:r w:rsidRPr="003156B7">
        <w:rPr>
          <w:kern w:val="18"/>
          <w:szCs w:val="18"/>
        </w:rPr>
        <w:t>FAO</w:t>
      </w:r>
      <w:r>
        <w:rPr>
          <w:kern w:val="18"/>
          <w:szCs w:val="18"/>
        </w:rPr>
        <w:t xml:space="preserve"> &amp; WHO.</w:t>
      </w:r>
      <w:r w:rsidRPr="003156B7">
        <w:rPr>
          <w:kern w:val="18"/>
          <w:szCs w:val="18"/>
        </w:rPr>
        <w:t xml:space="preserve"> 201</w:t>
      </w:r>
      <w:r>
        <w:rPr>
          <w:kern w:val="18"/>
          <w:szCs w:val="18"/>
        </w:rPr>
        <w:t>4</w:t>
      </w:r>
      <w:r w:rsidRPr="003156B7">
        <w:rPr>
          <w:kern w:val="18"/>
          <w:szCs w:val="18"/>
        </w:rPr>
        <w:t xml:space="preserve">. </w:t>
      </w:r>
      <w:r w:rsidRPr="006A227D">
        <w:rPr>
          <w:i/>
          <w:iCs/>
          <w:kern w:val="18"/>
          <w:szCs w:val="18"/>
        </w:rPr>
        <w:t>International Code of Conduct on Pesticide Management.</w:t>
      </w:r>
      <w:r w:rsidRPr="003156B7">
        <w:rPr>
          <w:kern w:val="18"/>
          <w:szCs w:val="18"/>
        </w:rPr>
        <w:t xml:space="preserve"> Food and Agriculture Organization of the United Nations</w:t>
      </w:r>
      <w:r>
        <w:rPr>
          <w:kern w:val="18"/>
          <w:szCs w:val="18"/>
        </w:rPr>
        <w:t xml:space="preserve"> and the </w:t>
      </w:r>
      <w:r>
        <w:t>World Health Organization</w:t>
      </w:r>
      <w:r w:rsidRPr="003156B7">
        <w:rPr>
          <w:kern w:val="18"/>
          <w:szCs w:val="18"/>
        </w:rPr>
        <w:t xml:space="preserve">. </w:t>
      </w:r>
      <w:r w:rsidRPr="00AA309E">
        <w:rPr>
          <w:kern w:val="18"/>
          <w:szCs w:val="18"/>
          <w:lang w:val="it-IT"/>
        </w:rPr>
        <w:t xml:space="preserve">Rome. </w:t>
      </w:r>
    </w:p>
  </w:footnote>
  <w:footnote w:id="376">
    <w:p w14:paraId="09391881" w14:textId="77777777" w:rsidR="007A11A6" w:rsidRPr="00E91563" w:rsidRDefault="007A11A6" w:rsidP="004209DB">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w:t>
      </w:r>
      <w:r>
        <w:t xml:space="preserve">FAO. 2019. </w:t>
      </w:r>
      <w:r w:rsidRPr="006A227D">
        <w:rPr>
          <w:i/>
          <w:iCs/>
        </w:rPr>
        <w:t>The International Code of Conduct for the Sustainable Use and Management of Fertilizers.</w:t>
      </w:r>
      <w:r>
        <w:t xml:space="preserve"> </w:t>
      </w:r>
      <w:r w:rsidRPr="003156B7">
        <w:rPr>
          <w:kern w:val="18"/>
          <w:szCs w:val="18"/>
        </w:rPr>
        <w:t xml:space="preserve">Food and Agriculture Organization of the United Nations. </w:t>
      </w:r>
      <w:r>
        <w:t xml:space="preserve">Rome. </w:t>
      </w:r>
    </w:p>
  </w:footnote>
  <w:footnote w:id="377">
    <w:p w14:paraId="6E6DCA87" w14:textId="77777777" w:rsidR="007A11A6" w:rsidRPr="00E91563" w:rsidRDefault="007A11A6" w:rsidP="004209DB">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w:t>
      </w:r>
      <w:r>
        <w:t xml:space="preserve">FAO. 2022. </w:t>
      </w:r>
      <w:r w:rsidRPr="006A227D">
        <w:rPr>
          <w:i/>
          <w:iCs/>
        </w:rPr>
        <w:t>Voluntary Guidelines on the Responsible Governance of Tenure of Land, Fisheries and Forests in the Context of National Food Security.</w:t>
      </w:r>
      <w:r>
        <w:t xml:space="preserve"> First revision. Rome.</w:t>
      </w:r>
      <w:r w:rsidRPr="00E91563">
        <w:rPr>
          <w:kern w:val="18"/>
          <w:szCs w:val="18"/>
        </w:rPr>
        <w:t xml:space="preserve"> </w:t>
      </w:r>
    </w:p>
  </w:footnote>
  <w:footnote w:id="378">
    <w:p w14:paraId="04FF89B1" w14:textId="77777777" w:rsidR="007A11A6" w:rsidRPr="00E91563" w:rsidRDefault="007A11A6" w:rsidP="004209DB">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4539EA">
        <w:rPr>
          <w:kern w:val="18"/>
          <w:szCs w:val="18"/>
        </w:rPr>
        <w:t xml:space="preserve">IPBES (2019): </w:t>
      </w:r>
      <w:r w:rsidRPr="00AA309E">
        <w:rPr>
          <w:i/>
          <w:iCs/>
          <w:kern w:val="18"/>
          <w:szCs w:val="18"/>
        </w:rPr>
        <w:t>Global assessment report on biodiversity and ecosystem services</w:t>
      </w:r>
      <w:r w:rsidRPr="004539EA">
        <w:rPr>
          <w:kern w:val="18"/>
          <w:szCs w:val="18"/>
        </w:rPr>
        <w:t xml:space="preserve"> </w:t>
      </w:r>
      <w:r w:rsidRPr="00AA309E">
        <w:rPr>
          <w:i/>
          <w:iCs/>
          <w:kern w:val="18"/>
          <w:szCs w:val="18"/>
        </w:rPr>
        <w:t>of the Intergovernmental Science-Policy Platform on Biodiversity and Ecosystem Services</w:t>
      </w:r>
      <w:r w:rsidRPr="004539EA">
        <w:rPr>
          <w:kern w:val="18"/>
          <w:szCs w:val="18"/>
        </w:rPr>
        <w:t xml:space="preserve">. IPBES secretariat, Bonn, Germany. </w:t>
      </w:r>
    </w:p>
  </w:footnote>
  <w:footnote w:id="379">
    <w:p w14:paraId="5A520D76" w14:textId="77777777" w:rsidR="007A11A6" w:rsidRPr="00E91563" w:rsidRDefault="007A11A6" w:rsidP="004209DB">
      <w:pPr>
        <w:pStyle w:val="FootnoteText"/>
        <w:suppressLineNumbers/>
        <w:suppressAutoHyphens/>
        <w:kinsoku w:val="0"/>
        <w:overflowPunct w:val="0"/>
        <w:autoSpaceDE w:val="0"/>
        <w:autoSpaceDN w:val="0"/>
        <w:ind w:firstLine="0"/>
        <w:jc w:val="left"/>
        <w:rPr>
          <w:kern w:val="18"/>
          <w:szCs w:val="18"/>
        </w:rPr>
      </w:pPr>
      <w:r w:rsidRPr="00610646">
        <w:rPr>
          <w:rStyle w:val="FootnoteReference"/>
        </w:rPr>
        <w:footnoteRef/>
      </w:r>
      <w:r w:rsidRPr="00E91563">
        <w:rPr>
          <w:kern w:val="18"/>
          <w:szCs w:val="18"/>
        </w:rPr>
        <w:t xml:space="preserve"> The importance of special soils creating environments for specific soil biota (for example, natural extremely acidic or alkaline soils; natural hypersaline soils; natural soils containing high quantities of rare elements) should be recognized. Although they are not necessarily productive or high biodiverse soils, they host important communities as gene reserves and merit protection as they may contain unknown, adapted organisms that can be useful in the future.</w:t>
      </w:r>
    </w:p>
  </w:footnote>
  <w:footnote w:id="380">
    <w:p w14:paraId="18DB509F" w14:textId="269D3662" w:rsidR="007A11A6" w:rsidRPr="00E91563" w:rsidRDefault="007A11A6" w:rsidP="004209DB">
      <w:pPr>
        <w:keepLines/>
        <w:suppressLineNumbers/>
        <w:suppressAutoHyphens/>
        <w:kinsoku w:val="0"/>
        <w:overflowPunct w:val="0"/>
        <w:autoSpaceDE w:val="0"/>
        <w:autoSpaceDN w:val="0"/>
        <w:jc w:val="left"/>
        <w:rPr>
          <w:kern w:val="18"/>
          <w:sz w:val="18"/>
          <w:szCs w:val="18"/>
          <w:lang w:eastAsia="ja-JP"/>
        </w:rPr>
      </w:pPr>
      <w:r w:rsidRPr="00610646">
        <w:rPr>
          <w:rStyle w:val="FootnoteReference"/>
        </w:rPr>
        <w:footnoteRef/>
      </w:r>
      <w:r w:rsidRPr="00E91563">
        <w:rPr>
          <w:kern w:val="18"/>
          <w:sz w:val="18"/>
          <w:szCs w:val="18"/>
        </w:rPr>
        <w:t xml:space="preserve"> See General Assembly resolution</w:t>
      </w:r>
      <w:r>
        <w:rPr>
          <w:kern w:val="18"/>
          <w:sz w:val="18"/>
          <w:szCs w:val="18"/>
        </w:rPr>
        <w:t xml:space="preserve"> </w:t>
      </w:r>
      <w:hyperlink r:id="rId77" w:history="1">
        <w:r w:rsidRPr="00BD07D3">
          <w:rPr>
            <w:rStyle w:val="Hyperlink"/>
            <w:kern w:val="18"/>
            <w:szCs w:val="18"/>
          </w:rPr>
          <w:t>68/232</w:t>
        </w:r>
      </w:hyperlink>
      <w:r w:rsidRPr="00E91563">
        <w:rPr>
          <w:kern w:val="18"/>
          <w:sz w:val="18"/>
          <w:szCs w:val="18"/>
        </w:rPr>
        <w:t xml:space="preserve"> of 20 December 2013 on World Soil Day and International Year of Soils.</w:t>
      </w:r>
    </w:p>
  </w:footnote>
  <w:footnote w:id="381">
    <w:p w14:paraId="30B094B1" w14:textId="77777777" w:rsidR="007A11A6" w:rsidRPr="002A257B" w:rsidRDefault="007A11A6" w:rsidP="004209DB">
      <w:pPr>
        <w:pStyle w:val="FootnoteText"/>
        <w:ind w:firstLine="0"/>
        <w:rPr>
          <w:highlight w:val="yellow"/>
        </w:rPr>
      </w:pPr>
      <w:r w:rsidRPr="00610646">
        <w:rPr>
          <w:rStyle w:val="FootnoteReference"/>
        </w:rPr>
        <w:footnoteRef/>
      </w:r>
      <w:r w:rsidRPr="002A257B">
        <w:t xml:space="preserve"> The term </w:t>
      </w:r>
      <w:r>
        <w:t>“</w:t>
      </w:r>
      <w:r w:rsidRPr="002A257B">
        <w:t>pedodiversity</w:t>
      </w:r>
      <w:r>
        <w:t>”</w:t>
      </w:r>
      <w:r w:rsidRPr="002A257B">
        <w:t xml:space="preserve"> and many tools for studying pedodiversity were adapted from biology. Pedodiversity, for example, can be measured just as biodiversity is measured by means of special indices showing the abundance of species and the taxonomic distances between them. A set of mathematical methods, both parametric and non-parametric, can be applied to quantify soil spatial heterogeneity</w:t>
      </w:r>
    </w:p>
  </w:footnote>
  <w:footnote w:id="382">
    <w:p w14:paraId="28C2216F" w14:textId="77777777" w:rsidR="004678BE" w:rsidRPr="00FF12AC" w:rsidRDefault="004678BE" w:rsidP="00FF12AC">
      <w:pPr>
        <w:spacing w:after="60"/>
        <w:rPr>
          <w:rFonts w:asciiTheme="majorBidi" w:hAnsiTheme="majorBidi" w:cstheme="majorBidi"/>
        </w:rPr>
      </w:pPr>
      <w:r w:rsidRPr="00610646">
        <w:rPr>
          <w:rStyle w:val="FootnoteReference"/>
          <w:rFonts w:eastAsiaTheme="majorEastAsia"/>
        </w:rPr>
        <w:footnoteRef/>
      </w:r>
      <w:r>
        <w:t xml:space="preserve"> </w:t>
      </w:r>
      <w:r w:rsidRPr="00FF12AC">
        <w:rPr>
          <w:rFonts w:asciiTheme="majorBidi" w:hAnsiTheme="majorBidi" w:cstheme="majorBidi"/>
          <w:sz w:val="18"/>
          <w:szCs w:val="18"/>
        </w:rPr>
        <w:t xml:space="preserve">IPBES (2019): </w:t>
      </w:r>
      <w:r w:rsidRPr="00FF12AC">
        <w:rPr>
          <w:rFonts w:asciiTheme="majorBidi" w:hAnsiTheme="majorBidi" w:cstheme="majorBidi"/>
          <w:i/>
          <w:iCs/>
          <w:sz w:val="18"/>
          <w:szCs w:val="18"/>
        </w:rPr>
        <w:t>Global assessment report on biodiversity and ecosystem services of the Intergovernmental Science-Policy Platform on Biodiversity and Ecosystem Services</w:t>
      </w:r>
      <w:r w:rsidRPr="00FF12AC">
        <w:rPr>
          <w:rFonts w:asciiTheme="majorBidi" w:hAnsiTheme="majorBidi" w:cstheme="majorBidi"/>
          <w:sz w:val="18"/>
          <w:szCs w:val="18"/>
        </w:rPr>
        <w:t>. IPBES secretariat, Bonn, Germany.</w:t>
      </w:r>
      <w:r w:rsidRPr="00FF12AC">
        <w:rPr>
          <w:rFonts w:asciiTheme="majorBidi" w:hAnsiTheme="majorBidi" w:cstheme="majorBidi"/>
          <w:strike/>
          <w:sz w:val="18"/>
          <w:szCs w:val="18"/>
        </w:rPr>
        <w:t xml:space="preserve"> </w:t>
      </w:r>
    </w:p>
  </w:footnote>
  <w:footnote w:id="383">
    <w:p w14:paraId="2F93E53B" w14:textId="77777777" w:rsidR="004678BE" w:rsidRPr="0086249D" w:rsidRDefault="004678BE" w:rsidP="00CE7BA9">
      <w:pPr>
        <w:pStyle w:val="FootnoteText"/>
        <w:ind w:firstLine="0"/>
        <w:jc w:val="left"/>
        <w:rPr>
          <w:kern w:val="18"/>
          <w:szCs w:val="18"/>
          <w:lang w:val="it-IT"/>
        </w:rPr>
      </w:pPr>
      <w:r w:rsidRPr="00610646">
        <w:rPr>
          <w:rStyle w:val="FootnoteReference"/>
        </w:rPr>
        <w:footnoteRef/>
      </w:r>
      <w:r w:rsidRPr="0086249D">
        <w:rPr>
          <w:kern w:val="18"/>
          <w:szCs w:val="18"/>
          <w:lang w:val="it-IT"/>
        </w:rPr>
        <w:t xml:space="preserve"> CBD/SBSTTA/24/4/Rev.1, annex I, sect. VI.</w:t>
      </w:r>
    </w:p>
  </w:footnote>
  <w:footnote w:id="384">
    <w:p w14:paraId="57CDDC34" w14:textId="77777777" w:rsidR="004678BE" w:rsidRDefault="004678BE" w:rsidP="00CE7BA9">
      <w:pPr>
        <w:pStyle w:val="FootnoteText"/>
        <w:ind w:firstLine="0"/>
        <w:jc w:val="left"/>
        <w:rPr>
          <w:kern w:val="18"/>
          <w:szCs w:val="18"/>
        </w:rPr>
      </w:pPr>
      <w:r w:rsidRPr="00610646">
        <w:rPr>
          <w:rStyle w:val="FootnoteReference"/>
        </w:rPr>
        <w:footnoteRef/>
      </w:r>
      <w:r>
        <w:rPr>
          <w:kern w:val="18"/>
          <w:szCs w:val="18"/>
        </w:rPr>
        <w:t xml:space="preserve"> </w:t>
      </w:r>
      <w:r w:rsidRPr="0086249D">
        <w:rPr>
          <w:kern w:val="18"/>
          <w:szCs w:val="18"/>
          <w:lang w:val="it-IT"/>
        </w:rPr>
        <w:t xml:space="preserve">CBD/SBSTTA/24/4/Rev.1, </w:t>
      </w:r>
      <w:r>
        <w:rPr>
          <w:kern w:val="18"/>
          <w:szCs w:val="18"/>
        </w:rPr>
        <w:t>, annex I.</w:t>
      </w:r>
    </w:p>
  </w:footnote>
  <w:footnote w:id="385">
    <w:p w14:paraId="0F859F15" w14:textId="77777777" w:rsidR="004678BE" w:rsidRDefault="004678BE" w:rsidP="00CE7BA9">
      <w:pPr>
        <w:pStyle w:val="FootnoteText"/>
        <w:ind w:firstLine="0"/>
        <w:jc w:val="left"/>
        <w:rPr>
          <w:kern w:val="18"/>
          <w:szCs w:val="18"/>
        </w:rPr>
      </w:pPr>
      <w:r w:rsidRPr="00610646">
        <w:rPr>
          <w:rStyle w:val="FootnoteReference"/>
        </w:rPr>
        <w:footnoteRef/>
      </w:r>
      <w:r>
        <w:rPr>
          <w:kern w:val="18"/>
          <w:szCs w:val="18"/>
        </w:rPr>
        <w:t xml:space="preserve"> Ibid., annex I, sect. I.</w:t>
      </w:r>
    </w:p>
  </w:footnote>
  <w:footnote w:id="386">
    <w:p w14:paraId="14349EE1" w14:textId="01797123" w:rsidR="004678BE" w:rsidRPr="0086249D" w:rsidRDefault="004678BE" w:rsidP="00CE7BA9">
      <w:pPr>
        <w:pStyle w:val="FootnoteText"/>
        <w:ind w:firstLine="0"/>
        <w:rPr>
          <w:lang w:val="en-US"/>
        </w:rPr>
      </w:pPr>
      <w:r w:rsidRPr="00610646">
        <w:rPr>
          <w:rStyle w:val="FootnoteReference"/>
        </w:rPr>
        <w:footnoteRef/>
      </w:r>
      <w:r>
        <w:t xml:space="preserve"> </w:t>
      </w:r>
      <w:hyperlink r:id="rId78" w:history="1">
        <w:r w:rsidRPr="004B3280">
          <w:rPr>
            <w:rStyle w:val="Hyperlink"/>
          </w:rPr>
          <w:t>https://www.cbd.int/doc/c/2074/26e7/a135b1b57dabe8e8ed669324/synbio-ahteg-2019-01-03-en.pdf</w:t>
        </w:r>
      </w:hyperlink>
      <w:r>
        <w:t xml:space="preserve"> </w:t>
      </w:r>
    </w:p>
  </w:footnote>
  <w:footnote w:id="387">
    <w:p w14:paraId="4908D4CB" w14:textId="77777777" w:rsidR="005B203B" w:rsidRDefault="005B203B" w:rsidP="004342E7">
      <w:pPr>
        <w:pStyle w:val="FootnoteText"/>
        <w:ind w:firstLine="0"/>
        <w:rPr>
          <w:lang w:val="en-CA"/>
        </w:rPr>
      </w:pPr>
      <w:r w:rsidRPr="00610646">
        <w:rPr>
          <w:rStyle w:val="FootnoteReference"/>
        </w:rPr>
        <w:footnoteRef/>
      </w:r>
      <w:r w:rsidRPr="00246BEA">
        <w:t xml:space="preserve"> </w:t>
      </w:r>
      <w:r w:rsidRPr="00246BEA">
        <w:rPr>
          <w:lang w:val="en-CA"/>
        </w:rPr>
        <w:t>Th</w:t>
      </w:r>
      <w:r w:rsidRPr="00DC5ED5">
        <w:rPr>
          <w:lang w:val="en-CA"/>
        </w:rPr>
        <w:t xml:space="preserve">e list contained in </w:t>
      </w:r>
      <w:r>
        <w:rPr>
          <w:lang w:val="en-CA"/>
        </w:rPr>
        <w:t>this table</w:t>
      </w:r>
      <w:r w:rsidRPr="00DC5ED5">
        <w:rPr>
          <w:lang w:val="en-CA"/>
        </w:rPr>
        <w:t xml:space="preserve"> will be updated in accordance with the request</w:t>
      </w:r>
      <w:r>
        <w:rPr>
          <w:lang w:val="en-CA"/>
        </w:rPr>
        <w:t>s</w:t>
      </w:r>
      <w:r w:rsidRPr="00DC5ED5">
        <w:rPr>
          <w:lang w:val="en-CA"/>
        </w:rPr>
        <w:t xml:space="preserve"> in paragraph</w:t>
      </w:r>
      <w:r>
        <w:rPr>
          <w:lang w:val="en-CA"/>
        </w:rPr>
        <w:t>s</w:t>
      </w:r>
      <w:r w:rsidRPr="00DC5ED5">
        <w:rPr>
          <w:lang w:val="en-CA"/>
        </w:rPr>
        <w:t xml:space="preserve"> 4</w:t>
      </w:r>
      <w:r>
        <w:rPr>
          <w:lang w:val="en-CA"/>
        </w:rPr>
        <w:t xml:space="preserve"> and 5</w:t>
      </w:r>
      <w:r w:rsidRPr="00DC5ED5">
        <w:rPr>
          <w:lang w:val="en-CA"/>
        </w:rPr>
        <w:t xml:space="preserve"> of the present decision</w:t>
      </w:r>
      <w:r w:rsidRPr="00246BEA">
        <w:rPr>
          <w:lang w:val="en-CA"/>
        </w:rPr>
        <w:t>.</w:t>
      </w:r>
    </w:p>
  </w:footnote>
  <w:footnote w:id="388">
    <w:p w14:paraId="744ACBB3" w14:textId="77777777" w:rsidR="00FC752D" w:rsidRPr="0021489F" w:rsidRDefault="00FC752D" w:rsidP="004342E7">
      <w:pPr>
        <w:rPr>
          <w:rFonts w:asciiTheme="majorBidi" w:hAnsiTheme="majorBidi" w:cstheme="majorBidi"/>
        </w:rPr>
      </w:pPr>
      <w:r w:rsidRPr="00610646">
        <w:rPr>
          <w:rStyle w:val="FootnoteReference"/>
        </w:rPr>
        <w:footnoteRef/>
      </w:r>
      <w:r w:rsidRPr="00D307D8">
        <w:rPr>
          <w:rFonts w:asciiTheme="majorBidi" w:hAnsiTheme="majorBidi" w:cstheme="majorBidi"/>
        </w:rPr>
        <w:t xml:space="preserve"> </w:t>
      </w:r>
      <w:r w:rsidRPr="00D307D8">
        <w:rPr>
          <w:rFonts w:asciiTheme="majorBidi" w:hAnsiTheme="majorBidi" w:cstheme="majorBidi"/>
          <w:sz w:val="18"/>
          <w:szCs w:val="18"/>
        </w:rPr>
        <w:t>As per General Assembly resolution 76/238.</w:t>
      </w:r>
    </w:p>
  </w:footnote>
  <w:footnote w:id="389">
    <w:p w14:paraId="7475838A" w14:textId="77777777" w:rsidR="00FC752D" w:rsidRPr="00AA0E75" w:rsidRDefault="00FC752D" w:rsidP="004342E7">
      <w:pPr>
        <w:pStyle w:val="FootnoteText"/>
        <w:ind w:firstLine="0"/>
        <w:rPr>
          <w:szCs w:val="18"/>
        </w:rPr>
      </w:pPr>
      <w:r w:rsidRPr="00610646">
        <w:rPr>
          <w:rStyle w:val="FootnoteReference"/>
        </w:rPr>
        <w:footnoteRef/>
      </w:r>
      <w:r w:rsidRPr="00AA0E75">
        <w:rPr>
          <w:szCs w:val="18"/>
        </w:rPr>
        <w:t xml:space="preserve"> See General Assembly resolution 60/283, sect. IV.</w:t>
      </w:r>
    </w:p>
  </w:footnote>
  <w:footnote w:id="390">
    <w:p w14:paraId="5B444C87" w14:textId="77777777" w:rsidR="00FC752D" w:rsidRPr="00AA0E75" w:rsidRDefault="00FC752D" w:rsidP="004342E7">
      <w:pPr>
        <w:pStyle w:val="FootnoteText"/>
        <w:ind w:firstLine="0"/>
        <w:rPr>
          <w:szCs w:val="18"/>
        </w:rPr>
      </w:pPr>
      <w:r w:rsidRPr="00610646">
        <w:rPr>
          <w:rStyle w:val="FootnoteReference"/>
        </w:rPr>
        <w:footnoteRef/>
      </w:r>
      <w:r w:rsidRPr="00AA0E75">
        <w:rPr>
          <w:szCs w:val="18"/>
        </w:rPr>
        <w:t xml:space="preserve"> Decision 15/4</w:t>
      </w:r>
      <w:r>
        <w:rPr>
          <w:szCs w:val="18"/>
        </w:rPr>
        <w:t>, annex</w:t>
      </w:r>
      <w:r w:rsidRPr="00AA0E75">
        <w:rPr>
          <w:szCs w:val="18"/>
        </w:rPr>
        <w:t>.</w:t>
      </w:r>
    </w:p>
  </w:footnote>
  <w:footnote w:id="391">
    <w:p w14:paraId="6638B992" w14:textId="77777777" w:rsidR="00FC752D" w:rsidRPr="00124D9F" w:rsidRDefault="00FC752D" w:rsidP="00124D9F">
      <w:pPr>
        <w:pStyle w:val="NormalWeb"/>
        <w:spacing w:after="60"/>
      </w:pPr>
      <w:r w:rsidRPr="00610646">
        <w:rPr>
          <w:rStyle w:val="FootnoteReference"/>
        </w:rPr>
        <w:footnoteRef/>
      </w:r>
      <w:r w:rsidRPr="00136E7A">
        <w:rPr>
          <w:sz w:val="18"/>
          <w:szCs w:val="18"/>
        </w:rPr>
        <w:t xml:space="preserve"> As per United Nations General Assembly resolution 76/238.</w:t>
      </w:r>
    </w:p>
  </w:footnote>
  <w:footnote w:id="392">
    <w:p w14:paraId="17B07094" w14:textId="77777777" w:rsidR="004A28CC" w:rsidRPr="00F14EBD" w:rsidRDefault="004A28CC" w:rsidP="004472B4">
      <w:pPr>
        <w:pStyle w:val="FootnoteText"/>
        <w:ind w:firstLine="0"/>
        <w:rPr>
          <w:lang w:val="en-US"/>
        </w:rPr>
      </w:pPr>
      <w:r w:rsidRPr="00610646">
        <w:rPr>
          <w:rStyle w:val="FootnoteReference"/>
        </w:rPr>
        <w:footnoteRef/>
      </w:r>
      <w:r>
        <w:t xml:space="preserve"> </w:t>
      </w:r>
      <w:r w:rsidRPr="001B6774">
        <w:t xml:space="preserve">United Nations, </w:t>
      </w:r>
      <w:r w:rsidRPr="00F14EBD">
        <w:rPr>
          <w:i/>
          <w:iCs/>
        </w:rPr>
        <w:t>Treaty Series</w:t>
      </w:r>
      <w:r w:rsidRPr="001B6774">
        <w:t>, vol. 1760, No. 30619</w:t>
      </w:r>
      <w:r>
        <w:t>.</w:t>
      </w:r>
    </w:p>
  </w:footnote>
  <w:footnote w:id="393">
    <w:p w14:paraId="66DBAEB0" w14:textId="77777777" w:rsidR="004A28CC" w:rsidRPr="004472B4" w:rsidRDefault="004A28CC" w:rsidP="004472B4">
      <w:pPr>
        <w:pStyle w:val="FootnoteText"/>
        <w:ind w:firstLine="0"/>
        <w:rPr>
          <w:szCs w:val="18"/>
          <w:lang w:val="en-US"/>
        </w:rPr>
      </w:pPr>
      <w:r w:rsidRPr="00610646">
        <w:rPr>
          <w:rStyle w:val="FootnoteReference"/>
        </w:rPr>
        <w:footnoteRef/>
      </w:r>
      <w:r w:rsidRPr="004472B4">
        <w:rPr>
          <w:szCs w:val="18"/>
        </w:rPr>
        <w:t xml:space="preserve"> </w:t>
      </w:r>
      <w:r w:rsidRPr="004472B4">
        <w:rPr>
          <w:color w:val="000000"/>
          <w:szCs w:val="18"/>
        </w:rPr>
        <w:t xml:space="preserve">United Nations, </w:t>
      </w:r>
      <w:r w:rsidRPr="004472B4">
        <w:rPr>
          <w:i/>
          <w:iCs/>
          <w:color w:val="000000"/>
          <w:szCs w:val="18"/>
        </w:rPr>
        <w:t>Treaty Series</w:t>
      </w:r>
      <w:r w:rsidRPr="004472B4">
        <w:rPr>
          <w:iCs/>
          <w:color w:val="000000"/>
          <w:szCs w:val="18"/>
        </w:rPr>
        <w:t>,</w:t>
      </w:r>
      <w:r w:rsidRPr="004472B4">
        <w:rPr>
          <w:i/>
          <w:iCs/>
          <w:color w:val="000000"/>
          <w:szCs w:val="18"/>
        </w:rPr>
        <w:t xml:space="preserve"> </w:t>
      </w:r>
      <w:r w:rsidRPr="004472B4">
        <w:rPr>
          <w:color w:val="000000"/>
          <w:szCs w:val="18"/>
        </w:rPr>
        <w:t>vol. 2226, No. 30619.</w:t>
      </w:r>
    </w:p>
  </w:footnote>
  <w:footnote w:id="394">
    <w:p w14:paraId="14C97660" w14:textId="77777777" w:rsidR="004A28CC" w:rsidRPr="004472B4" w:rsidRDefault="004A28CC" w:rsidP="004472B4">
      <w:pPr>
        <w:pStyle w:val="FootnoteText"/>
        <w:ind w:firstLine="0"/>
        <w:rPr>
          <w:szCs w:val="18"/>
          <w:lang w:val="en-US"/>
        </w:rPr>
      </w:pPr>
      <w:r w:rsidRPr="00610646">
        <w:rPr>
          <w:rStyle w:val="FootnoteReference"/>
        </w:rPr>
        <w:footnoteRef/>
      </w:r>
      <w:r w:rsidRPr="004472B4">
        <w:rPr>
          <w:szCs w:val="18"/>
        </w:rPr>
        <w:t xml:space="preserve"> </w:t>
      </w:r>
      <w:r w:rsidRPr="004472B4">
        <w:rPr>
          <w:color w:val="000000"/>
          <w:szCs w:val="18"/>
        </w:rPr>
        <w:t xml:space="preserve">United Nations, </w:t>
      </w:r>
      <w:r w:rsidRPr="004472B4">
        <w:rPr>
          <w:i/>
          <w:iCs/>
          <w:color w:val="000000"/>
          <w:szCs w:val="18"/>
        </w:rPr>
        <w:t>Treaty Series</w:t>
      </w:r>
      <w:r w:rsidRPr="004472B4">
        <w:rPr>
          <w:iCs/>
          <w:color w:val="000000"/>
          <w:szCs w:val="18"/>
        </w:rPr>
        <w:t>,</w:t>
      </w:r>
      <w:r w:rsidRPr="004472B4">
        <w:rPr>
          <w:i/>
          <w:iCs/>
          <w:color w:val="000000"/>
          <w:szCs w:val="18"/>
        </w:rPr>
        <w:t xml:space="preserve"> </w:t>
      </w:r>
      <w:r w:rsidRPr="004472B4">
        <w:rPr>
          <w:color w:val="000000"/>
          <w:szCs w:val="18"/>
        </w:rPr>
        <w:t xml:space="preserve">vol. </w:t>
      </w:r>
      <w:r>
        <w:rPr>
          <w:color w:val="000000"/>
          <w:szCs w:val="18"/>
        </w:rPr>
        <w:t>3008</w:t>
      </w:r>
      <w:r w:rsidRPr="004472B4">
        <w:rPr>
          <w:color w:val="000000"/>
          <w:szCs w:val="18"/>
        </w:rPr>
        <w:t>, No. 30619</w:t>
      </w:r>
      <w:r w:rsidRPr="004472B4">
        <w:rPr>
          <w:szCs w:val="18"/>
        </w:rPr>
        <w:t>.</w:t>
      </w:r>
    </w:p>
  </w:footnote>
  <w:footnote w:id="395">
    <w:p w14:paraId="75DC2160" w14:textId="7A365957" w:rsidR="006D5797" w:rsidRPr="006D5797" w:rsidRDefault="006D5797" w:rsidP="008A3E5C">
      <w:pPr>
        <w:pStyle w:val="FootnoteText"/>
        <w:ind w:firstLine="0"/>
      </w:pPr>
      <w:r w:rsidRPr="00610646">
        <w:rPr>
          <w:rStyle w:val="FootnoteReference"/>
        </w:rPr>
        <w:footnoteRef/>
      </w:r>
      <w:r w:rsidRPr="00CA4F80">
        <w:t xml:space="preserve"> </w:t>
      </w:r>
      <w:r w:rsidRPr="00CA4F80">
        <w:rPr>
          <w:kern w:val="22"/>
        </w:rPr>
        <w:t xml:space="preserve">The report of </w:t>
      </w:r>
      <w:r w:rsidR="00817EF0">
        <w:rPr>
          <w:kern w:val="22"/>
        </w:rPr>
        <w:t xml:space="preserve">the first </w:t>
      </w:r>
      <w:r w:rsidRPr="00CA4F80">
        <w:rPr>
          <w:kern w:val="22"/>
        </w:rPr>
        <w:t xml:space="preserve">part </w:t>
      </w:r>
      <w:r w:rsidR="00817EF0">
        <w:rPr>
          <w:kern w:val="22"/>
        </w:rPr>
        <w:t xml:space="preserve">of the </w:t>
      </w:r>
      <w:r w:rsidR="001C6E8B">
        <w:rPr>
          <w:kern w:val="22"/>
        </w:rPr>
        <w:t xml:space="preserve">fifteenth </w:t>
      </w:r>
      <w:r w:rsidR="00817EF0">
        <w:rPr>
          <w:kern w:val="22"/>
        </w:rPr>
        <w:t xml:space="preserve">meeting </w:t>
      </w:r>
      <w:r w:rsidR="009A1743">
        <w:rPr>
          <w:kern w:val="22"/>
        </w:rPr>
        <w:t>was issued as</w:t>
      </w:r>
      <w:r w:rsidRPr="00CA4F80">
        <w:rPr>
          <w:kern w:val="22"/>
        </w:rPr>
        <w:t xml:space="preserve"> </w:t>
      </w:r>
      <w:r w:rsidRPr="009F2B08">
        <w:rPr>
          <w:kern w:val="22"/>
        </w:rPr>
        <w:t xml:space="preserve">document </w:t>
      </w:r>
      <w:r w:rsidRPr="00CA78BF">
        <w:rPr>
          <w:kern w:val="22"/>
        </w:rPr>
        <w:t>CBD/COP/15/4.</w:t>
      </w:r>
    </w:p>
  </w:footnote>
  <w:footnote w:id="396">
    <w:p w14:paraId="642CBCE6" w14:textId="3A9CD434" w:rsidR="006903C1" w:rsidRPr="000A704A" w:rsidRDefault="006903C1" w:rsidP="004347CA">
      <w:pPr>
        <w:pStyle w:val="FootnoteText"/>
        <w:ind w:firstLine="0"/>
        <w:rPr>
          <w:lang w:val="en-US"/>
        </w:rPr>
      </w:pPr>
      <w:r w:rsidRPr="000A704A">
        <w:rPr>
          <w:rStyle w:val="FootnoteReference"/>
        </w:rPr>
        <w:t>2</w:t>
      </w:r>
      <w:r w:rsidRPr="000A704A">
        <w:t xml:space="preserve"> </w:t>
      </w:r>
      <w:r w:rsidR="004347CA" w:rsidRPr="000A704A">
        <w:rPr>
          <w:szCs w:val="18"/>
        </w:rPr>
        <w:t xml:space="preserve">See </w:t>
      </w:r>
      <w:hyperlink r:id="rId79" w:history="1">
        <w:r w:rsidR="004347CA" w:rsidRPr="000A704A">
          <w:rPr>
            <w:rStyle w:val="Hyperlink"/>
            <w:u w:val="none"/>
          </w:rPr>
          <w:t>www.cbd.int/conferences/2021-2022/cop-15/documents</w:t>
        </w:r>
      </w:hyperlink>
      <w:r w:rsidR="004347CA" w:rsidRPr="000A704A">
        <w:rPr>
          <w:rStyle w:val="Hyperlink"/>
          <w:szCs w:val="18"/>
          <w:u w:val="none"/>
        </w:rPr>
        <w:t xml:space="preserve">, </w:t>
      </w:r>
      <w:r w:rsidR="004347CA" w:rsidRPr="000A704A">
        <w:t>under “Statements”.</w:t>
      </w:r>
    </w:p>
  </w:footnote>
  <w:footnote w:id="397">
    <w:p w14:paraId="60EE8C5C" w14:textId="2E92502C" w:rsidR="009E7062" w:rsidRPr="009E7062" w:rsidRDefault="009E7062" w:rsidP="00901E72">
      <w:pPr>
        <w:pStyle w:val="FootnoteText"/>
        <w:ind w:firstLine="0"/>
        <w:rPr>
          <w:lang w:val="en-US"/>
        </w:rPr>
      </w:pPr>
      <w:r w:rsidRPr="000A704A">
        <w:rPr>
          <w:rStyle w:val="FootnoteReference"/>
        </w:rPr>
        <w:t>3</w:t>
      </w:r>
      <w:r w:rsidRPr="000A704A">
        <w:t xml:space="preserve"> </w:t>
      </w:r>
      <w:r w:rsidR="00901E72" w:rsidRPr="000A704A">
        <w:t>Vinod Mathur (India) was replaced by Naresh Pal Gangwar, and Andrea Meza Murillo (Costa Rica) was replaced by Eugenia Arguedas Montezuma.</w:t>
      </w:r>
    </w:p>
  </w:footnote>
  <w:footnote w:id="398">
    <w:p w14:paraId="42EC9254" w14:textId="510331CF" w:rsidR="000077DD" w:rsidRPr="000077DD" w:rsidRDefault="000077DD" w:rsidP="00703013">
      <w:pPr>
        <w:pStyle w:val="FootnoteText"/>
        <w:ind w:firstLine="0"/>
        <w:rPr>
          <w:lang w:val="en-US"/>
        </w:rPr>
      </w:pPr>
      <w:r w:rsidRPr="000A704A">
        <w:rPr>
          <w:rStyle w:val="FootnoteReference"/>
        </w:rPr>
        <w:t>4</w:t>
      </w:r>
      <w:r w:rsidRPr="000A704A">
        <w:t xml:space="preserve"> The adoption of each individual draft decision is reflected under the relevant section of the present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2259F998" w:rsidR="00534681" w:rsidRPr="00B00053" w:rsidRDefault="00C7518F" w:rsidP="00B00053">
        <w:pPr>
          <w:pStyle w:val="Header"/>
          <w:tabs>
            <w:tab w:val="clear" w:pos="4320"/>
            <w:tab w:val="clear" w:pos="8640"/>
          </w:tabs>
          <w:kinsoku w:val="0"/>
          <w:overflowPunct w:val="0"/>
          <w:autoSpaceDE w:val="0"/>
          <w:autoSpaceDN w:val="0"/>
          <w:jc w:val="left"/>
          <w:rPr>
            <w:noProof/>
          </w:rPr>
        </w:pPr>
        <w:r w:rsidRPr="0024154F">
          <w:rPr>
            <w:noProof/>
          </w:rPr>
          <w:t>CBD/COP/15/17</w:t>
        </w:r>
      </w:p>
    </w:sdtContent>
  </w:sdt>
  <w:p w14:paraId="61C60697" w14:textId="71E3495C" w:rsidR="00534681" w:rsidRPr="00B00053" w:rsidRDefault="00534681" w:rsidP="004F04C4">
    <w:pPr>
      <w:pStyle w:val="Header"/>
      <w:tabs>
        <w:tab w:val="clear" w:pos="4320"/>
        <w:tab w:val="clear" w:pos="8640"/>
      </w:tabs>
      <w:kinsoku w:val="0"/>
      <w:overflowPunct w:val="0"/>
      <w:autoSpaceDE w:val="0"/>
      <w:autoSpaceDN w:val="0"/>
      <w:spacing w:after="240"/>
      <w:jc w:val="lef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2</w:t>
    </w:r>
    <w:r w:rsidRPr="00B00053">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76A4594D" w:rsidR="009505C9" w:rsidRPr="00B00053" w:rsidRDefault="00C7518F" w:rsidP="00B00053">
        <w:pPr>
          <w:pStyle w:val="Header"/>
          <w:tabs>
            <w:tab w:val="clear" w:pos="4320"/>
            <w:tab w:val="clear" w:pos="8640"/>
          </w:tabs>
          <w:kinsoku w:val="0"/>
          <w:overflowPunct w:val="0"/>
          <w:autoSpaceDE w:val="0"/>
          <w:autoSpaceDN w:val="0"/>
          <w:jc w:val="right"/>
          <w:rPr>
            <w:noProof/>
          </w:rPr>
        </w:pPr>
        <w:r w:rsidRPr="0024154F">
          <w:rPr>
            <w:noProof/>
          </w:rPr>
          <w:t>CBD/COP/15/17</w:t>
        </w:r>
      </w:p>
    </w:sdtContent>
  </w:sdt>
  <w:p w14:paraId="16137B8A" w14:textId="615FDE84" w:rsidR="009505C9" w:rsidRPr="00B00053" w:rsidRDefault="009505C9" w:rsidP="00161DB4">
    <w:pPr>
      <w:pStyle w:val="Header"/>
      <w:tabs>
        <w:tab w:val="clear" w:pos="4320"/>
        <w:tab w:val="clear" w:pos="8640"/>
      </w:tabs>
      <w:kinsoku w:val="0"/>
      <w:overflowPunct w:val="0"/>
      <w:autoSpaceDE w:val="0"/>
      <w:autoSpaceDN w:val="0"/>
      <w:spacing w:after="240"/>
      <w:jc w:val="right"/>
      <w:rPr>
        <w:noProof/>
      </w:rPr>
    </w:pPr>
    <w:r w:rsidRPr="00B00053">
      <w:rPr>
        <w:noProof/>
      </w:rPr>
      <w:t xml:space="preserve">Page </w:t>
    </w:r>
    <w:r w:rsidRPr="00B00053">
      <w:rPr>
        <w:noProof/>
      </w:rPr>
      <w:fldChar w:fldCharType="begin"/>
    </w:r>
    <w:r w:rsidRPr="00B00053">
      <w:rPr>
        <w:noProof/>
      </w:rPr>
      <w:instrText xml:space="preserve"> PAGE   \* MERGEFORMAT </w:instrText>
    </w:r>
    <w:r w:rsidRPr="00B00053">
      <w:rPr>
        <w:noProof/>
      </w:rPr>
      <w:fldChar w:fldCharType="separate"/>
    </w:r>
    <w:r w:rsidR="00F6586C" w:rsidRPr="00B00053">
      <w:rPr>
        <w:noProof/>
      </w:rPr>
      <w:t>3</w:t>
    </w:r>
    <w:r w:rsidRPr="00B00053">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7D399" w14:textId="52707E23" w:rsidR="00005A3C" w:rsidRDefault="00005A3C" w:rsidP="00F362C4">
    <w:pPr>
      <w:pStyle w:val="Header"/>
      <w:jc w:val="left"/>
      <w:rPr>
        <w:lang w:val="en-CA"/>
      </w:rPr>
    </w:pPr>
    <w:r>
      <w:rPr>
        <w:lang w:val="en-CA"/>
      </w:rPr>
      <w:t>CBD/COP/</w:t>
    </w:r>
    <w:r w:rsidR="003A325A">
      <w:rPr>
        <w:lang w:val="en-CA"/>
      </w:rPr>
      <w:t>15/17</w:t>
    </w:r>
  </w:p>
  <w:p w14:paraId="11FDA80E" w14:textId="0CE6F8C8" w:rsidR="00005A3C" w:rsidRDefault="00005A3C" w:rsidP="0075050F">
    <w:pPr>
      <w:pStyle w:val="Header"/>
      <w:spacing w:after="240"/>
      <w:jc w:val="left"/>
    </w:pPr>
    <w:r>
      <w:rPr>
        <w:lang w:val="en-CA"/>
      </w:rPr>
      <w:t xml:space="preserve">Page </w:t>
    </w:r>
    <w:r w:rsidRPr="009C3D7D">
      <w:rPr>
        <w:lang w:val="en-CA"/>
      </w:rPr>
      <w:fldChar w:fldCharType="begin"/>
    </w:r>
    <w:r w:rsidRPr="009C3D7D">
      <w:rPr>
        <w:lang w:val="en-CA"/>
      </w:rPr>
      <w:instrText xml:space="preserve"> PAGE   \* MERGEFORMAT </w:instrText>
    </w:r>
    <w:r w:rsidRPr="009C3D7D">
      <w:rPr>
        <w:lang w:val="en-CA"/>
      </w:rPr>
      <w:fldChar w:fldCharType="separate"/>
    </w:r>
    <w:r>
      <w:rPr>
        <w:lang w:val="en-CA"/>
      </w:rPr>
      <w:t>3</w:t>
    </w:r>
    <w:r w:rsidRPr="009C3D7D">
      <w:rPr>
        <w:noProof/>
        <w:lang w:val="en-CA"/>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9DD3" w14:textId="58481E73" w:rsidR="00005A3C" w:rsidRDefault="00005A3C" w:rsidP="001163F1">
    <w:pPr>
      <w:pStyle w:val="Header"/>
      <w:jc w:val="right"/>
      <w:rPr>
        <w:lang w:val="en-CA"/>
      </w:rPr>
    </w:pPr>
    <w:r>
      <w:rPr>
        <w:lang w:val="en-CA"/>
      </w:rPr>
      <w:t>CBD/COP/</w:t>
    </w:r>
    <w:r w:rsidR="00A84B73">
      <w:rPr>
        <w:lang w:val="en-CA"/>
      </w:rPr>
      <w:t>15/17</w:t>
    </w:r>
  </w:p>
  <w:p w14:paraId="3CAB5579" w14:textId="47A36470" w:rsidR="00005A3C" w:rsidRPr="009C3D7D" w:rsidRDefault="00005A3C" w:rsidP="0075050F">
    <w:pPr>
      <w:pStyle w:val="Header"/>
      <w:spacing w:after="240"/>
      <w:jc w:val="right"/>
    </w:pPr>
    <w:r>
      <w:rPr>
        <w:lang w:val="en-CA"/>
      </w:rPr>
      <w:t xml:space="preserve">Page </w:t>
    </w:r>
    <w:r w:rsidRPr="009C3D7D">
      <w:rPr>
        <w:lang w:val="en-CA"/>
      </w:rPr>
      <w:fldChar w:fldCharType="begin"/>
    </w:r>
    <w:r w:rsidRPr="009C3D7D">
      <w:rPr>
        <w:lang w:val="en-CA"/>
      </w:rPr>
      <w:instrText xml:space="preserve"> PAGE   \* MERGEFORMAT </w:instrText>
    </w:r>
    <w:r w:rsidRPr="009C3D7D">
      <w:rPr>
        <w:lang w:val="en-CA"/>
      </w:rPr>
      <w:fldChar w:fldCharType="separate"/>
    </w:r>
    <w:r>
      <w:rPr>
        <w:noProof/>
        <w:lang w:val="en-CA"/>
      </w:rPr>
      <w:t>23</w:t>
    </w:r>
    <w:r w:rsidRPr="009C3D7D">
      <w:rPr>
        <w:noProof/>
        <w:lang w:val="en-CA"/>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0CF44" w14:textId="77777777" w:rsidR="00005A3C" w:rsidRPr="00ED1415" w:rsidRDefault="00005A3C" w:rsidP="00ED1415">
    <w:pPr>
      <w:pStyle w:val="Header"/>
      <w:jc w:val="center"/>
      <w:rPr>
        <w:b/>
        <w:bC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9483B" w14:textId="764235CE" w:rsidR="00FE6115" w:rsidRPr="00C02961" w:rsidRDefault="00000000" w:rsidP="00FF5A52">
    <w:pPr>
      <w:jc w:val="left"/>
      <w:rPr>
        <w:szCs w:val="22"/>
      </w:rPr>
    </w:pPr>
    <w:sdt>
      <w:sdtPr>
        <w:rPr>
          <w:szCs w:val="22"/>
        </w:rPr>
        <w:alias w:val="Subject"/>
        <w:tag w:val=""/>
        <w:id w:val="507871985"/>
        <w:dataBinding w:prefixMappings="xmlns:ns0='http://purl.org/dc/elements/1.1/' xmlns:ns1='http://schemas.openxmlformats.org/package/2006/metadata/core-properties' " w:xpath="/ns1:coreProperties[1]/ns0:subject[1]" w:storeItemID="{6C3C8BC8-F283-45AE-878A-BAB7291924A1}"/>
        <w:text/>
      </w:sdtPr>
      <w:sdtContent>
        <w:r w:rsidR="00FE6115">
          <w:rPr>
            <w:szCs w:val="22"/>
          </w:rPr>
          <w:t>CBD/COP/15/17</w:t>
        </w:r>
      </w:sdtContent>
    </w:sdt>
  </w:p>
  <w:p w14:paraId="0E04BC81" w14:textId="77777777" w:rsidR="00FE6115" w:rsidRPr="00FF5A52" w:rsidRDefault="00FE6115" w:rsidP="00FF5A52">
    <w:pPr>
      <w:pStyle w:val="Header"/>
      <w:keepLines/>
      <w:suppressLineNumbers/>
      <w:tabs>
        <w:tab w:val="clear" w:pos="4320"/>
        <w:tab w:val="clear" w:pos="8640"/>
      </w:tabs>
      <w:suppressAutoHyphens/>
      <w:spacing w:after="240"/>
      <w:jc w:val="left"/>
      <w:rPr>
        <w:noProof/>
        <w:kern w:val="22"/>
        <w:szCs w:val="22"/>
      </w:rPr>
    </w:pP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2</w:t>
    </w:r>
    <w:r w:rsidRPr="002913A2">
      <w:rPr>
        <w:bCs/>
        <w:noProof/>
        <w:kern w:val="22"/>
        <w:szCs w:val="22"/>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6FCD1" w14:textId="41BAF1CF" w:rsidR="00FE6115" w:rsidRPr="00C02961" w:rsidRDefault="00000000" w:rsidP="00565516">
    <w:pPr>
      <w:ind w:left="1298"/>
      <w:jc w:val="right"/>
      <w:rPr>
        <w:szCs w:val="22"/>
      </w:rPr>
    </w:pPr>
    <w:sdt>
      <w:sdtPr>
        <w:rPr>
          <w:szCs w:val="22"/>
        </w:rPr>
        <w:alias w:val="Subject"/>
        <w:tag w:val=""/>
        <w:id w:val="1045406369"/>
        <w:dataBinding w:prefixMappings="xmlns:ns0='http://purl.org/dc/elements/1.1/' xmlns:ns1='http://schemas.openxmlformats.org/package/2006/metadata/core-properties' " w:xpath="/ns1:coreProperties[1]/ns0:subject[1]" w:storeItemID="{6C3C8BC8-F283-45AE-878A-BAB7291924A1}"/>
        <w:text/>
      </w:sdtPr>
      <w:sdtContent>
        <w:r w:rsidR="00FE6115">
          <w:rPr>
            <w:szCs w:val="22"/>
          </w:rPr>
          <w:t>CBD/COP/15/17</w:t>
        </w:r>
      </w:sdtContent>
    </w:sdt>
  </w:p>
  <w:p w14:paraId="503DDC1B" w14:textId="68577895" w:rsidR="00FE6115" w:rsidRPr="002913A2" w:rsidRDefault="00FE6115" w:rsidP="00B52747">
    <w:pPr>
      <w:pStyle w:val="Header"/>
      <w:keepLines/>
      <w:suppressLineNumbers/>
      <w:tabs>
        <w:tab w:val="clear" w:pos="4320"/>
        <w:tab w:val="clear" w:pos="8640"/>
      </w:tabs>
      <w:suppressAutoHyphens/>
      <w:spacing w:after="240"/>
      <w:jc w:val="right"/>
      <w:rPr>
        <w:noProof/>
        <w:kern w:val="22"/>
        <w:szCs w:val="22"/>
      </w:rPr>
    </w:pP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3</w:t>
    </w:r>
    <w:r w:rsidRPr="002913A2">
      <w:rPr>
        <w:bCs/>
        <w:noProof/>
        <w:kern w:val="22"/>
        <w:szCs w:val="22"/>
      </w:rP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D09AD" w14:textId="77777777" w:rsidR="00982FED" w:rsidRPr="00C02961" w:rsidRDefault="00000000" w:rsidP="00FF5A52">
    <w:pPr>
      <w:jc w:val="left"/>
      <w:rPr>
        <w:szCs w:val="22"/>
      </w:rPr>
    </w:pPr>
    <w:sdt>
      <w:sdtPr>
        <w:rPr>
          <w:szCs w:val="22"/>
        </w:rPr>
        <w:alias w:val="Subject"/>
        <w:tag w:val=""/>
        <w:id w:val="2009016357"/>
        <w:dataBinding w:prefixMappings="xmlns:ns0='http://purl.org/dc/elements/1.1/' xmlns:ns1='http://schemas.openxmlformats.org/package/2006/metadata/core-properties' " w:xpath="/ns1:coreProperties[1]/ns0:subject[1]" w:storeItemID="{6C3C8BC8-F283-45AE-878A-BAB7291924A1}"/>
        <w:text/>
      </w:sdtPr>
      <w:sdtContent>
        <w:r w:rsidR="00982FED">
          <w:rPr>
            <w:szCs w:val="22"/>
          </w:rPr>
          <w:t>CBD/COP/15/17</w:t>
        </w:r>
      </w:sdtContent>
    </w:sdt>
  </w:p>
  <w:p w14:paraId="7FF909CF" w14:textId="77777777" w:rsidR="00982FED" w:rsidRPr="00FF5A52" w:rsidRDefault="00982FED" w:rsidP="00FF5A52">
    <w:pPr>
      <w:pStyle w:val="Header"/>
      <w:keepLines/>
      <w:suppressLineNumbers/>
      <w:tabs>
        <w:tab w:val="clear" w:pos="4320"/>
        <w:tab w:val="clear" w:pos="8640"/>
      </w:tabs>
      <w:suppressAutoHyphens/>
      <w:spacing w:after="240"/>
      <w:jc w:val="left"/>
      <w:rPr>
        <w:noProof/>
        <w:kern w:val="22"/>
        <w:szCs w:val="22"/>
      </w:rPr>
    </w:pP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2</w:t>
    </w:r>
    <w:r w:rsidRPr="002913A2">
      <w:rPr>
        <w:bCs/>
        <w:noProof/>
        <w:kern w:val="22"/>
        <w:szCs w:val="22"/>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kern w:val="22"/>
        <w:lang w:val="en-US"/>
      </w:rPr>
      <w:alias w:val="Subject"/>
      <w:tag w:val=""/>
      <w:id w:val="1531996536"/>
      <w:placeholder>
        <w:docPart w:val="2907B3E2C04E40E1AD329041C861F47E"/>
      </w:placeholder>
      <w:dataBinding w:prefixMappings="xmlns:ns0='http://purl.org/dc/elements/1.1/' xmlns:ns1='http://schemas.openxmlformats.org/package/2006/metadata/core-properties' " w:xpath="/ns1:coreProperties[1]/ns0:subject[1]" w:storeItemID="{6C3C8BC8-F283-45AE-878A-BAB7291924A1}"/>
      <w:text/>
    </w:sdtPr>
    <w:sdtContent>
      <w:p w14:paraId="27B84824" w14:textId="0F131312" w:rsidR="00963618" w:rsidRPr="006514DB" w:rsidRDefault="00963618" w:rsidP="00130003">
        <w:pPr>
          <w:jc w:val="left"/>
          <w:rPr>
            <w:noProof/>
            <w:kern w:val="22"/>
            <w:lang w:val="en-US"/>
          </w:rPr>
        </w:pPr>
        <w:r>
          <w:rPr>
            <w:noProof/>
            <w:kern w:val="22"/>
            <w:lang w:val="en-US"/>
          </w:rPr>
          <w:t>CBD/COP/15/17</w:t>
        </w:r>
      </w:p>
    </w:sdtContent>
  </w:sdt>
  <w:p w14:paraId="1ABA9899" w14:textId="23F85307" w:rsidR="00963618" w:rsidRPr="006514DB" w:rsidRDefault="00963618" w:rsidP="00EC587D">
    <w:pPr>
      <w:pStyle w:val="Header"/>
      <w:tabs>
        <w:tab w:val="clear" w:pos="4320"/>
        <w:tab w:val="clear" w:pos="8640"/>
      </w:tabs>
      <w:spacing w:after="240"/>
      <w:jc w:val="left"/>
      <w:rPr>
        <w:noProof/>
        <w:kern w:val="22"/>
        <w:lang w:val="en-US"/>
      </w:rPr>
    </w:pPr>
    <w:r w:rsidRPr="006514DB">
      <w:rPr>
        <w:noProof/>
        <w:kern w:val="22"/>
        <w:lang w:val="en-US"/>
      </w:rPr>
      <w:t xml:space="preserve">Page </w:t>
    </w:r>
    <w:r w:rsidRPr="003839D2">
      <w:rPr>
        <w:noProof/>
        <w:kern w:val="22"/>
      </w:rPr>
      <w:fldChar w:fldCharType="begin"/>
    </w:r>
    <w:r w:rsidRPr="006514DB">
      <w:rPr>
        <w:noProof/>
        <w:kern w:val="22"/>
        <w:lang w:val="en-US"/>
      </w:rPr>
      <w:instrText xml:space="preserve"> PAGE   \* MERGEFORMAT </w:instrText>
    </w:r>
    <w:r w:rsidRPr="003839D2">
      <w:rPr>
        <w:noProof/>
        <w:kern w:val="22"/>
      </w:rPr>
      <w:fldChar w:fldCharType="separate"/>
    </w:r>
    <w:r w:rsidRPr="006514DB">
      <w:rPr>
        <w:noProof/>
        <w:kern w:val="22"/>
        <w:lang w:val="en-US"/>
      </w:rPr>
      <w:t>2</w:t>
    </w:r>
    <w:r w:rsidRPr="003839D2">
      <w:rPr>
        <w:noProof/>
        <w:kern w:val="22"/>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D0D6" w14:textId="77777777" w:rsidR="00215B78" w:rsidRPr="00C02961" w:rsidRDefault="00000000" w:rsidP="00565516">
    <w:pPr>
      <w:ind w:left="1298"/>
      <w:jc w:val="right"/>
      <w:rPr>
        <w:szCs w:val="22"/>
      </w:rPr>
    </w:pPr>
    <w:sdt>
      <w:sdtPr>
        <w:rPr>
          <w:szCs w:val="22"/>
        </w:rPr>
        <w:alias w:val="Subject"/>
        <w:tag w:val=""/>
        <w:id w:val="-828363862"/>
        <w:dataBinding w:prefixMappings="xmlns:ns0='http://purl.org/dc/elements/1.1/' xmlns:ns1='http://schemas.openxmlformats.org/package/2006/metadata/core-properties' " w:xpath="/ns1:coreProperties[1]/ns0:subject[1]" w:storeItemID="{6C3C8BC8-F283-45AE-878A-BAB7291924A1}"/>
        <w:text/>
      </w:sdtPr>
      <w:sdtContent>
        <w:r w:rsidR="00215B78">
          <w:rPr>
            <w:szCs w:val="22"/>
          </w:rPr>
          <w:t>CBD/COP/15/17</w:t>
        </w:r>
      </w:sdtContent>
    </w:sdt>
  </w:p>
  <w:p w14:paraId="5B5766D3" w14:textId="3E29661F" w:rsidR="00215B78" w:rsidRPr="002913A2" w:rsidRDefault="00215B78" w:rsidP="00B52747">
    <w:pPr>
      <w:pStyle w:val="Header"/>
      <w:keepLines/>
      <w:suppressLineNumbers/>
      <w:tabs>
        <w:tab w:val="clear" w:pos="4320"/>
        <w:tab w:val="clear" w:pos="8640"/>
      </w:tabs>
      <w:suppressAutoHyphens/>
      <w:spacing w:after="240"/>
      <w:jc w:val="right"/>
      <w:rPr>
        <w:noProof/>
        <w:kern w:val="22"/>
        <w:szCs w:val="22"/>
      </w:rPr>
    </w:pPr>
    <w:r w:rsidRPr="002913A2">
      <w:rPr>
        <w:noProof/>
        <w:kern w:val="22"/>
        <w:szCs w:val="22"/>
      </w:rPr>
      <w:t xml:space="preserve">Page </w:t>
    </w:r>
    <w:r w:rsidRPr="002913A2">
      <w:rPr>
        <w:bCs/>
        <w:noProof/>
        <w:kern w:val="22"/>
        <w:szCs w:val="22"/>
      </w:rPr>
      <w:fldChar w:fldCharType="begin"/>
    </w:r>
    <w:r w:rsidRPr="002913A2">
      <w:rPr>
        <w:bCs/>
        <w:noProof/>
        <w:kern w:val="22"/>
        <w:szCs w:val="22"/>
      </w:rPr>
      <w:instrText xml:space="preserve"> PAGE </w:instrText>
    </w:r>
    <w:r w:rsidRPr="002913A2">
      <w:rPr>
        <w:bCs/>
        <w:noProof/>
        <w:kern w:val="22"/>
        <w:szCs w:val="22"/>
      </w:rPr>
      <w:fldChar w:fldCharType="separate"/>
    </w:r>
    <w:r>
      <w:rPr>
        <w:bCs/>
        <w:noProof/>
        <w:kern w:val="22"/>
        <w:szCs w:val="22"/>
      </w:rPr>
      <w:t>3</w:t>
    </w:r>
    <w:r w:rsidRPr="002913A2">
      <w:rPr>
        <w:bCs/>
        <w:noProof/>
        <w:kern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E060EA"/>
    <w:multiLevelType w:val="hybridMultilevel"/>
    <w:tmpl w:val="6FB8741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62473E"/>
    <w:multiLevelType w:val="hybridMultilevel"/>
    <w:tmpl w:val="92C4CF0E"/>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2F44CA"/>
    <w:multiLevelType w:val="hybridMultilevel"/>
    <w:tmpl w:val="AE00CBE2"/>
    <w:lvl w:ilvl="0" w:tplc="8C040868">
      <w:start w:val="1"/>
      <w:numFmt w:val="decimal"/>
      <w:lvlText w:val="%1."/>
      <w:lvlJc w:val="left"/>
      <w:pPr>
        <w:ind w:left="720" w:hanging="360"/>
      </w:pPr>
      <w:rPr>
        <w:rFonts w:hAnsi="Arial Unicode MS" w:hint="default"/>
        <w:caps w:val="0"/>
        <w:smallCaps w:val="0"/>
        <w:strike w:val="0"/>
        <w:dstrike w:val="0"/>
        <w:outline w:val="0"/>
        <w:emboss w:val="0"/>
        <w:imprint w:val="0"/>
        <w:spacing w:val="0"/>
        <w:w w:val="100"/>
        <w:kern w:val="0"/>
        <w:position w:val="0"/>
        <w:vertAlign w:val="baseli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35E5CF3"/>
    <w:multiLevelType w:val="hybridMultilevel"/>
    <w:tmpl w:val="403242A0"/>
    <w:lvl w:ilvl="0" w:tplc="CAB40D4C">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772E14"/>
    <w:multiLevelType w:val="hybridMultilevel"/>
    <w:tmpl w:val="5AFE48E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FD1DD0"/>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092577FE"/>
    <w:multiLevelType w:val="hybridMultilevel"/>
    <w:tmpl w:val="24763872"/>
    <w:styleLink w:val="6"/>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A1F0A47"/>
    <w:multiLevelType w:val="hybridMultilevel"/>
    <w:tmpl w:val="EC16B13C"/>
    <w:lvl w:ilvl="0" w:tplc="0AF6E372">
      <w:start w:val="3"/>
      <w:numFmt w:val="decimal"/>
      <w:lvlText w:val="%1."/>
      <w:lvlJc w:val="left"/>
      <w:pPr>
        <w:ind w:left="720" w:hanging="360"/>
      </w:pPr>
      <w:rPr>
        <w:rFonts w:ascii="Times New Roman" w:eastAsiaTheme="minorHAnsi"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F82E7B"/>
    <w:multiLevelType w:val="hybridMultilevel"/>
    <w:tmpl w:val="E0187D80"/>
    <w:styleLink w:val="1"/>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0D4417EB"/>
    <w:multiLevelType w:val="hybridMultilevel"/>
    <w:tmpl w:val="7D8AA190"/>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E3E464E0">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0DD54B78"/>
    <w:multiLevelType w:val="multilevel"/>
    <w:tmpl w:val="0DD54B78"/>
    <w:lvl w:ilvl="0">
      <w:start w:val="1"/>
      <w:numFmt w:val="decimal"/>
      <w:pStyle w:val="Para"/>
      <w:lvlText w:val="%1."/>
      <w:lvlJc w:val="left"/>
      <w:pPr>
        <w:tabs>
          <w:tab w:val="left" w:pos="360"/>
        </w:tabs>
        <w:ind w:left="0"/>
      </w:pPr>
    </w:lvl>
    <w:lvl w:ilvl="1">
      <w:start w:val="1"/>
      <w:numFmt w:val="lowerLetter"/>
      <w:lvlText w:val="(%2)"/>
      <w:lvlJc w:val="left"/>
      <w:pPr>
        <w:tabs>
          <w:tab w:val="left" w:pos="1080"/>
        </w:tabs>
        <w:ind w:left="720"/>
      </w:pPr>
    </w:lvl>
    <w:lvl w:ilvl="2">
      <w:start w:val="1"/>
      <w:numFmt w:val="lowerRoman"/>
      <w:lvlText w:val="(%3)"/>
      <w:lvlJc w:val="left"/>
      <w:pPr>
        <w:tabs>
          <w:tab w:val="left" w:pos="2160"/>
        </w:tabs>
        <w:ind w:left="1440"/>
      </w:pPr>
    </w:lvl>
    <w:lvl w:ilvl="3">
      <w:start w:val="1"/>
      <w:numFmt w:val="lowerLetter"/>
      <w:lvlText w:val="%4."/>
      <w:lvlJc w:val="left"/>
      <w:pPr>
        <w:tabs>
          <w:tab w:val="left" w:pos="2520"/>
        </w:tabs>
        <w:ind w:left="2160"/>
      </w:pPr>
    </w:lvl>
    <w:lvl w:ilvl="4">
      <w:start w:val="1"/>
      <w:numFmt w:val="lowerRoman"/>
      <w:lvlText w:val="%5."/>
      <w:lvlJc w:val="left"/>
      <w:pPr>
        <w:tabs>
          <w:tab w:val="left" w:pos="3600"/>
        </w:tabs>
        <w:ind w:left="2880"/>
      </w:pPr>
    </w:lvl>
    <w:lvl w:ilvl="5">
      <w:start w:val="1"/>
      <w:numFmt w:val="lowerRoman"/>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lowerLetter"/>
      <w:lvlText w:val="%8."/>
      <w:lvlJc w:val="left"/>
      <w:pPr>
        <w:tabs>
          <w:tab w:val="left" w:pos="2880"/>
        </w:tabs>
        <w:ind w:left="2880" w:hanging="360"/>
      </w:pPr>
    </w:lvl>
    <w:lvl w:ilvl="8">
      <w:start w:val="1"/>
      <w:numFmt w:val="lowerRoman"/>
      <w:lvlText w:val="%9."/>
      <w:lvlJc w:val="left"/>
      <w:pPr>
        <w:tabs>
          <w:tab w:val="left" w:pos="3240"/>
        </w:tabs>
        <w:ind w:left="3240" w:hanging="360"/>
      </w:pPr>
    </w:lvl>
  </w:abstractNum>
  <w:abstractNum w:abstractNumId="11" w15:restartNumberingAfterBreak="0">
    <w:nsid w:val="0FA267D8"/>
    <w:multiLevelType w:val="multilevel"/>
    <w:tmpl w:val="0FA267D8"/>
    <w:lvl w:ilvl="0">
      <w:start w:val="1"/>
      <w:numFmt w:val="decimal"/>
      <w:lvlText w:val="%1."/>
      <w:lvlJc w:val="left"/>
      <w:pPr>
        <w:tabs>
          <w:tab w:val="left" w:pos="360"/>
        </w:tabs>
        <w:ind w:left="0" w:firstLine="0"/>
      </w:pPr>
      <w:rPr>
        <w:rFonts w:ascii="Times New Roman" w:hAnsi="Times New Roman" w:cs="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numFmt w:val="decimal"/>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b w:val="0"/>
        <w:bCs/>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2" w15:restartNumberingAfterBreak="0">
    <w:nsid w:val="15477439"/>
    <w:multiLevelType w:val="multilevel"/>
    <w:tmpl w:val="15477439"/>
    <w:lvl w:ilvl="0">
      <w:start w:val="1"/>
      <w:numFmt w:val="lowerRoman"/>
      <w:pStyle w:val="para10"/>
      <w:lvlText w:val="(%1)"/>
      <w:lvlJc w:val="right"/>
      <w:pPr>
        <w:ind w:left="1800" w:hanging="360"/>
      </w:pPr>
      <w:rPr>
        <w:rFonts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3"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6D06DAD"/>
    <w:multiLevelType w:val="hybridMultilevel"/>
    <w:tmpl w:val="19764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8D0470DA">
      <w:start w:val="1"/>
      <w:numFmt w:val="lowerRoman"/>
      <w:lvlText w:val="(%3)"/>
      <w:lvlJc w:val="right"/>
      <w:pPr>
        <w:ind w:left="14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73D2C2E"/>
    <w:multiLevelType w:val="hybridMultilevel"/>
    <w:tmpl w:val="BEA8E432"/>
    <w:lvl w:ilvl="0" w:tplc="EEC6A8DC">
      <w:start w:val="1"/>
      <w:numFmt w:val="decimal"/>
      <w:lvlText w:val="%1."/>
      <w:lvlJc w:val="left"/>
      <w:pPr>
        <w:ind w:left="1417" w:hanging="360"/>
      </w:pPr>
      <w:rPr>
        <w:i w:val="0"/>
        <w:iCs w:val="0"/>
      </w:rPr>
    </w:lvl>
    <w:lvl w:ilvl="1" w:tplc="04090019" w:tentative="1">
      <w:start w:val="1"/>
      <w:numFmt w:val="lowerLetter"/>
      <w:lvlText w:val="%2."/>
      <w:lvlJc w:val="left"/>
      <w:pPr>
        <w:ind w:left="2137" w:hanging="360"/>
      </w:pPr>
    </w:lvl>
    <w:lvl w:ilvl="2" w:tplc="0409001B" w:tentative="1">
      <w:start w:val="1"/>
      <w:numFmt w:val="lowerRoman"/>
      <w:lvlText w:val="%3."/>
      <w:lvlJc w:val="right"/>
      <w:pPr>
        <w:ind w:left="2857" w:hanging="180"/>
      </w:pPr>
    </w:lvl>
    <w:lvl w:ilvl="3" w:tplc="0409000F" w:tentative="1">
      <w:start w:val="1"/>
      <w:numFmt w:val="decimal"/>
      <w:lvlText w:val="%4."/>
      <w:lvlJc w:val="left"/>
      <w:pPr>
        <w:ind w:left="3577" w:hanging="360"/>
      </w:pPr>
    </w:lvl>
    <w:lvl w:ilvl="4" w:tplc="04090019" w:tentative="1">
      <w:start w:val="1"/>
      <w:numFmt w:val="lowerLetter"/>
      <w:lvlText w:val="%5."/>
      <w:lvlJc w:val="left"/>
      <w:pPr>
        <w:ind w:left="4297" w:hanging="360"/>
      </w:pPr>
    </w:lvl>
    <w:lvl w:ilvl="5" w:tplc="0409001B" w:tentative="1">
      <w:start w:val="1"/>
      <w:numFmt w:val="lowerRoman"/>
      <w:lvlText w:val="%6."/>
      <w:lvlJc w:val="right"/>
      <w:pPr>
        <w:ind w:left="5017" w:hanging="180"/>
      </w:pPr>
    </w:lvl>
    <w:lvl w:ilvl="6" w:tplc="0409000F" w:tentative="1">
      <w:start w:val="1"/>
      <w:numFmt w:val="decimal"/>
      <w:lvlText w:val="%7."/>
      <w:lvlJc w:val="left"/>
      <w:pPr>
        <w:ind w:left="5737" w:hanging="360"/>
      </w:pPr>
    </w:lvl>
    <w:lvl w:ilvl="7" w:tplc="04090019" w:tentative="1">
      <w:start w:val="1"/>
      <w:numFmt w:val="lowerLetter"/>
      <w:lvlText w:val="%8."/>
      <w:lvlJc w:val="left"/>
      <w:pPr>
        <w:ind w:left="6457" w:hanging="360"/>
      </w:pPr>
    </w:lvl>
    <w:lvl w:ilvl="8" w:tplc="0409001B" w:tentative="1">
      <w:start w:val="1"/>
      <w:numFmt w:val="lowerRoman"/>
      <w:lvlText w:val="%9."/>
      <w:lvlJc w:val="right"/>
      <w:pPr>
        <w:ind w:left="7177" w:hanging="180"/>
      </w:pPr>
    </w:lvl>
  </w:abstractNum>
  <w:abstractNum w:abstractNumId="16" w15:restartNumberingAfterBreak="0">
    <w:nsid w:val="17E42D3E"/>
    <w:multiLevelType w:val="hybridMultilevel"/>
    <w:tmpl w:val="8E5AAC42"/>
    <w:lvl w:ilvl="0" w:tplc="FFFFFFFF">
      <w:start w:val="1"/>
      <w:numFmt w:val="lowerLetter"/>
      <w:lvlText w:val="(%1)"/>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533032"/>
    <w:multiLevelType w:val="hybridMultilevel"/>
    <w:tmpl w:val="76A287A6"/>
    <w:lvl w:ilvl="0" w:tplc="817E4DA4">
      <w:start w:val="1"/>
      <w:numFmt w:val="decimal"/>
      <w:lvlText w:val="%1."/>
      <w:lvlJc w:val="left"/>
      <w:pPr>
        <w:ind w:left="720" w:hanging="360"/>
      </w:pPr>
      <w:rPr>
        <w:rFonts w:ascii="Times New Roman" w:eastAsiaTheme="minorHAnsi" w:hAnsi="Times New Roman" w:cs="Times New Roman" w:hint="default"/>
        <w:i w:val="0"/>
        <w:i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1DBD1D07"/>
    <w:multiLevelType w:val="hybridMultilevel"/>
    <w:tmpl w:val="8DEAA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9D343A"/>
    <w:multiLevelType w:val="multilevel"/>
    <w:tmpl w:val="1E9D343A"/>
    <w:lvl w:ilvl="0">
      <w:start w:val="1"/>
      <w:numFmt w:val="lowerLetter"/>
      <w:lvlText w:val="(%1)"/>
      <w:lvlJc w:val="left"/>
      <w:pPr>
        <w:tabs>
          <w:tab w:val="left" w:pos="720"/>
        </w:tabs>
        <w:ind w:left="720" w:hanging="360"/>
      </w:pPr>
      <w:rPr>
        <w:rFonts w:asciiTheme="majorBidi" w:eastAsia="Times New Roman" w:hAnsiTheme="majorBidi" w:cstheme="majorBidi"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7757D6E"/>
    <w:multiLevelType w:val="hybridMultilevel"/>
    <w:tmpl w:val="71A66FD0"/>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91F3A3F"/>
    <w:multiLevelType w:val="hybridMultilevel"/>
    <w:tmpl w:val="30243390"/>
    <w:lvl w:ilvl="0" w:tplc="8F486A42">
      <w:start w:val="1"/>
      <w:numFmt w:val="decimal"/>
      <w:lvlText w:val="%1."/>
      <w:lvlJc w:val="left"/>
      <w:pPr>
        <w:ind w:left="1571" w:hanging="360"/>
      </w:pPr>
      <w:rPr>
        <w:rFonts w:hAnsi="Arial Unicode MS" w:hint="default"/>
        <w:b w:val="0"/>
        <w:bCs w:val="0"/>
        <w:i w:val="0"/>
        <w:iCs w:val="0"/>
        <w:caps w:val="0"/>
        <w:smallCaps w:val="0"/>
        <w:strike w:val="0"/>
        <w:dstrike w:val="0"/>
        <w:outline w:val="0"/>
        <w:emboss w:val="0"/>
        <w:imprint w:val="0"/>
        <w:spacing w:val="0"/>
        <w:w w:val="100"/>
        <w:kern w:val="0"/>
        <w:position w:val="0"/>
        <w:vertAlign w:val="baseline"/>
      </w:rPr>
    </w:lvl>
    <w:lvl w:ilvl="1" w:tplc="10090019">
      <w:start w:val="1"/>
      <w:numFmt w:val="lowerLetter"/>
      <w:lvlText w:val="%2."/>
      <w:lvlJc w:val="left"/>
      <w:pPr>
        <w:ind w:left="2291" w:hanging="360"/>
      </w:pPr>
    </w:lvl>
    <w:lvl w:ilvl="2" w:tplc="1009001B" w:tentative="1">
      <w:start w:val="1"/>
      <w:numFmt w:val="lowerRoman"/>
      <w:lvlText w:val="%3."/>
      <w:lvlJc w:val="right"/>
      <w:pPr>
        <w:ind w:left="3011" w:hanging="180"/>
      </w:pPr>
    </w:lvl>
    <w:lvl w:ilvl="3" w:tplc="1009000F" w:tentative="1">
      <w:start w:val="1"/>
      <w:numFmt w:val="decimal"/>
      <w:lvlText w:val="%4."/>
      <w:lvlJc w:val="left"/>
      <w:pPr>
        <w:ind w:left="3731" w:hanging="360"/>
      </w:pPr>
    </w:lvl>
    <w:lvl w:ilvl="4" w:tplc="10090019" w:tentative="1">
      <w:start w:val="1"/>
      <w:numFmt w:val="lowerLetter"/>
      <w:lvlText w:val="%5."/>
      <w:lvlJc w:val="left"/>
      <w:pPr>
        <w:ind w:left="4451" w:hanging="360"/>
      </w:pPr>
    </w:lvl>
    <w:lvl w:ilvl="5" w:tplc="1009001B" w:tentative="1">
      <w:start w:val="1"/>
      <w:numFmt w:val="lowerRoman"/>
      <w:lvlText w:val="%6."/>
      <w:lvlJc w:val="right"/>
      <w:pPr>
        <w:ind w:left="5171" w:hanging="180"/>
      </w:pPr>
    </w:lvl>
    <w:lvl w:ilvl="6" w:tplc="1009000F" w:tentative="1">
      <w:start w:val="1"/>
      <w:numFmt w:val="decimal"/>
      <w:lvlText w:val="%7."/>
      <w:lvlJc w:val="left"/>
      <w:pPr>
        <w:ind w:left="5891" w:hanging="360"/>
      </w:pPr>
    </w:lvl>
    <w:lvl w:ilvl="7" w:tplc="10090019" w:tentative="1">
      <w:start w:val="1"/>
      <w:numFmt w:val="lowerLetter"/>
      <w:lvlText w:val="%8."/>
      <w:lvlJc w:val="left"/>
      <w:pPr>
        <w:ind w:left="6611" w:hanging="360"/>
      </w:pPr>
    </w:lvl>
    <w:lvl w:ilvl="8" w:tplc="1009001B" w:tentative="1">
      <w:start w:val="1"/>
      <w:numFmt w:val="lowerRoman"/>
      <w:lvlText w:val="%9."/>
      <w:lvlJc w:val="right"/>
      <w:pPr>
        <w:ind w:left="7331" w:hanging="180"/>
      </w:pPr>
    </w:lvl>
  </w:abstractNum>
  <w:abstractNum w:abstractNumId="27" w15:restartNumberingAfterBreak="0">
    <w:nsid w:val="29780B97"/>
    <w:multiLevelType w:val="hybridMultilevel"/>
    <w:tmpl w:val="AE209DFE"/>
    <w:styleLink w:val="2"/>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C92250A"/>
    <w:multiLevelType w:val="multilevel"/>
    <w:tmpl w:val="2C92250A"/>
    <w:lvl w:ilvl="0">
      <w:start w:val="1"/>
      <w:numFmt w:val="decimal"/>
      <w:pStyle w:val="StylePara1Before0pt"/>
      <w:lvlText w:val="%1."/>
      <w:lvlJc w:val="left"/>
      <w:pPr>
        <w:tabs>
          <w:tab w:val="left" w:pos="1080"/>
        </w:tabs>
        <w:ind w:left="1080" w:hanging="360"/>
      </w:pPr>
    </w:lvl>
    <w:lvl w:ilvl="1">
      <w:start w:val="1"/>
      <w:numFmt w:val="bullet"/>
      <w:lvlText w:val="o"/>
      <w:lvlJc w:val="left"/>
      <w:pPr>
        <w:tabs>
          <w:tab w:val="left" w:pos="1800"/>
        </w:tabs>
        <w:ind w:left="1800" w:hanging="360"/>
      </w:pPr>
      <w:rPr>
        <w:rFonts w:ascii="Courier New" w:hAnsi="Courier New" w:hint="default"/>
      </w:rPr>
    </w:lvl>
    <w:lvl w:ilvl="2">
      <w:start w:val="1"/>
      <w:numFmt w:val="bullet"/>
      <w:lvlText w:val=""/>
      <w:lvlJc w:val="left"/>
      <w:pPr>
        <w:tabs>
          <w:tab w:val="left" w:pos="2520"/>
        </w:tabs>
        <w:ind w:left="2520" w:hanging="360"/>
      </w:pPr>
      <w:rPr>
        <w:rFonts w:ascii="Wingdings" w:hAnsi="Wingdings" w:hint="default"/>
      </w:rPr>
    </w:lvl>
    <w:lvl w:ilvl="3">
      <w:start w:val="1"/>
      <w:numFmt w:val="bullet"/>
      <w:lvlText w:val=""/>
      <w:lvlJc w:val="left"/>
      <w:pPr>
        <w:tabs>
          <w:tab w:val="left" w:pos="3240"/>
        </w:tabs>
        <w:ind w:left="3240" w:hanging="360"/>
      </w:pPr>
      <w:rPr>
        <w:rFonts w:ascii="Symbol" w:hAnsi="Symbol" w:hint="default"/>
      </w:rPr>
    </w:lvl>
    <w:lvl w:ilvl="4">
      <w:start w:val="1"/>
      <w:numFmt w:val="bullet"/>
      <w:lvlText w:val="o"/>
      <w:lvlJc w:val="left"/>
      <w:pPr>
        <w:tabs>
          <w:tab w:val="left" w:pos="3960"/>
        </w:tabs>
        <w:ind w:left="3960" w:hanging="360"/>
      </w:pPr>
      <w:rPr>
        <w:rFonts w:ascii="Courier New" w:hAnsi="Courier New" w:hint="default"/>
      </w:rPr>
    </w:lvl>
    <w:lvl w:ilvl="5">
      <w:start w:val="1"/>
      <w:numFmt w:val="bullet"/>
      <w:lvlText w:val=""/>
      <w:lvlJc w:val="left"/>
      <w:pPr>
        <w:tabs>
          <w:tab w:val="left" w:pos="4680"/>
        </w:tabs>
        <w:ind w:left="4680" w:hanging="360"/>
      </w:pPr>
      <w:rPr>
        <w:rFonts w:ascii="Wingdings" w:hAnsi="Wingdings" w:hint="default"/>
      </w:rPr>
    </w:lvl>
    <w:lvl w:ilvl="6">
      <w:start w:val="1"/>
      <w:numFmt w:val="bullet"/>
      <w:lvlText w:val=""/>
      <w:lvlJc w:val="left"/>
      <w:pPr>
        <w:tabs>
          <w:tab w:val="left" w:pos="5400"/>
        </w:tabs>
        <w:ind w:left="5400" w:hanging="360"/>
      </w:pPr>
      <w:rPr>
        <w:rFonts w:ascii="Symbol" w:hAnsi="Symbol" w:hint="default"/>
      </w:rPr>
    </w:lvl>
    <w:lvl w:ilvl="7">
      <w:start w:val="1"/>
      <w:numFmt w:val="bullet"/>
      <w:lvlText w:val="o"/>
      <w:lvlJc w:val="left"/>
      <w:pPr>
        <w:tabs>
          <w:tab w:val="left" w:pos="6120"/>
        </w:tabs>
        <w:ind w:left="6120" w:hanging="360"/>
      </w:pPr>
      <w:rPr>
        <w:rFonts w:ascii="Courier New" w:hAnsi="Courier New" w:hint="default"/>
      </w:rPr>
    </w:lvl>
    <w:lvl w:ilvl="8">
      <w:start w:val="1"/>
      <w:numFmt w:val="bullet"/>
      <w:lvlText w:val=""/>
      <w:lvlJc w:val="left"/>
      <w:pPr>
        <w:tabs>
          <w:tab w:val="left" w:pos="6840"/>
        </w:tabs>
        <w:ind w:left="6840" w:hanging="360"/>
      </w:pPr>
      <w:rPr>
        <w:rFonts w:ascii="Wingdings" w:hAnsi="Wingdings" w:hint="default"/>
      </w:rPr>
    </w:lvl>
  </w:abstractNum>
  <w:abstractNum w:abstractNumId="29" w15:restartNumberingAfterBreak="0">
    <w:nsid w:val="2D555BB3"/>
    <w:multiLevelType w:val="hybridMultilevel"/>
    <w:tmpl w:val="30E8911A"/>
    <w:lvl w:ilvl="0" w:tplc="DC86A94E">
      <w:start w:val="1"/>
      <w:numFmt w:val="decimal"/>
      <w:lvlText w:val="%1."/>
      <w:lvlJc w:val="left"/>
      <w:pPr>
        <w:ind w:left="720" w:hanging="360"/>
      </w:pPr>
      <w:rPr>
        <w:i w:val="0"/>
        <w:iCs/>
      </w:rPr>
    </w:lvl>
    <w:lvl w:ilvl="1" w:tplc="015210E6">
      <w:start w:val="1"/>
      <w:numFmt w:val="lowerLetter"/>
      <w:lvlText w:val="(%2)"/>
      <w:lvlJc w:val="left"/>
      <w:pPr>
        <w:ind w:left="1440" w:hanging="360"/>
      </w:pPr>
      <w:rPr>
        <w:rFonts w:hint="default"/>
        <w:b w:val="0"/>
        <w:bCs/>
        <w:i w:val="0"/>
        <w:i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2F0336B8"/>
    <w:multiLevelType w:val="multilevel"/>
    <w:tmpl w:val="50F681C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b w:val="0"/>
        <w:bCs/>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1" w15:restartNumberingAfterBreak="0">
    <w:nsid w:val="2F370C65"/>
    <w:multiLevelType w:val="hybridMultilevel"/>
    <w:tmpl w:val="68201F22"/>
    <w:lvl w:ilvl="0" w:tplc="32FEA4F2">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F9C1E3D"/>
    <w:multiLevelType w:val="hybridMultilevel"/>
    <w:tmpl w:val="662C2F56"/>
    <w:lvl w:ilvl="0" w:tplc="8D0470DA">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3049288F"/>
    <w:multiLevelType w:val="hybridMultilevel"/>
    <w:tmpl w:val="8616829C"/>
    <w:lvl w:ilvl="0" w:tplc="FFFFFFFF">
      <w:start w:val="1"/>
      <w:numFmt w:val="decimal"/>
      <w:lvlText w:val="%1."/>
      <w:lvlJc w:val="left"/>
      <w:pPr>
        <w:ind w:left="720" w:hanging="360"/>
      </w:pPr>
    </w:lvl>
    <w:lvl w:ilvl="1" w:tplc="8D0470DA">
      <w:start w:val="1"/>
      <w:numFmt w:val="lowerRoman"/>
      <w:lvlText w:val="(%2)"/>
      <w:lvlJc w:val="right"/>
      <w:pPr>
        <w:ind w:left="144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33E80680"/>
    <w:multiLevelType w:val="hybridMultilevel"/>
    <w:tmpl w:val="338E2D3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7"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3A7903BE"/>
    <w:multiLevelType w:val="hybridMultilevel"/>
    <w:tmpl w:val="C688C35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B282B0E"/>
    <w:multiLevelType w:val="hybridMultilevel"/>
    <w:tmpl w:val="E690AF2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3BA85260"/>
    <w:multiLevelType w:val="hybridMultilevel"/>
    <w:tmpl w:val="FF842C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2" w15:restartNumberingAfterBreak="0">
    <w:nsid w:val="3CE27D9C"/>
    <w:multiLevelType w:val="multilevel"/>
    <w:tmpl w:val="3D3A328A"/>
    <w:lvl w:ilvl="0">
      <w:start w:val="1"/>
      <w:numFmt w:val="lowerLetter"/>
      <w:lvlText w:val="(%1)"/>
      <w:lvlJc w:val="left"/>
      <w:pPr>
        <w:ind w:left="1211" w:hanging="360"/>
      </w:pPr>
      <w:rPr>
        <w:rFonts w:asciiTheme="majorBidi" w:eastAsia="Times New Roman" w:hAnsiTheme="majorBidi" w:cstheme="majorBidi"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3"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4B34F63"/>
    <w:multiLevelType w:val="multilevel"/>
    <w:tmpl w:val="44B34F63"/>
    <w:lvl w:ilvl="0">
      <w:start w:val="1"/>
      <w:numFmt w:val="decimal"/>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5"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6"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45E8105F"/>
    <w:multiLevelType w:val="hybridMultilevel"/>
    <w:tmpl w:val="85E41C6E"/>
    <w:lvl w:ilvl="0" w:tplc="7A569CDE">
      <w:start w:val="5"/>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4A2C3509"/>
    <w:multiLevelType w:val="hybridMultilevel"/>
    <w:tmpl w:val="9956EE4C"/>
    <w:lvl w:ilvl="0" w:tplc="8D0470DA">
      <w:start w:val="1"/>
      <w:numFmt w:val="lowerRoman"/>
      <w:lvlText w:val="(%1)"/>
      <w:lvlJc w:val="righ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1"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CEC47DB"/>
    <w:multiLevelType w:val="hybridMultilevel"/>
    <w:tmpl w:val="D5166BEA"/>
    <w:lvl w:ilvl="0" w:tplc="FEAE2210">
      <w:start w:val="1"/>
      <w:numFmt w:val="lowerLetter"/>
      <w:lvlText w:val="(%1)"/>
      <w:lvlJc w:val="left"/>
      <w:pPr>
        <w:ind w:left="1440" w:hanging="360"/>
      </w:pPr>
      <w:rPr>
        <w:rFonts w:hAnsi="Arial Unicode MS" w:hint="default"/>
        <w:caps w:val="0"/>
        <w:smallCaps w:val="0"/>
        <w:strike w:val="0"/>
        <w:dstrike w:val="0"/>
        <w:outline w:val="0"/>
        <w:emboss w:val="0"/>
        <w:imprint w:val="0"/>
        <w:spacing w:val="0"/>
        <w:w w:val="100"/>
        <w:kern w:val="0"/>
        <w:position w:val="0"/>
        <w:vertAlign w:val="baseline"/>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53" w15:restartNumberingAfterBreak="0">
    <w:nsid w:val="4CF22076"/>
    <w:multiLevelType w:val="multilevel"/>
    <w:tmpl w:val="4CF22076"/>
    <w:lvl w:ilvl="0">
      <w:start w:val="1"/>
      <w:numFmt w:val="lowerLetter"/>
      <w:lvlText w:val="(%1)"/>
      <w:lvlJc w:val="left"/>
      <w:pPr>
        <w:ind w:left="2160" w:hanging="72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5" w15:restartNumberingAfterBreak="0">
    <w:nsid w:val="4F8F6B92"/>
    <w:multiLevelType w:val="hybridMultilevel"/>
    <w:tmpl w:val="0DD64B42"/>
    <w:lvl w:ilvl="0" w:tplc="FFFFFFFF">
      <w:start w:val="28"/>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4F9D7C9B"/>
    <w:multiLevelType w:val="hybridMultilevel"/>
    <w:tmpl w:val="55AC0A40"/>
    <w:lvl w:ilvl="0" w:tplc="069291EE">
      <w:start w:val="1"/>
      <w:numFmt w:val="lowerLetter"/>
      <w:lvlText w:val="(%1)"/>
      <w:lvlJc w:val="left"/>
      <w:pPr>
        <w:ind w:left="720" w:hanging="360"/>
      </w:pPr>
      <w:rPr>
        <w:rFonts w:asciiTheme="majorBidi" w:eastAsia="Times New Roman"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9" w15:restartNumberingAfterBreak="0">
    <w:nsid w:val="52A66A9D"/>
    <w:multiLevelType w:val="multilevel"/>
    <w:tmpl w:val="76C4CAFC"/>
    <w:styleLink w:val="Normallist"/>
    <w:lvl w:ilvl="0">
      <w:start w:val="1"/>
      <w:numFmt w:val="decimal"/>
      <w:pStyle w:val="Normalnumber"/>
      <w:lvlText w:val="%1."/>
      <w:lvlJc w:val="left"/>
      <w:pPr>
        <w:tabs>
          <w:tab w:val="num" w:pos="568"/>
        </w:tabs>
        <w:ind w:left="1248" w:firstLine="0"/>
      </w:pPr>
    </w:lvl>
    <w:lvl w:ilvl="1">
      <w:start w:val="1"/>
      <w:numFmt w:val="lowerLetter"/>
      <w:lvlText w:val="(%2)"/>
      <w:lvlJc w:val="left"/>
      <w:pPr>
        <w:tabs>
          <w:tab w:val="num" w:pos="568"/>
        </w:tabs>
        <w:ind w:left="1248" w:firstLine="567"/>
      </w:pPr>
    </w:lvl>
    <w:lvl w:ilvl="2">
      <w:start w:val="1"/>
      <w:numFmt w:val="lowerRoman"/>
      <w:lvlText w:val="(%3)"/>
      <w:lvlJc w:val="left"/>
      <w:pPr>
        <w:tabs>
          <w:tab w:val="num" w:pos="568"/>
        </w:tabs>
        <w:ind w:left="2949" w:hanging="567"/>
      </w:pPr>
    </w:lvl>
    <w:lvl w:ilvl="3">
      <w:start w:val="1"/>
      <w:numFmt w:val="lowerLetter"/>
      <w:lvlText w:val="%4."/>
      <w:lvlJc w:val="left"/>
      <w:pPr>
        <w:tabs>
          <w:tab w:val="num" w:pos="568"/>
        </w:tabs>
        <w:ind w:left="3516" w:hanging="567"/>
      </w:pPr>
    </w:lvl>
    <w:lvl w:ilvl="4">
      <w:start w:val="1"/>
      <w:numFmt w:val="lowerRoman"/>
      <w:lvlText w:val="%5."/>
      <w:lvlJc w:val="left"/>
      <w:pPr>
        <w:tabs>
          <w:tab w:val="num" w:pos="568"/>
        </w:tabs>
        <w:ind w:left="4083" w:hanging="567"/>
      </w:pPr>
    </w:lvl>
    <w:lvl w:ilvl="5">
      <w:start w:val="1"/>
      <w:numFmt w:val="lowerRoman"/>
      <w:lvlText w:val="%6."/>
      <w:lvlJc w:val="right"/>
      <w:pPr>
        <w:tabs>
          <w:tab w:val="num" w:pos="7836"/>
        </w:tabs>
        <w:ind w:left="7836" w:hanging="180"/>
      </w:pPr>
    </w:lvl>
    <w:lvl w:ilvl="6">
      <w:start w:val="1"/>
      <w:numFmt w:val="decimal"/>
      <w:lvlText w:val="%7."/>
      <w:lvlJc w:val="left"/>
      <w:pPr>
        <w:tabs>
          <w:tab w:val="num" w:pos="8556"/>
        </w:tabs>
        <w:ind w:left="8556" w:hanging="360"/>
      </w:pPr>
    </w:lvl>
    <w:lvl w:ilvl="7">
      <w:start w:val="1"/>
      <w:numFmt w:val="lowerLetter"/>
      <w:lvlText w:val="%8."/>
      <w:lvlJc w:val="left"/>
      <w:pPr>
        <w:tabs>
          <w:tab w:val="num" w:pos="9276"/>
        </w:tabs>
        <w:ind w:left="9276" w:hanging="360"/>
      </w:pPr>
    </w:lvl>
    <w:lvl w:ilvl="8">
      <w:start w:val="1"/>
      <w:numFmt w:val="lowerRoman"/>
      <w:lvlText w:val="%9."/>
      <w:lvlJc w:val="right"/>
      <w:pPr>
        <w:tabs>
          <w:tab w:val="num" w:pos="9996"/>
        </w:tabs>
        <w:ind w:left="9996" w:hanging="180"/>
      </w:pPr>
    </w:lvl>
  </w:abstractNum>
  <w:abstractNum w:abstractNumId="60"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2" w15:restartNumberingAfterBreak="0">
    <w:nsid w:val="585C0938"/>
    <w:multiLevelType w:val="hybridMultilevel"/>
    <w:tmpl w:val="87065BDE"/>
    <w:lvl w:ilvl="0" w:tplc="FFFFFFFF">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B1C08D9"/>
    <w:multiLevelType w:val="hybridMultilevel"/>
    <w:tmpl w:val="437C5FD2"/>
    <w:lvl w:ilvl="0" w:tplc="E3E464E0">
      <w:start w:val="1"/>
      <w:numFmt w:val="lowerLetter"/>
      <w:lvlText w:val="(%1)"/>
      <w:lvlJc w:val="left"/>
      <w:pPr>
        <w:ind w:left="144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5"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7" w15:restartNumberingAfterBreak="0">
    <w:nsid w:val="620D6AEB"/>
    <w:multiLevelType w:val="multilevel"/>
    <w:tmpl w:val="1DAE21E8"/>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68"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0"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1"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30B47A7"/>
    <w:multiLevelType w:val="hybridMultilevel"/>
    <w:tmpl w:val="97980C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6C64FD5"/>
    <w:multiLevelType w:val="hybridMultilevel"/>
    <w:tmpl w:val="CDA49B14"/>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AC363BD"/>
    <w:multiLevelType w:val="multilevel"/>
    <w:tmpl w:val="CDB8A44A"/>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rPr>
        <w:b w:val="0"/>
        <w:bCs w:val="0"/>
        <w:i w:val="0"/>
        <w:iCs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8" w15:restartNumberingAfterBreak="0">
    <w:nsid w:val="7B7C0D2E"/>
    <w:multiLevelType w:val="hybridMultilevel"/>
    <w:tmpl w:val="9CE81EDC"/>
    <w:styleLink w:val="8"/>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7D5E5E13"/>
    <w:multiLevelType w:val="hybridMultilevel"/>
    <w:tmpl w:val="87065B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E55565B"/>
    <w:multiLevelType w:val="hybridMultilevel"/>
    <w:tmpl w:val="0EA4FA9C"/>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83074022">
    <w:abstractNumId w:val="30"/>
  </w:num>
  <w:num w:numId="2" w16cid:durableId="783042772">
    <w:abstractNumId w:val="49"/>
  </w:num>
  <w:num w:numId="3" w16cid:durableId="1323658075">
    <w:abstractNumId w:val="73"/>
  </w:num>
  <w:num w:numId="4" w16cid:durableId="1836604486">
    <w:abstractNumId w:val="67"/>
  </w:num>
  <w:num w:numId="5" w16cid:durableId="97874375">
    <w:abstractNumId w:val="67"/>
  </w:num>
  <w:num w:numId="6" w16cid:durableId="978071511">
    <w:abstractNumId w:val="80"/>
  </w:num>
  <w:num w:numId="7" w16cid:durableId="1811434091">
    <w:abstractNumId w:val="59"/>
  </w:num>
  <w:num w:numId="8" w16cid:durableId="1672832697">
    <w:abstractNumId w:val="54"/>
  </w:num>
  <w:num w:numId="9" w16cid:durableId="845246783">
    <w:abstractNumId w:val="41"/>
  </w:num>
  <w:num w:numId="10" w16cid:durableId="1849099935">
    <w:abstractNumId w:val="15"/>
  </w:num>
  <w:num w:numId="11" w16cid:durableId="372314827">
    <w:abstractNumId w:val="12"/>
  </w:num>
  <w:num w:numId="12" w16cid:durableId="28187416">
    <w:abstractNumId w:val="28"/>
  </w:num>
  <w:num w:numId="13" w16cid:durableId="1401752722">
    <w:abstractNumId w:val="10"/>
  </w:num>
  <w:num w:numId="14" w16cid:durableId="1000545572">
    <w:abstractNumId w:val="44"/>
  </w:num>
  <w:num w:numId="15" w16cid:durableId="1930307605">
    <w:abstractNumId w:val="53"/>
  </w:num>
  <w:num w:numId="16" w16cid:durableId="302855522">
    <w:abstractNumId w:val="11"/>
  </w:num>
  <w:num w:numId="17" w16cid:durableId="290677664">
    <w:abstractNumId w:val="21"/>
  </w:num>
  <w:num w:numId="18" w16cid:durableId="869991676">
    <w:abstractNumId w:val="42"/>
  </w:num>
  <w:num w:numId="19" w16cid:durableId="1779792351">
    <w:abstractNumId w:val="47"/>
  </w:num>
  <w:num w:numId="20" w16cid:durableId="1454788445">
    <w:abstractNumId w:val="45"/>
  </w:num>
  <w:num w:numId="21" w16cid:durableId="1797674575">
    <w:abstractNumId w:val="8"/>
  </w:num>
  <w:num w:numId="22" w16cid:durableId="274019236">
    <w:abstractNumId w:val="27"/>
  </w:num>
  <w:num w:numId="23" w16cid:durableId="2064017816">
    <w:abstractNumId w:val="6"/>
  </w:num>
  <w:num w:numId="24" w16cid:durableId="1894610384">
    <w:abstractNumId w:val="78"/>
  </w:num>
  <w:num w:numId="25" w16cid:durableId="1148939127">
    <w:abstractNumId w:val="66"/>
  </w:num>
  <w:num w:numId="26" w16cid:durableId="116410990">
    <w:abstractNumId w:val="35"/>
  </w:num>
  <w:num w:numId="27" w16cid:durableId="703947883">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63345305">
    <w:abstractNumId w:val="65"/>
  </w:num>
  <w:num w:numId="29" w16cid:durableId="161707278">
    <w:abstractNumId w:val="50"/>
  </w:num>
  <w:num w:numId="30" w16cid:durableId="1304850381">
    <w:abstractNumId w:val="79"/>
  </w:num>
  <w:num w:numId="31" w16cid:durableId="1741753885">
    <w:abstractNumId w:val="0"/>
    <w:lvlOverride w:ilvl="0">
      <w:startOverride w:val="1"/>
    </w:lvlOverride>
    <w:lvlOverride w:ilvl="1"/>
    <w:lvlOverride w:ilvl="2"/>
    <w:lvlOverride w:ilvl="3"/>
    <w:lvlOverride w:ilvl="4"/>
    <w:lvlOverride w:ilvl="5"/>
    <w:lvlOverride w:ilvl="6"/>
    <w:lvlOverride w:ilvl="7"/>
    <w:lvlOverride w:ilvl="8"/>
  </w:num>
  <w:num w:numId="32" w16cid:durableId="790510744">
    <w:abstractNumId w:val="77"/>
  </w:num>
  <w:num w:numId="33" w16cid:durableId="765346117">
    <w:abstractNumId w:val="76"/>
  </w:num>
  <w:num w:numId="34" w16cid:durableId="15861836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131676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3114939">
    <w:abstractNumId w:val="63"/>
  </w:num>
  <w:num w:numId="37" w16cid:durableId="18238917">
    <w:abstractNumId w:val="7"/>
  </w:num>
  <w:num w:numId="38" w16cid:durableId="338627064">
    <w:abstractNumId w:val="61"/>
  </w:num>
  <w:num w:numId="39" w16cid:durableId="745957314">
    <w:abstractNumId w:val="43"/>
  </w:num>
  <w:num w:numId="40" w16cid:durableId="1127091732">
    <w:abstractNumId w:val="33"/>
  </w:num>
  <w:num w:numId="41" w16cid:durableId="551965669">
    <w:abstractNumId w:val="32"/>
  </w:num>
  <w:num w:numId="42" w16cid:durableId="1153914005">
    <w:abstractNumId w:val="14"/>
  </w:num>
  <w:num w:numId="43" w16cid:durableId="1420519815">
    <w:abstractNumId w:val="62"/>
  </w:num>
  <w:num w:numId="44" w16cid:durableId="33702452">
    <w:abstractNumId w:val="40"/>
  </w:num>
  <w:num w:numId="45" w16cid:durableId="1137575951">
    <w:abstractNumId w:val="38"/>
  </w:num>
  <w:num w:numId="46" w16cid:durableId="11079987">
    <w:abstractNumId w:val="39"/>
  </w:num>
  <w:num w:numId="47" w16cid:durableId="2144544845">
    <w:abstractNumId w:val="16"/>
  </w:num>
  <w:num w:numId="48" w16cid:durableId="615796167">
    <w:abstractNumId w:val="31"/>
  </w:num>
  <w:num w:numId="49" w16cid:durableId="1015808354">
    <w:abstractNumId w:val="25"/>
  </w:num>
  <w:num w:numId="50" w16cid:durableId="1584726086">
    <w:abstractNumId w:val="4"/>
  </w:num>
  <w:num w:numId="51" w16cid:durableId="848442996">
    <w:abstractNumId w:val="29"/>
  </w:num>
  <w:num w:numId="52" w16cid:durableId="433980209">
    <w:abstractNumId w:val="26"/>
  </w:num>
  <w:num w:numId="53" w16cid:durableId="1743941043">
    <w:abstractNumId w:val="52"/>
  </w:num>
  <w:num w:numId="54" w16cid:durableId="1726175185">
    <w:abstractNumId w:val="2"/>
  </w:num>
  <w:num w:numId="55" w16cid:durableId="645815555">
    <w:abstractNumId w:val="1"/>
  </w:num>
  <w:num w:numId="56" w16cid:durableId="1626038679">
    <w:abstractNumId w:val="3"/>
  </w:num>
  <w:num w:numId="57" w16cid:durableId="1826773845">
    <w:abstractNumId w:val="70"/>
  </w:num>
  <w:num w:numId="58" w16cid:durableId="369379350">
    <w:abstractNumId w:val="69"/>
  </w:num>
  <w:num w:numId="59" w16cid:durableId="578176057">
    <w:abstractNumId w:val="58"/>
  </w:num>
  <w:num w:numId="60" w16cid:durableId="2019427268">
    <w:abstractNumId w:val="48"/>
  </w:num>
  <w:num w:numId="61" w16cid:durableId="73011245">
    <w:abstractNumId w:val="34"/>
  </w:num>
  <w:num w:numId="62" w16cid:durableId="119966005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105422646">
    <w:abstractNumId w:val="6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007630199">
    <w:abstractNumId w:val="56"/>
  </w:num>
  <w:num w:numId="65" w16cid:durableId="862213107">
    <w:abstractNumId w:val="74"/>
  </w:num>
  <w:num w:numId="66" w16cid:durableId="166209745">
    <w:abstractNumId w:val="23"/>
  </w:num>
  <w:num w:numId="67" w16cid:durableId="790169973">
    <w:abstractNumId w:val="37"/>
  </w:num>
  <w:num w:numId="68" w16cid:durableId="936909279">
    <w:abstractNumId w:val="46"/>
  </w:num>
  <w:num w:numId="69" w16cid:durableId="930506562">
    <w:abstractNumId w:val="24"/>
  </w:num>
  <w:num w:numId="70" w16cid:durableId="946699535">
    <w:abstractNumId w:val="13"/>
  </w:num>
  <w:num w:numId="71" w16cid:durableId="1925920379">
    <w:abstractNumId w:val="71"/>
  </w:num>
  <w:num w:numId="72" w16cid:durableId="933242455">
    <w:abstractNumId w:val="57"/>
  </w:num>
  <w:num w:numId="73" w16cid:durableId="2145806926">
    <w:abstractNumId w:val="17"/>
  </w:num>
  <w:num w:numId="74" w16cid:durableId="1708720944">
    <w:abstractNumId w:val="51"/>
  </w:num>
  <w:num w:numId="75" w16cid:durableId="1999723433">
    <w:abstractNumId w:val="60"/>
  </w:num>
  <w:num w:numId="76" w16cid:durableId="1305550471">
    <w:abstractNumId w:val="68"/>
  </w:num>
  <w:num w:numId="77" w16cid:durableId="669141497">
    <w:abstractNumId w:val="22"/>
  </w:num>
  <w:num w:numId="78" w16cid:durableId="1553614420">
    <w:abstractNumId w:val="64"/>
  </w:num>
  <w:num w:numId="79" w16cid:durableId="662003282">
    <w:abstractNumId w:val="18"/>
  </w:num>
  <w:num w:numId="80" w16cid:durableId="1205022539">
    <w:abstractNumId w:val="75"/>
  </w:num>
  <w:num w:numId="81" w16cid:durableId="610749096">
    <w:abstractNumId w:val="36"/>
  </w:num>
  <w:num w:numId="82" w16cid:durableId="752776266">
    <w:abstractNumId w:val="20"/>
  </w:num>
  <w:num w:numId="83" w16cid:durableId="740374381">
    <w:abstractNumId w:val="55"/>
  </w:num>
  <w:num w:numId="84" w16cid:durableId="168292910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142765342">
    <w:abstractNumId w:val="72"/>
  </w:num>
  <w:num w:numId="86" w16cid:durableId="1502233486">
    <w:abstractNumId w:val="5"/>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195"/>
    <w:rsid w:val="0000061B"/>
    <w:rsid w:val="00000E5E"/>
    <w:rsid w:val="00001305"/>
    <w:rsid w:val="00001384"/>
    <w:rsid w:val="00001405"/>
    <w:rsid w:val="0000159D"/>
    <w:rsid w:val="00001EDF"/>
    <w:rsid w:val="0000296B"/>
    <w:rsid w:val="00002BAD"/>
    <w:rsid w:val="000036B7"/>
    <w:rsid w:val="000037C4"/>
    <w:rsid w:val="00003F6B"/>
    <w:rsid w:val="00004584"/>
    <w:rsid w:val="000053DA"/>
    <w:rsid w:val="0000540C"/>
    <w:rsid w:val="00005A3C"/>
    <w:rsid w:val="000062FB"/>
    <w:rsid w:val="00006D47"/>
    <w:rsid w:val="00006E4F"/>
    <w:rsid w:val="00007034"/>
    <w:rsid w:val="000077DD"/>
    <w:rsid w:val="00007B48"/>
    <w:rsid w:val="00007E8F"/>
    <w:rsid w:val="000101AB"/>
    <w:rsid w:val="00010FE8"/>
    <w:rsid w:val="00011BF4"/>
    <w:rsid w:val="000121A6"/>
    <w:rsid w:val="00012309"/>
    <w:rsid w:val="000127D7"/>
    <w:rsid w:val="00012F9D"/>
    <w:rsid w:val="000133D8"/>
    <w:rsid w:val="00013687"/>
    <w:rsid w:val="0001452D"/>
    <w:rsid w:val="00014B2D"/>
    <w:rsid w:val="00014BE0"/>
    <w:rsid w:val="00014C27"/>
    <w:rsid w:val="00014E3C"/>
    <w:rsid w:val="00015368"/>
    <w:rsid w:val="00015986"/>
    <w:rsid w:val="00015D93"/>
    <w:rsid w:val="00016747"/>
    <w:rsid w:val="000176FD"/>
    <w:rsid w:val="00020659"/>
    <w:rsid w:val="00020B77"/>
    <w:rsid w:val="00020D56"/>
    <w:rsid w:val="00020FD2"/>
    <w:rsid w:val="00021427"/>
    <w:rsid w:val="0002290A"/>
    <w:rsid w:val="00023F05"/>
    <w:rsid w:val="00023FC0"/>
    <w:rsid w:val="00024345"/>
    <w:rsid w:val="00024615"/>
    <w:rsid w:val="00025A23"/>
    <w:rsid w:val="00026BD0"/>
    <w:rsid w:val="0002734E"/>
    <w:rsid w:val="00027FB4"/>
    <w:rsid w:val="00030969"/>
    <w:rsid w:val="00030C57"/>
    <w:rsid w:val="00030CC4"/>
    <w:rsid w:val="00031B78"/>
    <w:rsid w:val="00033280"/>
    <w:rsid w:val="00034DF7"/>
    <w:rsid w:val="00034FE3"/>
    <w:rsid w:val="00035B8D"/>
    <w:rsid w:val="00035BCA"/>
    <w:rsid w:val="0003611C"/>
    <w:rsid w:val="00036434"/>
    <w:rsid w:val="00036436"/>
    <w:rsid w:val="00037095"/>
    <w:rsid w:val="000377DB"/>
    <w:rsid w:val="00037C10"/>
    <w:rsid w:val="00037CAC"/>
    <w:rsid w:val="00041CFD"/>
    <w:rsid w:val="000420A6"/>
    <w:rsid w:val="0004412C"/>
    <w:rsid w:val="00044B98"/>
    <w:rsid w:val="000455AA"/>
    <w:rsid w:val="00046779"/>
    <w:rsid w:val="0004777E"/>
    <w:rsid w:val="000479A2"/>
    <w:rsid w:val="00047B3A"/>
    <w:rsid w:val="000500E6"/>
    <w:rsid w:val="00050821"/>
    <w:rsid w:val="00051539"/>
    <w:rsid w:val="000522C6"/>
    <w:rsid w:val="00052899"/>
    <w:rsid w:val="00053B18"/>
    <w:rsid w:val="000544D7"/>
    <w:rsid w:val="00054511"/>
    <w:rsid w:val="00054679"/>
    <w:rsid w:val="00054BA5"/>
    <w:rsid w:val="0005532E"/>
    <w:rsid w:val="00055432"/>
    <w:rsid w:val="00056924"/>
    <w:rsid w:val="00056A12"/>
    <w:rsid w:val="00056C1F"/>
    <w:rsid w:val="00056FA9"/>
    <w:rsid w:val="00057A35"/>
    <w:rsid w:val="00060C93"/>
    <w:rsid w:val="00060DE1"/>
    <w:rsid w:val="0006192E"/>
    <w:rsid w:val="00061F30"/>
    <w:rsid w:val="000621CC"/>
    <w:rsid w:val="0006223B"/>
    <w:rsid w:val="00062865"/>
    <w:rsid w:val="00062DA6"/>
    <w:rsid w:val="00062EE3"/>
    <w:rsid w:val="0006311E"/>
    <w:rsid w:val="00063A41"/>
    <w:rsid w:val="00063D6D"/>
    <w:rsid w:val="00063F11"/>
    <w:rsid w:val="00064BC5"/>
    <w:rsid w:val="00065AB4"/>
    <w:rsid w:val="00066AB6"/>
    <w:rsid w:val="00067086"/>
    <w:rsid w:val="00067A41"/>
    <w:rsid w:val="0007079D"/>
    <w:rsid w:val="00071412"/>
    <w:rsid w:val="0007171B"/>
    <w:rsid w:val="00072FC8"/>
    <w:rsid w:val="000735C6"/>
    <w:rsid w:val="00073ECB"/>
    <w:rsid w:val="00073F9D"/>
    <w:rsid w:val="000742C0"/>
    <w:rsid w:val="00074DA9"/>
    <w:rsid w:val="000763D5"/>
    <w:rsid w:val="0007662D"/>
    <w:rsid w:val="000769D7"/>
    <w:rsid w:val="00080354"/>
    <w:rsid w:val="00080A7A"/>
    <w:rsid w:val="00080B90"/>
    <w:rsid w:val="00082188"/>
    <w:rsid w:val="00082BC3"/>
    <w:rsid w:val="00082E74"/>
    <w:rsid w:val="0008345E"/>
    <w:rsid w:val="00085A3A"/>
    <w:rsid w:val="000865F0"/>
    <w:rsid w:val="00086D60"/>
    <w:rsid w:val="00086DC3"/>
    <w:rsid w:val="000876B3"/>
    <w:rsid w:val="000904F2"/>
    <w:rsid w:val="000915F9"/>
    <w:rsid w:val="000917BD"/>
    <w:rsid w:val="00092131"/>
    <w:rsid w:val="000921FE"/>
    <w:rsid w:val="000927CF"/>
    <w:rsid w:val="00092B11"/>
    <w:rsid w:val="000935C2"/>
    <w:rsid w:val="000936CC"/>
    <w:rsid w:val="0009479E"/>
    <w:rsid w:val="00094819"/>
    <w:rsid w:val="000954AB"/>
    <w:rsid w:val="000959C3"/>
    <w:rsid w:val="00095AA0"/>
    <w:rsid w:val="00095E1D"/>
    <w:rsid w:val="00095F0F"/>
    <w:rsid w:val="00097273"/>
    <w:rsid w:val="0009729E"/>
    <w:rsid w:val="000978B2"/>
    <w:rsid w:val="00097C19"/>
    <w:rsid w:val="000A11EA"/>
    <w:rsid w:val="000A2175"/>
    <w:rsid w:val="000A259F"/>
    <w:rsid w:val="000A2E96"/>
    <w:rsid w:val="000A3E45"/>
    <w:rsid w:val="000A4711"/>
    <w:rsid w:val="000A4BFC"/>
    <w:rsid w:val="000A56AF"/>
    <w:rsid w:val="000A6950"/>
    <w:rsid w:val="000A6C61"/>
    <w:rsid w:val="000A704A"/>
    <w:rsid w:val="000A734E"/>
    <w:rsid w:val="000B0805"/>
    <w:rsid w:val="000B1079"/>
    <w:rsid w:val="000B154A"/>
    <w:rsid w:val="000B1FDA"/>
    <w:rsid w:val="000B2602"/>
    <w:rsid w:val="000B261F"/>
    <w:rsid w:val="000B3034"/>
    <w:rsid w:val="000B3743"/>
    <w:rsid w:val="000B38EF"/>
    <w:rsid w:val="000B3BF1"/>
    <w:rsid w:val="000B3D5C"/>
    <w:rsid w:val="000B40E1"/>
    <w:rsid w:val="000B47B5"/>
    <w:rsid w:val="000B48C2"/>
    <w:rsid w:val="000B4F27"/>
    <w:rsid w:val="000B5C08"/>
    <w:rsid w:val="000B5C6B"/>
    <w:rsid w:val="000B67A5"/>
    <w:rsid w:val="000B76FB"/>
    <w:rsid w:val="000B7ABE"/>
    <w:rsid w:val="000B7B87"/>
    <w:rsid w:val="000C02F7"/>
    <w:rsid w:val="000C0660"/>
    <w:rsid w:val="000C0F70"/>
    <w:rsid w:val="000C13FD"/>
    <w:rsid w:val="000C19B0"/>
    <w:rsid w:val="000C1C09"/>
    <w:rsid w:val="000C268B"/>
    <w:rsid w:val="000C2CBE"/>
    <w:rsid w:val="000C3189"/>
    <w:rsid w:val="000C3EE9"/>
    <w:rsid w:val="000C406D"/>
    <w:rsid w:val="000C4194"/>
    <w:rsid w:val="000C463A"/>
    <w:rsid w:val="000C4DF1"/>
    <w:rsid w:val="000C4FDD"/>
    <w:rsid w:val="000C6064"/>
    <w:rsid w:val="000C65B8"/>
    <w:rsid w:val="000C7188"/>
    <w:rsid w:val="000C71AE"/>
    <w:rsid w:val="000C7238"/>
    <w:rsid w:val="000C7E9D"/>
    <w:rsid w:val="000D00AE"/>
    <w:rsid w:val="000D0592"/>
    <w:rsid w:val="000D0863"/>
    <w:rsid w:val="000D0B7D"/>
    <w:rsid w:val="000D1CEE"/>
    <w:rsid w:val="000D2441"/>
    <w:rsid w:val="000D3319"/>
    <w:rsid w:val="000D3568"/>
    <w:rsid w:val="000D3660"/>
    <w:rsid w:val="000D3C44"/>
    <w:rsid w:val="000D5AAA"/>
    <w:rsid w:val="000D5BAA"/>
    <w:rsid w:val="000D647C"/>
    <w:rsid w:val="000D6A86"/>
    <w:rsid w:val="000D71D5"/>
    <w:rsid w:val="000D72B0"/>
    <w:rsid w:val="000D7F8C"/>
    <w:rsid w:val="000E07BF"/>
    <w:rsid w:val="000E28FB"/>
    <w:rsid w:val="000E2A84"/>
    <w:rsid w:val="000E2CDB"/>
    <w:rsid w:val="000E35E7"/>
    <w:rsid w:val="000E408E"/>
    <w:rsid w:val="000E4E02"/>
    <w:rsid w:val="000E5B7D"/>
    <w:rsid w:val="000E5D43"/>
    <w:rsid w:val="000E6526"/>
    <w:rsid w:val="000E673A"/>
    <w:rsid w:val="000E6D7F"/>
    <w:rsid w:val="000E6F46"/>
    <w:rsid w:val="000E7042"/>
    <w:rsid w:val="000E7773"/>
    <w:rsid w:val="000E779B"/>
    <w:rsid w:val="000E7B21"/>
    <w:rsid w:val="000E7DCA"/>
    <w:rsid w:val="000F0176"/>
    <w:rsid w:val="000F04FF"/>
    <w:rsid w:val="000F1571"/>
    <w:rsid w:val="000F1DC0"/>
    <w:rsid w:val="000F2EC6"/>
    <w:rsid w:val="000F46CF"/>
    <w:rsid w:val="000F4F82"/>
    <w:rsid w:val="000F4F9F"/>
    <w:rsid w:val="000F4FD1"/>
    <w:rsid w:val="000F5167"/>
    <w:rsid w:val="000F54A5"/>
    <w:rsid w:val="000F7052"/>
    <w:rsid w:val="000F70C7"/>
    <w:rsid w:val="000F74F5"/>
    <w:rsid w:val="00100179"/>
    <w:rsid w:val="00100E65"/>
    <w:rsid w:val="00101162"/>
    <w:rsid w:val="00101E03"/>
    <w:rsid w:val="00102099"/>
    <w:rsid w:val="001025A0"/>
    <w:rsid w:val="001025AB"/>
    <w:rsid w:val="001028BE"/>
    <w:rsid w:val="00103C86"/>
    <w:rsid w:val="0010438A"/>
    <w:rsid w:val="00104BA6"/>
    <w:rsid w:val="00105372"/>
    <w:rsid w:val="00105D6A"/>
    <w:rsid w:val="00105F1E"/>
    <w:rsid w:val="00106049"/>
    <w:rsid w:val="0010669D"/>
    <w:rsid w:val="001066A1"/>
    <w:rsid w:val="00106AAC"/>
    <w:rsid w:val="00107125"/>
    <w:rsid w:val="00107D96"/>
    <w:rsid w:val="00110034"/>
    <w:rsid w:val="00110F1E"/>
    <w:rsid w:val="001127E8"/>
    <w:rsid w:val="001129A3"/>
    <w:rsid w:val="00112F45"/>
    <w:rsid w:val="00113D9F"/>
    <w:rsid w:val="00113E77"/>
    <w:rsid w:val="00114612"/>
    <w:rsid w:val="0011492C"/>
    <w:rsid w:val="001176A1"/>
    <w:rsid w:val="00120533"/>
    <w:rsid w:val="00120AD1"/>
    <w:rsid w:val="00120FBC"/>
    <w:rsid w:val="001227F1"/>
    <w:rsid w:val="00122987"/>
    <w:rsid w:val="00123765"/>
    <w:rsid w:val="001245DF"/>
    <w:rsid w:val="001259D5"/>
    <w:rsid w:val="00125BFF"/>
    <w:rsid w:val="00125F48"/>
    <w:rsid w:val="0012608D"/>
    <w:rsid w:val="00126576"/>
    <w:rsid w:val="00127C00"/>
    <w:rsid w:val="001305B9"/>
    <w:rsid w:val="00130B6D"/>
    <w:rsid w:val="001312AD"/>
    <w:rsid w:val="001318DD"/>
    <w:rsid w:val="00131CEF"/>
    <w:rsid w:val="00131E7A"/>
    <w:rsid w:val="0013356A"/>
    <w:rsid w:val="001338AE"/>
    <w:rsid w:val="00133BC4"/>
    <w:rsid w:val="00134846"/>
    <w:rsid w:val="00134F20"/>
    <w:rsid w:val="00135C09"/>
    <w:rsid w:val="00137120"/>
    <w:rsid w:val="0013729A"/>
    <w:rsid w:val="001403B7"/>
    <w:rsid w:val="0014172A"/>
    <w:rsid w:val="00141E60"/>
    <w:rsid w:val="00142075"/>
    <w:rsid w:val="00142423"/>
    <w:rsid w:val="001425A9"/>
    <w:rsid w:val="00142DB4"/>
    <w:rsid w:val="00143700"/>
    <w:rsid w:val="0014390F"/>
    <w:rsid w:val="00143AC9"/>
    <w:rsid w:val="00143CE9"/>
    <w:rsid w:val="00143EE5"/>
    <w:rsid w:val="00144B04"/>
    <w:rsid w:val="00144E68"/>
    <w:rsid w:val="00144F59"/>
    <w:rsid w:val="00145E04"/>
    <w:rsid w:val="001461C2"/>
    <w:rsid w:val="0014691A"/>
    <w:rsid w:val="00146BD2"/>
    <w:rsid w:val="0014770D"/>
    <w:rsid w:val="00147C05"/>
    <w:rsid w:val="00150221"/>
    <w:rsid w:val="00150866"/>
    <w:rsid w:val="00150907"/>
    <w:rsid w:val="00151616"/>
    <w:rsid w:val="00151676"/>
    <w:rsid w:val="00151C56"/>
    <w:rsid w:val="001520D7"/>
    <w:rsid w:val="00153BFB"/>
    <w:rsid w:val="00154839"/>
    <w:rsid w:val="00154851"/>
    <w:rsid w:val="00155424"/>
    <w:rsid w:val="0015612D"/>
    <w:rsid w:val="0015739F"/>
    <w:rsid w:val="00157D17"/>
    <w:rsid w:val="00157F0F"/>
    <w:rsid w:val="001600A2"/>
    <w:rsid w:val="001605BC"/>
    <w:rsid w:val="001605D7"/>
    <w:rsid w:val="00160E08"/>
    <w:rsid w:val="001615C7"/>
    <w:rsid w:val="00161807"/>
    <w:rsid w:val="00161DB4"/>
    <w:rsid w:val="00161F8B"/>
    <w:rsid w:val="0016277B"/>
    <w:rsid w:val="001631A9"/>
    <w:rsid w:val="0016328B"/>
    <w:rsid w:val="00163D2B"/>
    <w:rsid w:val="001648BC"/>
    <w:rsid w:val="00164F1D"/>
    <w:rsid w:val="00165268"/>
    <w:rsid w:val="00165352"/>
    <w:rsid w:val="00165B85"/>
    <w:rsid w:val="00165DB4"/>
    <w:rsid w:val="00165DE1"/>
    <w:rsid w:val="00166091"/>
    <w:rsid w:val="00166B37"/>
    <w:rsid w:val="001678D1"/>
    <w:rsid w:val="00167CED"/>
    <w:rsid w:val="00167ED7"/>
    <w:rsid w:val="00167F15"/>
    <w:rsid w:val="001703A4"/>
    <w:rsid w:val="00170482"/>
    <w:rsid w:val="00170E5A"/>
    <w:rsid w:val="00172038"/>
    <w:rsid w:val="001722E3"/>
    <w:rsid w:val="00172AF6"/>
    <w:rsid w:val="00172B5A"/>
    <w:rsid w:val="00173DDF"/>
    <w:rsid w:val="00173E69"/>
    <w:rsid w:val="001749B6"/>
    <w:rsid w:val="00174BBF"/>
    <w:rsid w:val="001761E2"/>
    <w:rsid w:val="00176279"/>
    <w:rsid w:val="0017671B"/>
    <w:rsid w:val="00176790"/>
    <w:rsid w:val="00176B32"/>
    <w:rsid w:val="00176B8E"/>
    <w:rsid w:val="00176CEE"/>
    <w:rsid w:val="00177495"/>
    <w:rsid w:val="00177819"/>
    <w:rsid w:val="00180186"/>
    <w:rsid w:val="001803F4"/>
    <w:rsid w:val="00180B37"/>
    <w:rsid w:val="00181E7E"/>
    <w:rsid w:val="001829EE"/>
    <w:rsid w:val="00182A8E"/>
    <w:rsid w:val="0018346E"/>
    <w:rsid w:val="00183AC6"/>
    <w:rsid w:val="00184442"/>
    <w:rsid w:val="00184DB7"/>
    <w:rsid w:val="0018555F"/>
    <w:rsid w:val="001856AF"/>
    <w:rsid w:val="001857DF"/>
    <w:rsid w:val="00185958"/>
    <w:rsid w:val="00186188"/>
    <w:rsid w:val="001863C2"/>
    <w:rsid w:val="00186485"/>
    <w:rsid w:val="0018670B"/>
    <w:rsid w:val="00186DD8"/>
    <w:rsid w:val="001870C6"/>
    <w:rsid w:val="0018728E"/>
    <w:rsid w:val="00187925"/>
    <w:rsid w:val="00190A0E"/>
    <w:rsid w:val="00191055"/>
    <w:rsid w:val="001917DC"/>
    <w:rsid w:val="00192541"/>
    <w:rsid w:val="00192F55"/>
    <w:rsid w:val="00192FAA"/>
    <w:rsid w:val="00193695"/>
    <w:rsid w:val="00193A67"/>
    <w:rsid w:val="00193E49"/>
    <w:rsid w:val="00194862"/>
    <w:rsid w:val="00194A41"/>
    <w:rsid w:val="00195A08"/>
    <w:rsid w:val="00196232"/>
    <w:rsid w:val="0019715C"/>
    <w:rsid w:val="001979E7"/>
    <w:rsid w:val="00197A4F"/>
    <w:rsid w:val="001A14EB"/>
    <w:rsid w:val="001A16DF"/>
    <w:rsid w:val="001A269E"/>
    <w:rsid w:val="001A36BF"/>
    <w:rsid w:val="001A41BC"/>
    <w:rsid w:val="001A5A57"/>
    <w:rsid w:val="001A5E0D"/>
    <w:rsid w:val="001A6085"/>
    <w:rsid w:val="001A618C"/>
    <w:rsid w:val="001A61C9"/>
    <w:rsid w:val="001A67C0"/>
    <w:rsid w:val="001A6A73"/>
    <w:rsid w:val="001A753E"/>
    <w:rsid w:val="001A77EF"/>
    <w:rsid w:val="001B00C3"/>
    <w:rsid w:val="001B0221"/>
    <w:rsid w:val="001B0F28"/>
    <w:rsid w:val="001B11BE"/>
    <w:rsid w:val="001B13FE"/>
    <w:rsid w:val="001B2417"/>
    <w:rsid w:val="001B28B6"/>
    <w:rsid w:val="001B2D36"/>
    <w:rsid w:val="001B2FBF"/>
    <w:rsid w:val="001B36EC"/>
    <w:rsid w:val="001B45D8"/>
    <w:rsid w:val="001B4E4F"/>
    <w:rsid w:val="001B4EE1"/>
    <w:rsid w:val="001B511E"/>
    <w:rsid w:val="001B5236"/>
    <w:rsid w:val="001B5D21"/>
    <w:rsid w:val="001B625C"/>
    <w:rsid w:val="001B627E"/>
    <w:rsid w:val="001B6C9F"/>
    <w:rsid w:val="001C0C36"/>
    <w:rsid w:val="001C10E6"/>
    <w:rsid w:val="001C1FB6"/>
    <w:rsid w:val="001C2158"/>
    <w:rsid w:val="001C27D5"/>
    <w:rsid w:val="001C2B6F"/>
    <w:rsid w:val="001C2CEA"/>
    <w:rsid w:val="001C326A"/>
    <w:rsid w:val="001C32A3"/>
    <w:rsid w:val="001C4512"/>
    <w:rsid w:val="001C4C06"/>
    <w:rsid w:val="001C5193"/>
    <w:rsid w:val="001C5863"/>
    <w:rsid w:val="001C6079"/>
    <w:rsid w:val="001C6E8B"/>
    <w:rsid w:val="001C7CF7"/>
    <w:rsid w:val="001D107E"/>
    <w:rsid w:val="001D11B6"/>
    <w:rsid w:val="001D124D"/>
    <w:rsid w:val="001D1B9C"/>
    <w:rsid w:val="001D1C9D"/>
    <w:rsid w:val="001D21C0"/>
    <w:rsid w:val="001D2D64"/>
    <w:rsid w:val="001D2E2A"/>
    <w:rsid w:val="001D3495"/>
    <w:rsid w:val="001D42C2"/>
    <w:rsid w:val="001D4612"/>
    <w:rsid w:val="001D4CDA"/>
    <w:rsid w:val="001D4FE1"/>
    <w:rsid w:val="001D6203"/>
    <w:rsid w:val="001D650C"/>
    <w:rsid w:val="001D68FA"/>
    <w:rsid w:val="001D69EF"/>
    <w:rsid w:val="001D70E1"/>
    <w:rsid w:val="001D7598"/>
    <w:rsid w:val="001D75DC"/>
    <w:rsid w:val="001D77D3"/>
    <w:rsid w:val="001E01C7"/>
    <w:rsid w:val="001E195A"/>
    <w:rsid w:val="001E1AA3"/>
    <w:rsid w:val="001E1ACD"/>
    <w:rsid w:val="001E2522"/>
    <w:rsid w:val="001E3E77"/>
    <w:rsid w:val="001E54A6"/>
    <w:rsid w:val="001E5821"/>
    <w:rsid w:val="001E58E6"/>
    <w:rsid w:val="001E5D5C"/>
    <w:rsid w:val="001E630D"/>
    <w:rsid w:val="001E7002"/>
    <w:rsid w:val="001E73D4"/>
    <w:rsid w:val="001E77D0"/>
    <w:rsid w:val="001E7AF2"/>
    <w:rsid w:val="001F0A8A"/>
    <w:rsid w:val="001F122C"/>
    <w:rsid w:val="001F12CF"/>
    <w:rsid w:val="001F130C"/>
    <w:rsid w:val="001F2B81"/>
    <w:rsid w:val="001F3432"/>
    <w:rsid w:val="001F46A2"/>
    <w:rsid w:val="001F4D45"/>
    <w:rsid w:val="001F5487"/>
    <w:rsid w:val="001F6CE6"/>
    <w:rsid w:val="00200E8D"/>
    <w:rsid w:val="00201501"/>
    <w:rsid w:val="0020184E"/>
    <w:rsid w:val="00201F09"/>
    <w:rsid w:val="00202077"/>
    <w:rsid w:val="00203B10"/>
    <w:rsid w:val="00205D80"/>
    <w:rsid w:val="002060C3"/>
    <w:rsid w:val="00206628"/>
    <w:rsid w:val="00207163"/>
    <w:rsid w:val="002076F0"/>
    <w:rsid w:val="002120EA"/>
    <w:rsid w:val="00212E25"/>
    <w:rsid w:val="002131BD"/>
    <w:rsid w:val="0021320E"/>
    <w:rsid w:val="00213618"/>
    <w:rsid w:val="002142CC"/>
    <w:rsid w:val="00214641"/>
    <w:rsid w:val="00214A8C"/>
    <w:rsid w:val="00215584"/>
    <w:rsid w:val="00215B78"/>
    <w:rsid w:val="00215D80"/>
    <w:rsid w:val="00215FE1"/>
    <w:rsid w:val="00216016"/>
    <w:rsid w:val="00216CBD"/>
    <w:rsid w:val="00217B29"/>
    <w:rsid w:val="00217FE7"/>
    <w:rsid w:val="00220268"/>
    <w:rsid w:val="00220583"/>
    <w:rsid w:val="00220623"/>
    <w:rsid w:val="002206DF"/>
    <w:rsid w:val="002219AC"/>
    <w:rsid w:val="00221B90"/>
    <w:rsid w:val="00222164"/>
    <w:rsid w:val="00222183"/>
    <w:rsid w:val="00222CB2"/>
    <w:rsid w:val="002232D7"/>
    <w:rsid w:val="00223BE9"/>
    <w:rsid w:val="00224685"/>
    <w:rsid w:val="00225F58"/>
    <w:rsid w:val="002261B3"/>
    <w:rsid w:val="002269EC"/>
    <w:rsid w:val="002272BD"/>
    <w:rsid w:val="00227965"/>
    <w:rsid w:val="002301DA"/>
    <w:rsid w:val="002305F2"/>
    <w:rsid w:val="00230667"/>
    <w:rsid w:val="00230AF2"/>
    <w:rsid w:val="00230BC2"/>
    <w:rsid w:val="00231116"/>
    <w:rsid w:val="00231494"/>
    <w:rsid w:val="00231C1D"/>
    <w:rsid w:val="0023217C"/>
    <w:rsid w:val="00232C52"/>
    <w:rsid w:val="00233416"/>
    <w:rsid w:val="00233EB0"/>
    <w:rsid w:val="00234467"/>
    <w:rsid w:val="00234624"/>
    <w:rsid w:val="00235279"/>
    <w:rsid w:val="00236E67"/>
    <w:rsid w:val="00240AEE"/>
    <w:rsid w:val="0024154F"/>
    <w:rsid w:val="00241C5D"/>
    <w:rsid w:val="00241DF7"/>
    <w:rsid w:val="00243255"/>
    <w:rsid w:val="002439D4"/>
    <w:rsid w:val="00243BB1"/>
    <w:rsid w:val="00243E3C"/>
    <w:rsid w:val="002442FB"/>
    <w:rsid w:val="00245912"/>
    <w:rsid w:val="002464E0"/>
    <w:rsid w:val="00246C5A"/>
    <w:rsid w:val="00247591"/>
    <w:rsid w:val="00247810"/>
    <w:rsid w:val="00247C2B"/>
    <w:rsid w:val="00247E2A"/>
    <w:rsid w:val="00250071"/>
    <w:rsid w:val="002504EC"/>
    <w:rsid w:val="0025069E"/>
    <w:rsid w:val="0025088D"/>
    <w:rsid w:val="00250928"/>
    <w:rsid w:val="00250BF7"/>
    <w:rsid w:val="00250C9C"/>
    <w:rsid w:val="002518B1"/>
    <w:rsid w:val="00251A6D"/>
    <w:rsid w:val="00251BC8"/>
    <w:rsid w:val="00251F1A"/>
    <w:rsid w:val="00252810"/>
    <w:rsid w:val="00252935"/>
    <w:rsid w:val="00252FCF"/>
    <w:rsid w:val="00253567"/>
    <w:rsid w:val="00253918"/>
    <w:rsid w:val="00254A18"/>
    <w:rsid w:val="00254F05"/>
    <w:rsid w:val="0025508D"/>
    <w:rsid w:val="00256501"/>
    <w:rsid w:val="00256649"/>
    <w:rsid w:val="00257E9B"/>
    <w:rsid w:val="00260E95"/>
    <w:rsid w:val="00261165"/>
    <w:rsid w:val="002618D6"/>
    <w:rsid w:val="002623FE"/>
    <w:rsid w:val="0026332E"/>
    <w:rsid w:val="00263870"/>
    <w:rsid w:val="002644F7"/>
    <w:rsid w:val="00264A71"/>
    <w:rsid w:val="00264C3A"/>
    <w:rsid w:val="00265106"/>
    <w:rsid w:val="00265970"/>
    <w:rsid w:val="00265C8F"/>
    <w:rsid w:val="002662CC"/>
    <w:rsid w:val="0026680F"/>
    <w:rsid w:val="00266FF0"/>
    <w:rsid w:val="00267BF1"/>
    <w:rsid w:val="00272FE9"/>
    <w:rsid w:val="00273DA2"/>
    <w:rsid w:val="00273E05"/>
    <w:rsid w:val="00273E2E"/>
    <w:rsid w:val="00274F3B"/>
    <w:rsid w:val="00275D49"/>
    <w:rsid w:val="00275E95"/>
    <w:rsid w:val="002774AE"/>
    <w:rsid w:val="00280125"/>
    <w:rsid w:val="00280564"/>
    <w:rsid w:val="002809EA"/>
    <w:rsid w:val="00281772"/>
    <w:rsid w:val="00281999"/>
    <w:rsid w:val="0028367B"/>
    <w:rsid w:val="00283E3F"/>
    <w:rsid w:val="00283FA5"/>
    <w:rsid w:val="00284012"/>
    <w:rsid w:val="002847BD"/>
    <w:rsid w:val="0028496F"/>
    <w:rsid w:val="00284A40"/>
    <w:rsid w:val="00284AD3"/>
    <w:rsid w:val="00285079"/>
    <w:rsid w:val="00285CDD"/>
    <w:rsid w:val="00287BE2"/>
    <w:rsid w:val="00287C8D"/>
    <w:rsid w:val="002901D8"/>
    <w:rsid w:val="00290462"/>
    <w:rsid w:val="0029069C"/>
    <w:rsid w:val="00290957"/>
    <w:rsid w:val="00290A10"/>
    <w:rsid w:val="00290B6F"/>
    <w:rsid w:val="00290D94"/>
    <w:rsid w:val="002916EA"/>
    <w:rsid w:val="002926D8"/>
    <w:rsid w:val="00293731"/>
    <w:rsid w:val="00293990"/>
    <w:rsid w:val="00294783"/>
    <w:rsid w:val="00295EAE"/>
    <w:rsid w:val="00296749"/>
    <w:rsid w:val="00296D1F"/>
    <w:rsid w:val="00297515"/>
    <w:rsid w:val="00297527"/>
    <w:rsid w:val="002977F7"/>
    <w:rsid w:val="002A06EE"/>
    <w:rsid w:val="002A17FC"/>
    <w:rsid w:val="002A206A"/>
    <w:rsid w:val="002A370C"/>
    <w:rsid w:val="002A441C"/>
    <w:rsid w:val="002A510B"/>
    <w:rsid w:val="002A5CFE"/>
    <w:rsid w:val="002A6085"/>
    <w:rsid w:val="002A6183"/>
    <w:rsid w:val="002A68AF"/>
    <w:rsid w:val="002A701D"/>
    <w:rsid w:val="002A791B"/>
    <w:rsid w:val="002B0AA3"/>
    <w:rsid w:val="002B0FE0"/>
    <w:rsid w:val="002B16C1"/>
    <w:rsid w:val="002B33A4"/>
    <w:rsid w:val="002B3A53"/>
    <w:rsid w:val="002B4292"/>
    <w:rsid w:val="002B4635"/>
    <w:rsid w:val="002B4853"/>
    <w:rsid w:val="002B4D07"/>
    <w:rsid w:val="002B6730"/>
    <w:rsid w:val="002B6746"/>
    <w:rsid w:val="002B6ECB"/>
    <w:rsid w:val="002C1386"/>
    <w:rsid w:val="002C2515"/>
    <w:rsid w:val="002C3049"/>
    <w:rsid w:val="002C5DCC"/>
    <w:rsid w:val="002C6649"/>
    <w:rsid w:val="002C6BBB"/>
    <w:rsid w:val="002C6E50"/>
    <w:rsid w:val="002C713C"/>
    <w:rsid w:val="002C75A5"/>
    <w:rsid w:val="002C7696"/>
    <w:rsid w:val="002C7A16"/>
    <w:rsid w:val="002C7A4F"/>
    <w:rsid w:val="002C7BC0"/>
    <w:rsid w:val="002C7C3F"/>
    <w:rsid w:val="002C7D32"/>
    <w:rsid w:val="002D0096"/>
    <w:rsid w:val="002D2191"/>
    <w:rsid w:val="002D3D84"/>
    <w:rsid w:val="002D433E"/>
    <w:rsid w:val="002D45BF"/>
    <w:rsid w:val="002D5328"/>
    <w:rsid w:val="002D548F"/>
    <w:rsid w:val="002D5906"/>
    <w:rsid w:val="002D60F3"/>
    <w:rsid w:val="002D6280"/>
    <w:rsid w:val="002D69A3"/>
    <w:rsid w:val="002D6EA4"/>
    <w:rsid w:val="002D7148"/>
    <w:rsid w:val="002D7511"/>
    <w:rsid w:val="002D7A46"/>
    <w:rsid w:val="002E0ABE"/>
    <w:rsid w:val="002E2294"/>
    <w:rsid w:val="002E23AE"/>
    <w:rsid w:val="002E2916"/>
    <w:rsid w:val="002E2B0F"/>
    <w:rsid w:val="002E3058"/>
    <w:rsid w:val="002E32E0"/>
    <w:rsid w:val="002E334D"/>
    <w:rsid w:val="002E36EA"/>
    <w:rsid w:val="002E376B"/>
    <w:rsid w:val="002E37F0"/>
    <w:rsid w:val="002E3F66"/>
    <w:rsid w:val="002E45D3"/>
    <w:rsid w:val="002E45E9"/>
    <w:rsid w:val="002E4E4C"/>
    <w:rsid w:val="002E56CB"/>
    <w:rsid w:val="002E6433"/>
    <w:rsid w:val="002E6BDA"/>
    <w:rsid w:val="002E6C40"/>
    <w:rsid w:val="002E6CFD"/>
    <w:rsid w:val="002E6F94"/>
    <w:rsid w:val="002E78AC"/>
    <w:rsid w:val="002E7C1D"/>
    <w:rsid w:val="002F060F"/>
    <w:rsid w:val="002F0AED"/>
    <w:rsid w:val="002F1514"/>
    <w:rsid w:val="002F1D4D"/>
    <w:rsid w:val="002F2A3E"/>
    <w:rsid w:val="002F32C2"/>
    <w:rsid w:val="002F3FD3"/>
    <w:rsid w:val="002F5413"/>
    <w:rsid w:val="002F55F6"/>
    <w:rsid w:val="002F6006"/>
    <w:rsid w:val="002F6A2C"/>
    <w:rsid w:val="002F6FCC"/>
    <w:rsid w:val="002F7085"/>
    <w:rsid w:val="002F74C2"/>
    <w:rsid w:val="002F7B48"/>
    <w:rsid w:val="002F7C9C"/>
    <w:rsid w:val="00300F4B"/>
    <w:rsid w:val="0030169D"/>
    <w:rsid w:val="00301CB6"/>
    <w:rsid w:val="00301EF0"/>
    <w:rsid w:val="00302030"/>
    <w:rsid w:val="00302953"/>
    <w:rsid w:val="00302B93"/>
    <w:rsid w:val="00302CD2"/>
    <w:rsid w:val="00304795"/>
    <w:rsid w:val="00304A92"/>
    <w:rsid w:val="003056FE"/>
    <w:rsid w:val="00305792"/>
    <w:rsid w:val="003060EB"/>
    <w:rsid w:val="0030637C"/>
    <w:rsid w:val="003065BD"/>
    <w:rsid w:val="003104B3"/>
    <w:rsid w:val="003109CD"/>
    <w:rsid w:val="00310B05"/>
    <w:rsid w:val="00310B36"/>
    <w:rsid w:val="00311741"/>
    <w:rsid w:val="003119CD"/>
    <w:rsid w:val="003119EF"/>
    <w:rsid w:val="00311AAE"/>
    <w:rsid w:val="00313996"/>
    <w:rsid w:val="00313FFC"/>
    <w:rsid w:val="00314535"/>
    <w:rsid w:val="00314A36"/>
    <w:rsid w:val="00314FD8"/>
    <w:rsid w:val="003153EB"/>
    <w:rsid w:val="00315A97"/>
    <w:rsid w:val="00316132"/>
    <w:rsid w:val="00316D7B"/>
    <w:rsid w:val="00316FF4"/>
    <w:rsid w:val="003179A1"/>
    <w:rsid w:val="00317CB8"/>
    <w:rsid w:val="00317D13"/>
    <w:rsid w:val="0032036A"/>
    <w:rsid w:val="00320379"/>
    <w:rsid w:val="00321985"/>
    <w:rsid w:val="003220D3"/>
    <w:rsid w:val="00322CB6"/>
    <w:rsid w:val="00322CF8"/>
    <w:rsid w:val="00323078"/>
    <w:rsid w:val="00324375"/>
    <w:rsid w:val="00325523"/>
    <w:rsid w:val="0032579E"/>
    <w:rsid w:val="0032593C"/>
    <w:rsid w:val="003259E6"/>
    <w:rsid w:val="003261A1"/>
    <w:rsid w:val="003262B9"/>
    <w:rsid w:val="0032661B"/>
    <w:rsid w:val="00326847"/>
    <w:rsid w:val="003274C0"/>
    <w:rsid w:val="00330ED2"/>
    <w:rsid w:val="00331292"/>
    <w:rsid w:val="003313BD"/>
    <w:rsid w:val="003318E9"/>
    <w:rsid w:val="00331A61"/>
    <w:rsid w:val="00332F15"/>
    <w:rsid w:val="0033387D"/>
    <w:rsid w:val="00334275"/>
    <w:rsid w:val="00334518"/>
    <w:rsid w:val="0033516D"/>
    <w:rsid w:val="003352B5"/>
    <w:rsid w:val="0033609A"/>
    <w:rsid w:val="00336932"/>
    <w:rsid w:val="00336ADC"/>
    <w:rsid w:val="00336DBB"/>
    <w:rsid w:val="00337B37"/>
    <w:rsid w:val="00340326"/>
    <w:rsid w:val="00340E3A"/>
    <w:rsid w:val="00341456"/>
    <w:rsid w:val="00341757"/>
    <w:rsid w:val="0034225F"/>
    <w:rsid w:val="00342425"/>
    <w:rsid w:val="00342ADF"/>
    <w:rsid w:val="00343C2E"/>
    <w:rsid w:val="0034403C"/>
    <w:rsid w:val="00344319"/>
    <w:rsid w:val="0034441D"/>
    <w:rsid w:val="00344812"/>
    <w:rsid w:val="00344B80"/>
    <w:rsid w:val="00345022"/>
    <w:rsid w:val="00345267"/>
    <w:rsid w:val="00346301"/>
    <w:rsid w:val="00346372"/>
    <w:rsid w:val="003466FC"/>
    <w:rsid w:val="00346828"/>
    <w:rsid w:val="00346980"/>
    <w:rsid w:val="003476DA"/>
    <w:rsid w:val="00351205"/>
    <w:rsid w:val="0035166C"/>
    <w:rsid w:val="00351875"/>
    <w:rsid w:val="00352D5E"/>
    <w:rsid w:val="00352FED"/>
    <w:rsid w:val="0035311B"/>
    <w:rsid w:val="00353F41"/>
    <w:rsid w:val="00354668"/>
    <w:rsid w:val="00354B14"/>
    <w:rsid w:val="00354B90"/>
    <w:rsid w:val="00354F93"/>
    <w:rsid w:val="00354FB4"/>
    <w:rsid w:val="00355AED"/>
    <w:rsid w:val="00356074"/>
    <w:rsid w:val="00356241"/>
    <w:rsid w:val="0035699C"/>
    <w:rsid w:val="0036010C"/>
    <w:rsid w:val="00360376"/>
    <w:rsid w:val="003607F3"/>
    <w:rsid w:val="0036103D"/>
    <w:rsid w:val="00361270"/>
    <w:rsid w:val="003616AD"/>
    <w:rsid w:val="00361A79"/>
    <w:rsid w:val="00361F38"/>
    <w:rsid w:val="003629EC"/>
    <w:rsid w:val="00362C2D"/>
    <w:rsid w:val="00362CAC"/>
    <w:rsid w:val="00363641"/>
    <w:rsid w:val="00365508"/>
    <w:rsid w:val="00365514"/>
    <w:rsid w:val="003660CD"/>
    <w:rsid w:val="00366498"/>
    <w:rsid w:val="0036653F"/>
    <w:rsid w:val="00366B7B"/>
    <w:rsid w:val="00366FAC"/>
    <w:rsid w:val="003677F9"/>
    <w:rsid w:val="00367C9E"/>
    <w:rsid w:val="00370AE4"/>
    <w:rsid w:val="00372129"/>
    <w:rsid w:val="00372846"/>
    <w:rsid w:val="00372AB7"/>
    <w:rsid w:val="00372F55"/>
    <w:rsid w:val="00372F74"/>
    <w:rsid w:val="00373A92"/>
    <w:rsid w:val="00373BA2"/>
    <w:rsid w:val="003743D0"/>
    <w:rsid w:val="003744C0"/>
    <w:rsid w:val="003744D1"/>
    <w:rsid w:val="0037732D"/>
    <w:rsid w:val="00377B74"/>
    <w:rsid w:val="003802DA"/>
    <w:rsid w:val="003806F1"/>
    <w:rsid w:val="003808BF"/>
    <w:rsid w:val="003809E1"/>
    <w:rsid w:val="00380B8E"/>
    <w:rsid w:val="00380DCB"/>
    <w:rsid w:val="00380E7D"/>
    <w:rsid w:val="00381131"/>
    <w:rsid w:val="00381840"/>
    <w:rsid w:val="00382D7C"/>
    <w:rsid w:val="0038319C"/>
    <w:rsid w:val="003834A9"/>
    <w:rsid w:val="0038397E"/>
    <w:rsid w:val="00383C45"/>
    <w:rsid w:val="00384BC6"/>
    <w:rsid w:val="00385BAC"/>
    <w:rsid w:val="003864F7"/>
    <w:rsid w:val="003865BA"/>
    <w:rsid w:val="0038664D"/>
    <w:rsid w:val="00387244"/>
    <w:rsid w:val="003873C8"/>
    <w:rsid w:val="00387408"/>
    <w:rsid w:val="00387409"/>
    <w:rsid w:val="00387502"/>
    <w:rsid w:val="00387C7D"/>
    <w:rsid w:val="00387F95"/>
    <w:rsid w:val="0039012B"/>
    <w:rsid w:val="00391F9D"/>
    <w:rsid w:val="00392156"/>
    <w:rsid w:val="00392534"/>
    <w:rsid w:val="00392CD7"/>
    <w:rsid w:val="00392D9B"/>
    <w:rsid w:val="00393383"/>
    <w:rsid w:val="0039379A"/>
    <w:rsid w:val="00393ACA"/>
    <w:rsid w:val="00393CC0"/>
    <w:rsid w:val="00394322"/>
    <w:rsid w:val="003945F9"/>
    <w:rsid w:val="00394DBE"/>
    <w:rsid w:val="00395481"/>
    <w:rsid w:val="00395541"/>
    <w:rsid w:val="00395AE7"/>
    <w:rsid w:val="00395BB6"/>
    <w:rsid w:val="00396826"/>
    <w:rsid w:val="0039689F"/>
    <w:rsid w:val="003969A7"/>
    <w:rsid w:val="003A0B6D"/>
    <w:rsid w:val="003A0CC2"/>
    <w:rsid w:val="003A0D3F"/>
    <w:rsid w:val="003A0DE8"/>
    <w:rsid w:val="003A10CF"/>
    <w:rsid w:val="003A2F2F"/>
    <w:rsid w:val="003A325A"/>
    <w:rsid w:val="003A3ADD"/>
    <w:rsid w:val="003A3B85"/>
    <w:rsid w:val="003A47E9"/>
    <w:rsid w:val="003A5609"/>
    <w:rsid w:val="003A5DD7"/>
    <w:rsid w:val="003A6DCF"/>
    <w:rsid w:val="003B1297"/>
    <w:rsid w:val="003B147C"/>
    <w:rsid w:val="003B2904"/>
    <w:rsid w:val="003B2AD1"/>
    <w:rsid w:val="003B34E2"/>
    <w:rsid w:val="003B37F6"/>
    <w:rsid w:val="003B384E"/>
    <w:rsid w:val="003B3F43"/>
    <w:rsid w:val="003B4440"/>
    <w:rsid w:val="003B44F9"/>
    <w:rsid w:val="003B489F"/>
    <w:rsid w:val="003B53DE"/>
    <w:rsid w:val="003B59E7"/>
    <w:rsid w:val="003B7C04"/>
    <w:rsid w:val="003B7C21"/>
    <w:rsid w:val="003C0227"/>
    <w:rsid w:val="003C0645"/>
    <w:rsid w:val="003C08EE"/>
    <w:rsid w:val="003C13AC"/>
    <w:rsid w:val="003C1501"/>
    <w:rsid w:val="003C1543"/>
    <w:rsid w:val="003C16A1"/>
    <w:rsid w:val="003C22E6"/>
    <w:rsid w:val="003C2B7A"/>
    <w:rsid w:val="003C31B5"/>
    <w:rsid w:val="003C4299"/>
    <w:rsid w:val="003C44DD"/>
    <w:rsid w:val="003C5188"/>
    <w:rsid w:val="003C7874"/>
    <w:rsid w:val="003D0065"/>
    <w:rsid w:val="003D16F4"/>
    <w:rsid w:val="003D17CE"/>
    <w:rsid w:val="003D1AB7"/>
    <w:rsid w:val="003D3517"/>
    <w:rsid w:val="003D5117"/>
    <w:rsid w:val="003D5516"/>
    <w:rsid w:val="003D62BB"/>
    <w:rsid w:val="003D7DBC"/>
    <w:rsid w:val="003E0821"/>
    <w:rsid w:val="003E13F1"/>
    <w:rsid w:val="003E1FD9"/>
    <w:rsid w:val="003E3519"/>
    <w:rsid w:val="003E3923"/>
    <w:rsid w:val="003E3B07"/>
    <w:rsid w:val="003E3BCC"/>
    <w:rsid w:val="003E3C2A"/>
    <w:rsid w:val="003E3D67"/>
    <w:rsid w:val="003E3F90"/>
    <w:rsid w:val="003E4313"/>
    <w:rsid w:val="003E4717"/>
    <w:rsid w:val="003E49B8"/>
    <w:rsid w:val="003E5301"/>
    <w:rsid w:val="003E54D8"/>
    <w:rsid w:val="003E57A0"/>
    <w:rsid w:val="003E5A67"/>
    <w:rsid w:val="003E666E"/>
    <w:rsid w:val="003E69D9"/>
    <w:rsid w:val="003E7D82"/>
    <w:rsid w:val="003E7DB6"/>
    <w:rsid w:val="003E7F46"/>
    <w:rsid w:val="003F0441"/>
    <w:rsid w:val="003F10F8"/>
    <w:rsid w:val="003F12C5"/>
    <w:rsid w:val="003F133C"/>
    <w:rsid w:val="003F1CA5"/>
    <w:rsid w:val="003F2155"/>
    <w:rsid w:val="003F230C"/>
    <w:rsid w:val="003F252F"/>
    <w:rsid w:val="003F264D"/>
    <w:rsid w:val="003F36EA"/>
    <w:rsid w:val="003F393A"/>
    <w:rsid w:val="003F3D55"/>
    <w:rsid w:val="003F3E84"/>
    <w:rsid w:val="003F46E7"/>
    <w:rsid w:val="003F4B13"/>
    <w:rsid w:val="003F581B"/>
    <w:rsid w:val="003F5B91"/>
    <w:rsid w:val="003F6F74"/>
    <w:rsid w:val="003F708C"/>
    <w:rsid w:val="003F7224"/>
    <w:rsid w:val="003F742C"/>
    <w:rsid w:val="003F7ABC"/>
    <w:rsid w:val="003F7C78"/>
    <w:rsid w:val="004003AE"/>
    <w:rsid w:val="004006C5"/>
    <w:rsid w:val="00401042"/>
    <w:rsid w:val="004020F2"/>
    <w:rsid w:val="0040286E"/>
    <w:rsid w:val="00402A3C"/>
    <w:rsid w:val="00403847"/>
    <w:rsid w:val="00404009"/>
    <w:rsid w:val="0040414C"/>
    <w:rsid w:val="0040432A"/>
    <w:rsid w:val="004044AE"/>
    <w:rsid w:val="00405972"/>
    <w:rsid w:val="004061D6"/>
    <w:rsid w:val="00406FCE"/>
    <w:rsid w:val="00407012"/>
    <w:rsid w:val="00410915"/>
    <w:rsid w:val="00410927"/>
    <w:rsid w:val="00411137"/>
    <w:rsid w:val="0041358D"/>
    <w:rsid w:val="00413F14"/>
    <w:rsid w:val="00414472"/>
    <w:rsid w:val="00414DF2"/>
    <w:rsid w:val="0041623B"/>
    <w:rsid w:val="0041699B"/>
    <w:rsid w:val="00417435"/>
    <w:rsid w:val="00420210"/>
    <w:rsid w:val="0042060D"/>
    <w:rsid w:val="004206BD"/>
    <w:rsid w:val="004209DB"/>
    <w:rsid w:val="004211DC"/>
    <w:rsid w:val="004216FC"/>
    <w:rsid w:val="004217CC"/>
    <w:rsid w:val="004230B3"/>
    <w:rsid w:val="00423F08"/>
    <w:rsid w:val="004241DF"/>
    <w:rsid w:val="0042452E"/>
    <w:rsid w:val="004245BB"/>
    <w:rsid w:val="004246DB"/>
    <w:rsid w:val="00424A0B"/>
    <w:rsid w:val="00426501"/>
    <w:rsid w:val="00426944"/>
    <w:rsid w:val="00426D92"/>
    <w:rsid w:val="0042766B"/>
    <w:rsid w:val="004276BD"/>
    <w:rsid w:val="00427C19"/>
    <w:rsid w:val="00427D21"/>
    <w:rsid w:val="00430758"/>
    <w:rsid w:val="004314D3"/>
    <w:rsid w:val="00431645"/>
    <w:rsid w:val="004336D1"/>
    <w:rsid w:val="004342E7"/>
    <w:rsid w:val="004347CA"/>
    <w:rsid w:val="00435B66"/>
    <w:rsid w:val="0043707D"/>
    <w:rsid w:val="00437953"/>
    <w:rsid w:val="00437EB0"/>
    <w:rsid w:val="004402E8"/>
    <w:rsid w:val="00440C32"/>
    <w:rsid w:val="00441700"/>
    <w:rsid w:val="00441FC6"/>
    <w:rsid w:val="004423E1"/>
    <w:rsid w:val="00442BEF"/>
    <w:rsid w:val="00442C94"/>
    <w:rsid w:val="00442F09"/>
    <w:rsid w:val="004438DF"/>
    <w:rsid w:val="00443A10"/>
    <w:rsid w:val="004440CB"/>
    <w:rsid w:val="00444262"/>
    <w:rsid w:val="0044436A"/>
    <w:rsid w:val="00444E92"/>
    <w:rsid w:val="00445AEB"/>
    <w:rsid w:val="00445E82"/>
    <w:rsid w:val="00446366"/>
    <w:rsid w:val="00446453"/>
    <w:rsid w:val="00447124"/>
    <w:rsid w:val="004471D2"/>
    <w:rsid w:val="00447632"/>
    <w:rsid w:val="00447AE6"/>
    <w:rsid w:val="00450881"/>
    <w:rsid w:val="004508E9"/>
    <w:rsid w:val="00450C8B"/>
    <w:rsid w:val="00450F81"/>
    <w:rsid w:val="004512E3"/>
    <w:rsid w:val="0045276B"/>
    <w:rsid w:val="00452C76"/>
    <w:rsid w:val="0045358C"/>
    <w:rsid w:val="00453786"/>
    <w:rsid w:val="0045518D"/>
    <w:rsid w:val="004559BE"/>
    <w:rsid w:val="004559D4"/>
    <w:rsid w:val="004572BA"/>
    <w:rsid w:val="00457946"/>
    <w:rsid w:val="004608CC"/>
    <w:rsid w:val="004608DF"/>
    <w:rsid w:val="0046193C"/>
    <w:rsid w:val="00461E3E"/>
    <w:rsid w:val="00461F3E"/>
    <w:rsid w:val="0046260E"/>
    <w:rsid w:val="004632F0"/>
    <w:rsid w:val="0046365B"/>
    <w:rsid w:val="00463DBA"/>
    <w:rsid w:val="00463F94"/>
    <w:rsid w:val="004640EE"/>
    <w:rsid w:val="004644C2"/>
    <w:rsid w:val="00464E41"/>
    <w:rsid w:val="00465D55"/>
    <w:rsid w:val="004667A0"/>
    <w:rsid w:val="0046688D"/>
    <w:rsid w:val="0046760A"/>
    <w:rsid w:val="004678BE"/>
    <w:rsid w:val="00467A56"/>
    <w:rsid w:val="00467AAC"/>
    <w:rsid w:val="00467F9C"/>
    <w:rsid w:val="00470009"/>
    <w:rsid w:val="00470D06"/>
    <w:rsid w:val="00471C5B"/>
    <w:rsid w:val="00471DDC"/>
    <w:rsid w:val="004723EF"/>
    <w:rsid w:val="00474AEA"/>
    <w:rsid w:val="00475718"/>
    <w:rsid w:val="00475910"/>
    <w:rsid w:val="00475A41"/>
    <w:rsid w:val="00477193"/>
    <w:rsid w:val="00477270"/>
    <w:rsid w:val="00477A0C"/>
    <w:rsid w:val="00477C5A"/>
    <w:rsid w:val="00477F27"/>
    <w:rsid w:val="00480344"/>
    <w:rsid w:val="0048156B"/>
    <w:rsid w:val="00481F70"/>
    <w:rsid w:val="00483740"/>
    <w:rsid w:val="0048482B"/>
    <w:rsid w:val="00484E75"/>
    <w:rsid w:val="00485524"/>
    <w:rsid w:val="0048615E"/>
    <w:rsid w:val="00486895"/>
    <w:rsid w:val="00487734"/>
    <w:rsid w:val="00487B7F"/>
    <w:rsid w:val="00490108"/>
    <w:rsid w:val="00491CBD"/>
    <w:rsid w:val="004928C3"/>
    <w:rsid w:val="0049292D"/>
    <w:rsid w:val="00494C69"/>
    <w:rsid w:val="00496CAA"/>
    <w:rsid w:val="00496DCB"/>
    <w:rsid w:val="004971C0"/>
    <w:rsid w:val="004A1A88"/>
    <w:rsid w:val="004A202D"/>
    <w:rsid w:val="004A28CC"/>
    <w:rsid w:val="004A3874"/>
    <w:rsid w:val="004A3D84"/>
    <w:rsid w:val="004A3DE9"/>
    <w:rsid w:val="004A478A"/>
    <w:rsid w:val="004A56E8"/>
    <w:rsid w:val="004A5B00"/>
    <w:rsid w:val="004A5E79"/>
    <w:rsid w:val="004A632A"/>
    <w:rsid w:val="004B07C0"/>
    <w:rsid w:val="004B118C"/>
    <w:rsid w:val="004B1AE9"/>
    <w:rsid w:val="004B2974"/>
    <w:rsid w:val="004B3A5F"/>
    <w:rsid w:val="004B4CE8"/>
    <w:rsid w:val="004B4D67"/>
    <w:rsid w:val="004B52A9"/>
    <w:rsid w:val="004B5647"/>
    <w:rsid w:val="004B6DDE"/>
    <w:rsid w:val="004C074E"/>
    <w:rsid w:val="004C0B9D"/>
    <w:rsid w:val="004C0DAC"/>
    <w:rsid w:val="004C1797"/>
    <w:rsid w:val="004C183A"/>
    <w:rsid w:val="004C183D"/>
    <w:rsid w:val="004C18A5"/>
    <w:rsid w:val="004C2DDB"/>
    <w:rsid w:val="004C3867"/>
    <w:rsid w:val="004C3DD1"/>
    <w:rsid w:val="004C44BE"/>
    <w:rsid w:val="004C478A"/>
    <w:rsid w:val="004C4B9F"/>
    <w:rsid w:val="004C5634"/>
    <w:rsid w:val="004C5704"/>
    <w:rsid w:val="004C593B"/>
    <w:rsid w:val="004C5B17"/>
    <w:rsid w:val="004C6DE0"/>
    <w:rsid w:val="004C7211"/>
    <w:rsid w:val="004C753F"/>
    <w:rsid w:val="004C7DC2"/>
    <w:rsid w:val="004D02BF"/>
    <w:rsid w:val="004D09A1"/>
    <w:rsid w:val="004D13C9"/>
    <w:rsid w:val="004D18F9"/>
    <w:rsid w:val="004D2A3C"/>
    <w:rsid w:val="004D2B20"/>
    <w:rsid w:val="004D2C4B"/>
    <w:rsid w:val="004D2CCA"/>
    <w:rsid w:val="004D2F51"/>
    <w:rsid w:val="004D2F67"/>
    <w:rsid w:val="004D33E1"/>
    <w:rsid w:val="004D43A1"/>
    <w:rsid w:val="004D5A2A"/>
    <w:rsid w:val="004D5EEA"/>
    <w:rsid w:val="004D6C16"/>
    <w:rsid w:val="004D703C"/>
    <w:rsid w:val="004D7231"/>
    <w:rsid w:val="004D73F6"/>
    <w:rsid w:val="004D790E"/>
    <w:rsid w:val="004D7D08"/>
    <w:rsid w:val="004E0174"/>
    <w:rsid w:val="004E049B"/>
    <w:rsid w:val="004E0B8D"/>
    <w:rsid w:val="004E1951"/>
    <w:rsid w:val="004E201B"/>
    <w:rsid w:val="004E2BDC"/>
    <w:rsid w:val="004E2DD6"/>
    <w:rsid w:val="004E3DB0"/>
    <w:rsid w:val="004E3F6C"/>
    <w:rsid w:val="004E4405"/>
    <w:rsid w:val="004E4DC5"/>
    <w:rsid w:val="004E5DC2"/>
    <w:rsid w:val="004F016A"/>
    <w:rsid w:val="004F04C4"/>
    <w:rsid w:val="004F1160"/>
    <w:rsid w:val="004F129F"/>
    <w:rsid w:val="004F1340"/>
    <w:rsid w:val="004F145E"/>
    <w:rsid w:val="004F16E7"/>
    <w:rsid w:val="004F1B7C"/>
    <w:rsid w:val="004F3A42"/>
    <w:rsid w:val="004F3FC8"/>
    <w:rsid w:val="004F4C7E"/>
    <w:rsid w:val="004F5513"/>
    <w:rsid w:val="004F6112"/>
    <w:rsid w:val="004F655B"/>
    <w:rsid w:val="004F65B2"/>
    <w:rsid w:val="004F6794"/>
    <w:rsid w:val="004F6914"/>
    <w:rsid w:val="004F6948"/>
    <w:rsid w:val="004F6D34"/>
    <w:rsid w:val="004F6D9E"/>
    <w:rsid w:val="004F6F91"/>
    <w:rsid w:val="004F70A8"/>
    <w:rsid w:val="005008CC"/>
    <w:rsid w:val="00500A40"/>
    <w:rsid w:val="00501B54"/>
    <w:rsid w:val="00501C81"/>
    <w:rsid w:val="0050251E"/>
    <w:rsid w:val="00503377"/>
    <w:rsid w:val="00503D88"/>
    <w:rsid w:val="00504D94"/>
    <w:rsid w:val="00505ABC"/>
    <w:rsid w:val="00506481"/>
    <w:rsid w:val="0050667D"/>
    <w:rsid w:val="00506808"/>
    <w:rsid w:val="00507222"/>
    <w:rsid w:val="00507B89"/>
    <w:rsid w:val="00507C49"/>
    <w:rsid w:val="00510A21"/>
    <w:rsid w:val="0051107D"/>
    <w:rsid w:val="00511310"/>
    <w:rsid w:val="0051161B"/>
    <w:rsid w:val="005118E6"/>
    <w:rsid w:val="00513596"/>
    <w:rsid w:val="005138EB"/>
    <w:rsid w:val="005139F9"/>
    <w:rsid w:val="00513D26"/>
    <w:rsid w:val="005141FB"/>
    <w:rsid w:val="005143FE"/>
    <w:rsid w:val="00514C15"/>
    <w:rsid w:val="005153F0"/>
    <w:rsid w:val="00515992"/>
    <w:rsid w:val="00515E2E"/>
    <w:rsid w:val="005168E6"/>
    <w:rsid w:val="00517654"/>
    <w:rsid w:val="00517A7E"/>
    <w:rsid w:val="00517AE6"/>
    <w:rsid w:val="00520486"/>
    <w:rsid w:val="00520921"/>
    <w:rsid w:val="00520AC2"/>
    <w:rsid w:val="00522733"/>
    <w:rsid w:val="0052286D"/>
    <w:rsid w:val="00523561"/>
    <w:rsid w:val="0052368A"/>
    <w:rsid w:val="00523F3E"/>
    <w:rsid w:val="00524C27"/>
    <w:rsid w:val="005250E9"/>
    <w:rsid w:val="00525773"/>
    <w:rsid w:val="0052587E"/>
    <w:rsid w:val="00525C37"/>
    <w:rsid w:val="0052634A"/>
    <w:rsid w:val="005264F8"/>
    <w:rsid w:val="00527AC7"/>
    <w:rsid w:val="00527CA7"/>
    <w:rsid w:val="00527D0A"/>
    <w:rsid w:val="00530E1E"/>
    <w:rsid w:val="0053139E"/>
    <w:rsid w:val="00531453"/>
    <w:rsid w:val="00531B69"/>
    <w:rsid w:val="0053308E"/>
    <w:rsid w:val="005333B9"/>
    <w:rsid w:val="00533A05"/>
    <w:rsid w:val="00534681"/>
    <w:rsid w:val="00535185"/>
    <w:rsid w:val="005354A9"/>
    <w:rsid w:val="00535BD9"/>
    <w:rsid w:val="00535D82"/>
    <w:rsid w:val="00535DFC"/>
    <w:rsid w:val="00535E6B"/>
    <w:rsid w:val="00535FF5"/>
    <w:rsid w:val="00536DBF"/>
    <w:rsid w:val="00537184"/>
    <w:rsid w:val="005373CB"/>
    <w:rsid w:val="005373D3"/>
    <w:rsid w:val="00537522"/>
    <w:rsid w:val="00537C75"/>
    <w:rsid w:val="00537FEF"/>
    <w:rsid w:val="0054013D"/>
    <w:rsid w:val="00540496"/>
    <w:rsid w:val="005405D7"/>
    <w:rsid w:val="00540DCB"/>
    <w:rsid w:val="0054114E"/>
    <w:rsid w:val="00543C33"/>
    <w:rsid w:val="0054404A"/>
    <w:rsid w:val="0054429B"/>
    <w:rsid w:val="005463B9"/>
    <w:rsid w:val="00546A5B"/>
    <w:rsid w:val="00547135"/>
    <w:rsid w:val="00547207"/>
    <w:rsid w:val="0054779C"/>
    <w:rsid w:val="00547BEA"/>
    <w:rsid w:val="00550F40"/>
    <w:rsid w:val="0055218F"/>
    <w:rsid w:val="00552232"/>
    <w:rsid w:val="0055227A"/>
    <w:rsid w:val="00552537"/>
    <w:rsid w:val="005527C0"/>
    <w:rsid w:val="00554206"/>
    <w:rsid w:val="00554D9D"/>
    <w:rsid w:val="005556A5"/>
    <w:rsid w:val="00555EDE"/>
    <w:rsid w:val="00560088"/>
    <w:rsid w:val="005600AC"/>
    <w:rsid w:val="005601BE"/>
    <w:rsid w:val="00560285"/>
    <w:rsid w:val="00560636"/>
    <w:rsid w:val="00561255"/>
    <w:rsid w:val="00561445"/>
    <w:rsid w:val="00562B2C"/>
    <w:rsid w:val="0056328A"/>
    <w:rsid w:val="00563442"/>
    <w:rsid w:val="00563B52"/>
    <w:rsid w:val="0056481A"/>
    <w:rsid w:val="00564E6D"/>
    <w:rsid w:val="0056515D"/>
    <w:rsid w:val="00565307"/>
    <w:rsid w:val="0056570F"/>
    <w:rsid w:val="00565B20"/>
    <w:rsid w:val="00565B42"/>
    <w:rsid w:val="00565BCD"/>
    <w:rsid w:val="00566507"/>
    <w:rsid w:val="00566941"/>
    <w:rsid w:val="00566C29"/>
    <w:rsid w:val="00566F86"/>
    <w:rsid w:val="00567E24"/>
    <w:rsid w:val="00571244"/>
    <w:rsid w:val="00571379"/>
    <w:rsid w:val="005719F3"/>
    <w:rsid w:val="00571DB7"/>
    <w:rsid w:val="005720B8"/>
    <w:rsid w:val="005731F0"/>
    <w:rsid w:val="005735CE"/>
    <w:rsid w:val="00573D1D"/>
    <w:rsid w:val="00573DFE"/>
    <w:rsid w:val="00573E6C"/>
    <w:rsid w:val="005747BA"/>
    <w:rsid w:val="005749D2"/>
    <w:rsid w:val="00574A09"/>
    <w:rsid w:val="00575AC1"/>
    <w:rsid w:val="00575C1C"/>
    <w:rsid w:val="00575D16"/>
    <w:rsid w:val="0057721C"/>
    <w:rsid w:val="00580192"/>
    <w:rsid w:val="005805B0"/>
    <w:rsid w:val="00581244"/>
    <w:rsid w:val="005812CC"/>
    <w:rsid w:val="00581CBE"/>
    <w:rsid w:val="005829C6"/>
    <w:rsid w:val="00582AF7"/>
    <w:rsid w:val="00582B57"/>
    <w:rsid w:val="00582BE6"/>
    <w:rsid w:val="00582C28"/>
    <w:rsid w:val="00583219"/>
    <w:rsid w:val="005832A3"/>
    <w:rsid w:val="00583522"/>
    <w:rsid w:val="0058385D"/>
    <w:rsid w:val="00583A9B"/>
    <w:rsid w:val="00583FC8"/>
    <w:rsid w:val="00584876"/>
    <w:rsid w:val="00584A6C"/>
    <w:rsid w:val="00585130"/>
    <w:rsid w:val="00586190"/>
    <w:rsid w:val="0058654B"/>
    <w:rsid w:val="00586637"/>
    <w:rsid w:val="005866B1"/>
    <w:rsid w:val="005873A3"/>
    <w:rsid w:val="0059009B"/>
    <w:rsid w:val="00590F60"/>
    <w:rsid w:val="005910FD"/>
    <w:rsid w:val="0059148B"/>
    <w:rsid w:val="00591498"/>
    <w:rsid w:val="005918AE"/>
    <w:rsid w:val="00592AE5"/>
    <w:rsid w:val="00593526"/>
    <w:rsid w:val="00593D23"/>
    <w:rsid w:val="00594160"/>
    <w:rsid w:val="00594A17"/>
    <w:rsid w:val="005950B7"/>
    <w:rsid w:val="005957E3"/>
    <w:rsid w:val="005971BD"/>
    <w:rsid w:val="005973EB"/>
    <w:rsid w:val="00597553"/>
    <w:rsid w:val="00597E6C"/>
    <w:rsid w:val="005A0157"/>
    <w:rsid w:val="005A07CA"/>
    <w:rsid w:val="005A0988"/>
    <w:rsid w:val="005A106B"/>
    <w:rsid w:val="005A107A"/>
    <w:rsid w:val="005A177C"/>
    <w:rsid w:val="005A1803"/>
    <w:rsid w:val="005A1C81"/>
    <w:rsid w:val="005A1CED"/>
    <w:rsid w:val="005A1D2E"/>
    <w:rsid w:val="005A2D33"/>
    <w:rsid w:val="005A2E2C"/>
    <w:rsid w:val="005A4F7C"/>
    <w:rsid w:val="005A5148"/>
    <w:rsid w:val="005A5E75"/>
    <w:rsid w:val="005A6654"/>
    <w:rsid w:val="005A6A48"/>
    <w:rsid w:val="005A79CC"/>
    <w:rsid w:val="005A7A72"/>
    <w:rsid w:val="005A7C3E"/>
    <w:rsid w:val="005A7DD6"/>
    <w:rsid w:val="005A7E00"/>
    <w:rsid w:val="005A7FF6"/>
    <w:rsid w:val="005B0732"/>
    <w:rsid w:val="005B18AC"/>
    <w:rsid w:val="005B18D2"/>
    <w:rsid w:val="005B203B"/>
    <w:rsid w:val="005B231E"/>
    <w:rsid w:val="005B3D2A"/>
    <w:rsid w:val="005B4401"/>
    <w:rsid w:val="005B481E"/>
    <w:rsid w:val="005B654A"/>
    <w:rsid w:val="005B6775"/>
    <w:rsid w:val="005B6CC8"/>
    <w:rsid w:val="005B71A0"/>
    <w:rsid w:val="005B7258"/>
    <w:rsid w:val="005B747A"/>
    <w:rsid w:val="005B7D96"/>
    <w:rsid w:val="005C0013"/>
    <w:rsid w:val="005C01FE"/>
    <w:rsid w:val="005C024F"/>
    <w:rsid w:val="005C058B"/>
    <w:rsid w:val="005C06E2"/>
    <w:rsid w:val="005C0790"/>
    <w:rsid w:val="005C1552"/>
    <w:rsid w:val="005C1619"/>
    <w:rsid w:val="005C186D"/>
    <w:rsid w:val="005C1FD4"/>
    <w:rsid w:val="005C22DA"/>
    <w:rsid w:val="005C286F"/>
    <w:rsid w:val="005C2995"/>
    <w:rsid w:val="005C3044"/>
    <w:rsid w:val="005C3A5A"/>
    <w:rsid w:val="005C4A0B"/>
    <w:rsid w:val="005C4AF6"/>
    <w:rsid w:val="005C4CE6"/>
    <w:rsid w:val="005C5DED"/>
    <w:rsid w:val="005C6FD6"/>
    <w:rsid w:val="005C728A"/>
    <w:rsid w:val="005C72FF"/>
    <w:rsid w:val="005C7BE5"/>
    <w:rsid w:val="005C7F6A"/>
    <w:rsid w:val="005D11FC"/>
    <w:rsid w:val="005D2179"/>
    <w:rsid w:val="005D45D9"/>
    <w:rsid w:val="005D55F6"/>
    <w:rsid w:val="005D5633"/>
    <w:rsid w:val="005D5850"/>
    <w:rsid w:val="005D5C7F"/>
    <w:rsid w:val="005D5F97"/>
    <w:rsid w:val="005D6EB7"/>
    <w:rsid w:val="005D783E"/>
    <w:rsid w:val="005E0759"/>
    <w:rsid w:val="005E0EBB"/>
    <w:rsid w:val="005E0ED2"/>
    <w:rsid w:val="005E1260"/>
    <w:rsid w:val="005E1430"/>
    <w:rsid w:val="005E1ABE"/>
    <w:rsid w:val="005E30AD"/>
    <w:rsid w:val="005E3D69"/>
    <w:rsid w:val="005E45A7"/>
    <w:rsid w:val="005E4974"/>
    <w:rsid w:val="005E4CFE"/>
    <w:rsid w:val="005E5A1F"/>
    <w:rsid w:val="005E6867"/>
    <w:rsid w:val="005E7AEF"/>
    <w:rsid w:val="005E7E13"/>
    <w:rsid w:val="005F01A8"/>
    <w:rsid w:val="005F0232"/>
    <w:rsid w:val="005F0BC6"/>
    <w:rsid w:val="005F12FF"/>
    <w:rsid w:val="005F150D"/>
    <w:rsid w:val="005F16A2"/>
    <w:rsid w:val="005F2933"/>
    <w:rsid w:val="005F3D05"/>
    <w:rsid w:val="005F3F00"/>
    <w:rsid w:val="005F53FB"/>
    <w:rsid w:val="005F56AE"/>
    <w:rsid w:val="005F57A5"/>
    <w:rsid w:val="005F64A5"/>
    <w:rsid w:val="005F659C"/>
    <w:rsid w:val="005F69FE"/>
    <w:rsid w:val="005F6D73"/>
    <w:rsid w:val="005F7AF3"/>
    <w:rsid w:val="00600027"/>
    <w:rsid w:val="006002D3"/>
    <w:rsid w:val="00600328"/>
    <w:rsid w:val="00601157"/>
    <w:rsid w:val="006012C3"/>
    <w:rsid w:val="006019BD"/>
    <w:rsid w:val="00602098"/>
    <w:rsid w:val="00602495"/>
    <w:rsid w:val="006027C6"/>
    <w:rsid w:val="00602DEE"/>
    <w:rsid w:val="00602FA9"/>
    <w:rsid w:val="0060393E"/>
    <w:rsid w:val="006039FB"/>
    <w:rsid w:val="00603FF3"/>
    <w:rsid w:val="00604838"/>
    <w:rsid w:val="00604C67"/>
    <w:rsid w:val="006054BB"/>
    <w:rsid w:val="006059C6"/>
    <w:rsid w:val="00605C28"/>
    <w:rsid w:val="00605C94"/>
    <w:rsid w:val="00605E50"/>
    <w:rsid w:val="00606268"/>
    <w:rsid w:val="00606510"/>
    <w:rsid w:val="00606761"/>
    <w:rsid w:val="00606BB3"/>
    <w:rsid w:val="00607055"/>
    <w:rsid w:val="00607888"/>
    <w:rsid w:val="00607A55"/>
    <w:rsid w:val="00610646"/>
    <w:rsid w:val="006119DF"/>
    <w:rsid w:val="00611FEE"/>
    <w:rsid w:val="00612137"/>
    <w:rsid w:val="006122BA"/>
    <w:rsid w:val="0061275F"/>
    <w:rsid w:val="00612B47"/>
    <w:rsid w:val="00613496"/>
    <w:rsid w:val="00613955"/>
    <w:rsid w:val="006147CE"/>
    <w:rsid w:val="00615288"/>
    <w:rsid w:val="006153B4"/>
    <w:rsid w:val="006157F9"/>
    <w:rsid w:val="00616BEA"/>
    <w:rsid w:val="00616C42"/>
    <w:rsid w:val="0061715D"/>
    <w:rsid w:val="006172F0"/>
    <w:rsid w:val="006179E6"/>
    <w:rsid w:val="00620DF5"/>
    <w:rsid w:val="00620FDE"/>
    <w:rsid w:val="00621225"/>
    <w:rsid w:val="006216B4"/>
    <w:rsid w:val="00621EA1"/>
    <w:rsid w:val="00622B41"/>
    <w:rsid w:val="006239F2"/>
    <w:rsid w:val="00626D06"/>
    <w:rsid w:val="0062748E"/>
    <w:rsid w:val="006275BD"/>
    <w:rsid w:val="00627DEB"/>
    <w:rsid w:val="006300C8"/>
    <w:rsid w:val="00630F25"/>
    <w:rsid w:val="006311F2"/>
    <w:rsid w:val="006312EF"/>
    <w:rsid w:val="00631BE0"/>
    <w:rsid w:val="00631F6B"/>
    <w:rsid w:val="006320D4"/>
    <w:rsid w:val="00632DD1"/>
    <w:rsid w:val="00632E72"/>
    <w:rsid w:val="00632F60"/>
    <w:rsid w:val="0063303F"/>
    <w:rsid w:val="006335DB"/>
    <w:rsid w:val="006335EB"/>
    <w:rsid w:val="00633BA2"/>
    <w:rsid w:val="00633C10"/>
    <w:rsid w:val="00634302"/>
    <w:rsid w:val="00634347"/>
    <w:rsid w:val="00635790"/>
    <w:rsid w:val="00635F61"/>
    <w:rsid w:val="006365D3"/>
    <w:rsid w:val="00636961"/>
    <w:rsid w:val="006369AA"/>
    <w:rsid w:val="00636F99"/>
    <w:rsid w:val="00637078"/>
    <w:rsid w:val="00637757"/>
    <w:rsid w:val="006407C0"/>
    <w:rsid w:val="006407D7"/>
    <w:rsid w:val="00640937"/>
    <w:rsid w:val="00640E1A"/>
    <w:rsid w:val="00640F42"/>
    <w:rsid w:val="006412B3"/>
    <w:rsid w:val="00641543"/>
    <w:rsid w:val="006418B8"/>
    <w:rsid w:val="006419FC"/>
    <w:rsid w:val="00641CF8"/>
    <w:rsid w:val="0064275B"/>
    <w:rsid w:val="00642B2B"/>
    <w:rsid w:val="00642EA7"/>
    <w:rsid w:val="00643479"/>
    <w:rsid w:val="00643DA8"/>
    <w:rsid w:val="00643F06"/>
    <w:rsid w:val="00643F0A"/>
    <w:rsid w:val="00644127"/>
    <w:rsid w:val="006442A3"/>
    <w:rsid w:val="006447A0"/>
    <w:rsid w:val="0064593E"/>
    <w:rsid w:val="00645BD7"/>
    <w:rsid w:val="00646638"/>
    <w:rsid w:val="006469D4"/>
    <w:rsid w:val="00647397"/>
    <w:rsid w:val="006504C4"/>
    <w:rsid w:val="00650665"/>
    <w:rsid w:val="00651048"/>
    <w:rsid w:val="00651580"/>
    <w:rsid w:val="00651927"/>
    <w:rsid w:val="00651A27"/>
    <w:rsid w:val="00651A31"/>
    <w:rsid w:val="00652557"/>
    <w:rsid w:val="0065325E"/>
    <w:rsid w:val="00654523"/>
    <w:rsid w:val="0065532C"/>
    <w:rsid w:val="00655B0F"/>
    <w:rsid w:val="00655E3B"/>
    <w:rsid w:val="0065659F"/>
    <w:rsid w:val="0065729B"/>
    <w:rsid w:val="00657998"/>
    <w:rsid w:val="00661094"/>
    <w:rsid w:val="006619E9"/>
    <w:rsid w:val="006622B4"/>
    <w:rsid w:val="00662AA2"/>
    <w:rsid w:val="00662F17"/>
    <w:rsid w:val="00663606"/>
    <w:rsid w:val="006637FD"/>
    <w:rsid w:val="00663DF1"/>
    <w:rsid w:val="00664403"/>
    <w:rsid w:val="00664A9F"/>
    <w:rsid w:val="00664C1E"/>
    <w:rsid w:val="006654C6"/>
    <w:rsid w:val="00665ECB"/>
    <w:rsid w:val="006668F2"/>
    <w:rsid w:val="00666B21"/>
    <w:rsid w:val="0066734A"/>
    <w:rsid w:val="00667382"/>
    <w:rsid w:val="00670242"/>
    <w:rsid w:val="00670EC5"/>
    <w:rsid w:val="00671160"/>
    <w:rsid w:val="00671173"/>
    <w:rsid w:val="006714DA"/>
    <w:rsid w:val="00671A3B"/>
    <w:rsid w:val="00671BF9"/>
    <w:rsid w:val="00671C6D"/>
    <w:rsid w:val="006725C4"/>
    <w:rsid w:val="006728ED"/>
    <w:rsid w:val="00672AE7"/>
    <w:rsid w:val="00672DF2"/>
    <w:rsid w:val="006732B7"/>
    <w:rsid w:val="00673362"/>
    <w:rsid w:val="00673591"/>
    <w:rsid w:val="006739D0"/>
    <w:rsid w:val="00674816"/>
    <w:rsid w:val="006750AD"/>
    <w:rsid w:val="00675A50"/>
    <w:rsid w:val="006760D5"/>
    <w:rsid w:val="00676129"/>
    <w:rsid w:val="00676360"/>
    <w:rsid w:val="00677F62"/>
    <w:rsid w:val="0068012A"/>
    <w:rsid w:val="00680740"/>
    <w:rsid w:val="00680AFE"/>
    <w:rsid w:val="00680DFC"/>
    <w:rsid w:val="00682EBC"/>
    <w:rsid w:val="00683C43"/>
    <w:rsid w:val="00683EE5"/>
    <w:rsid w:val="00685244"/>
    <w:rsid w:val="00685EA7"/>
    <w:rsid w:val="00687288"/>
    <w:rsid w:val="006873F5"/>
    <w:rsid w:val="00687441"/>
    <w:rsid w:val="006903C1"/>
    <w:rsid w:val="00690988"/>
    <w:rsid w:val="006909B9"/>
    <w:rsid w:val="00690C66"/>
    <w:rsid w:val="00690DBC"/>
    <w:rsid w:val="006918DB"/>
    <w:rsid w:val="00691A2A"/>
    <w:rsid w:val="00691C73"/>
    <w:rsid w:val="006930D4"/>
    <w:rsid w:val="00693A22"/>
    <w:rsid w:val="006943AE"/>
    <w:rsid w:val="00694BA0"/>
    <w:rsid w:val="00694DB6"/>
    <w:rsid w:val="00694ECB"/>
    <w:rsid w:val="006950C0"/>
    <w:rsid w:val="0069525C"/>
    <w:rsid w:val="0069545B"/>
    <w:rsid w:val="00695A7E"/>
    <w:rsid w:val="00695DA4"/>
    <w:rsid w:val="0069603A"/>
    <w:rsid w:val="00697C81"/>
    <w:rsid w:val="006A0AC6"/>
    <w:rsid w:val="006A0AF6"/>
    <w:rsid w:val="006A0E5B"/>
    <w:rsid w:val="006A0EB8"/>
    <w:rsid w:val="006A170B"/>
    <w:rsid w:val="006A1DE4"/>
    <w:rsid w:val="006A2F87"/>
    <w:rsid w:val="006A3101"/>
    <w:rsid w:val="006A311F"/>
    <w:rsid w:val="006A3658"/>
    <w:rsid w:val="006A393F"/>
    <w:rsid w:val="006A4344"/>
    <w:rsid w:val="006A48EE"/>
    <w:rsid w:val="006A4B75"/>
    <w:rsid w:val="006A6F44"/>
    <w:rsid w:val="006A6FB0"/>
    <w:rsid w:val="006A7683"/>
    <w:rsid w:val="006A7684"/>
    <w:rsid w:val="006A78D5"/>
    <w:rsid w:val="006A7F70"/>
    <w:rsid w:val="006B08B1"/>
    <w:rsid w:val="006B0B3C"/>
    <w:rsid w:val="006B1FB4"/>
    <w:rsid w:val="006B202E"/>
    <w:rsid w:val="006B21B9"/>
    <w:rsid w:val="006B2290"/>
    <w:rsid w:val="006B23E2"/>
    <w:rsid w:val="006B2F21"/>
    <w:rsid w:val="006B3178"/>
    <w:rsid w:val="006B35E1"/>
    <w:rsid w:val="006B3B08"/>
    <w:rsid w:val="006B4176"/>
    <w:rsid w:val="006B4A0C"/>
    <w:rsid w:val="006B555A"/>
    <w:rsid w:val="006B6A2D"/>
    <w:rsid w:val="006B72B8"/>
    <w:rsid w:val="006B76A8"/>
    <w:rsid w:val="006B7D7F"/>
    <w:rsid w:val="006B7F14"/>
    <w:rsid w:val="006C01A8"/>
    <w:rsid w:val="006C03E3"/>
    <w:rsid w:val="006C06AA"/>
    <w:rsid w:val="006C16AF"/>
    <w:rsid w:val="006C16C8"/>
    <w:rsid w:val="006C1F1A"/>
    <w:rsid w:val="006C2AEC"/>
    <w:rsid w:val="006C3348"/>
    <w:rsid w:val="006C3C99"/>
    <w:rsid w:val="006C4E6D"/>
    <w:rsid w:val="006C5B88"/>
    <w:rsid w:val="006C6BD7"/>
    <w:rsid w:val="006C777B"/>
    <w:rsid w:val="006C7FDA"/>
    <w:rsid w:val="006D22E6"/>
    <w:rsid w:val="006D2452"/>
    <w:rsid w:val="006D27BC"/>
    <w:rsid w:val="006D2A57"/>
    <w:rsid w:val="006D2DCB"/>
    <w:rsid w:val="006D2FAF"/>
    <w:rsid w:val="006D34C8"/>
    <w:rsid w:val="006D36EA"/>
    <w:rsid w:val="006D38D5"/>
    <w:rsid w:val="006D3E7C"/>
    <w:rsid w:val="006D44FF"/>
    <w:rsid w:val="006D4D0D"/>
    <w:rsid w:val="006D5797"/>
    <w:rsid w:val="006D5AEF"/>
    <w:rsid w:val="006D63E5"/>
    <w:rsid w:val="006D7D9C"/>
    <w:rsid w:val="006E18EC"/>
    <w:rsid w:val="006E213B"/>
    <w:rsid w:val="006E2346"/>
    <w:rsid w:val="006E2504"/>
    <w:rsid w:val="006E365D"/>
    <w:rsid w:val="006E3A75"/>
    <w:rsid w:val="006E3CF9"/>
    <w:rsid w:val="006E5542"/>
    <w:rsid w:val="006E5688"/>
    <w:rsid w:val="006E5A71"/>
    <w:rsid w:val="006E61C7"/>
    <w:rsid w:val="006E6548"/>
    <w:rsid w:val="006E6C52"/>
    <w:rsid w:val="006E6C6E"/>
    <w:rsid w:val="006E743F"/>
    <w:rsid w:val="006E75F8"/>
    <w:rsid w:val="006E762F"/>
    <w:rsid w:val="006E7CF7"/>
    <w:rsid w:val="006F02DD"/>
    <w:rsid w:val="006F09E6"/>
    <w:rsid w:val="006F219D"/>
    <w:rsid w:val="006F320A"/>
    <w:rsid w:val="006F3B7E"/>
    <w:rsid w:val="006F3F07"/>
    <w:rsid w:val="006F45DC"/>
    <w:rsid w:val="006F4661"/>
    <w:rsid w:val="006F4670"/>
    <w:rsid w:val="006F5095"/>
    <w:rsid w:val="006F5A31"/>
    <w:rsid w:val="006F5E98"/>
    <w:rsid w:val="006F6AF2"/>
    <w:rsid w:val="006F6EE3"/>
    <w:rsid w:val="006F793F"/>
    <w:rsid w:val="006F7AA2"/>
    <w:rsid w:val="00700096"/>
    <w:rsid w:val="0070080B"/>
    <w:rsid w:val="00700ECD"/>
    <w:rsid w:val="00700F04"/>
    <w:rsid w:val="00700F57"/>
    <w:rsid w:val="00701001"/>
    <w:rsid w:val="00703013"/>
    <w:rsid w:val="007032AD"/>
    <w:rsid w:val="00703A10"/>
    <w:rsid w:val="00703ED5"/>
    <w:rsid w:val="007042E9"/>
    <w:rsid w:val="007046E7"/>
    <w:rsid w:val="007047F8"/>
    <w:rsid w:val="00704C56"/>
    <w:rsid w:val="00704E7B"/>
    <w:rsid w:val="0070532C"/>
    <w:rsid w:val="007054AC"/>
    <w:rsid w:val="00705C3D"/>
    <w:rsid w:val="00706050"/>
    <w:rsid w:val="00706339"/>
    <w:rsid w:val="007066A4"/>
    <w:rsid w:val="00710269"/>
    <w:rsid w:val="00710AD4"/>
    <w:rsid w:val="00710D42"/>
    <w:rsid w:val="00711E83"/>
    <w:rsid w:val="007130D3"/>
    <w:rsid w:val="007137CD"/>
    <w:rsid w:val="007141E8"/>
    <w:rsid w:val="007147E2"/>
    <w:rsid w:val="00714F4D"/>
    <w:rsid w:val="00715548"/>
    <w:rsid w:val="00715A19"/>
    <w:rsid w:val="007165B5"/>
    <w:rsid w:val="00716761"/>
    <w:rsid w:val="00716B36"/>
    <w:rsid w:val="00717D88"/>
    <w:rsid w:val="00717F0C"/>
    <w:rsid w:val="00720771"/>
    <w:rsid w:val="00720CF1"/>
    <w:rsid w:val="00720D5C"/>
    <w:rsid w:val="00720E4D"/>
    <w:rsid w:val="007225D0"/>
    <w:rsid w:val="00722846"/>
    <w:rsid w:val="00722F7D"/>
    <w:rsid w:val="00723436"/>
    <w:rsid w:val="007234A6"/>
    <w:rsid w:val="00724088"/>
    <w:rsid w:val="007242DB"/>
    <w:rsid w:val="007249F5"/>
    <w:rsid w:val="00724AF1"/>
    <w:rsid w:val="00724DDF"/>
    <w:rsid w:val="00725490"/>
    <w:rsid w:val="00725BFC"/>
    <w:rsid w:val="00725E29"/>
    <w:rsid w:val="00725EA1"/>
    <w:rsid w:val="0072790B"/>
    <w:rsid w:val="007303DB"/>
    <w:rsid w:val="0073048B"/>
    <w:rsid w:val="007308A2"/>
    <w:rsid w:val="00732D43"/>
    <w:rsid w:val="00732E9E"/>
    <w:rsid w:val="00733FC4"/>
    <w:rsid w:val="00735756"/>
    <w:rsid w:val="007357BF"/>
    <w:rsid w:val="00736A73"/>
    <w:rsid w:val="0073799D"/>
    <w:rsid w:val="007400AA"/>
    <w:rsid w:val="00740795"/>
    <w:rsid w:val="00740F95"/>
    <w:rsid w:val="0074265C"/>
    <w:rsid w:val="007429C1"/>
    <w:rsid w:val="0074370A"/>
    <w:rsid w:val="00743C91"/>
    <w:rsid w:val="00743CD3"/>
    <w:rsid w:val="007443F0"/>
    <w:rsid w:val="00744B41"/>
    <w:rsid w:val="00744D30"/>
    <w:rsid w:val="0074593A"/>
    <w:rsid w:val="007459F7"/>
    <w:rsid w:val="00745B42"/>
    <w:rsid w:val="00745C34"/>
    <w:rsid w:val="007460BB"/>
    <w:rsid w:val="00746C3D"/>
    <w:rsid w:val="00747098"/>
    <w:rsid w:val="007478B3"/>
    <w:rsid w:val="00747CC4"/>
    <w:rsid w:val="00747EC1"/>
    <w:rsid w:val="0075050F"/>
    <w:rsid w:val="00750617"/>
    <w:rsid w:val="007508C0"/>
    <w:rsid w:val="00750979"/>
    <w:rsid w:val="00750D6D"/>
    <w:rsid w:val="0075184E"/>
    <w:rsid w:val="00751928"/>
    <w:rsid w:val="00751EC0"/>
    <w:rsid w:val="007523D5"/>
    <w:rsid w:val="00752940"/>
    <w:rsid w:val="00752F13"/>
    <w:rsid w:val="00753DAE"/>
    <w:rsid w:val="007547D1"/>
    <w:rsid w:val="00754ABC"/>
    <w:rsid w:val="00754B33"/>
    <w:rsid w:val="00754D5A"/>
    <w:rsid w:val="00755215"/>
    <w:rsid w:val="00755561"/>
    <w:rsid w:val="00755DEE"/>
    <w:rsid w:val="00756850"/>
    <w:rsid w:val="00756D6E"/>
    <w:rsid w:val="00757267"/>
    <w:rsid w:val="007572EF"/>
    <w:rsid w:val="0075798E"/>
    <w:rsid w:val="00757F9A"/>
    <w:rsid w:val="007600A1"/>
    <w:rsid w:val="00760BE8"/>
    <w:rsid w:val="00761622"/>
    <w:rsid w:val="007628FF"/>
    <w:rsid w:val="007629C1"/>
    <w:rsid w:val="007629E3"/>
    <w:rsid w:val="00763948"/>
    <w:rsid w:val="00764597"/>
    <w:rsid w:val="007668C6"/>
    <w:rsid w:val="00767AD6"/>
    <w:rsid w:val="00770145"/>
    <w:rsid w:val="00770F8D"/>
    <w:rsid w:val="00770FA9"/>
    <w:rsid w:val="00771E0E"/>
    <w:rsid w:val="00772B87"/>
    <w:rsid w:val="0077351F"/>
    <w:rsid w:val="00773EA9"/>
    <w:rsid w:val="00773F9A"/>
    <w:rsid w:val="00775069"/>
    <w:rsid w:val="0077547F"/>
    <w:rsid w:val="00775A1C"/>
    <w:rsid w:val="00782AA7"/>
    <w:rsid w:val="00783099"/>
    <w:rsid w:val="00783C8E"/>
    <w:rsid w:val="0078442C"/>
    <w:rsid w:val="0078488C"/>
    <w:rsid w:val="00785032"/>
    <w:rsid w:val="00785430"/>
    <w:rsid w:val="00785A1A"/>
    <w:rsid w:val="00786056"/>
    <w:rsid w:val="00786AF9"/>
    <w:rsid w:val="00787A14"/>
    <w:rsid w:val="007903BD"/>
    <w:rsid w:val="00790F2A"/>
    <w:rsid w:val="00791BAF"/>
    <w:rsid w:val="0079266A"/>
    <w:rsid w:val="007930A4"/>
    <w:rsid w:val="0079314B"/>
    <w:rsid w:val="007933A1"/>
    <w:rsid w:val="007942D3"/>
    <w:rsid w:val="00794371"/>
    <w:rsid w:val="00794BDD"/>
    <w:rsid w:val="00796161"/>
    <w:rsid w:val="007967EA"/>
    <w:rsid w:val="00796D71"/>
    <w:rsid w:val="00797880"/>
    <w:rsid w:val="00797EDB"/>
    <w:rsid w:val="007A01A7"/>
    <w:rsid w:val="007A05CD"/>
    <w:rsid w:val="007A08DF"/>
    <w:rsid w:val="007A11A6"/>
    <w:rsid w:val="007A185D"/>
    <w:rsid w:val="007A1E68"/>
    <w:rsid w:val="007A21AD"/>
    <w:rsid w:val="007A23C3"/>
    <w:rsid w:val="007A26CC"/>
    <w:rsid w:val="007A2BB2"/>
    <w:rsid w:val="007A371F"/>
    <w:rsid w:val="007A3F90"/>
    <w:rsid w:val="007A3FEE"/>
    <w:rsid w:val="007A40F1"/>
    <w:rsid w:val="007A413E"/>
    <w:rsid w:val="007A5716"/>
    <w:rsid w:val="007A5B86"/>
    <w:rsid w:val="007A5D4F"/>
    <w:rsid w:val="007A5EAF"/>
    <w:rsid w:val="007A5FF9"/>
    <w:rsid w:val="007A64CF"/>
    <w:rsid w:val="007A69F0"/>
    <w:rsid w:val="007A707F"/>
    <w:rsid w:val="007B00CD"/>
    <w:rsid w:val="007B1ECB"/>
    <w:rsid w:val="007B1EE1"/>
    <w:rsid w:val="007B2099"/>
    <w:rsid w:val="007B2531"/>
    <w:rsid w:val="007B29F3"/>
    <w:rsid w:val="007B308B"/>
    <w:rsid w:val="007B341C"/>
    <w:rsid w:val="007B3FDA"/>
    <w:rsid w:val="007B477A"/>
    <w:rsid w:val="007B59C2"/>
    <w:rsid w:val="007B626F"/>
    <w:rsid w:val="007B62D6"/>
    <w:rsid w:val="007B6C09"/>
    <w:rsid w:val="007B7167"/>
    <w:rsid w:val="007B7741"/>
    <w:rsid w:val="007B789B"/>
    <w:rsid w:val="007B7EF2"/>
    <w:rsid w:val="007C01F4"/>
    <w:rsid w:val="007C055C"/>
    <w:rsid w:val="007C1227"/>
    <w:rsid w:val="007C1268"/>
    <w:rsid w:val="007C1E0A"/>
    <w:rsid w:val="007C2DE6"/>
    <w:rsid w:val="007C3261"/>
    <w:rsid w:val="007C3366"/>
    <w:rsid w:val="007C350C"/>
    <w:rsid w:val="007C4169"/>
    <w:rsid w:val="007C47FA"/>
    <w:rsid w:val="007C4DFD"/>
    <w:rsid w:val="007C561C"/>
    <w:rsid w:val="007C56FC"/>
    <w:rsid w:val="007C581F"/>
    <w:rsid w:val="007C62D7"/>
    <w:rsid w:val="007C6314"/>
    <w:rsid w:val="007C79CF"/>
    <w:rsid w:val="007D00D9"/>
    <w:rsid w:val="007D0676"/>
    <w:rsid w:val="007D0F9D"/>
    <w:rsid w:val="007D2348"/>
    <w:rsid w:val="007D250F"/>
    <w:rsid w:val="007D2ACC"/>
    <w:rsid w:val="007D3048"/>
    <w:rsid w:val="007D420A"/>
    <w:rsid w:val="007D425F"/>
    <w:rsid w:val="007D4957"/>
    <w:rsid w:val="007D4B87"/>
    <w:rsid w:val="007D5202"/>
    <w:rsid w:val="007D59F3"/>
    <w:rsid w:val="007D5E4F"/>
    <w:rsid w:val="007D61B4"/>
    <w:rsid w:val="007E0714"/>
    <w:rsid w:val="007E07C7"/>
    <w:rsid w:val="007E09DA"/>
    <w:rsid w:val="007E3149"/>
    <w:rsid w:val="007E3940"/>
    <w:rsid w:val="007E3AC0"/>
    <w:rsid w:val="007E3C65"/>
    <w:rsid w:val="007E3E5D"/>
    <w:rsid w:val="007E5803"/>
    <w:rsid w:val="007E5BF2"/>
    <w:rsid w:val="007E6DAB"/>
    <w:rsid w:val="007E702F"/>
    <w:rsid w:val="007E7267"/>
    <w:rsid w:val="007E7F71"/>
    <w:rsid w:val="007F0024"/>
    <w:rsid w:val="007F024E"/>
    <w:rsid w:val="007F027C"/>
    <w:rsid w:val="007F0A7C"/>
    <w:rsid w:val="007F0CA8"/>
    <w:rsid w:val="007F0CE8"/>
    <w:rsid w:val="007F0D04"/>
    <w:rsid w:val="007F20F0"/>
    <w:rsid w:val="007F39A1"/>
    <w:rsid w:val="007F3F13"/>
    <w:rsid w:val="007F4170"/>
    <w:rsid w:val="007F45EB"/>
    <w:rsid w:val="007F5190"/>
    <w:rsid w:val="007F5213"/>
    <w:rsid w:val="007F53F5"/>
    <w:rsid w:val="007F57DC"/>
    <w:rsid w:val="007F5D35"/>
    <w:rsid w:val="007F63B4"/>
    <w:rsid w:val="007F67B4"/>
    <w:rsid w:val="007F6C32"/>
    <w:rsid w:val="007F6FAD"/>
    <w:rsid w:val="007F7323"/>
    <w:rsid w:val="00800A2D"/>
    <w:rsid w:val="00800ABE"/>
    <w:rsid w:val="00800DA6"/>
    <w:rsid w:val="00801536"/>
    <w:rsid w:val="008022D8"/>
    <w:rsid w:val="008023E9"/>
    <w:rsid w:val="00802755"/>
    <w:rsid w:val="0080279B"/>
    <w:rsid w:val="00803E64"/>
    <w:rsid w:val="00803FCA"/>
    <w:rsid w:val="00804286"/>
    <w:rsid w:val="008049CC"/>
    <w:rsid w:val="00805048"/>
    <w:rsid w:val="008068EB"/>
    <w:rsid w:val="00806A02"/>
    <w:rsid w:val="00807192"/>
    <w:rsid w:val="008073D6"/>
    <w:rsid w:val="00807E22"/>
    <w:rsid w:val="0081018E"/>
    <w:rsid w:val="0081037E"/>
    <w:rsid w:val="00810410"/>
    <w:rsid w:val="008107AF"/>
    <w:rsid w:val="008114CF"/>
    <w:rsid w:val="0081195A"/>
    <w:rsid w:val="00811965"/>
    <w:rsid w:val="008120AE"/>
    <w:rsid w:val="00812132"/>
    <w:rsid w:val="008125A7"/>
    <w:rsid w:val="008127F1"/>
    <w:rsid w:val="008128D2"/>
    <w:rsid w:val="00813E4E"/>
    <w:rsid w:val="008144B0"/>
    <w:rsid w:val="00814769"/>
    <w:rsid w:val="008147C7"/>
    <w:rsid w:val="0081522F"/>
    <w:rsid w:val="008156F8"/>
    <w:rsid w:val="00815AA7"/>
    <w:rsid w:val="008165BA"/>
    <w:rsid w:val="008166D0"/>
    <w:rsid w:val="008178B6"/>
    <w:rsid w:val="00817E50"/>
    <w:rsid w:val="00817EF0"/>
    <w:rsid w:val="00820031"/>
    <w:rsid w:val="00821364"/>
    <w:rsid w:val="008213B9"/>
    <w:rsid w:val="00821828"/>
    <w:rsid w:val="00821A95"/>
    <w:rsid w:val="00821BA5"/>
    <w:rsid w:val="00821DE4"/>
    <w:rsid w:val="0082249A"/>
    <w:rsid w:val="00822701"/>
    <w:rsid w:val="00822EE0"/>
    <w:rsid w:val="00823841"/>
    <w:rsid w:val="00823EBF"/>
    <w:rsid w:val="00824D43"/>
    <w:rsid w:val="00824EF9"/>
    <w:rsid w:val="00825BE5"/>
    <w:rsid w:val="00826162"/>
    <w:rsid w:val="00826989"/>
    <w:rsid w:val="008272F1"/>
    <w:rsid w:val="00827E91"/>
    <w:rsid w:val="00827FEE"/>
    <w:rsid w:val="008303EF"/>
    <w:rsid w:val="008309A3"/>
    <w:rsid w:val="00830AE1"/>
    <w:rsid w:val="008319FD"/>
    <w:rsid w:val="008331D8"/>
    <w:rsid w:val="0083359E"/>
    <w:rsid w:val="00833B2D"/>
    <w:rsid w:val="0083440B"/>
    <w:rsid w:val="00834EE7"/>
    <w:rsid w:val="00835078"/>
    <w:rsid w:val="008358A9"/>
    <w:rsid w:val="00835E06"/>
    <w:rsid w:val="00835F8F"/>
    <w:rsid w:val="00836848"/>
    <w:rsid w:val="00836873"/>
    <w:rsid w:val="00836CC0"/>
    <w:rsid w:val="008377F3"/>
    <w:rsid w:val="0083796B"/>
    <w:rsid w:val="00837DA1"/>
    <w:rsid w:val="00837F84"/>
    <w:rsid w:val="0084062A"/>
    <w:rsid w:val="00840860"/>
    <w:rsid w:val="00840B84"/>
    <w:rsid w:val="00842FF6"/>
    <w:rsid w:val="00843105"/>
    <w:rsid w:val="00844530"/>
    <w:rsid w:val="008447A3"/>
    <w:rsid w:val="00844D84"/>
    <w:rsid w:val="00845198"/>
    <w:rsid w:val="00846496"/>
    <w:rsid w:val="00846C5C"/>
    <w:rsid w:val="00851375"/>
    <w:rsid w:val="008519C2"/>
    <w:rsid w:val="00851A41"/>
    <w:rsid w:val="008521DB"/>
    <w:rsid w:val="00852971"/>
    <w:rsid w:val="00852A61"/>
    <w:rsid w:val="00852CBF"/>
    <w:rsid w:val="00853231"/>
    <w:rsid w:val="0085568C"/>
    <w:rsid w:val="00855AFF"/>
    <w:rsid w:val="00855B51"/>
    <w:rsid w:val="00855B78"/>
    <w:rsid w:val="00855EB9"/>
    <w:rsid w:val="008561B7"/>
    <w:rsid w:val="00856234"/>
    <w:rsid w:val="00857D51"/>
    <w:rsid w:val="00860236"/>
    <w:rsid w:val="00860832"/>
    <w:rsid w:val="008615BB"/>
    <w:rsid w:val="00861F51"/>
    <w:rsid w:val="008629E4"/>
    <w:rsid w:val="00862C6C"/>
    <w:rsid w:val="00863C43"/>
    <w:rsid w:val="00863E06"/>
    <w:rsid w:val="00864098"/>
    <w:rsid w:val="00864A31"/>
    <w:rsid w:val="00865B05"/>
    <w:rsid w:val="00865B74"/>
    <w:rsid w:val="00866BE2"/>
    <w:rsid w:val="008703E8"/>
    <w:rsid w:val="00870557"/>
    <w:rsid w:val="00870B5E"/>
    <w:rsid w:val="00870DA1"/>
    <w:rsid w:val="00870DFC"/>
    <w:rsid w:val="00870FD9"/>
    <w:rsid w:val="008723C5"/>
    <w:rsid w:val="00873422"/>
    <w:rsid w:val="008736E8"/>
    <w:rsid w:val="00873CDB"/>
    <w:rsid w:val="008752CE"/>
    <w:rsid w:val="00875A95"/>
    <w:rsid w:val="00875AF2"/>
    <w:rsid w:val="00875D3A"/>
    <w:rsid w:val="00877CD0"/>
    <w:rsid w:val="00877FF2"/>
    <w:rsid w:val="00880208"/>
    <w:rsid w:val="0088082D"/>
    <w:rsid w:val="0088098B"/>
    <w:rsid w:val="00880BFC"/>
    <w:rsid w:val="008814D8"/>
    <w:rsid w:val="0088174B"/>
    <w:rsid w:val="00881A69"/>
    <w:rsid w:val="00881BE1"/>
    <w:rsid w:val="00882534"/>
    <w:rsid w:val="0088277D"/>
    <w:rsid w:val="00882AF7"/>
    <w:rsid w:val="008832EC"/>
    <w:rsid w:val="00884632"/>
    <w:rsid w:val="00884704"/>
    <w:rsid w:val="008848F2"/>
    <w:rsid w:val="008851BE"/>
    <w:rsid w:val="008870DF"/>
    <w:rsid w:val="0088744A"/>
    <w:rsid w:val="008905BE"/>
    <w:rsid w:val="008912AC"/>
    <w:rsid w:val="00891D4C"/>
    <w:rsid w:val="0089394D"/>
    <w:rsid w:val="00893C7E"/>
    <w:rsid w:val="00893FBA"/>
    <w:rsid w:val="0089447E"/>
    <w:rsid w:val="00894BED"/>
    <w:rsid w:val="00894EAA"/>
    <w:rsid w:val="00896669"/>
    <w:rsid w:val="00896C76"/>
    <w:rsid w:val="008974F0"/>
    <w:rsid w:val="00897515"/>
    <w:rsid w:val="008A01F7"/>
    <w:rsid w:val="008A03F2"/>
    <w:rsid w:val="008A0D39"/>
    <w:rsid w:val="008A0D7F"/>
    <w:rsid w:val="008A1151"/>
    <w:rsid w:val="008A19E5"/>
    <w:rsid w:val="008A1C08"/>
    <w:rsid w:val="008A215C"/>
    <w:rsid w:val="008A3533"/>
    <w:rsid w:val="008A3E5C"/>
    <w:rsid w:val="008A3F64"/>
    <w:rsid w:val="008A57A8"/>
    <w:rsid w:val="008A6124"/>
    <w:rsid w:val="008A6465"/>
    <w:rsid w:val="008A65AB"/>
    <w:rsid w:val="008A7C0D"/>
    <w:rsid w:val="008A7C64"/>
    <w:rsid w:val="008B012A"/>
    <w:rsid w:val="008B040F"/>
    <w:rsid w:val="008B25F6"/>
    <w:rsid w:val="008B2708"/>
    <w:rsid w:val="008B2F7C"/>
    <w:rsid w:val="008B3CFD"/>
    <w:rsid w:val="008B4332"/>
    <w:rsid w:val="008B4916"/>
    <w:rsid w:val="008B5D58"/>
    <w:rsid w:val="008B662F"/>
    <w:rsid w:val="008B66EE"/>
    <w:rsid w:val="008B740B"/>
    <w:rsid w:val="008B7DF4"/>
    <w:rsid w:val="008C08DF"/>
    <w:rsid w:val="008C1796"/>
    <w:rsid w:val="008C18A1"/>
    <w:rsid w:val="008C1B24"/>
    <w:rsid w:val="008C203D"/>
    <w:rsid w:val="008C22D4"/>
    <w:rsid w:val="008C23F4"/>
    <w:rsid w:val="008C25D7"/>
    <w:rsid w:val="008C378F"/>
    <w:rsid w:val="008C379F"/>
    <w:rsid w:val="008C3C0B"/>
    <w:rsid w:val="008C4131"/>
    <w:rsid w:val="008C416A"/>
    <w:rsid w:val="008C47BB"/>
    <w:rsid w:val="008C6B94"/>
    <w:rsid w:val="008C7600"/>
    <w:rsid w:val="008C7612"/>
    <w:rsid w:val="008D00F1"/>
    <w:rsid w:val="008D11CE"/>
    <w:rsid w:val="008D14A1"/>
    <w:rsid w:val="008D1EA7"/>
    <w:rsid w:val="008D1F1E"/>
    <w:rsid w:val="008D21E3"/>
    <w:rsid w:val="008D252E"/>
    <w:rsid w:val="008D2937"/>
    <w:rsid w:val="008D3517"/>
    <w:rsid w:val="008D3ADF"/>
    <w:rsid w:val="008D45C5"/>
    <w:rsid w:val="008D4D00"/>
    <w:rsid w:val="008D4E5D"/>
    <w:rsid w:val="008D5232"/>
    <w:rsid w:val="008D5532"/>
    <w:rsid w:val="008D600D"/>
    <w:rsid w:val="008D6E26"/>
    <w:rsid w:val="008D761B"/>
    <w:rsid w:val="008D791D"/>
    <w:rsid w:val="008E00B8"/>
    <w:rsid w:val="008E0240"/>
    <w:rsid w:val="008E0F43"/>
    <w:rsid w:val="008E1135"/>
    <w:rsid w:val="008E1FA9"/>
    <w:rsid w:val="008E2D53"/>
    <w:rsid w:val="008E2F78"/>
    <w:rsid w:val="008E3028"/>
    <w:rsid w:val="008E315A"/>
    <w:rsid w:val="008E3266"/>
    <w:rsid w:val="008E4707"/>
    <w:rsid w:val="008E545E"/>
    <w:rsid w:val="008E564B"/>
    <w:rsid w:val="008E600B"/>
    <w:rsid w:val="008E63CE"/>
    <w:rsid w:val="008E6500"/>
    <w:rsid w:val="008E6736"/>
    <w:rsid w:val="008E73B0"/>
    <w:rsid w:val="008E789F"/>
    <w:rsid w:val="008F0FD9"/>
    <w:rsid w:val="008F12B6"/>
    <w:rsid w:val="008F2035"/>
    <w:rsid w:val="008F2719"/>
    <w:rsid w:val="008F2BD2"/>
    <w:rsid w:val="008F303C"/>
    <w:rsid w:val="008F3420"/>
    <w:rsid w:val="008F4E41"/>
    <w:rsid w:val="008F626F"/>
    <w:rsid w:val="008F630A"/>
    <w:rsid w:val="008F6776"/>
    <w:rsid w:val="0090075A"/>
    <w:rsid w:val="009018EF"/>
    <w:rsid w:val="00901E72"/>
    <w:rsid w:val="00901FD1"/>
    <w:rsid w:val="00902AC4"/>
    <w:rsid w:val="00902CAF"/>
    <w:rsid w:val="00902ECA"/>
    <w:rsid w:val="009033D3"/>
    <w:rsid w:val="00903CB1"/>
    <w:rsid w:val="00903CC8"/>
    <w:rsid w:val="00903CD7"/>
    <w:rsid w:val="00904059"/>
    <w:rsid w:val="00904D85"/>
    <w:rsid w:val="009064C5"/>
    <w:rsid w:val="00906AF9"/>
    <w:rsid w:val="00906E17"/>
    <w:rsid w:val="00906E74"/>
    <w:rsid w:val="009072D7"/>
    <w:rsid w:val="00910AF6"/>
    <w:rsid w:val="00911E7E"/>
    <w:rsid w:val="00912FBA"/>
    <w:rsid w:val="009138C0"/>
    <w:rsid w:val="00913EF6"/>
    <w:rsid w:val="00914008"/>
    <w:rsid w:val="00914126"/>
    <w:rsid w:val="0091526F"/>
    <w:rsid w:val="00915433"/>
    <w:rsid w:val="00915821"/>
    <w:rsid w:val="00915883"/>
    <w:rsid w:val="00915A52"/>
    <w:rsid w:val="009173E0"/>
    <w:rsid w:val="00917564"/>
    <w:rsid w:val="0091761B"/>
    <w:rsid w:val="00917C71"/>
    <w:rsid w:val="00920214"/>
    <w:rsid w:val="00920863"/>
    <w:rsid w:val="009219D6"/>
    <w:rsid w:val="0092203B"/>
    <w:rsid w:val="00922C03"/>
    <w:rsid w:val="00923260"/>
    <w:rsid w:val="00923A6F"/>
    <w:rsid w:val="00923CF8"/>
    <w:rsid w:val="009245B6"/>
    <w:rsid w:val="00924EBE"/>
    <w:rsid w:val="009251DA"/>
    <w:rsid w:val="00925342"/>
    <w:rsid w:val="009256B5"/>
    <w:rsid w:val="00925F15"/>
    <w:rsid w:val="009260D0"/>
    <w:rsid w:val="009263A9"/>
    <w:rsid w:val="00927B11"/>
    <w:rsid w:val="00927B64"/>
    <w:rsid w:val="00927BF8"/>
    <w:rsid w:val="00930BA1"/>
    <w:rsid w:val="00930CDE"/>
    <w:rsid w:val="00931133"/>
    <w:rsid w:val="0093132A"/>
    <w:rsid w:val="0093157A"/>
    <w:rsid w:val="0093169E"/>
    <w:rsid w:val="00931DDE"/>
    <w:rsid w:val="00932FDC"/>
    <w:rsid w:val="00933229"/>
    <w:rsid w:val="009337CF"/>
    <w:rsid w:val="00933E3B"/>
    <w:rsid w:val="00933F2C"/>
    <w:rsid w:val="00934228"/>
    <w:rsid w:val="00934F5C"/>
    <w:rsid w:val="009354B4"/>
    <w:rsid w:val="009355C5"/>
    <w:rsid w:val="009359E4"/>
    <w:rsid w:val="009403BC"/>
    <w:rsid w:val="00941A47"/>
    <w:rsid w:val="00941A54"/>
    <w:rsid w:val="00942CC3"/>
    <w:rsid w:val="0094301E"/>
    <w:rsid w:val="0094446B"/>
    <w:rsid w:val="009444C2"/>
    <w:rsid w:val="0094458E"/>
    <w:rsid w:val="00944892"/>
    <w:rsid w:val="00944AEF"/>
    <w:rsid w:val="009450C5"/>
    <w:rsid w:val="0094530D"/>
    <w:rsid w:val="009473EF"/>
    <w:rsid w:val="0094785D"/>
    <w:rsid w:val="009503C8"/>
    <w:rsid w:val="009504F6"/>
    <w:rsid w:val="009505C9"/>
    <w:rsid w:val="00950752"/>
    <w:rsid w:val="009508D2"/>
    <w:rsid w:val="00950BE4"/>
    <w:rsid w:val="00951193"/>
    <w:rsid w:val="00951B1F"/>
    <w:rsid w:val="00952864"/>
    <w:rsid w:val="0095385B"/>
    <w:rsid w:val="00953F53"/>
    <w:rsid w:val="00954094"/>
    <w:rsid w:val="0095465E"/>
    <w:rsid w:val="00955317"/>
    <w:rsid w:val="00955769"/>
    <w:rsid w:val="0095590D"/>
    <w:rsid w:val="00955BEA"/>
    <w:rsid w:val="00956664"/>
    <w:rsid w:val="009577B2"/>
    <w:rsid w:val="00960CCB"/>
    <w:rsid w:val="00961776"/>
    <w:rsid w:val="00961EDE"/>
    <w:rsid w:val="00961EEE"/>
    <w:rsid w:val="00962859"/>
    <w:rsid w:val="00962AA9"/>
    <w:rsid w:val="0096328D"/>
    <w:rsid w:val="00963618"/>
    <w:rsid w:val="00964710"/>
    <w:rsid w:val="0096486D"/>
    <w:rsid w:val="00964C2A"/>
    <w:rsid w:val="00966424"/>
    <w:rsid w:val="00966902"/>
    <w:rsid w:val="00966C80"/>
    <w:rsid w:val="00966D25"/>
    <w:rsid w:val="00967183"/>
    <w:rsid w:val="009675F5"/>
    <w:rsid w:val="00967F95"/>
    <w:rsid w:val="00970181"/>
    <w:rsid w:val="00970814"/>
    <w:rsid w:val="009710DF"/>
    <w:rsid w:val="00971995"/>
    <w:rsid w:val="00971AFF"/>
    <w:rsid w:val="009722A4"/>
    <w:rsid w:val="00972B2C"/>
    <w:rsid w:val="009734FB"/>
    <w:rsid w:val="00973630"/>
    <w:rsid w:val="00974C78"/>
    <w:rsid w:val="00975FD4"/>
    <w:rsid w:val="00976554"/>
    <w:rsid w:val="00976B90"/>
    <w:rsid w:val="00976CC9"/>
    <w:rsid w:val="00977493"/>
    <w:rsid w:val="0097779E"/>
    <w:rsid w:val="00977913"/>
    <w:rsid w:val="00980243"/>
    <w:rsid w:val="009812D5"/>
    <w:rsid w:val="00982800"/>
    <w:rsid w:val="00982FED"/>
    <w:rsid w:val="009836A3"/>
    <w:rsid w:val="00983A06"/>
    <w:rsid w:val="009842DC"/>
    <w:rsid w:val="00984CBA"/>
    <w:rsid w:val="009850A8"/>
    <w:rsid w:val="009857CD"/>
    <w:rsid w:val="00986C62"/>
    <w:rsid w:val="00987896"/>
    <w:rsid w:val="00987E79"/>
    <w:rsid w:val="00990987"/>
    <w:rsid w:val="00990E4E"/>
    <w:rsid w:val="00991198"/>
    <w:rsid w:val="009928A7"/>
    <w:rsid w:val="00992A2C"/>
    <w:rsid w:val="00992C71"/>
    <w:rsid w:val="009931B7"/>
    <w:rsid w:val="00993CF1"/>
    <w:rsid w:val="00993D71"/>
    <w:rsid w:val="00994B70"/>
    <w:rsid w:val="009952D5"/>
    <w:rsid w:val="00995EFB"/>
    <w:rsid w:val="00996828"/>
    <w:rsid w:val="00997FFD"/>
    <w:rsid w:val="009A004F"/>
    <w:rsid w:val="009A015B"/>
    <w:rsid w:val="009A0667"/>
    <w:rsid w:val="009A0848"/>
    <w:rsid w:val="009A0A69"/>
    <w:rsid w:val="009A153A"/>
    <w:rsid w:val="009A1743"/>
    <w:rsid w:val="009A23AD"/>
    <w:rsid w:val="009A2676"/>
    <w:rsid w:val="009A2CF8"/>
    <w:rsid w:val="009A2F26"/>
    <w:rsid w:val="009A385E"/>
    <w:rsid w:val="009A48E2"/>
    <w:rsid w:val="009A5051"/>
    <w:rsid w:val="009A627F"/>
    <w:rsid w:val="009A6FAD"/>
    <w:rsid w:val="009A7379"/>
    <w:rsid w:val="009B1493"/>
    <w:rsid w:val="009B1706"/>
    <w:rsid w:val="009B1873"/>
    <w:rsid w:val="009B1A75"/>
    <w:rsid w:val="009B1E69"/>
    <w:rsid w:val="009B28C1"/>
    <w:rsid w:val="009B30CE"/>
    <w:rsid w:val="009B36FD"/>
    <w:rsid w:val="009B377E"/>
    <w:rsid w:val="009B3C83"/>
    <w:rsid w:val="009B3E1F"/>
    <w:rsid w:val="009B40F1"/>
    <w:rsid w:val="009B45D4"/>
    <w:rsid w:val="009B50FC"/>
    <w:rsid w:val="009B568C"/>
    <w:rsid w:val="009B5F63"/>
    <w:rsid w:val="009B5FBC"/>
    <w:rsid w:val="009B68DB"/>
    <w:rsid w:val="009B69BD"/>
    <w:rsid w:val="009B6E08"/>
    <w:rsid w:val="009B733B"/>
    <w:rsid w:val="009B7739"/>
    <w:rsid w:val="009B7C8F"/>
    <w:rsid w:val="009B7EAB"/>
    <w:rsid w:val="009B7F03"/>
    <w:rsid w:val="009C042B"/>
    <w:rsid w:val="009C062D"/>
    <w:rsid w:val="009C135F"/>
    <w:rsid w:val="009C175D"/>
    <w:rsid w:val="009C2DE6"/>
    <w:rsid w:val="009C3025"/>
    <w:rsid w:val="009C3F87"/>
    <w:rsid w:val="009C685B"/>
    <w:rsid w:val="009C69E3"/>
    <w:rsid w:val="009C6D76"/>
    <w:rsid w:val="009C71E8"/>
    <w:rsid w:val="009C7F11"/>
    <w:rsid w:val="009D023F"/>
    <w:rsid w:val="009D0451"/>
    <w:rsid w:val="009D1043"/>
    <w:rsid w:val="009D1097"/>
    <w:rsid w:val="009D1DC6"/>
    <w:rsid w:val="009D476F"/>
    <w:rsid w:val="009D4FF8"/>
    <w:rsid w:val="009D54E8"/>
    <w:rsid w:val="009D5729"/>
    <w:rsid w:val="009D5E7C"/>
    <w:rsid w:val="009D5FC6"/>
    <w:rsid w:val="009D6341"/>
    <w:rsid w:val="009D67B0"/>
    <w:rsid w:val="009D7B90"/>
    <w:rsid w:val="009E01D9"/>
    <w:rsid w:val="009E0AE0"/>
    <w:rsid w:val="009E1F01"/>
    <w:rsid w:val="009E2B55"/>
    <w:rsid w:val="009E3373"/>
    <w:rsid w:val="009E3A90"/>
    <w:rsid w:val="009E3A9E"/>
    <w:rsid w:val="009E3CF1"/>
    <w:rsid w:val="009E45E9"/>
    <w:rsid w:val="009E60C7"/>
    <w:rsid w:val="009E6273"/>
    <w:rsid w:val="009E7062"/>
    <w:rsid w:val="009E743F"/>
    <w:rsid w:val="009E75D0"/>
    <w:rsid w:val="009F07EA"/>
    <w:rsid w:val="009F0F54"/>
    <w:rsid w:val="009F15B2"/>
    <w:rsid w:val="009F2217"/>
    <w:rsid w:val="009F2B08"/>
    <w:rsid w:val="009F3D59"/>
    <w:rsid w:val="009F3F57"/>
    <w:rsid w:val="009F4995"/>
    <w:rsid w:val="009F4E1D"/>
    <w:rsid w:val="009F501F"/>
    <w:rsid w:val="009F6051"/>
    <w:rsid w:val="009F649B"/>
    <w:rsid w:val="009F68CA"/>
    <w:rsid w:val="009F6A64"/>
    <w:rsid w:val="009F7469"/>
    <w:rsid w:val="009F75E9"/>
    <w:rsid w:val="009F7A90"/>
    <w:rsid w:val="00A00D31"/>
    <w:rsid w:val="00A02B7C"/>
    <w:rsid w:val="00A02D72"/>
    <w:rsid w:val="00A02D9D"/>
    <w:rsid w:val="00A03A66"/>
    <w:rsid w:val="00A04066"/>
    <w:rsid w:val="00A05F56"/>
    <w:rsid w:val="00A060C9"/>
    <w:rsid w:val="00A065A5"/>
    <w:rsid w:val="00A06784"/>
    <w:rsid w:val="00A0691E"/>
    <w:rsid w:val="00A069AB"/>
    <w:rsid w:val="00A06A61"/>
    <w:rsid w:val="00A07648"/>
    <w:rsid w:val="00A077D8"/>
    <w:rsid w:val="00A07A40"/>
    <w:rsid w:val="00A07C67"/>
    <w:rsid w:val="00A10058"/>
    <w:rsid w:val="00A109C9"/>
    <w:rsid w:val="00A10DC2"/>
    <w:rsid w:val="00A11A7E"/>
    <w:rsid w:val="00A1216E"/>
    <w:rsid w:val="00A124C1"/>
    <w:rsid w:val="00A12E3E"/>
    <w:rsid w:val="00A13472"/>
    <w:rsid w:val="00A135B7"/>
    <w:rsid w:val="00A1383D"/>
    <w:rsid w:val="00A139E2"/>
    <w:rsid w:val="00A13F89"/>
    <w:rsid w:val="00A14C2E"/>
    <w:rsid w:val="00A14FBF"/>
    <w:rsid w:val="00A15474"/>
    <w:rsid w:val="00A154F6"/>
    <w:rsid w:val="00A15C43"/>
    <w:rsid w:val="00A1652D"/>
    <w:rsid w:val="00A16B54"/>
    <w:rsid w:val="00A172B8"/>
    <w:rsid w:val="00A2001F"/>
    <w:rsid w:val="00A20ABE"/>
    <w:rsid w:val="00A20F9E"/>
    <w:rsid w:val="00A21142"/>
    <w:rsid w:val="00A21D0D"/>
    <w:rsid w:val="00A22165"/>
    <w:rsid w:val="00A223E8"/>
    <w:rsid w:val="00A2310E"/>
    <w:rsid w:val="00A231E1"/>
    <w:rsid w:val="00A23359"/>
    <w:rsid w:val="00A23BD9"/>
    <w:rsid w:val="00A23C45"/>
    <w:rsid w:val="00A23F76"/>
    <w:rsid w:val="00A247FB"/>
    <w:rsid w:val="00A2484C"/>
    <w:rsid w:val="00A25187"/>
    <w:rsid w:val="00A25C08"/>
    <w:rsid w:val="00A260EC"/>
    <w:rsid w:val="00A266A0"/>
    <w:rsid w:val="00A26C24"/>
    <w:rsid w:val="00A26E48"/>
    <w:rsid w:val="00A27159"/>
    <w:rsid w:val="00A27B24"/>
    <w:rsid w:val="00A27DA3"/>
    <w:rsid w:val="00A301C7"/>
    <w:rsid w:val="00A30A64"/>
    <w:rsid w:val="00A31E49"/>
    <w:rsid w:val="00A31E98"/>
    <w:rsid w:val="00A324AA"/>
    <w:rsid w:val="00A3266B"/>
    <w:rsid w:val="00A32AE6"/>
    <w:rsid w:val="00A32B67"/>
    <w:rsid w:val="00A32B76"/>
    <w:rsid w:val="00A3381A"/>
    <w:rsid w:val="00A34181"/>
    <w:rsid w:val="00A34F17"/>
    <w:rsid w:val="00A35902"/>
    <w:rsid w:val="00A35D22"/>
    <w:rsid w:val="00A367E9"/>
    <w:rsid w:val="00A36FC9"/>
    <w:rsid w:val="00A3724C"/>
    <w:rsid w:val="00A37B47"/>
    <w:rsid w:val="00A40223"/>
    <w:rsid w:val="00A4030D"/>
    <w:rsid w:val="00A408F9"/>
    <w:rsid w:val="00A40A7E"/>
    <w:rsid w:val="00A41501"/>
    <w:rsid w:val="00A422B9"/>
    <w:rsid w:val="00A426D3"/>
    <w:rsid w:val="00A42981"/>
    <w:rsid w:val="00A43C12"/>
    <w:rsid w:val="00A43DE7"/>
    <w:rsid w:val="00A43F25"/>
    <w:rsid w:val="00A444ED"/>
    <w:rsid w:val="00A45471"/>
    <w:rsid w:val="00A46A4B"/>
    <w:rsid w:val="00A46A74"/>
    <w:rsid w:val="00A46C4C"/>
    <w:rsid w:val="00A470B1"/>
    <w:rsid w:val="00A47984"/>
    <w:rsid w:val="00A502C0"/>
    <w:rsid w:val="00A50395"/>
    <w:rsid w:val="00A503E5"/>
    <w:rsid w:val="00A524C2"/>
    <w:rsid w:val="00A528BE"/>
    <w:rsid w:val="00A532A5"/>
    <w:rsid w:val="00A53BDC"/>
    <w:rsid w:val="00A55301"/>
    <w:rsid w:val="00A55379"/>
    <w:rsid w:val="00A560FF"/>
    <w:rsid w:val="00A5664E"/>
    <w:rsid w:val="00A56829"/>
    <w:rsid w:val="00A5774A"/>
    <w:rsid w:val="00A57C5C"/>
    <w:rsid w:val="00A57DC7"/>
    <w:rsid w:val="00A62AA3"/>
    <w:rsid w:val="00A6300D"/>
    <w:rsid w:val="00A63A51"/>
    <w:rsid w:val="00A63CDD"/>
    <w:rsid w:val="00A64AC7"/>
    <w:rsid w:val="00A65056"/>
    <w:rsid w:val="00A6521E"/>
    <w:rsid w:val="00A668A6"/>
    <w:rsid w:val="00A6736C"/>
    <w:rsid w:val="00A67D8B"/>
    <w:rsid w:val="00A70DEA"/>
    <w:rsid w:val="00A70F23"/>
    <w:rsid w:val="00A71875"/>
    <w:rsid w:val="00A718E7"/>
    <w:rsid w:val="00A725BD"/>
    <w:rsid w:val="00A72E5B"/>
    <w:rsid w:val="00A730BC"/>
    <w:rsid w:val="00A7393D"/>
    <w:rsid w:val="00A7434A"/>
    <w:rsid w:val="00A743D6"/>
    <w:rsid w:val="00A74C55"/>
    <w:rsid w:val="00A75B2C"/>
    <w:rsid w:val="00A76686"/>
    <w:rsid w:val="00A7753C"/>
    <w:rsid w:val="00A77927"/>
    <w:rsid w:val="00A80534"/>
    <w:rsid w:val="00A8054A"/>
    <w:rsid w:val="00A810D4"/>
    <w:rsid w:val="00A818CD"/>
    <w:rsid w:val="00A82043"/>
    <w:rsid w:val="00A8373A"/>
    <w:rsid w:val="00A84B73"/>
    <w:rsid w:val="00A8574C"/>
    <w:rsid w:val="00A86370"/>
    <w:rsid w:val="00A86545"/>
    <w:rsid w:val="00A8676F"/>
    <w:rsid w:val="00A8716D"/>
    <w:rsid w:val="00A90409"/>
    <w:rsid w:val="00A90648"/>
    <w:rsid w:val="00A92ECA"/>
    <w:rsid w:val="00A92EEE"/>
    <w:rsid w:val="00A9383D"/>
    <w:rsid w:val="00A93F76"/>
    <w:rsid w:val="00A940EC"/>
    <w:rsid w:val="00A9431D"/>
    <w:rsid w:val="00A944A0"/>
    <w:rsid w:val="00A951CC"/>
    <w:rsid w:val="00A9581B"/>
    <w:rsid w:val="00A95887"/>
    <w:rsid w:val="00AA073F"/>
    <w:rsid w:val="00AA107F"/>
    <w:rsid w:val="00AA1457"/>
    <w:rsid w:val="00AA1F6A"/>
    <w:rsid w:val="00AA2126"/>
    <w:rsid w:val="00AA2433"/>
    <w:rsid w:val="00AA2528"/>
    <w:rsid w:val="00AA3C0A"/>
    <w:rsid w:val="00AA3C6C"/>
    <w:rsid w:val="00AA45D2"/>
    <w:rsid w:val="00AA54F1"/>
    <w:rsid w:val="00AA5602"/>
    <w:rsid w:val="00AA588F"/>
    <w:rsid w:val="00AA6EC2"/>
    <w:rsid w:val="00AA6F92"/>
    <w:rsid w:val="00AA70A9"/>
    <w:rsid w:val="00AA76BC"/>
    <w:rsid w:val="00AB0096"/>
    <w:rsid w:val="00AB17F9"/>
    <w:rsid w:val="00AB1A14"/>
    <w:rsid w:val="00AB1A5E"/>
    <w:rsid w:val="00AB1E31"/>
    <w:rsid w:val="00AB2199"/>
    <w:rsid w:val="00AB341C"/>
    <w:rsid w:val="00AB3D08"/>
    <w:rsid w:val="00AB4416"/>
    <w:rsid w:val="00AB4ADE"/>
    <w:rsid w:val="00AB4CF5"/>
    <w:rsid w:val="00AB6609"/>
    <w:rsid w:val="00AB6934"/>
    <w:rsid w:val="00AB6F72"/>
    <w:rsid w:val="00AB7864"/>
    <w:rsid w:val="00AB7ECF"/>
    <w:rsid w:val="00AC080D"/>
    <w:rsid w:val="00AC0EC5"/>
    <w:rsid w:val="00AC11AF"/>
    <w:rsid w:val="00AC36B8"/>
    <w:rsid w:val="00AC3C36"/>
    <w:rsid w:val="00AC3E0F"/>
    <w:rsid w:val="00AC43B5"/>
    <w:rsid w:val="00AC55F4"/>
    <w:rsid w:val="00AC6348"/>
    <w:rsid w:val="00AC6BD3"/>
    <w:rsid w:val="00AC7311"/>
    <w:rsid w:val="00AD0157"/>
    <w:rsid w:val="00AD056A"/>
    <w:rsid w:val="00AD0882"/>
    <w:rsid w:val="00AD1074"/>
    <w:rsid w:val="00AD2929"/>
    <w:rsid w:val="00AD3928"/>
    <w:rsid w:val="00AD4814"/>
    <w:rsid w:val="00AD48D8"/>
    <w:rsid w:val="00AD4E99"/>
    <w:rsid w:val="00AD5069"/>
    <w:rsid w:val="00AD51B6"/>
    <w:rsid w:val="00AD5C71"/>
    <w:rsid w:val="00AD6794"/>
    <w:rsid w:val="00AD6A97"/>
    <w:rsid w:val="00AD6BA0"/>
    <w:rsid w:val="00AD77C1"/>
    <w:rsid w:val="00AD78FE"/>
    <w:rsid w:val="00AE025B"/>
    <w:rsid w:val="00AE1A58"/>
    <w:rsid w:val="00AE1F8D"/>
    <w:rsid w:val="00AE221C"/>
    <w:rsid w:val="00AE2253"/>
    <w:rsid w:val="00AE3980"/>
    <w:rsid w:val="00AE41A6"/>
    <w:rsid w:val="00AE4C12"/>
    <w:rsid w:val="00AE555C"/>
    <w:rsid w:val="00AE7105"/>
    <w:rsid w:val="00AE727C"/>
    <w:rsid w:val="00AE7889"/>
    <w:rsid w:val="00AF0345"/>
    <w:rsid w:val="00AF04B1"/>
    <w:rsid w:val="00AF07BF"/>
    <w:rsid w:val="00AF07CB"/>
    <w:rsid w:val="00AF07F6"/>
    <w:rsid w:val="00AF0C0A"/>
    <w:rsid w:val="00AF19AC"/>
    <w:rsid w:val="00AF1AF7"/>
    <w:rsid w:val="00AF2026"/>
    <w:rsid w:val="00AF3251"/>
    <w:rsid w:val="00AF3ED2"/>
    <w:rsid w:val="00AF42B7"/>
    <w:rsid w:val="00AF42DE"/>
    <w:rsid w:val="00AF46F4"/>
    <w:rsid w:val="00AF5D9B"/>
    <w:rsid w:val="00AF5F84"/>
    <w:rsid w:val="00AF77BA"/>
    <w:rsid w:val="00AF7AA3"/>
    <w:rsid w:val="00AF7E74"/>
    <w:rsid w:val="00B00053"/>
    <w:rsid w:val="00B00DB8"/>
    <w:rsid w:val="00B013C2"/>
    <w:rsid w:val="00B02501"/>
    <w:rsid w:val="00B027F7"/>
    <w:rsid w:val="00B039D0"/>
    <w:rsid w:val="00B03C50"/>
    <w:rsid w:val="00B0401A"/>
    <w:rsid w:val="00B04877"/>
    <w:rsid w:val="00B05642"/>
    <w:rsid w:val="00B05E90"/>
    <w:rsid w:val="00B0602C"/>
    <w:rsid w:val="00B06193"/>
    <w:rsid w:val="00B06360"/>
    <w:rsid w:val="00B0640B"/>
    <w:rsid w:val="00B0649D"/>
    <w:rsid w:val="00B0655E"/>
    <w:rsid w:val="00B06710"/>
    <w:rsid w:val="00B07C9C"/>
    <w:rsid w:val="00B07CE5"/>
    <w:rsid w:val="00B10134"/>
    <w:rsid w:val="00B112E2"/>
    <w:rsid w:val="00B1288E"/>
    <w:rsid w:val="00B1325F"/>
    <w:rsid w:val="00B14010"/>
    <w:rsid w:val="00B14469"/>
    <w:rsid w:val="00B1495D"/>
    <w:rsid w:val="00B15151"/>
    <w:rsid w:val="00B15219"/>
    <w:rsid w:val="00B15638"/>
    <w:rsid w:val="00B15E4F"/>
    <w:rsid w:val="00B1645A"/>
    <w:rsid w:val="00B20490"/>
    <w:rsid w:val="00B20E1C"/>
    <w:rsid w:val="00B20E69"/>
    <w:rsid w:val="00B222DD"/>
    <w:rsid w:val="00B22830"/>
    <w:rsid w:val="00B22E16"/>
    <w:rsid w:val="00B22FFA"/>
    <w:rsid w:val="00B23F66"/>
    <w:rsid w:val="00B24075"/>
    <w:rsid w:val="00B24105"/>
    <w:rsid w:val="00B25140"/>
    <w:rsid w:val="00B26151"/>
    <w:rsid w:val="00B264FB"/>
    <w:rsid w:val="00B26640"/>
    <w:rsid w:val="00B26923"/>
    <w:rsid w:val="00B26B0F"/>
    <w:rsid w:val="00B30138"/>
    <w:rsid w:val="00B31182"/>
    <w:rsid w:val="00B3118F"/>
    <w:rsid w:val="00B3219B"/>
    <w:rsid w:val="00B32335"/>
    <w:rsid w:val="00B32751"/>
    <w:rsid w:val="00B335F3"/>
    <w:rsid w:val="00B3369F"/>
    <w:rsid w:val="00B33DAE"/>
    <w:rsid w:val="00B342FF"/>
    <w:rsid w:val="00B34A5E"/>
    <w:rsid w:val="00B34B5F"/>
    <w:rsid w:val="00B3517C"/>
    <w:rsid w:val="00B36079"/>
    <w:rsid w:val="00B367DC"/>
    <w:rsid w:val="00B3697D"/>
    <w:rsid w:val="00B369DE"/>
    <w:rsid w:val="00B37794"/>
    <w:rsid w:val="00B42107"/>
    <w:rsid w:val="00B42DCF"/>
    <w:rsid w:val="00B43BDA"/>
    <w:rsid w:val="00B453DE"/>
    <w:rsid w:val="00B4541C"/>
    <w:rsid w:val="00B4579F"/>
    <w:rsid w:val="00B457C5"/>
    <w:rsid w:val="00B5016B"/>
    <w:rsid w:val="00B50E31"/>
    <w:rsid w:val="00B51A15"/>
    <w:rsid w:val="00B52173"/>
    <w:rsid w:val="00B52C13"/>
    <w:rsid w:val="00B53507"/>
    <w:rsid w:val="00B53524"/>
    <w:rsid w:val="00B53863"/>
    <w:rsid w:val="00B5409E"/>
    <w:rsid w:val="00B543AA"/>
    <w:rsid w:val="00B54ED0"/>
    <w:rsid w:val="00B55DC4"/>
    <w:rsid w:val="00B55FBC"/>
    <w:rsid w:val="00B56100"/>
    <w:rsid w:val="00B563F3"/>
    <w:rsid w:val="00B5770C"/>
    <w:rsid w:val="00B57916"/>
    <w:rsid w:val="00B60BC8"/>
    <w:rsid w:val="00B60D6B"/>
    <w:rsid w:val="00B61BB6"/>
    <w:rsid w:val="00B6214D"/>
    <w:rsid w:val="00B62285"/>
    <w:rsid w:val="00B62D25"/>
    <w:rsid w:val="00B62EF7"/>
    <w:rsid w:val="00B63253"/>
    <w:rsid w:val="00B6328C"/>
    <w:rsid w:val="00B63AA2"/>
    <w:rsid w:val="00B64EF2"/>
    <w:rsid w:val="00B653C9"/>
    <w:rsid w:val="00B654B5"/>
    <w:rsid w:val="00B6579C"/>
    <w:rsid w:val="00B660DF"/>
    <w:rsid w:val="00B668F0"/>
    <w:rsid w:val="00B66FDF"/>
    <w:rsid w:val="00B70085"/>
    <w:rsid w:val="00B70992"/>
    <w:rsid w:val="00B71135"/>
    <w:rsid w:val="00B71698"/>
    <w:rsid w:val="00B71E32"/>
    <w:rsid w:val="00B72140"/>
    <w:rsid w:val="00B737C8"/>
    <w:rsid w:val="00B74711"/>
    <w:rsid w:val="00B75033"/>
    <w:rsid w:val="00B7524B"/>
    <w:rsid w:val="00B75410"/>
    <w:rsid w:val="00B75766"/>
    <w:rsid w:val="00B75D01"/>
    <w:rsid w:val="00B768ED"/>
    <w:rsid w:val="00B7693B"/>
    <w:rsid w:val="00B773E9"/>
    <w:rsid w:val="00B7741A"/>
    <w:rsid w:val="00B776BD"/>
    <w:rsid w:val="00B77924"/>
    <w:rsid w:val="00B77B3C"/>
    <w:rsid w:val="00B80FE8"/>
    <w:rsid w:val="00B81E4A"/>
    <w:rsid w:val="00B8228D"/>
    <w:rsid w:val="00B8275E"/>
    <w:rsid w:val="00B82E53"/>
    <w:rsid w:val="00B8303C"/>
    <w:rsid w:val="00B84595"/>
    <w:rsid w:val="00B845FE"/>
    <w:rsid w:val="00B84FB7"/>
    <w:rsid w:val="00B85063"/>
    <w:rsid w:val="00B85D14"/>
    <w:rsid w:val="00B86281"/>
    <w:rsid w:val="00B86AC4"/>
    <w:rsid w:val="00B86DB8"/>
    <w:rsid w:val="00B87058"/>
    <w:rsid w:val="00B87290"/>
    <w:rsid w:val="00B9009B"/>
    <w:rsid w:val="00B906D7"/>
    <w:rsid w:val="00B907DD"/>
    <w:rsid w:val="00B90C26"/>
    <w:rsid w:val="00B90F29"/>
    <w:rsid w:val="00B91B4D"/>
    <w:rsid w:val="00B91DDD"/>
    <w:rsid w:val="00B9209B"/>
    <w:rsid w:val="00B92687"/>
    <w:rsid w:val="00B92AA9"/>
    <w:rsid w:val="00B92E83"/>
    <w:rsid w:val="00B93035"/>
    <w:rsid w:val="00B93330"/>
    <w:rsid w:val="00B93D9F"/>
    <w:rsid w:val="00B941A5"/>
    <w:rsid w:val="00B94E6C"/>
    <w:rsid w:val="00B95308"/>
    <w:rsid w:val="00B9567C"/>
    <w:rsid w:val="00B960A6"/>
    <w:rsid w:val="00B96B20"/>
    <w:rsid w:val="00B96FDC"/>
    <w:rsid w:val="00B96FFE"/>
    <w:rsid w:val="00B97862"/>
    <w:rsid w:val="00BA02C3"/>
    <w:rsid w:val="00BA0529"/>
    <w:rsid w:val="00BA1062"/>
    <w:rsid w:val="00BA2097"/>
    <w:rsid w:val="00BA2AF2"/>
    <w:rsid w:val="00BA2CFF"/>
    <w:rsid w:val="00BA317C"/>
    <w:rsid w:val="00BA34B4"/>
    <w:rsid w:val="00BA3B8D"/>
    <w:rsid w:val="00BA3F90"/>
    <w:rsid w:val="00BA4C2E"/>
    <w:rsid w:val="00BA4FB1"/>
    <w:rsid w:val="00BA5B6F"/>
    <w:rsid w:val="00BA5C23"/>
    <w:rsid w:val="00BA5F4F"/>
    <w:rsid w:val="00BA5FF6"/>
    <w:rsid w:val="00BA693E"/>
    <w:rsid w:val="00BA73FF"/>
    <w:rsid w:val="00BA7DCA"/>
    <w:rsid w:val="00BB0EE1"/>
    <w:rsid w:val="00BB0F0C"/>
    <w:rsid w:val="00BB1B67"/>
    <w:rsid w:val="00BB1DA1"/>
    <w:rsid w:val="00BB2A2E"/>
    <w:rsid w:val="00BB2CA0"/>
    <w:rsid w:val="00BB3021"/>
    <w:rsid w:val="00BB32EE"/>
    <w:rsid w:val="00BB33CD"/>
    <w:rsid w:val="00BB3F08"/>
    <w:rsid w:val="00BB4606"/>
    <w:rsid w:val="00BB4CD1"/>
    <w:rsid w:val="00BB50F4"/>
    <w:rsid w:val="00BB533E"/>
    <w:rsid w:val="00BB57CB"/>
    <w:rsid w:val="00BB5B29"/>
    <w:rsid w:val="00BB6321"/>
    <w:rsid w:val="00BB65FF"/>
    <w:rsid w:val="00BB6B8E"/>
    <w:rsid w:val="00BB6D1F"/>
    <w:rsid w:val="00BB6D2D"/>
    <w:rsid w:val="00BB78A8"/>
    <w:rsid w:val="00BB79CE"/>
    <w:rsid w:val="00BC046B"/>
    <w:rsid w:val="00BC0AD1"/>
    <w:rsid w:val="00BC0CCD"/>
    <w:rsid w:val="00BC11AD"/>
    <w:rsid w:val="00BC136C"/>
    <w:rsid w:val="00BC1642"/>
    <w:rsid w:val="00BC1BCF"/>
    <w:rsid w:val="00BC244E"/>
    <w:rsid w:val="00BC374B"/>
    <w:rsid w:val="00BC4984"/>
    <w:rsid w:val="00BC525B"/>
    <w:rsid w:val="00BD00B3"/>
    <w:rsid w:val="00BD0F35"/>
    <w:rsid w:val="00BD18F1"/>
    <w:rsid w:val="00BD1E1F"/>
    <w:rsid w:val="00BD20BA"/>
    <w:rsid w:val="00BD2BDB"/>
    <w:rsid w:val="00BD2FD1"/>
    <w:rsid w:val="00BD37D3"/>
    <w:rsid w:val="00BD3EF4"/>
    <w:rsid w:val="00BD4D97"/>
    <w:rsid w:val="00BD5469"/>
    <w:rsid w:val="00BD567F"/>
    <w:rsid w:val="00BD572D"/>
    <w:rsid w:val="00BD5D28"/>
    <w:rsid w:val="00BD6AD7"/>
    <w:rsid w:val="00BD6E20"/>
    <w:rsid w:val="00BD6FB7"/>
    <w:rsid w:val="00BD72E8"/>
    <w:rsid w:val="00BD75AF"/>
    <w:rsid w:val="00BE08E6"/>
    <w:rsid w:val="00BE097B"/>
    <w:rsid w:val="00BE38B6"/>
    <w:rsid w:val="00BE4D95"/>
    <w:rsid w:val="00BE5671"/>
    <w:rsid w:val="00BE5C0C"/>
    <w:rsid w:val="00BE7D5E"/>
    <w:rsid w:val="00BF0005"/>
    <w:rsid w:val="00BF08EA"/>
    <w:rsid w:val="00BF0E7E"/>
    <w:rsid w:val="00BF13B2"/>
    <w:rsid w:val="00BF17BA"/>
    <w:rsid w:val="00BF242A"/>
    <w:rsid w:val="00BF29D2"/>
    <w:rsid w:val="00BF3CAB"/>
    <w:rsid w:val="00BF400A"/>
    <w:rsid w:val="00BF433A"/>
    <w:rsid w:val="00BF4471"/>
    <w:rsid w:val="00BF47E4"/>
    <w:rsid w:val="00BF4AB9"/>
    <w:rsid w:val="00BF4C5D"/>
    <w:rsid w:val="00BF594E"/>
    <w:rsid w:val="00BF5A18"/>
    <w:rsid w:val="00BF64DE"/>
    <w:rsid w:val="00C0061D"/>
    <w:rsid w:val="00C00703"/>
    <w:rsid w:val="00C00B11"/>
    <w:rsid w:val="00C00B19"/>
    <w:rsid w:val="00C01837"/>
    <w:rsid w:val="00C01D52"/>
    <w:rsid w:val="00C01EC5"/>
    <w:rsid w:val="00C021B3"/>
    <w:rsid w:val="00C0257F"/>
    <w:rsid w:val="00C031E0"/>
    <w:rsid w:val="00C03560"/>
    <w:rsid w:val="00C03DF1"/>
    <w:rsid w:val="00C04248"/>
    <w:rsid w:val="00C0579E"/>
    <w:rsid w:val="00C0696A"/>
    <w:rsid w:val="00C06FC2"/>
    <w:rsid w:val="00C079E4"/>
    <w:rsid w:val="00C10060"/>
    <w:rsid w:val="00C10CD9"/>
    <w:rsid w:val="00C10F84"/>
    <w:rsid w:val="00C11652"/>
    <w:rsid w:val="00C1188F"/>
    <w:rsid w:val="00C11C5B"/>
    <w:rsid w:val="00C1282E"/>
    <w:rsid w:val="00C12920"/>
    <w:rsid w:val="00C12D57"/>
    <w:rsid w:val="00C13079"/>
    <w:rsid w:val="00C13493"/>
    <w:rsid w:val="00C14F1D"/>
    <w:rsid w:val="00C1513E"/>
    <w:rsid w:val="00C15624"/>
    <w:rsid w:val="00C15708"/>
    <w:rsid w:val="00C15D15"/>
    <w:rsid w:val="00C163DA"/>
    <w:rsid w:val="00C16AC2"/>
    <w:rsid w:val="00C17F21"/>
    <w:rsid w:val="00C17F86"/>
    <w:rsid w:val="00C201AE"/>
    <w:rsid w:val="00C20D59"/>
    <w:rsid w:val="00C21678"/>
    <w:rsid w:val="00C218F6"/>
    <w:rsid w:val="00C22533"/>
    <w:rsid w:val="00C22DFC"/>
    <w:rsid w:val="00C22E0D"/>
    <w:rsid w:val="00C232CE"/>
    <w:rsid w:val="00C23C4F"/>
    <w:rsid w:val="00C23D2F"/>
    <w:rsid w:val="00C24432"/>
    <w:rsid w:val="00C252B1"/>
    <w:rsid w:val="00C255E4"/>
    <w:rsid w:val="00C2594C"/>
    <w:rsid w:val="00C261E9"/>
    <w:rsid w:val="00C2620F"/>
    <w:rsid w:val="00C26924"/>
    <w:rsid w:val="00C26AE9"/>
    <w:rsid w:val="00C26AEA"/>
    <w:rsid w:val="00C270C6"/>
    <w:rsid w:val="00C27396"/>
    <w:rsid w:val="00C27649"/>
    <w:rsid w:val="00C27C18"/>
    <w:rsid w:val="00C304E6"/>
    <w:rsid w:val="00C31243"/>
    <w:rsid w:val="00C31758"/>
    <w:rsid w:val="00C3190F"/>
    <w:rsid w:val="00C31AC6"/>
    <w:rsid w:val="00C3306F"/>
    <w:rsid w:val="00C33ED3"/>
    <w:rsid w:val="00C34154"/>
    <w:rsid w:val="00C34A27"/>
    <w:rsid w:val="00C34B69"/>
    <w:rsid w:val="00C35417"/>
    <w:rsid w:val="00C356E0"/>
    <w:rsid w:val="00C35B15"/>
    <w:rsid w:val="00C403D6"/>
    <w:rsid w:val="00C4085D"/>
    <w:rsid w:val="00C40DB5"/>
    <w:rsid w:val="00C415DA"/>
    <w:rsid w:val="00C41A2E"/>
    <w:rsid w:val="00C41B1A"/>
    <w:rsid w:val="00C41C95"/>
    <w:rsid w:val="00C42FE2"/>
    <w:rsid w:val="00C43210"/>
    <w:rsid w:val="00C43519"/>
    <w:rsid w:val="00C439A2"/>
    <w:rsid w:val="00C4417F"/>
    <w:rsid w:val="00C443BD"/>
    <w:rsid w:val="00C44475"/>
    <w:rsid w:val="00C44B53"/>
    <w:rsid w:val="00C451C5"/>
    <w:rsid w:val="00C458A3"/>
    <w:rsid w:val="00C45B0A"/>
    <w:rsid w:val="00C45FA1"/>
    <w:rsid w:val="00C46AF2"/>
    <w:rsid w:val="00C47142"/>
    <w:rsid w:val="00C47826"/>
    <w:rsid w:val="00C5073C"/>
    <w:rsid w:val="00C5243B"/>
    <w:rsid w:val="00C52D53"/>
    <w:rsid w:val="00C5333A"/>
    <w:rsid w:val="00C536E2"/>
    <w:rsid w:val="00C53B18"/>
    <w:rsid w:val="00C55B82"/>
    <w:rsid w:val="00C572F5"/>
    <w:rsid w:val="00C57958"/>
    <w:rsid w:val="00C61167"/>
    <w:rsid w:val="00C61315"/>
    <w:rsid w:val="00C627A7"/>
    <w:rsid w:val="00C64049"/>
    <w:rsid w:val="00C6475B"/>
    <w:rsid w:val="00C64AC8"/>
    <w:rsid w:val="00C64FA0"/>
    <w:rsid w:val="00C651B2"/>
    <w:rsid w:val="00C6593F"/>
    <w:rsid w:val="00C65E7F"/>
    <w:rsid w:val="00C65EAB"/>
    <w:rsid w:val="00C65EFC"/>
    <w:rsid w:val="00C6623C"/>
    <w:rsid w:val="00C6648D"/>
    <w:rsid w:val="00C6665A"/>
    <w:rsid w:val="00C6686B"/>
    <w:rsid w:val="00C66F61"/>
    <w:rsid w:val="00C673A5"/>
    <w:rsid w:val="00C673C5"/>
    <w:rsid w:val="00C67634"/>
    <w:rsid w:val="00C67A65"/>
    <w:rsid w:val="00C702A6"/>
    <w:rsid w:val="00C7048E"/>
    <w:rsid w:val="00C70CA4"/>
    <w:rsid w:val="00C71B54"/>
    <w:rsid w:val="00C71F95"/>
    <w:rsid w:val="00C721EA"/>
    <w:rsid w:val="00C72C5D"/>
    <w:rsid w:val="00C7390D"/>
    <w:rsid w:val="00C73A32"/>
    <w:rsid w:val="00C74617"/>
    <w:rsid w:val="00C75062"/>
    <w:rsid w:val="00C7518F"/>
    <w:rsid w:val="00C75974"/>
    <w:rsid w:val="00C75D50"/>
    <w:rsid w:val="00C76584"/>
    <w:rsid w:val="00C77084"/>
    <w:rsid w:val="00C778A0"/>
    <w:rsid w:val="00C8025F"/>
    <w:rsid w:val="00C80560"/>
    <w:rsid w:val="00C80624"/>
    <w:rsid w:val="00C81374"/>
    <w:rsid w:val="00C8155C"/>
    <w:rsid w:val="00C81B9C"/>
    <w:rsid w:val="00C8466B"/>
    <w:rsid w:val="00C8480F"/>
    <w:rsid w:val="00C84965"/>
    <w:rsid w:val="00C85596"/>
    <w:rsid w:val="00C86439"/>
    <w:rsid w:val="00C86797"/>
    <w:rsid w:val="00C8732D"/>
    <w:rsid w:val="00C8784E"/>
    <w:rsid w:val="00C87E35"/>
    <w:rsid w:val="00C907FD"/>
    <w:rsid w:val="00C90A14"/>
    <w:rsid w:val="00C9161D"/>
    <w:rsid w:val="00C918A7"/>
    <w:rsid w:val="00C92932"/>
    <w:rsid w:val="00C93DA2"/>
    <w:rsid w:val="00C9498A"/>
    <w:rsid w:val="00C955E5"/>
    <w:rsid w:val="00C96813"/>
    <w:rsid w:val="00C96D28"/>
    <w:rsid w:val="00C97453"/>
    <w:rsid w:val="00C97C56"/>
    <w:rsid w:val="00CA06AA"/>
    <w:rsid w:val="00CA0AB1"/>
    <w:rsid w:val="00CA0C1D"/>
    <w:rsid w:val="00CA1077"/>
    <w:rsid w:val="00CA10D1"/>
    <w:rsid w:val="00CA2F94"/>
    <w:rsid w:val="00CA312C"/>
    <w:rsid w:val="00CA36C7"/>
    <w:rsid w:val="00CA378A"/>
    <w:rsid w:val="00CA3DF0"/>
    <w:rsid w:val="00CA43DE"/>
    <w:rsid w:val="00CA4DDF"/>
    <w:rsid w:val="00CA4F80"/>
    <w:rsid w:val="00CA4FFF"/>
    <w:rsid w:val="00CA5489"/>
    <w:rsid w:val="00CA56C3"/>
    <w:rsid w:val="00CA658B"/>
    <w:rsid w:val="00CA65B3"/>
    <w:rsid w:val="00CA6C38"/>
    <w:rsid w:val="00CA701E"/>
    <w:rsid w:val="00CA7519"/>
    <w:rsid w:val="00CA769D"/>
    <w:rsid w:val="00CA78BF"/>
    <w:rsid w:val="00CB0D18"/>
    <w:rsid w:val="00CB12BC"/>
    <w:rsid w:val="00CB1709"/>
    <w:rsid w:val="00CB2619"/>
    <w:rsid w:val="00CB29E2"/>
    <w:rsid w:val="00CB2EBD"/>
    <w:rsid w:val="00CB328E"/>
    <w:rsid w:val="00CB340C"/>
    <w:rsid w:val="00CB3512"/>
    <w:rsid w:val="00CB3959"/>
    <w:rsid w:val="00CB3B9D"/>
    <w:rsid w:val="00CB3BD8"/>
    <w:rsid w:val="00CB4BB5"/>
    <w:rsid w:val="00CB5BBD"/>
    <w:rsid w:val="00CB5DE7"/>
    <w:rsid w:val="00CB62A9"/>
    <w:rsid w:val="00CB6739"/>
    <w:rsid w:val="00CB693D"/>
    <w:rsid w:val="00CB7015"/>
    <w:rsid w:val="00CB780F"/>
    <w:rsid w:val="00CB7FE9"/>
    <w:rsid w:val="00CC0421"/>
    <w:rsid w:val="00CC072B"/>
    <w:rsid w:val="00CC235E"/>
    <w:rsid w:val="00CC2F9E"/>
    <w:rsid w:val="00CC3B75"/>
    <w:rsid w:val="00CC462D"/>
    <w:rsid w:val="00CC4642"/>
    <w:rsid w:val="00CC5BBA"/>
    <w:rsid w:val="00CC767A"/>
    <w:rsid w:val="00CC7BA4"/>
    <w:rsid w:val="00CD1042"/>
    <w:rsid w:val="00CD1654"/>
    <w:rsid w:val="00CD1AA4"/>
    <w:rsid w:val="00CD26BD"/>
    <w:rsid w:val="00CD292B"/>
    <w:rsid w:val="00CD29C5"/>
    <w:rsid w:val="00CD2E99"/>
    <w:rsid w:val="00CD3468"/>
    <w:rsid w:val="00CD39CB"/>
    <w:rsid w:val="00CD39F7"/>
    <w:rsid w:val="00CD3F44"/>
    <w:rsid w:val="00CD413E"/>
    <w:rsid w:val="00CD48E9"/>
    <w:rsid w:val="00CD4D98"/>
    <w:rsid w:val="00CD5462"/>
    <w:rsid w:val="00CD5A8E"/>
    <w:rsid w:val="00CD5D02"/>
    <w:rsid w:val="00CD5E5D"/>
    <w:rsid w:val="00CD6275"/>
    <w:rsid w:val="00CD6390"/>
    <w:rsid w:val="00CD6497"/>
    <w:rsid w:val="00CD6968"/>
    <w:rsid w:val="00CD69F3"/>
    <w:rsid w:val="00CD702A"/>
    <w:rsid w:val="00CD70A7"/>
    <w:rsid w:val="00CE008F"/>
    <w:rsid w:val="00CE02A8"/>
    <w:rsid w:val="00CE0E1B"/>
    <w:rsid w:val="00CE1C6F"/>
    <w:rsid w:val="00CE1C88"/>
    <w:rsid w:val="00CE2663"/>
    <w:rsid w:val="00CE2A0D"/>
    <w:rsid w:val="00CE3722"/>
    <w:rsid w:val="00CE3F6F"/>
    <w:rsid w:val="00CE4A1F"/>
    <w:rsid w:val="00CE4D10"/>
    <w:rsid w:val="00CE509F"/>
    <w:rsid w:val="00CE53EB"/>
    <w:rsid w:val="00CE604B"/>
    <w:rsid w:val="00CE737B"/>
    <w:rsid w:val="00CE756F"/>
    <w:rsid w:val="00CE76E8"/>
    <w:rsid w:val="00CE7BA9"/>
    <w:rsid w:val="00CF0010"/>
    <w:rsid w:val="00CF08E3"/>
    <w:rsid w:val="00CF0EAE"/>
    <w:rsid w:val="00CF101C"/>
    <w:rsid w:val="00CF17FB"/>
    <w:rsid w:val="00CF1848"/>
    <w:rsid w:val="00CF1B96"/>
    <w:rsid w:val="00CF22CD"/>
    <w:rsid w:val="00CF3FEB"/>
    <w:rsid w:val="00CF4DAC"/>
    <w:rsid w:val="00CF4E74"/>
    <w:rsid w:val="00CF4F84"/>
    <w:rsid w:val="00CF52AE"/>
    <w:rsid w:val="00CF6173"/>
    <w:rsid w:val="00CF666E"/>
    <w:rsid w:val="00CF6C56"/>
    <w:rsid w:val="00CF6D5A"/>
    <w:rsid w:val="00CF739C"/>
    <w:rsid w:val="00CF73CC"/>
    <w:rsid w:val="00CF7414"/>
    <w:rsid w:val="00CF772E"/>
    <w:rsid w:val="00CF7A56"/>
    <w:rsid w:val="00CF7F53"/>
    <w:rsid w:val="00D000AB"/>
    <w:rsid w:val="00D011F6"/>
    <w:rsid w:val="00D01B90"/>
    <w:rsid w:val="00D01F90"/>
    <w:rsid w:val="00D0241E"/>
    <w:rsid w:val="00D02CEB"/>
    <w:rsid w:val="00D02D07"/>
    <w:rsid w:val="00D02F6B"/>
    <w:rsid w:val="00D0307F"/>
    <w:rsid w:val="00D0320A"/>
    <w:rsid w:val="00D037D5"/>
    <w:rsid w:val="00D039D9"/>
    <w:rsid w:val="00D041FC"/>
    <w:rsid w:val="00D04C80"/>
    <w:rsid w:val="00D0537F"/>
    <w:rsid w:val="00D06149"/>
    <w:rsid w:val="00D06F85"/>
    <w:rsid w:val="00D071C2"/>
    <w:rsid w:val="00D07848"/>
    <w:rsid w:val="00D100F7"/>
    <w:rsid w:val="00D10232"/>
    <w:rsid w:val="00D10C54"/>
    <w:rsid w:val="00D114F0"/>
    <w:rsid w:val="00D11FE2"/>
    <w:rsid w:val="00D12044"/>
    <w:rsid w:val="00D1244B"/>
    <w:rsid w:val="00D1288D"/>
    <w:rsid w:val="00D12EAF"/>
    <w:rsid w:val="00D13149"/>
    <w:rsid w:val="00D14E16"/>
    <w:rsid w:val="00D14FA2"/>
    <w:rsid w:val="00D1520E"/>
    <w:rsid w:val="00D15C4A"/>
    <w:rsid w:val="00D15CF2"/>
    <w:rsid w:val="00D160B3"/>
    <w:rsid w:val="00D16D00"/>
    <w:rsid w:val="00D1727B"/>
    <w:rsid w:val="00D17979"/>
    <w:rsid w:val="00D17E46"/>
    <w:rsid w:val="00D17E9D"/>
    <w:rsid w:val="00D21186"/>
    <w:rsid w:val="00D21850"/>
    <w:rsid w:val="00D23128"/>
    <w:rsid w:val="00D23DE7"/>
    <w:rsid w:val="00D24166"/>
    <w:rsid w:val="00D24F4C"/>
    <w:rsid w:val="00D25F17"/>
    <w:rsid w:val="00D26003"/>
    <w:rsid w:val="00D2612F"/>
    <w:rsid w:val="00D27A93"/>
    <w:rsid w:val="00D3070C"/>
    <w:rsid w:val="00D32045"/>
    <w:rsid w:val="00D33D00"/>
    <w:rsid w:val="00D33EB7"/>
    <w:rsid w:val="00D33EFC"/>
    <w:rsid w:val="00D33FB0"/>
    <w:rsid w:val="00D3406D"/>
    <w:rsid w:val="00D3437E"/>
    <w:rsid w:val="00D34515"/>
    <w:rsid w:val="00D3463B"/>
    <w:rsid w:val="00D349DC"/>
    <w:rsid w:val="00D34BFD"/>
    <w:rsid w:val="00D34EF4"/>
    <w:rsid w:val="00D35A4A"/>
    <w:rsid w:val="00D35AD1"/>
    <w:rsid w:val="00D36515"/>
    <w:rsid w:val="00D37C01"/>
    <w:rsid w:val="00D400C7"/>
    <w:rsid w:val="00D4071D"/>
    <w:rsid w:val="00D40DBC"/>
    <w:rsid w:val="00D40FF8"/>
    <w:rsid w:val="00D41088"/>
    <w:rsid w:val="00D41C08"/>
    <w:rsid w:val="00D41C9E"/>
    <w:rsid w:val="00D41EA4"/>
    <w:rsid w:val="00D42940"/>
    <w:rsid w:val="00D43907"/>
    <w:rsid w:val="00D4421E"/>
    <w:rsid w:val="00D443C5"/>
    <w:rsid w:val="00D44594"/>
    <w:rsid w:val="00D44CF7"/>
    <w:rsid w:val="00D44D33"/>
    <w:rsid w:val="00D4503C"/>
    <w:rsid w:val="00D453B6"/>
    <w:rsid w:val="00D464B1"/>
    <w:rsid w:val="00D47F06"/>
    <w:rsid w:val="00D502FB"/>
    <w:rsid w:val="00D5122C"/>
    <w:rsid w:val="00D51666"/>
    <w:rsid w:val="00D5172B"/>
    <w:rsid w:val="00D527EA"/>
    <w:rsid w:val="00D5285F"/>
    <w:rsid w:val="00D52BF0"/>
    <w:rsid w:val="00D52FD9"/>
    <w:rsid w:val="00D5478E"/>
    <w:rsid w:val="00D561AC"/>
    <w:rsid w:val="00D5624C"/>
    <w:rsid w:val="00D56432"/>
    <w:rsid w:val="00D565D2"/>
    <w:rsid w:val="00D565DF"/>
    <w:rsid w:val="00D5665E"/>
    <w:rsid w:val="00D56DC3"/>
    <w:rsid w:val="00D57510"/>
    <w:rsid w:val="00D5766D"/>
    <w:rsid w:val="00D57831"/>
    <w:rsid w:val="00D57B62"/>
    <w:rsid w:val="00D60DD0"/>
    <w:rsid w:val="00D60F7C"/>
    <w:rsid w:val="00D61329"/>
    <w:rsid w:val="00D63731"/>
    <w:rsid w:val="00D6387F"/>
    <w:rsid w:val="00D643DC"/>
    <w:rsid w:val="00D64C7E"/>
    <w:rsid w:val="00D64EA8"/>
    <w:rsid w:val="00D650B7"/>
    <w:rsid w:val="00D65881"/>
    <w:rsid w:val="00D6603E"/>
    <w:rsid w:val="00D66A46"/>
    <w:rsid w:val="00D67730"/>
    <w:rsid w:val="00D67DAF"/>
    <w:rsid w:val="00D705C4"/>
    <w:rsid w:val="00D71740"/>
    <w:rsid w:val="00D72BDD"/>
    <w:rsid w:val="00D72CE1"/>
    <w:rsid w:val="00D73EFE"/>
    <w:rsid w:val="00D74A36"/>
    <w:rsid w:val="00D75167"/>
    <w:rsid w:val="00D75673"/>
    <w:rsid w:val="00D75F39"/>
    <w:rsid w:val="00D765EE"/>
    <w:rsid w:val="00D76605"/>
    <w:rsid w:val="00D76A18"/>
    <w:rsid w:val="00D77560"/>
    <w:rsid w:val="00D77B46"/>
    <w:rsid w:val="00D8015F"/>
    <w:rsid w:val="00D80849"/>
    <w:rsid w:val="00D808BE"/>
    <w:rsid w:val="00D80FA1"/>
    <w:rsid w:val="00D82AA9"/>
    <w:rsid w:val="00D82CFF"/>
    <w:rsid w:val="00D82E8F"/>
    <w:rsid w:val="00D8313C"/>
    <w:rsid w:val="00D8333C"/>
    <w:rsid w:val="00D83C4B"/>
    <w:rsid w:val="00D83F42"/>
    <w:rsid w:val="00D84673"/>
    <w:rsid w:val="00D8487C"/>
    <w:rsid w:val="00D84D41"/>
    <w:rsid w:val="00D854D1"/>
    <w:rsid w:val="00D859CE"/>
    <w:rsid w:val="00D8720A"/>
    <w:rsid w:val="00D87BC7"/>
    <w:rsid w:val="00D87E9E"/>
    <w:rsid w:val="00D87EA2"/>
    <w:rsid w:val="00D9055C"/>
    <w:rsid w:val="00D9069D"/>
    <w:rsid w:val="00D91513"/>
    <w:rsid w:val="00D92850"/>
    <w:rsid w:val="00D92A35"/>
    <w:rsid w:val="00D92D2F"/>
    <w:rsid w:val="00D934B1"/>
    <w:rsid w:val="00D93531"/>
    <w:rsid w:val="00D942AC"/>
    <w:rsid w:val="00D94633"/>
    <w:rsid w:val="00D94EB4"/>
    <w:rsid w:val="00D95248"/>
    <w:rsid w:val="00D952A9"/>
    <w:rsid w:val="00D9556A"/>
    <w:rsid w:val="00D957D7"/>
    <w:rsid w:val="00D96035"/>
    <w:rsid w:val="00D962BC"/>
    <w:rsid w:val="00D964E5"/>
    <w:rsid w:val="00D96941"/>
    <w:rsid w:val="00D96B72"/>
    <w:rsid w:val="00D96C48"/>
    <w:rsid w:val="00D96DFA"/>
    <w:rsid w:val="00DA012C"/>
    <w:rsid w:val="00DA0273"/>
    <w:rsid w:val="00DA0AAC"/>
    <w:rsid w:val="00DA1ABF"/>
    <w:rsid w:val="00DA1E51"/>
    <w:rsid w:val="00DA21F3"/>
    <w:rsid w:val="00DA23D8"/>
    <w:rsid w:val="00DA2529"/>
    <w:rsid w:val="00DA2738"/>
    <w:rsid w:val="00DA2B4B"/>
    <w:rsid w:val="00DA2C31"/>
    <w:rsid w:val="00DA36D8"/>
    <w:rsid w:val="00DA3F58"/>
    <w:rsid w:val="00DA4458"/>
    <w:rsid w:val="00DA4E24"/>
    <w:rsid w:val="00DA5439"/>
    <w:rsid w:val="00DA56DD"/>
    <w:rsid w:val="00DA5D8A"/>
    <w:rsid w:val="00DB0E2A"/>
    <w:rsid w:val="00DB417B"/>
    <w:rsid w:val="00DB4BFE"/>
    <w:rsid w:val="00DB5BD2"/>
    <w:rsid w:val="00DB6E92"/>
    <w:rsid w:val="00DB71FF"/>
    <w:rsid w:val="00DB736A"/>
    <w:rsid w:val="00DB75DF"/>
    <w:rsid w:val="00DC01C4"/>
    <w:rsid w:val="00DC073B"/>
    <w:rsid w:val="00DC0A87"/>
    <w:rsid w:val="00DC0B54"/>
    <w:rsid w:val="00DC0F02"/>
    <w:rsid w:val="00DC12D8"/>
    <w:rsid w:val="00DC2CC8"/>
    <w:rsid w:val="00DC2E9F"/>
    <w:rsid w:val="00DC3004"/>
    <w:rsid w:val="00DC318E"/>
    <w:rsid w:val="00DC31AF"/>
    <w:rsid w:val="00DC34D2"/>
    <w:rsid w:val="00DC36D9"/>
    <w:rsid w:val="00DC5087"/>
    <w:rsid w:val="00DC54A9"/>
    <w:rsid w:val="00DC7442"/>
    <w:rsid w:val="00DC7901"/>
    <w:rsid w:val="00DD0440"/>
    <w:rsid w:val="00DD0AA1"/>
    <w:rsid w:val="00DD118C"/>
    <w:rsid w:val="00DD1560"/>
    <w:rsid w:val="00DD18CF"/>
    <w:rsid w:val="00DD1B46"/>
    <w:rsid w:val="00DD200B"/>
    <w:rsid w:val="00DD25D0"/>
    <w:rsid w:val="00DD32AF"/>
    <w:rsid w:val="00DD33CC"/>
    <w:rsid w:val="00DD3ABB"/>
    <w:rsid w:val="00DD3E8F"/>
    <w:rsid w:val="00DD5CD4"/>
    <w:rsid w:val="00DD753C"/>
    <w:rsid w:val="00DE0123"/>
    <w:rsid w:val="00DE04BF"/>
    <w:rsid w:val="00DE0894"/>
    <w:rsid w:val="00DE1768"/>
    <w:rsid w:val="00DE1C23"/>
    <w:rsid w:val="00DE1F31"/>
    <w:rsid w:val="00DE307C"/>
    <w:rsid w:val="00DE4F53"/>
    <w:rsid w:val="00DE56A1"/>
    <w:rsid w:val="00DE5778"/>
    <w:rsid w:val="00DE5FD5"/>
    <w:rsid w:val="00DE60D5"/>
    <w:rsid w:val="00DE639C"/>
    <w:rsid w:val="00DE678C"/>
    <w:rsid w:val="00DE6CFA"/>
    <w:rsid w:val="00DE6D72"/>
    <w:rsid w:val="00DE76BF"/>
    <w:rsid w:val="00DE76F8"/>
    <w:rsid w:val="00DF0079"/>
    <w:rsid w:val="00DF088A"/>
    <w:rsid w:val="00DF1073"/>
    <w:rsid w:val="00DF19AA"/>
    <w:rsid w:val="00DF2F64"/>
    <w:rsid w:val="00DF3537"/>
    <w:rsid w:val="00DF430F"/>
    <w:rsid w:val="00DF4B37"/>
    <w:rsid w:val="00DF4DEF"/>
    <w:rsid w:val="00DF4E94"/>
    <w:rsid w:val="00DF5614"/>
    <w:rsid w:val="00DF649A"/>
    <w:rsid w:val="00DF6CD5"/>
    <w:rsid w:val="00DF7281"/>
    <w:rsid w:val="00DF7373"/>
    <w:rsid w:val="00E0044C"/>
    <w:rsid w:val="00E00F55"/>
    <w:rsid w:val="00E0131C"/>
    <w:rsid w:val="00E01594"/>
    <w:rsid w:val="00E01D9D"/>
    <w:rsid w:val="00E03EA4"/>
    <w:rsid w:val="00E053B9"/>
    <w:rsid w:val="00E05868"/>
    <w:rsid w:val="00E05B97"/>
    <w:rsid w:val="00E05CDE"/>
    <w:rsid w:val="00E072FB"/>
    <w:rsid w:val="00E07945"/>
    <w:rsid w:val="00E105B6"/>
    <w:rsid w:val="00E11100"/>
    <w:rsid w:val="00E112C7"/>
    <w:rsid w:val="00E11A06"/>
    <w:rsid w:val="00E138F6"/>
    <w:rsid w:val="00E155BF"/>
    <w:rsid w:val="00E15670"/>
    <w:rsid w:val="00E15CF3"/>
    <w:rsid w:val="00E15FF7"/>
    <w:rsid w:val="00E176AE"/>
    <w:rsid w:val="00E17703"/>
    <w:rsid w:val="00E177EE"/>
    <w:rsid w:val="00E17AA5"/>
    <w:rsid w:val="00E206E7"/>
    <w:rsid w:val="00E20FA9"/>
    <w:rsid w:val="00E21C50"/>
    <w:rsid w:val="00E21FC5"/>
    <w:rsid w:val="00E22002"/>
    <w:rsid w:val="00E231FB"/>
    <w:rsid w:val="00E2394A"/>
    <w:rsid w:val="00E23E91"/>
    <w:rsid w:val="00E2455F"/>
    <w:rsid w:val="00E248B4"/>
    <w:rsid w:val="00E253DB"/>
    <w:rsid w:val="00E254D1"/>
    <w:rsid w:val="00E25703"/>
    <w:rsid w:val="00E25C6C"/>
    <w:rsid w:val="00E269AD"/>
    <w:rsid w:val="00E2733B"/>
    <w:rsid w:val="00E27936"/>
    <w:rsid w:val="00E30CE6"/>
    <w:rsid w:val="00E30F64"/>
    <w:rsid w:val="00E32BD3"/>
    <w:rsid w:val="00E32E2A"/>
    <w:rsid w:val="00E32E9D"/>
    <w:rsid w:val="00E33655"/>
    <w:rsid w:val="00E34619"/>
    <w:rsid w:val="00E34EE2"/>
    <w:rsid w:val="00E3518C"/>
    <w:rsid w:val="00E351DE"/>
    <w:rsid w:val="00E35355"/>
    <w:rsid w:val="00E353E2"/>
    <w:rsid w:val="00E35458"/>
    <w:rsid w:val="00E35591"/>
    <w:rsid w:val="00E3574C"/>
    <w:rsid w:val="00E35B23"/>
    <w:rsid w:val="00E3622B"/>
    <w:rsid w:val="00E36CA8"/>
    <w:rsid w:val="00E371A8"/>
    <w:rsid w:val="00E37D34"/>
    <w:rsid w:val="00E40222"/>
    <w:rsid w:val="00E41240"/>
    <w:rsid w:val="00E41549"/>
    <w:rsid w:val="00E41943"/>
    <w:rsid w:val="00E4237E"/>
    <w:rsid w:val="00E42551"/>
    <w:rsid w:val="00E42EAD"/>
    <w:rsid w:val="00E42FCC"/>
    <w:rsid w:val="00E431BB"/>
    <w:rsid w:val="00E44410"/>
    <w:rsid w:val="00E444F7"/>
    <w:rsid w:val="00E44992"/>
    <w:rsid w:val="00E44B18"/>
    <w:rsid w:val="00E44D20"/>
    <w:rsid w:val="00E4566F"/>
    <w:rsid w:val="00E457D6"/>
    <w:rsid w:val="00E45C17"/>
    <w:rsid w:val="00E4615C"/>
    <w:rsid w:val="00E462AD"/>
    <w:rsid w:val="00E464D5"/>
    <w:rsid w:val="00E46D1D"/>
    <w:rsid w:val="00E477DF"/>
    <w:rsid w:val="00E50824"/>
    <w:rsid w:val="00E509BA"/>
    <w:rsid w:val="00E51671"/>
    <w:rsid w:val="00E51B64"/>
    <w:rsid w:val="00E53442"/>
    <w:rsid w:val="00E53823"/>
    <w:rsid w:val="00E53E2B"/>
    <w:rsid w:val="00E53E66"/>
    <w:rsid w:val="00E548C7"/>
    <w:rsid w:val="00E55CAD"/>
    <w:rsid w:val="00E56000"/>
    <w:rsid w:val="00E561D1"/>
    <w:rsid w:val="00E568A9"/>
    <w:rsid w:val="00E56A9E"/>
    <w:rsid w:val="00E56BAF"/>
    <w:rsid w:val="00E57609"/>
    <w:rsid w:val="00E57699"/>
    <w:rsid w:val="00E579BE"/>
    <w:rsid w:val="00E57BDA"/>
    <w:rsid w:val="00E6071E"/>
    <w:rsid w:val="00E6159A"/>
    <w:rsid w:val="00E61B19"/>
    <w:rsid w:val="00E62675"/>
    <w:rsid w:val="00E6340A"/>
    <w:rsid w:val="00E643B3"/>
    <w:rsid w:val="00E643CA"/>
    <w:rsid w:val="00E644E0"/>
    <w:rsid w:val="00E654EC"/>
    <w:rsid w:val="00E65D99"/>
    <w:rsid w:val="00E66235"/>
    <w:rsid w:val="00E663EF"/>
    <w:rsid w:val="00E663FD"/>
    <w:rsid w:val="00E6673E"/>
    <w:rsid w:val="00E66CB3"/>
    <w:rsid w:val="00E67010"/>
    <w:rsid w:val="00E67935"/>
    <w:rsid w:val="00E7060A"/>
    <w:rsid w:val="00E721B5"/>
    <w:rsid w:val="00E723FD"/>
    <w:rsid w:val="00E724BB"/>
    <w:rsid w:val="00E7286F"/>
    <w:rsid w:val="00E732CE"/>
    <w:rsid w:val="00E7352C"/>
    <w:rsid w:val="00E73536"/>
    <w:rsid w:val="00E745DD"/>
    <w:rsid w:val="00E74EED"/>
    <w:rsid w:val="00E774D4"/>
    <w:rsid w:val="00E77F70"/>
    <w:rsid w:val="00E80078"/>
    <w:rsid w:val="00E816F5"/>
    <w:rsid w:val="00E82989"/>
    <w:rsid w:val="00E82EB3"/>
    <w:rsid w:val="00E830DC"/>
    <w:rsid w:val="00E83448"/>
    <w:rsid w:val="00E83C24"/>
    <w:rsid w:val="00E85BFD"/>
    <w:rsid w:val="00E86051"/>
    <w:rsid w:val="00E869CB"/>
    <w:rsid w:val="00E86AB4"/>
    <w:rsid w:val="00E86DA3"/>
    <w:rsid w:val="00E879C8"/>
    <w:rsid w:val="00E879E6"/>
    <w:rsid w:val="00E90CF9"/>
    <w:rsid w:val="00E913E9"/>
    <w:rsid w:val="00E91698"/>
    <w:rsid w:val="00E91804"/>
    <w:rsid w:val="00E92A54"/>
    <w:rsid w:val="00E9318D"/>
    <w:rsid w:val="00E940E5"/>
    <w:rsid w:val="00E969A8"/>
    <w:rsid w:val="00E969C4"/>
    <w:rsid w:val="00E97520"/>
    <w:rsid w:val="00E977D2"/>
    <w:rsid w:val="00E97813"/>
    <w:rsid w:val="00EA02E8"/>
    <w:rsid w:val="00EA087D"/>
    <w:rsid w:val="00EA09A5"/>
    <w:rsid w:val="00EA39D3"/>
    <w:rsid w:val="00EA3B51"/>
    <w:rsid w:val="00EA3FA2"/>
    <w:rsid w:val="00EA413C"/>
    <w:rsid w:val="00EA4765"/>
    <w:rsid w:val="00EA4A46"/>
    <w:rsid w:val="00EA551A"/>
    <w:rsid w:val="00EA732D"/>
    <w:rsid w:val="00EB0778"/>
    <w:rsid w:val="00EB13DD"/>
    <w:rsid w:val="00EB148E"/>
    <w:rsid w:val="00EB179D"/>
    <w:rsid w:val="00EB1F54"/>
    <w:rsid w:val="00EB2026"/>
    <w:rsid w:val="00EB24F5"/>
    <w:rsid w:val="00EB2839"/>
    <w:rsid w:val="00EB4DB7"/>
    <w:rsid w:val="00EB567F"/>
    <w:rsid w:val="00EB5D13"/>
    <w:rsid w:val="00EB5F0B"/>
    <w:rsid w:val="00EB6395"/>
    <w:rsid w:val="00EB6CF3"/>
    <w:rsid w:val="00EB6D9A"/>
    <w:rsid w:val="00EB78F6"/>
    <w:rsid w:val="00EB7B58"/>
    <w:rsid w:val="00EC103A"/>
    <w:rsid w:val="00EC10FF"/>
    <w:rsid w:val="00EC20FF"/>
    <w:rsid w:val="00EC2369"/>
    <w:rsid w:val="00EC2F6F"/>
    <w:rsid w:val="00EC37CD"/>
    <w:rsid w:val="00EC4396"/>
    <w:rsid w:val="00EC458E"/>
    <w:rsid w:val="00EC4E33"/>
    <w:rsid w:val="00EC587D"/>
    <w:rsid w:val="00EC5AEC"/>
    <w:rsid w:val="00EC6295"/>
    <w:rsid w:val="00EC66E2"/>
    <w:rsid w:val="00EC6711"/>
    <w:rsid w:val="00EC6A83"/>
    <w:rsid w:val="00EC6E07"/>
    <w:rsid w:val="00EC6FA6"/>
    <w:rsid w:val="00EC72EA"/>
    <w:rsid w:val="00ED03A3"/>
    <w:rsid w:val="00ED1519"/>
    <w:rsid w:val="00ED276B"/>
    <w:rsid w:val="00ED2FE1"/>
    <w:rsid w:val="00ED372C"/>
    <w:rsid w:val="00ED4B74"/>
    <w:rsid w:val="00ED4CAE"/>
    <w:rsid w:val="00ED4F77"/>
    <w:rsid w:val="00ED5098"/>
    <w:rsid w:val="00ED5260"/>
    <w:rsid w:val="00ED671E"/>
    <w:rsid w:val="00ED781F"/>
    <w:rsid w:val="00ED783A"/>
    <w:rsid w:val="00ED79EA"/>
    <w:rsid w:val="00ED7A93"/>
    <w:rsid w:val="00EE0658"/>
    <w:rsid w:val="00EE1B9A"/>
    <w:rsid w:val="00EE25AA"/>
    <w:rsid w:val="00EE35A9"/>
    <w:rsid w:val="00EE370F"/>
    <w:rsid w:val="00EE48CF"/>
    <w:rsid w:val="00EE4A92"/>
    <w:rsid w:val="00EE4FB9"/>
    <w:rsid w:val="00EE5647"/>
    <w:rsid w:val="00EE5F41"/>
    <w:rsid w:val="00EE67E6"/>
    <w:rsid w:val="00EE6F7F"/>
    <w:rsid w:val="00EE735F"/>
    <w:rsid w:val="00EE7675"/>
    <w:rsid w:val="00EE7BB2"/>
    <w:rsid w:val="00EE7CC4"/>
    <w:rsid w:val="00EE7D55"/>
    <w:rsid w:val="00EE7F52"/>
    <w:rsid w:val="00EF07CC"/>
    <w:rsid w:val="00EF0CB3"/>
    <w:rsid w:val="00EF0E5D"/>
    <w:rsid w:val="00EF1DCB"/>
    <w:rsid w:val="00EF2C5B"/>
    <w:rsid w:val="00EF385C"/>
    <w:rsid w:val="00EF3895"/>
    <w:rsid w:val="00EF3D85"/>
    <w:rsid w:val="00EF4198"/>
    <w:rsid w:val="00EF4248"/>
    <w:rsid w:val="00EF50EB"/>
    <w:rsid w:val="00EF53EA"/>
    <w:rsid w:val="00EF5547"/>
    <w:rsid w:val="00EF568B"/>
    <w:rsid w:val="00EF59A8"/>
    <w:rsid w:val="00EF61E7"/>
    <w:rsid w:val="00EF6256"/>
    <w:rsid w:val="00EF6D42"/>
    <w:rsid w:val="00EF6E6A"/>
    <w:rsid w:val="00EF74DC"/>
    <w:rsid w:val="00EF7577"/>
    <w:rsid w:val="00EF768C"/>
    <w:rsid w:val="00F00E07"/>
    <w:rsid w:val="00F01532"/>
    <w:rsid w:val="00F01D57"/>
    <w:rsid w:val="00F02A15"/>
    <w:rsid w:val="00F02C6B"/>
    <w:rsid w:val="00F0324A"/>
    <w:rsid w:val="00F046AB"/>
    <w:rsid w:val="00F0486E"/>
    <w:rsid w:val="00F04A06"/>
    <w:rsid w:val="00F04B98"/>
    <w:rsid w:val="00F04EDA"/>
    <w:rsid w:val="00F05C7A"/>
    <w:rsid w:val="00F0603E"/>
    <w:rsid w:val="00F067F7"/>
    <w:rsid w:val="00F071B1"/>
    <w:rsid w:val="00F075FF"/>
    <w:rsid w:val="00F078CF"/>
    <w:rsid w:val="00F100BD"/>
    <w:rsid w:val="00F10E68"/>
    <w:rsid w:val="00F11B61"/>
    <w:rsid w:val="00F12685"/>
    <w:rsid w:val="00F13A6E"/>
    <w:rsid w:val="00F1403D"/>
    <w:rsid w:val="00F1413E"/>
    <w:rsid w:val="00F14F8C"/>
    <w:rsid w:val="00F150F0"/>
    <w:rsid w:val="00F152E7"/>
    <w:rsid w:val="00F15BFC"/>
    <w:rsid w:val="00F16A29"/>
    <w:rsid w:val="00F16F07"/>
    <w:rsid w:val="00F17B24"/>
    <w:rsid w:val="00F202EF"/>
    <w:rsid w:val="00F2084A"/>
    <w:rsid w:val="00F20E5F"/>
    <w:rsid w:val="00F21402"/>
    <w:rsid w:val="00F23BB4"/>
    <w:rsid w:val="00F241DC"/>
    <w:rsid w:val="00F24A76"/>
    <w:rsid w:val="00F24A83"/>
    <w:rsid w:val="00F2503F"/>
    <w:rsid w:val="00F251F5"/>
    <w:rsid w:val="00F2546F"/>
    <w:rsid w:val="00F267AB"/>
    <w:rsid w:val="00F2697C"/>
    <w:rsid w:val="00F26CDA"/>
    <w:rsid w:val="00F27103"/>
    <w:rsid w:val="00F27573"/>
    <w:rsid w:val="00F2772E"/>
    <w:rsid w:val="00F3010E"/>
    <w:rsid w:val="00F30A1E"/>
    <w:rsid w:val="00F30F23"/>
    <w:rsid w:val="00F3100B"/>
    <w:rsid w:val="00F312ED"/>
    <w:rsid w:val="00F31831"/>
    <w:rsid w:val="00F32269"/>
    <w:rsid w:val="00F328C2"/>
    <w:rsid w:val="00F32BC0"/>
    <w:rsid w:val="00F32E16"/>
    <w:rsid w:val="00F32E6B"/>
    <w:rsid w:val="00F33A28"/>
    <w:rsid w:val="00F33F38"/>
    <w:rsid w:val="00F34063"/>
    <w:rsid w:val="00F354D2"/>
    <w:rsid w:val="00F35D1E"/>
    <w:rsid w:val="00F36DF0"/>
    <w:rsid w:val="00F36E75"/>
    <w:rsid w:val="00F40369"/>
    <w:rsid w:val="00F40783"/>
    <w:rsid w:val="00F40953"/>
    <w:rsid w:val="00F432C6"/>
    <w:rsid w:val="00F435C5"/>
    <w:rsid w:val="00F43C34"/>
    <w:rsid w:val="00F443E3"/>
    <w:rsid w:val="00F455B2"/>
    <w:rsid w:val="00F4596C"/>
    <w:rsid w:val="00F45D1D"/>
    <w:rsid w:val="00F45DCE"/>
    <w:rsid w:val="00F4624F"/>
    <w:rsid w:val="00F463E3"/>
    <w:rsid w:val="00F47209"/>
    <w:rsid w:val="00F47F27"/>
    <w:rsid w:val="00F5075E"/>
    <w:rsid w:val="00F511FE"/>
    <w:rsid w:val="00F5185D"/>
    <w:rsid w:val="00F51A88"/>
    <w:rsid w:val="00F530DD"/>
    <w:rsid w:val="00F53193"/>
    <w:rsid w:val="00F5357E"/>
    <w:rsid w:val="00F53A90"/>
    <w:rsid w:val="00F53B7C"/>
    <w:rsid w:val="00F5538C"/>
    <w:rsid w:val="00F55423"/>
    <w:rsid w:val="00F5556B"/>
    <w:rsid w:val="00F55A21"/>
    <w:rsid w:val="00F56BF7"/>
    <w:rsid w:val="00F56CC7"/>
    <w:rsid w:val="00F57880"/>
    <w:rsid w:val="00F601EC"/>
    <w:rsid w:val="00F6118D"/>
    <w:rsid w:val="00F611DF"/>
    <w:rsid w:val="00F61343"/>
    <w:rsid w:val="00F615B8"/>
    <w:rsid w:val="00F61BDE"/>
    <w:rsid w:val="00F629D9"/>
    <w:rsid w:val="00F62B22"/>
    <w:rsid w:val="00F63468"/>
    <w:rsid w:val="00F635D5"/>
    <w:rsid w:val="00F63E2E"/>
    <w:rsid w:val="00F643DF"/>
    <w:rsid w:val="00F64AFC"/>
    <w:rsid w:val="00F6586C"/>
    <w:rsid w:val="00F65A56"/>
    <w:rsid w:val="00F65C20"/>
    <w:rsid w:val="00F65F0D"/>
    <w:rsid w:val="00F663F0"/>
    <w:rsid w:val="00F66C62"/>
    <w:rsid w:val="00F671E7"/>
    <w:rsid w:val="00F67695"/>
    <w:rsid w:val="00F67ABC"/>
    <w:rsid w:val="00F67F5A"/>
    <w:rsid w:val="00F70134"/>
    <w:rsid w:val="00F706F4"/>
    <w:rsid w:val="00F70E16"/>
    <w:rsid w:val="00F71AEE"/>
    <w:rsid w:val="00F72433"/>
    <w:rsid w:val="00F72E0A"/>
    <w:rsid w:val="00F73120"/>
    <w:rsid w:val="00F73793"/>
    <w:rsid w:val="00F74F38"/>
    <w:rsid w:val="00F7529F"/>
    <w:rsid w:val="00F758A6"/>
    <w:rsid w:val="00F75F25"/>
    <w:rsid w:val="00F7676D"/>
    <w:rsid w:val="00F769E8"/>
    <w:rsid w:val="00F7749E"/>
    <w:rsid w:val="00F801F9"/>
    <w:rsid w:val="00F80396"/>
    <w:rsid w:val="00F80A89"/>
    <w:rsid w:val="00F81B6F"/>
    <w:rsid w:val="00F827FA"/>
    <w:rsid w:val="00F83D19"/>
    <w:rsid w:val="00F84235"/>
    <w:rsid w:val="00F843B4"/>
    <w:rsid w:val="00F8441F"/>
    <w:rsid w:val="00F84FE5"/>
    <w:rsid w:val="00F85093"/>
    <w:rsid w:val="00F85550"/>
    <w:rsid w:val="00F858E4"/>
    <w:rsid w:val="00F85BA1"/>
    <w:rsid w:val="00F865A0"/>
    <w:rsid w:val="00F87291"/>
    <w:rsid w:val="00F90649"/>
    <w:rsid w:val="00F90EA3"/>
    <w:rsid w:val="00F91028"/>
    <w:rsid w:val="00F912BC"/>
    <w:rsid w:val="00F91E89"/>
    <w:rsid w:val="00F93285"/>
    <w:rsid w:val="00F9378C"/>
    <w:rsid w:val="00F9446A"/>
    <w:rsid w:val="00F94774"/>
    <w:rsid w:val="00F953E8"/>
    <w:rsid w:val="00F96B55"/>
    <w:rsid w:val="00F96F2B"/>
    <w:rsid w:val="00F97378"/>
    <w:rsid w:val="00F979E6"/>
    <w:rsid w:val="00F97A76"/>
    <w:rsid w:val="00F97D1F"/>
    <w:rsid w:val="00FA0704"/>
    <w:rsid w:val="00FA084E"/>
    <w:rsid w:val="00FA0FEA"/>
    <w:rsid w:val="00FA158B"/>
    <w:rsid w:val="00FA1661"/>
    <w:rsid w:val="00FA3F77"/>
    <w:rsid w:val="00FA4014"/>
    <w:rsid w:val="00FA53E2"/>
    <w:rsid w:val="00FA5708"/>
    <w:rsid w:val="00FA58AC"/>
    <w:rsid w:val="00FA5F4E"/>
    <w:rsid w:val="00FA60C9"/>
    <w:rsid w:val="00FA663B"/>
    <w:rsid w:val="00FA6723"/>
    <w:rsid w:val="00FA77E6"/>
    <w:rsid w:val="00FA7E2C"/>
    <w:rsid w:val="00FB0587"/>
    <w:rsid w:val="00FB11DD"/>
    <w:rsid w:val="00FB120E"/>
    <w:rsid w:val="00FB13AC"/>
    <w:rsid w:val="00FB1401"/>
    <w:rsid w:val="00FB26CD"/>
    <w:rsid w:val="00FB296A"/>
    <w:rsid w:val="00FB45DB"/>
    <w:rsid w:val="00FB4653"/>
    <w:rsid w:val="00FB4AB9"/>
    <w:rsid w:val="00FB5359"/>
    <w:rsid w:val="00FB539C"/>
    <w:rsid w:val="00FB5A75"/>
    <w:rsid w:val="00FB650D"/>
    <w:rsid w:val="00FB6671"/>
    <w:rsid w:val="00FB6E21"/>
    <w:rsid w:val="00FB70D6"/>
    <w:rsid w:val="00FB7299"/>
    <w:rsid w:val="00FB7D33"/>
    <w:rsid w:val="00FC3E8D"/>
    <w:rsid w:val="00FC43F7"/>
    <w:rsid w:val="00FC4BA7"/>
    <w:rsid w:val="00FC5264"/>
    <w:rsid w:val="00FC53DB"/>
    <w:rsid w:val="00FC5557"/>
    <w:rsid w:val="00FC5BD5"/>
    <w:rsid w:val="00FC7283"/>
    <w:rsid w:val="00FC73CB"/>
    <w:rsid w:val="00FC74C9"/>
    <w:rsid w:val="00FC752D"/>
    <w:rsid w:val="00FC7839"/>
    <w:rsid w:val="00FC7CED"/>
    <w:rsid w:val="00FC7E4C"/>
    <w:rsid w:val="00FC7E94"/>
    <w:rsid w:val="00FD01A5"/>
    <w:rsid w:val="00FD04F7"/>
    <w:rsid w:val="00FD1614"/>
    <w:rsid w:val="00FD1687"/>
    <w:rsid w:val="00FD278A"/>
    <w:rsid w:val="00FD3513"/>
    <w:rsid w:val="00FD4A2D"/>
    <w:rsid w:val="00FD4CCD"/>
    <w:rsid w:val="00FD51AE"/>
    <w:rsid w:val="00FD5487"/>
    <w:rsid w:val="00FD56E1"/>
    <w:rsid w:val="00FD6070"/>
    <w:rsid w:val="00FD6709"/>
    <w:rsid w:val="00FD67DC"/>
    <w:rsid w:val="00FD70AE"/>
    <w:rsid w:val="00FD74D9"/>
    <w:rsid w:val="00FD761E"/>
    <w:rsid w:val="00FD7DA1"/>
    <w:rsid w:val="00FE18B2"/>
    <w:rsid w:val="00FE1B94"/>
    <w:rsid w:val="00FE293A"/>
    <w:rsid w:val="00FE2EAF"/>
    <w:rsid w:val="00FE385B"/>
    <w:rsid w:val="00FE422F"/>
    <w:rsid w:val="00FE4CFD"/>
    <w:rsid w:val="00FE50A2"/>
    <w:rsid w:val="00FE51DB"/>
    <w:rsid w:val="00FE5329"/>
    <w:rsid w:val="00FE53B5"/>
    <w:rsid w:val="00FE6115"/>
    <w:rsid w:val="00FE6672"/>
    <w:rsid w:val="00FE7131"/>
    <w:rsid w:val="00FE762E"/>
    <w:rsid w:val="00FE79A5"/>
    <w:rsid w:val="00FF0394"/>
    <w:rsid w:val="00FF0B5B"/>
    <w:rsid w:val="00FF0F13"/>
    <w:rsid w:val="00FF0FF6"/>
    <w:rsid w:val="00FF1A84"/>
    <w:rsid w:val="00FF23A1"/>
    <w:rsid w:val="00FF4BB9"/>
    <w:rsid w:val="00FF511A"/>
    <w:rsid w:val="00FF6442"/>
    <w:rsid w:val="00FF6C69"/>
    <w:rsid w:val="00FF70BA"/>
    <w:rsid w:val="00FF7330"/>
    <w:rsid w:val="00FF74C4"/>
    <w:rsid w:val="00FF79BE"/>
    <w:rsid w:val="00FF7C9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4B5DE"/>
  <w15:docId w15:val="{C0387227-3917-4561-918B-A5255633D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D5E"/>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392D9B"/>
    <w:pPr>
      <w:keepNext/>
      <w:spacing w:before="240" w:after="120"/>
      <w:jc w:val="center"/>
      <w:outlineLvl w:val="1"/>
    </w:pPr>
    <w:rPr>
      <w:b/>
      <w:bCs/>
      <w:szCs w:val="22"/>
    </w:rPr>
  </w:style>
  <w:style w:type="paragraph" w:styleId="Heading3">
    <w:name w:val="heading 3"/>
    <w:basedOn w:val="Normal"/>
    <w:next w:val="Normal"/>
    <w:link w:val="Heading3Char"/>
    <w:qFormat/>
    <w:rsid w:val="00CD3F44"/>
    <w:pPr>
      <w:keepNext/>
      <w:spacing w:before="120" w:after="120"/>
      <w:jc w:val="center"/>
      <w:outlineLvl w:val="2"/>
    </w:pPr>
    <w:rPr>
      <w:rFonts w:eastAsia="DengXian"/>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F24A83"/>
    <w:pPr>
      <w:keepNext/>
      <w:spacing w:after="240" w:line="240" w:lineRule="exact"/>
      <w:outlineLvl w:val="5"/>
    </w:pPr>
    <w:rPr>
      <w:snapToGrid w:val="0"/>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qFormat/>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qFormat/>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qFormat/>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qForma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qFormat/>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9504F6"/>
    <w:pPr>
      <w:keepLines/>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9504F6"/>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92D9B"/>
    <w:rPr>
      <w:rFonts w:ascii="Times New Roman" w:eastAsia="Times New Roman" w:hAnsi="Times New Roman" w:cs="Times New Roman"/>
      <w:b/>
      <w:bCs/>
      <w:sz w:val="22"/>
      <w:szCs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CD3F44"/>
    <w:rPr>
      <w:rFonts w:ascii="Times New Roman" w:eastAsia="DengXi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F24A83"/>
    <w:rPr>
      <w:rFonts w:ascii="Times New Roman" w:eastAsia="Times New Roman" w:hAnsi="Times New Roman" w:cs="Times New Roman"/>
      <w:snapToGrid w:val="0"/>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3466FC"/>
    <w:pPr>
      <w:numPr>
        <w:numId w:val="5"/>
      </w:numPr>
      <w:overflowPunct w:val="0"/>
      <w:autoSpaceDE w:val="0"/>
      <w:autoSpaceDN w:val="0"/>
      <w:snapToGrid w:val="0"/>
      <w:spacing w:after="120"/>
    </w:pPr>
    <w:rPr>
      <w:snapToGrid w:val="0"/>
      <w:color w:val="000000"/>
      <w:kern w:val="22"/>
      <w:szCs w:val="22"/>
    </w:rPr>
  </w:style>
  <w:style w:type="paragraph" w:customStyle="1" w:styleId="Para2">
    <w:name w:val="Para2"/>
    <w:basedOn w:val="Para1"/>
    <w:rsid w:val="007E09DA"/>
    <w:pPr>
      <w:numPr>
        <w:numId w:val="0"/>
      </w:numPr>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346301"/>
    <w:pPr>
      <w:tabs>
        <w:tab w:val="left" w:pos="426"/>
        <w:tab w:val="right" w:leader="dot" w:pos="9350"/>
      </w:tabs>
      <w:jc w:val="right"/>
    </w:pPr>
    <w:rPr>
      <w:noProof/>
      <w:snapToGrid w:val="0"/>
      <w:szCs w:val="22"/>
    </w:rPr>
  </w:style>
  <w:style w:type="paragraph" w:styleId="TOC2">
    <w:name w:val="toc 2"/>
    <w:basedOn w:val="Normal"/>
    <w:next w:val="Normal"/>
    <w:autoRedefine/>
    <w:uiPriority w:val="39"/>
    <w:rsid w:val="00F241DC"/>
    <w:pPr>
      <w:tabs>
        <w:tab w:val="left" w:pos="1134"/>
        <w:tab w:val="right" w:leader="dot" w:pos="9356"/>
      </w:tabs>
      <w:ind w:left="1134" w:hanging="708"/>
      <w:jc w:val="left"/>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3466FC"/>
    <w:rPr>
      <w:rFonts w:ascii="Times New Roman" w:eastAsia="Times New Roman" w:hAnsi="Times New Roman" w:cs="Times New Roman"/>
      <w:snapToGrid w:val="0"/>
      <w:color w:val="000000"/>
      <w:kern w:val="22"/>
      <w:sz w:val="22"/>
      <w:szCs w:val="22"/>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character" w:styleId="UnresolvedMention">
    <w:name w:val="Unresolved Mention"/>
    <w:basedOn w:val="DefaultParagraphFont"/>
    <w:uiPriority w:val="99"/>
    <w:semiHidden/>
    <w:unhideWhenUsed/>
    <w:rsid w:val="00E86DA3"/>
    <w:rPr>
      <w:color w:val="605E5C"/>
      <w:shd w:val="clear" w:color="auto" w:fill="E1DFDD"/>
    </w:rPr>
  </w:style>
  <w:style w:type="character" w:customStyle="1" w:styleId="ng-binding">
    <w:name w:val="ng-binding"/>
    <w:basedOn w:val="DefaultParagraphFont"/>
    <w:rsid w:val="00A3381A"/>
  </w:style>
  <w:style w:type="paragraph" w:styleId="CommentSubject">
    <w:name w:val="annotation subject"/>
    <w:basedOn w:val="CommentText"/>
    <w:next w:val="CommentText"/>
    <w:link w:val="CommentSubjectChar"/>
    <w:uiPriority w:val="99"/>
    <w:semiHidden/>
    <w:unhideWhenUsed/>
    <w:rsid w:val="00113E7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13E77"/>
    <w:rPr>
      <w:rFonts w:ascii="Times New Roman" w:eastAsia="Times New Roman" w:hAnsi="Times New Roman" w:cs="Times New Roman"/>
      <w:b/>
      <w:bCs/>
      <w:sz w:val="20"/>
      <w:szCs w:val="20"/>
      <w:lang w:val="en-GB"/>
    </w:rPr>
  </w:style>
  <w:style w:type="paragraph" w:styleId="Revision">
    <w:name w:val="Revision"/>
    <w:hidden/>
    <w:uiPriority w:val="99"/>
    <w:semiHidden/>
    <w:rsid w:val="005A107A"/>
    <w:rPr>
      <w:rFonts w:ascii="Times New Roman" w:eastAsia="Times New Roman" w:hAnsi="Times New Roman" w:cs="Times New Roman"/>
      <w:sz w:val="22"/>
      <w:lang w:val="en-GB"/>
    </w:rPr>
  </w:style>
  <w:style w:type="paragraph" w:customStyle="1" w:styleId="paragraph">
    <w:name w:val="paragraph"/>
    <w:basedOn w:val="Normal"/>
    <w:rsid w:val="006A0AF6"/>
    <w:pPr>
      <w:spacing w:before="100" w:beforeAutospacing="1" w:after="100" w:afterAutospacing="1"/>
      <w:jc w:val="left"/>
    </w:pPr>
    <w:rPr>
      <w:sz w:val="24"/>
      <w:lang w:val="en-US"/>
    </w:rPr>
  </w:style>
  <w:style w:type="character" w:customStyle="1" w:styleId="normaltextrun">
    <w:name w:val="normaltextrun"/>
    <w:rsid w:val="006A0AF6"/>
  </w:style>
  <w:style w:type="character" w:customStyle="1" w:styleId="findhit">
    <w:name w:val="findhit"/>
    <w:rsid w:val="006A0AF6"/>
  </w:style>
  <w:style w:type="paragraph" w:customStyle="1" w:styleId="Heading-plainbold">
    <w:name w:val="Heading-plain bold"/>
    <w:basedOn w:val="BodyText"/>
    <w:rsid w:val="001A77EF"/>
    <w:pPr>
      <w:ind w:firstLine="0"/>
      <w:jc w:val="center"/>
    </w:pPr>
    <w:rPr>
      <w:rFonts w:eastAsia="Malgun Gothic"/>
      <w:b/>
      <w:bCs/>
      <w:i/>
      <w:iCs w:val="0"/>
      <w:lang w:eastAsia="x-none"/>
    </w:rPr>
  </w:style>
  <w:style w:type="paragraph" w:styleId="NormalWeb">
    <w:name w:val="Normal (Web)"/>
    <w:basedOn w:val="Normal"/>
    <w:uiPriority w:val="99"/>
    <w:unhideWhenUsed/>
    <w:rsid w:val="006D22E6"/>
    <w:rPr>
      <w:sz w:val="24"/>
    </w:rPr>
  </w:style>
  <w:style w:type="paragraph" w:styleId="BodyText3">
    <w:name w:val="Body Text 3"/>
    <w:basedOn w:val="Normal"/>
    <w:link w:val="BodyText3Char"/>
    <w:unhideWhenUsed/>
    <w:rsid w:val="00AD3928"/>
    <w:pPr>
      <w:spacing w:after="120"/>
    </w:pPr>
    <w:rPr>
      <w:sz w:val="16"/>
      <w:szCs w:val="16"/>
    </w:rPr>
  </w:style>
  <w:style w:type="character" w:customStyle="1" w:styleId="BodyText3Char">
    <w:name w:val="Body Text 3 Char"/>
    <w:basedOn w:val="DefaultParagraphFont"/>
    <w:link w:val="BodyText3"/>
    <w:rsid w:val="00AD3928"/>
    <w:rPr>
      <w:rFonts w:ascii="Times New Roman" w:eastAsia="Times New Roman" w:hAnsi="Times New Roman" w:cs="Times New Roman"/>
      <w:sz w:val="16"/>
      <w:szCs w:val="16"/>
      <w:lang w:val="en-GB"/>
    </w:rPr>
  </w:style>
  <w:style w:type="paragraph" w:styleId="NoSpacing">
    <w:name w:val="No Spacing"/>
    <w:link w:val="NoSpacingChar"/>
    <w:uiPriority w:val="1"/>
    <w:qFormat/>
    <w:rsid w:val="009E3A9E"/>
    <w:pPr>
      <w:jc w:val="both"/>
    </w:pPr>
    <w:rPr>
      <w:rFonts w:ascii="Times New Roman" w:eastAsia="Times New Roman" w:hAnsi="Times New Roman" w:cs="Times New Roman"/>
      <w:sz w:val="22"/>
      <w:lang w:val="en-GB"/>
    </w:rPr>
  </w:style>
  <w:style w:type="character" w:customStyle="1" w:styleId="ui-provider">
    <w:name w:val="ui-provider"/>
    <w:basedOn w:val="DefaultParagraphFont"/>
    <w:rsid w:val="00F26CDA"/>
  </w:style>
  <w:style w:type="paragraph" w:customStyle="1" w:styleId="Normalnumber">
    <w:name w:val="Normal_number"/>
    <w:link w:val="NormalnumberChar"/>
    <w:qFormat/>
    <w:rsid w:val="00B04877"/>
    <w:pPr>
      <w:numPr>
        <w:numId w:val="7"/>
      </w:numPr>
      <w:tabs>
        <w:tab w:val="clear" w:pos="568"/>
        <w:tab w:val="num" w:pos="580"/>
        <w:tab w:val="left" w:pos="1843"/>
      </w:tabs>
      <w:spacing w:after="120"/>
      <w:ind w:left="1260"/>
    </w:pPr>
    <w:rPr>
      <w:rFonts w:ascii="Times New Roman" w:eastAsia="Times New Roman" w:hAnsi="Times New Roman" w:cs="Times New Roman"/>
      <w:sz w:val="20"/>
      <w:szCs w:val="20"/>
      <w:lang w:val="en-GB"/>
    </w:rPr>
  </w:style>
  <w:style w:type="numbering" w:customStyle="1" w:styleId="Normallist">
    <w:name w:val="Normal_list"/>
    <w:rsid w:val="00B04877"/>
    <w:pPr>
      <w:numPr>
        <w:numId w:val="7"/>
      </w:numPr>
    </w:pPr>
  </w:style>
  <w:style w:type="character" w:customStyle="1" w:styleId="NormalnumberChar">
    <w:name w:val="Normal_number Char"/>
    <w:link w:val="Normalnumber"/>
    <w:qFormat/>
    <w:locked/>
    <w:rsid w:val="00B04877"/>
    <w:rPr>
      <w:rFonts w:ascii="Times New Roman" w:eastAsia="Times New Roman" w:hAnsi="Times New Roman" w:cs="Times New Roman"/>
      <w:sz w:val="20"/>
      <w:szCs w:val="20"/>
      <w:lang w:val="en-GB"/>
    </w:rPr>
  </w:style>
  <w:style w:type="paragraph" w:customStyle="1" w:styleId="Item">
    <w:name w:val="Item"/>
    <w:basedOn w:val="Normal"/>
    <w:qFormat/>
    <w:rsid w:val="00CF6C56"/>
    <w:pPr>
      <w:keepNext/>
      <w:spacing w:before="240" w:after="120"/>
      <w:ind w:left="720" w:hanging="720"/>
      <w:jc w:val="center"/>
    </w:pPr>
    <w:rPr>
      <w:b/>
      <w:kern w:val="22"/>
    </w:rPr>
  </w:style>
  <w:style w:type="paragraph" w:customStyle="1" w:styleId="Default">
    <w:name w:val="Default"/>
    <w:rsid w:val="00CF6C56"/>
    <w:pPr>
      <w:autoSpaceDE w:val="0"/>
      <w:autoSpaceDN w:val="0"/>
      <w:adjustRightInd w:val="0"/>
    </w:pPr>
    <w:rPr>
      <w:rFonts w:ascii="Times New Roman" w:eastAsia="Times New Roman" w:hAnsi="Times New Roman" w:cs="Times New Roman"/>
      <w:color w:val="000000"/>
      <w:lang w:val="de-CH" w:eastAsia="de-CH"/>
    </w:rPr>
  </w:style>
  <w:style w:type="character" w:customStyle="1" w:styleId="NoSpacingChar">
    <w:name w:val="No Spacing Char"/>
    <w:basedOn w:val="DefaultParagraphFont"/>
    <w:link w:val="NoSpacing"/>
    <w:uiPriority w:val="1"/>
    <w:rsid w:val="00CF6C56"/>
    <w:rPr>
      <w:rFonts w:ascii="Times New Roman" w:eastAsia="Times New Roman" w:hAnsi="Times New Roman" w:cs="Times New Roman"/>
      <w:sz w:val="22"/>
      <w:lang w:val="en-GB"/>
    </w:rPr>
  </w:style>
  <w:style w:type="paragraph" w:customStyle="1" w:styleId="decision">
    <w:name w:val="decision"/>
    <w:basedOn w:val="Normal"/>
    <w:qFormat/>
    <w:rsid w:val="0040414C"/>
    <w:pPr>
      <w:keepNext/>
      <w:spacing w:before="120" w:after="120"/>
      <w:jc w:val="center"/>
      <w:outlineLvl w:val="1"/>
    </w:pPr>
    <w:rPr>
      <w:rFonts w:ascii="Times New Roman Bold" w:eastAsia="Malgun Gothic" w:hAnsi="Times New Roman Bold"/>
      <w:b/>
    </w:rPr>
  </w:style>
  <w:style w:type="paragraph" w:customStyle="1" w:styleId="xl66">
    <w:name w:val="xl66"/>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CF6C56"/>
    <w:pPr>
      <w:spacing w:before="100" w:beforeAutospacing="1" w:after="100" w:afterAutospacing="1"/>
      <w:textAlignment w:val="center"/>
    </w:pPr>
    <w:rPr>
      <w:sz w:val="20"/>
      <w:szCs w:val="20"/>
    </w:rPr>
  </w:style>
  <w:style w:type="paragraph" w:customStyle="1" w:styleId="xl68">
    <w:name w:val="xl68"/>
    <w:basedOn w:val="Normal"/>
    <w:rsid w:val="00CF6C56"/>
    <w:pPr>
      <w:spacing w:before="100" w:beforeAutospacing="1" w:after="100" w:afterAutospacing="1"/>
      <w:jc w:val="center"/>
      <w:textAlignment w:val="center"/>
    </w:pPr>
    <w:rPr>
      <w:b/>
      <w:bCs/>
      <w:sz w:val="20"/>
      <w:szCs w:val="20"/>
    </w:rPr>
  </w:style>
  <w:style w:type="paragraph" w:customStyle="1" w:styleId="xl69">
    <w:name w:val="xl69"/>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CF6C56"/>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CF6C56"/>
    <w:pPr>
      <w:spacing w:before="100" w:beforeAutospacing="1" w:after="100" w:afterAutospacing="1"/>
      <w:textAlignment w:val="center"/>
    </w:pPr>
    <w:rPr>
      <w:b/>
      <w:bCs/>
    </w:rPr>
  </w:style>
  <w:style w:type="character" w:customStyle="1" w:styleId="UnresolvedMention1">
    <w:name w:val="Unresolved Mention1"/>
    <w:basedOn w:val="DefaultParagraphFont"/>
    <w:uiPriority w:val="99"/>
    <w:unhideWhenUsed/>
    <w:rsid w:val="00CF6C56"/>
    <w:rPr>
      <w:color w:val="605E5C"/>
      <w:shd w:val="clear" w:color="auto" w:fill="E1DFDD"/>
    </w:rPr>
  </w:style>
  <w:style w:type="paragraph" w:styleId="PlainText">
    <w:name w:val="Plain Text"/>
    <w:basedOn w:val="Normal"/>
    <w:link w:val="PlainTextChar"/>
    <w:uiPriority w:val="99"/>
    <w:unhideWhenUsed/>
    <w:rsid w:val="00CF6C56"/>
    <w:rPr>
      <w:rFonts w:ascii="Calibri" w:eastAsiaTheme="minorHAnsi" w:hAnsi="Calibri" w:cs="Calibri"/>
      <w:lang w:val="fr-FR"/>
    </w:rPr>
  </w:style>
  <w:style w:type="character" w:customStyle="1" w:styleId="PlainTextChar">
    <w:name w:val="Plain Text Char"/>
    <w:basedOn w:val="DefaultParagraphFont"/>
    <w:link w:val="PlainText"/>
    <w:uiPriority w:val="99"/>
    <w:qFormat/>
    <w:rsid w:val="00CF6C56"/>
    <w:rPr>
      <w:rFonts w:ascii="Calibri" w:eastAsiaTheme="minorHAnsi" w:hAnsi="Calibri" w:cs="Calibri"/>
      <w:sz w:val="22"/>
      <w:lang w:val="fr-FR"/>
    </w:rPr>
  </w:style>
  <w:style w:type="table" w:customStyle="1" w:styleId="TableGrid1">
    <w:name w:val="Table Grid1"/>
    <w:basedOn w:val="TableNormal"/>
    <w:next w:val="TableGrid"/>
    <w:uiPriority w:val="59"/>
    <w:rsid w:val="00CF6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6Colorful">
    <w:name w:val="List Table 6 Colorful"/>
    <w:basedOn w:val="TableNormal"/>
    <w:uiPriority w:val="51"/>
    <w:rsid w:val="00CF6C5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CBD-Para">
    <w:name w:val="CBD-Para"/>
    <w:basedOn w:val="Normal"/>
    <w:link w:val="CBD-ParaCharChar"/>
    <w:rsid w:val="00CF6C56"/>
    <w:pPr>
      <w:keepLines/>
      <w:numPr>
        <w:numId w:val="9"/>
      </w:numPr>
      <w:spacing w:before="120" w:after="120"/>
    </w:pPr>
    <w:rPr>
      <w:szCs w:val="22"/>
      <w:lang w:val="en-US"/>
    </w:rPr>
  </w:style>
  <w:style w:type="character" w:customStyle="1" w:styleId="CBD-ParaCharChar">
    <w:name w:val="CBD-Para Char Char"/>
    <w:link w:val="CBD-Para"/>
    <w:qFormat/>
    <w:locked/>
    <w:rsid w:val="00CF6C56"/>
    <w:rPr>
      <w:rFonts w:ascii="Times New Roman" w:eastAsia="Times New Roman" w:hAnsi="Times New Roman" w:cs="Times New Roman"/>
      <w:sz w:val="22"/>
      <w:szCs w:val="22"/>
      <w:lang w:val="en-US"/>
    </w:rPr>
  </w:style>
  <w:style w:type="character" w:customStyle="1" w:styleId="markedcontent">
    <w:name w:val="markedcontent"/>
    <w:basedOn w:val="DefaultParagraphFont"/>
    <w:rsid w:val="00CF6C56"/>
  </w:style>
  <w:style w:type="character" w:customStyle="1" w:styleId="eop">
    <w:name w:val="eop"/>
    <w:basedOn w:val="DefaultParagraphFont"/>
    <w:rsid w:val="00CF6C56"/>
  </w:style>
  <w:style w:type="character" w:customStyle="1" w:styleId="tabchar">
    <w:name w:val="tabchar"/>
    <w:basedOn w:val="DefaultParagraphFont"/>
    <w:rsid w:val="00CF6C56"/>
  </w:style>
  <w:style w:type="paragraph" w:customStyle="1" w:styleId="msonormal0">
    <w:name w:val="msonormal"/>
    <w:basedOn w:val="Normal"/>
    <w:rsid w:val="00CF6C56"/>
    <w:pPr>
      <w:spacing w:before="100" w:beforeAutospacing="1" w:after="100" w:afterAutospacing="1"/>
      <w:jc w:val="left"/>
    </w:pPr>
    <w:rPr>
      <w:sz w:val="24"/>
      <w:lang w:val="en-US" w:eastAsia="zh-CN"/>
    </w:rPr>
  </w:style>
  <w:style w:type="paragraph" w:customStyle="1" w:styleId="xl65">
    <w:name w:val="xl65"/>
    <w:basedOn w:val="Normal"/>
    <w:rsid w:val="00CF6C5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
    <w:name w:val="List Table 6 Colorful1"/>
    <w:basedOn w:val="TableNormal"/>
    <w:next w:val="ListTable6Colorful"/>
    <w:uiPriority w:val="51"/>
    <w:rsid w:val="00CF6C56"/>
    <w:rPr>
      <w:color w:val="000000" w:themeColor="text1"/>
    </w:rPr>
    <w:tblPr>
      <w:tblStyleRowBandSize w:val="1"/>
      <w:tblStyleColBandSize w:val="1"/>
      <w:tblInd w:w="0" w:type="nil"/>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odyText2">
    <w:name w:val="Body Text 2"/>
    <w:basedOn w:val="Normal"/>
    <w:link w:val="BodyText2Char"/>
    <w:uiPriority w:val="99"/>
    <w:rsid w:val="00E86051"/>
    <w:pPr>
      <w:tabs>
        <w:tab w:val="left" w:pos="-1440"/>
        <w:tab w:val="left" w:pos="-720"/>
        <w:tab w:val="left" w:pos="0"/>
        <w:tab w:val="left" w:pos="720"/>
        <w:tab w:val="right" w:pos="1080"/>
        <w:tab w:val="left" w:pos="1440"/>
      </w:tabs>
      <w:suppressAutoHyphens/>
      <w:spacing w:after="120" w:line="288" w:lineRule="auto"/>
      <w:ind w:left="2160" w:hanging="2160"/>
      <w:jc w:val="left"/>
    </w:pPr>
    <w:rPr>
      <w:rFonts w:eastAsia="Malgun Gothic"/>
      <w:sz w:val="24"/>
      <w:lang w:val="en-CA"/>
    </w:rPr>
  </w:style>
  <w:style w:type="character" w:customStyle="1" w:styleId="BodyText2Char">
    <w:name w:val="Body Text 2 Char"/>
    <w:basedOn w:val="DefaultParagraphFont"/>
    <w:link w:val="BodyText2"/>
    <w:uiPriority w:val="99"/>
    <w:rsid w:val="00E86051"/>
    <w:rPr>
      <w:rFonts w:ascii="Times New Roman" w:eastAsia="Malgun Gothic" w:hAnsi="Times New Roman" w:cs="Times New Roman"/>
      <w:lang w:val="en-CA"/>
    </w:rPr>
  </w:style>
  <w:style w:type="character" w:styleId="Emphasis">
    <w:name w:val="Emphasis"/>
    <w:basedOn w:val="DefaultParagraphFont"/>
    <w:uiPriority w:val="20"/>
    <w:qFormat/>
    <w:rsid w:val="00E86051"/>
    <w:rPr>
      <w:i/>
      <w:iCs/>
    </w:rPr>
  </w:style>
  <w:style w:type="paragraph" w:customStyle="1" w:styleId="Revision1">
    <w:name w:val="Revision1"/>
    <w:hidden/>
    <w:uiPriority w:val="99"/>
    <w:semiHidden/>
    <w:rsid w:val="00E86051"/>
    <w:rPr>
      <w:rFonts w:ascii="Times New Roman" w:eastAsia="Times New Roman" w:hAnsi="Times New Roman" w:cs="Times New Roman"/>
      <w:sz w:val="22"/>
      <w:lang w:val="en-GB"/>
    </w:rPr>
  </w:style>
  <w:style w:type="paragraph" w:customStyle="1" w:styleId="para10">
    <w:name w:val="para10"/>
    <w:basedOn w:val="Normal"/>
    <w:rsid w:val="00E86051"/>
    <w:pPr>
      <w:numPr>
        <w:numId w:val="11"/>
      </w:numPr>
      <w:snapToGrid w:val="0"/>
      <w:spacing w:before="120" w:after="120"/>
    </w:pPr>
    <w:rPr>
      <w:szCs w:val="22"/>
      <w:lang w:val="en-US"/>
    </w:rPr>
  </w:style>
  <w:style w:type="paragraph" w:customStyle="1" w:styleId="p1">
    <w:name w:val="p1"/>
    <w:basedOn w:val="Normal"/>
    <w:qFormat/>
    <w:rsid w:val="00E86051"/>
    <w:pPr>
      <w:spacing w:before="100" w:beforeAutospacing="1" w:after="100" w:afterAutospacing="1"/>
      <w:jc w:val="left"/>
    </w:pPr>
    <w:rPr>
      <w:rFonts w:ascii="Calibri" w:eastAsiaTheme="minorEastAsia" w:hAnsi="Calibri" w:cs="Calibri"/>
      <w:szCs w:val="22"/>
      <w:lang w:val="en-US" w:eastAsia="zh-CN"/>
    </w:rPr>
  </w:style>
  <w:style w:type="paragraph" w:customStyle="1" w:styleId="li1">
    <w:name w:val="li1"/>
    <w:basedOn w:val="Normal"/>
    <w:rsid w:val="00E86051"/>
    <w:pPr>
      <w:spacing w:before="100" w:beforeAutospacing="1" w:after="100" w:afterAutospacing="1"/>
      <w:jc w:val="left"/>
    </w:pPr>
    <w:rPr>
      <w:rFonts w:ascii="Calibri" w:eastAsiaTheme="minorEastAsia" w:hAnsi="Calibri" w:cs="Calibri"/>
      <w:szCs w:val="22"/>
      <w:lang w:val="en-US" w:eastAsia="zh-CN"/>
    </w:rPr>
  </w:style>
  <w:style w:type="character" w:customStyle="1" w:styleId="s1">
    <w:name w:val="s1"/>
    <w:basedOn w:val="DefaultParagraphFont"/>
    <w:rsid w:val="00E86051"/>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86051"/>
    <w:rPr>
      <w:rFonts w:ascii="Times New Roman" w:eastAsia="Times New Roman" w:hAnsi="Times New Roman" w:cs="Times New Roman"/>
      <w:sz w:val="22"/>
      <w:lang w:val="en-GB"/>
    </w:rPr>
  </w:style>
  <w:style w:type="character" w:customStyle="1" w:styleId="apple-converted-space">
    <w:name w:val="apple-converted-space"/>
    <w:basedOn w:val="DefaultParagraphFont"/>
    <w:rsid w:val="00E86051"/>
  </w:style>
  <w:style w:type="character" w:customStyle="1" w:styleId="Mention1">
    <w:name w:val="Mention1"/>
    <w:basedOn w:val="DefaultParagraphFont"/>
    <w:uiPriority w:val="99"/>
    <w:unhideWhenUsed/>
    <w:rsid w:val="00E86051"/>
    <w:rPr>
      <w:color w:val="2B579A"/>
      <w:shd w:val="clear" w:color="auto" w:fill="E1DFDD"/>
    </w:rPr>
  </w:style>
  <w:style w:type="character" w:customStyle="1" w:styleId="UnresolvedMention11">
    <w:name w:val="Unresolved Mention11"/>
    <w:basedOn w:val="DefaultParagraphFont"/>
    <w:uiPriority w:val="99"/>
    <w:unhideWhenUsed/>
    <w:rsid w:val="00E86051"/>
    <w:rPr>
      <w:color w:val="605E5C"/>
      <w:shd w:val="clear" w:color="auto" w:fill="E1DFDD"/>
    </w:rPr>
  </w:style>
  <w:style w:type="paragraph" w:customStyle="1" w:styleId="StylePara1Before0pt">
    <w:name w:val="Style Para1 + Before:  0 pt"/>
    <w:basedOn w:val="Para1"/>
    <w:rsid w:val="00E86051"/>
    <w:pPr>
      <w:numPr>
        <w:numId w:val="12"/>
      </w:numPr>
      <w:tabs>
        <w:tab w:val="left" w:pos="360"/>
      </w:tabs>
      <w:overflowPunct/>
      <w:autoSpaceDE/>
      <w:autoSpaceDN/>
      <w:snapToGrid/>
      <w:spacing w:before="120"/>
      <w:jc w:val="left"/>
    </w:pPr>
    <w:rPr>
      <w:color w:val="auto"/>
      <w:kern w:val="0"/>
      <w:sz w:val="24"/>
      <w:szCs w:val="20"/>
      <w:lang w:val="en-CA"/>
    </w:rPr>
  </w:style>
  <w:style w:type="paragraph" w:customStyle="1" w:styleId="Para">
    <w:name w:val="Para"/>
    <w:basedOn w:val="Normal"/>
    <w:rsid w:val="00E86051"/>
    <w:pPr>
      <w:numPr>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MS Mincho" w:cs="Angsana New"/>
      <w:sz w:val="24"/>
      <w:lang w:val="en-CA"/>
    </w:rPr>
  </w:style>
  <w:style w:type="character" w:customStyle="1" w:styleId="Mention2">
    <w:name w:val="Mention2"/>
    <w:basedOn w:val="DefaultParagraphFont"/>
    <w:uiPriority w:val="99"/>
    <w:unhideWhenUsed/>
    <w:rsid w:val="00E86051"/>
    <w:rPr>
      <w:color w:val="2B579A"/>
      <w:shd w:val="clear" w:color="auto" w:fill="E1DFDD"/>
    </w:rPr>
  </w:style>
  <w:style w:type="character" w:customStyle="1" w:styleId="FootnoteTextChar1">
    <w:name w:val="Footnote Text Char1"/>
    <w:basedOn w:val="DefaultParagraphFont"/>
    <w:uiPriority w:val="99"/>
    <w:semiHidden/>
    <w:rsid w:val="00E86051"/>
    <w:rPr>
      <w:sz w:val="20"/>
      <w:szCs w:val="20"/>
    </w:rPr>
  </w:style>
  <w:style w:type="character" w:customStyle="1" w:styleId="superscript">
    <w:name w:val="superscript"/>
    <w:basedOn w:val="DefaultParagraphFont"/>
    <w:rsid w:val="00E86051"/>
  </w:style>
  <w:style w:type="character" w:customStyle="1" w:styleId="UnresolvedMention2">
    <w:name w:val="Unresolved Mention2"/>
    <w:basedOn w:val="DefaultParagraphFont"/>
    <w:uiPriority w:val="99"/>
    <w:semiHidden/>
    <w:unhideWhenUsed/>
    <w:rsid w:val="00E86051"/>
    <w:rPr>
      <w:color w:val="605E5C"/>
      <w:shd w:val="clear" w:color="auto" w:fill="E1DFDD"/>
    </w:rPr>
  </w:style>
  <w:style w:type="paragraph" w:customStyle="1" w:styleId="xmsonormal">
    <w:name w:val="x_msonormal"/>
    <w:basedOn w:val="Normal"/>
    <w:uiPriority w:val="99"/>
    <w:rsid w:val="00E86051"/>
    <w:pPr>
      <w:jc w:val="left"/>
    </w:pPr>
    <w:rPr>
      <w:rFonts w:eastAsiaTheme="minorHAnsi"/>
      <w:color w:val="000000"/>
      <w:sz w:val="24"/>
      <w:lang w:val="en-CA" w:eastAsia="en-CA"/>
    </w:rPr>
  </w:style>
  <w:style w:type="paragraph" w:styleId="BodyTextIndent2">
    <w:name w:val="Body Text Indent 2"/>
    <w:basedOn w:val="Normal"/>
    <w:link w:val="BodyTextIndent2Char"/>
    <w:rsid w:val="00005A3C"/>
    <w:pPr>
      <w:ind w:firstLine="720"/>
      <w:jc w:val="left"/>
    </w:pPr>
    <w:rPr>
      <w:sz w:val="24"/>
      <w:lang w:val="en-CA"/>
    </w:rPr>
  </w:style>
  <w:style w:type="character" w:customStyle="1" w:styleId="BodyTextIndent2Char">
    <w:name w:val="Body Text Indent 2 Char"/>
    <w:basedOn w:val="DefaultParagraphFont"/>
    <w:link w:val="BodyTextIndent2"/>
    <w:rsid w:val="00005A3C"/>
    <w:rPr>
      <w:rFonts w:ascii="Times New Roman" w:eastAsia="Times New Roman" w:hAnsi="Times New Roman" w:cs="Times New Roman"/>
      <w:lang w:val="en-CA"/>
    </w:rPr>
  </w:style>
  <w:style w:type="paragraph" w:styleId="BodyTextIndent3">
    <w:name w:val="Body Text Indent 3"/>
    <w:basedOn w:val="Normal"/>
    <w:link w:val="BodyTextIndent3Char"/>
    <w:rsid w:val="00005A3C"/>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05A3C"/>
    <w:rPr>
      <w:rFonts w:ascii="Courier" w:eastAsia="Times New Roman" w:hAnsi="Courier" w:cs="Times New Roman"/>
      <w:sz w:val="20"/>
      <w:lang w:val="en-CA"/>
    </w:rPr>
  </w:style>
  <w:style w:type="paragraph" w:customStyle="1" w:styleId="BodyText21">
    <w:name w:val="Body Text 21"/>
    <w:basedOn w:val="Normal"/>
    <w:rsid w:val="00005A3C"/>
    <w:pPr>
      <w:jc w:val="left"/>
    </w:pPr>
  </w:style>
  <w:style w:type="paragraph" w:styleId="BlockText">
    <w:name w:val="Block Text"/>
    <w:basedOn w:val="Normal"/>
    <w:rsid w:val="00005A3C"/>
    <w:pPr>
      <w:tabs>
        <w:tab w:val="left" w:leader="dot" w:pos="8100"/>
        <w:tab w:val="left" w:pos="8370"/>
      </w:tabs>
      <w:suppressAutoHyphens/>
      <w:ind w:left="720" w:right="1440" w:hanging="720"/>
      <w:jc w:val="left"/>
    </w:pPr>
    <w:rPr>
      <w:rFonts w:ascii="Courier New" w:hAnsi="Courier New"/>
      <w:sz w:val="20"/>
    </w:rPr>
  </w:style>
  <w:style w:type="paragraph" w:styleId="DocumentMap">
    <w:name w:val="Document Map"/>
    <w:basedOn w:val="Normal"/>
    <w:link w:val="DocumentMapChar"/>
    <w:semiHidden/>
    <w:rsid w:val="00005A3C"/>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05A3C"/>
    <w:rPr>
      <w:rFonts w:ascii="Tahoma" w:eastAsia="Times New Roman" w:hAnsi="Tahoma" w:cs="Times New Roman"/>
      <w:shd w:val="clear" w:color="auto" w:fill="000080"/>
      <w:lang w:val="en-CA"/>
    </w:rPr>
  </w:style>
  <w:style w:type="paragraph" w:customStyle="1" w:styleId="para20">
    <w:name w:val="para2"/>
    <w:basedOn w:val="Normal"/>
    <w:rsid w:val="00005A3C"/>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05A3C"/>
    <w:pPr>
      <w:tabs>
        <w:tab w:val="left" w:pos="720"/>
      </w:tabs>
      <w:spacing w:before="120"/>
    </w:pPr>
    <w:rPr>
      <w:i/>
      <w:iCs/>
      <w:sz w:val="24"/>
      <w:szCs w:val="24"/>
      <w:lang w:val="en-CA"/>
    </w:rPr>
  </w:style>
  <w:style w:type="paragraph" w:customStyle="1" w:styleId="xl24">
    <w:name w:val="xl24"/>
    <w:basedOn w:val="Normal"/>
    <w:rsid w:val="00005A3C"/>
    <w:pPr>
      <w:spacing w:before="100" w:beforeAutospacing="1" w:after="100" w:afterAutospacing="1"/>
      <w:jc w:val="left"/>
    </w:pPr>
    <w:rPr>
      <w:rFonts w:eastAsia="Arial Unicode MS"/>
      <w:b/>
      <w:bCs/>
      <w:szCs w:val="22"/>
      <w:lang w:val="en-CA"/>
    </w:rPr>
  </w:style>
  <w:style w:type="paragraph" w:customStyle="1" w:styleId="xl25">
    <w:name w:val="xl25"/>
    <w:basedOn w:val="Normal"/>
    <w:rsid w:val="00005A3C"/>
    <w:pPr>
      <w:spacing w:before="100" w:beforeAutospacing="1" w:after="100" w:afterAutospacing="1"/>
      <w:jc w:val="left"/>
    </w:pPr>
    <w:rPr>
      <w:rFonts w:eastAsia="Arial Unicode MS"/>
      <w:b/>
      <w:bCs/>
      <w:szCs w:val="22"/>
      <w:lang w:val="en-CA"/>
    </w:rPr>
  </w:style>
  <w:style w:type="paragraph" w:customStyle="1" w:styleId="xl26">
    <w:name w:val="xl26"/>
    <w:basedOn w:val="Normal"/>
    <w:rsid w:val="00005A3C"/>
    <w:pPr>
      <w:spacing w:before="100" w:beforeAutospacing="1" w:after="100" w:afterAutospacing="1"/>
      <w:jc w:val="center"/>
    </w:pPr>
    <w:rPr>
      <w:rFonts w:eastAsia="Arial Unicode MS"/>
      <w:b/>
      <w:bCs/>
      <w:szCs w:val="22"/>
      <w:lang w:val="en-CA"/>
    </w:rPr>
  </w:style>
  <w:style w:type="paragraph" w:customStyle="1" w:styleId="xl27">
    <w:name w:val="xl27"/>
    <w:basedOn w:val="Normal"/>
    <w:rsid w:val="00005A3C"/>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005A3C"/>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005A3C"/>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005A3C"/>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005A3C"/>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005A3C"/>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005A3C"/>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005A3C"/>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005A3C"/>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005A3C"/>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005A3C"/>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005A3C"/>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005A3C"/>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005A3C"/>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005A3C"/>
    <w:pPr>
      <w:spacing w:before="100" w:beforeAutospacing="1" w:after="100" w:afterAutospacing="1"/>
      <w:textAlignment w:val="top"/>
    </w:pPr>
    <w:rPr>
      <w:rFonts w:eastAsia="Arial Unicode MS"/>
      <w:szCs w:val="22"/>
      <w:lang w:val="en-CA"/>
    </w:rPr>
  </w:style>
  <w:style w:type="paragraph" w:customStyle="1" w:styleId="xl42">
    <w:name w:val="xl42"/>
    <w:basedOn w:val="Normal"/>
    <w:rsid w:val="00005A3C"/>
    <w:pPr>
      <w:spacing w:before="100" w:beforeAutospacing="1" w:after="100" w:afterAutospacing="1"/>
      <w:jc w:val="center"/>
    </w:pPr>
    <w:rPr>
      <w:rFonts w:eastAsia="Arial Unicode MS"/>
      <w:szCs w:val="22"/>
      <w:lang w:val="en-CA"/>
    </w:rPr>
  </w:style>
  <w:style w:type="paragraph" w:customStyle="1" w:styleId="xl43">
    <w:name w:val="xl43"/>
    <w:basedOn w:val="Normal"/>
    <w:rsid w:val="00005A3C"/>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005A3C"/>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005A3C"/>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005A3C"/>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005A3C"/>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005A3C"/>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005A3C"/>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005A3C"/>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005A3C"/>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005A3C"/>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005A3C"/>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005A3C"/>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005A3C"/>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005A3C"/>
    <w:pPr>
      <w:spacing w:before="100" w:beforeAutospacing="1" w:after="100" w:afterAutospacing="1"/>
      <w:jc w:val="left"/>
    </w:pPr>
    <w:rPr>
      <w:rFonts w:eastAsia="Arial Unicode MS"/>
      <w:szCs w:val="22"/>
      <w:lang w:val="en-CA"/>
    </w:rPr>
  </w:style>
  <w:style w:type="paragraph" w:customStyle="1" w:styleId="xl57">
    <w:name w:val="xl57"/>
    <w:basedOn w:val="Normal"/>
    <w:rsid w:val="00005A3C"/>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005A3C"/>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005A3C"/>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005A3C"/>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005A3C"/>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005A3C"/>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005A3C"/>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005A3C"/>
    <w:pPr>
      <w:pBdr>
        <w:left w:val="single" w:sz="4" w:space="0" w:color="auto"/>
      </w:pBdr>
      <w:spacing w:before="100" w:beforeAutospacing="1" w:after="100" w:afterAutospacing="1"/>
      <w:jc w:val="left"/>
    </w:pPr>
    <w:rPr>
      <w:rFonts w:eastAsia="Arial Unicode MS"/>
      <w:szCs w:val="22"/>
      <w:lang w:val="en-CA"/>
    </w:rPr>
  </w:style>
  <w:style w:type="paragraph" w:customStyle="1" w:styleId="Texte">
    <w:name w:val="Texte"/>
    <w:basedOn w:val="Normal"/>
    <w:rsid w:val="00005A3C"/>
    <w:pPr>
      <w:widowControl w:val="0"/>
      <w:tabs>
        <w:tab w:val="left" w:pos="720"/>
      </w:tabs>
      <w:spacing w:before="120" w:after="120"/>
    </w:pPr>
    <w:rPr>
      <w:lang w:val="en-CA"/>
    </w:rPr>
  </w:style>
  <w:style w:type="paragraph" w:customStyle="1" w:styleId="xl22">
    <w:name w:val="xl22"/>
    <w:basedOn w:val="Normal"/>
    <w:rsid w:val="00005A3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005A3C"/>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005A3C"/>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05A3C"/>
    <w:rPr>
      <w:b/>
      <w:bCs/>
    </w:rPr>
  </w:style>
  <w:style w:type="paragraph" w:customStyle="1" w:styleId="Para11">
    <w:name w:val="Para 1"/>
    <w:basedOn w:val="BodyText"/>
    <w:rsid w:val="00005A3C"/>
    <w:pPr>
      <w:ind w:firstLine="0"/>
      <w:jc w:val="left"/>
    </w:pPr>
    <w:rPr>
      <w:rFonts w:eastAsia="MS Mincho"/>
      <w:bCs/>
      <w:iCs w:val="0"/>
      <w:sz w:val="24"/>
      <w:szCs w:val="22"/>
      <w:lang w:val="en-CA"/>
    </w:rPr>
  </w:style>
  <w:style w:type="paragraph" w:customStyle="1" w:styleId="aident">
    <w:name w:val="(a) ident"/>
    <w:basedOn w:val="Normal"/>
    <w:rsid w:val="00005A3C"/>
    <w:pPr>
      <w:tabs>
        <w:tab w:val="num" w:pos="1077"/>
      </w:tabs>
      <w:autoSpaceDE w:val="0"/>
      <w:autoSpaceDN w:val="0"/>
      <w:spacing w:before="120" w:after="120"/>
      <w:ind w:left="1077" w:hanging="357"/>
      <w:jc w:val="left"/>
    </w:pPr>
    <w:rPr>
      <w:snapToGrid w:val="0"/>
      <w:szCs w:val="18"/>
    </w:rPr>
  </w:style>
  <w:style w:type="paragraph" w:customStyle="1" w:styleId="Paranum">
    <w:name w:val="Paranum"/>
    <w:basedOn w:val="Para1"/>
    <w:rsid w:val="00005A3C"/>
    <w:pPr>
      <w:numPr>
        <w:numId w:val="0"/>
      </w:numPr>
      <w:tabs>
        <w:tab w:val="num" w:pos="1080"/>
      </w:tabs>
      <w:overflowPunct/>
      <w:autoSpaceDE/>
      <w:autoSpaceDN/>
      <w:snapToGrid/>
      <w:spacing w:line="240" w:lineRule="exact"/>
      <w:ind w:left="1080" w:hanging="360"/>
      <w:jc w:val="left"/>
    </w:pPr>
    <w:rPr>
      <w:snapToGrid/>
      <w:color w:val="auto"/>
      <w:kern w:val="0"/>
      <w:sz w:val="24"/>
      <w:szCs w:val="20"/>
      <w:lang w:val="en-US"/>
    </w:rPr>
  </w:style>
  <w:style w:type="paragraph" w:customStyle="1" w:styleId="Document1">
    <w:name w:val="Document 1"/>
    <w:basedOn w:val="Normal"/>
    <w:next w:val="Normal"/>
    <w:rsid w:val="00005A3C"/>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05A3C"/>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05A3C"/>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
    <w:rsid w:val="00005A3C"/>
    <w:pPr>
      <w:numPr>
        <w:numId w:val="0"/>
      </w:numPr>
      <w:tabs>
        <w:tab w:val="left" w:pos="360"/>
      </w:tabs>
      <w:adjustRightInd w:val="0"/>
      <w:snapToGrid/>
      <w:jc w:val="left"/>
      <w:textAlignment w:val="baseline"/>
    </w:pPr>
    <w:rPr>
      <w:rFonts w:ascii="Courier" w:hAnsi="Courier"/>
      <w:color w:val="auto"/>
      <w:kern w:val="0"/>
      <w:sz w:val="20"/>
      <w:szCs w:val="20"/>
      <w:lang w:val="en-US"/>
    </w:rPr>
  </w:style>
  <w:style w:type="paragraph" w:customStyle="1" w:styleId="Paranumbered">
    <w:name w:val="Paranumbered"/>
    <w:basedOn w:val="Normal"/>
    <w:rsid w:val="00005A3C"/>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005A3C"/>
    <w:pPr>
      <w:widowControl w:val="0"/>
      <w:tabs>
        <w:tab w:val="left" w:pos="204"/>
      </w:tabs>
      <w:autoSpaceDE w:val="0"/>
      <w:autoSpaceDN w:val="0"/>
      <w:adjustRightInd w:val="0"/>
      <w:spacing w:line="260" w:lineRule="atLeast"/>
      <w:jc w:val="left"/>
    </w:pPr>
    <w:rPr>
      <w:sz w:val="20"/>
      <w:lang w:val="en-CA"/>
    </w:rPr>
  </w:style>
  <w:style w:type="paragraph" w:styleId="HTMLPreformatted">
    <w:name w:val="HTML Preformatted"/>
    <w:basedOn w:val="Normal"/>
    <w:link w:val="HTMLPreformattedChar"/>
    <w:uiPriority w:val="99"/>
    <w:rsid w:val="00005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05A3C"/>
    <w:rPr>
      <w:rFonts w:ascii="Courier New" w:eastAsia="Times New Roman" w:hAnsi="Courier New" w:cs="Courier New"/>
      <w:sz w:val="20"/>
      <w:lang w:val="en-CA"/>
    </w:rPr>
  </w:style>
  <w:style w:type="paragraph" w:customStyle="1" w:styleId="Para1alternative">
    <w:name w:val="Para1 (alternative)"/>
    <w:basedOn w:val="Normal"/>
    <w:rsid w:val="00005A3C"/>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05A3C"/>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05A3C"/>
    <w:rPr>
      <w:rFonts w:ascii="Arial" w:hAnsi="Arial" w:cs="Arial" w:hint="default"/>
      <w:b w:val="0"/>
      <w:bCs w:val="0"/>
      <w:color w:val="000000"/>
      <w:sz w:val="24"/>
      <w:szCs w:val="24"/>
    </w:rPr>
  </w:style>
  <w:style w:type="character" w:customStyle="1" w:styleId="BodyText2CharCharChar">
    <w:name w:val="Body Text 2 Char Char Char"/>
    <w:rsid w:val="00005A3C"/>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05A3C"/>
    <w:rPr>
      <w:sz w:val="22"/>
      <w:lang w:val="en-US" w:eastAsia="en-US" w:bidi="ar-SA"/>
    </w:rPr>
  </w:style>
  <w:style w:type="paragraph" w:customStyle="1" w:styleId="StylePara1Firstline127cm">
    <w:name w:val="Style Para1 + First line:  1.27 cm"/>
    <w:basedOn w:val="Para1"/>
    <w:rsid w:val="00005A3C"/>
    <w:pPr>
      <w:numPr>
        <w:numId w:val="0"/>
      </w:numPr>
      <w:tabs>
        <w:tab w:val="num" w:pos="360"/>
      </w:tabs>
      <w:overflowPunct/>
      <w:autoSpaceDE/>
      <w:autoSpaceDN/>
      <w:snapToGrid/>
      <w:jc w:val="left"/>
    </w:pPr>
    <w:rPr>
      <w:color w:val="auto"/>
      <w:kern w:val="0"/>
      <w:sz w:val="24"/>
      <w:szCs w:val="20"/>
      <w:lang w:val="en-CA"/>
    </w:rPr>
  </w:style>
  <w:style w:type="paragraph" w:customStyle="1" w:styleId="subhead">
    <w:name w:val="subhead"/>
    <w:basedOn w:val="Normal"/>
    <w:next w:val="Para1"/>
    <w:rsid w:val="00005A3C"/>
    <w:pPr>
      <w:spacing w:before="120" w:after="120"/>
      <w:jc w:val="center"/>
    </w:pPr>
    <w:rPr>
      <w:rFonts w:cs="Angsana New"/>
      <w:i/>
    </w:rPr>
  </w:style>
  <w:style w:type="character" w:customStyle="1" w:styleId="BlockTextChar">
    <w:name w:val="Block Text Char"/>
    <w:rsid w:val="00005A3C"/>
    <w:rPr>
      <w:sz w:val="24"/>
      <w:szCs w:val="24"/>
      <w:lang w:val="en-US" w:eastAsia="en-US" w:bidi="ar-SA"/>
    </w:rPr>
  </w:style>
  <w:style w:type="paragraph" w:customStyle="1" w:styleId="bodytext210">
    <w:name w:val="bodytext21"/>
    <w:basedOn w:val="Normal"/>
    <w:rsid w:val="00005A3C"/>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05A3C"/>
    <w:rPr>
      <w:sz w:val="22"/>
      <w:lang w:val="en-US" w:eastAsia="en-US" w:bidi="ar-SA"/>
    </w:rPr>
  </w:style>
  <w:style w:type="character" w:customStyle="1" w:styleId="MathieuRgnier">
    <w:name w:val="Mathieu Régnier"/>
    <w:semiHidden/>
    <w:rsid w:val="00005A3C"/>
    <w:rPr>
      <w:rFonts w:ascii="Arial" w:hAnsi="Arial" w:cs="Arial"/>
      <w:color w:val="auto"/>
      <w:sz w:val="20"/>
      <w:szCs w:val="20"/>
    </w:rPr>
  </w:style>
  <w:style w:type="paragraph" w:customStyle="1" w:styleId="bodytextnoindent">
    <w:name w:val="body text (no indent)"/>
    <w:basedOn w:val="Normal"/>
    <w:rsid w:val="00005A3C"/>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05A3C"/>
    <w:pPr>
      <w:jc w:val="left"/>
    </w:pPr>
    <w:rPr>
      <w:i/>
      <w:iCs w:val="0"/>
      <w:sz w:val="24"/>
      <w:lang w:val="en-CA"/>
    </w:rPr>
  </w:style>
  <w:style w:type="paragraph" w:customStyle="1" w:styleId="boxbody">
    <w:name w:val="boxbody"/>
    <w:basedOn w:val="Normal"/>
    <w:rsid w:val="00005A3C"/>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05A3C"/>
    <w:pPr>
      <w:tabs>
        <w:tab w:val="left" w:pos="900"/>
      </w:tabs>
      <w:spacing w:before="120"/>
    </w:pPr>
    <w:rPr>
      <w:rFonts w:eastAsia="Batang"/>
      <w:b w:val="0"/>
      <w:bCs w:val="0"/>
      <w:i/>
      <w:iCs/>
      <w:sz w:val="24"/>
      <w:szCs w:val="20"/>
      <w:lang w:val="en-CA"/>
    </w:rPr>
  </w:style>
  <w:style w:type="paragraph" w:customStyle="1" w:styleId="Heading2noletter">
    <w:name w:val="Heading 2 (no letter)"/>
    <w:basedOn w:val="Heading2"/>
    <w:rsid w:val="00005A3C"/>
    <w:pPr>
      <w:spacing w:before="120"/>
    </w:pPr>
    <w:rPr>
      <w:i/>
      <w:iCs/>
      <w:sz w:val="24"/>
      <w:szCs w:val="24"/>
      <w:lang w:val="en-CA"/>
    </w:rPr>
  </w:style>
  <w:style w:type="character" w:customStyle="1" w:styleId="Heading2CharChar">
    <w:name w:val="Heading 2 Char Char"/>
    <w:rsid w:val="00005A3C"/>
    <w:rPr>
      <w:rFonts w:ascii="Arial" w:hAnsi="Arial" w:cs="Arial"/>
      <w:b/>
      <w:bCs/>
      <w:i/>
      <w:iCs/>
      <w:noProof w:val="0"/>
      <w:sz w:val="28"/>
      <w:szCs w:val="28"/>
      <w:lang w:val="en-US" w:eastAsia="en-US" w:bidi="ar-SA"/>
    </w:rPr>
  </w:style>
  <w:style w:type="paragraph" w:customStyle="1" w:styleId="Heading-plain0">
    <w:name w:val="Heading-plain"/>
    <w:basedOn w:val="Normal"/>
    <w:rsid w:val="00005A3C"/>
    <w:pPr>
      <w:spacing w:before="120" w:after="120"/>
      <w:jc w:val="center"/>
      <w:outlineLvl w:val="0"/>
    </w:pPr>
    <w:rPr>
      <w:i/>
      <w:sz w:val="24"/>
      <w:szCs w:val="20"/>
      <w:lang w:val="en-CA"/>
    </w:rPr>
  </w:style>
  <w:style w:type="paragraph" w:customStyle="1" w:styleId="Heading-plainitalic">
    <w:name w:val="Heading-plain italic"/>
    <w:basedOn w:val="Heading-plainbold"/>
    <w:rsid w:val="00005A3C"/>
    <w:rPr>
      <w:rFonts w:eastAsia="Times New Roman"/>
      <w:b w:val="0"/>
      <w:bCs w:val="0"/>
      <w:sz w:val="24"/>
      <w:lang w:val="en-CA" w:eastAsia="en-US"/>
    </w:rPr>
  </w:style>
  <w:style w:type="character" w:customStyle="1" w:styleId="Para1Char0">
    <w:name w:val="Para 1 Char"/>
    <w:rsid w:val="00005A3C"/>
    <w:rPr>
      <w:rFonts w:eastAsia="MS Mincho"/>
      <w:bCs/>
      <w:iCs/>
      <w:sz w:val="22"/>
      <w:szCs w:val="22"/>
      <w:lang w:val="en-GB" w:eastAsia="en-US" w:bidi="ar-SA"/>
    </w:rPr>
  </w:style>
  <w:style w:type="paragraph" w:customStyle="1" w:styleId="Para2rev">
    <w:name w:val="Para 2 (rev)"/>
    <w:basedOn w:val="Normal"/>
    <w:rsid w:val="00005A3C"/>
    <w:pPr>
      <w:tabs>
        <w:tab w:val="num" w:pos="720"/>
      </w:tabs>
      <w:spacing w:after="120"/>
      <w:ind w:left="720" w:hanging="360"/>
      <w:jc w:val="left"/>
    </w:pPr>
    <w:rPr>
      <w:sz w:val="24"/>
      <w:lang w:val="en-CA"/>
    </w:rPr>
  </w:style>
  <w:style w:type="paragraph" w:customStyle="1" w:styleId="Paraofficial">
    <w:name w:val="Para official"/>
    <w:basedOn w:val="Normal"/>
    <w:rsid w:val="00005A3C"/>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05A3C"/>
    <w:pPr>
      <w:tabs>
        <w:tab w:val="num" w:pos="720"/>
      </w:tabs>
      <w:spacing w:after="120"/>
      <w:jc w:val="left"/>
    </w:pPr>
    <w:rPr>
      <w:sz w:val="24"/>
      <w:szCs w:val="22"/>
      <w:lang w:val="en-US"/>
    </w:rPr>
  </w:style>
  <w:style w:type="paragraph" w:customStyle="1" w:styleId="Para40">
    <w:name w:val="Para4"/>
    <w:basedOn w:val="Para3"/>
    <w:rsid w:val="00005A3C"/>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05A3C"/>
    <w:pPr>
      <w:jc w:val="left"/>
    </w:pPr>
    <w:rPr>
      <w:iCs w:val="0"/>
      <w:snapToGrid w:val="0"/>
      <w:color w:val="000000"/>
      <w:sz w:val="24"/>
      <w:szCs w:val="22"/>
      <w:lang w:val="en-US"/>
    </w:rPr>
  </w:style>
  <w:style w:type="character" w:customStyle="1" w:styleId="StyleBodyTextTimesNewRoman11ptCharCharChar">
    <w:name w:val="Style Body Text + Times New Roman 11 pt Char Char Char"/>
    <w:rsid w:val="00005A3C"/>
    <w:rPr>
      <w:rFonts w:cs="Angsana New"/>
      <w:iCs/>
      <w:snapToGrid w:val="0"/>
      <w:color w:val="000000"/>
      <w:sz w:val="22"/>
      <w:szCs w:val="22"/>
      <w:lang w:val="en-US" w:eastAsia="en-US" w:bidi="ar-SA"/>
    </w:rPr>
  </w:style>
  <w:style w:type="numbering" w:styleId="111111">
    <w:name w:val="Outline List 2"/>
    <w:basedOn w:val="NoList"/>
    <w:rsid w:val="00005A3C"/>
  </w:style>
  <w:style w:type="numbering" w:customStyle="1" w:styleId="Style2">
    <w:name w:val="Style2"/>
    <w:rsid w:val="00005A3C"/>
    <w:pPr>
      <w:numPr>
        <w:numId w:val="20"/>
      </w:numPr>
    </w:pPr>
  </w:style>
  <w:style w:type="character" w:customStyle="1" w:styleId="Heading1longmultilineChar">
    <w:name w:val="Heading 1 (long multiline) Char"/>
    <w:link w:val="Heading1longmultiline"/>
    <w:rsid w:val="00005A3C"/>
    <w:rPr>
      <w:rFonts w:ascii="Times New Roman" w:eastAsia="Times New Roman" w:hAnsi="Times New Roman" w:cs="Times New Roman"/>
      <w:b/>
      <w:caps/>
      <w:sz w:val="22"/>
      <w:lang w:val="en-GB"/>
    </w:rPr>
  </w:style>
  <w:style w:type="paragraph" w:customStyle="1" w:styleId="SubtleEmphasis1">
    <w:name w:val="Subtle Emphasis1"/>
    <w:basedOn w:val="Normal"/>
    <w:uiPriority w:val="34"/>
    <w:qFormat/>
    <w:rsid w:val="00005A3C"/>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05A3C"/>
    <w:pPr>
      <w:tabs>
        <w:tab w:val="left" w:pos="567"/>
      </w:tabs>
    </w:pPr>
    <w:rPr>
      <w:rFonts w:ascii="Times New Roman Bold" w:eastAsia="Times New Roman" w:hAnsi="Times New Roman Bold"/>
      <w:b/>
      <w:bCs/>
      <w:i w:val="0"/>
      <w:iCs w:val="0"/>
      <w:caps/>
      <w:sz w:val="24"/>
      <w:lang w:val="en-CA"/>
    </w:rPr>
  </w:style>
  <w:style w:type="paragraph" w:customStyle="1" w:styleId="DarkList-Accent61">
    <w:name w:val="Dark List - Accent 61"/>
    <w:uiPriority w:val="1"/>
    <w:qFormat/>
    <w:rsid w:val="00005A3C"/>
    <w:rPr>
      <w:rFonts w:ascii="Calibri" w:eastAsia="MS Mincho" w:hAnsi="Calibri" w:cs="Times New Roman"/>
      <w:sz w:val="22"/>
      <w:szCs w:val="22"/>
      <w:lang w:val="en-US"/>
    </w:rPr>
  </w:style>
  <w:style w:type="paragraph" w:customStyle="1" w:styleId="Paraa">
    <w:name w:val="Para (a)"/>
    <w:basedOn w:val="Normal"/>
    <w:rsid w:val="00005A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05A3C"/>
    <w:rPr>
      <w:kern w:val="20"/>
      <w:sz w:val="22"/>
      <w:u w:val="none"/>
      <w:vertAlign w:val="superscript"/>
    </w:rPr>
  </w:style>
  <w:style w:type="character" w:customStyle="1" w:styleId="s13">
    <w:name w:val="s13"/>
    <w:rsid w:val="00005A3C"/>
  </w:style>
  <w:style w:type="paragraph" w:customStyle="1" w:styleId="ColorfulGrid-Accent61">
    <w:name w:val="Colorful Grid - Accent 61"/>
    <w:hidden/>
    <w:uiPriority w:val="99"/>
    <w:semiHidden/>
    <w:rsid w:val="00005A3C"/>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05A3C"/>
    <w:rPr>
      <w:rFonts w:ascii="Times New Roman" w:eastAsia="MS Mincho" w:hAnsi="Times New Roman" w:cs="Angsana New"/>
      <w:sz w:val="22"/>
      <w:lang w:val="en-GB"/>
    </w:rPr>
  </w:style>
  <w:style w:type="paragraph" w:customStyle="1" w:styleId="SubtleEmphasis2">
    <w:name w:val="Subtle Emphasis2"/>
    <w:basedOn w:val="Normal"/>
    <w:uiPriority w:val="34"/>
    <w:qFormat/>
    <w:rsid w:val="00005A3C"/>
    <w:pPr>
      <w:ind w:left="720"/>
      <w:jc w:val="left"/>
    </w:pPr>
    <w:rPr>
      <w:sz w:val="24"/>
      <w:lang w:val="en-CA"/>
    </w:rPr>
  </w:style>
  <w:style w:type="paragraph" w:customStyle="1" w:styleId="LightGrid-Accent31">
    <w:name w:val="Light Grid - Accent 31"/>
    <w:basedOn w:val="Normal"/>
    <w:uiPriority w:val="34"/>
    <w:qFormat/>
    <w:rsid w:val="00005A3C"/>
    <w:pPr>
      <w:ind w:left="720"/>
      <w:jc w:val="left"/>
    </w:pPr>
    <w:rPr>
      <w:sz w:val="24"/>
      <w:lang w:val="en-CA"/>
    </w:rPr>
  </w:style>
  <w:style w:type="numbering" w:customStyle="1" w:styleId="NoList1">
    <w:name w:val="No List1"/>
    <w:next w:val="NoList"/>
    <w:uiPriority w:val="99"/>
    <w:semiHidden/>
    <w:unhideWhenUsed/>
    <w:rsid w:val="00005A3C"/>
  </w:style>
  <w:style w:type="character" w:customStyle="1" w:styleId="A7">
    <w:name w:val="A7"/>
    <w:uiPriority w:val="99"/>
    <w:rsid w:val="00005A3C"/>
    <w:rPr>
      <w:rFonts w:cs="HelveticaNeueLT Std Lt"/>
      <w:color w:val="000000"/>
      <w:sz w:val="18"/>
      <w:szCs w:val="18"/>
    </w:rPr>
  </w:style>
  <w:style w:type="paragraph" w:customStyle="1" w:styleId="ListBullet1">
    <w:name w:val="List Bullet1"/>
    <w:basedOn w:val="Normal"/>
    <w:next w:val="ListBullet"/>
    <w:uiPriority w:val="99"/>
    <w:semiHidden/>
    <w:unhideWhenUsed/>
    <w:qFormat/>
    <w:rsid w:val="00005A3C"/>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05A3C"/>
    <w:pPr>
      <w:tabs>
        <w:tab w:val="num" w:pos="360"/>
      </w:tabs>
      <w:contextualSpacing/>
    </w:pPr>
  </w:style>
  <w:style w:type="character" w:customStyle="1" w:styleId="StyleFootnoteReferencenumberFootnoteReferenceSuperscript-EF">
    <w:name w:val="Style Footnote ReferencenumberFootnote Reference Superscript-E F..."/>
    <w:basedOn w:val="DefaultParagraphFont"/>
    <w:rsid w:val="006335DB"/>
    <w:rPr>
      <w:kern w:val="22"/>
      <w:sz w:val="18"/>
      <w:u w:val="none"/>
      <w:vertAlign w:val="superscript"/>
    </w:rPr>
  </w:style>
  <w:style w:type="paragraph" w:customStyle="1" w:styleId="CBD-Para-a">
    <w:name w:val="CBD-Para-a"/>
    <w:basedOn w:val="CBD-Para"/>
    <w:rsid w:val="00005A3C"/>
    <w:pPr>
      <w:numPr>
        <w:numId w:val="0"/>
      </w:numPr>
      <w:tabs>
        <w:tab w:val="num" w:pos="360"/>
        <w:tab w:val="num" w:pos="1440"/>
      </w:tabs>
      <w:spacing w:before="60" w:after="60"/>
      <w:ind w:left="3552" w:hanging="918"/>
    </w:pPr>
  </w:style>
  <w:style w:type="character" w:customStyle="1" w:styleId="al-author-name-more">
    <w:name w:val="al-author-name-more"/>
    <w:basedOn w:val="DefaultParagraphFont"/>
    <w:rsid w:val="00005A3C"/>
  </w:style>
  <w:style w:type="paragraph" w:customStyle="1" w:styleId="StylePara1Kernat11pt">
    <w:name w:val="Style Para1 + Kern at 11 pt"/>
    <w:basedOn w:val="Normal"/>
    <w:rsid w:val="00005A3C"/>
    <w:pPr>
      <w:snapToGrid w:val="0"/>
      <w:spacing w:before="120" w:after="120"/>
      <w:jc w:val="left"/>
    </w:pPr>
    <w:rPr>
      <w:kern w:val="22"/>
      <w:sz w:val="24"/>
      <w:szCs w:val="18"/>
      <w:lang w:val="en-CA"/>
    </w:rPr>
  </w:style>
  <w:style w:type="paragraph" w:customStyle="1" w:styleId="xmsolistparagraph">
    <w:name w:val="x_msolistparagraph"/>
    <w:basedOn w:val="Normal"/>
    <w:rsid w:val="00005A3C"/>
    <w:pPr>
      <w:jc w:val="left"/>
    </w:pPr>
    <w:rPr>
      <w:rFonts w:eastAsiaTheme="minorHAnsi"/>
      <w:sz w:val="24"/>
      <w:lang w:val="en-US"/>
    </w:rPr>
  </w:style>
  <w:style w:type="paragraph" w:customStyle="1" w:styleId="CharChar12">
    <w:name w:val="Char Char12"/>
    <w:basedOn w:val="Normal"/>
    <w:rsid w:val="00005A3C"/>
  </w:style>
  <w:style w:type="character" w:customStyle="1" w:styleId="Style1Char">
    <w:name w:val="Style1 Char"/>
    <w:basedOn w:val="DefaultParagraphFont"/>
    <w:link w:val="Style1"/>
    <w:rsid w:val="00005A3C"/>
    <w:rPr>
      <w:rFonts w:ascii="Times New Roman" w:eastAsia="Times New Roman" w:hAnsi="Times New Roman" w:cs="Times New Roman"/>
      <w:b/>
      <w:bCs/>
      <w:i/>
      <w:sz w:val="22"/>
      <w:szCs w:val="22"/>
      <w:lang w:val="en-GB"/>
    </w:rPr>
  </w:style>
  <w:style w:type="paragraph" w:customStyle="1" w:styleId="Rubrik1Nr">
    <w:name w:val="Rubrik 1 Nr"/>
    <w:basedOn w:val="Heading1"/>
    <w:next w:val="Normal"/>
    <w:qFormat/>
    <w:rsid w:val="00005A3C"/>
    <w:pPr>
      <w:keepLines/>
      <w:tabs>
        <w:tab w:val="clear" w:pos="720"/>
      </w:tabs>
      <w:spacing w:after="60" w:line="259" w:lineRule="auto"/>
      <w:ind w:left="720" w:hanging="360"/>
      <w:jc w:val="left"/>
    </w:pPr>
    <w:rPr>
      <w:rFonts w:ascii="Calibri" w:eastAsiaTheme="majorEastAsia" w:hAnsi="Calibri"/>
      <w:bCs/>
      <w:caps w:val="0"/>
      <w:noProof/>
      <w:lang w:val="en-CA" w:eastAsia="ja-JP"/>
    </w:rPr>
  </w:style>
  <w:style w:type="paragraph" w:customStyle="1" w:styleId="Rubrik2Nr">
    <w:name w:val="Rubrik 2 Nr"/>
    <w:basedOn w:val="Heading2"/>
    <w:next w:val="Normal"/>
    <w:qFormat/>
    <w:rsid w:val="00005A3C"/>
    <w:pPr>
      <w:keepLines/>
      <w:spacing w:after="60" w:line="259" w:lineRule="auto"/>
      <w:ind w:left="1440" w:hanging="360"/>
      <w:jc w:val="left"/>
    </w:pPr>
    <w:rPr>
      <w:rFonts w:ascii="Calibri" w:eastAsiaTheme="majorEastAsia" w:hAnsi="Calibri" w:cstheme="majorBidi"/>
      <w:bCs w:val="0"/>
      <w:i/>
      <w:szCs w:val="26"/>
      <w:lang w:val="en-CA" w:eastAsia="ja-JP"/>
    </w:rPr>
  </w:style>
  <w:style w:type="paragraph" w:customStyle="1" w:styleId="Rubrik3Nr">
    <w:name w:val="Rubrik 3 Nr"/>
    <w:basedOn w:val="Heading3"/>
    <w:next w:val="Normal"/>
    <w:qFormat/>
    <w:rsid w:val="00005A3C"/>
    <w:pPr>
      <w:keepLines/>
      <w:spacing w:before="240" w:after="60" w:line="259" w:lineRule="auto"/>
      <w:ind w:left="2160" w:hanging="180"/>
      <w:jc w:val="left"/>
    </w:pPr>
    <w:rPr>
      <w:rFonts w:ascii="Calibri" w:eastAsiaTheme="majorEastAsia" w:hAnsi="Calibri" w:cstheme="majorBidi"/>
      <w:iCs w:val="0"/>
      <w:szCs w:val="28"/>
      <w:lang w:val="en-CA" w:eastAsia="ja-JP"/>
    </w:rPr>
  </w:style>
  <w:style w:type="character" w:customStyle="1" w:styleId="UnresolvedMention3">
    <w:name w:val="Unresolved Mention3"/>
    <w:basedOn w:val="DefaultParagraphFont"/>
    <w:uiPriority w:val="99"/>
    <w:semiHidden/>
    <w:unhideWhenUsed/>
    <w:rsid w:val="00005A3C"/>
    <w:rPr>
      <w:color w:val="605E5C"/>
      <w:shd w:val="clear" w:color="auto" w:fill="E1DFDD"/>
    </w:rPr>
  </w:style>
  <w:style w:type="numbering" w:customStyle="1" w:styleId="1">
    <w:name w:val="読み込んだスタイル1"/>
    <w:rsid w:val="00005A3C"/>
    <w:pPr>
      <w:numPr>
        <w:numId w:val="21"/>
      </w:numPr>
    </w:pPr>
  </w:style>
  <w:style w:type="character" w:customStyle="1" w:styleId="Hyperlink0">
    <w:name w:val="Hyperlink.0"/>
    <w:basedOn w:val="Hyperlink"/>
    <w:rsid w:val="00005A3C"/>
    <w:rPr>
      <w:outline w:val="0"/>
      <w:color w:val="0000FF"/>
      <w:sz w:val="18"/>
      <w:szCs w:val="18"/>
      <w:u w:val="single" w:color="0000FF"/>
    </w:rPr>
  </w:style>
  <w:style w:type="numbering" w:customStyle="1" w:styleId="2">
    <w:name w:val="読み込んだスタイル2"/>
    <w:rsid w:val="00005A3C"/>
    <w:pPr>
      <w:numPr>
        <w:numId w:val="22"/>
      </w:numPr>
    </w:pPr>
  </w:style>
  <w:style w:type="character" w:customStyle="1" w:styleId="Hyperlink3">
    <w:name w:val="Hyperlink.3"/>
    <w:basedOn w:val="Hyperlink0"/>
    <w:rsid w:val="00005A3C"/>
    <w:rPr>
      <w:rFonts w:ascii="Times New Roman" w:eastAsia="Times New Roman" w:hAnsi="Times New Roman" w:cs="Times New Roman"/>
      <w:outline w:val="0"/>
      <w:color w:val="0000FF"/>
      <w:sz w:val="20"/>
      <w:szCs w:val="20"/>
      <w:u w:val="single" w:color="0000FF"/>
    </w:rPr>
  </w:style>
  <w:style w:type="numbering" w:customStyle="1" w:styleId="6">
    <w:name w:val="読み込んだスタイル6"/>
    <w:rsid w:val="00005A3C"/>
    <w:pPr>
      <w:numPr>
        <w:numId w:val="23"/>
      </w:numPr>
    </w:pPr>
  </w:style>
  <w:style w:type="character" w:customStyle="1" w:styleId="Hyperlink4">
    <w:name w:val="Hyperlink.4"/>
    <w:basedOn w:val="Hyperlink0"/>
    <w:rsid w:val="00005A3C"/>
    <w:rPr>
      <w:outline w:val="0"/>
      <w:color w:val="0000FF"/>
      <w:sz w:val="20"/>
      <w:szCs w:val="20"/>
      <w:u w:val="single" w:color="0000FF"/>
    </w:rPr>
  </w:style>
  <w:style w:type="numbering" w:customStyle="1" w:styleId="8">
    <w:name w:val="読み込んだスタイル8"/>
    <w:rsid w:val="00005A3C"/>
    <w:pPr>
      <w:numPr>
        <w:numId w:val="24"/>
      </w:numPr>
    </w:pPr>
  </w:style>
  <w:style w:type="paragraph" w:customStyle="1" w:styleId="Heading1-compilation">
    <w:name w:val="Heading 1 - compilation"/>
    <w:basedOn w:val="HEADINGNOTFORTOC"/>
    <w:qFormat/>
    <w:rsid w:val="00005A3C"/>
    <w:pPr>
      <w:suppressLineNumbers/>
      <w:tabs>
        <w:tab w:val="clear" w:pos="720"/>
        <w:tab w:val="left" w:pos="284"/>
      </w:tabs>
      <w:suppressAutoHyphens/>
      <w:kinsoku w:val="0"/>
      <w:overflowPunct w:val="0"/>
      <w:autoSpaceDE w:val="0"/>
      <w:autoSpaceDN w:val="0"/>
      <w:adjustRightInd w:val="0"/>
      <w:snapToGrid w:val="0"/>
      <w:spacing w:before="120"/>
      <w:outlineLvl w:val="9"/>
    </w:pPr>
    <w:rPr>
      <w:rFonts w:asciiTheme="majorBidi" w:hAnsiTheme="majorBidi" w:cstheme="majorBidi"/>
      <w:bCs/>
      <w:snapToGrid w:val="0"/>
      <w:kern w:val="22"/>
      <w:szCs w:val="20"/>
    </w:rPr>
  </w:style>
  <w:style w:type="paragraph" w:customStyle="1" w:styleId="CBD-Para-1">
    <w:name w:val="CBD-Para-1"/>
    <w:basedOn w:val="Normal"/>
    <w:qFormat/>
    <w:rsid w:val="00005A3C"/>
    <w:pPr>
      <w:keepLines/>
      <w:numPr>
        <w:numId w:val="25"/>
      </w:numPr>
      <w:spacing w:before="120" w:after="120"/>
    </w:pPr>
    <w:rPr>
      <w:rFonts w:eastAsia="Malgun Gothic"/>
    </w:rPr>
  </w:style>
  <w:style w:type="paragraph" w:customStyle="1" w:styleId="heading3notforTOC">
    <w:name w:val="heading3 not for TOC"/>
    <w:basedOn w:val="Heading3"/>
    <w:qFormat/>
    <w:rsid w:val="00005A3C"/>
    <w:pPr>
      <w:tabs>
        <w:tab w:val="left" w:pos="567"/>
      </w:tabs>
      <w:outlineLvl w:val="9"/>
    </w:pPr>
    <w:rPr>
      <w:rFonts w:eastAsia="Times New Roman"/>
      <w:snapToGrid w:val="0"/>
      <w:sz w:val="20"/>
      <w:szCs w:val="20"/>
    </w:rPr>
  </w:style>
  <w:style w:type="paragraph" w:styleId="TOCHeading">
    <w:name w:val="TOC Heading"/>
    <w:basedOn w:val="Heading1"/>
    <w:next w:val="Normal"/>
    <w:uiPriority w:val="39"/>
    <w:unhideWhenUsed/>
    <w:qFormat/>
    <w:rsid w:val="00005A3C"/>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paragraph" w:customStyle="1" w:styleId="Heading1item">
    <w:name w:val="Heading 1 item"/>
    <w:basedOn w:val="Heading1-compilation"/>
    <w:qFormat/>
    <w:rsid w:val="00005A3C"/>
    <w:pPr>
      <w:tabs>
        <w:tab w:val="clear" w:pos="284"/>
        <w:tab w:val="left" w:pos="709"/>
      </w:tabs>
      <w:ind w:left="1418" w:hanging="1134"/>
      <w:jc w:val="left"/>
    </w:pPr>
    <w:rPr>
      <w:caps w:val="0"/>
    </w:rPr>
  </w:style>
  <w:style w:type="paragraph" w:customStyle="1" w:styleId="CBD-Para-i">
    <w:name w:val="CBD-Para-i"/>
    <w:basedOn w:val="Normal"/>
    <w:rsid w:val="0018728E"/>
    <w:pPr>
      <w:tabs>
        <w:tab w:val="num" w:pos="1814"/>
        <w:tab w:val="left" w:pos="2160"/>
        <w:tab w:val="left" w:pos="2880"/>
      </w:tabs>
      <w:spacing w:before="80" w:after="80"/>
      <w:ind w:left="1814" w:hanging="170"/>
    </w:pPr>
    <w:rPr>
      <w:szCs w:val="20"/>
    </w:rPr>
  </w:style>
  <w:style w:type="character" w:customStyle="1" w:styleId="UnresolvedMention4">
    <w:name w:val="Unresolved Mention4"/>
    <w:basedOn w:val="DefaultParagraphFont"/>
    <w:uiPriority w:val="99"/>
    <w:semiHidden/>
    <w:unhideWhenUsed/>
    <w:rsid w:val="00DA0273"/>
    <w:rPr>
      <w:color w:val="605E5C"/>
      <w:shd w:val="clear" w:color="auto" w:fill="E1DFDD"/>
    </w:rPr>
  </w:style>
  <w:style w:type="paragraph" w:customStyle="1" w:styleId="xl81">
    <w:name w:val="xl81"/>
    <w:basedOn w:val="Normal"/>
    <w:rsid w:val="00FC752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xl82">
    <w:name w:val="xl82"/>
    <w:basedOn w:val="Normal"/>
    <w:rsid w:val="00FC752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paragraph" w:customStyle="1" w:styleId="xl83">
    <w:name w:val="xl83"/>
    <w:basedOn w:val="Normal"/>
    <w:rsid w:val="00FC752D"/>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8"/>
      <w:szCs w:val="18"/>
      <w:lang w:val="en-US" w:eastAsia="zh-CN"/>
    </w:rPr>
  </w:style>
  <w:style w:type="character" w:styleId="FootnoteReference">
    <w:name w:val="footnote reference"/>
    <w:basedOn w:val="DefaultParagraphFont"/>
    <w:semiHidden/>
    <w:unhideWhenUsed/>
    <w:qFormat/>
    <w:rsid w:val="00CE76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478">
      <w:bodyDiv w:val="1"/>
      <w:marLeft w:val="0"/>
      <w:marRight w:val="0"/>
      <w:marTop w:val="0"/>
      <w:marBottom w:val="0"/>
      <w:divBdr>
        <w:top w:val="none" w:sz="0" w:space="0" w:color="auto"/>
        <w:left w:val="none" w:sz="0" w:space="0" w:color="auto"/>
        <w:bottom w:val="none" w:sz="0" w:space="0" w:color="auto"/>
        <w:right w:val="none" w:sz="0" w:space="0" w:color="auto"/>
      </w:divBdr>
      <w:divsChild>
        <w:div w:id="132794360">
          <w:marLeft w:val="0"/>
          <w:marRight w:val="0"/>
          <w:marTop w:val="0"/>
          <w:marBottom w:val="0"/>
          <w:divBdr>
            <w:top w:val="none" w:sz="0" w:space="0" w:color="auto"/>
            <w:left w:val="none" w:sz="0" w:space="0" w:color="auto"/>
            <w:bottom w:val="none" w:sz="0" w:space="0" w:color="auto"/>
            <w:right w:val="none" w:sz="0" w:space="0" w:color="auto"/>
          </w:divBdr>
          <w:divsChild>
            <w:div w:id="1313867600">
              <w:marLeft w:val="0"/>
              <w:marRight w:val="0"/>
              <w:marTop w:val="0"/>
              <w:marBottom w:val="0"/>
              <w:divBdr>
                <w:top w:val="none" w:sz="0" w:space="0" w:color="auto"/>
                <w:left w:val="none" w:sz="0" w:space="0" w:color="auto"/>
                <w:bottom w:val="none" w:sz="0" w:space="0" w:color="auto"/>
                <w:right w:val="none" w:sz="0" w:space="0" w:color="auto"/>
              </w:divBdr>
              <w:divsChild>
                <w:div w:id="140328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48503">
      <w:bodyDiv w:val="1"/>
      <w:marLeft w:val="0"/>
      <w:marRight w:val="0"/>
      <w:marTop w:val="0"/>
      <w:marBottom w:val="0"/>
      <w:divBdr>
        <w:top w:val="none" w:sz="0" w:space="0" w:color="auto"/>
        <w:left w:val="none" w:sz="0" w:space="0" w:color="auto"/>
        <w:bottom w:val="none" w:sz="0" w:space="0" w:color="auto"/>
        <w:right w:val="none" w:sz="0" w:space="0" w:color="auto"/>
      </w:divBdr>
    </w:div>
    <w:div w:id="681396443">
      <w:bodyDiv w:val="1"/>
      <w:marLeft w:val="0"/>
      <w:marRight w:val="0"/>
      <w:marTop w:val="0"/>
      <w:marBottom w:val="0"/>
      <w:divBdr>
        <w:top w:val="none" w:sz="0" w:space="0" w:color="auto"/>
        <w:left w:val="none" w:sz="0" w:space="0" w:color="auto"/>
        <w:bottom w:val="none" w:sz="0" w:space="0" w:color="auto"/>
        <w:right w:val="none" w:sz="0" w:space="0" w:color="auto"/>
      </w:divBdr>
    </w:div>
    <w:div w:id="827785706">
      <w:bodyDiv w:val="1"/>
      <w:marLeft w:val="0"/>
      <w:marRight w:val="0"/>
      <w:marTop w:val="0"/>
      <w:marBottom w:val="0"/>
      <w:divBdr>
        <w:top w:val="none" w:sz="0" w:space="0" w:color="auto"/>
        <w:left w:val="none" w:sz="0" w:space="0" w:color="auto"/>
        <w:bottom w:val="none" w:sz="0" w:space="0" w:color="auto"/>
        <w:right w:val="none" w:sz="0" w:space="0" w:color="auto"/>
      </w:divBdr>
    </w:div>
    <w:div w:id="1089886812">
      <w:bodyDiv w:val="1"/>
      <w:marLeft w:val="0"/>
      <w:marRight w:val="0"/>
      <w:marTop w:val="0"/>
      <w:marBottom w:val="0"/>
      <w:divBdr>
        <w:top w:val="none" w:sz="0" w:space="0" w:color="auto"/>
        <w:left w:val="none" w:sz="0" w:space="0" w:color="auto"/>
        <w:bottom w:val="none" w:sz="0" w:space="0" w:color="auto"/>
        <w:right w:val="none" w:sz="0" w:space="0" w:color="auto"/>
      </w:divBdr>
    </w:div>
    <w:div w:id="1112045410">
      <w:bodyDiv w:val="1"/>
      <w:marLeft w:val="0"/>
      <w:marRight w:val="0"/>
      <w:marTop w:val="0"/>
      <w:marBottom w:val="0"/>
      <w:divBdr>
        <w:top w:val="none" w:sz="0" w:space="0" w:color="auto"/>
        <w:left w:val="none" w:sz="0" w:space="0" w:color="auto"/>
        <w:bottom w:val="none" w:sz="0" w:space="0" w:color="auto"/>
        <w:right w:val="none" w:sz="0" w:space="0" w:color="auto"/>
      </w:divBdr>
    </w:div>
    <w:div w:id="1250696603">
      <w:bodyDiv w:val="1"/>
      <w:marLeft w:val="0"/>
      <w:marRight w:val="0"/>
      <w:marTop w:val="0"/>
      <w:marBottom w:val="0"/>
      <w:divBdr>
        <w:top w:val="none" w:sz="0" w:space="0" w:color="auto"/>
        <w:left w:val="none" w:sz="0" w:space="0" w:color="auto"/>
        <w:bottom w:val="none" w:sz="0" w:space="0" w:color="auto"/>
        <w:right w:val="none" w:sz="0" w:space="0" w:color="auto"/>
      </w:divBdr>
    </w:div>
    <w:div w:id="1555048321">
      <w:bodyDiv w:val="1"/>
      <w:marLeft w:val="0"/>
      <w:marRight w:val="0"/>
      <w:marTop w:val="0"/>
      <w:marBottom w:val="0"/>
      <w:divBdr>
        <w:top w:val="none" w:sz="0" w:space="0" w:color="auto"/>
        <w:left w:val="none" w:sz="0" w:space="0" w:color="auto"/>
        <w:bottom w:val="none" w:sz="0" w:space="0" w:color="auto"/>
        <w:right w:val="none" w:sz="0" w:space="0" w:color="auto"/>
      </w:divBdr>
      <w:divsChild>
        <w:div w:id="1762022939">
          <w:marLeft w:val="0"/>
          <w:marRight w:val="0"/>
          <w:marTop w:val="0"/>
          <w:marBottom w:val="0"/>
          <w:divBdr>
            <w:top w:val="none" w:sz="0" w:space="0" w:color="auto"/>
            <w:left w:val="none" w:sz="0" w:space="0" w:color="auto"/>
            <w:bottom w:val="none" w:sz="0" w:space="0" w:color="auto"/>
            <w:right w:val="none" w:sz="0" w:space="0" w:color="auto"/>
          </w:divBdr>
          <w:divsChild>
            <w:div w:id="402266647">
              <w:marLeft w:val="0"/>
              <w:marRight w:val="0"/>
              <w:marTop w:val="0"/>
              <w:marBottom w:val="0"/>
              <w:divBdr>
                <w:top w:val="none" w:sz="0" w:space="0" w:color="auto"/>
                <w:left w:val="none" w:sz="0" w:space="0" w:color="auto"/>
                <w:bottom w:val="none" w:sz="0" w:space="0" w:color="auto"/>
                <w:right w:val="none" w:sz="0" w:space="0" w:color="auto"/>
              </w:divBdr>
              <w:divsChild>
                <w:div w:id="72236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168186">
      <w:bodyDiv w:val="1"/>
      <w:marLeft w:val="0"/>
      <w:marRight w:val="0"/>
      <w:marTop w:val="0"/>
      <w:marBottom w:val="0"/>
      <w:divBdr>
        <w:top w:val="none" w:sz="0" w:space="0" w:color="auto"/>
        <w:left w:val="none" w:sz="0" w:space="0" w:color="auto"/>
        <w:bottom w:val="none" w:sz="0" w:space="0" w:color="auto"/>
        <w:right w:val="none" w:sz="0" w:space="0" w:color="auto"/>
      </w:divBdr>
    </w:div>
    <w:div w:id="18509516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cuments-dds-ny.un.org/doc/UNDOC/GEN/N16/044/09/PDF/N1604409.pdf?OpenElement" TargetMode="External"/><Relationship Id="rId21" Type="http://schemas.openxmlformats.org/officeDocument/2006/relationships/hyperlink" Target="mailto:secretariat@cbd.int" TargetMode="External"/><Relationship Id="rId42" Type="http://schemas.openxmlformats.org/officeDocument/2006/relationships/hyperlink" Target="https://www.cbd.int/doc/decisions/cop-12/cop-12-dec-22-en.pdf" TargetMode="External"/><Relationship Id="rId47" Type="http://schemas.openxmlformats.org/officeDocument/2006/relationships/hyperlink" Target="https://www.cbd.int/doc/decisions/cop-12/cop-12-dec-22-en.pdf" TargetMode="External"/><Relationship Id="rId63" Type="http://schemas.openxmlformats.org/officeDocument/2006/relationships/hyperlink" Target="https://www.cbd.int/doc/decisions/cop-10/cop-10-dec-33-en.pdf" TargetMode="External"/><Relationship Id="rId68" Type="http://schemas.openxmlformats.org/officeDocument/2006/relationships/hyperlink" Target="https://www.cbd.int/doc/notifications/2023/ntf-2023-082-cop16-en.pdf" TargetMode="Externa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7.xml"/><Relationship Id="rId11" Type="http://schemas.openxmlformats.org/officeDocument/2006/relationships/endnotes" Target="endnotes.xml"/><Relationship Id="rId24" Type="http://schemas.openxmlformats.org/officeDocument/2006/relationships/hyperlink" Target="https://www.cbd.int/sp/indicators/factsheets/?id=70" TargetMode="External"/><Relationship Id="rId32" Type="http://schemas.openxmlformats.org/officeDocument/2006/relationships/hyperlink" Target="https://www.cbd.int/doc/decisions/cop-12/cop-12-dec-09-en.pdf" TargetMode="External"/><Relationship Id="rId37" Type="http://schemas.openxmlformats.org/officeDocument/2006/relationships/hyperlink" Target="https://www.cbd.int/doc/decisions/cop-13/cop-13-dec-23-en.pdf" TargetMode="External"/><Relationship Id="rId40" Type="http://schemas.openxmlformats.org/officeDocument/2006/relationships/hyperlink" Target="https://www.cbd.int/doc/decisions/cop-10/cop-10-dec-29-en.pdf" TargetMode="External"/><Relationship Id="rId45" Type="http://schemas.openxmlformats.org/officeDocument/2006/relationships/hyperlink" Target="https://www.cbd.int/doc/decisions/cop-10/cop-10-dec-29-en.pdf" TargetMode="External"/><Relationship Id="rId53" Type="http://schemas.openxmlformats.org/officeDocument/2006/relationships/hyperlink" Target="https://www.cbd.int/doc/c/aa9a/bde9/eaf24f73bd471d64e8094722/ebsa-ws-2018-01-04-en.pdf" TargetMode="External"/><Relationship Id="rId58" Type="http://schemas.openxmlformats.org/officeDocument/2006/relationships/hyperlink" Target="https://www.cbd.int/doc/decisions/cop-08/cop-08-dec-23-en.pdf" TargetMode="External"/><Relationship Id="rId66" Type="http://schemas.openxmlformats.org/officeDocument/2006/relationships/hyperlink" Target="https://www.cbd.int/doc/decisions/cop-13/cop-13-dec-04-en.pdf" TargetMode="External"/><Relationship Id="rId5" Type="http://schemas.openxmlformats.org/officeDocument/2006/relationships/customXml" Target="../customXml/item5.xml"/><Relationship Id="rId61" Type="http://schemas.openxmlformats.org/officeDocument/2006/relationships/hyperlink" Target="https://www.cbd.int/doc/decisions/cop-07/cop-07-dec-15-en.pdf" TargetMode="External"/><Relationship Id="rId19" Type="http://schemas.openxmlformats.org/officeDocument/2006/relationships/header" Target="header4.xml"/><Relationship Id="rId14" Type="http://schemas.openxmlformats.org/officeDocument/2006/relationships/image" Target="media/image3.emf"/><Relationship Id="rId22" Type="http://schemas.openxmlformats.org/officeDocument/2006/relationships/hyperlink" Target="https://www.cbd.int/doc/decisions/cop-13/cop-13-dec-23-en.pdf" TargetMode="External"/><Relationship Id="rId27" Type="http://schemas.openxmlformats.org/officeDocument/2006/relationships/hyperlink" Target="https://www.cbd.int/doc/decisions/cop-14/cop-14-dec-16-en.pdf" TargetMode="External"/><Relationship Id="rId30" Type="http://schemas.openxmlformats.org/officeDocument/2006/relationships/header" Target="header8.xml"/><Relationship Id="rId35" Type="http://schemas.openxmlformats.org/officeDocument/2006/relationships/hyperlink" Target="http://www.cbd.int/decisions/?m=cop-03&amp;n=08" TargetMode="External"/><Relationship Id="rId43" Type="http://schemas.openxmlformats.org/officeDocument/2006/relationships/hyperlink" Target="https://www.cbd.int/doc/decisions/cop-13/cop-13-dec-12-en.pdf" TargetMode="External"/><Relationship Id="rId48" Type="http://schemas.openxmlformats.org/officeDocument/2006/relationships/hyperlink" Target="https://www.cbd.int/doc/decisions/cop-13/cop-13-dec-12-en.pdf" TargetMode="External"/><Relationship Id="rId56" Type="http://schemas.openxmlformats.org/officeDocument/2006/relationships/hyperlink" Target="https://documents-dds-ny.un.org/doc/UNDOC/GEN/N17/468/77/PDF/N1746877.pdf?OpenElement" TargetMode="External"/><Relationship Id="rId64" Type="http://schemas.openxmlformats.org/officeDocument/2006/relationships/hyperlink" Target="https://www.cbd.int/doc/decisions/cop-11/cop-11-dec-19-en.pdf"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hyperlink" Target="https://www.cbd.int/doc/decisions/cop-14/cop-14-dec-34-en.pdf" TargetMode="External"/><Relationship Id="rId25" Type="http://schemas.openxmlformats.org/officeDocument/2006/relationships/hyperlink" Target="https://www.un.org/en/ga/search/view_doc.asp?symbol=E/C.19/2016/5" TargetMode="External"/><Relationship Id="rId33" Type="http://schemas.openxmlformats.org/officeDocument/2006/relationships/hyperlink" Target="https://www.cbd.int/doc/decisions/cop-14/cop-14-dec-34-en.pdf" TargetMode="External"/><Relationship Id="rId38" Type="http://schemas.openxmlformats.org/officeDocument/2006/relationships/hyperlink" Target="https://www.cbd.int/doc/decisions/cop-12/cop-12-dec-02-en.pdf" TargetMode="External"/><Relationship Id="rId46" Type="http://schemas.openxmlformats.org/officeDocument/2006/relationships/hyperlink" Target="https://www.cbd.int/doc/decisions/cop-11/cop-11-dec-17-en.pdf" TargetMode="External"/><Relationship Id="rId59" Type="http://schemas.openxmlformats.org/officeDocument/2006/relationships/hyperlink" Target="https://www.cbd.int/doc/decisions/cop-10/cop-10-dec-34-en.pdf" TargetMode="External"/><Relationship Id="rId67" Type="http://schemas.openxmlformats.org/officeDocument/2006/relationships/hyperlink" Target="https://www.cbd.int/doc/decisions/cop-14/cop-14-dec-05-en.pdf" TargetMode="External"/><Relationship Id="rId20" Type="http://schemas.openxmlformats.org/officeDocument/2006/relationships/header" Target="header5.xml"/><Relationship Id="rId41" Type="http://schemas.openxmlformats.org/officeDocument/2006/relationships/hyperlink" Target="https://www.cbd.int/doc/decisions/cop-11/cop-11-dec-17-en.pdf" TargetMode="External"/><Relationship Id="rId54" Type="http://schemas.openxmlformats.org/officeDocument/2006/relationships/header" Target="header10.xml"/><Relationship Id="rId62" Type="http://schemas.openxmlformats.org/officeDocument/2006/relationships/hyperlink" Target="https://www.cbd.int/doc/decisions/cop-09/cop-09-dec-16-en.pdf" TargetMode="External"/><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bd.int/doc/decisions/cop-14/cop-14-dec-24-en.pdf" TargetMode="External"/><Relationship Id="rId28" Type="http://schemas.openxmlformats.org/officeDocument/2006/relationships/header" Target="header6.xml"/><Relationship Id="rId36" Type="http://schemas.openxmlformats.org/officeDocument/2006/relationships/hyperlink" Target="https://www.cbd.int/doc/decisions/cop-14/cop-14-dec-25-en.pdf" TargetMode="External"/><Relationship Id="rId49" Type="http://schemas.openxmlformats.org/officeDocument/2006/relationships/hyperlink" Target="https://www.cbd.int/doc/decisions/cop-14/cop-14-dec-09-en.pdf" TargetMode="External"/><Relationship Id="rId57" Type="http://schemas.openxmlformats.org/officeDocument/2006/relationships/hyperlink" Target="https://www.cbd.int/decision/cop/?id=7179" TargetMode="External"/><Relationship Id="rId10" Type="http://schemas.openxmlformats.org/officeDocument/2006/relationships/footnotes" Target="footnotes.xml"/><Relationship Id="rId31" Type="http://schemas.openxmlformats.org/officeDocument/2006/relationships/hyperlink" Target="https://www.cbd.int/doc/decisions/cop-10/cop-10-dec-22-en.pdf" TargetMode="External"/><Relationship Id="rId44" Type="http://schemas.openxmlformats.org/officeDocument/2006/relationships/hyperlink" Target="https://www.cbd.int/doc/decisions/cop-14/cop-14-dec-09-en.pdf" TargetMode="External"/><Relationship Id="rId52" Type="http://schemas.openxmlformats.org/officeDocument/2006/relationships/hyperlink" Target="https://www.cbd.int/doc/c/7d96/2418/5a119cb332dbc741312d97b6/ebsa-ws-2019-01-04-en.pdf" TargetMode="External"/><Relationship Id="rId60" Type="http://schemas.openxmlformats.org/officeDocument/2006/relationships/hyperlink" Target="https://www.cbd.int/doc/decisions/cop-14/cop-14-dec-30-en.pdf" TargetMode="External"/><Relationship Id="rId65" Type="http://schemas.openxmlformats.org/officeDocument/2006/relationships/hyperlink" Target="https://www.cbd.int/doc/decisions/cop-12/cop-12-dec-20-en.pdf"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9" Type="http://schemas.openxmlformats.org/officeDocument/2006/relationships/hyperlink" Target="https://www.cbd.int/doc/decisions/cop-11/cop-11-dec-02-en.pdf" TargetMode="External"/><Relationship Id="rId34" Type="http://schemas.openxmlformats.org/officeDocument/2006/relationships/hyperlink" Target="https://www.cbd.int/doc/decisions/cop-13/cop-13-dec-22-en.pdf" TargetMode="External"/><Relationship Id="rId50" Type="http://schemas.openxmlformats.org/officeDocument/2006/relationships/header" Target="header9.xml"/><Relationship Id="rId55" Type="http://schemas.openxmlformats.org/officeDocument/2006/relationships/hyperlink" Target="https://documents-dds-ny.un.org/doc/UNDOC/GEN/N21/386/39/PDF/N2138639.pdf?OpenElement"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ecision/cop/?id=12308" TargetMode="External"/><Relationship Id="rId21" Type="http://schemas.openxmlformats.org/officeDocument/2006/relationships/hyperlink" Target="https://www.un.org/en/development/desa/population/migration/generalassembly/docs/globalcompact/FCCC_CP_2015_10_Add.1.pdf" TargetMode="External"/><Relationship Id="rId42" Type="http://schemas.openxmlformats.org/officeDocument/2006/relationships/hyperlink" Target="https://www.cbd.int/doc/decisions/cop-10/cop-10-dec-02-en.pdf" TargetMode="External"/><Relationship Id="rId47" Type="http://schemas.openxmlformats.org/officeDocument/2006/relationships/hyperlink" Target="https://www.cbd.int/doc/meetings/cop/cop-11/official/cop-11-31-en.pdf" TargetMode="External"/><Relationship Id="rId63" Type="http://schemas.openxmlformats.org/officeDocument/2006/relationships/hyperlink" Target="https://www.cbd.int/sp/indicators/factsheets/?id=70" TargetMode="External"/><Relationship Id="rId68" Type="http://schemas.openxmlformats.org/officeDocument/2006/relationships/hyperlink" Target="http://www.un.org/depts/los/convention_agreements/texts/unclos/unclos_e.pdf" TargetMode="External"/><Relationship Id="rId16" Type="http://schemas.openxmlformats.org/officeDocument/2006/relationships/hyperlink" Target="https://www.unicef.org/evaldatabase/index_70552.html" TargetMode="External"/><Relationship Id="rId11" Type="http://schemas.openxmlformats.org/officeDocument/2006/relationships/hyperlink" Target="https://www.cbd.int/doc/c/0ab8/2d14/07d2c32c7c92ee730c6e3e58/sbi-03-inf-09-en.pdf" TargetMode="External"/><Relationship Id="rId24" Type="http://schemas.openxmlformats.org/officeDocument/2006/relationships/hyperlink" Target="https://www.cbd.int/decision/cop/default.shtml?id=7753" TargetMode="External"/><Relationship Id="rId32" Type="http://schemas.openxmlformats.org/officeDocument/2006/relationships/hyperlink" Target="https://www.cbd.int/decision/cop/default.shtml?id=13375" TargetMode="External"/><Relationship Id="rId37" Type="http://schemas.openxmlformats.org/officeDocument/2006/relationships/hyperlink" Target="https://ontheedge.org/impact/sentiment-tracker" TargetMode="External"/><Relationship Id="rId40" Type="http://schemas.openxmlformats.org/officeDocument/2006/relationships/hyperlink" Target="http://undocs.org/A/RES/70/1" TargetMode="External"/><Relationship Id="rId45" Type="http://schemas.openxmlformats.org/officeDocument/2006/relationships/hyperlink" Target="http://www.thegef.org/publications/instrument-establishment-restructured-gef-2019" TargetMode="External"/><Relationship Id="rId53" Type="http://schemas.openxmlformats.org/officeDocument/2006/relationships/hyperlink" Target="https://oraotca.org/" TargetMode="External"/><Relationship Id="rId58" Type="http://schemas.openxmlformats.org/officeDocument/2006/relationships/hyperlink" Target="https://ipbes.net/pandemics" TargetMode="External"/><Relationship Id="rId66" Type="http://schemas.openxmlformats.org/officeDocument/2006/relationships/hyperlink" Target="https://www.cbd.int/doc/c/2d1f/ab01/681ae86a81ab601e585ecfe0/wg2020-01-inf-03-en.pdf" TargetMode="External"/><Relationship Id="rId74" Type="http://schemas.openxmlformats.org/officeDocument/2006/relationships/hyperlink" Target="http://www.fao.org/3/ca7670en/CA7670EN.pdf" TargetMode="External"/><Relationship Id="rId79" Type="http://schemas.openxmlformats.org/officeDocument/2006/relationships/hyperlink" Target="http://www.cbd.int/conferences/2021-2022/cop-15/documents" TargetMode="External"/><Relationship Id="rId5" Type="http://schemas.openxmlformats.org/officeDocument/2006/relationships/hyperlink" Target="https://www.cbd.int/doc/c/0467/f15b/8d9256aea9ae53240e3da979/sbi-03-21-en.pdf" TargetMode="External"/><Relationship Id="rId61" Type="http://schemas.openxmlformats.org/officeDocument/2006/relationships/hyperlink" Target="https://documents-dds-ny.un.org/doc/UNDOC/GEN/N16/126/35/pdf/N1612635.pdf?OpenElement" TargetMode="External"/><Relationship Id="rId19" Type="http://schemas.openxmlformats.org/officeDocument/2006/relationships/hyperlink" Target="https://www.cbd.int/decision/cop/?id=12309" TargetMode="External"/><Relationship Id="rId14" Type="http://schemas.openxmlformats.org/officeDocument/2006/relationships/hyperlink" Target="https://unsdg.un.org/resources/theory-change-undaf-companion-guidance" TargetMode="External"/><Relationship Id="rId22" Type="http://schemas.openxmlformats.org/officeDocument/2006/relationships/hyperlink" Target="https://www.cbd.int/doc/decisions/cop-07/cop-07-dec-16-en.pdf" TargetMode="External"/><Relationship Id="rId27" Type="http://schemas.openxmlformats.org/officeDocument/2006/relationships/hyperlink" Target="https://www.cbd.int/decision/cop/?id=12308" TargetMode="External"/><Relationship Id="rId30" Type="http://schemas.openxmlformats.org/officeDocument/2006/relationships/hyperlink" Target="https://www.cbd.int/decision/cop/default.shtml?id=13375" TargetMode="External"/><Relationship Id="rId35" Type="http://schemas.openxmlformats.org/officeDocument/2006/relationships/hyperlink" Target="https://www.ohchr.org/EN/HRBodies/CERD/Pages/EarlyWarningProcedure.aspx" TargetMode="External"/><Relationship Id="rId43" Type="http://schemas.openxmlformats.org/officeDocument/2006/relationships/hyperlink" Target="https://www.cbd.int/article/people-for-our-planet-aggregator" TargetMode="External"/><Relationship Id="rId48" Type="http://schemas.openxmlformats.org/officeDocument/2006/relationships/hyperlink" Target="https://www.cbd.int/doc/c/8cd2/6eab/663d8a4cc2d198b104225345/sbstta-24-inf-28-en.pdf" TargetMode="External"/><Relationship Id="rId56" Type="http://schemas.openxmlformats.org/officeDocument/2006/relationships/hyperlink" Target="https://www.cbd.int/doc/c/28b9/9ae8/d4ee604de9dea40eca158d65/sbi-02-inf-02-en.pdf" TargetMode="External"/><Relationship Id="rId64" Type="http://schemas.openxmlformats.org/officeDocument/2006/relationships/hyperlink" Target="https://www.cbd.int/sp/indicators/factsheets/?id=71" TargetMode="External"/><Relationship Id="rId69" Type="http://schemas.openxmlformats.org/officeDocument/2006/relationships/hyperlink" Target="https://www.cbd.int/doc/c/f82f/90c8/4e82b4a23db2edfc632d56c5/ias-ahteg-2019-01-02-en.pdf" TargetMode="External"/><Relationship Id="rId77" Type="http://schemas.openxmlformats.org/officeDocument/2006/relationships/hyperlink" Target="https://digitallibrary.un.org/record/765786?ln=en" TargetMode="External"/><Relationship Id="rId8" Type="http://schemas.openxmlformats.org/officeDocument/2006/relationships/hyperlink" Target="https://www.un.org/pga/75/united-nations-summit-on-biodiversity-summary" TargetMode="External"/><Relationship Id="rId51" Type="http://schemas.openxmlformats.org/officeDocument/2006/relationships/hyperlink" Target="https://panorama.solutions/en" TargetMode="External"/><Relationship Id="rId72" Type="http://schemas.openxmlformats.org/officeDocument/2006/relationships/hyperlink" Target="https://ipbes.net/policy-support/tools-instruments/environmental-impact-classification-alien-taxa-eicat" TargetMode="External"/><Relationship Id="rId3" Type="http://schemas.openxmlformats.org/officeDocument/2006/relationships/hyperlink" Target="https://www.cbd.int/doc/c/e215/de56/af0aed70a7410e0fbffbe686/sbstta-23-09-en.pdf" TargetMode="External"/><Relationship Id="rId12" Type="http://schemas.openxmlformats.org/officeDocument/2006/relationships/hyperlink" Target="https://unsdg.un.org/resources/capacity-development-undaf-companion-guidance" TargetMode="External"/><Relationship Id="rId17" Type="http://schemas.openxmlformats.org/officeDocument/2006/relationships/hyperlink" Target="https://www.undp.org/sites/g/files/zskgke326/files/publications/Incentive-Systems-cp8.pdf" TargetMode="External"/><Relationship Id="rId25" Type="http://schemas.openxmlformats.org/officeDocument/2006/relationships/hyperlink" Target="https://www.cbd.int/decision/cop/default.shtml?id=7753" TargetMode="External"/><Relationship Id="rId33" Type="http://schemas.openxmlformats.org/officeDocument/2006/relationships/hyperlink" Target="https://www.cbd.int/doc/decisions/cop-13/cop-13-dec-18-en.pdf" TargetMode="External"/><Relationship Id="rId38" Type="http://schemas.openxmlformats.org/officeDocument/2006/relationships/hyperlink" Target="http://www.biodiversitybarometer.org/" TargetMode="External"/><Relationship Id="rId46" Type="http://schemas.openxmlformats.org/officeDocument/2006/relationships/hyperlink" Target="https://www.cbd.int/doc/decisions/cop-11/cop-11-dec-02-en.pdf" TargetMode="External"/><Relationship Id="rId59" Type="http://schemas.openxmlformats.org/officeDocument/2006/relationships/hyperlink" Target="https://www.cbd.int/doc/c/4386/ac7b/fe383a6c1a542cafe05da837/wg8j-11-06-en.pdf" TargetMode="External"/><Relationship Id="rId67" Type="http://schemas.openxmlformats.org/officeDocument/2006/relationships/hyperlink" Target="https://www.fao.org/3/ca7194en/ca7194en.pdf" TargetMode="External"/><Relationship Id="rId20" Type="http://schemas.openxmlformats.org/officeDocument/2006/relationships/hyperlink" Target="https://www.un.org/en/development/desa/population/migration/generalassembly/docs/globalcompact/A_RES_70_1_E.pdf" TargetMode="External"/><Relationship Id="rId41" Type="http://schemas.openxmlformats.org/officeDocument/2006/relationships/hyperlink" Target="https://youngoclimate.org/" TargetMode="External"/><Relationship Id="rId54" Type="http://schemas.openxmlformats.org/officeDocument/2006/relationships/hyperlink" Target="https://www.cbd.int/doc/c/2a4e/4a1b/9aa23008d4af76c6e2cf4de8/sbi-02-16-add1-en.pdf" TargetMode="External"/><Relationship Id="rId62" Type="http://schemas.openxmlformats.org/officeDocument/2006/relationships/hyperlink" Target="https://www.cbd.int/sp/indicators/factsheets/?id=88" TargetMode="External"/><Relationship Id="rId70" Type="http://schemas.openxmlformats.org/officeDocument/2006/relationships/hyperlink" Target="http://www.wcoomd.org/~/media/wco/public/global/pdf/topics/facilitation/activities-and-programmes/tf-negociations/wco-docs/info-sheets-on-tf-measures/single-window-concept.pdf" TargetMode="External"/><Relationship Id="rId75" Type="http://schemas.openxmlformats.org/officeDocument/2006/relationships/hyperlink" Target="https://undocs.org/A/RES/70/1" TargetMode="External"/><Relationship Id="rId1" Type="http://schemas.openxmlformats.org/officeDocument/2006/relationships/hyperlink" Target="https://www.cbd.int/conferences/post2020" TargetMode="External"/><Relationship Id="rId6" Type="http://schemas.openxmlformats.org/officeDocument/2006/relationships/hyperlink" Target="https://www.cbd.int/doc/decisions/cop-10/cop-10-dec-02-en.pdf" TargetMode="External"/><Relationship Id="rId15" Type="http://schemas.openxmlformats.org/officeDocument/2006/relationships/hyperlink" Target="https://www.cbd.int/cb/plans/" TargetMode="External"/><Relationship Id="rId23" Type="http://schemas.openxmlformats.org/officeDocument/2006/relationships/hyperlink" Target="https://www.cbd.int/doc/decisions/cop-07/cop-07-dec-16-en.pdf" TargetMode="External"/><Relationship Id="rId28" Type="http://schemas.openxmlformats.org/officeDocument/2006/relationships/hyperlink" Target="https://www.cbd.int/decision/cop/?id=12308" TargetMode="External"/><Relationship Id="rId36" Type="http://schemas.openxmlformats.org/officeDocument/2006/relationships/hyperlink" Target="https://www.cbd.int/cepa/toolkit/2008/doc/CBD-Toolkit-Complete.pdf" TargetMode="External"/><Relationship Id="rId49" Type="http://schemas.openxmlformats.org/officeDocument/2006/relationships/hyperlink" Target="https://gkssb.chm-cbd.net/" TargetMode="External"/><Relationship Id="rId57" Type="http://schemas.openxmlformats.org/officeDocument/2006/relationships/hyperlink" Target="https://ipbes.net/documents-by-category/Decisions" TargetMode="External"/><Relationship Id="rId10" Type="http://schemas.openxmlformats.org/officeDocument/2006/relationships/hyperlink" Target="https://unsceb.org/topics/biodiversity" TargetMode="External"/><Relationship Id="rId31" Type="http://schemas.openxmlformats.org/officeDocument/2006/relationships/hyperlink" Target="https://www.cbd.int/decision/cop/default.shtml?id=13375" TargetMode="External"/><Relationship Id="rId44" Type="http://schemas.openxmlformats.org/officeDocument/2006/relationships/hyperlink" Target="https://www.cbd.int/doc/meetings/cop/cop-05/official/cop-05-23-en.pdf" TargetMode="External"/><Relationship Id="rId52" Type="http://schemas.openxmlformats.org/officeDocument/2006/relationships/hyperlink" Target="https://www.cbd.int/conferences/post2020/brc-ws" TargetMode="External"/><Relationship Id="rId60" Type="http://schemas.openxmlformats.org/officeDocument/2006/relationships/hyperlink" Target="https://documents-dds-ny.un.org/doc/UNDOC/GEN/N16/044/09/pdf/N1604409.pdf?OpenElement" TargetMode="External"/><Relationship Id="rId65" Type="http://schemas.openxmlformats.org/officeDocument/2006/relationships/hyperlink" Target="https://www.cbd.int/sp/indicators/factsheets/?id=87" TargetMode="External"/><Relationship Id="rId73" Type="http://schemas.openxmlformats.org/officeDocument/2006/relationships/hyperlink" Target="http://diise.islandconservation.org/" TargetMode="External"/><Relationship Id="rId78" Type="http://schemas.openxmlformats.org/officeDocument/2006/relationships/hyperlink" Target="https://www.cbd.int/doc/c/2074/26e7/a135b1b57dabe8e8ed669324/synbio-ahteg-2019-01-03-en.pdf" TargetMode="External"/><Relationship Id="rId4" Type="http://schemas.openxmlformats.org/officeDocument/2006/relationships/hyperlink" Target="https://www.cbd.int/doc/c/403d/780c/318cb218f16e939fddf1076b/sbstta-24-12-en.pdf" TargetMode="External"/><Relationship Id="rId9" Type="http://schemas.openxmlformats.org/officeDocument/2006/relationships/hyperlink" Target="https://www.cbd.int/doc/c/e660/b9bf/9cb474bfb0e1ed9c4fa03cba/sbi-03-07-add1-en.pdf" TargetMode="External"/><Relationship Id="rId13" Type="http://schemas.openxmlformats.org/officeDocument/2006/relationships/hyperlink" Target="https://warwick.ac.uk/fac/soc/wbs/conf/olkc/archive/olk4/papers/villardi.pdf" TargetMode="External"/><Relationship Id="rId18" Type="http://schemas.openxmlformats.org/officeDocument/2006/relationships/hyperlink" Target="https://unesdoc.unesco.org/ark:/48223/pf0000379949.locale=en" TargetMode="External"/><Relationship Id="rId39" Type="http://schemas.openxmlformats.org/officeDocument/2006/relationships/hyperlink" Target="https://wwfint.awsassets.panda.org/downloads/an_ecowakening_measuring_awareness__engagement_and_action_for_nature_final_may_2021__.pdf" TargetMode="External"/><Relationship Id="rId34" Type="http://schemas.openxmlformats.org/officeDocument/2006/relationships/hyperlink" Target="https://www.cbd.int/doc/decisions/cop-13/cop-13-dec-18-en.pdf" TargetMode="External"/><Relationship Id="rId50" Type="http://schemas.openxmlformats.org/officeDocument/2006/relationships/hyperlink" Target="https://www.gbif.org/data4nature" TargetMode="External"/><Relationship Id="rId55" Type="http://schemas.openxmlformats.org/officeDocument/2006/relationships/hyperlink" Target="https://www.cbd.int/doc/c/e896/e6a9/58e656fef046cec35bbbe6d7/sbi-02-inf-01-en.pdf" TargetMode="External"/><Relationship Id="rId76" Type="http://schemas.openxmlformats.org/officeDocument/2006/relationships/hyperlink" Target="https://www.cbd.int/decision/cop/?id=7148" TargetMode="External"/><Relationship Id="rId7" Type="http://schemas.openxmlformats.org/officeDocument/2006/relationships/hyperlink" Target="https://chm.cbd.int/" TargetMode="External"/><Relationship Id="rId71" Type="http://schemas.openxmlformats.org/officeDocument/2006/relationships/hyperlink" Target="http://www.wcoomd.org/-/media/wco/public/global/pdf/topics/facilitation/instruments-and-tools/tools/safe-package/aeo-compendium.pdf?db=web" TargetMode="External"/><Relationship Id="rId2" Type="http://schemas.openxmlformats.org/officeDocument/2006/relationships/hyperlink" Target="https://www.cbd.int/doc/c/bd0a/077c/9af6c8783485bec92396af97/wg8j-11-07-en.pdf" TargetMode="External"/><Relationship Id="rId29" Type="http://schemas.openxmlformats.org/officeDocument/2006/relationships/hyperlink" Target="https://www.cbd.int/decision/cop/default.shtml?id=1337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3BAF50A6B5764CF6B487FA027EC3EC28"/>
        <w:category>
          <w:name w:val="General"/>
          <w:gallery w:val="placeholder"/>
        </w:category>
        <w:types>
          <w:type w:val="bbPlcHdr"/>
        </w:types>
        <w:behaviors>
          <w:behavior w:val="content"/>
        </w:behaviors>
        <w:guid w:val="{BAB75216-4A69-42F9-8458-FF54E7E2CF29}"/>
      </w:docPartPr>
      <w:docPartBody>
        <w:p w:rsidR="006F3F91" w:rsidRDefault="009C4ECF">
          <w:r w:rsidRPr="00FE53CC">
            <w:rPr>
              <w:rStyle w:val="PlaceholderText"/>
            </w:rPr>
            <w:t>[Title]</w:t>
          </w:r>
        </w:p>
      </w:docPartBody>
    </w:docPart>
    <w:docPart>
      <w:docPartPr>
        <w:name w:val="2907B3E2C04E40E1AD329041C861F47E"/>
        <w:category>
          <w:name w:val="General"/>
          <w:gallery w:val="placeholder"/>
        </w:category>
        <w:types>
          <w:type w:val="bbPlcHdr"/>
        </w:types>
        <w:behaviors>
          <w:behavior w:val="content"/>
        </w:behaviors>
        <w:guid w:val="{4DB48224-0C77-4E25-A637-38D2B55FD5EE}"/>
      </w:docPartPr>
      <w:docPartBody>
        <w:p w:rsidR="008E262F" w:rsidRDefault="00715CCA" w:rsidP="00715CCA">
          <w:pPr>
            <w:pStyle w:val="2907B3E2C04E40E1AD329041C861F47E"/>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772"/>
    <w:rsid w:val="000057DE"/>
    <w:rsid w:val="00006698"/>
    <w:rsid w:val="00033BB9"/>
    <w:rsid w:val="00067F27"/>
    <w:rsid w:val="00085A3A"/>
    <w:rsid w:val="00096B51"/>
    <w:rsid w:val="000A22AD"/>
    <w:rsid w:val="000B113C"/>
    <w:rsid w:val="000C606B"/>
    <w:rsid w:val="000F0597"/>
    <w:rsid w:val="000F089C"/>
    <w:rsid w:val="00114901"/>
    <w:rsid w:val="00147D90"/>
    <w:rsid w:val="00156D85"/>
    <w:rsid w:val="00193D07"/>
    <w:rsid w:val="001E1BE0"/>
    <w:rsid w:val="00204810"/>
    <w:rsid w:val="00223B63"/>
    <w:rsid w:val="002545A6"/>
    <w:rsid w:val="002646C7"/>
    <w:rsid w:val="002811B7"/>
    <w:rsid w:val="002A67D5"/>
    <w:rsid w:val="002B1906"/>
    <w:rsid w:val="002E7079"/>
    <w:rsid w:val="002F1E9D"/>
    <w:rsid w:val="00333F13"/>
    <w:rsid w:val="00357334"/>
    <w:rsid w:val="003744EA"/>
    <w:rsid w:val="003776F6"/>
    <w:rsid w:val="003A0FA1"/>
    <w:rsid w:val="00403167"/>
    <w:rsid w:val="00404B93"/>
    <w:rsid w:val="0041050A"/>
    <w:rsid w:val="004272D9"/>
    <w:rsid w:val="0043436B"/>
    <w:rsid w:val="0046422C"/>
    <w:rsid w:val="004760CF"/>
    <w:rsid w:val="00496548"/>
    <w:rsid w:val="004B3B40"/>
    <w:rsid w:val="004B5B88"/>
    <w:rsid w:val="004C6B43"/>
    <w:rsid w:val="004E092F"/>
    <w:rsid w:val="004E0CC9"/>
    <w:rsid w:val="00500A2B"/>
    <w:rsid w:val="00523376"/>
    <w:rsid w:val="00527A0B"/>
    <w:rsid w:val="00550BBF"/>
    <w:rsid w:val="00560A91"/>
    <w:rsid w:val="00572B26"/>
    <w:rsid w:val="005825E4"/>
    <w:rsid w:val="0058288D"/>
    <w:rsid w:val="005A6A04"/>
    <w:rsid w:val="005B583A"/>
    <w:rsid w:val="005B762A"/>
    <w:rsid w:val="005C3998"/>
    <w:rsid w:val="005D5590"/>
    <w:rsid w:val="005E1749"/>
    <w:rsid w:val="005E260F"/>
    <w:rsid w:val="005E771B"/>
    <w:rsid w:val="005F654E"/>
    <w:rsid w:val="00600C6E"/>
    <w:rsid w:val="006451D0"/>
    <w:rsid w:val="00652F68"/>
    <w:rsid w:val="00665C6B"/>
    <w:rsid w:val="00666E10"/>
    <w:rsid w:val="00670891"/>
    <w:rsid w:val="006801B3"/>
    <w:rsid w:val="006A165A"/>
    <w:rsid w:val="006D6819"/>
    <w:rsid w:val="006F3F91"/>
    <w:rsid w:val="007038E7"/>
    <w:rsid w:val="00715CCA"/>
    <w:rsid w:val="0072448C"/>
    <w:rsid w:val="0075066A"/>
    <w:rsid w:val="00756E36"/>
    <w:rsid w:val="007950D5"/>
    <w:rsid w:val="00810A55"/>
    <w:rsid w:val="008129CC"/>
    <w:rsid w:val="00817B97"/>
    <w:rsid w:val="00824FA5"/>
    <w:rsid w:val="008338DD"/>
    <w:rsid w:val="00852326"/>
    <w:rsid w:val="008723BC"/>
    <w:rsid w:val="008741BC"/>
    <w:rsid w:val="00880565"/>
    <w:rsid w:val="00886CAA"/>
    <w:rsid w:val="008C0C33"/>
    <w:rsid w:val="008C152F"/>
    <w:rsid w:val="008C6619"/>
    <w:rsid w:val="008D420E"/>
    <w:rsid w:val="008D4A6E"/>
    <w:rsid w:val="008E262F"/>
    <w:rsid w:val="008F2D6B"/>
    <w:rsid w:val="00943997"/>
    <w:rsid w:val="00955A2E"/>
    <w:rsid w:val="0098642F"/>
    <w:rsid w:val="009A1D33"/>
    <w:rsid w:val="009A4101"/>
    <w:rsid w:val="009C4ECF"/>
    <w:rsid w:val="009E6629"/>
    <w:rsid w:val="00A01265"/>
    <w:rsid w:val="00A473A1"/>
    <w:rsid w:val="00A64B07"/>
    <w:rsid w:val="00A7770D"/>
    <w:rsid w:val="00A955CE"/>
    <w:rsid w:val="00A97F65"/>
    <w:rsid w:val="00AA3FFE"/>
    <w:rsid w:val="00AC1CFF"/>
    <w:rsid w:val="00AC6DE1"/>
    <w:rsid w:val="00AD6E7A"/>
    <w:rsid w:val="00B02501"/>
    <w:rsid w:val="00B06EB7"/>
    <w:rsid w:val="00B26677"/>
    <w:rsid w:val="00B50055"/>
    <w:rsid w:val="00B6763C"/>
    <w:rsid w:val="00B83D53"/>
    <w:rsid w:val="00B941B7"/>
    <w:rsid w:val="00BA2199"/>
    <w:rsid w:val="00BC0F7A"/>
    <w:rsid w:val="00BC7852"/>
    <w:rsid w:val="00BF4206"/>
    <w:rsid w:val="00C1311A"/>
    <w:rsid w:val="00C259ED"/>
    <w:rsid w:val="00C6793D"/>
    <w:rsid w:val="00C74039"/>
    <w:rsid w:val="00C76B7C"/>
    <w:rsid w:val="00C8104B"/>
    <w:rsid w:val="00C8220E"/>
    <w:rsid w:val="00CA2729"/>
    <w:rsid w:val="00CE0432"/>
    <w:rsid w:val="00D31D12"/>
    <w:rsid w:val="00D3620A"/>
    <w:rsid w:val="00D45544"/>
    <w:rsid w:val="00D52DE8"/>
    <w:rsid w:val="00D571A1"/>
    <w:rsid w:val="00D67586"/>
    <w:rsid w:val="00D86C67"/>
    <w:rsid w:val="00DC3538"/>
    <w:rsid w:val="00DC3CE5"/>
    <w:rsid w:val="00E25A9D"/>
    <w:rsid w:val="00E44EA4"/>
    <w:rsid w:val="00E51EF7"/>
    <w:rsid w:val="00E714C7"/>
    <w:rsid w:val="00E852CE"/>
    <w:rsid w:val="00E86380"/>
    <w:rsid w:val="00E937E1"/>
    <w:rsid w:val="00E95F16"/>
    <w:rsid w:val="00EA693C"/>
    <w:rsid w:val="00EE179A"/>
    <w:rsid w:val="00F030D0"/>
    <w:rsid w:val="00F12247"/>
    <w:rsid w:val="00F163FF"/>
    <w:rsid w:val="00F436EE"/>
    <w:rsid w:val="00F57CEA"/>
    <w:rsid w:val="00F633B8"/>
    <w:rsid w:val="00F930B5"/>
    <w:rsid w:val="00FB0D4C"/>
    <w:rsid w:val="00FE3711"/>
    <w:rsid w:val="00FE78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E262F"/>
  </w:style>
  <w:style w:type="paragraph" w:customStyle="1" w:styleId="2907B3E2C04E40E1AD329041C861F47E">
    <w:name w:val="2907B3E2C04E40E1AD329041C861F47E"/>
    <w:rsid w:val="00715CCA"/>
    <w:pPr>
      <w:spacing w:after="160" w:line="259" w:lineRule="auto"/>
    </w:pPr>
    <w:rPr>
      <w:kern w:val="2"/>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64B9A1-3B16-4A03-BC95-41F61F4B6B4A}"/>
</file>

<file path=customXml/itemProps3.xml><?xml version="1.0" encoding="utf-8"?>
<ds:datastoreItem xmlns:ds="http://schemas.openxmlformats.org/officeDocument/2006/customXml" ds:itemID="{4838C645-944F-4045-BEC7-5E152856BE4D}">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151</Pages>
  <Words>116807</Words>
  <Characters>738223</Characters>
  <Application>Microsoft Office Word</Application>
  <DocSecurity>0</DocSecurity>
  <Lines>27341</Lines>
  <Paragraphs>25147</Paragraphs>
  <ScaleCrop>false</ScaleCrop>
  <HeadingPairs>
    <vt:vector size="2" baseType="variant">
      <vt:variant>
        <vt:lpstr>Title</vt:lpstr>
      </vt:variant>
      <vt:variant>
        <vt:i4>1</vt:i4>
      </vt:variant>
    </vt:vector>
  </HeadingPairs>
  <TitlesOfParts>
    <vt:vector size="1" baseType="lpstr">
      <vt:lpstr>REPORT OF THE SECOND PART OF THE MEETING</vt:lpstr>
    </vt:vector>
  </TitlesOfParts>
  <Company>United Nations</Company>
  <LinksUpToDate>false</LinksUpToDate>
  <CharactersWithSpaces>829883</CharactersWithSpaces>
  <SharedDoc>false</SharedDoc>
  <HyperlinkBase>https://www.cbd.int/cop/</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TO THE CONVENTION ON BIOLOGICAL DIVERSITY ON THE SECOND PART OF ITS FIFTEENTH MEETING</dc:title>
  <dc:subject>CBD/COP/15/17</dc:subject>
  <dc:creator>SCBD</dc:creator>
  <cp:keywords>Convention on Biological Diversity, Conference of the Parties, fifteenth meeting, Kunming, China, 11-15 October 2021 and 25 April-8 May 2022</cp:keywords>
  <cp:lastModifiedBy>Veronique Lefebvre</cp:lastModifiedBy>
  <cp:revision>4</cp:revision>
  <cp:lastPrinted>2025-04-29T18:46:00Z</cp:lastPrinted>
  <dcterms:created xsi:type="dcterms:W3CDTF">2025-04-29T18:46:00Z</dcterms:created>
  <dcterms:modified xsi:type="dcterms:W3CDTF">2025-04-29T18:47:00Z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59204245a049e31aa669e9b766939e6c5980ee56ca49c251021077e60007e957</vt:lpwstr>
  </property>
</Properties>
</file>