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73548E25" w:rsidR="005004F6" w:rsidRPr="008E33A9" w:rsidRDefault="005004F6" w:rsidP="00AF0A2C">
            <w:pPr>
              <w:spacing w:before="120"/>
              <w:ind w:left="58"/>
              <w:rPr>
                <w:snapToGrid w:val="0"/>
                <w:kern w:val="22"/>
                <w:szCs w:val="22"/>
              </w:rPr>
            </w:pPr>
            <w:r w:rsidRPr="008E33A9">
              <w:rPr>
                <w:snapToGrid w:val="0"/>
                <w:kern w:val="22"/>
                <w:szCs w:val="22"/>
              </w:rPr>
              <w:t>CBD/</w:t>
            </w:r>
            <w:r w:rsidR="006F2A22">
              <w:rPr>
                <w:rFonts w:hint="eastAsia"/>
                <w:snapToGrid w:val="0"/>
                <w:kern w:val="22"/>
                <w:szCs w:val="22"/>
              </w:rPr>
              <w:t>COP</w:t>
            </w:r>
            <w:r w:rsidRPr="008E33A9">
              <w:rPr>
                <w:snapToGrid w:val="0"/>
                <w:kern w:val="22"/>
                <w:szCs w:val="22"/>
              </w:rPr>
              <w:t>/</w:t>
            </w:r>
            <w:r w:rsidR="006F2A22">
              <w:rPr>
                <w:snapToGrid w:val="0"/>
                <w:kern w:val="22"/>
                <w:szCs w:val="22"/>
              </w:rPr>
              <w:t>15</w:t>
            </w:r>
            <w:r w:rsidRPr="008E33A9">
              <w:rPr>
                <w:snapToGrid w:val="0"/>
                <w:kern w:val="22"/>
                <w:szCs w:val="22"/>
              </w:rPr>
              <w:t>/</w:t>
            </w:r>
            <w:r w:rsidR="00010282">
              <w:rPr>
                <w:snapToGrid w:val="0"/>
                <w:kern w:val="22"/>
                <w:szCs w:val="22"/>
              </w:rPr>
              <w:t>1</w:t>
            </w:r>
          </w:p>
          <w:p w14:paraId="22197F9F" w14:textId="1D812B7B" w:rsidR="005004F6" w:rsidRPr="00BC7905" w:rsidRDefault="00010282" w:rsidP="005004F6">
            <w:pPr>
              <w:ind w:left="58"/>
              <w:rPr>
                <w:snapToGrid w:val="0"/>
                <w:kern w:val="22"/>
              </w:rPr>
            </w:pPr>
            <w:r>
              <w:rPr>
                <w:kern w:val="22"/>
              </w:rPr>
              <w:t>8</w:t>
            </w:r>
            <w:r w:rsidR="006B7F56">
              <w:rPr>
                <w:kern w:val="22"/>
              </w:rPr>
              <w:t xml:space="preserve"> </w:t>
            </w:r>
            <w:r w:rsidR="006F2A22">
              <w:rPr>
                <w:rFonts w:hint="eastAsia"/>
                <w:kern w:val="22"/>
              </w:rPr>
              <w:t>April</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7EC3D4CE" w:rsidR="005004F6" w:rsidRPr="00F20A7C" w:rsidRDefault="006F2A22" w:rsidP="005004F6">
      <w:pPr>
        <w:pStyle w:val="meetingname"/>
        <w:ind w:right="4542"/>
        <w:rPr>
          <w:rFonts w:eastAsia="SimSun"/>
          <w:kern w:val="22"/>
          <w:sz w:val="24"/>
          <w:szCs w:val="24"/>
        </w:rPr>
      </w:pPr>
      <w:r>
        <w:rPr>
          <w:rFonts w:eastAsia="SimSun" w:hint="eastAsia"/>
          <w:kern w:val="22"/>
          <w:sz w:val="24"/>
          <w:szCs w:val="24"/>
        </w:rPr>
        <w:t>生物多样性公约缔约方大会</w:t>
      </w:r>
    </w:p>
    <w:p w14:paraId="7BFE7181" w14:textId="3FD61BF5" w:rsidR="005004F6" w:rsidRPr="00F20A7C" w:rsidRDefault="005004F6" w:rsidP="005004F6">
      <w:pPr>
        <w:ind w:right="4542"/>
        <w:rPr>
          <w:snapToGrid w:val="0"/>
          <w:kern w:val="22"/>
        </w:rPr>
      </w:pPr>
      <w:r w:rsidRPr="00F20A7C">
        <w:rPr>
          <w:lang w:val="zh-CN"/>
        </w:rPr>
        <w:t>第</w:t>
      </w:r>
      <w:r w:rsidR="006F2A22">
        <w:rPr>
          <w:rFonts w:hint="eastAsia"/>
          <w:lang w:val="zh-CN"/>
        </w:rPr>
        <w:t>十五届</w:t>
      </w:r>
      <w:r w:rsidRPr="00F20A7C">
        <w:rPr>
          <w:lang w:val="zh-CN"/>
        </w:rPr>
        <w:t>会议</w:t>
      </w:r>
    </w:p>
    <w:p w14:paraId="6B55551A" w14:textId="45F5F434" w:rsidR="005004F6" w:rsidRPr="00F20A7C"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Pr>
          <w:snapToGrid w:val="0"/>
          <w:kern w:val="22"/>
        </w:rPr>
        <w:t>24</w:t>
      </w:r>
      <w:r>
        <w:rPr>
          <w:rFonts w:hint="eastAsia"/>
          <w:snapToGrid w:val="0"/>
          <w:kern w:val="22"/>
        </w:rPr>
        <w:t>日，中国昆明</w:t>
      </w:r>
    </w:p>
    <w:p w14:paraId="1F390273" w14:textId="7C12B62D" w:rsidR="007125AB" w:rsidRDefault="007125AB"/>
    <w:p w14:paraId="094B5598" w14:textId="7AC4ADC6" w:rsidR="001A4D60" w:rsidRDefault="00010282" w:rsidP="00613941">
      <w:pPr>
        <w:adjustRightInd w:val="0"/>
        <w:snapToGrid w:val="0"/>
        <w:spacing w:before="120" w:after="120" w:line="240" w:lineRule="atLeast"/>
        <w:jc w:val="center"/>
        <w:rPr>
          <w:rFonts w:eastAsia="SimHei"/>
          <w:sz w:val="28"/>
          <w:szCs w:val="28"/>
        </w:rPr>
      </w:pPr>
      <w:r>
        <w:rPr>
          <w:rFonts w:eastAsia="SimHei" w:hint="eastAsia"/>
          <w:sz w:val="28"/>
          <w:szCs w:val="28"/>
        </w:rPr>
        <w:t>临时议程</w:t>
      </w:r>
    </w:p>
    <w:p w14:paraId="148D8A23" w14:textId="7F136EEA" w:rsidR="00010282" w:rsidRPr="00FD0983" w:rsidRDefault="00010282" w:rsidP="00F56FA9">
      <w:pPr>
        <w:pStyle w:val="ListParagraph"/>
        <w:numPr>
          <w:ilvl w:val="0"/>
          <w:numId w:val="24"/>
        </w:numPr>
        <w:adjustRightInd w:val="0"/>
        <w:snapToGrid w:val="0"/>
        <w:spacing w:before="360" w:after="120" w:line="240" w:lineRule="atLeast"/>
        <w:ind w:left="0" w:firstLine="0"/>
        <w:jc w:val="center"/>
        <w:rPr>
          <w:b/>
          <w:bCs/>
          <w:sz w:val="24"/>
          <w:szCs w:val="24"/>
        </w:rPr>
      </w:pPr>
      <w:r w:rsidRPr="00FD0983">
        <w:rPr>
          <w:rFonts w:hint="eastAsia"/>
          <w:b/>
          <w:bCs/>
          <w:sz w:val="24"/>
          <w:szCs w:val="24"/>
        </w:rPr>
        <w:t>组织事项</w:t>
      </w:r>
    </w:p>
    <w:p w14:paraId="3F30D2D4" w14:textId="39D06BD3"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会议开幕。</w:t>
      </w:r>
    </w:p>
    <w:p w14:paraId="0BC55F96" w14:textId="72660461"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组织事项。</w:t>
      </w:r>
    </w:p>
    <w:p w14:paraId="4EC2F02D" w14:textId="23755D68"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关于缔约方大会第十五届会议代表</w:t>
      </w:r>
      <w:r w:rsidR="003828E3">
        <w:rPr>
          <w:rFonts w:hint="eastAsia"/>
          <w:sz w:val="24"/>
          <w:szCs w:val="24"/>
        </w:rPr>
        <w:t>的</w:t>
      </w:r>
      <w:r w:rsidRPr="00BF277C">
        <w:rPr>
          <w:rFonts w:hint="eastAsia"/>
          <w:sz w:val="24"/>
          <w:szCs w:val="24"/>
        </w:rPr>
        <w:t>全权证书的报告。</w:t>
      </w:r>
    </w:p>
    <w:p w14:paraId="0C67CF9F" w14:textId="1865282A" w:rsidR="00010282" w:rsidRPr="00BF277C" w:rsidRDefault="00010282"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未决问题。</w:t>
      </w:r>
    </w:p>
    <w:p w14:paraId="7BC29FD5" w14:textId="31A7FBAB" w:rsidR="00010282" w:rsidRPr="00BF277C"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BF277C">
        <w:rPr>
          <w:rFonts w:hint="eastAsia"/>
          <w:sz w:val="24"/>
          <w:szCs w:val="24"/>
        </w:rPr>
        <w:t>缔约方大会</w:t>
      </w:r>
      <w:r w:rsidR="003828E3">
        <w:rPr>
          <w:rFonts w:hint="eastAsia"/>
          <w:sz w:val="24"/>
          <w:szCs w:val="24"/>
        </w:rPr>
        <w:t>今后</w:t>
      </w:r>
      <w:r w:rsidRPr="00BF277C">
        <w:rPr>
          <w:rFonts w:hint="eastAsia"/>
          <w:sz w:val="24"/>
          <w:szCs w:val="24"/>
        </w:rPr>
        <w:t>会议的日期和地点。</w:t>
      </w:r>
    </w:p>
    <w:p w14:paraId="7454AE97" w14:textId="18686C13" w:rsidR="00FD0983" w:rsidRDefault="00FD0983" w:rsidP="00F56FA9">
      <w:pPr>
        <w:pStyle w:val="ListParagraph"/>
        <w:numPr>
          <w:ilvl w:val="0"/>
          <w:numId w:val="24"/>
        </w:numPr>
        <w:adjustRightInd w:val="0"/>
        <w:snapToGrid w:val="0"/>
        <w:spacing w:before="240" w:after="120" w:line="240" w:lineRule="atLeast"/>
        <w:ind w:left="0" w:firstLine="0"/>
        <w:jc w:val="center"/>
        <w:rPr>
          <w:b/>
          <w:bCs/>
          <w:sz w:val="24"/>
          <w:szCs w:val="24"/>
        </w:rPr>
      </w:pPr>
      <w:r w:rsidRPr="00FD0983">
        <w:rPr>
          <w:b/>
          <w:bCs/>
          <w:sz w:val="24"/>
          <w:szCs w:val="24"/>
        </w:rPr>
        <w:t xml:space="preserve"> </w:t>
      </w:r>
      <w:r w:rsidRPr="00FD0983">
        <w:rPr>
          <w:rFonts w:hint="eastAsia"/>
          <w:b/>
          <w:bCs/>
          <w:sz w:val="24"/>
          <w:szCs w:val="24"/>
        </w:rPr>
        <w:t>报告</w:t>
      </w:r>
    </w:p>
    <w:p w14:paraId="7906CEBE" w14:textId="146E8DFD"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闭会期间</w:t>
      </w:r>
      <w:r w:rsidR="003828E3">
        <w:rPr>
          <w:rFonts w:hint="eastAsia"/>
          <w:sz w:val="24"/>
          <w:szCs w:val="24"/>
        </w:rPr>
        <w:t>会议</w:t>
      </w:r>
      <w:r w:rsidRPr="00FD0983">
        <w:rPr>
          <w:rFonts w:hint="eastAsia"/>
          <w:sz w:val="24"/>
          <w:szCs w:val="24"/>
        </w:rPr>
        <w:t>和区域筹备会议的报告。</w:t>
      </w:r>
    </w:p>
    <w:p w14:paraId="3DDD11B3" w14:textId="43F93A0E" w:rsidR="00FD0983" w:rsidRDefault="00FD0983" w:rsidP="00F56FA9">
      <w:pPr>
        <w:pStyle w:val="ListParagraph"/>
        <w:numPr>
          <w:ilvl w:val="0"/>
          <w:numId w:val="24"/>
        </w:numPr>
        <w:adjustRightInd w:val="0"/>
        <w:snapToGrid w:val="0"/>
        <w:spacing w:before="240" w:after="120" w:line="240" w:lineRule="atLeast"/>
        <w:ind w:left="0" w:firstLine="0"/>
        <w:jc w:val="center"/>
        <w:rPr>
          <w:b/>
          <w:bCs/>
          <w:sz w:val="24"/>
          <w:szCs w:val="24"/>
        </w:rPr>
      </w:pPr>
      <w:r w:rsidRPr="00FD0983">
        <w:rPr>
          <w:rFonts w:hint="eastAsia"/>
          <w:b/>
          <w:bCs/>
          <w:sz w:val="24"/>
          <w:szCs w:val="24"/>
        </w:rPr>
        <w:t>行政和预算</w:t>
      </w:r>
    </w:p>
    <w:p w14:paraId="4B350E37" w14:textId="7049E598"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《公约》的</w:t>
      </w:r>
      <w:r w:rsidR="003828E3">
        <w:rPr>
          <w:rFonts w:hint="eastAsia"/>
          <w:sz w:val="24"/>
          <w:szCs w:val="24"/>
        </w:rPr>
        <w:t>行政</w:t>
      </w:r>
      <w:r w:rsidRPr="00FD0983">
        <w:rPr>
          <w:rFonts w:hint="eastAsia"/>
          <w:sz w:val="24"/>
          <w:szCs w:val="24"/>
        </w:rPr>
        <w:t>管理和信托基金的预算。</w:t>
      </w:r>
    </w:p>
    <w:p w14:paraId="0E408E68" w14:textId="73F556B7" w:rsidR="00FD0983" w:rsidRPr="00FD0983" w:rsidRDefault="00FD0983" w:rsidP="00F56FA9">
      <w:pPr>
        <w:pStyle w:val="ListParagraph"/>
        <w:numPr>
          <w:ilvl w:val="0"/>
          <w:numId w:val="24"/>
        </w:numPr>
        <w:adjustRightInd w:val="0"/>
        <w:snapToGrid w:val="0"/>
        <w:spacing w:before="240" w:after="120" w:line="240" w:lineRule="atLeast"/>
        <w:ind w:left="0" w:firstLine="0"/>
        <w:jc w:val="center"/>
        <w:rPr>
          <w:b/>
          <w:bCs/>
          <w:sz w:val="24"/>
          <w:szCs w:val="24"/>
        </w:rPr>
      </w:pPr>
      <w:r>
        <w:rPr>
          <w:rFonts w:hint="eastAsia"/>
          <w:b/>
          <w:bCs/>
          <w:sz w:val="24"/>
          <w:szCs w:val="24"/>
        </w:rPr>
        <w:t>审查</w:t>
      </w:r>
      <w:r w:rsidRPr="00FD0983">
        <w:rPr>
          <w:rFonts w:hint="eastAsia"/>
          <w:b/>
          <w:bCs/>
          <w:sz w:val="24"/>
          <w:szCs w:val="24"/>
        </w:rPr>
        <w:t>执行情况</w:t>
      </w:r>
    </w:p>
    <w:p w14:paraId="0C7B6A69" w14:textId="38CB2210" w:rsidR="00FD0983" w:rsidRPr="00BF277C" w:rsidRDefault="00FD0983" w:rsidP="00EA0C4F">
      <w:pPr>
        <w:pStyle w:val="ListParagraph"/>
        <w:numPr>
          <w:ilvl w:val="0"/>
          <w:numId w:val="25"/>
        </w:numPr>
        <w:adjustRightInd w:val="0"/>
        <w:snapToGrid w:val="0"/>
        <w:spacing w:before="120" w:after="120" w:line="240" w:lineRule="atLeast"/>
        <w:ind w:left="490" w:hanging="490"/>
        <w:rPr>
          <w:sz w:val="24"/>
          <w:szCs w:val="24"/>
        </w:rPr>
      </w:pPr>
      <w:r w:rsidRPr="00BF277C">
        <w:rPr>
          <w:rFonts w:hint="eastAsia"/>
          <w:sz w:val="24"/>
          <w:szCs w:val="24"/>
        </w:rPr>
        <w:t>审查</w:t>
      </w:r>
      <w:r w:rsidR="006C0EBA">
        <w:rPr>
          <w:rFonts w:hint="eastAsia"/>
          <w:sz w:val="24"/>
          <w:szCs w:val="24"/>
        </w:rPr>
        <w:t>执行</w:t>
      </w:r>
      <w:r w:rsidRPr="00BF277C">
        <w:rPr>
          <w:rFonts w:hint="eastAsia"/>
          <w:sz w:val="24"/>
          <w:szCs w:val="24"/>
        </w:rPr>
        <w:t>《公约》和《</w:t>
      </w:r>
      <w:r w:rsidRPr="00BF277C">
        <w:rPr>
          <w:rFonts w:hint="eastAsia"/>
          <w:sz w:val="24"/>
          <w:szCs w:val="24"/>
        </w:rPr>
        <w:t>2011-2020</w:t>
      </w:r>
      <w:r w:rsidRPr="00BF277C">
        <w:rPr>
          <w:rFonts w:hint="eastAsia"/>
          <w:sz w:val="24"/>
          <w:szCs w:val="24"/>
        </w:rPr>
        <w:t>年生物多样性战略计划》以及</w:t>
      </w:r>
      <w:r w:rsidR="006C0EBA">
        <w:rPr>
          <w:rFonts w:hint="eastAsia"/>
          <w:sz w:val="24"/>
          <w:szCs w:val="24"/>
        </w:rPr>
        <w:t>实现</w:t>
      </w:r>
      <w:r w:rsidRPr="00BF277C">
        <w:rPr>
          <w:rFonts w:hint="eastAsia"/>
          <w:sz w:val="24"/>
          <w:szCs w:val="24"/>
        </w:rPr>
        <w:t>爱知生物多样性目标的</w:t>
      </w:r>
      <w:r w:rsidR="006C0EBA">
        <w:rPr>
          <w:rFonts w:hint="eastAsia"/>
          <w:sz w:val="24"/>
          <w:szCs w:val="24"/>
        </w:rPr>
        <w:t>进展</w:t>
      </w:r>
      <w:r w:rsidRPr="00BF277C">
        <w:rPr>
          <w:rFonts w:hint="eastAsia"/>
          <w:sz w:val="24"/>
          <w:szCs w:val="24"/>
        </w:rPr>
        <w:t>情况</w:t>
      </w:r>
      <w:r w:rsidR="003828E3">
        <w:rPr>
          <w:rFonts w:hint="eastAsia"/>
          <w:sz w:val="24"/>
          <w:szCs w:val="24"/>
        </w:rPr>
        <w:t>。</w:t>
      </w:r>
    </w:p>
    <w:p w14:paraId="75ADF554" w14:textId="63E6953B" w:rsidR="00FD0983" w:rsidRPr="00BF277C" w:rsidRDefault="00FD0983" w:rsidP="00BF277C">
      <w:pPr>
        <w:pStyle w:val="ListParagraph"/>
        <w:numPr>
          <w:ilvl w:val="0"/>
          <w:numId w:val="24"/>
        </w:numPr>
        <w:adjustRightInd w:val="0"/>
        <w:snapToGrid w:val="0"/>
        <w:spacing w:before="120" w:after="120" w:line="240" w:lineRule="atLeast"/>
        <w:ind w:left="0" w:firstLine="0"/>
        <w:jc w:val="center"/>
        <w:rPr>
          <w:b/>
          <w:bCs/>
          <w:sz w:val="24"/>
          <w:szCs w:val="24"/>
        </w:rPr>
      </w:pPr>
      <w:r w:rsidRPr="00BF277C">
        <w:rPr>
          <w:rFonts w:hint="eastAsia"/>
          <w:b/>
          <w:bCs/>
          <w:sz w:val="24"/>
          <w:szCs w:val="24"/>
        </w:rPr>
        <w:t>2020</w:t>
      </w:r>
      <w:r w:rsidRPr="00BF277C">
        <w:rPr>
          <w:rFonts w:hint="eastAsia"/>
          <w:b/>
          <w:bCs/>
          <w:sz w:val="24"/>
          <w:szCs w:val="24"/>
        </w:rPr>
        <w:t>年后全球生物多样性框架、相关事项和加强执行</w:t>
      </w:r>
      <w:r w:rsidR="006C0EBA">
        <w:rPr>
          <w:rFonts w:hint="eastAsia"/>
          <w:b/>
          <w:bCs/>
          <w:sz w:val="24"/>
          <w:szCs w:val="24"/>
        </w:rPr>
        <w:t>的</w:t>
      </w:r>
      <w:r w:rsidRPr="00BF277C">
        <w:rPr>
          <w:rFonts w:hint="eastAsia"/>
          <w:b/>
          <w:bCs/>
          <w:sz w:val="24"/>
          <w:szCs w:val="24"/>
        </w:rPr>
        <w:t>机制</w:t>
      </w:r>
    </w:p>
    <w:p w14:paraId="2DA97C09" w14:textId="08EE663C"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2020</w:t>
      </w:r>
      <w:r w:rsidRPr="00FD0983">
        <w:rPr>
          <w:rFonts w:hint="eastAsia"/>
          <w:sz w:val="24"/>
          <w:szCs w:val="24"/>
        </w:rPr>
        <w:t>年后全球生物多样性框架。</w:t>
      </w:r>
    </w:p>
    <w:p w14:paraId="5A081F56" w14:textId="4502F5D0"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加强</w:t>
      </w:r>
      <w:r w:rsidR="00EA0C4F">
        <w:rPr>
          <w:rFonts w:hint="eastAsia"/>
          <w:sz w:val="24"/>
          <w:szCs w:val="24"/>
        </w:rPr>
        <w:t>纳入</w:t>
      </w:r>
      <w:r w:rsidRPr="00FD0983">
        <w:rPr>
          <w:rFonts w:hint="eastAsia"/>
          <w:sz w:val="24"/>
          <w:szCs w:val="24"/>
        </w:rPr>
        <w:t>第</w:t>
      </w:r>
      <w:r w:rsidR="003828E3">
        <w:rPr>
          <w:rFonts w:hint="eastAsia"/>
          <w:sz w:val="24"/>
          <w:szCs w:val="24"/>
        </w:rPr>
        <w:t>8</w:t>
      </w:r>
      <w:r w:rsidR="00676959">
        <w:rPr>
          <w:rFonts w:hint="eastAsia"/>
          <w:sz w:val="24"/>
          <w:szCs w:val="24"/>
        </w:rPr>
        <w:t>（</w:t>
      </w:r>
      <w:r w:rsidRPr="00FD0983">
        <w:rPr>
          <w:rFonts w:hint="eastAsia"/>
          <w:sz w:val="24"/>
          <w:szCs w:val="24"/>
        </w:rPr>
        <w:t>j</w:t>
      </w:r>
      <w:r w:rsidR="00676959">
        <w:rPr>
          <w:rFonts w:hint="eastAsia"/>
          <w:sz w:val="24"/>
          <w:szCs w:val="24"/>
        </w:rPr>
        <w:t>）</w:t>
      </w:r>
      <w:r w:rsidR="00BF277C">
        <w:rPr>
          <w:rFonts w:hint="eastAsia"/>
          <w:sz w:val="24"/>
          <w:szCs w:val="24"/>
        </w:rPr>
        <w:t>条</w:t>
      </w:r>
      <w:r w:rsidR="003828E3">
        <w:rPr>
          <w:rFonts w:hint="eastAsia"/>
          <w:sz w:val="24"/>
          <w:szCs w:val="24"/>
        </w:rPr>
        <w:t>和</w:t>
      </w:r>
      <w:r w:rsidRPr="00FD0983">
        <w:rPr>
          <w:rFonts w:hint="eastAsia"/>
          <w:sz w:val="24"/>
          <w:szCs w:val="24"/>
        </w:rPr>
        <w:t>相</w:t>
      </w:r>
      <w:r w:rsidRPr="003828E3">
        <w:rPr>
          <w:rFonts w:hint="eastAsia"/>
          <w:sz w:val="24"/>
          <w:szCs w:val="24"/>
        </w:rPr>
        <w:t>关</w:t>
      </w:r>
      <w:r w:rsidR="00BF277C" w:rsidRPr="003828E3">
        <w:rPr>
          <w:rFonts w:hint="eastAsia"/>
          <w:sz w:val="24"/>
          <w:szCs w:val="24"/>
        </w:rPr>
        <w:t>条款</w:t>
      </w:r>
      <w:r w:rsidR="003828E3">
        <w:rPr>
          <w:rFonts w:hint="eastAsia"/>
          <w:sz w:val="24"/>
          <w:szCs w:val="24"/>
        </w:rPr>
        <w:t>。</w:t>
      </w:r>
    </w:p>
    <w:p w14:paraId="04A71DAF" w14:textId="1874EBCF"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遗传资源数字序列信息。</w:t>
      </w:r>
    </w:p>
    <w:p w14:paraId="1A2A6438" w14:textId="1C415EEC"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资源调动和财务机制。</w:t>
      </w:r>
    </w:p>
    <w:p w14:paraId="6753812C" w14:textId="048247B2"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能力建设、</w:t>
      </w:r>
      <w:r w:rsidR="00BF277C">
        <w:rPr>
          <w:rFonts w:hint="eastAsia"/>
          <w:sz w:val="24"/>
          <w:szCs w:val="24"/>
        </w:rPr>
        <w:t>科技</w:t>
      </w:r>
      <w:r w:rsidRPr="00FD0983">
        <w:rPr>
          <w:rFonts w:hint="eastAsia"/>
          <w:sz w:val="24"/>
          <w:szCs w:val="24"/>
        </w:rPr>
        <w:t>合作、知识管理和</w:t>
      </w:r>
      <w:r w:rsidR="003828E3">
        <w:rPr>
          <w:rFonts w:hint="eastAsia"/>
          <w:sz w:val="24"/>
          <w:szCs w:val="24"/>
        </w:rPr>
        <w:t>传播</w:t>
      </w:r>
      <w:r w:rsidRPr="00FD0983">
        <w:rPr>
          <w:rFonts w:hint="eastAsia"/>
          <w:sz w:val="24"/>
          <w:szCs w:val="24"/>
        </w:rPr>
        <w:t>。</w:t>
      </w:r>
    </w:p>
    <w:p w14:paraId="098F641B" w14:textId="05E453F4"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lastRenderedPageBreak/>
        <w:t>规划、监测、报告和审查机制。</w:t>
      </w:r>
    </w:p>
    <w:p w14:paraId="5D002198" w14:textId="2578627E"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与其他公约和国际组织的合作。</w:t>
      </w:r>
    </w:p>
    <w:p w14:paraId="6915B07D" w14:textId="77BD4C6D"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将生物多样性纳入部门和</w:t>
      </w:r>
      <w:r w:rsidR="003828E3">
        <w:rPr>
          <w:rFonts w:hint="eastAsia"/>
          <w:sz w:val="24"/>
          <w:szCs w:val="24"/>
        </w:rPr>
        <w:t>跨</w:t>
      </w:r>
      <w:r w:rsidRPr="00FD0983">
        <w:rPr>
          <w:rFonts w:hint="eastAsia"/>
          <w:sz w:val="24"/>
          <w:szCs w:val="24"/>
        </w:rPr>
        <w:t>部门主流。</w:t>
      </w:r>
    </w:p>
    <w:p w14:paraId="00209750" w14:textId="306EE3E9"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审查《公约》及其议定书下</w:t>
      </w:r>
      <w:r w:rsidR="003828E3">
        <w:rPr>
          <w:rFonts w:hint="eastAsia"/>
          <w:sz w:val="24"/>
          <w:szCs w:val="24"/>
        </w:rPr>
        <w:t>各</w:t>
      </w:r>
      <w:r w:rsidRPr="00FD0983">
        <w:rPr>
          <w:rFonts w:hint="eastAsia"/>
          <w:sz w:val="24"/>
          <w:szCs w:val="24"/>
        </w:rPr>
        <w:t>进程的</w:t>
      </w:r>
      <w:r w:rsidR="003828E3">
        <w:rPr>
          <w:rFonts w:hint="eastAsia"/>
          <w:sz w:val="24"/>
          <w:szCs w:val="24"/>
        </w:rPr>
        <w:t>成效</w:t>
      </w:r>
      <w:r w:rsidRPr="00FD0983">
        <w:rPr>
          <w:rFonts w:hint="eastAsia"/>
          <w:sz w:val="24"/>
          <w:szCs w:val="24"/>
        </w:rPr>
        <w:t>。</w:t>
      </w:r>
    </w:p>
    <w:p w14:paraId="7D597AC0" w14:textId="21954159"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缔约方</w:t>
      </w:r>
      <w:r w:rsidR="00E932CE">
        <w:rPr>
          <w:rFonts w:hint="eastAsia"/>
          <w:sz w:val="24"/>
          <w:szCs w:val="24"/>
        </w:rPr>
        <w:t>大会</w:t>
      </w:r>
      <w:r w:rsidRPr="00FD0983">
        <w:rPr>
          <w:rFonts w:hint="eastAsia"/>
          <w:sz w:val="24"/>
          <w:szCs w:val="24"/>
        </w:rPr>
        <w:t>多年</w:t>
      </w:r>
      <w:r w:rsidR="00E932CE">
        <w:rPr>
          <w:rFonts w:hint="eastAsia"/>
          <w:sz w:val="24"/>
          <w:szCs w:val="24"/>
        </w:rPr>
        <w:t>期</w:t>
      </w:r>
      <w:r w:rsidRPr="00FD0983">
        <w:rPr>
          <w:rFonts w:hint="eastAsia"/>
          <w:sz w:val="24"/>
          <w:szCs w:val="24"/>
        </w:rPr>
        <w:t>工作方案。</w:t>
      </w:r>
    </w:p>
    <w:p w14:paraId="6CC71BC6" w14:textId="6B9BAA40" w:rsidR="00FD0983" w:rsidRPr="00E932CE" w:rsidRDefault="00E932CE" w:rsidP="00F56FA9">
      <w:pPr>
        <w:pStyle w:val="ListParagraph"/>
        <w:numPr>
          <w:ilvl w:val="0"/>
          <w:numId w:val="24"/>
        </w:numPr>
        <w:adjustRightInd w:val="0"/>
        <w:snapToGrid w:val="0"/>
        <w:spacing w:before="240" w:after="120" w:line="240" w:lineRule="atLeast"/>
        <w:ind w:left="0" w:firstLine="0"/>
        <w:jc w:val="center"/>
        <w:rPr>
          <w:b/>
          <w:bCs/>
          <w:sz w:val="24"/>
          <w:szCs w:val="24"/>
        </w:rPr>
      </w:pPr>
      <w:r w:rsidRPr="00F56FA9">
        <w:rPr>
          <w:rFonts w:hint="eastAsia"/>
          <w:b/>
          <w:bCs/>
          <w:sz w:val="24"/>
          <w:szCs w:val="24"/>
        </w:rPr>
        <w:t>其他</w:t>
      </w:r>
      <w:r w:rsidR="00FD0983" w:rsidRPr="00E932CE">
        <w:rPr>
          <w:rFonts w:hint="eastAsia"/>
          <w:b/>
          <w:bCs/>
          <w:sz w:val="24"/>
          <w:szCs w:val="24"/>
        </w:rPr>
        <w:t>技术问题</w:t>
      </w:r>
    </w:p>
    <w:p w14:paraId="2D81651B" w14:textId="19D70A60"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保护区和其他有效</w:t>
      </w:r>
      <w:r w:rsidR="00E932CE">
        <w:rPr>
          <w:rFonts w:hint="eastAsia"/>
          <w:sz w:val="24"/>
          <w:szCs w:val="24"/>
        </w:rPr>
        <w:t>地区</w:t>
      </w:r>
      <w:r w:rsidRPr="00FD0983">
        <w:rPr>
          <w:rFonts w:hint="eastAsia"/>
          <w:sz w:val="24"/>
          <w:szCs w:val="24"/>
        </w:rPr>
        <w:t>保护措施。</w:t>
      </w:r>
    </w:p>
    <w:p w14:paraId="58107F1E" w14:textId="2A175847"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海洋和沿海生物多样性。</w:t>
      </w:r>
    </w:p>
    <w:p w14:paraId="0BE99897" w14:textId="640AA5DE"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外来入侵物种。</w:t>
      </w:r>
    </w:p>
    <w:p w14:paraId="1B8F818B" w14:textId="47422562"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可持续野生动物管理。</w:t>
      </w:r>
    </w:p>
    <w:p w14:paraId="6B697D2C" w14:textId="70A17758"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生物多样性和气候变化。</w:t>
      </w:r>
    </w:p>
    <w:p w14:paraId="48F3EC5B" w14:textId="30E075AF"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生物多样性和农业。</w:t>
      </w:r>
    </w:p>
    <w:p w14:paraId="50BF4423" w14:textId="36C6883A"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生物多样性和健康。</w:t>
      </w:r>
    </w:p>
    <w:p w14:paraId="54A5CDD4" w14:textId="72384879"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自然和文化。</w:t>
      </w:r>
    </w:p>
    <w:p w14:paraId="77D6130E" w14:textId="0CC2DB1B"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合成生物学。</w:t>
      </w:r>
    </w:p>
    <w:p w14:paraId="6AA60681" w14:textId="1C4CEC50" w:rsidR="00FD0983" w:rsidRPr="00E932CE" w:rsidRDefault="009B1548" w:rsidP="00F56FA9">
      <w:pPr>
        <w:pStyle w:val="ListParagraph"/>
        <w:adjustRightInd w:val="0"/>
        <w:snapToGrid w:val="0"/>
        <w:spacing w:before="240" w:after="120" w:line="240" w:lineRule="atLeast"/>
        <w:ind w:left="0"/>
        <w:jc w:val="center"/>
        <w:rPr>
          <w:b/>
          <w:bCs/>
          <w:sz w:val="24"/>
          <w:szCs w:val="24"/>
        </w:rPr>
      </w:pPr>
      <w:r>
        <w:rPr>
          <w:rFonts w:hint="eastAsia"/>
          <w:b/>
          <w:bCs/>
          <w:sz w:val="24"/>
          <w:szCs w:val="24"/>
        </w:rPr>
        <w:t>七</w:t>
      </w:r>
      <w:r w:rsidR="00E932CE">
        <w:rPr>
          <w:rFonts w:hint="eastAsia"/>
          <w:b/>
          <w:bCs/>
          <w:sz w:val="24"/>
          <w:szCs w:val="24"/>
        </w:rPr>
        <w:t>.</w:t>
      </w:r>
      <w:r w:rsidR="00E932CE">
        <w:rPr>
          <w:b/>
          <w:bCs/>
          <w:sz w:val="24"/>
          <w:szCs w:val="24"/>
        </w:rPr>
        <w:t xml:space="preserve">  </w:t>
      </w:r>
      <w:r w:rsidR="00F56FA9">
        <w:rPr>
          <w:b/>
          <w:bCs/>
          <w:sz w:val="24"/>
          <w:szCs w:val="24"/>
        </w:rPr>
        <w:t xml:space="preserve"> </w:t>
      </w:r>
      <w:r w:rsidR="00FD0983" w:rsidRPr="00E932CE">
        <w:rPr>
          <w:rFonts w:hint="eastAsia"/>
          <w:b/>
          <w:bCs/>
          <w:sz w:val="24"/>
          <w:szCs w:val="24"/>
        </w:rPr>
        <w:t>最</w:t>
      </w:r>
      <w:r w:rsidR="00E932CE">
        <w:rPr>
          <w:rFonts w:hint="eastAsia"/>
          <w:b/>
          <w:bCs/>
          <w:sz w:val="24"/>
          <w:szCs w:val="24"/>
        </w:rPr>
        <w:t>后事项</w:t>
      </w:r>
    </w:p>
    <w:p w14:paraId="7E547DF8" w14:textId="3ABE00F5"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其他事项。</w:t>
      </w:r>
    </w:p>
    <w:p w14:paraId="0A717DA5" w14:textId="22FD308E"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通过报告。</w:t>
      </w:r>
    </w:p>
    <w:p w14:paraId="0490EDDD" w14:textId="374AE1E0" w:rsidR="00FD0983" w:rsidRPr="00FD0983" w:rsidRDefault="00FD0983" w:rsidP="00BF277C">
      <w:pPr>
        <w:pStyle w:val="ListParagraph"/>
        <w:numPr>
          <w:ilvl w:val="0"/>
          <w:numId w:val="25"/>
        </w:numPr>
        <w:adjustRightInd w:val="0"/>
        <w:snapToGrid w:val="0"/>
        <w:spacing w:before="120" w:after="120" w:line="240" w:lineRule="atLeast"/>
        <w:ind w:left="0" w:firstLine="0"/>
        <w:rPr>
          <w:sz w:val="24"/>
          <w:szCs w:val="24"/>
        </w:rPr>
      </w:pPr>
      <w:r w:rsidRPr="00FD0983">
        <w:rPr>
          <w:rFonts w:hint="eastAsia"/>
          <w:sz w:val="24"/>
          <w:szCs w:val="24"/>
        </w:rPr>
        <w:t>会议闭幕。</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C204" w14:textId="77777777" w:rsidR="001600AB" w:rsidRDefault="001600AB" w:rsidP="008A3A19">
      <w:r>
        <w:separator/>
      </w:r>
    </w:p>
  </w:endnote>
  <w:endnote w:type="continuationSeparator" w:id="0">
    <w:p w14:paraId="6F2C5BA6" w14:textId="77777777" w:rsidR="001600AB" w:rsidRDefault="001600AB"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D015" w14:textId="77777777" w:rsidR="001600AB" w:rsidRDefault="001600AB" w:rsidP="008A3A19">
      <w:r>
        <w:separator/>
      </w:r>
    </w:p>
  </w:footnote>
  <w:footnote w:type="continuationSeparator" w:id="0">
    <w:p w14:paraId="231EEBDC" w14:textId="77777777" w:rsidR="001600AB" w:rsidRDefault="001600AB"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01BB925A" w:rsidR="00613941" w:rsidRPr="008E33A9" w:rsidRDefault="00613941" w:rsidP="00613941">
    <w:pPr>
      <w:spacing w:before="120"/>
      <w:rPr>
        <w:snapToGrid w:val="0"/>
        <w:kern w:val="22"/>
        <w:szCs w:val="22"/>
      </w:rPr>
    </w:pPr>
    <w:r w:rsidRPr="008E33A9">
      <w:rPr>
        <w:snapToGrid w:val="0"/>
        <w:kern w:val="22"/>
        <w:szCs w:val="22"/>
      </w:rPr>
      <w:t>CBD/</w:t>
    </w:r>
    <w:r w:rsidR="00253807">
      <w:rPr>
        <w:rFonts w:hint="eastAsia"/>
        <w:snapToGrid w:val="0"/>
        <w:kern w:val="22"/>
        <w:szCs w:val="22"/>
      </w:rPr>
      <w:t>COP</w:t>
    </w:r>
    <w:r w:rsidR="00253807" w:rsidRPr="008E33A9">
      <w:rPr>
        <w:snapToGrid w:val="0"/>
        <w:kern w:val="22"/>
        <w:szCs w:val="22"/>
      </w:rPr>
      <w:t>/</w:t>
    </w:r>
    <w:r w:rsidR="00253807">
      <w:rPr>
        <w:snapToGrid w:val="0"/>
        <w:kern w:val="22"/>
        <w:szCs w:val="22"/>
      </w:rPr>
      <w:t>15</w:t>
    </w:r>
    <w:r w:rsidR="00253807" w:rsidRPr="008E33A9">
      <w:rPr>
        <w:snapToGrid w:val="0"/>
        <w:kern w:val="22"/>
        <w:szCs w:val="22"/>
      </w:rPr>
      <w:t>/</w:t>
    </w:r>
    <w:r w:rsidR="00253807">
      <w:rPr>
        <w:snapToGrid w:val="0"/>
        <w:kern w:val="22"/>
        <w:szCs w:val="22"/>
      </w:rPr>
      <w:t>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21"/>
  </w:num>
  <w:num w:numId="5">
    <w:abstractNumId w:val="3"/>
  </w:num>
  <w:num w:numId="6">
    <w:abstractNumId w:val="9"/>
  </w:num>
  <w:num w:numId="7">
    <w:abstractNumId w:val="11"/>
  </w:num>
  <w:num w:numId="8">
    <w:abstractNumId w:val="8"/>
  </w:num>
  <w:num w:numId="9">
    <w:abstractNumId w:val="23"/>
  </w:num>
  <w:num w:numId="10">
    <w:abstractNumId w:val="6"/>
  </w:num>
  <w:num w:numId="11">
    <w:abstractNumId w:val="20"/>
  </w:num>
  <w:num w:numId="12">
    <w:abstractNumId w:val="4"/>
  </w:num>
  <w:num w:numId="13">
    <w:abstractNumId w:val="7"/>
  </w:num>
  <w:num w:numId="14">
    <w:abstractNumId w:val="10"/>
  </w:num>
  <w:num w:numId="15">
    <w:abstractNumId w:val="24"/>
  </w:num>
  <w:num w:numId="16">
    <w:abstractNumId w:val="17"/>
  </w:num>
  <w:num w:numId="17">
    <w:abstractNumId w:val="2"/>
  </w:num>
  <w:num w:numId="18">
    <w:abstractNumId w:val="15"/>
  </w:num>
  <w:num w:numId="19">
    <w:abstractNumId w:val="16"/>
  </w:num>
  <w:num w:numId="20">
    <w:abstractNumId w:val="22"/>
  </w:num>
  <w:num w:numId="21">
    <w:abstractNumId w:val="14"/>
  </w:num>
  <w:num w:numId="22">
    <w:abstractNumId w:val="1"/>
  </w:num>
  <w:num w:numId="23">
    <w:abstractNumId w:val="5"/>
  </w:num>
  <w:num w:numId="24">
    <w:abstractNumId w:val="18"/>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32CE"/>
    <w:rsid w:val="00E95A1A"/>
    <w:rsid w:val="00E96B97"/>
    <w:rsid w:val="00EA0C4F"/>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7</cp:revision>
  <cp:lastPrinted>2021-04-12T00:36:00Z</cp:lastPrinted>
  <dcterms:created xsi:type="dcterms:W3CDTF">2021-04-10T19:14:00Z</dcterms:created>
  <dcterms:modified xsi:type="dcterms:W3CDTF">2021-04-12T22:14:00Z</dcterms:modified>
</cp:coreProperties>
</file>