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BC705C" w:rsidTr="00F2049D">
        <w:trPr>
          <w:trHeight w:val="709"/>
        </w:trPr>
        <w:tc>
          <w:tcPr>
            <w:tcW w:w="976" w:type="dxa"/>
            <w:tcBorders>
              <w:bottom w:val="single" w:sz="12" w:space="0" w:color="auto"/>
            </w:tcBorders>
          </w:tcPr>
          <w:p w:rsidR="00207A6E" w:rsidRPr="007B3E88" w:rsidRDefault="00207A6E" w:rsidP="007B3E88">
            <w:pPr>
              <w:suppressLineNumbers/>
              <w:suppressAutoHyphens/>
              <w:kinsoku w:val="0"/>
              <w:overflowPunct w:val="0"/>
              <w:autoSpaceDE w:val="0"/>
              <w:autoSpaceDN w:val="0"/>
              <w:rPr>
                <w:kern w:val="22"/>
              </w:rPr>
            </w:pPr>
            <w:r w:rsidRPr="007B3E88">
              <w:rPr>
                <w:noProof/>
                <w:kern w:val="22"/>
                <w:lang w:val="fr-CA" w:eastAsia="fr-CA"/>
              </w:rPr>
              <w:drawing>
                <wp:inline distT="0" distB="0" distL="0" distR="0" wp14:anchorId="486BD634" wp14:editId="6C0552E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7B3E88" w:rsidRDefault="00207A6E" w:rsidP="007B3E88">
            <w:pPr>
              <w:suppressLineNumbers/>
              <w:suppressAutoHyphens/>
              <w:kinsoku w:val="0"/>
              <w:overflowPunct w:val="0"/>
              <w:autoSpaceDE w:val="0"/>
              <w:autoSpaceDN w:val="0"/>
              <w:rPr>
                <w:kern w:val="22"/>
              </w:rPr>
            </w:pPr>
            <w:r w:rsidRPr="007B3E88">
              <w:rPr>
                <w:noProof/>
                <w:kern w:val="22"/>
                <w:lang w:val="fr-CA" w:eastAsia="fr-CA"/>
              </w:rPr>
              <w:drawing>
                <wp:inline distT="0" distB="0" distL="0" distR="0" wp14:anchorId="234AECE5" wp14:editId="0C6ED9D9">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7B3E88" w:rsidRDefault="00207A6E" w:rsidP="007B3E88">
            <w:pPr>
              <w:suppressLineNumbers/>
              <w:suppressAutoHyphens/>
              <w:kinsoku w:val="0"/>
              <w:overflowPunct w:val="0"/>
              <w:autoSpaceDE w:val="0"/>
              <w:autoSpaceDN w:val="0"/>
              <w:jc w:val="right"/>
              <w:rPr>
                <w:rFonts w:ascii="Arial" w:hAnsi="Arial" w:cs="Arial"/>
                <w:b/>
                <w:kern w:val="22"/>
                <w:sz w:val="32"/>
                <w:szCs w:val="32"/>
              </w:rPr>
            </w:pPr>
            <w:r w:rsidRPr="007B3E88">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BC4B45" w:rsidTr="00ED0506">
        <w:trPr>
          <w:trHeight w:val="2232"/>
        </w:trPr>
        <w:tc>
          <w:tcPr>
            <w:tcW w:w="6227" w:type="dxa"/>
            <w:tcBorders>
              <w:top w:val="nil"/>
              <w:bottom w:val="single" w:sz="36" w:space="0" w:color="000000"/>
            </w:tcBorders>
          </w:tcPr>
          <w:p w:rsidR="00F16F02" w:rsidRPr="00BC4B45" w:rsidRDefault="00F16F02" w:rsidP="007B3E88">
            <w:pPr>
              <w:suppressLineNumbers/>
              <w:suppressAutoHyphens/>
              <w:kinsoku w:val="0"/>
              <w:overflowPunct w:val="0"/>
              <w:autoSpaceDE w:val="0"/>
              <w:autoSpaceDN w:val="0"/>
              <w:rPr>
                <w:snapToGrid w:val="0"/>
                <w:kern w:val="22"/>
                <w:lang w:val="fr-CA"/>
              </w:rPr>
            </w:pPr>
          </w:p>
          <w:p w:rsidR="00F16F02" w:rsidRPr="00BC4B45" w:rsidRDefault="00011554" w:rsidP="007B3E88">
            <w:pPr>
              <w:suppressLineNumbers/>
              <w:suppressAutoHyphens/>
              <w:kinsoku w:val="0"/>
              <w:overflowPunct w:val="0"/>
              <w:autoSpaceDE w:val="0"/>
              <w:autoSpaceDN w:val="0"/>
              <w:rPr>
                <w:snapToGrid w:val="0"/>
                <w:kern w:val="22"/>
                <w:lang w:val="fr-CA"/>
              </w:rPr>
            </w:pPr>
            <w:r w:rsidRPr="00BC4B45">
              <w:rPr>
                <w:noProof/>
                <w:lang w:val="fr-CA" w:eastAsia="fr-CA"/>
              </w:rPr>
              <w:drawing>
                <wp:inline distT="0" distB="0" distL="0" distR="0" wp14:anchorId="178D0FA5" wp14:editId="199DF301">
                  <wp:extent cx="2867660" cy="1082675"/>
                  <wp:effectExtent l="0" t="0" r="889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660" cy="1082675"/>
                          </a:xfrm>
                          <a:prstGeom prst="rect">
                            <a:avLst/>
                          </a:prstGeom>
                          <a:noFill/>
                          <a:ln>
                            <a:noFill/>
                          </a:ln>
                        </pic:spPr>
                      </pic:pic>
                    </a:graphicData>
                  </a:graphic>
                </wp:inline>
              </w:drawing>
            </w:r>
          </w:p>
        </w:tc>
        <w:tc>
          <w:tcPr>
            <w:tcW w:w="1144" w:type="dxa"/>
            <w:tcBorders>
              <w:top w:val="nil"/>
              <w:bottom w:val="single" w:sz="36" w:space="0" w:color="000000"/>
            </w:tcBorders>
          </w:tcPr>
          <w:p w:rsidR="00F16F02" w:rsidRPr="00BC4B45" w:rsidRDefault="00F16F02" w:rsidP="007B3E88">
            <w:pPr>
              <w:pStyle w:val="En-tte"/>
              <w:suppressLineNumbers/>
              <w:tabs>
                <w:tab w:val="clear" w:pos="4320"/>
                <w:tab w:val="clear" w:pos="8640"/>
              </w:tabs>
              <w:suppressAutoHyphens/>
              <w:kinsoku w:val="0"/>
              <w:overflowPunct w:val="0"/>
              <w:autoSpaceDE w:val="0"/>
              <w:autoSpaceDN w:val="0"/>
              <w:rPr>
                <w:b/>
                <w:snapToGrid w:val="0"/>
                <w:kern w:val="22"/>
                <w:sz w:val="32"/>
                <w:szCs w:val="32"/>
                <w:lang w:val="fr-CA"/>
              </w:rPr>
            </w:pPr>
          </w:p>
        </w:tc>
        <w:tc>
          <w:tcPr>
            <w:tcW w:w="2977" w:type="dxa"/>
            <w:tcBorders>
              <w:top w:val="nil"/>
              <w:bottom w:val="single" w:sz="36" w:space="0" w:color="000000"/>
            </w:tcBorders>
          </w:tcPr>
          <w:p w:rsidR="00F16F02" w:rsidRPr="00BC4B45" w:rsidRDefault="00F16F02" w:rsidP="007B3E88">
            <w:pPr>
              <w:suppressLineNumbers/>
              <w:suppressAutoHyphens/>
              <w:kinsoku w:val="0"/>
              <w:overflowPunct w:val="0"/>
              <w:autoSpaceDE w:val="0"/>
              <w:autoSpaceDN w:val="0"/>
              <w:ind w:left="63"/>
              <w:rPr>
                <w:snapToGrid w:val="0"/>
                <w:kern w:val="22"/>
                <w:szCs w:val="22"/>
                <w:lang w:val="fr-CA"/>
              </w:rPr>
            </w:pPr>
            <w:proofErr w:type="spellStart"/>
            <w:r w:rsidRPr="00BC4B45">
              <w:rPr>
                <w:snapToGrid w:val="0"/>
                <w:kern w:val="22"/>
                <w:szCs w:val="22"/>
                <w:lang w:val="fr-CA"/>
              </w:rPr>
              <w:t>Distr</w:t>
            </w:r>
            <w:proofErr w:type="spellEnd"/>
            <w:r w:rsidRPr="00BC4B45">
              <w:rPr>
                <w:snapToGrid w:val="0"/>
                <w:kern w:val="22"/>
                <w:szCs w:val="22"/>
                <w:lang w:val="fr-CA"/>
              </w:rPr>
              <w:t>.</w:t>
            </w:r>
          </w:p>
          <w:p w:rsidR="00F16F02" w:rsidRPr="00BC4B45" w:rsidRDefault="009526A5" w:rsidP="007B3E88">
            <w:pPr>
              <w:suppressLineNumbers/>
              <w:suppressAutoHyphens/>
              <w:kinsoku w:val="0"/>
              <w:overflowPunct w:val="0"/>
              <w:autoSpaceDE w:val="0"/>
              <w:autoSpaceDN w:val="0"/>
              <w:ind w:left="63"/>
              <w:rPr>
                <w:snapToGrid w:val="0"/>
                <w:kern w:val="22"/>
                <w:szCs w:val="22"/>
                <w:lang w:val="fr-CA"/>
              </w:rPr>
            </w:pPr>
            <w:r w:rsidRPr="00BC4B45">
              <w:rPr>
                <w:snapToGrid w:val="0"/>
                <w:kern w:val="22"/>
                <w:szCs w:val="22"/>
                <w:lang w:val="fr-CA"/>
              </w:rPr>
              <w:t>GÉNÉRALE</w:t>
            </w:r>
          </w:p>
          <w:p w:rsidR="00F16F02" w:rsidRPr="00BC4B45" w:rsidRDefault="00F16F02" w:rsidP="007B3E88">
            <w:pPr>
              <w:suppressLineNumbers/>
              <w:suppressAutoHyphens/>
              <w:kinsoku w:val="0"/>
              <w:overflowPunct w:val="0"/>
              <w:autoSpaceDE w:val="0"/>
              <w:autoSpaceDN w:val="0"/>
              <w:ind w:left="63"/>
              <w:rPr>
                <w:snapToGrid w:val="0"/>
                <w:kern w:val="22"/>
                <w:szCs w:val="22"/>
                <w:lang w:val="fr-CA"/>
              </w:rPr>
            </w:pPr>
          </w:p>
          <w:sdt>
            <w:sdtPr>
              <w:rPr>
                <w:snapToGrid w:val="0"/>
                <w:kern w:val="22"/>
                <w:szCs w:val="22"/>
                <w:lang w:val="fr-CA"/>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Content>
              <w:p w:rsidR="00F16F02" w:rsidRPr="00BC4B45" w:rsidRDefault="0067362A" w:rsidP="007B3E88">
                <w:pPr>
                  <w:suppressLineNumbers/>
                  <w:suppressAutoHyphens/>
                  <w:kinsoku w:val="0"/>
                  <w:overflowPunct w:val="0"/>
                  <w:autoSpaceDE w:val="0"/>
                  <w:autoSpaceDN w:val="0"/>
                  <w:ind w:left="63"/>
                  <w:rPr>
                    <w:snapToGrid w:val="0"/>
                    <w:kern w:val="22"/>
                    <w:szCs w:val="22"/>
                    <w:lang w:val="fr-CA"/>
                  </w:rPr>
                </w:pPr>
                <w:r w:rsidRPr="00BC4B45">
                  <w:rPr>
                    <w:snapToGrid w:val="0"/>
                    <w:kern w:val="22"/>
                    <w:szCs w:val="22"/>
                    <w:lang w:val="fr-CA"/>
                  </w:rPr>
                  <w:t>CBD/</w:t>
                </w:r>
                <w:proofErr w:type="spellStart"/>
                <w:r w:rsidRPr="00BC4B45">
                  <w:rPr>
                    <w:snapToGrid w:val="0"/>
                    <w:kern w:val="22"/>
                    <w:szCs w:val="22"/>
                    <w:lang w:val="fr-CA"/>
                  </w:rPr>
                  <w:t>SBSTTA</w:t>
                </w:r>
                <w:proofErr w:type="spellEnd"/>
                <w:r w:rsidRPr="00BC4B45">
                  <w:rPr>
                    <w:snapToGrid w:val="0"/>
                    <w:kern w:val="22"/>
                    <w:szCs w:val="22"/>
                    <w:lang w:val="fr-CA"/>
                  </w:rPr>
                  <w:t>/22/6</w:t>
                </w:r>
              </w:p>
            </w:sdtContent>
          </w:sdt>
          <w:p w:rsidR="00F16F02" w:rsidRPr="00BC4B45" w:rsidRDefault="00F62F84" w:rsidP="007B3E88">
            <w:pPr>
              <w:suppressLineNumbers/>
              <w:suppressAutoHyphens/>
              <w:kinsoku w:val="0"/>
              <w:overflowPunct w:val="0"/>
              <w:autoSpaceDE w:val="0"/>
              <w:autoSpaceDN w:val="0"/>
              <w:ind w:left="63"/>
              <w:rPr>
                <w:snapToGrid w:val="0"/>
                <w:kern w:val="22"/>
                <w:szCs w:val="22"/>
                <w:lang w:val="fr-CA"/>
              </w:rPr>
            </w:pPr>
            <w:r>
              <w:rPr>
                <w:snapToGrid w:val="0"/>
                <w:kern w:val="22"/>
                <w:szCs w:val="22"/>
                <w:lang w:val="fr-CA"/>
              </w:rPr>
              <w:t xml:space="preserve">Le </w:t>
            </w:r>
            <w:r w:rsidR="003E73EE" w:rsidRPr="00BC4B45">
              <w:rPr>
                <w:snapToGrid w:val="0"/>
                <w:kern w:val="22"/>
                <w:szCs w:val="22"/>
                <w:lang w:val="fr-CA"/>
              </w:rPr>
              <w:t xml:space="preserve">22 </w:t>
            </w:r>
            <w:r w:rsidR="009526A5" w:rsidRPr="00BC4B45">
              <w:rPr>
                <w:snapToGrid w:val="0"/>
                <w:kern w:val="22"/>
                <w:szCs w:val="22"/>
                <w:lang w:val="fr-CA"/>
              </w:rPr>
              <w:t>mars</w:t>
            </w:r>
            <w:r w:rsidR="003E73EE" w:rsidRPr="00BC4B45">
              <w:rPr>
                <w:snapToGrid w:val="0"/>
                <w:kern w:val="22"/>
                <w:szCs w:val="22"/>
                <w:lang w:val="fr-CA"/>
              </w:rPr>
              <w:t xml:space="preserve"> </w:t>
            </w:r>
            <w:r w:rsidR="00D15589" w:rsidRPr="00BC4B45">
              <w:rPr>
                <w:snapToGrid w:val="0"/>
                <w:kern w:val="22"/>
                <w:szCs w:val="22"/>
                <w:lang w:val="fr-CA"/>
              </w:rPr>
              <w:t>2018</w:t>
            </w:r>
          </w:p>
          <w:p w:rsidR="00F16F02" w:rsidRPr="00BC4B45" w:rsidRDefault="00F16F02" w:rsidP="007B3E88">
            <w:pPr>
              <w:suppressLineNumbers/>
              <w:suppressAutoHyphens/>
              <w:kinsoku w:val="0"/>
              <w:overflowPunct w:val="0"/>
              <w:autoSpaceDE w:val="0"/>
              <w:autoSpaceDN w:val="0"/>
              <w:ind w:left="63"/>
              <w:rPr>
                <w:snapToGrid w:val="0"/>
                <w:kern w:val="22"/>
                <w:szCs w:val="22"/>
                <w:lang w:val="fr-CA"/>
              </w:rPr>
            </w:pPr>
          </w:p>
          <w:p w:rsidR="009526A5" w:rsidRPr="00BC4B45" w:rsidRDefault="009526A5" w:rsidP="00F62F84">
            <w:pPr>
              <w:suppressLineNumbers/>
              <w:suppressAutoHyphens/>
              <w:kinsoku w:val="0"/>
              <w:overflowPunct w:val="0"/>
              <w:autoSpaceDE w:val="0"/>
              <w:autoSpaceDN w:val="0"/>
              <w:rPr>
                <w:snapToGrid w:val="0"/>
                <w:kern w:val="22"/>
                <w:szCs w:val="22"/>
                <w:lang w:val="fr-CA"/>
              </w:rPr>
            </w:pPr>
            <w:r w:rsidRPr="00BC4B45">
              <w:rPr>
                <w:snapToGrid w:val="0"/>
                <w:kern w:val="22"/>
                <w:szCs w:val="22"/>
                <w:lang w:val="fr-CA"/>
              </w:rPr>
              <w:t>FRANÇAIS</w:t>
            </w:r>
          </w:p>
          <w:p w:rsidR="00F16F02" w:rsidRPr="00BC4B45" w:rsidRDefault="00F16F02" w:rsidP="009526A5">
            <w:pPr>
              <w:suppressLineNumbers/>
              <w:suppressAutoHyphens/>
              <w:kinsoku w:val="0"/>
              <w:overflowPunct w:val="0"/>
              <w:autoSpaceDE w:val="0"/>
              <w:autoSpaceDN w:val="0"/>
              <w:rPr>
                <w:snapToGrid w:val="0"/>
                <w:kern w:val="22"/>
                <w:szCs w:val="22"/>
                <w:u w:val="single"/>
                <w:lang w:val="fr-CA"/>
              </w:rPr>
            </w:pPr>
            <w:r w:rsidRPr="00BC4B45">
              <w:rPr>
                <w:snapToGrid w:val="0"/>
                <w:kern w:val="22"/>
                <w:szCs w:val="22"/>
                <w:lang w:val="fr-CA"/>
              </w:rPr>
              <w:t>ORIGINAL</w:t>
            </w:r>
            <w:r w:rsidR="009526A5" w:rsidRPr="00BC4B45">
              <w:rPr>
                <w:snapToGrid w:val="0"/>
                <w:kern w:val="22"/>
                <w:szCs w:val="22"/>
                <w:lang w:val="fr-CA"/>
              </w:rPr>
              <w:t xml:space="preserve"> </w:t>
            </w:r>
            <w:r w:rsidRPr="00BC4B45">
              <w:rPr>
                <w:snapToGrid w:val="0"/>
                <w:kern w:val="22"/>
                <w:szCs w:val="22"/>
                <w:lang w:val="fr-CA"/>
              </w:rPr>
              <w:t xml:space="preserve">:  </w:t>
            </w:r>
            <w:r w:rsidR="009526A5" w:rsidRPr="00BC4B45">
              <w:rPr>
                <w:snapToGrid w:val="0"/>
                <w:kern w:val="22"/>
                <w:szCs w:val="22"/>
                <w:lang w:val="fr-CA"/>
              </w:rPr>
              <w:t>ANGLAIS</w:t>
            </w:r>
          </w:p>
        </w:tc>
      </w:tr>
    </w:tbl>
    <w:bookmarkStart w:id="0" w:name="Meeting"/>
    <w:p w:rsidR="00CA6B87" w:rsidRPr="00BC4B45" w:rsidRDefault="00277FC0" w:rsidP="007B3E88">
      <w:pPr>
        <w:pStyle w:val="meetingname"/>
        <w:suppressLineNumbers/>
        <w:suppressAutoHyphens/>
        <w:kinsoku w:val="0"/>
        <w:overflowPunct w:val="0"/>
        <w:autoSpaceDE w:val="0"/>
        <w:autoSpaceDN w:val="0"/>
        <w:ind w:right="4398"/>
        <w:rPr>
          <w:kern w:val="22"/>
          <w:szCs w:val="22"/>
          <w:lang w:val="fr-CA"/>
        </w:rPr>
      </w:pPr>
      <w:sdt>
        <w:sdtPr>
          <w:rPr>
            <w:kern w:val="22"/>
            <w:szCs w:val="22"/>
            <w:lang w:val="fr-CA"/>
          </w:rPr>
          <w:alias w:val="Meeting"/>
          <w:tag w:val="Meeting"/>
          <w:id w:val="1412045910"/>
          <w:placeholder>
            <w:docPart w:val="DefaultPlaceholder_1082065158"/>
          </w:placeholder>
          <w:text/>
        </w:sdtPr>
        <w:sdtContent>
          <w:r w:rsidR="00011554" w:rsidRPr="00BC4B45">
            <w:rPr>
              <w:kern w:val="22"/>
              <w:szCs w:val="22"/>
              <w:lang w:val="fr-CA"/>
            </w:rPr>
            <w:t>ORGANE SUBSIDIAIRE CHARGÉ de FOURNIR      DES AVIS SCIENTIFIQUES, TECHNIQUES ET      TECHNOLOGIQUE</w:t>
          </w:r>
          <w:r w:rsidR="009526A5" w:rsidRPr="00BC4B45">
            <w:rPr>
              <w:kern w:val="22"/>
              <w:szCs w:val="22"/>
              <w:lang w:val="fr-CA"/>
            </w:rPr>
            <w:t>S</w:t>
          </w:r>
        </w:sdtContent>
      </w:sdt>
      <w:bookmarkEnd w:id="0"/>
    </w:p>
    <w:p w:rsidR="00D51069" w:rsidRPr="00BC4B45" w:rsidRDefault="009526A5" w:rsidP="007B3E88">
      <w:pPr>
        <w:suppressLineNumbers/>
        <w:suppressAutoHyphens/>
        <w:kinsoku w:val="0"/>
        <w:overflowPunct w:val="0"/>
        <w:autoSpaceDE w:val="0"/>
        <w:autoSpaceDN w:val="0"/>
        <w:rPr>
          <w:snapToGrid w:val="0"/>
          <w:kern w:val="22"/>
          <w:szCs w:val="22"/>
          <w:lang w:val="fr-CA" w:eastAsia="nb-NO"/>
        </w:rPr>
      </w:pPr>
      <w:r w:rsidRPr="00BC4B45">
        <w:rPr>
          <w:snapToGrid w:val="0"/>
          <w:kern w:val="22"/>
          <w:szCs w:val="22"/>
          <w:lang w:val="fr-CA" w:eastAsia="nb-NO"/>
        </w:rPr>
        <w:t>Vingt-deuxième réunion</w:t>
      </w:r>
    </w:p>
    <w:p w:rsidR="00CA6B87" w:rsidRPr="00BC4B45" w:rsidRDefault="009526A5" w:rsidP="007B3E88">
      <w:pPr>
        <w:suppressLineNumbers/>
        <w:suppressAutoHyphens/>
        <w:kinsoku w:val="0"/>
        <w:overflowPunct w:val="0"/>
        <w:autoSpaceDE w:val="0"/>
        <w:autoSpaceDN w:val="0"/>
        <w:rPr>
          <w:snapToGrid w:val="0"/>
          <w:kern w:val="22"/>
          <w:szCs w:val="22"/>
          <w:lang w:val="fr-CA" w:eastAsia="nb-NO"/>
        </w:rPr>
      </w:pPr>
      <w:r w:rsidRPr="00BC4B45">
        <w:rPr>
          <w:snapToGrid w:val="0"/>
          <w:kern w:val="22"/>
          <w:szCs w:val="22"/>
          <w:lang w:val="fr-CA" w:eastAsia="nb-NO"/>
        </w:rPr>
        <w:t>Montré</w:t>
      </w:r>
      <w:r w:rsidR="00D51069" w:rsidRPr="00BC4B45">
        <w:rPr>
          <w:snapToGrid w:val="0"/>
          <w:kern w:val="22"/>
          <w:szCs w:val="22"/>
          <w:lang w:val="fr-CA" w:eastAsia="nb-NO"/>
        </w:rPr>
        <w:t>al</w:t>
      </w:r>
      <w:r w:rsidR="00CA6B87" w:rsidRPr="00BC4B45">
        <w:rPr>
          <w:snapToGrid w:val="0"/>
          <w:kern w:val="22"/>
          <w:szCs w:val="22"/>
          <w:lang w:val="fr-CA" w:eastAsia="nb-NO"/>
        </w:rPr>
        <w:t xml:space="preserve">, </w:t>
      </w:r>
      <w:r w:rsidR="00D51069" w:rsidRPr="00BC4B45">
        <w:rPr>
          <w:snapToGrid w:val="0"/>
          <w:kern w:val="22"/>
          <w:szCs w:val="22"/>
          <w:lang w:val="fr-CA" w:eastAsia="nb-NO"/>
        </w:rPr>
        <w:t xml:space="preserve">Canada, </w:t>
      </w:r>
      <w:r w:rsidR="00D15589" w:rsidRPr="00BC4B45">
        <w:rPr>
          <w:snapToGrid w:val="0"/>
          <w:kern w:val="22"/>
          <w:szCs w:val="22"/>
          <w:lang w:val="fr-CA" w:eastAsia="nb-NO"/>
        </w:rPr>
        <w:t xml:space="preserve">2-7 </w:t>
      </w:r>
      <w:r w:rsidRPr="00BC4B45">
        <w:rPr>
          <w:snapToGrid w:val="0"/>
          <w:kern w:val="22"/>
          <w:szCs w:val="22"/>
          <w:lang w:val="fr-CA" w:eastAsia="nb-NO"/>
        </w:rPr>
        <w:t>juillet</w:t>
      </w:r>
      <w:r w:rsidR="00D15589" w:rsidRPr="00BC4B45">
        <w:rPr>
          <w:snapToGrid w:val="0"/>
          <w:kern w:val="22"/>
          <w:szCs w:val="22"/>
          <w:lang w:val="fr-CA" w:eastAsia="nb-NO"/>
        </w:rPr>
        <w:t xml:space="preserve"> 2018</w:t>
      </w:r>
    </w:p>
    <w:p w:rsidR="00CA6B87" w:rsidRPr="00BC4B45" w:rsidRDefault="009526A5" w:rsidP="007B3E88">
      <w:pPr>
        <w:suppressLineNumbers/>
        <w:suppressAutoHyphens/>
        <w:kinsoku w:val="0"/>
        <w:overflowPunct w:val="0"/>
        <w:autoSpaceDE w:val="0"/>
        <w:autoSpaceDN w:val="0"/>
        <w:rPr>
          <w:snapToGrid w:val="0"/>
          <w:kern w:val="22"/>
          <w:szCs w:val="22"/>
          <w:lang w:val="fr-CA" w:eastAsia="nb-NO"/>
        </w:rPr>
      </w:pPr>
      <w:r w:rsidRPr="00BC4B45">
        <w:rPr>
          <w:snapToGrid w:val="0"/>
          <w:kern w:val="22"/>
          <w:szCs w:val="22"/>
          <w:lang w:val="fr-CA" w:eastAsia="nb-NO"/>
        </w:rPr>
        <w:t>Point 7 de l’ordre du jour provisoire</w:t>
      </w:r>
      <w:r w:rsidR="00D51069" w:rsidRPr="00BC4B45">
        <w:rPr>
          <w:rStyle w:val="Appelnotedebasdep"/>
          <w:snapToGrid w:val="0"/>
          <w:kern w:val="22"/>
          <w:sz w:val="22"/>
          <w:szCs w:val="22"/>
          <w:u w:val="none"/>
          <w:lang w:val="fr-CA" w:eastAsia="nb-NO"/>
        </w:rPr>
        <w:footnoteReference w:customMarkFollows="1" w:id="1"/>
        <w:t>*</w:t>
      </w:r>
    </w:p>
    <w:p w:rsidR="00406BC6" w:rsidRPr="00BC4B45" w:rsidRDefault="00277FC0" w:rsidP="007B3E88">
      <w:pPr>
        <w:pStyle w:val="Titre1"/>
        <w:suppressLineNumbers/>
        <w:tabs>
          <w:tab w:val="clear" w:pos="720"/>
        </w:tabs>
        <w:suppressAutoHyphens/>
        <w:kinsoku w:val="0"/>
        <w:overflowPunct w:val="0"/>
        <w:autoSpaceDE w:val="0"/>
        <w:autoSpaceDN w:val="0"/>
        <w:rPr>
          <w:snapToGrid w:val="0"/>
          <w:kern w:val="22"/>
          <w:szCs w:val="22"/>
          <w:lang w:val="fr-CA"/>
        </w:rPr>
      </w:pPr>
      <w:sdt>
        <w:sdtPr>
          <w:rPr>
            <w:bCs/>
            <w:snapToGrid w:val="0"/>
            <w:kern w:val="22"/>
            <w:szCs w:val="22"/>
            <w:lang w:val="fr-CA"/>
          </w:rPr>
          <w:alias w:val="Title"/>
          <w:tag w:val=""/>
          <w:id w:val="1728192591"/>
          <w:placeholder>
            <w:docPart w:val="97D82C77193D4DCEB52E502FD008E7DA"/>
          </w:placeholder>
          <w:dataBinding w:prefixMappings="xmlns:ns0='http://purl.org/dc/elements/1.1/' xmlns:ns1='http://schemas.openxmlformats.org/package/2006/metadata/core-properties' " w:xpath="/ns1:coreProperties[1]/ns0:title[1]" w:storeItemID="{6C3C8BC8-F283-45AE-878A-BAB7291924A1}"/>
          <w:text/>
        </w:sdtPr>
        <w:sdtContent>
          <w:r w:rsidR="00BC4B45" w:rsidRPr="00BC4B45">
            <w:rPr>
              <w:bCs/>
              <w:snapToGrid w:val="0"/>
              <w:kern w:val="22"/>
              <w:szCs w:val="22"/>
              <w:lang w:val="fr-CA"/>
            </w:rPr>
            <w:t>AIRES PROTÉGÉES ET AUTRES MESURES DE CONSERVATION EFFICACES</w:t>
          </w:r>
          <w:r w:rsidR="00F11CD2">
            <w:rPr>
              <w:bCs/>
              <w:snapToGrid w:val="0"/>
              <w:kern w:val="22"/>
              <w:szCs w:val="22"/>
              <w:lang w:val="fr-CA"/>
            </w:rPr>
            <w:t xml:space="preserve"> PAR ZONE</w:t>
          </w:r>
          <w:r w:rsidR="00BC4B45" w:rsidRPr="00BC4B45">
            <w:rPr>
              <w:bCs/>
              <w:snapToGrid w:val="0"/>
              <w:kern w:val="22"/>
              <w:szCs w:val="22"/>
              <w:lang w:val="fr-CA"/>
            </w:rPr>
            <w:t xml:space="preserve"> </w:t>
          </w:r>
        </w:sdtContent>
      </w:sdt>
    </w:p>
    <w:p w:rsidR="00C85EA4" w:rsidRPr="00BC4B45" w:rsidRDefault="00BC4B45" w:rsidP="007B3E88">
      <w:pPr>
        <w:pStyle w:val="Titre2"/>
        <w:keepNext w:val="0"/>
        <w:suppressLineNumbers/>
        <w:tabs>
          <w:tab w:val="clear" w:pos="720"/>
        </w:tabs>
        <w:suppressAutoHyphens/>
        <w:kinsoku w:val="0"/>
        <w:overflowPunct w:val="0"/>
        <w:autoSpaceDE w:val="0"/>
        <w:autoSpaceDN w:val="0"/>
        <w:rPr>
          <w:b w:val="0"/>
          <w:i/>
          <w:kern w:val="22"/>
          <w:szCs w:val="22"/>
          <w:lang w:val="fr-CA"/>
        </w:rPr>
      </w:pPr>
      <w:r w:rsidRPr="00BC4B45">
        <w:rPr>
          <w:b w:val="0"/>
          <w:i/>
          <w:kern w:val="22"/>
          <w:szCs w:val="22"/>
          <w:lang w:val="fr-CA"/>
        </w:rPr>
        <w:t>Note de la Secrétaire exécutive</w:t>
      </w:r>
    </w:p>
    <w:p w:rsidR="00CF42EB" w:rsidRPr="00BC4B45" w:rsidRDefault="005364AB" w:rsidP="007B3E88">
      <w:pPr>
        <w:pStyle w:val="Titre1"/>
        <w:keepNext/>
        <w:suppressLineNumbers/>
        <w:tabs>
          <w:tab w:val="clear" w:pos="720"/>
        </w:tabs>
        <w:suppressAutoHyphens/>
        <w:kinsoku w:val="0"/>
        <w:overflowPunct w:val="0"/>
        <w:autoSpaceDE w:val="0"/>
        <w:autoSpaceDN w:val="0"/>
        <w:rPr>
          <w:snapToGrid w:val="0"/>
          <w:kern w:val="22"/>
          <w:szCs w:val="22"/>
          <w:lang w:val="fr-CA"/>
        </w:rPr>
      </w:pPr>
      <w:r w:rsidRPr="00BC4B45">
        <w:rPr>
          <w:snapToGrid w:val="0"/>
          <w:kern w:val="22"/>
          <w:szCs w:val="22"/>
          <w:lang w:val="fr-CA"/>
        </w:rPr>
        <w:t>Introduction</w:t>
      </w:r>
    </w:p>
    <w:p w:rsidR="00BA6AD8" w:rsidRPr="00BC4B45" w:rsidRDefault="00583118" w:rsidP="007B3E88">
      <w:pPr>
        <w:pStyle w:val="Para1"/>
        <w:suppressLineNumbers/>
        <w:tabs>
          <w:tab w:val="clear" w:pos="360"/>
        </w:tabs>
        <w:suppressAutoHyphens/>
        <w:kinsoku w:val="0"/>
        <w:overflowPunct w:val="0"/>
        <w:autoSpaceDE w:val="0"/>
        <w:autoSpaceDN w:val="0"/>
        <w:spacing w:before="0"/>
        <w:rPr>
          <w:kern w:val="22"/>
          <w:szCs w:val="22"/>
          <w:lang w:val="fr-CA"/>
        </w:rPr>
      </w:pPr>
      <w:r w:rsidRPr="002D1F96">
        <w:rPr>
          <w:rFonts w:eastAsia="Calibri"/>
          <w:kern w:val="22"/>
          <w:szCs w:val="22"/>
          <w:lang w:val="fr-CA"/>
        </w:rPr>
        <w:t>Au paragraphe 9 a) de la décision</w:t>
      </w:r>
      <w:r w:rsidR="00840860" w:rsidRPr="002D1F96">
        <w:rPr>
          <w:rFonts w:eastAsia="Calibri"/>
          <w:kern w:val="22"/>
          <w:szCs w:val="22"/>
          <w:lang w:val="fr-CA"/>
        </w:rPr>
        <w:t xml:space="preserve"> </w:t>
      </w:r>
      <w:hyperlink r:id="rId11" w:history="1">
        <w:r w:rsidR="00840860" w:rsidRPr="002D1F96">
          <w:rPr>
            <w:rStyle w:val="Lienhypertexte"/>
            <w:rFonts w:eastAsia="Calibri"/>
            <w:kern w:val="22"/>
            <w:szCs w:val="22"/>
            <w:lang w:val="fr-CA"/>
          </w:rPr>
          <w:t>XIII/2</w:t>
        </w:r>
      </w:hyperlink>
      <w:r w:rsidR="00840860" w:rsidRPr="002D1F96">
        <w:rPr>
          <w:rFonts w:eastAsia="Calibri"/>
          <w:kern w:val="22"/>
          <w:szCs w:val="22"/>
          <w:lang w:val="fr-CA"/>
        </w:rPr>
        <w:t xml:space="preserve"> </w:t>
      </w:r>
      <w:r w:rsidR="002D1F96">
        <w:rPr>
          <w:rFonts w:eastAsia="Calibri"/>
          <w:kern w:val="22"/>
          <w:szCs w:val="22"/>
          <w:lang w:val="fr-CA"/>
        </w:rPr>
        <w:t xml:space="preserve">de la Conférence des Parties, </w:t>
      </w:r>
      <w:r w:rsidR="002D1F96" w:rsidRPr="002D1F96">
        <w:rPr>
          <w:lang w:val="fr-CA"/>
        </w:rPr>
        <w:t xml:space="preserve">les Parties, les autres gouvernements, les partenaires, les organismes régionaux et les organismes de financement bilatéraux et multilatéraux concernés, de concert avec le Secrétariat de la Convention sur la diversité biologique, compte tenu des informations fournies par les Parties et les autres gouvernements </w:t>
      </w:r>
      <w:r w:rsidR="002D1F96">
        <w:rPr>
          <w:lang w:val="fr-CA"/>
        </w:rPr>
        <w:t>et en consultation avec ceux-ci ont été invités à examiner les données d’expérience sur : a) l</w:t>
      </w:r>
      <w:r w:rsidR="002D1F96" w:rsidRPr="002D1F96">
        <w:rPr>
          <w:lang w:val="fr-CA"/>
        </w:rPr>
        <w:t>es aires protégées et autres mesures de conservation efficaces par zone, en tenant compte des travaux de l’Union internationale pour la conservation de la nature et d’autres organes d’experts compétent</w:t>
      </w:r>
      <w:r w:rsidR="002D1F96">
        <w:rPr>
          <w:lang w:val="fr-CA"/>
        </w:rPr>
        <w:t>s, b) l</w:t>
      </w:r>
      <w:r w:rsidR="002D1F96" w:rsidRPr="002D1F96">
        <w:rPr>
          <w:lang w:val="fr-CA"/>
        </w:rPr>
        <w:t>es mesures additionnelles à prendre pour accroître l’intégration des aires protégées et des autres mesures de conservation efficaces par zone dans les paysages terrestres et marins plus vastes</w:t>
      </w:r>
      <w:r w:rsidR="002D1F96">
        <w:rPr>
          <w:lang w:val="fr-CA"/>
        </w:rPr>
        <w:t>, c) l</w:t>
      </w:r>
      <w:r w:rsidR="002D1F96" w:rsidRPr="002D1F96">
        <w:rPr>
          <w:lang w:val="fr-CA"/>
        </w:rPr>
        <w:t>’intégration des aires protégées et des autres mesures de conservation efficaces par zone dans les différents secteurs, afin de contribuer, notamment, aux objectifs de développement durable et en tant que solutions naturelles de lutte con</w:t>
      </w:r>
      <w:r w:rsidR="002D1F96">
        <w:rPr>
          <w:lang w:val="fr-CA"/>
        </w:rPr>
        <w:t xml:space="preserve">tre les changements climatiques </w:t>
      </w:r>
      <w:r w:rsidR="009E11B0">
        <w:rPr>
          <w:lang w:val="fr-CA"/>
        </w:rPr>
        <w:t xml:space="preserve">et </w:t>
      </w:r>
      <w:r w:rsidR="002D1F96">
        <w:rPr>
          <w:lang w:val="fr-CA"/>
        </w:rPr>
        <w:t>d) l</w:t>
      </w:r>
      <w:r w:rsidR="002D1F96" w:rsidRPr="002D1F96">
        <w:rPr>
          <w:lang w:val="fr-CA"/>
        </w:rPr>
        <w:t>es modèles de gouvernance efficaces pour la gestion des aires protégées, y compris l’équité, compte tenu des travaux entrepris au titre de l’article 8 j)</w:t>
      </w:r>
      <w:r w:rsidR="00F11CD2">
        <w:rPr>
          <w:lang w:val="fr-CA"/>
        </w:rPr>
        <w:t>. La Conférence des P</w:t>
      </w:r>
      <w:r w:rsidR="009E11B0">
        <w:rPr>
          <w:lang w:val="fr-CA"/>
        </w:rPr>
        <w:t xml:space="preserve">arties a demandé à la Secrétaire exécutive de développer </w:t>
      </w:r>
      <w:r w:rsidR="009E11B0" w:rsidRPr="009E11B0">
        <w:rPr>
          <w:lang w:val="fr-CA"/>
        </w:rPr>
        <w:t xml:space="preserve">des orientations facultatives sur les éléments figurant au paragraphe 9 a) ci-dessus, </w:t>
      </w:r>
      <w:r w:rsidR="009E11B0">
        <w:rPr>
          <w:lang w:val="fr-CA"/>
        </w:rPr>
        <w:t>d</w:t>
      </w:r>
      <w:r w:rsidR="00881475">
        <w:rPr>
          <w:lang w:val="fr-CA"/>
        </w:rPr>
        <w:t xml:space="preserve">’organiser </w:t>
      </w:r>
      <w:r w:rsidR="009E11B0" w:rsidRPr="009E11B0">
        <w:rPr>
          <w:lang w:val="fr-CA"/>
        </w:rPr>
        <w:t xml:space="preserve">un ou plusieurs ateliers d’experts techniques afin de fournir des avis scientifiques et techniques sur la définition, les approches de gestion et le recensement d’autres </w:t>
      </w:r>
      <w:r w:rsidR="00FC1EA0">
        <w:rPr>
          <w:lang w:val="fr-CA"/>
        </w:rPr>
        <w:t>mesures de conservation efficaces</w:t>
      </w:r>
      <w:r w:rsidR="009E11B0" w:rsidRPr="009E11B0">
        <w:rPr>
          <w:lang w:val="fr-CA"/>
        </w:rPr>
        <w:t xml:space="preserve"> par zone et leur rôle dans la réalisation de l’Objectif 11 d’Aichi </w:t>
      </w:r>
      <w:r w:rsidR="00A83139">
        <w:rPr>
          <w:lang w:val="fr-CA"/>
        </w:rPr>
        <w:t>relatif à la diversité biologique</w:t>
      </w:r>
      <w:r w:rsidR="005364AB" w:rsidRPr="002D1F96">
        <w:rPr>
          <w:rFonts w:eastAsia="Calibri"/>
          <w:kern w:val="22"/>
          <w:szCs w:val="22"/>
          <w:lang w:val="fr-CA"/>
        </w:rPr>
        <w:t xml:space="preserve"> </w:t>
      </w:r>
      <w:r w:rsidR="009E11B0">
        <w:rPr>
          <w:rFonts w:eastAsia="Calibri"/>
          <w:kern w:val="22"/>
          <w:szCs w:val="22"/>
          <w:lang w:val="fr-CA"/>
        </w:rPr>
        <w:t xml:space="preserve">et de </w:t>
      </w:r>
      <w:r w:rsidR="009E11B0" w:rsidRPr="009E11B0">
        <w:rPr>
          <w:lang w:val="fr-CA"/>
        </w:rPr>
        <w:t>rendre compte des progrès accomplis dans les domaines susmentionnés à l’Organe subsidiaire chargé de fournir des avis scientifiques, techniques et technologiques</w:t>
      </w:r>
      <w:r w:rsidR="00F11CD2" w:rsidRPr="006A64B0">
        <w:rPr>
          <w:rStyle w:val="Appelnotedebasdep"/>
          <w:rFonts w:eastAsia="Calibri"/>
          <w:kern w:val="22"/>
          <w:sz w:val="22"/>
          <w:szCs w:val="22"/>
          <w:u w:val="none"/>
          <w:vertAlign w:val="superscript"/>
        </w:rPr>
        <w:footnoteReference w:id="2"/>
      </w:r>
      <w:r w:rsidR="009E11B0">
        <w:rPr>
          <w:lang w:val="fr-CA"/>
        </w:rPr>
        <w:t>. Le Secrétariat a travaillé de concert avec les partenaires et organisation</w:t>
      </w:r>
      <w:r w:rsidR="00881475">
        <w:rPr>
          <w:lang w:val="fr-CA"/>
        </w:rPr>
        <w:t>s</w:t>
      </w:r>
      <w:r w:rsidR="009E11B0">
        <w:rPr>
          <w:lang w:val="fr-CA"/>
        </w:rPr>
        <w:t xml:space="preserve"> pertinents </w:t>
      </w:r>
      <w:r w:rsidR="00881475">
        <w:rPr>
          <w:lang w:val="fr-CA"/>
        </w:rPr>
        <w:t>afin de</w:t>
      </w:r>
      <w:r w:rsidR="009E11B0">
        <w:rPr>
          <w:lang w:val="fr-CA"/>
        </w:rPr>
        <w:t xml:space="preserve"> faciliter la préparation des documents informatifs et </w:t>
      </w:r>
      <w:r w:rsidR="00F11CD2">
        <w:rPr>
          <w:lang w:val="fr-CA"/>
        </w:rPr>
        <w:t>d</w:t>
      </w:r>
      <w:r w:rsidR="00881475">
        <w:rPr>
          <w:lang w:val="fr-CA"/>
        </w:rPr>
        <w:t>es orientati</w:t>
      </w:r>
      <w:r w:rsidR="00F11CD2">
        <w:rPr>
          <w:lang w:val="fr-CA"/>
        </w:rPr>
        <w:t>ons</w:t>
      </w:r>
      <w:r w:rsidR="009E11B0">
        <w:rPr>
          <w:lang w:val="fr-CA"/>
        </w:rPr>
        <w:t xml:space="preserve"> </w:t>
      </w:r>
      <w:r w:rsidR="00F11CD2">
        <w:rPr>
          <w:lang w:val="fr-CA"/>
        </w:rPr>
        <w:t>facultatives</w:t>
      </w:r>
      <w:r w:rsidR="009E11B0">
        <w:rPr>
          <w:lang w:val="fr-CA"/>
        </w:rPr>
        <w:t>, et a organisé des ateliers d’experts techniques afin de répondre à ces demandes</w:t>
      </w:r>
      <w:r w:rsidR="008B3D32" w:rsidRPr="00BC4B45">
        <w:rPr>
          <w:kern w:val="22"/>
          <w:szCs w:val="22"/>
          <w:lang w:val="fr-CA"/>
        </w:rPr>
        <w:t>.</w:t>
      </w:r>
    </w:p>
    <w:p w:rsidR="00DC78D2" w:rsidRPr="00881475" w:rsidRDefault="00881475" w:rsidP="007B3E88">
      <w:pPr>
        <w:pStyle w:val="Para1"/>
        <w:suppressLineNumbers/>
        <w:tabs>
          <w:tab w:val="clear" w:pos="360"/>
        </w:tabs>
        <w:suppressAutoHyphens/>
        <w:kinsoku w:val="0"/>
        <w:overflowPunct w:val="0"/>
        <w:autoSpaceDE w:val="0"/>
        <w:autoSpaceDN w:val="0"/>
        <w:rPr>
          <w:kern w:val="22"/>
          <w:szCs w:val="22"/>
          <w:lang w:val="fr-CA"/>
        </w:rPr>
      </w:pPr>
      <w:r w:rsidRPr="00881475">
        <w:rPr>
          <w:color w:val="000000"/>
          <w:kern w:val="22"/>
          <w:szCs w:val="22"/>
          <w:lang w:val="fr-CA"/>
        </w:rPr>
        <w:t>La Conférence des Parties, à sa treizième réunion</w:t>
      </w:r>
      <w:r w:rsidR="00DC78D2" w:rsidRPr="00881475">
        <w:rPr>
          <w:color w:val="000000"/>
          <w:kern w:val="22"/>
          <w:szCs w:val="22"/>
          <w:lang w:val="fr-CA"/>
        </w:rPr>
        <w:t>,</w:t>
      </w:r>
      <w:r w:rsidR="00494AF1" w:rsidRPr="00881475">
        <w:rPr>
          <w:rStyle w:val="Appelnotedebasdep"/>
          <w:color w:val="000000"/>
          <w:kern w:val="22"/>
          <w:sz w:val="22"/>
          <w:szCs w:val="22"/>
          <w:u w:val="none"/>
          <w:vertAlign w:val="superscript"/>
          <w:lang w:val="fr-CA"/>
        </w:rPr>
        <w:footnoteReference w:id="3"/>
      </w:r>
      <w:r w:rsidR="00DC78D2" w:rsidRPr="00881475">
        <w:rPr>
          <w:color w:val="000000"/>
          <w:kern w:val="22"/>
          <w:szCs w:val="22"/>
          <w:lang w:val="fr-CA"/>
        </w:rPr>
        <w:t xml:space="preserve"> </w:t>
      </w:r>
      <w:r w:rsidR="00F9338F">
        <w:rPr>
          <w:color w:val="000000"/>
          <w:kern w:val="22"/>
          <w:szCs w:val="22"/>
          <w:lang w:val="fr-CA"/>
        </w:rPr>
        <w:t>a reconnu l’importance</w:t>
      </w:r>
      <w:r w:rsidR="00E1075D">
        <w:rPr>
          <w:color w:val="000000"/>
          <w:kern w:val="22"/>
          <w:szCs w:val="22"/>
          <w:lang w:val="fr-CA"/>
        </w:rPr>
        <w:t xml:space="preserve"> de créer des liens entre les activités en cours au titre de différentes mesures de conservation par zone dans le cadre de la planification et la mise en œuvre intersectorielles et intégrées des espaces marins </w:t>
      </w:r>
      <w:r w:rsidR="00BF2854">
        <w:rPr>
          <w:color w:val="000000"/>
          <w:kern w:val="22"/>
          <w:szCs w:val="22"/>
          <w:lang w:val="fr-CA"/>
        </w:rPr>
        <w:t>en appui à la réalisation des Objectifs d’Aichi relatifs à la diversité biologique dans les aires marines et côtières</w:t>
      </w:r>
      <w:r w:rsidR="003B151A" w:rsidRPr="007B3E88">
        <w:rPr>
          <w:rStyle w:val="Appelnotedebasdep"/>
          <w:color w:val="000000"/>
          <w:kern w:val="22"/>
          <w:sz w:val="22"/>
          <w:szCs w:val="22"/>
          <w:u w:val="none"/>
          <w:vertAlign w:val="superscript"/>
        </w:rPr>
        <w:footnoteReference w:id="4"/>
      </w:r>
      <w:r w:rsidR="00F82FD3" w:rsidRPr="00881475">
        <w:rPr>
          <w:kern w:val="22"/>
          <w:szCs w:val="22"/>
          <w:lang w:val="fr-CA"/>
        </w:rPr>
        <w:t>.</w:t>
      </w:r>
      <w:r w:rsidR="00BF2854">
        <w:rPr>
          <w:kern w:val="22"/>
          <w:szCs w:val="22"/>
          <w:lang w:val="fr-CA"/>
        </w:rPr>
        <w:t xml:space="preserve"> La Conférence des Parties a ensuite demandé à la Secrétaire exécutive </w:t>
      </w:r>
      <w:r w:rsidR="00680ACC">
        <w:rPr>
          <w:kern w:val="22"/>
          <w:szCs w:val="22"/>
          <w:lang w:val="fr-CA"/>
        </w:rPr>
        <w:t xml:space="preserve">de a) </w:t>
      </w:r>
      <w:r w:rsidR="003B151A">
        <w:rPr>
          <w:lang w:val="fr-CA"/>
        </w:rPr>
        <w:t>c</w:t>
      </w:r>
      <w:r w:rsidR="0089708C" w:rsidRPr="0089708C">
        <w:rPr>
          <w:lang w:val="fr-CA"/>
        </w:rPr>
        <w:t xml:space="preserve">ompiler les expériences nationales et les </w:t>
      </w:r>
      <w:r w:rsidR="0089708C" w:rsidRPr="0089708C">
        <w:rPr>
          <w:lang w:val="fr-CA"/>
        </w:rPr>
        <w:lastRenderedPageBreak/>
        <w:t xml:space="preserve">enseignements tirés du développement et de la gestion </w:t>
      </w:r>
      <w:r w:rsidR="00155E62">
        <w:rPr>
          <w:lang w:val="fr-CA"/>
        </w:rPr>
        <w:t>efficace</w:t>
      </w:r>
      <w:r w:rsidR="0089708C" w:rsidRPr="0089708C">
        <w:rPr>
          <w:lang w:val="fr-CA"/>
        </w:rPr>
        <w:t xml:space="preserve"> et équitable de systèmes d’aires marines protég</w:t>
      </w:r>
      <w:r w:rsidR="00155E62">
        <w:rPr>
          <w:lang w:val="fr-CA"/>
        </w:rPr>
        <w:t>ées écologiquement représentatif</w:t>
      </w:r>
      <w:r w:rsidR="0089708C" w:rsidRPr="0089708C">
        <w:rPr>
          <w:lang w:val="fr-CA"/>
        </w:rPr>
        <w:t>s et bien reliés et d’autres mesures de conservation efficaces par zone, et leur intégration dans les paysages terrestres et marins plus vastes, en tant que contribution à un atelier d’experts</w:t>
      </w:r>
      <w:r w:rsidR="0089708C">
        <w:rPr>
          <w:lang w:val="fr-CA"/>
        </w:rPr>
        <w:t xml:space="preserve">, b) </w:t>
      </w:r>
      <w:r w:rsidR="003B151A">
        <w:rPr>
          <w:lang w:val="fr-CA"/>
        </w:rPr>
        <w:t>o</w:t>
      </w:r>
      <w:r w:rsidR="0089708C" w:rsidRPr="0089708C">
        <w:rPr>
          <w:lang w:val="fr-CA"/>
        </w:rPr>
        <w:t>rganiser un atelier d’experts afin de consolider et vérifier l’eff</w:t>
      </w:r>
      <w:r w:rsidR="00A83139">
        <w:rPr>
          <w:lang w:val="fr-CA"/>
        </w:rPr>
        <w:t>icacité de l’information scient</w:t>
      </w:r>
      <w:r w:rsidR="00077746">
        <w:rPr>
          <w:lang w:val="fr-CA"/>
        </w:rPr>
        <w:t>i</w:t>
      </w:r>
      <w:r w:rsidR="0089708C" w:rsidRPr="0089708C">
        <w:rPr>
          <w:lang w:val="fr-CA"/>
        </w:rPr>
        <w:t>fique et technique sur les différentes méthodes d’évaluation de la contribution à la réalisation de l’objectif 11 sur les aires marines et protégées et d’autres mesures de conservation efficaces par zone et leur intégration aux paysages terrestres et marins plus vastes, en tenant compte également de la mise en œuvre de la cible 5 de l’objectif développement durable 14</w:t>
      </w:r>
      <w:r w:rsidR="0089708C">
        <w:rPr>
          <w:lang w:val="fr-CA"/>
        </w:rPr>
        <w:t xml:space="preserve"> et c) </w:t>
      </w:r>
      <w:r w:rsidR="003B151A">
        <w:rPr>
          <w:lang w:val="fr-CA"/>
        </w:rPr>
        <w:t>r</w:t>
      </w:r>
      <w:r w:rsidR="0089708C" w:rsidRPr="0089708C">
        <w:rPr>
          <w:lang w:val="fr-CA"/>
        </w:rPr>
        <w:t>emettre la compilation d’information dont il est question au paragraphe 7 a) ci-dessus, et le rapport de l’atelier d’experts dont il est question au paragraphe 7 b) ci-dessus, à l’Organe subsidiaire chargé de fournir des avis scientifiques, techniques et technologiques aux fins d’examen à une réunion qui se tiendra avant la quatorzième réunio</w:t>
      </w:r>
      <w:r w:rsidR="0089708C">
        <w:rPr>
          <w:lang w:val="fr-CA"/>
        </w:rPr>
        <w:t>n de la Conférence des Parties.</w:t>
      </w:r>
    </w:p>
    <w:p w:rsidR="00BA6AD8" w:rsidRPr="00BC4B45" w:rsidRDefault="003B151A" w:rsidP="007B3E88">
      <w:pPr>
        <w:pStyle w:val="Para1"/>
        <w:suppressLineNumbers/>
        <w:tabs>
          <w:tab w:val="clear" w:pos="360"/>
        </w:tabs>
        <w:suppressAutoHyphens/>
        <w:kinsoku w:val="0"/>
        <w:overflowPunct w:val="0"/>
        <w:autoSpaceDE w:val="0"/>
        <w:autoSpaceDN w:val="0"/>
        <w:rPr>
          <w:kern w:val="22"/>
          <w:szCs w:val="22"/>
          <w:lang w:val="fr-CA"/>
        </w:rPr>
      </w:pPr>
      <w:r>
        <w:rPr>
          <w:rFonts w:eastAsia="Calibri"/>
          <w:kern w:val="22"/>
          <w:szCs w:val="22"/>
          <w:lang w:val="fr-CA"/>
        </w:rPr>
        <w:t>Donnant suite aux demandes contenues aux paragraphes 9 a) (i-iv) et 10 a) de la décision XIII/2, le S</w:t>
      </w:r>
      <w:r w:rsidR="007170D5">
        <w:rPr>
          <w:rFonts w:eastAsia="Calibri"/>
          <w:kern w:val="22"/>
          <w:szCs w:val="22"/>
          <w:lang w:val="fr-CA"/>
        </w:rPr>
        <w:t>ecrétariat a émis une notificati</w:t>
      </w:r>
      <w:r>
        <w:rPr>
          <w:rFonts w:eastAsia="Calibri"/>
          <w:kern w:val="22"/>
          <w:szCs w:val="22"/>
          <w:lang w:val="fr-CA"/>
        </w:rPr>
        <w:t xml:space="preserve">on (2017-065) </w:t>
      </w:r>
      <w:r w:rsidR="00AF5B6D">
        <w:rPr>
          <w:rFonts w:eastAsia="Calibri"/>
          <w:kern w:val="22"/>
          <w:szCs w:val="22"/>
          <w:lang w:val="fr-CA"/>
        </w:rPr>
        <w:t>afin de recueillir</w:t>
      </w:r>
      <w:r w:rsidR="007170D5">
        <w:rPr>
          <w:rFonts w:eastAsia="Calibri"/>
          <w:kern w:val="22"/>
          <w:szCs w:val="22"/>
          <w:lang w:val="fr-CA"/>
        </w:rPr>
        <w:t xml:space="preserve"> de l’information. Seize Parties</w:t>
      </w:r>
      <w:r w:rsidR="00AF5B6D">
        <w:rPr>
          <w:rFonts w:eastAsia="Calibri"/>
          <w:kern w:val="22"/>
          <w:szCs w:val="22"/>
          <w:lang w:val="fr-CA"/>
        </w:rPr>
        <w:t>, dont</w:t>
      </w:r>
      <w:r w:rsidR="007170D5">
        <w:rPr>
          <w:rFonts w:eastAsia="Calibri"/>
          <w:kern w:val="22"/>
          <w:szCs w:val="22"/>
          <w:lang w:val="fr-CA"/>
        </w:rPr>
        <w:t xml:space="preserve"> l’Union eur</w:t>
      </w:r>
      <w:r w:rsidR="00AF5B6D">
        <w:rPr>
          <w:rFonts w:eastAsia="Calibri"/>
          <w:kern w:val="22"/>
          <w:szCs w:val="22"/>
          <w:lang w:val="fr-CA"/>
        </w:rPr>
        <w:t>opéenne, et six organisations o</w:t>
      </w:r>
      <w:r w:rsidR="007170D5">
        <w:rPr>
          <w:rFonts w:eastAsia="Calibri"/>
          <w:kern w:val="22"/>
          <w:szCs w:val="22"/>
          <w:lang w:val="fr-CA"/>
        </w:rPr>
        <w:t>nt fourni de l’information</w:t>
      </w:r>
      <w:r w:rsidR="00BA6AD8" w:rsidRPr="00BC4B45">
        <w:rPr>
          <w:kern w:val="22"/>
          <w:szCs w:val="22"/>
          <w:lang w:val="fr-CA"/>
        </w:rPr>
        <w:t>.</w:t>
      </w:r>
    </w:p>
    <w:p w:rsidR="00242F8D" w:rsidRPr="00AF5B6D" w:rsidRDefault="007170D5" w:rsidP="007B3E88">
      <w:pPr>
        <w:pStyle w:val="Para1"/>
        <w:suppressLineNumbers/>
        <w:tabs>
          <w:tab w:val="clear" w:pos="360"/>
        </w:tabs>
        <w:suppressAutoHyphens/>
        <w:kinsoku w:val="0"/>
        <w:overflowPunct w:val="0"/>
        <w:autoSpaceDE w:val="0"/>
        <w:autoSpaceDN w:val="0"/>
        <w:rPr>
          <w:kern w:val="22"/>
          <w:szCs w:val="22"/>
          <w:lang w:val="fr-CA"/>
        </w:rPr>
      </w:pPr>
      <w:r w:rsidRPr="00AF5B6D">
        <w:rPr>
          <w:kern w:val="22"/>
          <w:szCs w:val="22"/>
          <w:lang w:val="fr-CA"/>
        </w:rPr>
        <w:t>Conformément aux paragraphes 9 a) (ii-iii), le Secrétariat, en collaboration avec le Programme des Nations Unies pour le développement</w:t>
      </w:r>
      <w:r w:rsidR="00BC17D0" w:rsidRPr="00AF5B6D">
        <w:rPr>
          <w:rStyle w:val="Appelnotedebasdep"/>
          <w:kern w:val="22"/>
          <w:sz w:val="22"/>
          <w:szCs w:val="22"/>
          <w:u w:val="none"/>
          <w:vertAlign w:val="superscript"/>
          <w:lang w:val="fr-CA"/>
        </w:rPr>
        <w:footnoteReference w:id="5"/>
      </w:r>
      <w:r w:rsidR="0083083D" w:rsidRPr="00AF5B6D">
        <w:rPr>
          <w:kern w:val="22"/>
          <w:szCs w:val="22"/>
          <w:lang w:val="fr-CA"/>
        </w:rPr>
        <w:t xml:space="preserve"> </w:t>
      </w:r>
      <w:r w:rsidRPr="00AF5B6D">
        <w:rPr>
          <w:kern w:val="22"/>
          <w:szCs w:val="22"/>
          <w:lang w:val="fr-CA"/>
        </w:rPr>
        <w:t>a préparé des orientations facultatives pour examen par l’Organe subsidiaire chargé de fournir des avis scientifiques, techniques et technologiques et des documents informatifs sur l’intégration des</w:t>
      </w:r>
      <w:r w:rsidR="00E60A17" w:rsidRPr="00AF5B6D">
        <w:rPr>
          <w:kern w:val="22"/>
          <w:szCs w:val="22"/>
          <w:lang w:val="fr-CA"/>
        </w:rPr>
        <w:t xml:space="preserve"> aires protégées et autres mesur</w:t>
      </w:r>
      <w:r w:rsidRPr="00AF5B6D">
        <w:rPr>
          <w:kern w:val="22"/>
          <w:szCs w:val="22"/>
          <w:lang w:val="fr-CA"/>
        </w:rPr>
        <w:t xml:space="preserve">es de conservation </w:t>
      </w:r>
      <w:r w:rsidR="00A41637">
        <w:rPr>
          <w:kern w:val="22"/>
          <w:szCs w:val="22"/>
          <w:lang w:val="fr-CA"/>
        </w:rPr>
        <w:t xml:space="preserve">efficaces </w:t>
      </w:r>
      <w:r w:rsidRPr="00AF5B6D">
        <w:rPr>
          <w:kern w:val="22"/>
          <w:szCs w:val="22"/>
          <w:lang w:val="fr-CA"/>
        </w:rPr>
        <w:t xml:space="preserve">par zone dans les paysages </w:t>
      </w:r>
      <w:r w:rsidR="00E60A17" w:rsidRPr="00AF5B6D">
        <w:rPr>
          <w:kern w:val="22"/>
          <w:szCs w:val="22"/>
          <w:lang w:val="fr-CA"/>
        </w:rPr>
        <w:t>terrestres et marins plus vastes et leur intégration dans les différents secteurs</w:t>
      </w:r>
      <w:r w:rsidR="00BA6AD8" w:rsidRPr="00AF5B6D">
        <w:rPr>
          <w:kern w:val="22"/>
          <w:szCs w:val="22"/>
          <w:lang w:val="fr-CA"/>
        </w:rPr>
        <w:t>.</w:t>
      </w:r>
      <w:r w:rsidR="00871157" w:rsidRPr="00AF5B6D">
        <w:rPr>
          <w:rStyle w:val="Appelnotedebasdep"/>
          <w:kern w:val="22"/>
          <w:sz w:val="22"/>
          <w:szCs w:val="22"/>
          <w:u w:val="none"/>
          <w:vertAlign w:val="superscript"/>
          <w:lang w:val="fr-CA"/>
        </w:rPr>
        <w:footnoteReference w:id="6"/>
      </w:r>
    </w:p>
    <w:p w:rsidR="00242F8D" w:rsidRPr="00AF5B6D" w:rsidRDefault="00904473" w:rsidP="007B3E88">
      <w:pPr>
        <w:pStyle w:val="Para1"/>
        <w:suppressLineNumbers/>
        <w:tabs>
          <w:tab w:val="clear" w:pos="360"/>
        </w:tabs>
        <w:suppressAutoHyphens/>
        <w:kinsoku w:val="0"/>
        <w:overflowPunct w:val="0"/>
        <w:autoSpaceDE w:val="0"/>
        <w:autoSpaceDN w:val="0"/>
        <w:rPr>
          <w:kern w:val="22"/>
          <w:szCs w:val="22"/>
          <w:lang w:val="fr-CA"/>
        </w:rPr>
      </w:pPr>
      <w:r w:rsidRPr="00AF5B6D">
        <w:rPr>
          <w:kern w:val="22"/>
          <w:szCs w:val="22"/>
          <w:lang w:val="fr-CA"/>
        </w:rPr>
        <w:t xml:space="preserve">Conformément au paragraphe 9 a) iv), le Secrétariat, respectant le mémoire d’entente avec le </w:t>
      </w:r>
      <w:r w:rsidR="00DA2AF0" w:rsidRPr="00AF5B6D">
        <w:rPr>
          <w:kern w:val="22"/>
          <w:szCs w:val="22"/>
          <w:lang w:val="fr-CA"/>
        </w:rPr>
        <w:t xml:space="preserve"> </w:t>
      </w:r>
      <w:r w:rsidRPr="00AF5B6D">
        <w:rPr>
          <w:kern w:val="22"/>
          <w:szCs w:val="22"/>
          <w:lang w:val="fr-CA"/>
        </w:rPr>
        <w:t>ministère allemand de la Coopération économique et du Développement</w:t>
      </w:r>
      <w:r w:rsidR="00DA2AF0" w:rsidRPr="00AF5B6D">
        <w:rPr>
          <w:kern w:val="22"/>
          <w:szCs w:val="22"/>
          <w:lang w:val="fr-CA"/>
        </w:rPr>
        <w:t xml:space="preserve"> (</w:t>
      </w:r>
      <w:proofErr w:type="spellStart"/>
      <w:r w:rsidR="00DA2AF0" w:rsidRPr="00AF5B6D">
        <w:rPr>
          <w:kern w:val="22"/>
          <w:szCs w:val="22"/>
          <w:lang w:val="fr-CA"/>
        </w:rPr>
        <w:t>BMZ</w:t>
      </w:r>
      <w:proofErr w:type="spellEnd"/>
      <w:r w:rsidR="00DA2AF0" w:rsidRPr="00AF5B6D">
        <w:rPr>
          <w:kern w:val="22"/>
          <w:szCs w:val="22"/>
          <w:lang w:val="fr-CA"/>
        </w:rPr>
        <w:t xml:space="preserve">) </w:t>
      </w:r>
      <w:r w:rsidRPr="00AF5B6D">
        <w:rPr>
          <w:kern w:val="22"/>
          <w:szCs w:val="22"/>
          <w:lang w:val="fr-CA"/>
        </w:rPr>
        <w:t xml:space="preserve">et en collaboration avec le </w:t>
      </w:r>
      <w:r w:rsidR="002168AD" w:rsidRPr="00AF5B6D">
        <w:rPr>
          <w:kern w:val="22"/>
          <w:szCs w:val="22"/>
          <w:lang w:val="fr-CA"/>
        </w:rPr>
        <w:t xml:space="preserve">Deutsche Gesellschaft </w:t>
      </w:r>
      <w:proofErr w:type="spellStart"/>
      <w:r w:rsidR="002168AD" w:rsidRPr="00AF5B6D">
        <w:rPr>
          <w:kern w:val="22"/>
          <w:szCs w:val="22"/>
          <w:lang w:val="fr-CA"/>
        </w:rPr>
        <w:t>fü</w:t>
      </w:r>
      <w:r w:rsidRPr="00AF5B6D">
        <w:rPr>
          <w:kern w:val="22"/>
          <w:szCs w:val="22"/>
          <w:lang w:val="fr-CA"/>
        </w:rPr>
        <w:t>r</w:t>
      </w:r>
      <w:proofErr w:type="spellEnd"/>
      <w:r w:rsidRPr="00AF5B6D">
        <w:rPr>
          <w:kern w:val="22"/>
          <w:szCs w:val="22"/>
          <w:lang w:val="fr-CA"/>
        </w:rPr>
        <w:t xml:space="preserve"> Internationale </w:t>
      </w:r>
      <w:proofErr w:type="spellStart"/>
      <w:r w:rsidRPr="00AF5B6D">
        <w:rPr>
          <w:kern w:val="22"/>
          <w:szCs w:val="22"/>
          <w:lang w:val="fr-CA"/>
        </w:rPr>
        <w:t>Zusammenarbei</w:t>
      </w:r>
      <w:r w:rsidR="00D56C7E" w:rsidRPr="00AF5B6D">
        <w:rPr>
          <w:kern w:val="22"/>
          <w:szCs w:val="22"/>
          <w:lang w:val="fr-CA"/>
        </w:rPr>
        <w:t>t</w:t>
      </w:r>
      <w:proofErr w:type="spellEnd"/>
      <w:r w:rsidR="00D56C7E" w:rsidRPr="00AF5B6D">
        <w:rPr>
          <w:kern w:val="22"/>
          <w:szCs w:val="22"/>
          <w:lang w:val="fr-CA"/>
        </w:rPr>
        <w:t xml:space="preserve"> (</w:t>
      </w:r>
      <w:proofErr w:type="spellStart"/>
      <w:r w:rsidR="00D56C7E" w:rsidRPr="00AF5B6D">
        <w:rPr>
          <w:kern w:val="22"/>
          <w:szCs w:val="22"/>
          <w:lang w:val="fr-CA"/>
        </w:rPr>
        <w:t>GIZ</w:t>
      </w:r>
      <w:proofErr w:type="spellEnd"/>
      <w:r w:rsidR="00D56C7E" w:rsidRPr="00AF5B6D">
        <w:rPr>
          <w:kern w:val="22"/>
          <w:szCs w:val="22"/>
          <w:lang w:val="fr-CA"/>
        </w:rPr>
        <w:t xml:space="preserve">) </w:t>
      </w:r>
      <w:proofErr w:type="spellStart"/>
      <w:r w:rsidR="00D56C7E" w:rsidRPr="00AF5B6D">
        <w:rPr>
          <w:kern w:val="22"/>
          <w:szCs w:val="22"/>
          <w:lang w:val="fr-CA"/>
        </w:rPr>
        <w:t>GmbH</w:t>
      </w:r>
      <w:proofErr w:type="spellEnd"/>
      <w:r w:rsidR="00D56C7E" w:rsidRPr="00AF5B6D">
        <w:rPr>
          <w:kern w:val="22"/>
          <w:szCs w:val="22"/>
          <w:lang w:val="fr-CA"/>
        </w:rPr>
        <w:t>,</w:t>
      </w:r>
      <w:r w:rsidR="00BC17D0" w:rsidRPr="00AF5B6D">
        <w:rPr>
          <w:rStyle w:val="Appelnotedebasdep"/>
          <w:snapToGrid/>
          <w:kern w:val="22"/>
          <w:sz w:val="22"/>
          <w:szCs w:val="22"/>
          <w:u w:val="none"/>
          <w:vertAlign w:val="superscript"/>
          <w:lang w:val="fr-CA"/>
        </w:rPr>
        <w:footnoteReference w:id="7"/>
      </w:r>
      <w:r w:rsidR="00242F8D" w:rsidRPr="00AF5B6D">
        <w:rPr>
          <w:kern w:val="22"/>
          <w:szCs w:val="22"/>
          <w:lang w:val="fr-CA"/>
        </w:rPr>
        <w:t xml:space="preserve"> </w:t>
      </w:r>
      <w:r w:rsidRPr="00AF5B6D">
        <w:rPr>
          <w:kern w:val="22"/>
          <w:szCs w:val="22"/>
          <w:lang w:val="fr-CA"/>
        </w:rPr>
        <w:t xml:space="preserve">a préparé des </w:t>
      </w:r>
      <w:r w:rsidR="00052343" w:rsidRPr="00AF5B6D">
        <w:rPr>
          <w:kern w:val="22"/>
          <w:szCs w:val="22"/>
          <w:lang w:val="fr-CA"/>
        </w:rPr>
        <w:t>orientations facultatives pour examen par l’Organe subsidiaire chargé de fournir des avis scientifiques, techniques et technologiques et un document informatif sur les modèles de gestion efficace des aires protégées, y compris l’équité</w:t>
      </w:r>
      <w:r w:rsidR="00242F8D" w:rsidRPr="00AF5B6D">
        <w:rPr>
          <w:kern w:val="22"/>
          <w:szCs w:val="22"/>
          <w:lang w:val="fr-CA"/>
        </w:rPr>
        <w:t>.</w:t>
      </w:r>
      <w:r w:rsidR="00976AA3" w:rsidRPr="00AF5B6D">
        <w:rPr>
          <w:rStyle w:val="Appelnotedebasdep"/>
          <w:kern w:val="22"/>
          <w:sz w:val="22"/>
          <w:szCs w:val="22"/>
          <w:u w:val="none"/>
          <w:vertAlign w:val="superscript"/>
          <w:lang w:val="fr-CA"/>
        </w:rPr>
        <w:footnoteReference w:id="8"/>
      </w:r>
    </w:p>
    <w:p w:rsidR="00D740E7" w:rsidRPr="00AF5B6D" w:rsidRDefault="00052343" w:rsidP="007B3E88">
      <w:pPr>
        <w:pStyle w:val="Para1"/>
        <w:suppressLineNumbers/>
        <w:tabs>
          <w:tab w:val="clear" w:pos="360"/>
        </w:tabs>
        <w:suppressAutoHyphens/>
        <w:kinsoku w:val="0"/>
        <w:overflowPunct w:val="0"/>
        <w:autoSpaceDE w:val="0"/>
        <w:autoSpaceDN w:val="0"/>
        <w:rPr>
          <w:rFonts w:eastAsia="Calibri"/>
          <w:i/>
          <w:kern w:val="22"/>
          <w:szCs w:val="22"/>
          <w:lang w:val="fr-CA"/>
        </w:rPr>
      </w:pPr>
      <w:r w:rsidRPr="00AF5B6D">
        <w:rPr>
          <w:rFonts w:eastAsia="Calibri"/>
          <w:kern w:val="22"/>
          <w:szCs w:val="22"/>
          <w:lang w:val="fr-CA"/>
        </w:rPr>
        <w:t xml:space="preserve">Donnant suite au paragraphe 10 b) de la </w:t>
      </w:r>
      <w:r w:rsidR="00275324" w:rsidRPr="00AF5B6D">
        <w:rPr>
          <w:rFonts w:eastAsia="Calibri"/>
          <w:kern w:val="22"/>
          <w:szCs w:val="22"/>
          <w:lang w:val="fr-CA"/>
        </w:rPr>
        <w:t>dé</w:t>
      </w:r>
      <w:r w:rsidRPr="00AF5B6D">
        <w:rPr>
          <w:rFonts w:eastAsia="Calibri"/>
          <w:kern w:val="22"/>
          <w:szCs w:val="22"/>
          <w:lang w:val="fr-CA"/>
        </w:rPr>
        <w:t>cision</w:t>
      </w:r>
      <w:r w:rsidR="00636BA8" w:rsidRPr="00AF5B6D">
        <w:rPr>
          <w:kern w:val="22"/>
          <w:szCs w:val="22"/>
          <w:lang w:val="fr-CA"/>
        </w:rPr>
        <w:t xml:space="preserve"> XIII/2</w:t>
      </w:r>
      <w:r w:rsidRPr="00AF5B6D">
        <w:rPr>
          <w:kern w:val="22"/>
          <w:szCs w:val="22"/>
          <w:lang w:val="fr-CA"/>
        </w:rPr>
        <w:t xml:space="preserve"> et grâce au soutien financier du gouvernement de l’Italie, la Secrétaire </w:t>
      </w:r>
      <w:r w:rsidR="00275324" w:rsidRPr="00AF5B6D">
        <w:rPr>
          <w:kern w:val="22"/>
          <w:szCs w:val="22"/>
          <w:lang w:val="fr-CA"/>
        </w:rPr>
        <w:t>exécutive</w:t>
      </w:r>
      <w:r w:rsidRPr="00AF5B6D">
        <w:rPr>
          <w:kern w:val="22"/>
          <w:szCs w:val="22"/>
          <w:lang w:val="fr-CA"/>
        </w:rPr>
        <w:t xml:space="preserve"> a organisé un atelier d’experts techniques sur d’autres mesures de conservation </w:t>
      </w:r>
      <w:r w:rsidR="00842636">
        <w:rPr>
          <w:kern w:val="22"/>
          <w:szCs w:val="22"/>
          <w:lang w:val="fr-CA"/>
        </w:rPr>
        <w:t>efficaces</w:t>
      </w:r>
      <w:r w:rsidRPr="00AF5B6D">
        <w:rPr>
          <w:kern w:val="22"/>
          <w:szCs w:val="22"/>
          <w:lang w:val="fr-CA"/>
        </w:rPr>
        <w:t xml:space="preserve"> par zone en vue de réaliser l’Objectif 11 d’Aichi relatif à</w:t>
      </w:r>
      <w:r w:rsidR="00275324" w:rsidRPr="00AF5B6D">
        <w:rPr>
          <w:kern w:val="22"/>
          <w:szCs w:val="22"/>
          <w:lang w:val="fr-CA"/>
        </w:rPr>
        <w:t xml:space="preserve"> la di</w:t>
      </w:r>
      <w:r w:rsidRPr="00AF5B6D">
        <w:rPr>
          <w:kern w:val="22"/>
          <w:szCs w:val="22"/>
          <w:lang w:val="fr-CA"/>
        </w:rPr>
        <w:t xml:space="preserve">versité biologique, qui s’est déroulé à Montréal, au Canada, du 6 au 9 février 2018. </w:t>
      </w:r>
      <w:r w:rsidR="00275324" w:rsidRPr="00AF5B6D">
        <w:rPr>
          <w:kern w:val="22"/>
          <w:szCs w:val="22"/>
          <w:lang w:val="fr-CA"/>
        </w:rPr>
        <w:t xml:space="preserve">Conformément à la </w:t>
      </w:r>
      <w:r w:rsidR="00AB7832" w:rsidRPr="00AF5B6D">
        <w:rPr>
          <w:kern w:val="22"/>
          <w:szCs w:val="22"/>
          <w:lang w:val="fr-CA"/>
        </w:rPr>
        <w:t>dé</w:t>
      </w:r>
      <w:r w:rsidR="00275324" w:rsidRPr="00AF5B6D">
        <w:rPr>
          <w:kern w:val="22"/>
          <w:szCs w:val="22"/>
          <w:lang w:val="fr-CA"/>
        </w:rPr>
        <w:t xml:space="preserve">cision XIII/9, comme indiqué au paragraphe 3, l’atelier d’experts sur les aires marines protégées et autres mesures de conservation </w:t>
      </w:r>
      <w:r w:rsidR="00842636">
        <w:rPr>
          <w:kern w:val="22"/>
          <w:szCs w:val="22"/>
          <w:lang w:val="fr-CA"/>
        </w:rPr>
        <w:t>efficaces</w:t>
      </w:r>
      <w:r w:rsidR="00275324" w:rsidRPr="00AF5B6D">
        <w:rPr>
          <w:kern w:val="22"/>
          <w:szCs w:val="22"/>
          <w:lang w:val="fr-CA"/>
        </w:rPr>
        <w:t xml:space="preserve"> par zone en vue de la réalisation de l’Objectif 11 d’Aichi relatif à la diversité biologique dans les aires marines et côtières s’est d</w:t>
      </w:r>
      <w:r w:rsidR="00AB7832" w:rsidRPr="00AF5B6D">
        <w:rPr>
          <w:kern w:val="22"/>
          <w:szCs w:val="22"/>
          <w:lang w:val="fr-CA"/>
        </w:rPr>
        <w:t>ér</w:t>
      </w:r>
      <w:r w:rsidR="00275324" w:rsidRPr="00AF5B6D">
        <w:rPr>
          <w:kern w:val="22"/>
          <w:szCs w:val="22"/>
          <w:lang w:val="fr-CA"/>
        </w:rPr>
        <w:t>oulé parall</w:t>
      </w:r>
      <w:r w:rsidR="00AB7832" w:rsidRPr="00AF5B6D">
        <w:rPr>
          <w:kern w:val="22"/>
          <w:szCs w:val="22"/>
          <w:lang w:val="fr-CA"/>
        </w:rPr>
        <w:t>èle</w:t>
      </w:r>
      <w:r w:rsidR="00275324" w:rsidRPr="00AF5B6D">
        <w:rPr>
          <w:kern w:val="22"/>
          <w:szCs w:val="22"/>
          <w:lang w:val="fr-CA"/>
        </w:rPr>
        <w:t>ment aux sessions mixtes sur des th</w:t>
      </w:r>
      <w:r w:rsidR="00AB7832" w:rsidRPr="00AF5B6D">
        <w:rPr>
          <w:kern w:val="22"/>
          <w:szCs w:val="22"/>
          <w:lang w:val="fr-CA"/>
        </w:rPr>
        <w:t>è</w:t>
      </w:r>
      <w:r w:rsidR="00275324" w:rsidRPr="00AF5B6D">
        <w:rPr>
          <w:kern w:val="22"/>
          <w:szCs w:val="22"/>
          <w:lang w:val="fr-CA"/>
        </w:rPr>
        <w:t>mes apparentés afin de favoriser l’int</w:t>
      </w:r>
      <w:r w:rsidR="00AB7832" w:rsidRPr="00AF5B6D">
        <w:rPr>
          <w:kern w:val="22"/>
          <w:szCs w:val="22"/>
          <w:lang w:val="fr-CA"/>
        </w:rPr>
        <w:t>égration optimale et d’atteindre les objectifs des deux ateliers. L’atelier sur les aires marines a été accueilli par le gouvernement du Canada et organisé grâce au soutien financier des gouvernements du Canada et de la Norvège. Les rapports de ces atelier</w:t>
      </w:r>
      <w:r w:rsidR="00842636">
        <w:rPr>
          <w:kern w:val="22"/>
          <w:szCs w:val="22"/>
          <w:lang w:val="fr-CA"/>
        </w:rPr>
        <w:t>s</w:t>
      </w:r>
      <w:r w:rsidR="00AB7832" w:rsidRPr="00AF5B6D">
        <w:rPr>
          <w:kern w:val="22"/>
          <w:szCs w:val="22"/>
          <w:lang w:val="fr-CA"/>
        </w:rPr>
        <w:t xml:space="preserve"> sont présentés dans des documents informatifs.</w:t>
      </w:r>
      <w:r w:rsidR="004F0719" w:rsidRPr="00AF5B6D">
        <w:rPr>
          <w:rStyle w:val="Appelnotedebasdep"/>
          <w:rFonts w:eastAsia="Calibri"/>
          <w:kern w:val="22"/>
          <w:sz w:val="22"/>
          <w:szCs w:val="22"/>
          <w:u w:val="none"/>
          <w:vertAlign w:val="superscript"/>
          <w:lang w:val="fr-CA"/>
        </w:rPr>
        <w:footnoteReference w:id="9"/>
      </w:r>
      <w:r w:rsidR="00242F8D" w:rsidRPr="00AF5B6D">
        <w:rPr>
          <w:rFonts w:eastAsia="Calibri"/>
          <w:kern w:val="22"/>
          <w:szCs w:val="22"/>
          <w:lang w:val="fr-CA"/>
        </w:rPr>
        <w:t xml:space="preserve"> </w:t>
      </w:r>
      <w:r w:rsidR="00CB7393" w:rsidRPr="00AF5B6D">
        <w:rPr>
          <w:rFonts w:eastAsia="Calibri"/>
          <w:kern w:val="22"/>
          <w:szCs w:val="22"/>
          <w:lang w:val="fr-CA"/>
        </w:rPr>
        <w:t>Les conclusions de ces ateliers concernant les orientations facultatives sur la définition, l</w:t>
      </w:r>
      <w:r w:rsidR="00CB7393" w:rsidRPr="00AF5B6D">
        <w:rPr>
          <w:lang w:val="fr-CA"/>
        </w:rPr>
        <w:t xml:space="preserve">es approches de gestion et le recensement d’autres </w:t>
      </w:r>
      <w:r w:rsidR="00FC1EA0" w:rsidRPr="00AF5B6D">
        <w:rPr>
          <w:lang w:val="fr-CA"/>
        </w:rPr>
        <w:t>mesures de conservation efficaces</w:t>
      </w:r>
      <w:r w:rsidR="00CB7393" w:rsidRPr="00AF5B6D">
        <w:rPr>
          <w:lang w:val="fr-CA"/>
        </w:rPr>
        <w:t xml:space="preserve"> par zone sont </w:t>
      </w:r>
      <w:r w:rsidR="00DE646F" w:rsidRPr="00AF5B6D">
        <w:rPr>
          <w:lang w:val="fr-CA"/>
        </w:rPr>
        <w:t>jointes à</w:t>
      </w:r>
      <w:r w:rsidR="00CB7393" w:rsidRPr="00AF5B6D">
        <w:rPr>
          <w:lang w:val="fr-CA"/>
        </w:rPr>
        <w:t xml:space="preserve"> l’annexe I</w:t>
      </w:r>
      <w:r w:rsidR="00DE646F" w:rsidRPr="00AF5B6D">
        <w:rPr>
          <w:lang w:val="fr-CA"/>
        </w:rPr>
        <w:t>I</w:t>
      </w:r>
      <w:r w:rsidR="00CB7393" w:rsidRPr="00AF5B6D">
        <w:rPr>
          <w:lang w:val="fr-CA"/>
        </w:rPr>
        <w:t xml:space="preserve">I au présent document. Les conclusions portant sur les thèmes </w:t>
      </w:r>
      <w:r w:rsidR="00DE646F" w:rsidRPr="00AF5B6D">
        <w:rPr>
          <w:lang w:val="fr-CA"/>
        </w:rPr>
        <w:t>abordés à l’atelier d’experts sur les aires marines protégées et autres mesures de conservation effectives par zone en vue de la réalisation d</w:t>
      </w:r>
      <w:r w:rsidR="00A41637">
        <w:rPr>
          <w:lang w:val="fr-CA"/>
        </w:rPr>
        <w:t>e l’Objectif 11 d’Aichi relatif</w:t>
      </w:r>
      <w:r w:rsidR="00DE646F" w:rsidRPr="00AF5B6D">
        <w:rPr>
          <w:lang w:val="fr-CA"/>
        </w:rPr>
        <w:t xml:space="preserve"> à la diversité biologique dans les aires marines et côtières sont jointes à l’annexe IV.</w:t>
      </w:r>
    </w:p>
    <w:p w:rsidR="00864B12" w:rsidRPr="00AF5B6D" w:rsidRDefault="00DE646F" w:rsidP="007B3E88">
      <w:pPr>
        <w:pStyle w:val="Para1"/>
        <w:keepNext/>
        <w:numPr>
          <w:ilvl w:val="0"/>
          <w:numId w:val="0"/>
        </w:numPr>
        <w:suppressLineNumbers/>
        <w:suppressAutoHyphens/>
        <w:kinsoku w:val="0"/>
        <w:overflowPunct w:val="0"/>
        <w:autoSpaceDE w:val="0"/>
        <w:autoSpaceDN w:val="0"/>
        <w:jc w:val="center"/>
        <w:rPr>
          <w:b/>
          <w:kern w:val="22"/>
          <w:szCs w:val="22"/>
          <w:lang w:val="fr-CA"/>
        </w:rPr>
      </w:pPr>
      <w:r w:rsidRPr="00AF5B6D">
        <w:rPr>
          <w:b/>
          <w:kern w:val="22"/>
          <w:szCs w:val="22"/>
          <w:lang w:val="fr-CA"/>
        </w:rPr>
        <w:lastRenderedPageBreak/>
        <w:t>RECOMMANDATIONS PROPOSÉES</w:t>
      </w:r>
    </w:p>
    <w:p w:rsidR="00864B12" w:rsidRPr="00AF5B6D" w:rsidRDefault="00DE646F" w:rsidP="007B3E88">
      <w:pPr>
        <w:pStyle w:val="Para1"/>
        <w:keepNext/>
        <w:numPr>
          <w:ilvl w:val="0"/>
          <w:numId w:val="0"/>
        </w:numPr>
        <w:suppressLineNumbers/>
        <w:suppressAutoHyphens/>
        <w:kinsoku w:val="0"/>
        <w:overflowPunct w:val="0"/>
        <w:autoSpaceDE w:val="0"/>
        <w:autoSpaceDN w:val="0"/>
        <w:ind w:firstLine="810"/>
        <w:rPr>
          <w:i/>
          <w:kern w:val="22"/>
          <w:szCs w:val="22"/>
          <w:lang w:val="fr-CA"/>
        </w:rPr>
      </w:pPr>
      <w:r w:rsidRPr="00AF5B6D">
        <w:rPr>
          <w:i/>
          <w:kern w:val="22"/>
          <w:szCs w:val="22"/>
          <w:lang w:val="fr-CA"/>
        </w:rPr>
        <w:t xml:space="preserve">L’Organe subsidiaire chargé de fournir des avis scientifiques, techniques et technologiques  </w:t>
      </w:r>
    </w:p>
    <w:p w:rsidR="00864B12" w:rsidRPr="00AF5B6D" w:rsidRDefault="00DE646F" w:rsidP="007B3E88">
      <w:pPr>
        <w:pStyle w:val="Para1"/>
        <w:numPr>
          <w:ilvl w:val="3"/>
          <w:numId w:val="8"/>
        </w:numPr>
        <w:suppressLineNumbers/>
        <w:suppressAutoHyphens/>
        <w:kinsoku w:val="0"/>
        <w:overflowPunct w:val="0"/>
        <w:autoSpaceDE w:val="0"/>
        <w:autoSpaceDN w:val="0"/>
        <w:spacing w:before="0"/>
        <w:ind w:left="0" w:firstLine="810"/>
        <w:rPr>
          <w:kern w:val="22"/>
          <w:szCs w:val="22"/>
          <w:lang w:val="fr-CA"/>
        </w:rPr>
      </w:pPr>
      <w:r w:rsidRPr="00AF5B6D">
        <w:rPr>
          <w:i/>
          <w:kern w:val="22"/>
          <w:szCs w:val="22"/>
          <w:lang w:val="fr-CA"/>
        </w:rPr>
        <w:t xml:space="preserve">Se réjouit </w:t>
      </w:r>
      <w:r w:rsidR="00A83139" w:rsidRPr="00AF5B6D">
        <w:rPr>
          <w:kern w:val="22"/>
          <w:szCs w:val="22"/>
          <w:lang w:val="fr-CA"/>
        </w:rPr>
        <w:t>des orientations fa</w:t>
      </w:r>
      <w:r w:rsidRPr="00AF5B6D">
        <w:rPr>
          <w:kern w:val="22"/>
          <w:szCs w:val="22"/>
          <w:lang w:val="fr-CA"/>
        </w:rPr>
        <w:t>cultatives sur l’intégration des aires prot</w:t>
      </w:r>
      <w:r w:rsidR="00A83139" w:rsidRPr="00AF5B6D">
        <w:rPr>
          <w:kern w:val="22"/>
          <w:szCs w:val="22"/>
          <w:lang w:val="fr-CA"/>
        </w:rPr>
        <w:t>é</w:t>
      </w:r>
      <w:r w:rsidRPr="00AF5B6D">
        <w:rPr>
          <w:kern w:val="22"/>
          <w:szCs w:val="22"/>
          <w:lang w:val="fr-CA"/>
        </w:rPr>
        <w:t xml:space="preserve">gées et autres mesures de conservation </w:t>
      </w:r>
      <w:r w:rsidR="00BE5390">
        <w:rPr>
          <w:kern w:val="22"/>
          <w:szCs w:val="22"/>
          <w:lang w:val="fr-CA"/>
        </w:rPr>
        <w:t>efficaces</w:t>
      </w:r>
      <w:r w:rsidRPr="00AF5B6D">
        <w:rPr>
          <w:kern w:val="22"/>
          <w:szCs w:val="22"/>
          <w:lang w:val="fr-CA"/>
        </w:rPr>
        <w:t xml:space="preserve"> par zone dans les paysages </w:t>
      </w:r>
      <w:r w:rsidR="00A83139" w:rsidRPr="00AF5B6D">
        <w:rPr>
          <w:kern w:val="22"/>
          <w:szCs w:val="22"/>
          <w:lang w:val="fr-CA"/>
        </w:rPr>
        <w:t>terrestres et marins plus vastes et l’intégration dan</w:t>
      </w:r>
      <w:r w:rsidR="00BE5390">
        <w:rPr>
          <w:kern w:val="22"/>
          <w:szCs w:val="22"/>
          <w:lang w:val="fr-CA"/>
        </w:rPr>
        <w:t>s tous les secteurs, ainsi que de</w:t>
      </w:r>
      <w:r w:rsidR="00A83139" w:rsidRPr="00AF5B6D">
        <w:rPr>
          <w:kern w:val="22"/>
          <w:szCs w:val="22"/>
          <w:lang w:val="fr-CA"/>
        </w:rPr>
        <w:t xml:space="preserve">s orientations facultatives sur la gouvernance et l’équité présentées respectivement </w:t>
      </w:r>
      <w:r w:rsidR="00BE5390">
        <w:rPr>
          <w:kern w:val="22"/>
          <w:szCs w:val="22"/>
          <w:lang w:val="fr-CA"/>
        </w:rPr>
        <w:t>aux</w:t>
      </w:r>
      <w:r w:rsidR="00A83139" w:rsidRPr="00AF5B6D">
        <w:rPr>
          <w:kern w:val="22"/>
          <w:szCs w:val="22"/>
          <w:lang w:val="fr-CA"/>
        </w:rPr>
        <w:t xml:space="preserve"> annexes I et II à la présente recommandation</w:t>
      </w:r>
      <w:r w:rsidR="00864B12" w:rsidRPr="00AF5B6D">
        <w:rPr>
          <w:kern w:val="22"/>
          <w:szCs w:val="22"/>
          <w:lang w:val="fr-CA"/>
        </w:rPr>
        <w:t>;</w:t>
      </w:r>
      <w:bookmarkStart w:id="1" w:name="_Ref509910957"/>
      <w:r w:rsidR="00DC7FC7" w:rsidRPr="00AF5B6D">
        <w:rPr>
          <w:rStyle w:val="Appelnotedebasdep"/>
          <w:kern w:val="22"/>
          <w:sz w:val="22"/>
          <w:szCs w:val="22"/>
          <w:u w:val="none"/>
          <w:vertAlign w:val="superscript"/>
          <w:lang w:val="fr-CA"/>
        </w:rPr>
        <w:footnoteReference w:id="10"/>
      </w:r>
      <w:bookmarkEnd w:id="1"/>
    </w:p>
    <w:p w:rsidR="00864B12" w:rsidRPr="00AF5B6D" w:rsidRDefault="00A83139" w:rsidP="007B3E88">
      <w:pPr>
        <w:pStyle w:val="Para1"/>
        <w:numPr>
          <w:ilvl w:val="3"/>
          <w:numId w:val="8"/>
        </w:numPr>
        <w:suppressLineNumbers/>
        <w:suppressAutoHyphens/>
        <w:kinsoku w:val="0"/>
        <w:overflowPunct w:val="0"/>
        <w:autoSpaceDE w:val="0"/>
        <w:autoSpaceDN w:val="0"/>
        <w:spacing w:before="0"/>
        <w:ind w:left="0" w:firstLine="810"/>
        <w:rPr>
          <w:kern w:val="22"/>
          <w:szCs w:val="22"/>
          <w:lang w:val="fr-CA"/>
        </w:rPr>
      </w:pPr>
      <w:r w:rsidRPr="00AF5B6D">
        <w:rPr>
          <w:i/>
          <w:kern w:val="22"/>
          <w:szCs w:val="22"/>
          <w:lang w:val="fr-CA"/>
        </w:rPr>
        <w:t xml:space="preserve">Adopte </w:t>
      </w:r>
      <w:r w:rsidRPr="00AF5B6D">
        <w:rPr>
          <w:kern w:val="22"/>
          <w:szCs w:val="22"/>
          <w:lang w:val="fr-CA"/>
        </w:rPr>
        <w:t xml:space="preserve">les avis scientifiques et techniques sur la définition, les approches de gestion et le recensement d’autres </w:t>
      </w:r>
      <w:r w:rsidR="00FC1EA0" w:rsidRPr="00AF5B6D">
        <w:rPr>
          <w:kern w:val="22"/>
          <w:szCs w:val="22"/>
          <w:lang w:val="fr-CA"/>
        </w:rPr>
        <w:t>mesures de conservation efficaces</w:t>
      </w:r>
      <w:r w:rsidRPr="00AF5B6D">
        <w:rPr>
          <w:kern w:val="22"/>
          <w:szCs w:val="22"/>
          <w:lang w:val="fr-CA"/>
        </w:rPr>
        <w:t xml:space="preserve"> par zone et leur rôle dans la réalisation de l’Objectif 11 d’Aichi relatif à la diversité biologique</w:t>
      </w:r>
      <w:r w:rsidR="00C60E63">
        <w:rPr>
          <w:kern w:val="22"/>
          <w:szCs w:val="22"/>
          <w:lang w:val="fr-CA"/>
        </w:rPr>
        <w:t>, contenus à l’annexe III a</w:t>
      </w:r>
      <w:r w:rsidR="00F95FA5" w:rsidRPr="00AF5B6D">
        <w:rPr>
          <w:kern w:val="22"/>
          <w:szCs w:val="22"/>
          <w:lang w:val="fr-CA"/>
        </w:rPr>
        <w:t xml:space="preserve">u présent projet de </w:t>
      </w:r>
      <w:r w:rsidR="00BE5390">
        <w:rPr>
          <w:kern w:val="22"/>
          <w:szCs w:val="22"/>
          <w:lang w:val="fr-CA"/>
        </w:rPr>
        <w:t>recommandation</w:t>
      </w:r>
      <w:r w:rsidR="00460B97" w:rsidRPr="00AF5B6D">
        <w:rPr>
          <w:kern w:val="22"/>
          <w:szCs w:val="22"/>
          <w:lang w:val="fr-CA"/>
        </w:rPr>
        <w:t>.</w:t>
      </w:r>
      <w:bookmarkStart w:id="2" w:name="_Ref510776373"/>
      <w:r w:rsidR="007222A4" w:rsidRPr="00AF5B6D">
        <w:rPr>
          <w:rStyle w:val="Appelnotedebasdep"/>
          <w:kern w:val="22"/>
          <w:sz w:val="22"/>
          <w:szCs w:val="22"/>
          <w:u w:val="none"/>
          <w:vertAlign w:val="superscript"/>
          <w:lang w:val="fr-CA"/>
        </w:rPr>
        <w:footnoteReference w:id="11"/>
      </w:r>
      <w:bookmarkEnd w:id="2"/>
    </w:p>
    <w:p w:rsidR="00864B12" w:rsidRPr="00AF5B6D" w:rsidRDefault="00F95FA5" w:rsidP="007B3E88">
      <w:pPr>
        <w:pStyle w:val="Para1"/>
        <w:numPr>
          <w:ilvl w:val="0"/>
          <w:numId w:val="0"/>
        </w:numPr>
        <w:suppressLineNumbers/>
        <w:suppressAutoHyphens/>
        <w:kinsoku w:val="0"/>
        <w:overflowPunct w:val="0"/>
        <w:autoSpaceDE w:val="0"/>
        <w:autoSpaceDN w:val="0"/>
        <w:spacing w:before="0"/>
        <w:ind w:firstLine="720"/>
        <w:rPr>
          <w:kern w:val="22"/>
          <w:szCs w:val="22"/>
          <w:lang w:val="fr-CA"/>
        </w:rPr>
      </w:pPr>
      <w:r w:rsidRPr="00AF5B6D">
        <w:rPr>
          <w:kern w:val="22"/>
          <w:szCs w:val="22"/>
          <w:lang w:val="fr-CA"/>
        </w:rPr>
        <w:t xml:space="preserve">L’Organe subsidiaire chargé de fournir des avis scientifiques, techniques et technologiques recommande que la Conférence des Parties, à sa quatorzième réunion, adopte une décision qui ressemble à ce qui suit </w:t>
      </w:r>
      <w:r w:rsidR="00864B12" w:rsidRPr="00AF5B6D">
        <w:rPr>
          <w:kern w:val="22"/>
          <w:szCs w:val="22"/>
          <w:lang w:val="fr-CA"/>
        </w:rPr>
        <w:t>:</w:t>
      </w:r>
    </w:p>
    <w:p w:rsidR="00864B12" w:rsidRPr="00AF5B6D" w:rsidRDefault="00F95FA5" w:rsidP="007B3E88">
      <w:pPr>
        <w:pStyle w:val="Para1"/>
        <w:keepNext/>
        <w:numPr>
          <w:ilvl w:val="0"/>
          <w:numId w:val="0"/>
        </w:numPr>
        <w:suppressLineNumbers/>
        <w:suppressAutoHyphens/>
        <w:kinsoku w:val="0"/>
        <w:overflowPunct w:val="0"/>
        <w:autoSpaceDE w:val="0"/>
        <w:autoSpaceDN w:val="0"/>
        <w:spacing w:before="0"/>
        <w:ind w:left="720" w:firstLine="720"/>
        <w:rPr>
          <w:i/>
          <w:kern w:val="22"/>
          <w:szCs w:val="22"/>
          <w:lang w:val="fr-CA"/>
        </w:rPr>
      </w:pPr>
      <w:r w:rsidRPr="00AF5B6D">
        <w:rPr>
          <w:i/>
          <w:kern w:val="22"/>
          <w:szCs w:val="22"/>
          <w:lang w:val="fr-CA"/>
        </w:rPr>
        <w:t xml:space="preserve">La Conférence des Parties </w:t>
      </w:r>
    </w:p>
    <w:p w:rsidR="00864B12" w:rsidRPr="00AF5B6D" w:rsidRDefault="006A3F97" w:rsidP="007B3E88">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sidRPr="00AF5B6D">
        <w:rPr>
          <w:kern w:val="22"/>
          <w:szCs w:val="22"/>
          <w:lang w:val="fr-CA"/>
        </w:rPr>
        <w:t>1.</w:t>
      </w:r>
      <w:r w:rsidRPr="00AF5B6D">
        <w:rPr>
          <w:kern w:val="22"/>
          <w:szCs w:val="22"/>
          <w:lang w:val="fr-CA"/>
        </w:rPr>
        <w:tab/>
      </w:r>
      <w:r w:rsidR="00F95FA5" w:rsidRPr="00AF5B6D">
        <w:rPr>
          <w:i/>
          <w:kern w:val="22"/>
          <w:szCs w:val="22"/>
          <w:lang w:val="fr-CA"/>
        </w:rPr>
        <w:t xml:space="preserve">Se réjouit </w:t>
      </w:r>
      <w:r w:rsidR="00F95FA5" w:rsidRPr="00AF5B6D">
        <w:rPr>
          <w:kern w:val="22"/>
          <w:szCs w:val="22"/>
          <w:lang w:val="fr-CA"/>
        </w:rPr>
        <w:t xml:space="preserve">des orientations facultatives sur l’intégration des aires protégées et autres mesures de conservation </w:t>
      </w:r>
      <w:r w:rsidR="00BE5390">
        <w:rPr>
          <w:kern w:val="22"/>
          <w:szCs w:val="22"/>
          <w:lang w:val="fr-CA"/>
        </w:rPr>
        <w:t>efficaces</w:t>
      </w:r>
      <w:r w:rsidR="00F95FA5" w:rsidRPr="00AF5B6D">
        <w:rPr>
          <w:kern w:val="22"/>
          <w:szCs w:val="22"/>
          <w:lang w:val="fr-CA"/>
        </w:rPr>
        <w:t xml:space="preserve"> par zone dans les paysages terrestres et marins plus vastes et l’intégration dan</w:t>
      </w:r>
      <w:r w:rsidR="00BE5390">
        <w:rPr>
          <w:kern w:val="22"/>
          <w:szCs w:val="22"/>
          <w:lang w:val="fr-CA"/>
        </w:rPr>
        <w:t>s tous les secteurs, ainsi que d</w:t>
      </w:r>
      <w:r w:rsidR="00F95FA5" w:rsidRPr="00AF5B6D">
        <w:rPr>
          <w:kern w:val="22"/>
          <w:szCs w:val="22"/>
          <w:lang w:val="fr-CA"/>
        </w:rPr>
        <w:t xml:space="preserve">es orientations facultatives sur la gouvernance et l’équité présentées respectivement dans les annexes I et II </w:t>
      </w:r>
      <w:r w:rsidR="00BE5390">
        <w:rPr>
          <w:kern w:val="22"/>
          <w:szCs w:val="22"/>
          <w:lang w:val="fr-CA"/>
        </w:rPr>
        <w:t>au présent projet de décision</w:t>
      </w:r>
      <w:r w:rsidR="00864B12" w:rsidRPr="00AF5B6D">
        <w:rPr>
          <w:kern w:val="22"/>
          <w:szCs w:val="22"/>
          <w:lang w:val="fr-CA"/>
        </w:rPr>
        <w:t>;</w:t>
      </w:r>
      <w:r w:rsidR="009B7000" w:rsidRPr="00AF5B6D">
        <w:rPr>
          <w:kern w:val="22"/>
          <w:szCs w:val="22"/>
          <w:vertAlign w:val="superscript"/>
          <w:lang w:val="fr-CA"/>
        </w:rPr>
        <w:fldChar w:fldCharType="begin"/>
      </w:r>
      <w:r w:rsidR="009B7000" w:rsidRPr="00AF5B6D">
        <w:rPr>
          <w:kern w:val="22"/>
          <w:szCs w:val="22"/>
          <w:vertAlign w:val="superscript"/>
          <w:lang w:val="fr-CA"/>
        </w:rPr>
        <w:instrText xml:space="preserve"> NOTEREF _Ref509910957 \h  \* MERGEFORMAT </w:instrText>
      </w:r>
      <w:r w:rsidR="009B7000" w:rsidRPr="00AF5B6D">
        <w:rPr>
          <w:kern w:val="22"/>
          <w:szCs w:val="22"/>
          <w:vertAlign w:val="superscript"/>
          <w:lang w:val="fr-CA"/>
        </w:rPr>
      </w:r>
      <w:r w:rsidR="009B7000" w:rsidRPr="00AF5B6D">
        <w:rPr>
          <w:kern w:val="22"/>
          <w:szCs w:val="22"/>
          <w:vertAlign w:val="superscript"/>
          <w:lang w:val="fr-CA"/>
        </w:rPr>
        <w:fldChar w:fldCharType="separate"/>
      </w:r>
      <w:r w:rsidR="00C60E63">
        <w:rPr>
          <w:kern w:val="22"/>
          <w:szCs w:val="22"/>
          <w:vertAlign w:val="superscript"/>
          <w:lang w:val="fr-CA"/>
        </w:rPr>
        <w:t>9</w:t>
      </w:r>
      <w:r w:rsidR="009B7000" w:rsidRPr="00AF5B6D">
        <w:rPr>
          <w:kern w:val="22"/>
          <w:szCs w:val="22"/>
          <w:vertAlign w:val="superscript"/>
          <w:lang w:val="fr-CA"/>
        </w:rPr>
        <w:fldChar w:fldCharType="end"/>
      </w:r>
    </w:p>
    <w:p w:rsidR="00864B12" w:rsidRPr="00AF5B6D" w:rsidRDefault="006A3F97" w:rsidP="007B3E88">
      <w:pPr>
        <w:pStyle w:val="Para1"/>
        <w:numPr>
          <w:ilvl w:val="0"/>
          <w:numId w:val="0"/>
        </w:numPr>
        <w:suppressLineNumbers/>
        <w:suppressAutoHyphens/>
        <w:kinsoku w:val="0"/>
        <w:overflowPunct w:val="0"/>
        <w:autoSpaceDE w:val="0"/>
        <w:autoSpaceDN w:val="0"/>
        <w:spacing w:before="0"/>
        <w:ind w:left="720" w:firstLine="720"/>
        <w:rPr>
          <w:i/>
          <w:kern w:val="22"/>
          <w:szCs w:val="22"/>
          <w:lang w:val="fr-CA"/>
        </w:rPr>
      </w:pPr>
      <w:r w:rsidRPr="00AF5B6D">
        <w:rPr>
          <w:kern w:val="22"/>
          <w:szCs w:val="22"/>
          <w:lang w:val="fr-CA"/>
        </w:rPr>
        <w:t>2.</w:t>
      </w:r>
      <w:r w:rsidRPr="00AF5B6D">
        <w:rPr>
          <w:kern w:val="22"/>
          <w:szCs w:val="22"/>
          <w:lang w:val="fr-CA"/>
        </w:rPr>
        <w:tab/>
      </w:r>
      <w:r w:rsidR="00F95FA5" w:rsidRPr="00AF5B6D">
        <w:rPr>
          <w:i/>
          <w:kern w:val="22"/>
          <w:szCs w:val="22"/>
          <w:lang w:val="fr-CA"/>
        </w:rPr>
        <w:t xml:space="preserve">Adopte </w:t>
      </w:r>
      <w:r w:rsidR="00F95FA5" w:rsidRPr="00AF5B6D">
        <w:rPr>
          <w:kern w:val="22"/>
          <w:szCs w:val="22"/>
          <w:lang w:val="fr-CA"/>
        </w:rPr>
        <w:t xml:space="preserve">les avis scientifiques et techniques sur la définition, les approches de gestion et le recensement d’autres </w:t>
      </w:r>
      <w:r w:rsidR="00FC1EA0" w:rsidRPr="00AF5B6D">
        <w:rPr>
          <w:kern w:val="22"/>
          <w:szCs w:val="22"/>
          <w:lang w:val="fr-CA"/>
        </w:rPr>
        <w:t>mesures de conservation efficaces</w:t>
      </w:r>
      <w:r w:rsidR="00F95FA5" w:rsidRPr="00AF5B6D">
        <w:rPr>
          <w:kern w:val="22"/>
          <w:szCs w:val="22"/>
          <w:lang w:val="fr-CA"/>
        </w:rPr>
        <w:t xml:space="preserve"> par zone et leur rôle dans la réalisation de l’Objectif 11 d’Aichi relatif à la diversité biologique, contenus à l’annexe III du présent projet de décision</w:t>
      </w:r>
      <w:r w:rsidR="00864B12" w:rsidRPr="00AF5B6D">
        <w:rPr>
          <w:kern w:val="22"/>
          <w:szCs w:val="22"/>
          <w:lang w:val="fr-CA"/>
        </w:rPr>
        <w:t>;</w:t>
      </w:r>
      <w:r w:rsidR="00AF2752" w:rsidRPr="00AF5B6D">
        <w:rPr>
          <w:kern w:val="22"/>
          <w:szCs w:val="22"/>
          <w:vertAlign w:val="superscript"/>
          <w:lang w:val="fr-CA"/>
        </w:rPr>
        <w:fldChar w:fldCharType="begin"/>
      </w:r>
      <w:r w:rsidR="00AF2752" w:rsidRPr="00AF5B6D">
        <w:rPr>
          <w:kern w:val="22"/>
          <w:szCs w:val="22"/>
          <w:vertAlign w:val="superscript"/>
          <w:lang w:val="fr-CA"/>
        </w:rPr>
        <w:instrText xml:space="preserve"> NOTEREF _Ref510776373 \h  \* MERGEFORMAT </w:instrText>
      </w:r>
      <w:r w:rsidR="00AF2752" w:rsidRPr="00AF5B6D">
        <w:rPr>
          <w:kern w:val="22"/>
          <w:szCs w:val="22"/>
          <w:vertAlign w:val="superscript"/>
          <w:lang w:val="fr-CA"/>
        </w:rPr>
      </w:r>
      <w:r w:rsidR="00AF2752" w:rsidRPr="00AF5B6D">
        <w:rPr>
          <w:kern w:val="22"/>
          <w:szCs w:val="22"/>
          <w:vertAlign w:val="superscript"/>
          <w:lang w:val="fr-CA"/>
        </w:rPr>
        <w:fldChar w:fldCharType="separate"/>
      </w:r>
      <w:r w:rsidR="00C60E63">
        <w:rPr>
          <w:kern w:val="22"/>
          <w:szCs w:val="22"/>
          <w:vertAlign w:val="superscript"/>
          <w:lang w:val="fr-CA"/>
        </w:rPr>
        <w:t>10</w:t>
      </w:r>
      <w:r w:rsidR="00AF2752" w:rsidRPr="00AF5B6D">
        <w:rPr>
          <w:kern w:val="22"/>
          <w:szCs w:val="22"/>
          <w:vertAlign w:val="superscript"/>
          <w:lang w:val="fr-CA"/>
        </w:rPr>
        <w:fldChar w:fldCharType="end"/>
      </w:r>
      <w:r w:rsidR="008F6C3B" w:rsidRPr="00AF5B6D">
        <w:rPr>
          <w:kern w:val="22"/>
          <w:szCs w:val="22"/>
          <w:vertAlign w:val="superscript"/>
          <w:lang w:val="fr-CA"/>
        </w:rPr>
        <w:fldChar w:fldCharType="begin"/>
      </w:r>
      <w:r w:rsidR="008F6C3B" w:rsidRPr="00AF5B6D">
        <w:rPr>
          <w:kern w:val="22"/>
          <w:szCs w:val="22"/>
          <w:vertAlign w:val="superscript"/>
          <w:lang w:val="fr-CA"/>
        </w:rPr>
        <w:instrText xml:space="preserve"> NOTEREF _GoBack \h  \* MERGEFORMAT </w:instrText>
      </w:r>
      <w:r w:rsidR="00C60E63">
        <w:rPr>
          <w:kern w:val="22"/>
          <w:szCs w:val="22"/>
          <w:vertAlign w:val="superscript"/>
          <w:lang w:val="fr-CA"/>
        </w:rPr>
        <w:fldChar w:fldCharType="separate"/>
      </w:r>
      <w:r w:rsidR="008F6C3B" w:rsidRPr="00AF5B6D">
        <w:rPr>
          <w:kern w:val="22"/>
          <w:szCs w:val="22"/>
          <w:vertAlign w:val="superscript"/>
          <w:lang w:val="fr-CA"/>
        </w:rPr>
        <w:fldChar w:fldCharType="end"/>
      </w:r>
    </w:p>
    <w:p w:rsidR="00864B12" w:rsidRPr="00AF5B6D" w:rsidRDefault="006A3F97" w:rsidP="007B3E88">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sidRPr="00AF5B6D">
        <w:rPr>
          <w:kern w:val="22"/>
          <w:szCs w:val="22"/>
          <w:lang w:val="fr-CA"/>
        </w:rPr>
        <w:t>3.</w:t>
      </w:r>
      <w:r w:rsidRPr="00AF5B6D">
        <w:rPr>
          <w:kern w:val="22"/>
          <w:szCs w:val="22"/>
          <w:lang w:val="fr-CA"/>
        </w:rPr>
        <w:tab/>
      </w:r>
      <w:r w:rsidR="00630607" w:rsidRPr="00AF5B6D">
        <w:rPr>
          <w:i/>
          <w:kern w:val="22"/>
          <w:szCs w:val="22"/>
          <w:lang w:val="fr-CA"/>
        </w:rPr>
        <w:t xml:space="preserve">Exhorte </w:t>
      </w:r>
      <w:r w:rsidR="00630607" w:rsidRPr="00AF5B6D">
        <w:rPr>
          <w:kern w:val="22"/>
          <w:szCs w:val="22"/>
          <w:lang w:val="fr-CA"/>
        </w:rPr>
        <w:t xml:space="preserve">les Parties d’appliquer les orientations facultatives sur l’intégration, la gouvernance et l’équité des aires protégées et autres mesures de conservation </w:t>
      </w:r>
      <w:r w:rsidR="00166A21">
        <w:rPr>
          <w:kern w:val="22"/>
          <w:szCs w:val="22"/>
          <w:lang w:val="fr-CA"/>
        </w:rPr>
        <w:t>efficaces</w:t>
      </w:r>
      <w:r w:rsidR="00630607" w:rsidRPr="00AF5B6D">
        <w:rPr>
          <w:kern w:val="22"/>
          <w:szCs w:val="22"/>
          <w:lang w:val="fr-CA"/>
        </w:rPr>
        <w:t xml:space="preserve"> par zone, selon qu’il convient, </w:t>
      </w:r>
      <w:r w:rsidR="00166A21">
        <w:rPr>
          <w:kern w:val="22"/>
          <w:szCs w:val="22"/>
          <w:lang w:val="fr-CA"/>
        </w:rPr>
        <w:t>en fonction de</w:t>
      </w:r>
      <w:r w:rsidR="00630607" w:rsidRPr="00AF5B6D">
        <w:rPr>
          <w:kern w:val="22"/>
          <w:szCs w:val="22"/>
          <w:lang w:val="fr-CA"/>
        </w:rPr>
        <w:t xml:space="preserve"> leurs circonstances nationales, </w:t>
      </w:r>
      <w:r w:rsidR="00166A21">
        <w:rPr>
          <w:kern w:val="22"/>
          <w:szCs w:val="22"/>
          <w:lang w:val="fr-CA"/>
        </w:rPr>
        <w:t>d</w:t>
      </w:r>
      <w:r w:rsidR="00630607" w:rsidRPr="00AF5B6D">
        <w:rPr>
          <w:kern w:val="22"/>
          <w:szCs w:val="22"/>
          <w:lang w:val="fr-CA"/>
        </w:rPr>
        <w:t>e</w:t>
      </w:r>
      <w:r w:rsidR="00166A21">
        <w:rPr>
          <w:kern w:val="22"/>
          <w:szCs w:val="22"/>
          <w:lang w:val="fr-CA"/>
        </w:rPr>
        <w:t>s lois nationales pertinentes, d</w:t>
      </w:r>
      <w:r w:rsidR="00630607" w:rsidRPr="00AF5B6D">
        <w:rPr>
          <w:kern w:val="22"/>
          <w:szCs w:val="22"/>
          <w:lang w:val="fr-CA"/>
        </w:rPr>
        <w:t>es p</w:t>
      </w:r>
      <w:r w:rsidR="00C60E63">
        <w:rPr>
          <w:kern w:val="22"/>
          <w:szCs w:val="22"/>
          <w:lang w:val="fr-CA"/>
        </w:rPr>
        <w:t>rogrammes de politiques et des l</w:t>
      </w:r>
      <w:r w:rsidR="00630607" w:rsidRPr="00AF5B6D">
        <w:rPr>
          <w:kern w:val="22"/>
          <w:szCs w:val="22"/>
          <w:lang w:val="fr-CA"/>
        </w:rPr>
        <w:t>ois internationales en vigueur</w:t>
      </w:r>
      <w:r w:rsidR="00864B12" w:rsidRPr="00AF5B6D">
        <w:rPr>
          <w:kern w:val="22"/>
          <w:szCs w:val="22"/>
          <w:lang w:val="fr-CA"/>
        </w:rPr>
        <w:t>;</w:t>
      </w:r>
    </w:p>
    <w:p w:rsidR="00C36979" w:rsidRPr="00AF5B6D" w:rsidRDefault="006A3F97" w:rsidP="007B3E88">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sidRPr="00AF5B6D">
        <w:rPr>
          <w:kern w:val="22"/>
          <w:szCs w:val="22"/>
          <w:lang w:val="fr-CA"/>
        </w:rPr>
        <w:t>4.</w:t>
      </w:r>
      <w:r w:rsidRPr="00AF5B6D">
        <w:rPr>
          <w:kern w:val="22"/>
          <w:szCs w:val="22"/>
          <w:lang w:val="fr-CA"/>
        </w:rPr>
        <w:tab/>
      </w:r>
      <w:r w:rsidR="00630607" w:rsidRPr="00AF5B6D">
        <w:rPr>
          <w:i/>
          <w:kern w:val="22"/>
          <w:szCs w:val="22"/>
          <w:lang w:val="fr-CA"/>
        </w:rPr>
        <w:t xml:space="preserve">Invite </w:t>
      </w:r>
      <w:r w:rsidR="00630607" w:rsidRPr="00AF5B6D">
        <w:rPr>
          <w:kern w:val="22"/>
          <w:szCs w:val="22"/>
          <w:lang w:val="fr-CA"/>
        </w:rPr>
        <w:t xml:space="preserve">les Parties à appliquer les avis scientifiques et techniques sur d’autres mesures de conservation </w:t>
      </w:r>
      <w:r w:rsidR="00166A21">
        <w:rPr>
          <w:kern w:val="22"/>
          <w:szCs w:val="22"/>
          <w:lang w:val="fr-CA"/>
        </w:rPr>
        <w:t>efficaces</w:t>
      </w:r>
      <w:r w:rsidR="00630607" w:rsidRPr="00AF5B6D">
        <w:rPr>
          <w:kern w:val="22"/>
          <w:szCs w:val="22"/>
          <w:lang w:val="fr-CA"/>
        </w:rPr>
        <w:t xml:space="preserve"> par zone, notamment en </w:t>
      </w:r>
      <w:r w:rsidR="00C36979" w:rsidRPr="00AF5B6D">
        <w:rPr>
          <w:kern w:val="22"/>
          <w:szCs w:val="22"/>
          <w:lang w:val="fr-CA"/>
        </w:rPr>
        <w:t>:</w:t>
      </w:r>
    </w:p>
    <w:p w:rsidR="00C36979" w:rsidRPr="00AF5B6D" w:rsidRDefault="00630607" w:rsidP="00630607">
      <w:pPr>
        <w:pStyle w:val="Para1"/>
        <w:numPr>
          <w:ilvl w:val="6"/>
          <w:numId w:val="54"/>
        </w:numPr>
        <w:suppressLineNumbers/>
        <w:suppressAutoHyphens/>
        <w:kinsoku w:val="0"/>
        <w:overflowPunct w:val="0"/>
        <w:autoSpaceDE w:val="0"/>
        <w:autoSpaceDN w:val="0"/>
        <w:spacing w:before="0"/>
        <w:ind w:left="720" w:firstLine="720"/>
        <w:rPr>
          <w:kern w:val="22"/>
          <w:szCs w:val="22"/>
          <w:lang w:val="fr-CA"/>
        </w:rPr>
      </w:pPr>
      <w:r w:rsidRPr="00AF5B6D">
        <w:rPr>
          <w:kern w:val="22"/>
          <w:szCs w:val="22"/>
          <w:lang w:val="fr-CA"/>
        </w:rPr>
        <w:t xml:space="preserve">Recensant d’autres mesures de conservation </w:t>
      </w:r>
      <w:r w:rsidR="00166A21">
        <w:rPr>
          <w:kern w:val="22"/>
          <w:szCs w:val="22"/>
          <w:lang w:val="fr-CA"/>
        </w:rPr>
        <w:t>efficaces</w:t>
      </w:r>
      <w:r w:rsidRPr="00AF5B6D">
        <w:rPr>
          <w:kern w:val="22"/>
          <w:szCs w:val="22"/>
          <w:lang w:val="fr-CA"/>
        </w:rPr>
        <w:t xml:space="preserve"> et les choix qu’</w:t>
      </w:r>
      <w:r w:rsidR="00D3210C" w:rsidRPr="00AF5B6D">
        <w:rPr>
          <w:kern w:val="22"/>
          <w:szCs w:val="22"/>
          <w:lang w:val="fr-CA"/>
        </w:rPr>
        <w:t xml:space="preserve">elles </w:t>
      </w:r>
      <w:r w:rsidR="00166A21">
        <w:rPr>
          <w:kern w:val="22"/>
          <w:szCs w:val="22"/>
          <w:lang w:val="fr-CA"/>
        </w:rPr>
        <w:t>offrent</w:t>
      </w:r>
      <w:r w:rsidR="00D3210C" w:rsidRPr="00AF5B6D">
        <w:rPr>
          <w:kern w:val="22"/>
          <w:szCs w:val="22"/>
          <w:lang w:val="fr-CA"/>
        </w:rPr>
        <w:t xml:space="preserve"> pour leur territoire</w:t>
      </w:r>
      <w:r w:rsidR="00C36979" w:rsidRPr="00AF5B6D">
        <w:rPr>
          <w:kern w:val="22"/>
          <w:szCs w:val="22"/>
          <w:lang w:val="fr-CA"/>
        </w:rPr>
        <w:t>;</w:t>
      </w:r>
    </w:p>
    <w:p w:rsidR="00C36979" w:rsidRPr="00AF5B6D" w:rsidRDefault="00D3210C" w:rsidP="007B3E88">
      <w:pPr>
        <w:pStyle w:val="Para1"/>
        <w:numPr>
          <w:ilvl w:val="6"/>
          <w:numId w:val="54"/>
        </w:numPr>
        <w:suppressLineNumbers/>
        <w:suppressAutoHyphens/>
        <w:kinsoku w:val="0"/>
        <w:overflowPunct w:val="0"/>
        <w:autoSpaceDE w:val="0"/>
        <w:autoSpaceDN w:val="0"/>
        <w:spacing w:before="0"/>
        <w:ind w:left="720" w:firstLine="720"/>
        <w:rPr>
          <w:kern w:val="22"/>
          <w:szCs w:val="22"/>
          <w:lang w:val="fr-CA"/>
        </w:rPr>
      </w:pPr>
      <w:r w:rsidRPr="00AF5B6D">
        <w:rPr>
          <w:kern w:val="22"/>
          <w:szCs w:val="22"/>
          <w:lang w:val="fr-CA"/>
        </w:rPr>
        <w:t>Communiquant cette information aux Parties et aux autres gouvernements et organisations par le biais du centre d’échange de la Convention sur la diversité biologique et la Secrétaire exécutive</w:t>
      </w:r>
      <w:r w:rsidR="0016231C" w:rsidRPr="00AF5B6D">
        <w:rPr>
          <w:kern w:val="22"/>
          <w:szCs w:val="22"/>
          <w:lang w:val="fr-CA"/>
        </w:rPr>
        <w:t>;</w:t>
      </w:r>
    </w:p>
    <w:p w:rsidR="00537C10" w:rsidRPr="00AF5B6D" w:rsidRDefault="00D3210C" w:rsidP="007B3E88">
      <w:pPr>
        <w:pStyle w:val="Para1"/>
        <w:numPr>
          <w:ilvl w:val="6"/>
          <w:numId w:val="54"/>
        </w:numPr>
        <w:suppressLineNumbers/>
        <w:suppressAutoHyphens/>
        <w:kinsoku w:val="0"/>
        <w:overflowPunct w:val="0"/>
        <w:autoSpaceDE w:val="0"/>
        <w:autoSpaceDN w:val="0"/>
        <w:spacing w:before="0"/>
        <w:ind w:left="720" w:firstLine="720"/>
        <w:rPr>
          <w:kern w:val="22"/>
          <w:szCs w:val="22"/>
          <w:lang w:val="fr-CA"/>
        </w:rPr>
      </w:pPr>
      <w:r w:rsidRPr="00AF5B6D">
        <w:rPr>
          <w:kern w:val="22"/>
          <w:szCs w:val="22"/>
          <w:lang w:val="fr-CA"/>
        </w:rPr>
        <w:t xml:space="preserve">Soumettant des données sur d’autres mesures nationales de conservation </w:t>
      </w:r>
      <w:r w:rsidR="00166A21">
        <w:rPr>
          <w:kern w:val="22"/>
          <w:szCs w:val="22"/>
          <w:lang w:val="fr-CA"/>
        </w:rPr>
        <w:t>efficaces</w:t>
      </w:r>
      <w:r w:rsidRPr="00AF5B6D">
        <w:rPr>
          <w:kern w:val="22"/>
          <w:szCs w:val="22"/>
          <w:lang w:val="fr-CA"/>
        </w:rPr>
        <w:t xml:space="preserve"> par zone au Centre de surveillance de la conservation mondiale de la nature du Programme des Nations Unies pour le développement</w:t>
      </w:r>
      <w:r w:rsidR="00166A21">
        <w:rPr>
          <w:kern w:val="22"/>
          <w:szCs w:val="22"/>
          <w:lang w:val="fr-CA"/>
        </w:rPr>
        <w:t xml:space="preserve">, afin de mettre à jour la base de données mondiale sur les </w:t>
      </w:r>
      <w:r w:rsidR="00F74CEF">
        <w:rPr>
          <w:kern w:val="22"/>
          <w:szCs w:val="22"/>
          <w:lang w:val="fr-CA"/>
        </w:rPr>
        <w:t>zones</w:t>
      </w:r>
      <w:r w:rsidR="00166A21">
        <w:rPr>
          <w:kern w:val="22"/>
          <w:szCs w:val="22"/>
          <w:lang w:val="fr-CA"/>
        </w:rPr>
        <w:t xml:space="preserve"> protégées</w:t>
      </w:r>
      <w:r w:rsidRPr="00AF5B6D">
        <w:rPr>
          <w:kern w:val="22"/>
          <w:szCs w:val="22"/>
          <w:lang w:val="fr-CA"/>
        </w:rPr>
        <w:t>;</w:t>
      </w:r>
    </w:p>
    <w:p w:rsidR="00537C10" w:rsidRPr="00AF5B6D" w:rsidRDefault="006A3F97" w:rsidP="007B3E88">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sidRPr="00AF5B6D">
        <w:rPr>
          <w:kern w:val="22"/>
          <w:szCs w:val="22"/>
          <w:lang w:val="fr-CA"/>
        </w:rPr>
        <w:t>5.</w:t>
      </w:r>
      <w:r w:rsidRPr="00AF5B6D">
        <w:rPr>
          <w:kern w:val="22"/>
          <w:szCs w:val="22"/>
          <w:lang w:val="fr-CA"/>
        </w:rPr>
        <w:tab/>
      </w:r>
      <w:r w:rsidR="00D3210C" w:rsidRPr="00AF5B6D">
        <w:rPr>
          <w:i/>
          <w:iCs/>
          <w:kern w:val="22"/>
          <w:szCs w:val="22"/>
          <w:lang w:val="fr-CA"/>
        </w:rPr>
        <w:t xml:space="preserve">Encourage </w:t>
      </w:r>
      <w:r w:rsidR="00D3210C" w:rsidRPr="00AF5B6D">
        <w:rPr>
          <w:iCs/>
          <w:kern w:val="22"/>
          <w:szCs w:val="22"/>
          <w:lang w:val="fr-CA"/>
        </w:rPr>
        <w:t>les Parties, les autres gouvernements, les organisations compétentes, les peuples autochtones et les communautés locales à tenir compte des facteurs compilés dans la note de la Secrétaire exécutive</w:t>
      </w:r>
      <w:r w:rsidR="00A15C45" w:rsidRPr="00AF5B6D">
        <w:rPr>
          <w:rStyle w:val="Appelnotedebasdep"/>
          <w:kern w:val="22"/>
          <w:sz w:val="22"/>
          <w:szCs w:val="22"/>
          <w:u w:val="none"/>
          <w:vertAlign w:val="superscript"/>
          <w:lang w:val="fr-CA"/>
        </w:rPr>
        <w:footnoteReference w:id="12"/>
      </w:r>
      <w:r w:rsidR="00537C10" w:rsidRPr="00AF5B6D">
        <w:rPr>
          <w:kern w:val="22"/>
          <w:szCs w:val="22"/>
          <w:lang w:val="fr-CA"/>
        </w:rPr>
        <w:t xml:space="preserve"> </w:t>
      </w:r>
      <w:r w:rsidR="00CA05C8" w:rsidRPr="00AF5B6D">
        <w:rPr>
          <w:kern w:val="22"/>
          <w:szCs w:val="22"/>
          <w:lang w:val="fr-CA"/>
        </w:rPr>
        <w:t>concernant la réalisation de l’Objectif 11 d’Aichi relatif à la diversité biologique dans les aires marines et côtières dans leurs efforts pour réaliser tous les éléments de l’Objectif 11 d’Aichi relatif à la diversité biologique dans les aires marines et côtières</w:t>
      </w:r>
      <w:r w:rsidR="00537C10" w:rsidRPr="00AF5B6D">
        <w:rPr>
          <w:kern w:val="22"/>
          <w:szCs w:val="22"/>
          <w:lang w:val="fr-CA"/>
        </w:rPr>
        <w:t>;</w:t>
      </w:r>
    </w:p>
    <w:p w:rsidR="00C36979" w:rsidRPr="00AF5B6D" w:rsidRDefault="006A3F97" w:rsidP="007B3E88">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sidRPr="00AF5B6D">
        <w:rPr>
          <w:bCs/>
          <w:kern w:val="22"/>
          <w:szCs w:val="22"/>
          <w:lang w:val="fr-CA"/>
        </w:rPr>
        <w:lastRenderedPageBreak/>
        <w:t>6.</w:t>
      </w:r>
      <w:r w:rsidRPr="00AF5B6D">
        <w:rPr>
          <w:bCs/>
          <w:kern w:val="22"/>
          <w:szCs w:val="22"/>
          <w:lang w:val="fr-CA"/>
        </w:rPr>
        <w:tab/>
      </w:r>
      <w:r w:rsidR="00CA05C8" w:rsidRPr="00AF5B6D">
        <w:rPr>
          <w:bCs/>
          <w:i/>
          <w:iCs/>
          <w:kern w:val="22"/>
          <w:szCs w:val="22"/>
          <w:lang w:val="fr-CA"/>
        </w:rPr>
        <w:t xml:space="preserve">Invite </w:t>
      </w:r>
      <w:r w:rsidR="00CA05C8" w:rsidRPr="00AF5B6D">
        <w:rPr>
          <w:bCs/>
          <w:iCs/>
          <w:kern w:val="22"/>
          <w:szCs w:val="22"/>
          <w:lang w:val="fr-CA"/>
        </w:rPr>
        <w:t xml:space="preserve">l’Union internationale pour la conservation de la nature et le Centre de surveillance de la conservation mondiale de la nature </w:t>
      </w:r>
      <w:r w:rsidR="00B12F6A" w:rsidRPr="00AF5B6D">
        <w:rPr>
          <w:bCs/>
          <w:iCs/>
          <w:kern w:val="22"/>
          <w:szCs w:val="22"/>
          <w:lang w:val="fr-CA"/>
        </w:rPr>
        <w:t>à actu</w:t>
      </w:r>
      <w:r w:rsidR="00CA05C8" w:rsidRPr="00AF5B6D">
        <w:rPr>
          <w:bCs/>
          <w:iCs/>
          <w:kern w:val="22"/>
          <w:szCs w:val="22"/>
          <w:lang w:val="fr-CA"/>
        </w:rPr>
        <w:t xml:space="preserve">aliser la base de données mondiale </w:t>
      </w:r>
      <w:r w:rsidR="00B12F6A" w:rsidRPr="00AF5B6D">
        <w:rPr>
          <w:bCs/>
          <w:iCs/>
          <w:kern w:val="22"/>
          <w:szCs w:val="22"/>
          <w:lang w:val="fr-CA"/>
        </w:rPr>
        <w:t>sur les zones</w:t>
      </w:r>
      <w:r w:rsidR="00CA05C8" w:rsidRPr="00AF5B6D">
        <w:rPr>
          <w:bCs/>
          <w:iCs/>
          <w:kern w:val="22"/>
          <w:szCs w:val="22"/>
          <w:lang w:val="fr-CA"/>
        </w:rPr>
        <w:t xml:space="preserve"> protégées en créant une </w:t>
      </w:r>
      <w:r w:rsidR="00F74CEF">
        <w:rPr>
          <w:bCs/>
          <w:iCs/>
          <w:kern w:val="22"/>
          <w:szCs w:val="22"/>
          <w:lang w:val="fr-CA"/>
        </w:rPr>
        <w:t>section</w:t>
      </w:r>
      <w:r w:rsidR="00CA05C8" w:rsidRPr="00AF5B6D">
        <w:rPr>
          <w:bCs/>
          <w:iCs/>
          <w:kern w:val="22"/>
          <w:szCs w:val="22"/>
          <w:lang w:val="fr-CA"/>
        </w:rPr>
        <w:t xml:space="preserve"> sur d’autres mesures de conservation </w:t>
      </w:r>
      <w:r w:rsidR="00F74CEF">
        <w:rPr>
          <w:bCs/>
          <w:iCs/>
          <w:kern w:val="22"/>
          <w:szCs w:val="22"/>
          <w:lang w:val="fr-CA"/>
        </w:rPr>
        <w:t>efficaces</w:t>
      </w:r>
      <w:r w:rsidR="00CA05C8" w:rsidRPr="00AF5B6D">
        <w:rPr>
          <w:bCs/>
          <w:iCs/>
          <w:kern w:val="22"/>
          <w:szCs w:val="22"/>
          <w:lang w:val="fr-CA"/>
        </w:rPr>
        <w:t xml:space="preserve"> par zone</w:t>
      </w:r>
      <w:r w:rsidR="00B12F6A" w:rsidRPr="00AF5B6D">
        <w:rPr>
          <w:bCs/>
          <w:iCs/>
          <w:kern w:val="22"/>
          <w:szCs w:val="22"/>
          <w:lang w:val="fr-CA"/>
        </w:rPr>
        <w:t xml:space="preserve"> et </w:t>
      </w:r>
      <w:r w:rsidR="00F74CEF">
        <w:rPr>
          <w:bCs/>
          <w:iCs/>
          <w:kern w:val="22"/>
          <w:szCs w:val="22"/>
          <w:lang w:val="fr-CA"/>
        </w:rPr>
        <w:t>à</w:t>
      </w:r>
      <w:r w:rsidR="00B12F6A" w:rsidRPr="00AF5B6D">
        <w:rPr>
          <w:bCs/>
          <w:iCs/>
          <w:kern w:val="22"/>
          <w:szCs w:val="22"/>
          <w:lang w:val="fr-CA"/>
        </w:rPr>
        <w:t xml:space="preserve"> collaborer avec les Parties et les autres gouvernements en fonction de leur analyse des autres mesures nationales de conservation </w:t>
      </w:r>
      <w:r w:rsidR="0006310A">
        <w:rPr>
          <w:bCs/>
          <w:iCs/>
          <w:kern w:val="22"/>
          <w:szCs w:val="22"/>
          <w:lang w:val="fr-CA"/>
        </w:rPr>
        <w:t>efficaces</w:t>
      </w:r>
      <w:r w:rsidR="00B12F6A" w:rsidRPr="00AF5B6D">
        <w:rPr>
          <w:bCs/>
          <w:iCs/>
          <w:kern w:val="22"/>
          <w:szCs w:val="22"/>
          <w:lang w:val="fr-CA"/>
        </w:rPr>
        <w:t xml:space="preserve"> par zone afin d’actualiser la base de données mondiale sur les zones protégées en conséquence</w:t>
      </w:r>
      <w:r w:rsidR="00C36979" w:rsidRPr="00AF5B6D">
        <w:rPr>
          <w:bCs/>
          <w:kern w:val="22"/>
          <w:szCs w:val="22"/>
          <w:lang w:val="fr-CA"/>
        </w:rPr>
        <w:t>;</w:t>
      </w:r>
    </w:p>
    <w:p w:rsidR="00864B12" w:rsidRPr="00AF5B6D" w:rsidRDefault="006A3F97" w:rsidP="007B3E88">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sidRPr="00AF5B6D">
        <w:rPr>
          <w:iCs/>
          <w:kern w:val="22"/>
          <w:szCs w:val="22"/>
          <w:lang w:val="fr-CA"/>
        </w:rPr>
        <w:t>7.</w:t>
      </w:r>
      <w:r w:rsidRPr="00AF5B6D">
        <w:rPr>
          <w:iCs/>
          <w:kern w:val="22"/>
          <w:szCs w:val="22"/>
          <w:lang w:val="fr-CA"/>
        </w:rPr>
        <w:tab/>
      </w:r>
      <w:r w:rsidR="00B12F6A" w:rsidRPr="00AF5B6D">
        <w:rPr>
          <w:i/>
          <w:kern w:val="22"/>
          <w:szCs w:val="22"/>
          <w:lang w:val="fr-CA"/>
        </w:rPr>
        <w:t xml:space="preserve">Prie </w:t>
      </w:r>
      <w:r w:rsidR="00B12F6A" w:rsidRPr="00AF5B6D">
        <w:rPr>
          <w:kern w:val="22"/>
          <w:szCs w:val="22"/>
          <w:lang w:val="fr-CA"/>
        </w:rPr>
        <w:t xml:space="preserve">la Secrétaire exécutive, en collaboration avec les partenaires, les Parties, les autres gouvernements et les organisations compétentes </w:t>
      </w:r>
      <w:r w:rsidR="00864B12" w:rsidRPr="00AF5B6D">
        <w:rPr>
          <w:kern w:val="22"/>
          <w:szCs w:val="22"/>
          <w:lang w:val="fr-CA"/>
        </w:rPr>
        <w:t>:</w:t>
      </w:r>
    </w:p>
    <w:p w:rsidR="00864B12" w:rsidRPr="00AF5B6D" w:rsidRDefault="007E2AF6" w:rsidP="00B12F6A">
      <w:pPr>
        <w:pStyle w:val="Para1"/>
        <w:numPr>
          <w:ilvl w:val="0"/>
          <w:numId w:val="24"/>
        </w:numPr>
        <w:suppressLineNumbers/>
        <w:suppressAutoHyphens/>
        <w:kinsoku w:val="0"/>
        <w:overflowPunct w:val="0"/>
        <w:autoSpaceDE w:val="0"/>
        <w:autoSpaceDN w:val="0"/>
        <w:spacing w:before="0"/>
        <w:ind w:left="720" w:firstLine="720"/>
        <w:rPr>
          <w:kern w:val="22"/>
          <w:szCs w:val="22"/>
          <w:lang w:val="fr-CA"/>
        </w:rPr>
      </w:pPr>
      <w:r w:rsidRPr="00AF5B6D">
        <w:rPr>
          <w:kern w:val="22"/>
          <w:szCs w:val="22"/>
          <w:lang w:val="fr-CA"/>
        </w:rPr>
        <w:t xml:space="preserve">De renforcer les capacités afin de favoriser l’application des orientations </w:t>
      </w:r>
      <w:r w:rsidR="0006310A">
        <w:rPr>
          <w:kern w:val="22"/>
          <w:szCs w:val="22"/>
          <w:lang w:val="fr-CA"/>
        </w:rPr>
        <w:t>élaborées</w:t>
      </w:r>
      <w:r w:rsidRPr="00AF5B6D">
        <w:rPr>
          <w:kern w:val="22"/>
          <w:szCs w:val="22"/>
          <w:lang w:val="fr-CA"/>
        </w:rPr>
        <w:t xml:space="preserve"> en réponse aux paragraphes 9 a) i-iv), 10 a) et 10 b) de la décision XIII/2</w:t>
      </w:r>
      <w:r w:rsidR="00864B12" w:rsidRPr="00AF5B6D">
        <w:rPr>
          <w:kern w:val="22"/>
          <w:szCs w:val="22"/>
          <w:lang w:val="fr-CA"/>
        </w:rPr>
        <w:t>;</w:t>
      </w:r>
    </w:p>
    <w:p w:rsidR="00864B12" w:rsidRPr="00AF5B6D" w:rsidRDefault="007E2AF6" w:rsidP="007B3E88">
      <w:pPr>
        <w:pStyle w:val="Para1"/>
        <w:numPr>
          <w:ilvl w:val="0"/>
          <w:numId w:val="24"/>
        </w:numPr>
        <w:suppressLineNumbers/>
        <w:suppressAutoHyphens/>
        <w:kinsoku w:val="0"/>
        <w:overflowPunct w:val="0"/>
        <w:autoSpaceDE w:val="0"/>
        <w:autoSpaceDN w:val="0"/>
        <w:spacing w:before="0"/>
        <w:ind w:left="720" w:firstLine="720"/>
        <w:rPr>
          <w:kern w:val="22"/>
          <w:szCs w:val="22"/>
          <w:lang w:val="fr-CA"/>
        </w:rPr>
      </w:pPr>
      <w:r w:rsidRPr="00AF5B6D">
        <w:rPr>
          <w:kern w:val="22"/>
          <w:szCs w:val="22"/>
          <w:lang w:val="fr-CA"/>
        </w:rPr>
        <w:t xml:space="preserve">De recueillir systématiquement de l’information sur d’autres mesures de conservation </w:t>
      </w:r>
      <w:r w:rsidR="0006310A">
        <w:rPr>
          <w:kern w:val="22"/>
          <w:szCs w:val="22"/>
          <w:lang w:val="fr-CA"/>
        </w:rPr>
        <w:t>efficaces</w:t>
      </w:r>
      <w:r w:rsidRPr="00AF5B6D">
        <w:rPr>
          <w:kern w:val="22"/>
          <w:szCs w:val="22"/>
          <w:lang w:val="fr-CA"/>
        </w:rPr>
        <w:t xml:space="preserve"> par zon</w:t>
      </w:r>
      <w:r w:rsidR="0072101D">
        <w:rPr>
          <w:kern w:val="22"/>
          <w:szCs w:val="22"/>
          <w:lang w:val="fr-CA"/>
        </w:rPr>
        <w:t>e</w:t>
      </w:r>
      <w:r w:rsidR="0006310A">
        <w:rPr>
          <w:kern w:val="22"/>
          <w:szCs w:val="22"/>
          <w:lang w:val="fr-CA"/>
        </w:rPr>
        <w:t>,</w:t>
      </w:r>
      <w:r w:rsidRPr="00AF5B6D">
        <w:rPr>
          <w:kern w:val="22"/>
          <w:szCs w:val="22"/>
          <w:lang w:val="fr-CA"/>
        </w:rPr>
        <w:t xml:space="preserve"> afin de faciliter la cartographie et de mettre en évidence leur contribution à l’Objectif 11 d’Aichi relatif à la diversité biologique, et de diffuser cette information par le biais du mécanisme de centre d’échange de la Convention et </w:t>
      </w:r>
      <w:r w:rsidR="0006310A">
        <w:rPr>
          <w:kern w:val="22"/>
          <w:szCs w:val="22"/>
          <w:lang w:val="fr-CA"/>
        </w:rPr>
        <w:t xml:space="preserve">dans </w:t>
      </w:r>
      <w:r w:rsidRPr="00AF5B6D">
        <w:rPr>
          <w:kern w:val="22"/>
          <w:szCs w:val="22"/>
          <w:lang w:val="fr-CA"/>
        </w:rPr>
        <w:t>les publications pertinentes</w:t>
      </w:r>
      <w:r w:rsidR="00FB2BE8" w:rsidRPr="00AF5B6D">
        <w:rPr>
          <w:kern w:val="22"/>
          <w:szCs w:val="22"/>
          <w:lang w:val="fr-CA"/>
        </w:rPr>
        <w:t>;</w:t>
      </w:r>
    </w:p>
    <w:p w:rsidR="00864B12" w:rsidRPr="00AF5B6D" w:rsidRDefault="006A3F97" w:rsidP="007B3E88">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sidRPr="00AF5B6D">
        <w:rPr>
          <w:kern w:val="22"/>
          <w:szCs w:val="22"/>
          <w:lang w:val="fr-CA"/>
        </w:rPr>
        <w:t>8.</w:t>
      </w:r>
      <w:r w:rsidRPr="00AF5B6D">
        <w:rPr>
          <w:kern w:val="22"/>
          <w:szCs w:val="22"/>
          <w:lang w:val="fr-CA"/>
        </w:rPr>
        <w:tab/>
      </w:r>
      <w:r w:rsidR="007E2AF6" w:rsidRPr="00AF5B6D">
        <w:rPr>
          <w:i/>
          <w:kern w:val="22"/>
          <w:szCs w:val="22"/>
          <w:lang w:val="fr-CA"/>
        </w:rPr>
        <w:t xml:space="preserve">Encourage </w:t>
      </w:r>
      <w:r w:rsidR="007E2AF6" w:rsidRPr="00AF5B6D">
        <w:rPr>
          <w:kern w:val="22"/>
          <w:szCs w:val="22"/>
          <w:lang w:val="fr-CA"/>
        </w:rPr>
        <w:t xml:space="preserve">les Parties à mettre en commun les études de cas/meilleures pratiques et des exemples d’approches de gestion, de types de gouvernance et d’efficacité </w:t>
      </w:r>
      <w:r w:rsidR="00F07BC5" w:rsidRPr="00AF5B6D">
        <w:rPr>
          <w:kern w:val="22"/>
          <w:szCs w:val="22"/>
          <w:lang w:val="fr-CA"/>
        </w:rPr>
        <w:t xml:space="preserve">d’autres mesures de conservation </w:t>
      </w:r>
      <w:r w:rsidR="0006310A">
        <w:rPr>
          <w:kern w:val="22"/>
          <w:szCs w:val="22"/>
          <w:lang w:val="fr-CA"/>
        </w:rPr>
        <w:t>efficaces</w:t>
      </w:r>
      <w:r w:rsidR="00F07BC5" w:rsidRPr="00AF5B6D">
        <w:rPr>
          <w:kern w:val="22"/>
          <w:szCs w:val="22"/>
          <w:lang w:val="fr-CA"/>
        </w:rPr>
        <w:t xml:space="preserve"> par zone, dont des données d’expérience sur l’application des orientations, par le biais du mécanisme de centre d’échange de la Convention et par autres moyens.</w:t>
      </w:r>
      <w:r w:rsidR="007E2AF6" w:rsidRPr="00AF5B6D">
        <w:rPr>
          <w:kern w:val="22"/>
          <w:szCs w:val="22"/>
          <w:lang w:val="fr-CA"/>
        </w:rPr>
        <w:t xml:space="preserve"> </w:t>
      </w:r>
    </w:p>
    <w:p w:rsidR="00864B12" w:rsidRPr="00AF5B6D" w:rsidRDefault="00864B12" w:rsidP="007B3E88">
      <w:pPr>
        <w:pStyle w:val="Para1"/>
        <w:numPr>
          <w:ilvl w:val="0"/>
          <w:numId w:val="0"/>
        </w:numPr>
        <w:suppressLineNumbers/>
        <w:suppressAutoHyphens/>
        <w:kinsoku w:val="0"/>
        <w:overflowPunct w:val="0"/>
        <w:autoSpaceDE w:val="0"/>
        <w:autoSpaceDN w:val="0"/>
        <w:rPr>
          <w:kern w:val="22"/>
          <w:szCs w:val="22"/>
          <w:lang w:val="fr-CA"/>
        </w:rPr>
      </w:pPr>
    </w:p>
    <w:p w:rsidR="00864B12" w:rsidRPr="00AF5B6D" w:rsidRDefault="00864B12" w:rsidP="007B3E88">
      <w:pPr>
        <w:suppressLineNumbers/>
        <w:suppressAutoHyphens/>
        <w:kinsoku w:val="0"/>
        <w:overflowPunct w:val="0"/>
        <w:autoSpaceDE w:val="0"/>
        <w:autoSpaceDN w:val="0"/>
        <w:jc w:val="left"/>
        <w:rPr>
          <w:snapToGrid w:val="0"/>
          <w:kern w:val="22"/>
          <w:szCs w:val="22"/>
          <w:lang w:val="fr-CA"/>
        </w:rPr>
      </w:pPr>
      <w:r w:rsidRPr="00AF5B6D">
        <w:rPr>
          <w:kern w:val="22"/>
          <w:szCs w:val="22"/>
          <w:lang w:val="fr-CA"/>
        </w:rPr>
        <w:br w:type="page"/>
      </w:r>
    </w:p>
    <w:p w:rsidR="00FA248F" w:rsidRPr="00AF5B6D" w:rsidRDefault="00FA248F" w:rsidP="007B3E88">
      <w:pPr>
        <w:pStyle w:val="Titre1"/>
        <w:suppressLineNumbers/>
        <w:tabs>
          <w:tab w:val="clear" w:pos="720"/>
        </w:tabs>
        <w:suppressAutoHyphens/>
        <w:kinsoku w:val="0"/>
        <w:overflowPunct w:val="0"/>
        <w:autoSpaceDE w:val="0"/>
        <w:autoSpaceDN w:val="0"/>
        <w:spacing w:before="0"/>
        <w:rPr>
          <w:b w:val="0"/>
          <w:i/>
          <w:kern w:val="22"/>
          <w:szCs w:val="22"/>
          <w:lang w:val="fr-CA"/>
        </w:rPr>
      </w:pPr>
      <w:r w:rsidRPr="00AF5B6D">
        <w:rPr>
          <w:b w:val="0"/>
          <w:i/>
          <w:caps w:val="0"/>
          <w:kern w:val="22"/>
          <w:szCs w:val="22"/>
          <w:lang w:val="fr-CA"/>
        </w:rPr>
        <w:lastRenderedPageBreak/>
        <w:t>Annex</w:t>
      </w:r>
      <w:r w:rsidR="007D6675" w:rsidRPr="00AF5B6D">
        <w:rPr>
          <w:b w:val="0"/>
          <w:i/>
          <w:caps w:val="0"/>
          <w:kern w:val="22"/>
          <w:szCs w:val="22"/>
          <w:lang w:val="fr-CA"/>
        </w:rPr>
        <w:t>e</w:t>
      </w:r>
      <w:r w:rsidRPr="00AF5B6D">
        <w:rPr>
          <w:b w:val="0"/>
          <w:i/>
          <w:caps w:val="0"/>
          <w:kern w:val="22"/>
          <w:szCs w:val="22"/>
          <w:lang w:val="fr-CA"/>
        </w:rPr>
        <w:t xml:space="preserve"> </w:t>
      </w:r>
      <w:r w:rsidR="00864B12" w:rsidRPr="00AF5B6D">
        <w:rPr>
          <w:b w:val="0"/>
          <w:i/>
          <w:kern w:val="22"/>
          <w:szCs w:val="22"/>
          <w:lang w:val="fr-CA"/>
        </w:rPr>
        <w:t>I</w:t>
      </w:r>
    </w:p>
    <w:p w:rsidR="00864B12" w:rsidRPr="00AF5B6D" w:rsidRDefault="007D6675" w:rsidP="007B3E88">
      <w:pPr>
        <w:pStyle w:val="Titre1"/>
        <w:keepNext/>
        <w:suppressLineNumbers/>
        <w:tabs>
          <w:tab w:val="clear" w:pos="720"/>
        </w:tabs>
        <w:suppressAutoHyphens/>
        <w:kinsoku w:val="0"/>
        <w:overflowPunct w:val="0"/>
        <w:autoSpaceDE w:val="0"/>
        <w:autoSpaceDN w:val="0"/>
        <w:rPr>
          <w:rFonts w:eastAsia="Calibri"/>
          <w:snapToGrid w:val="0"/>
          <w:kern w:val="22"/>
          <w:szCs w:val="22"/>
          <w:lang w:val="fr-CA"/>
        </w:rPr>
      </w:pPr>
      <w:r w:rsidRPr="00AF5B6D">
        <w:rPr>
          <w:kern w:val="22"/>
          <w:szCs w:val="22"/>
          <w:lang w:val="fr-CA"/>
        </w:rPr>
        <w:t xml:space="preserve">ORIENTATIONS FACULTATIVES SUR L’INTÉGRATION DES AIRES PROTÉGÉES ET AUTRES MESURES DE CONSERVATION </w:t>
      </w:r>
      <w:r w:rsidR="0006310A">
        <w:rPr>
          <w:kern w:val="22"/>
          <w:szCs w:val="22"/>
          <w:lang w:val="fr-CA"/>
        </w:rPr>
        <w:t>EFFICACES</w:t>
      </w:r>
      <w:r w:rsidRPr="00AF5B6D">
        <w:rPr>
          <w:kern w:val="22"/>
          <w:szCs w:val="22"/>
          <w:lang w:val="fr-CA"/>
        </w:rPr>
        <w:t xml:space="preserve"> PAR ZONE DANS DES PAYSAGES TERRESTRES ET MARINS P</w:t>
      </w:r>
      <w:r w:rsidR="0006310A">
        <w:rPr>
          <w:kern w:val="22"/>
          <w:szCs w:val="22"/>
          <w:lang w:val="fr-CA"/>
        </w:rPr>
        <w:t>L</w:t>
      </w:r>
      <w:r w:rsidRPr="00AF5B6D">
        <w:rPr>
          <w:kern w:val="22"/>
          <w:szCs w:val="22"/>
          <w:lang w:val="fr-CA"/>
        </w:rPr>
        <w:t>US VASTES ET L’INTÉGRATION DANS LES SECTEURS AFIN</w:t>
      </w:r>
      <w:r w:rsidR="000063C7">
        <w:rPr>
          <w:kern w:val="22"/>
          <w:szCs w:val="22"/>
          <w:lang w:val="fr-CA"/>
        </w:rPr>
        <w:t xml:space="preserve"> de contribuer </w:t>
      </w:r>
      <w:r w:rsidRPr="00AF5B6D">
        <w:rPr>
          <w:kern w:val="22"/>
          <w:szCs w:val="22"/>
          <w:lang w:val="fr-CA"/>
        </w:rPr>
        <w:t xml:space="preserve"> </w:t>
      </w:r>
      <w:r w:rsidR="0072101D">
        <w:rPr>
          <w:kern w:val="22"/>
          <w:szCs w:val="22"/>
          <w:lang w:val="fr-CA"/>
        </w:rPr>
        <w:t xml:space="preserve">NOTAMMENT </w:t>
      </w:r>
      <w:r w:rsidRPr="00AF5B6D">
        <w:rPr>
          <w:kern w:val="22"/>
          <w:szCs w:val="22"/>
          <w:lang w:val="fr-CA"/>
        </w:rPr>
        <w:t>AUX OBJECTIFS DE DÉVELOPPEMENT DURABLE</w:t>
      </w:r>
    </w:p>
    <w:p w:rsidR="00242F8D" w:rsidRPr="00AF5B6D" w:rsidRDefault="00FA248F" w:rsidP="007B3E88">
      <w:pPr>
        <w:pStyle w:val="Para1"/>
        <w:keepNext/>
        <w:numPr>
          <w:ilvl w:val="0"/>
          <w:numId w:val="56"/>
        </w:numPr>
        <w:suppressLineNumbers/>
        <w:tabs>
          <w:tab w:val="left" w:pos="360"/>
        </w:tabs>
        <w:suppressAutoHyphens/>
        <w:kinsoku w:val="0"/>
        <w:overflowPunct w:val="0"/>
        <w:autoSpaceDE w:val="0"/>
        <w:autoSpaceDN w:val="0"/>
        <w:ind w:left="0" w:firstLine="0"/>
        <w:jc w:val="center"/>
        <w:rPr>
          <w:b/>
          <w:kern w:val="22"/>
          <w:szCs w:val="22"/>
          <w:lang w:val="fr-CA"/>
        </w:rPr>
      </w:pPr>
      <w:r w:rsidRPr="00AF5B6D">
        <w:rPr>
          <w:b/>
          <w:kern w:val="22"/>
          <w:szCs w:val="22"/>
          <w:lang w:val="fr-CA"/>
        </w:rPr>
        <w:t>CONTEXT</w:t>
      </w:r>
      <w:r w:rsidR="009F30A6" w:rsidRPr="00AF5B6D">
        <w:rPr>
          <w:b/>
          <w:kern w:val="22"/>
          <w:szCs w:val="22"/>
          <w:lang w:val="fr-CA"/>
        </w:rPr>
        <w:t>E</w:t>
      </w:r>
    </w:p>
    <w:p w:rsidR="00966FAF" w:rsidRPr="00AF5B6D" w:rsidRDefault="009F30A6" w:rsidP="007B3E88">
      <w:pPr>
        <w:pStyle w:val="Para1"/>
        <w:numPr>
          <w:ilvl w:val="6"/>
          <w:numId w:val="2"/>
        </w:numPr>
        <w:suppressLineNumbers/>
        <w:tabs>
          <w:tab w:val="clear" w:pos="360"/>
        </w:tabs>
        <w:suppressAutoHyphens/>
        <w:kinsoku w:val="0"/>
        <w:overflowPunct w:val="0"/>
        <w:autoSpaceDE w:val="0"/>
        <w:autoSpaceDN w:val="0"/>
        <w:ind w:left="0" w:firstLine="0"/>
        <w:rPr>
          <w:kern w:val="22"/>
          <w:szCs w:val="22"/>
          <w:lang w:val="fr-CA"/>
        </w:rPr>
      </w:pPr>
      <w:r w:rsidRPr="00AF5B6D">
        <w:rPr>
          <w:kern w:val="22"/>
          <w:szCs w:val="22"/>
          <w:lang w:val="fr-CA"/>
        </w:rPr>
        <w:t>L’intégration des aires prot</w:t>
      </w:r>
      <w:r w:rsidR="00053B93" w:rsidRPr="00AF5B6D">
        <w:rPr>
          <w:kern w:val="22"/>
          <w:szCs w:val="22"/>
          <w:lang w:val="fr-CA"/>
        </w:rPr>
        <w:t>é</w:t>
      </w:r>
      <w:r w:rsidRPr="00AF5B6D">
        <w:rPr>
          <w:kern w:val="22"/>
          <w:szCs w:val="22"/>
          <w:lang w:val="fr-CA"/>
        </w:rPr>
        <w:t xml:space="preserve">gées aux paysages terrestres et marins plus vastes et aux secteurs comprend plusieurs éléments, </w:t>
      </w:r>
      <w:r w:rsidR="00053B93" w:rsidRPr="00AF5B6D">
        <w:rPr>
          <w:kern w:val="22"/>
          <w:szCs w:val="22"/>
          <w:lang w:val="fr-CA"/>
        </w:rPr>
        <w:t>don</w:t>
      </w:r>
      <w:r w:rsidRPr="00AF5B6D">
        <w:rPr>
          <w:kern w:val="22"/>
          <w:szCs w:val="22"/>
          <w:lang w:val="fr-CA"/>
        </w:rPr>
        <w:t>t la</w:t>
      </w:r>
      <w:r w:rsidR="00053B93" w:rsidRPr="00AF5B6D">
        <w:rPr>
          <w:kern w:val="22"/>
          <w:szCs w:val="22"/>
          <w:lang w:val="fr-CA"/>
        </w:rPr>
        <w:t xml:space="preserve"> f</w:t>
      </w:r>
      <w:r w:rsidRPr="00AF5B6D">
        <w:rPr>
          <w:kern w:val="22"/>
          <w:szCs w:val="22"/>
          <w:lang w:val="fr-CA"/>
        </w:rPr>
        <w:t>ragmen</w:t>
      </w:r>
      <w:r w:rsidR="00053B93" w:rsidRPr="00AF5B6D">
        <w:rPr>
          <w:kern w:val="22"/>
          <w:szCs w:val="22"/>
          <w:lang w:val="fr-CA"/>
        </w:rPr>
        <w:t>tation</w:t>
      </w:r>
      <w:r w:rsidRPr="00AF5B6D">
        <w:rPr>
          <w:kern w:val="22"/>
          <w:szCs w:val="22"/>
          <w:lang w:val="fr-CA"/>
        </w:rPr>
        <w:t xml:space="preserve"> de l’habitat, en premier lieu, qui pe</w:t>
      </w:r>
      <w:r w:rsidR="00053B93" w:rsidRPr="00AF5B6D">
        <w:rPr>
          <w:kern w:val="22"/>
          <w:szCs w:val="22"/>
          <w:lang w:val="fr-CA"/>
        </w:rPr>
        <w:t>u</w:t>
      </w:r>
      <w:r w:rsidRPr="00AF5B6D">
        <w:rPr>
          <w:kern w:val="22"/>
          <w:szCs w:val="22"/>
          <w:lang w:val="fr-CA"/>
        </w:rPr>
        <w:t>t avoir des conséquences profondes</w:t>
      </w:r>
      <w:r w:rsidR="009A4206" w:rsidRPr="00AF5B6D">
        <w:rPr>
          <w:kern w:val="22"/>
          <w:szCs w:val="22"/>
          <w:lang w:val="fr-CA"/>
        </w:rPr>
        <w:t xml:space="preserve"> sur le</w:t>
      </w:r>
      <w:r w:rsidR="00FB7F31" w:rsidRPr="00AF5B6D">
        <w:rPr>
          <w:kern w:val="22"/>
          <w:szCs w:val="22"/>
          <w:lang w:val="fr-CA"/>
        </w:rPr>
        <w:t xml:space="preserve"> fonctionnement et l’intégrité des syst</w:t>
      </w:r>
      <w:r w:rsidR="009A4206" w:rsidRPr="00AF5B6D">
        <w:rPr>
          <w:kern w:val="22"/>
          <w:szCs w:val="22"/>
          <w:lang w:val="fr-CA"/>
        </w:rPr>
        <w:t>èmes écologiques complexes. P</w:t>
      </w:r>
      <w:r w:rsidR="00FB7F31" w:rsidRPr="00AF5B6D">
        <w:rPr>
          <w:kern w:val="22"/>
          <w:szCs w:val="22"/>
          <w:lang w:val="fr-CA"/>
        </w:rPr>
        <w:t>ar contre, le taux et l’</w:t>
      </w:r>
      <w:r w:rsidR="009A4206" w:rsidRPr="00AF5B6D">
        <w:rPr>
          <w:kern w:val="22"/>
          <w:szCs w:val="22"/>
          <w:lang w:val="fr-CA"/>
        </w:rPr>
        <w:t>étendue de la frag</w:t>
      </w:r>
      <w:r w:rsidR="00FB7F31" w:rsidRPr="00AF5B6D">
        <w:rPr>
          <w:kern w:val="22"/>
          <w:szCs w:val="22"/>
          <w:lang w:val="fr-CA"/>
        </w:rPr>
        <w:t xml:space="preserve">mentation, surtout des forêts, sont immenses. Une récente étude a révélé que 70 pour cent de la couverture forestière de la terre se situe à moins d’un kilomètre d’une bordure de forêt (par exemple une route ou </w:t>
      </w:r>
      <w:r w:rsidR="009A4206" w:rsidRPr="00AF5B6D">
        <w:rPr>
          <w:kern w:val="22"/>
          <w:szCs w:val="22"/>
          <w:lang w:val="fr-CA"/>
        </w:rPr>
        <w:t>des terres reconverties à une autre utilisation t</w:t>
      </w:r>
      <w:r w:rsidR="00FB7F31" w:rsidRPr="00AF5B6D">
        <w:rPr>
          <w:kern w:val="22"/>
          <w:szCs w:val="22"/>
          <w:lang w:val="fr-CA"/>
        </w:rPr>
        <w:t xml:space="preserve">elle que l’agriculture), ce qui réduit </w:t>
      </w:r>
      <w:r w:rsidR="00053B93" w:rsidRPr="00AF5B6D">
        <w:rPr>
          <w:kern w:val="22"/>
          <w:szCs w:val="22"/>
          <w:lang w:val="fr-CA"/>
        </w:rPr>
        <w:t>la biodiversité de jusqu’à 7</w:t>
      </w:r>
      <w:r w:rsidR="000063C7">
        <w:rPr>
          <w:kern w:val="22"/>
          <w:szCs w:val="22"/>
          <w:lang w:val="fr-CA"/>
        </w:rPr>
        <w:t>5</w:t>
      </w:r>
      <w:r w:rsidR="00053B93" w:rsidRPr="00AF5B6D">
        <w:rPr>
          <w:kern w:val="22"/>
          <w:szCs w:val="22"/>
          <w:lang w:val="fr-CA"/>
        </w:rPr>
        <w:t xml:space="preserve"> pour cent, mett</w:t>
      </w:r>
      <w:r w:rsidR="009A4206" w:rsidRPr="00AF5B6D">
        <w:rPr>
          <w:kern w:val="22"/>
          <w:szCs w:val="22"/>
          <w:lang w:val="fr-CA"/>
        </w:rPr>
        <w:t>a</w:t>
      </w:r>
      <w:r w:rsidR="00053B93" w:rsidRPr="00AF5B6D">
        <w:rPr>
          <w:kern w:val="22"/>
          <w:szCs w:val="22"/>
          <w:lang w:val="fr-CA"/>
        </w:rPr>
        <w:t>nt en péril le fonctionnement des écosystèmes</w:t>
      </w:r>
      <w:r w:rsidR="00FA248F" w:rsidRPr="00AF5B6D">
        <w:rPr>
          <w:kern w:val="22"/>
          <w:szCs w:val="22"/>
          <w:lang w:val="fr-CA"/>
        </w:rPr>
        <w:t>.</w:t>
      </w:r>
      <w:r w:rsidR="003A27ED" w:rsidRPr="00AF5B6D">
        <w:rPr>
          <w:rStyle w:val="Appelnotedebasdep"/>
          <w:kern w:val="22"/>
          <w:sz w:val="22"/>
          <w:szCs w:val="22"/>
          <w:u w:val="none"/>
          <w:vertAlign w:val="superscript"/>
          <w:lang w:val="fr-CA"/>
        </w:rPr>
        <w:footnoteReference w:id="13"/>
      </w:r>
      <w:r w:rsidR="003A27ED" w:rsidRPr="00AF5B6D">
        <w:rPr>
          <w:kern w:val="22"/>
          <w:szCs w:val="22"/>
          <w:vertAlign w:val="superscript"/>
          <w:lang w:val="fr-CA"/>
        </w:rPr>
        <w:t xml:space="preserve"> </w:t>
      </w:r>
      <w:r w:rsidR="00053B93" w:rsidRPr="00AF5B6D">
        <w:rPr>
          <w:kern w:val="22"/>
          <w:szCs w:val="22"/>
          <w:lang w:val="fr-CA"/>
        </w:rPr>
        <w:t xml:space="preserve">L’intégralité de l’habitat est de plus en plus </w:t>
      </w:r>
      <w:r w:rsidR="000063C7">
        <w:rPr>
          <w:kern w:val="22"/>
          <w:szCs w:val="22"/>
          <w:lang w:val="fr-CA"/>
        </w:rPr>
        <w:t>re</w:t>
      </w:r>
      <w:r w:rsidR="00053B93" w:rsidRPr="00AF5B6D">
        <w:rPr>
          <w:kern w:val="22"/>
          <w:szCs w:val="22"/>
          <w:lang w:val="fr-CA"/>
        </w:rPr>
        <w:t>connue comme étant essentiel</w:t>
      </w:r>
      <w:r w:rsidR="009A4206" w:rsidRPr="00AF5B6D">
        <w:rPr>
          <w:kern w:val="22"/>
          <w:szCs w:val="22"/>
          <w:lang w:val="fr-CA"/>
        </w:rPr>
        <w:t>le au fo</w:t>
      </w:r>
      <w:r w:rsidR="00053B93" w:rsidRPr="00AF5B6D">
        <w:rPr>
          <w:kern w:val="22"/>
          <w:szCs w:val="22"/>
          <w:lang w:val="fr-CA"/>
        </w:rPr>
        <w:t xml:space="preserve">nctionnement des systèmes écologiques </w:t>
      </w:r>
      <w:r w:rsidR="00FF3FDA">
        <w:rPr>
          <w:kern w:val="22"/>
          <w:szCs w:val="22"/>
          <w:lang w:val="fr-CA"/>
        </w:rPr>
        <w:t>plus vastes</w:t>
      </w:r>
      <w:r w:rsidR="00053B93" w:rsidRPr="00AF5B6D">
        <w:rPr>
          <w:kern w:val="22"/>
          <w:szCs w:val="22"/>
          <w:lang w:val="fr-CA"/>
        </w:rPr>
        <w:t>, ainsi que pour les services écosystémiques tels que l’eau, la séquestration du carbone et la santé humaine</w:t>
      </w:r>
      <w:r w:rsidR="003A27ED" w:rsidRPr="00AF5B6D">
        <w:rPr>
          <w:kern w:val="22"/>
          <w:szCs w:val="22"/>
          <w:lang w:val="fr-CA"/>
        </w:rPr>
        <w:t>.</w:t>
      </w:r>
      <w:r w:rsidR="003A27ED" w:rsidRPr="00AF5B6D">
        <w:rPr>
          <w:rStyle w:val="Appelnotedebasdep"/>
          <w:kern w:val="22"/>
          <w:sz w:val="22"/>
          <w:szCs w:val="22"/>
          <w:u w:val="none"/>
          <w:vertAlign w:val="superscript"/>
          <w:lang w:val="fr-CA"/>
        </w:rPr>
        <w:footnoteReference w:id="14"/>
      </w:r>
    </w:p>
    <w:p w:rsidR="001A0F69" w:rsidRPr="00AF5B6D" w:rsidRDefault="009A4206" w:rsidP="007B3E88">
      <w:pPr>
        <w:pStyle w:val="Para1"/>
        <w:numPr>
          <w:ilvl w:val="6"/>
          <w:numId w:val="2"/>
        </w:numPr>
        <w:suppressLineNumbers/>
        <w:tabs>
          <w:tab w:val="clear" w:pos="360"/>
        </w:tabs>
        <w:suppressAutoHyphens/>
        <w:kinsoku w:val="0"/>
        <w:overflowPunct w:val="0"/>
        <w:autoSpaceDE w:val="0"/>
        <w:autoSpaceDN w:val="0"/>
        <w:ind w:left="0" w:firstLine="0"/>
        <w:rPr>
          <w:kern w:val="22"/>
          <w:szCs w:val="22"/>
          <w:lang w:val="fr-CA"/>
        </w:rPr>
      </w:pPr>
      <w:r w:rsidRPr="00AF5B6D">
        <w:rPr>
          <w:kern w:val="22"/>
          <w:szCs w:val="22"/>
          <w:lang w:val="fr-CA"/>
        </w:rPr>
        <w:t>Le but 1.2 du programm</w:t>
      </w:r>
      <w:r w:rsidR="00C86EEB" w:rsidRPr="00AF5B6D">
        <w:rPr>
          <w:kern w:val="22"/>
          <w:szCs w:val="22"/>
          <w:lang w:val="fr-CA"/>
        </w:rPr>
        <w:t>e de travail sur les aires proté</w:t>
      </w:r>
      <w:r w:rsidRPr="00AF5B6D">
        <w:rPr>
          <w:kern w:val="22"/>
          <w:szCs w:val="22"/>
          <w:lang w:val="fr-CA"/>
        </w:rPr>
        <w:t xml:space="preserve">gées </w:t>
      </w:r>
      <w:r w:rsidR="00C86EEB" w:rsidRPr="00AF5B6D">
        <w:rPr>
          <w:kern w:val="22"/>
          <w:szCs w:val="22"/>
          <w:lang w:val="fr-CA"/>
        </w:rPr>
        <w:t xml:space="preserve">consiste à « Intégrer d’ici 2015, toutes les aires protégées dans les systèmes de paysages terrestres et marins plus vastes et dans les secteurs pertinents, en appliquant l’approche par écosystème et en tenant compte de la connectivité écologique et, s’il y a lieu, du concept des réseaux écologiques. » Dans sa décision </w:t>
      </w:r>
      <w:hyperlink r:id="rId12" w:history="1">
        <w:r w:rsidR="003A27ED" w:rsidRPr="00AF5B6D">
          <w:rPr>
            <w:rStyle w:val="Lienhypertexte"/>
            <w:kern w:val="22"/>
            <w:szCs w:val="22"/>
            <w:lang w:val="fr-CA"/>
          </w:rPr>
          <w:t>X/</w:t>
        </w:r>
        <w:r w:rsidR="005211CD" w:rsidRPr="00AF5B6D">
          <w:rPr>
            <w:rStyle w:val="Lienhypertexte"/>
            <w:kern w:val="22"/>
            <w:szCs w:val="22"/>
            <w:lang w:val="fr-CA"/>
          </w:rPr>
          <w:t>6</w:t>
        </w:r>
      </w:hyperlink>
      <w:r w:rsidR="003A27ED" w:rsidRPr="00AF5B6D">
        <w:rPr>
          <w:kern w:val="22"/>
          <w:szCs w:val="22"/>
          <w:lang w:val="fr-CA"/>
        </w:rPr>
        <w:t xml:space="preserve">, </w:t>
      </w:r>
      <w:r w:rsidR="00F64B85" w:rsidRPr="00AF5B6D">
        <w:rPr>
          <w:kern w:val="22"/>
          <w:szCs w:val="22"/>
          <w:lang w:val="fr-CA"/>
        </w:rPr>
        <w:t xml:space="preserve">la Conférence des Parties  souligne notamment aux Parties l’importance d’intégrer la diversité biologique dans l’éradication de la pauvreté et le développement, et dans sa décision </w:t>
      </w:r>
      <w:hyperlink r:id="rId13" w:history="1">
        <w:r w:rsidR="001A0F69" w:rsidRPr="00AF5B6D">
          <w:rPr>
            <w:rStyle w:val="Lienhypertexte"/>
            <w:kern w:val="22"/>
            <w:szCs w:val="22"/>
            <w:lang w:val="fr-CA"/>
          </w:rPr>
          <w:t>XIII</w:t>
        </w:r>
        <w:r w:rsidR="001A0F69" w:rsidRPr="00AF5B6D">
          <w:rPr>
            <w:rStyle w:val="Lienhypertexte"/>
            <w:kern w:val="22"/>
            <w:szCs w:val="22"/>
            <w:lang w:val="fr-CA"/>
          </w:rPr>
          <w:t>/</w:t>
        </w:r>
        <w:r w:rsidR="001A0F69" w:rsidRPr="00AF5B6D">
          <w:rPr>
            <w:rStyle w:val="Lienhypertexte"/>
            <w:kern w:val="22"/>
            <w:szCs w:val="22"/>
            <w:lang w:val="fr-CA"/>
          </w:rPr>
          <w:t>3</w:t>
        </w:r>
      </w:hyperlink>
      <w:r w:rsidR="001A0F69" w:rsidRPr="00AF5B6D">
        <w:rPr>
          <w:kern w:val="22"/>
          <w:szCs w:val="22"/>
          <w:lang w:val="fr-CA"/>
        </w:rPr>
        <w:t xml:space="preserve">, </w:t>
      </w:r>
      <w:r w:rsidR="00F64B85" w:rsidRPr="00AF5B6D">
        <w:rPr>
          <w:kern w:val="22"/>
          <w:szCs w:val="22"/>
          <w:lang w:val="fr-CA"/>
        </w:rPr>
        <w:t xml:space="preserve">souligne entre autres l’importance d’intégrer la diversité biologique dans les secteurs. Dans sa décision </w:t>
      </w:r>
      <w:hyperlink r:id="rId14" w:history="1">
        <w:r w:rsidR="00CD56F0" w:rsidRPr="00AF5B6D">
          <w:rPr>
            <w:rStyle w:val="Lienhypertexte"/>
            <w:kern w:val="22"/>
            <w:szCs w:val="22"/>
            <w:lang w:val="fr-CA"/>
          </w:rPr>
          <w:t>X</w:t>
        </w:r>
        <w:r w:rsidR="00CD56F0" w:rsidRPr="00AF5B6D">
          <w:rPr>
            <w:rStyle w:val="Lienhypertexte"/>
            <w:kern w:val="22"/>
            <w:szCs w:val="22"/>
            <w:lang w:val="fr-CA"/>
          </w:rPr>
          <w:t>/</w:t>
        </w:r>
        <w:r w:rsidR="00CD56F0" w:rsidRPr="00AF5B6D">
          <w:rPr>
            <w:rStyle w:val="Lienhypertexte"/>
            <w:kern w:val="22"/>
            <w:szCs w:val="22"/>
            <w:lang w:val="fr-CA"/>
          </w:rPr>
          <w:t>31</w:t>
        </w:r>
      </w:hyperlink>
      <w:r w:rsidR="00CD56F0" w:rsidRPr="00AF5B6D">
        <w:rPr>
          <w:kern w:val="22"/>
          <w:szCs w:val="22"/>
          <w:lang w:val="fr-CA"/>
        </w:rPr>
        <w:t xml:space="preserve">, </w:t>
      </w:r>
      <w:r w:rsidR="00F64B85" w:rsidRPr="00AF5B6D">
        <w:rPr>
          <w:kern w:val="22"/>
          <w:szCs w:val="22"/>
          <w:lang w:val="fr-CA"/>
        </w:rPr>
        <w:t>l</w:t>
      </w:r>
      <w:r w:rsidR="00136413" w:rsidRPr="00AF5B6D">
        <w:rPr>
          <w:kern w:val="22"/>
          <w:szCs w:val="22"/>
          <w:lang w:val="fr-CA"/>
        </w:rPr>
        <w:t>a Co</w:t>
      </w:r>
      <w:r w:rsidR="00F64B85" w:rsidRPr="00AF5B6D">
        <w:rPr>
          <w:kern w:val="22"/>
          <w:szCs w:val="22"/>
          <w:lang w:val="fr-CA"/>
        </w:rPr>
        <w:t xml:space="preserve">nférence des Parties invite </w:t>
      </w:r>
      <w:r w:rsidR="00136413" w:rsidRPr="00AF5B6D">
        <w:rPr>
          <w:kern w:val="22"/>
          <w:szCs w:val="22"/>
          <w:lang w:val="fr-CA"/>
        </w:rPr>
        <w:t>notamment l</w:t>
      </w:r>
      <w:r w:rsidR="00F64B85" w:rsidRPr="00AF5B6D">
        <w:rPr>
          <w:kern w:val="22"/>
          <w:szCs w:val="22"/>
          <w:lang w:val="fr-CA"/>
        </w:rPr>
        <w:t>es Parties à faciliter l’</w:t>
      </w:r>
      <w:r w:rsidR="00136413" w:rsidRPr="00AF5B6D">
        <w:rPr>
          <w:kern w:val="22"/>
          <w:szCs w:val="22"/>
          <w:lang w:val="fr-CA"/>
        </w:rPr>
        <w:t>intégration des aires proté</w:t>
      </w:r>
      <w:r w:rsidR="00F64B85" w:rsidRPr="00AF5B6D">
        <w:rPr>
          <w:kern w:val="22"/>
          <w:szCs w:val="22"/>
          <w:lang w:val="fr-CA"/>
        </w:rPr>
        <w:t>gées dans les plans de développement nationaux et de développement</w:t>
      </w:r>
      <w:r w:rsidR="00E9447E">
        <w:rPr>
          <w:kern w:val="22"/>
          <w:szCs w:val="22"/>
          <w:lang w:val="fr-CA"/>
        </w:rPr>
        <w:t xml:space="preserve"> économique</w:t>
      </w:r>
      <w:r w:rsidR="00F64B85" w:rsidRPr="00AF5B6D">
        <w:rPr>
          <w:kern w:val="22"/>
          <w:szCs w:val="22"/>
          <w:lang w:val="fr-CA"/>
        </w:rPr>
        <w:t xml:space="preserve">, </w:t>
      </w:r>
      <w:r w:rsidR="00136413" w:rsidRPr="00AF5B6D">
        <w:rPr>
          <w:kern w:val="22"/>
          <w:szCs w:val="22"/>
          <w:lang w:val="fr-CA"/>
        </w:rPr>
        <w:t>là où ils</w:t>
      </w:r>
      <w:r w:rsidR="00F64B85" w:rsidRPr="00AF5B6D">
        <w:rPr>
          <w:kern w:val="22"/>
          <w:szCs w:val="22"/>
          <w:lang w:val="fr-CA"/>
        </w:rPr>
        <w:t xml:space="preserve"> existent</w:t>
      </w:r>
      <w:r w:rsidR="001625BD" w:rsidRPr="00AF5B6D">
        <w:rPr>
          <w:kern w:val="22"/>
          <w:szCs w:val="22"/>
          <w:lang w:val="fr-CA"/>
        </w:rPr>
        <w:t>.</w:t>
      </w:r>
    </w:p>
    <w:p w:rsidR="001A0F69" w:rsidRPr="00AF5B6D" w:rsidRDefault="00AF5754" w:rsidP="007B3E88">
      <w:pPr>
        <w:pStyle w:val="Para1"/>
        <w:numPr>
          <w:ilvl w:val="6"/>
          <w:numId w:val="2"/>
        </w:numPr>
        <w:suppressLineNumbers/>
        <w:tabs>
          <w:tab w:val="clear" w:pos="360"/>
        </w:tabs>
        <w:suppressAutoHyphens/>
        <w:kinsoku w:val="0"/>
        <w:overflowPunct w:val="0"/>
        <w:autoSpaceDE w:val="0"/>
        <w:autoSpaceDN w:val="0"/>
        <w:ind w:left="0" w:firstLine="0"/>
        <w:rPr>
          <w:kern w:val="22"/>
          <w:szCs w:val="22"/>
          <w:lang w:val="fr-CA"/>
        </w:rPr>
      </w:pPr>
      <w:r w:rsidRPr="00AF5B6D">
        <w:rPr>
          <w:kern w:val="22"/>
          <w:szCs w:val="22"/>
          <w:lang w:val="fr-CA"/>
        </w:rPr>
        <w:t xml:space="preserve">L’intégration des aires protégées </w:t>
      </w:r>
      <w:r w:rsidR="00E9447E">
        <w:rPr>
          <w:kern w:val="22"/>
          <w:szCs w:val="22"/>
          <w:lang w:val="fr-CA"/>
        </w:rPr>
        <w:t>est</w:t>
      </w:r>
      <w:r w:rsidRPr="00AF5B6D">
        <w:rPr>
          <w:kern w:val="22"/>
          <w:szCs w:val="22"/>
          <w:lang w:val="fr-CA"/>
        </w:rPr>
        <w:t xml:space="preserve"> </w:t>
      </w:r>
      <w:r w:rsidR="00981F97">
        <w:rPr>
          <w:kern w:val="22"/>
          <w:szCs w:val="22"/>
          <w:lang w:val="fr-CA"/>
        </w:rPr>
        <w:t>un</w:t>
      </w:r>
      <w:r w:rsidRPr="00AF5B6D">
        <w:rPr>
          <w:kern w:val="22"/>
          <w:szCs w:val="22"/>
          <w:lang w:val="fr-CA"/>
        </w:rPr>
        <w:t xml:space="preserve"> processus </w:t>
      </w:r>
      <w:r w:rsidR="00981F97">
        <w:rPr>
          <w:kern w:val="22"/>
          <w:szCs w:val="22"/>
          <w:lang w:val="fr-CA"/>
        </w:rPr>
        <w:t>qui fait</w:t>
      </w:r>
      <w:r w:rsidR="00E9447E">
        <w:rPr>
          <w:kern w:val="22"/>
          <w:szCs w:val="22"/>
          <w:lang w:val="fr-CA"/>
        </w:rPr>
        <w:t xml:space="preserve"> en sorte </w:t>
      </w:r>
      <w:r w:rsidR="0006670D" w:rsidRPr="00AF5B6D">
        <w:rPr>
          <w:kern w:val="22"/>
          <w:szCs w:val="22"/>
          <w:lang w:val="fr-CA"/>
        </w:rPr>
        <w:t>que les aires protégés, les corridor</w:t>
      </w:r>
      <w:r w:rsidR="00981F97">
        <w:rPr>
          <w:kern w:val="22"/>
          <w:szCs w:val="22"/>
          <w:lang w:val="fr-CA"/>
        </w:rPr>
        <w:t>s et le support avoisinants so</w:t>
      </w:r>
      <w:r w:rsidR="0006670D" w:rsidRPr="00AF5B6D">
        <w:rPr>
          <w:kern w:val="22"/>
          <w:szCs w:val="22"/>
          <w:lang w:val="fr-CA"/>
        </w:rPr>
        <w:t>nt con</w:t>
      </w:r>
      <w:r w:rsidR="00E85606" w:rsidRPr="00AF5B6D">
        <w:rPr>
          <w:kern w:val="22"/>
          <w:szCs w:val="22"/>
          <w:lang w:val="fr-CA"/>
        </w:rPr>
        <w:t>çus et géré</w:t>
      </w:r>
      <w:r w:rsidR="0006670D" w:rsidRPr="00AF5B6D">
        <w:rPr>
          <w:kern w:val="22"/>
          <w:szCs w:val="22"/>
          <w:lang w:val="fr-CA"/>
        </w:rPr>
        <w:t xml:space="preserve">s de manière à favoriser </w:t>
      </w:r>
      <w:r w:rsidR="00E85606" w:rsidRPr="00AF5B6D">
        <w:rPr>
          <w:kern w:val="22"/>
          <w:szCs w:val="22"/>
          <w:lang w:val="fr-CA"/>
        </w:rPr>
        <w:t>la connectivité et le bon fonctionnement du</w:t>
      </w:r>
      <w:r w:rsidR="0006670D" w:rsidRPr="00AF5B6D">
        <w:rPr>
          <w:kern w:val="22"/>
          <w:szCs w:val="22"/>
          <w:lang w:val="fr-CA"/>
        </w:rPr>
        <w:t xml:space="preserve"> réseau </w:t>
      </w:r>
      <w:r w:rsidR="00E85606" w:rsidRPr="00AF5B6D">
        <w:rPr>
          <w:kern w:val="22"/>
          <w:szCs w:val="22"/>
          <w:lang w:val="fr-CA"/>
        </w:rPr>
        <w:t>écologique</w:t>
      </w:r>
      <w:r w:rsidR="0006670D" w:rsidRPr="00AF5B6D">
        <w:rPr>
          <w:kern w:val="22"/>
          <w:szCs w:val="22"/>
          <w:lang w:val="fr-CA"/>
        </w:rPr>
        <w:t>.</w:t>
      </w:r>
      <w:r w:rsidR="004658AB" w:rsidRPr="00AF5B6D">
        <w:rPr>
          <w:rStyle w:val="Appelnotedebasdep"/>
          <w:kern w:val="22"/>
          <w:sz w:val="22"/>
          <w:szCs w:val="22"/>
          <w:u w:val="none"/>
          <w:vertAlign w:val="superscript"/>
          <w:lang w:val="fr-CA"/>
        </w:rPr>
        <w:footnoteReference w:id="15"/>
      </w:r>
      <w:r w:rsidR="004658AB" w:rsidRPr="00AF5B6D">
        <w:rPr>
          <w:kern w:val="22"/>
          <w:szCs w:val="22"/>
          <w:lang w:val="fr-CA"/>
        </w:rPr>
        <w:t xml:space="preserve"> </w:t>
      </w:r>
      <w:r w:rsidR="00E85606" w:rsidRPr="00AF5B6D">
        <w:rPr>
          <w:kern w:val="22"/>
          <w:szCs w:val="22"/>
          <w:lang w:val="fr-CA"/>
        </w:rPr>
        <w:t xml:space="preserve">Elle </w:t>
      </w:r>
      <w:r w:rsidR="00637360">
        <w:rPr>
          <w:kern w:val="22"/>
          <w:szCs w:val="22"/>
          <w:lang w:val="fr-CA"/>
        </w:rPr>
        <w:t>représente aussi</w:t>
      </w:r>
      <w:r w:rsidR="00E85606" w:rsidRPr="00AF5B6D">
        <w:rPr>
          <w:kern w:val="22"/>
          <w:szCs w:val="22"/>
          <w:lang w:val="fr-CA"/>
        </w:rPr>
        <w:t xml:space="preserve"> l’intégration des valeurs, des impacts et des dépendances de la diversité biologique et des services éc</w:t>
      </w:r>
      <w:r w:rsidR="00637360">
        <w:rPr>
          <w:kern w:val="22"/>
          <w:szCs w:val="22"/>
          <w:lang w:val="fr-CA"/>
        </w:rPr>
        <w:t>osystémiques fournis par les air</w:t>
      </w:r>
      <w:r w:rsidR="00E85606" w:rsidRPr="00AF5B6D">
        <w:rPr>
          <w:kern w:val="22"/>
          <w:szCs w:val="22"/>
          <w:lang w:val="fr-CA"/>
        </w:rPr>
        <w:t>es protégées dans des secteurs déterminants tels que l’agriculture, la pêche, les forêts, l’exploitation minière, l’énergie, le tourisme et les transports</w:t>
      </w:r>
      <w:r w:rsidR="004605FB" w:rsidRPr="00AF5B6D">
        <w:rPr>
          <w:kern w:val="22"/>
          <w:szCs w:val="22"/>
          <w:lang w:val="fr-CA"/>
        </w:rPr>
        <w:t>.</w:t>
      </w:r>
    </w:p>
    <w:p w:rsidR="004605FB" w:rsidRPr="00AF5B6D" w:rsidRDefault="00302462" w:rsidP="007B3E88">
      <w:pPr>
        <w:pStyle w:val="Para1"/>
        <w:numPr>
          <w:ilvl w:val="6"/>
          <w:numId w:val="2"/>
        </w:numPr>
        <w:suppressLineNumbers/>
        <w:tabs>
          <w:tab w:val="clear" w:pos="360"/>
        </w:tabs>
        <w:suppressAutoHyphens/>
        <w:kinsoku w:val="0"/>
        <w:overflowPunct w:val="0"/>
        <w:autoSpaceDE w:val="0"/>
        <w:autoSpaceDN w:val="0"/>
        <w:ind w:left="0" w:firstLine="0"/>
        <w:rPr>
          <w:kern w:val="22"/>
          <w:szCs w:val="22"/>
          <w:lang w:val="fr-CA"/>
        </w:rPr>
      </w:pPr>
      <w:r w:rsidRPr="00AF5B6D">
        <w:rPr>
          <w:kern w:val="22"/>
          <w:szCs w:val="22"/>
          <w:lang w:val="fr-CA"/>
        </w:rPr>
        <w:t>Les aires protégées protègent la diversité biologique et les éc</w:t>
      </w:r>
      <w:r w:rsidR="00637360">
        <w:rPr>
          <w:kern w:val="22"/>
          <w:szCs w:val="22"/>
          <w:lang w:val="fr-CA"/>
        </w:rPr>
        <w:t>osystèmes qui sous-tendent les o</w:t>
      </w:r>
      <w:r w:rsidRPr="00AF5B6D">
        <w:rPr>
          <w:kern w:val="22"/>
          <w:szCs w:val="22"/>
          <w:lang w:val="fr-CA"/>
        </w:rPr>
        <w:t>bjectifs de développement durable</w:t>
      </w:r>
      <w:r w:rsidR="004605FB" w:rsidRPr="00AF5B6D">
        <w:rPr>
          <w:kern w:val="22"/>
          <w:szCs w:val="22"/>
          <w:lang w:val="fr-CA"/>
        </w:rPr>
        <w:t>.</w:t>
      </w:r>
      <w:r w:rsidR="004605FB" w:rsidRPr="00AF5B6D">
        <w:rPr>
          <w:rStyle w:val="Appelnotedebasdep"/>
          <w:kern w:val="22"/>
          <w:sz w:val="22"/>
          <w:szCs w:val="22"/>
          <w:u w:val="none"/>
          <w:vertAlign w:val="superscript"/>
          <w:lang w:val="fr-CA"/>
        </w:rPr>
        <w:footnoteReference w:id="16"/>
      </w:r>
      <w:r w:rsidR="00DA024B" w:rsidRPr="00AF5B6D">
        <w:rPr>
          <w:kern w:val="22"/>
          <w:szCs w:val="22"/>
          <w:lang w:val="fr-CA"/>
        </w:rPr>
        <w:t xml:space="preserve"> </w:t>
      </w:r>
      <w:r w:rsidRPr="00AF5B6D">
        <w:rPr>
          <w:kern w:val="22"/>
          <w:szCs w:val="22"/>
          <w:lang w:val="fr-CA"/>
        </w:rPr>
        <w:t xml:space="preserve">Les aires protégées sont particulièrement importantes à la </w:t>
      </w:r>
      <w:r w:rsidR="00933E99" w:rsidRPr="00AF5B6D">
        <w:rPr>
          <w:kern w:val="22"/>
          <w:szCs w:val="22"/>
          <w:lang w:val="fr-CA"/>
        </w:rPr>
        <w:t>réalisation</w:t>
      </w:r>
      <w:r w:rsidRPr="00AF5B6D">
        <w:rPr>
          <w:kern w:val="22"/>
          <w:szCs w:val="22"/>
          <w:lang w:val="fr-CA"/>
        </w:rPr>
        <w:t xml:space="preserve"> des objectifs en lien avec l’éradication de la pauvreté, la sécurité de l’eau, la séquestration du carbone, l’adaptation aux changem</w:t>
      </w:r>
      <w:r w:rsidR="00933E99" w:rsidRPr="00AF5B6D">
        <w:rPr>
          <w:kern w:val="22"/>
          <w:szCs w:val="22"/>
          <w:lang w:val="fr-CA"/>
        </w:rPr>
        <w:t>en</w:t>
      </w:r>
      <w:r w:rsidRPr="00AF5B6D">
        <w:rPr>
          <w:kern w:val="22"/>
          <w:szCs w:val="22"/>
          <w:lang w:val="fr-CA"/>
        </w:rPr>
        <w:t xml:space="preserve">ts climatiques, le développement économique et la réduction des risques de </w:t>
      </w:r>
      <w:r w:rsidR="00637360">
        <w:rPr>
          <w:kern w:val="22"/>
          <w:szCs w:val="22"/>
          <w:lang w:val="fr-CA"/>
        </w:rPr>
        <w:t>catastrophe</w:t>
      </w:r>
      <w:r w:rsidRPr="00AF5B6D">
        <w:rPr>
          <w:kern w:val="22"/>
          <w:szCs w:val="22"/>
          <w:lang w:val="fr-CA"/>
        </w:rPr>
        <w:t>. Les aires protégées sont</w:t>
      </w:r>
      <w:r w:rsidR="00933E99" w:rsidRPr="00AF5B6D">
        <w:rPr>
          <w:kern w:val="22"/>
          <w:szCs w:val="22"/>
          <w:lang w:val="fr-CA"/>
        </w:rPr>
        <w:t xml:space="preserve"> </w:t>
      </w:r>
      <w:r w:rsidRPr="00AF5B6D">
        <w:rPr>
          <w:kern w:val="22"/>
          <w:szCs w:val="22"/>
          <w:lang w:val="fr-CA"/>
        </w:rPr>
        <w:t>une stratégie es</w:t>
      </w:r>
      <w:r w:rsidR="00637360">
        <w:rPr>
          <w:kern w:val="22"/>
          <w:szCs w:val="22"/>
          <w:lang w:val="fr-CA"/>
        </w:rPr>
        <w:t xml:space="preserve">sentielle </w:t>
      </w:r>
      <w:r w:rsidR="00981F97">
        <w:rPr>
          <w:kern w:val="22"/>
          <w:szCs w:val="22"/>
          <w:lang w:val="fr-CA"/>
        </w:rPr>
        <w:t>du</w:t>
      </w:r>
      <w:r w:rsidR="00637360">
        <w:rPr>
          <w:kern w:val="22"/>
          <w:szCs w:val="22"/>
          <w:lang w:val="fr-CA"/>
        </w:rPr>
        <w:t xml:space="preserve"> secteur en émergence</w:t>
      </w:r>
      <w:r w:rsidRPr="00AF5B6D">
        <w:rPr>
          <w:kern w:val="22"/>
          <w:szCs w:val="22"/>
          <w:lang w:val="fr-CA"/>
        </w:rPr>
        <w:t xml:space="preserve"> des solutions</w:t>
      </w:r>
      <w:r w:rsidR="00933E99" w:rsidRPr="00AF5B6D">
        <w:rPr>
          <w:kern w:val="22"/>
          <w:szCs w:val="22"/>
          <w:lang w:val="fr-CA"/>
        </w:rPr>
        <w:t xml:space="preserve"> fondées sur la nature aux divers enjeux mondiaux tels que la sécurité de l’eau</w:t>
      </w:r>
      <w:r w:rsidR="00DA024B" w:rsidRPr="00AF5B6D">
        <w:rPr>
          <w:kern w:val="22"/>
          <w:szCs w:val="22"/>
          <w:lang w:val="fr-CA"/>
        </w:rPr>
        <w:t>.</w:t>
      </w:r>
      <w:r w:rsidR="00DA024B" w:rsidRPr="00AF5B6D">
        <w:rPr>
          <w:rStyle w:val="Appelnotedebasdep"/>
          <w:kern w:val="22"/>
          <w:sz w:val="22"/>
          <w:szCs w:val="22"/>
          <w:u w:val="none"/>
          <w:vertAlign w:val="superscript"/>
          <w:lang w:val="fr-CA"/>
        </w:rPr>
        <w:footnoteReference w:id="17"/>
      </w:r>
      <w:r w:rsidR="00DA024B" w:rsidRPr="00AF5B6D">
        <w:rPr>
          <w:kern w:val="22"/>
          <w:szCs w:val="22"/>
          <w:lang w:val="fr-CA"/>
        </w:rPr>
        <w:t xml:space="preserve"> </w:t>
      </w:r>
      <w:r w:rsidR="00933E99" w:rsidRPr="00AF5B6D">
        <w:rPr>
          <w:kern w:val="22"/>
          <w:szCs w:val="22"/>
          <w:lang w:val="fr-CA"/>
        </w:rPr>
        <w:t xml:space="preserve">Elles ont une importance </w:t>
      </w:r>
      <w:r w:rsidR="00637360">
        <w:rPr>
          <w:kern w:val="22"/>
          <w:szCs w:val="22"/>
          <w:lang w:val="fr-CA"/>
        </w:rPr>
        <w:lastRenderedPageBreak/>
        <w:t>particulière en tant que</w:t>
      </w:r>
      <w:r w:rsidR="00933E99" w:rsidRPr="00AF5B6D">
        <w:rPr>
          <w:kern w:val="22"/>
          <w:szCs w:val="22"/>
          <w:lang w:val="fr-CA"/>
        </w:rPr>
        <w:t xml:space="preserve"> solution fondée sur la nature pour atténuer les changements climatiques</w:t>
      </w:r>
      <w:r w:rsidR="00DA024B" w:rsidRPr="00AF5B6D">
        <w:rPr>
          <w:rStyle w:val="Appelnotedebasdep"/>
          <w:kern w:val="22"/>
          <w:sz w:val="22"/>
          <w:szCs w:val="22"/>
          <w:u w:val="none"/>
          <w:vertAlign w:val="superscript"/>
          <w:lang w:val="fr-CA"/>
        </w:rPr>
        <w:footnoteReference w:id="18"/>
      </w:r>
      <w:r w:rsidR="00DA024B" w:rsidRPr="00AF5B6D">
        <w:rPr>
          <w:kern w:val="22"/>
          <w:szCs w:val="22"/>
          <w:lang w:val="fr-CA"/>
        </w:rPr>
        <w:t xml:space="preserve"> </w:t>
      </w:r>
      <w:r w:rsidR="00933E99" w:rsidRPr="00AF5B6D">
        <w:rPr>
          <w:kern w:val="22"/>
          <w:szCs w:val="22"/>
          <w:lang w:val="fr-CA"/>
        </w:rPr>
        <w:t>et l’adaptation au climat</w:t>
      </w:r>
      <w:r w:rsidR="00DA024B" w:rsidRPr="00AF5B6D">
        <w:rPr>
          <w:kern w:val="22"/>
          <w:szCs w:val="22"/>
          <w:lang w:val="fr-CA"/>
        </w:rPr>
        <w:t>.</w:t>
      </w:r>
      <w:r w:rsidR="00DA024B" w:rsidRPr="00AF5B6D">
        <w:rPr>
          <w:rStyle w:val="Appelnotedebasdep"/>
          <w:kern w:val="22"/>
          <w:sz w:val="22"/>
          <w:szCs w:val="22"/>
          <w:u w:val="none"/>
          <w:vertAlign w:val="superscript"/>
          <w:lang w:val="fr-CA"/>
        </w:rPr>
        <w:footnoteReference w:id="19"/>
      </w:r>
      <w:r w:rsidR="00DA024B" w:rsidRPr="00AF5B6D">
        <w:rPr>
          <w:kern w:val="22"/>
          <w:szCs w:val="22"/>
          <w:lang w:val="fr-CA"/>
        </w:rPr>
        <w:t xml:space="preserve"> </w:t>
      </w:r>
      <w:r w:rsidR="00933E99" w:rsidRPr="00AF5B6D">
        <w:rPr>
          <w:kern w:val="22"/>
          <w:szCs w:val="22"/>
          <w:lang w:val="fr-CA"/>
        </w:rPr>
        <w:t xml:space="preserve">La nature fournit au moins un tiers des solutions </w:t>
      </w:r>
      <w:r w:rsidR="000117F6">
        <w:rPr>
          <w:kern w:val="22"/>
          <w:szCs w:val="22"/>
          <w:lang w:val="fr-CA"/>
        </w:rPr>
        <w:t>pour maintenir la planète sous</w:t>
      </w:r>
      <w:r w:rsidR="00933E99" w:rsidRPr="00AF5B6D">
        <w:rPr>
          <w:kern w:val="22"/>
          <w:szCs w:val="22"/>
          <w:lang w:val="fr-CA"/>
        </w:rPr>
        <w:t xml:space="preserve"> le 1,5°C, et les aires protégées représentent une stratégie essentielle pour atteindre cet objectif</w:t>
      </w:r>
      <w:r w:rsidR="00DA024B" w:rsidRPr="00AF5B6D">
        <w:rPr>
          <w:kern w:val="22"/>
          <w:szCs w:val="22"/>
          <w:lang w:val="fr-CA"/>
        </w:rPr>
        <w:t>.</w:t>
      </w:r>
    </w:p>
    <w:p w:rsidR="00CD56F0" w:rsidRPr="00AF5B6D" w:rsidRDefault="00017416" w:rsidP="007B3E88">
      <w:pPr>
        <w:pStyle w:val="Para1"/>
        <w:numPr>
          <w:ilvl w:val="6"/>
          <w:numId w:val="2"/>
        </w:numPr>
        <w:suppressLineNumbers/>
        <w:tabs>
          <w:tab w:val="clear" w:pos="360"/>
        </w:tabs>
        <w:suppressAutoHyphens/>
        <w:kinsoku w:val="0"/>
        <w:overflowPunct w:val="0"/>
        <w:autoSpaceDE w:val="0"/>
        <w:autoSpaceDN w:val="0"/>
        <w:ind w:left="0" w:firstLine="0"/>
        <w:rPr>
          <w:kern w:val="22"/>
          <w:szCs w:val="22"/>
          <w:lang w:val="fr-CA"/>
        </w:rPr>
      </w:pPr>
      <w:r w:rsidRPr="00AF5B6D">
        <w:rPr>
          <w:kern w:val="22"/>
          <w:szCs w:val="22"/>
          <w:lang w:val="fr-CA"/>
        </w:rPr>
        <w:t xml:space="preserve">Malgré toutes ces avancées, les progrès en matière d’intégration des aires protégées </w:t>
      </w:r>
      <w:r w:rsidR="000117F6">
        <w:rPr>
          <w:kern w:val="22"/>
          <w:szCs w:val="22"/>
          <w:lang w:val="fr-CA"/>
        </w:rPr>
        <w:t>demeurent lents</w:t>
      </w:r>
      <w:r w:rsidRPr="00AF5B6D">
        <w:rPr>
          <w:kern w:val="22"/>
          <w:szCs w:val="22"/>
          <w:lang w:val="fr-CA"/>
        </w:rPr>
        <w:t xml:space="preserve"> et peu de pays font état de stratégies précises</w:t>
      </w:r>
      <w:r w:rsidR="000117F6">
        <w:rPr>
          <w:kern w:val="22"/>
          <w:szCs w:val="22"/>
          <w:lang w:val="fr-CA"/>
        </w:rPr>
        <w:t xml:space="preserve"> pour la diversité biologique</w:t>
      </w:r>
      <w:r w:rsidRPr="00AF5B6D">
        <w:rPr>
          <w:kern w:val="22"/>
          <w:szCs w:val="22"/>
          <w:lang w:val="fr-CA"/>
        </w:rPr>
        <w:t xml:space="preserve"> dans leurs stratégies et plans d’action nationaux</w:t>
      </w:r>
      <w:r w:rsidRPr="00AF5B6D">
        <w:rPr>
          <w:rStyle w:val="Appelnotedebasdep"/>
          <w:kern w:val="22"/>
          <w:sz w:val="22"/>
          <w:szCs w:val="22"/>
          <w:u w:val="none"/>
          <w:vertAlign w:val="superscript"/>
          <w:lang w:val="fr-CA"/>
        </w:rPr>
        <w:footnoteReference w:id="20"/>
      </w:r>
      <w:r w:rsidRPr="00AF5B6D">
        <w:rPr>
          <w:kern w:val="22"/>
          <w:szCs w:val="22"/>
          <w:lang w:val="fr-CA"/>
        </w:rPr>
        <w:t>. Les Parties doivent agir en toute urgence afin de faire progresser ces deux objectifs</w:t>
      </w:r>
      <w:r w:rsidR="00CD56F0" w:rsidRPr="00AF5B6D">
        <w:rPr>
          <w:kern w:val="22"/>
          <w:szCs w:val="22"/>
          <w:lang w:val="fr-CA"/>
        </w:rPr>
        <w:t>.</w:t>
      </w:r>
    </w:p>
    <w:p w:rsidR="00291A64" w:rsidRPr="00AF5B6D" w:rsidRDefault="00C32D4D" w:rsidP="007B3E88">
      <w:pPr>
        <w:pStyle w:val="Para1"/>
        <w:keepNext/>
        <w:numPr>
          <w:ilvl w:val="0"/>
          <w:numId w:val="56"/>
        </w:numPr>
        <w:suppressLineNumbers/>
        <w:tabs>
          <w:tab w:val="left" w:pos="360"/>
        </w:tabs>
        <w:suppressAutoHyphens/>
        <w:kinsoku w:val="0"/>
        <w:overflowPunct w:val="0"/>
        <w:autoSpaceDE w:val="0"/>
        <w:autoSpaceDN w:val="0"/>
        <w:ind w:left="0" w:firstLine="0"/>
        <w:jc w:val="center"/>
        <w:rPr>
          <w:b/>
          <w:kern w:val="22"/>
          <w:szCs w:val="22"/>
          <w:lang w:val="fr-CA"/>
        </w:rPr>
      </w:pPr>
      <w:r w:rsidRPr="00AF5B6D">
        <w:rPr>
          <w:b/>
          <w:kern w:val="22"/>
          <w:szCs w:val="22"/>
          <w:lang w:val="fr-CA"/>
        </w:rPr>
        <w:t>ORIENTATIONS FACULTATIVES</w:t>
      </w:r>
    </w:p>
    <w:p w:rsidR="001F3DD5" w:rsidRPr="00AF5B6D" w:rsidRDefault="00242F8D" w:rsidP="007B3E88">
      <w:pPr>
        <w:pStyle w:val="Para10"/>
        <w:keepNext/>
        <w:suppressLineNumbers/>
        <w:suppressAutoHyphens/>
        <w:kinsoku w:val="0"/>
        <w:overflowPunct w:val="0"/>
        <w:autoSpaceDE w:val="0"/>
        <w:autoSpaceDN w:val="0"/>
        <w:ind w:left="1440" w:hanging="720"/>
        <w:jc w:val="left"/>
        <w:rPr>
          <w:rFonts w:cs="Times New Roman"/>
          <w:b/>
          <w:bCs w:val="0"/>
          <w:iCs/>
          <w:kern w:val="22"/>
          <w:lang w:val="fr-CA" w:eastAsia="ja-JP" w:bidi="th-TH"/>
        </w:rPr>
      </w:pPr>
      <w:r w:rsidRPr="00AF5B6D">
        <w:rPr>
          <w:rFonts w:cs="Times New Roman"/>
          <w:b/>
          <w:bCs w:val="0"/>
          <w:iCs/>
          <w:kern w:val="22"/>
          <w:lang w:val="fr-CA" w:eastAsia="ja-JP" w:bidi="th-TH"/>
        </w:rPr>
        <w:t>A</w:t>
      </w:r>
      <w:r w:rsidR="005D2DB3" w:rsidRPr="00AF5B6D">
        <w:rPr>
          <w:rFonts w:cs="Times New Roman"/>
          <w:b/>
          <w:bCs w:val="0"/>
          <w:iCs/>
          <w:kern w:val="22"/>
          <w:lang w:val="fr-CA" w:eastAsia="ja-JP" w:bidi="th-TH"/>
        </w:rPr>
        <w:t>.</w:t>
      </w:r>
      <w:r w:rsidR="00C503C1" w:rsidRPr="00AF5B6D">
        <w:rPr>
          <w:rFonts w:cs="Times New Roman"/>
          <w:b/>
          <w:bCs w:val="0"/>
          <w:iCs/>
          <w:kern w:val="22"/>
          <w:lang w:val="fr-CA" w:eastAsia="ja-JP" w:bidi="th-TH"/>
        </w:rPr>
        <w:tab/>
      </w:r>
      <w:r w:rsidR="00C32D4D" w:rsidRPr="00AF5B6D">
        <w:rPr>
          <w:rFonts w:cs="Times New Roman"/>
          <w:b/>
          <w:bCs w:val="0"/>
          <w:iCs/>
          <w:kern w:val="22"/>
          <w:lang w:val="fr-CA" w:eastAsia="ja-JP" w:bidi="th-TH"/>
        </w:rPr>
        <w:t>Étapes proposées afin d’améliorer et de soutenir l’intégration dans les paysages terrestres et marins, et dans les secteurs</w:t>
      </w:r>
    </w:p>
    <w:p w:rsidR="005F3781" w:rsidRPr="00AF5B6D" w:rsidRDefault="000117F6" w:rsidP="00C32D4D">
      <w:pPr>
        <w:pStyle w:val="Para1"/>
        <w:numPr>
          <w:ilvl w:val="0"/>
          <w:numId w:val="43"/>
        </w:numPr>
        <w:suppressLineNumbers/>
        <w:suppressAutoHyphens/>
        <w:kinsoku w:val="0"/>
        <w:overflowPunct w:val="0"/>
        <w:autoSpaceDE w:val="0"/>
        <w:autoSpaceDN w:val="0"/>
        <w:ind w:left="0" w:firstLine="720"/>
        <w:rPr>
          <w:kern w:val="22"/>
          <w:szCs w:val="22"/>
          <w:lang w:val="fr-CA"/>
        </w:rPr>
      </w:pPr>
      <w:r>
        <w:rPr>
          <w:bCs/>
          <w:i/>
          <w:iCs/>
          <w:kern w:val="22"/>
          <w:szCs w:val="22"/>
          <w:lang w:val="fr-CA" w:eastAsia="ja-JP" w:bidi="th-TH"/>
        </w:rPr>
        <w:t>Examiner</w:t>
      </w:r>
      <w:r w:rsidR="00C32D4D" w:rsidRPr="00AF5B6D">
        <w:rPr>
          <w:bCs/>
          <w:i/>
          <w:iCs/>
          <w:kern w:val="22"/>
          <w:szCs w:val="22"/>
          <w:lang w:val="fr-CA" w:eastAsia="ja-JP" w:bidi="th-TH"/>
        </w:rPr>
        <w:t xml:space="preserve"> la vision, les buts et les cibles nationaux </w:t>
      </w:r>
      <w:r w:rsidR="00C32D4D" w:rsidRPr="00AF5B6D">
        <w:rPr>
          <w:bCs/>
          <w:iCs/>
          <w:kern w:val="22"/>
          <w:szCs w:val="22"/>
          <w:lang w:val="fr-CA" w:eastAsia="ja-JP" w:bidi="th-TH"/>
        </w:rPr>
        <w:t>afin de s’as</w:t>
      </w:r>
      <w:r w:rsidR="009F3015" w:rsidRPr="00AF5B6D">
        <w:rPr>
          <w:bCs/>
          <w:iCs/>
          <w:kern w:val="22"/>
          <w:szCs w:val="22"/>
          <w:lang w:val="fr-CA" w:eastAsia="ja-JP" w:bidi="th-TH"/>
        </w:rPr>
        <w:t>s</w:t>
      </w:r>
      <w:r w:rsidR="00C32D4D" w:rsidRPr="00AF5B6D">
        <w:rPr>
          <w:bCs/>
          <w:iCs/>
          <w:kern w:val="22"/>
          <w:szCs w:val="22"/>
          <w:lang w:val="fr-CA" w:eastAsia="ja-JP" w:bidi="th-TH"/>
        </w:rPr>
        <w:t>urer qu’ils comport</w:t>
      </w:r>
      <w:r w:rsidR="009F3015" w:rsidRPr="00AF5B6D">
        <w:rPr>
          <w:bCs/>
          <w:iCs/>
          <w:kern w:val="22"/>
          <w:szCs w:val="22"/>
          <w:lang w:val="fr-CA" w:eastAsia="ja-JP" w:bidi="th-TH"/>
        </w:rPr>
        <w:t>e</w:t>
      </w:r>
      <w:r w:rsidR="00C32D4D" w:rsidRPr="00AF5B6D">
        <w:rPr>
          <w:bCs/>
          <w:iCs/>
          <w:kern w:val="22"/>
          <w:szCs w:val="22"/>
          <w:lang w:val="fr-CA" w:eastAsia="ja-JP" w:bidi="th-TH"/>
        </w:rPr>
        <w:t>ment des éléments d’</w:t>
      </w:r>
      <w:r w:rsidR="009F3015" w:rsidRPr="00AF5B6D">
        <w:rPr>
          <w:bCs/>
          <w:iCs/>
          <w:kern w:val="22"/>
          <w:szCs w:val="22"/>
          <w:lang w:val="fr-CA" w:eastAsia="ja-JP" w:bidi="th-TH"/>
        </w:rPr>
        <w:t>intégration des aires proté</w:t>
      </w:r>
      <w:r w:rsidR="00C32D4D" w:rsidRPr="00AF5B6D">
        <w:rPr>
          <w:bCs/>
          <w:iCs/>
          <w:kern w:val="22"/>
          <w:szCs w:val="22"/>
          <w:lang w:val="fr-CA" w:eastAsia="ja-JP" w:bidi="th-TH"/>
        </w:rPr>
        <w:t xml:space="preserve">gées, </w:t>
      </w:r>
      <w:r w:rsidR="009F3015" w:rsidRPr="00AF5B6D">
        <w:rPr>
          <w:bCs/>
          <w:iCs/>
          <w:kern w:val="22"/>
          <w:szCs w:val="22"/>
          <w:lang w:val="fr-CA" w:eastAsia="ja-JP" w:bidi="th-TH"/>
        </w:rPr>
        <w:t>don</w:t>
      </w:r>
      <w:r w:rsidR="00C32D4D" w:rsidRPr="00AF5B6D">
        <w:rPr>
          <w:bCs/>
          <w:iCs/>
          <w:kern w:val="22"/>
          <w:szCs w:val="22"/>
          <w:lang w:val="fr-CA" w:eastAsia="ja-JP" w:bidi="th-TH"/>
        </w:rPr>
        <w:t xml:space="preserve">t </w:t>
      </w:r>
      <w:r w:rsidR="009F3015" w:rsidRPr="00AF5B6D">
        <w:rPr>
          <w:bCs/>
          <w:iCs/>
          <w:kern w:val="22"/>
          <w:szCs w:val="22"/>
          <w:lang w:val="fr-CA" w:eastAsia="ja-JP" w:bidi="th-TH"/>
        </w:rPr>
        <w:t>une connectivité accrue</w:t>
      </w:r>
      <w:r w:rsidR="00C32D4D" w:rsidRPr="00AF5B6D">
        <w:rPr>
          <w:bCs/>
          <w:iCs/>
          <w:kern w:val="22"/>
          <w:szCs w:val="22"/>
          <w:lang w:val="fr-CA" w:eastAsia="ja-JP" w:bidi="th-TH"/>
        </w:rPr>
        <w:t xml:space="preserve"> des habitats et la </w:t>
      </w:r>
      <w:r w:rsidR="009F3015" w:rsidRPr="00AF5B6D">
        <w:rPr>
          <w:bCs/>
          <w:iCs/>
          <w:kern w:val="22"/>
          <w:szCs w:val="22"/>
          <w:lang w:val="fr-CA" w:eastAsia="ja-JP" w:bidi="th-TH"/>
        </w:rPr>
        <w:t>réd</w:t>
      </w:r>
      <w:r w:rsidR="00C32D4D" w:rsidRPr="00AF5B6D">
        <w:rPr>
          <w:bCs/>
          <w:iCs/>
          <w:kern w:val="22"/>
          <w:szCs w:val="22"/>
          <w:lang w:val="fr-CA" w:eastAsia="ja-JP" w:bidi="th-TH"/>
        </w:rPr>
        <w:t>uction de la fragmentation des habitats dans les paysages terrestres et marins</w:t>
      </w:r>
      <w:r w:rsidR="002C3BF7" w:rsidRPr="00AF5B6D">
        <w:rPr>
          <w:kern w:val="22"/>
          <w:szCs w:val="22"/>
          <w:lang w:val="fr-CA" w:eastAsia="ja-JP" w:bidi="th-TH"/>
        </w:rPr>
        <w:t>;</w:t>
      </w:r>
    </w:p>
    <w:p w:rsidR="005F3781" w:rsidRPr="00AF5B6D" w:rsidRDefault="009F3015" w:rsidP="007B3E88">
      <w:pPr>
        <w:pStyle w:val="Para1"/>
        <w:numPr>
          <w:ilvl w:val="0"/>
          <w:numId w:val="43"/>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rPr>
        <w:t xml:space="preserve">Recenser les </w:t>
      </w:r>
      <w:r w:rsidR="007262CD">
        <w:rPr>
          <w:bCs/>
          <w:i/>
          <w:iCs/>
          <w:kern w:val="22"/>
          <w:szCs w:val="22"/>
          <w:lang w:val="fr-CA"/>
        </w:rPr>
        <w:t xml:space="preserve">principaux </w:t>
      </w:r>
      <w:r w:rsidRPr="00AF5B6D">
        <w:rPr>
          <w:bCs/>
          <w:i/>
          <w:iCs/>
          <w:kern w:val="22"/>
          <w:szCs w:val="22"/>
          <w:lang w:val="fr-CA"/>
        </w:rPr>
        <w:t>écosystèmes</w:t>
      </w:r>
      <w:r w:rsidR="007262CD">
        <w:rPr>
          <w:bCs/>
          <w:i/>
          <w:iCs/>
          <w:kern w:val="22"/>
          <w:szCs w:val="22"/>
          <w:lang w:val="fr-CA"/>
        </w:rPr>
        <w:t>, espèces</w:t>
      </w:r>
      <w:r w:rsidRPr="00AF5B6D">
        <w:rPr>
          <w:bCs/>
          <w:i/>
          <w:iCs/>
          <w:kern w:val="22"/>
          <w:szCs w:val="22"/>
          <w:lang w:val="fr-CA"/>
        </w:rPr>
        <w:t xml:space="preserve"> et processus écologiques </w:t>
      </w:r>
      <w:r w:rsidRPr="00AF5B6D">
        <w:rPr>
          <w:bCs/>
          <w:iCs/>
          <w:kern w:val="22"/>
          <w:szCs w:val="22"/>
          <w:lang w:val="fr-CA"/>
        </w:rPr>
        <w:t xml:space="preserve">pour lesquels la fragmentation représente un enjeu important et qui profiteraient d’une connectivité accrue, </w:t>
      </w:r>
      <w:r w:rsidR="00471E9E">
        <w:rPr>
          <w:bCs/>
          <w:iCs/>
          <w:kern w:val="22"/>
          <w:szCs w:val="22"/>
          <w:lang w:val="fr-CA"/>
        </w:rPr>
        <w:t>y compris</w:t>
      </w:r>
      <w:r w:rsidRPr="00AF5B6D">
        <w:rPr>
          <w:bCs/>
          <w:iCs/>
          <w:kern w:val="22"/>
          <w:szCs w:val="22"/>
          <w:lang w:val="fr-CA"/>
        </w:rPr>
        <w:t xml:space="preserve"> les espèces, les écosystèmes et les processus écologiques vulnérables aux conséquences des changements climatiques</w:t>
      </w:r>
      <w:r w:rsidR="002C3BF7" w:rsidRPr="00AF5B6D">
        <w:rPr>
          <w:kern w:val="22"/>
          <w:szCs w:val="22"/>
          <w:lang w:val="fr-CA"/>
        </w:rPr>
        <w:t>;</w:t>
      </w:r>
    </w:p>
    <w:p w:rsidR="00291A64" w:rsidRPr="00AF5B6D" w:rsidRDefault="009F3015" w:rsidP="007B3E88">
      <w:pPr>
        <w:pStyle w:val="Para1"/>
        <w:numPr>
          <w:ilvl w:val="0"/>
          <w:numId w:val="43"/>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rPr>
        <w:t xml:space="preserve">Recenser et prioriser les aires </w:t>
      </w:r>
      <w:r w:rsidR="006467CB">
        <w:rPr>
          <w:bCs/>
          <w:i/>
          <w:iCs/>
          <w:kern w:val="22"/>
          <w:szCs w:val="22"/>
          <w:lang w:val="fr-CA"/>
        </w:rPr>
        <w:t>d’importance</w:t>
      </w:r>
      <w:r w:rsidRPr="00AF5B6D">
        <w:rPr>
          <w:bCs/>
          <w:i/>
          <w:iCs/>
          <w:kern w:val="22"/>
          <w:szCs w:val="22"/>
          <w:lang w:val="fr-CA"/>
        </w:rPr>
        <w:t xml:space="preserve"> pour améliorer la connectivité </w:t>
      </w:r>
      <w:r w:rsidRPr="00AF5B6D">
        <w:rPr>
          <w:bCs/>
          <w:iCs/>
          <w:kern w:val="22"/>
          <w:szCs w:val="22"/>
          <w:lang w:val="fr-CA"/>
        </w:rPr>
        <w:t xml:space="preserve">et atténuer les conséquences de la fragmentation des paysages terrestres et marins, </w:t>
      </w:r>
      <w:r w:rsidR="00471E9E">
        <w:rPr>
          <w:bCs/>
          <w:iCs/>
          <w:kern w:val="22"/>
          <w:szCs w:val="22"/>
          <w:lang w:val="fr-CA"/>
        </w:rPr>
        <w:t>y compris</w:t>
      </w:r>
      <w:r w:rsidRPr="00AF5B6D">
        <w:rPr>
          <w:bCs/>
          <w:iCs/>
          <w:kern w:val="22"/>
          <w:szCs w:val="22"/>
          <w:lang w:val="fr-CA"/>
        </w:rPr>
        <w:t xml:space="preserve"> les</w:t>
      </w:r>
      <w:r w:rsidR="00471E9E">
        <w:rPr>
          <w:bCs/>
          <w:iCs/>
          <w:kern w:val="22"/>
          <w:szCs w:val="22"/>
          <w:lang w:val="fr-CA"/>
        </w:rPr>
        <w:t xml:space="preserve"> aires créant des obstacles et d</w:t>
      </w:r>
      <w:r w:rsidRPr="00AF5B6D">
        <w:rPr>
          <w:bCs/>
          <w:iCs/>
          <w:kern w:val="22"/>
          <w:szCs w:val="22"/>
          <w:lang w:val="fr-CA"/>
        </w:rPr>
        <w:t xml:space="preserve">es goulots d’étranglements </w:t>
      </w:r>
      <w:r w:rsidR="00B55048" w:rsidRPr="00AF5B6D">
        <w:rPr>
          <w:bCs/>
          <w:iCs/>
          <w:kern w:val="22"/>
          <w:szCs w:val="22"/>
          <w:lang w:val="fr-CA"/>
        </w:rPr>
        <w:t>lors des</w:t>
      </w:r>
      <w:r w:rsidRPr="00AF5B6D">
        <w:rPr>
          <w:bCs/>
          <w:iCs/>
          <w:kern w:val="22"/>
          <w:szCs w:val="22"/>
          <w:lang w:val="fr-CA"/>
        </w:rPr>
        <w:t xml:space="preserve"> déplacement</w:t>
      </w:r>
      <w:r w:rsidR="00B55048" w:rsidRPr="00AF5B6D">
        <w:rPr>
          <w:bCs/>
          <w:iCs/>
          <w:kern w:val="22"/>
          <w:szCs w:val="22"/>
          <w:lang w:val="fr-CA"/>
        </w:rPr>
        <w:t>s</w:t>
      </w:r>
      <w:r w:rsidRPr="00AF5B6D">
        <w:rPr>
          <w:bCs/>
          <w:iCs/>
          <w:kern w:val="22"/>
          <w:szCs w:val="22"/>
          <w:lang w:val="fr-CA"/>
        </w:rPr>
        <w:t xml:space="preserve"> saisonnier</w:t>
      </w:r>
      <w:r w:rsidR="00B55048" w:rsidRPr="00AF5B6D">
        <w:rPr>
          <w:bCs/>
          <w:iCs/>
          <w:kern w:val="22"/>
          <w:szCs w:val="22"/>
          <w:lang w:val="fr-CA"/>
        </w:rPr>
        <w:t>s</w:t>
      </w:r>
      <w:r w:rsidRPr="00AF5B6D">
        <w:rPr>
          <w:bCs/>
          <w:iCs/>
          <w:kern w:val="22"/>
          <w:szCs w:val="22"/>
          <w:lang w:val="fr-CA"/>
        </w:rPr>
        <w:t xml:space="preserve"> et annuel</w:t>
      </w:r>
      <w:r w:rsidR="00B55048" w:rsidRPr="00AF5B6D">
        <w:rPr>
          <w:bCs/>
          <w:iCs/>
          <w:kern w:val="22"/>
          <w:szCs w:val="22"/>
          <w:lang w:val="fr-CA"/>
        </w:rPr>
        <w:t>s</w:t>
      </w:r>
      <w:r w:rsidRPr="00AF5B6D">
        <w:rPr>
          <w:bCs/>
          <w:iCs/>
          <w:kern w:val="22"/>
          <w:szCs w:val="22"/>
          <w:lang w:val="fr-CA"/>
        </w:rPr>
        <w:t xml:space="preserve"> des espèces, à différentes étapes de vie, et pour l’adaptation aux changements climatiques, et </w:t>
      </w:r>
      <w:r w:rsidR="00471E9E">
        <w:rPr>
          <w:bCs/>
          <w:iCs/>
          <w:kern w:val="22"/>
          <w:szCs w:val="22"/>
          <w:lang w:val="fr-CA"/>
        </w:rPr>
        <w:t>l</w:t>
      </w:r>
      <w:r w:rsidRPr="00AF5B6D">
        <w:rPr>
          <w:bCs/>
          <w:iCs/>
          <w:kern w:val="22"/>
          <w:szCs w:val="22"/>
          <w:lang w:val="fr-CA"/>
        </w:rPr>
        <w:t xml:space="preserve">es aires importantes au maintien du bon fonctionnement des écosystèmes (p. ex., plaines d’inondations </w:t>
      </w:r>
      <w:r w:rsidR="00B55048" w:rsidRPr="00AF5B6D">
        <w:rPr>
          <w:bCs/>
          <w:iCs/>
          <w:kern w:val="22"/>
          <w:szCs w:val="22"/>
          <w:lang w:val="fr-CA"/>
        </w:rPr>
        <w:t>fluviales</w:t>
      </w:r>
      <w:r w:rsidRPr="00AF5B6D">
        <w:rPr>
          <w:bCs/>
          <w:iCs/>
          <w:kern w:val="22"/>
          <w:szCs w:val="22"/>
          <w:lang w:val="fr-CA"/>
        </w:rPr>
        <w:t>)</w:t>
      </w:r>
      <w:r w:rsidR="002C3BF7" w:rsidRPr="00AF5B6D">
        <w:rPr>
          <w:kern w:val="22"/>
          <w:szCs w:val="22"/>
          <w:lang w:val="fr-CA"/>
        </w:rPr>
        <w:t>;</w:t>
      </w:r>
    </w:p>
    <w:p w:rsidR="005F3781" w:rsidRPr="00AF5B6D" w:rsidRDefault="00B55048" w:rsidP="007B3E88">
      <w:pPr>
        <w:pStyle w:val="Para1"/>
        <w:numPr>
          <w:ilvl w:val="0"/>
          <w:numId w:val="43"/>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rPr>
        <w:t xml:space="preserve">Réaliser un examen national </w:t>
      </w:r>
      <w:r w:rsidRPr="00AF5B6D">
        <w:rPr>
          <w:bCs/>
          <w:iCs/>
          <w:kern w:val="22"/>
          <w:szCs w:val="22"/>
          <w:lang w:val="fr-CA"/>
        </w:rPr>
        <w:t xml:space="preserve">de l’état et des tendances </w:t>
      </w:r>
      <w:r w:rsidR="00471E9E">
        <w:rPr>
          <w:bCs/>
          <w:iCs/>
          <w:kern w:val="22"/>
          <w:szCs w:val="22"/>
          <w:lang w:val="fr-CA"/>
        </w:rPr>
        <w:t>concernant</w:t>
      </w:r>
      <w:r w:rsidRPr="00AF5B6D">
        <w:rPr>
          <w:bCs/>
          <w:iCs/>
          <w:kern w:val="22"/>
          <w:szCs w:val="22"/>
          <w:lang w:val="fr-CA"/>
        </w:rPr>
        <w:t xml:space="preserve"> la fragmentation et la connectivité des habitats des paysages terrestres et marins</w:t>
      </w:r>
      <w:r w:rsidR="00471E9E">
        <w:rPr>
          <w:bCs/>
          <w:iCs/>
          <w:kern w:val="22"/>
          <w:szCs w:val="22"/>
          <w:lang w:val="fr-CA"/>
        </w:rPr>
        <w:t>,</w:t>
      </w:r>
      <w:r w:rsidR="00FC72EB" w:rsidRPr="00AF5B6D">
        <w:rPr>
          <w:bCs/>
          <w:iCs/>
          <w:kern w:val="22"/>
          <w:szCs w:val="22"/>
          <w:lang w:val="fr-CA"/>
        </w:rPr>
        <w:t xml:space="preserve"> des écosyst</w:t>
      </w:r>
      <w:r w:rsidRPr="00AF5B6D">
        <w:rPr>
          <w:bCs/>
          <w:iCs/>
          <w:kern w:val="22"/>
          <w:szCs w:val="22"/>
          <w:lang w:val="fr-CA"/>
        </w:rPr>
        <w:t xml:space="preserve">èmes et des processus écologiques, </w:t>
      </w:r>
      <w:r w:rsidR="00471E9E">
        <w:rPr>
          <w:bCs/>
          <w:iCs/>
          <w:kern w:val="22"/>
          <w:szCs w:val="22"/>
          <w:lang w:val="fr-CA"/>
        </w:rPr>
        <w:t>dont</w:t>
      </w:r>
      <w:r w:rsidRPr="00AF5B6D">
        <w:rPr>
          <w:bCs/>
          <w:iCs/>
          <w:kern w:val="22"/>
          <w:szCs w:val="22"/>
          <w:lang w:val="fr-CA"/>
        </w:rPr>
        <w:t xml:space="preserve"> l’examen du rôle des aires protégées pour le maintien</w:t>
      </w:r>
      <w:r w:rsidR="00FC72EB" w:rsidRPr="00AF5B6D">
        <w:rPr>
          <w:bCs/>
          <w:iCs/>
          <w:kern w:val="22"/>
          <w:szCs w:val="22"/>
          <w:lang w:val="fr-CA"/>
        </w:rPr>
        <w:t xml:space="preserve"> de la connectivité des paysages terrestres et marins, et les </w:t>
      </w:r>
      <w:r w:rsidR="00471E9E">
        <w:rPr>
          <w:bCs/>
          <w:iCs/>
          <w:kern w:val="22"/>
          <w:szCs w:val="22"/>
          <w:lang w:val="fr-CA"/>
        </w:rPr>
        <w:t xml:space="preserve">principales </w:t>
      </w:r>
      <w:r w:rsidR="00FC72EB" w:rsidRPr="00AF5B6D">
        <w:rPr>
          <w:bCs/>
          <w:iCs/>
          <w:kern w:val="22"/>
          <w:szCs w:val="22"/>
          <w:lang w:val="fr-CA"/>
        </w:rPr>
        <w:t>lacunes, s’il y a lieu</w:t>
      </w:r>
      <w:r w:rsidR="002C3BF7" w:rsidRPr="00AF5B6D">
        <w:rPr>
          <w:kern w:val="22"/>
          <w:szCs w:val="22"/>
          <w:lang w:val="fr-CA"/>
        </w:rPr>
        <w:t>;</w:t>
      </w:r>
    </w:p>
    <w:p w:rsidR="00291A64" w:rsidRPr="00AF5B6D" w:rsidRDefault="00FC72EB" w:rsidP="007B3E88">
      <w:pPr>
        <w:pStyle w:val="Para1"/>
        <w:numPr>
          <w:ilvl w:val="0"/>
          <w:numId w:val="43"/>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rPr>
        <w:t xml:space="preserve">Recenser et prioriser les secteurs </w:t>
      </w:r>
      <w:r w:rsidRPr="00AF5B6D">
        <w:rPr>
          <w:bCs/>
          <w:iCs/>
          <w:kern w:val="22"/>
          <w:szCs w:val="22"/>
          <w:lang w:val="fr-CA"/>
        </w:rPr>
        <w:t xml:space="preserve">qui contribuent le plus à la fragmentation des habitats, à savoir les transports, l’agriculture, l’énergie, les infrastructures et le développement urbain, et élaborer des stratégies pour les encourager à </w:t>
      </w:r>
      <w:r w:rsidR="00B62C5B">
        <w:rPr>
          <w:bCs/>
          <w:iCs/>
          <w:kern w:val="22"/>
          <w:szCs w:val="22"/>
          <w:lang w:val="fr-CA"/>
        </w:rPr>
        <w:t>développer</w:t>
      </w:r>
      <w:r w:rsidRPr="00AF5B6D">
        <w:rPr>
          <w:bCs/>
          <w:iCs/>
          <w:kern w:val="22"/>
          <w:szCs w:val="22"/>
          <w:lang w:val="fr-CA"/>
        </w:rPr>
        <w:t xml:space="preserve"> des stratégies pour atténuer les conséquences sur les aires protégées</w:t>
      </w:r>
      <w:r w:rsidR="002C3BF7" w:rsidRPr="00AF5B6D">
        <w:rPr>
          <w:kern w:val="22"/>
          <w:szCs w:val="22"/>
          <w:lang w:val="fr-CA"/>
        </w:rPr>
        <w:t>;</w:t>
      </w:r>
    </w:p>
    <w:p w:rsidR="00291A64" w:rsidRPr="00AF5B6D" w:rsidRDefault="00B62C5B" w:rsidP="007B3E88">
      <w:pPr>
        <w:pStyle w:val="Para1"/>
        <w:numPr>
          <w:ilvl w:val="0"/>
          <w:numId w:val="43"/>
        </w:numPr>
        <w:suppressLineNumbers/>
        <w:suppressAutoHyphens/>
        <w:kinsoku w:val="0"/>
        <w:overflowPunct w:val="0"/>
        <w:autoSpaceDE w:val="0"/>
        <w:autoSpaceDN w:val="0"/>
        <w:ind w:left="0" w:firstLine="720"/>
        <w:rPr>
          <w:kern w:val="22"/>
          <w:szCs w:val="22"/>
          <w:lang w:val="fr-CA"/>
        </w:rPr>
      </w:pPr>
      <w:r>
        <w:rPr>
          <w:bCs/>
          <w:i/>
          <w:iCs/>
          <w:kern w:val="22"/>
          <w:szCs w:val="22"/>
          <w:lang w:val="fr-CA"/>
        </w:rPr>
        <w:t>Examiner</w:t>
      </w:r>
      <w:r w:rsidR="00FC72EB" w:rsidRPr="00AF5B6D">
        <w:rPr>
          <w:bCs/>
          <w:i/>
          <w:iCs/>
          <w:kern w:val="22"/>
          <w:szCs w:val="22"/>
          <w:lang w:val="fr-CA"/>
        </w:rPr>
        <w:t xml:space="preserve"> et adapter les plans et cadres de travail pour les paysages terrestres et marins (à l’intérieur des secteurs et entre les secteurs), </w:t>
      </w:r>
      <w:r w:rsidR="00792458" w:rsidRPr="00AF5B6D">
        <w:rPr>
          <w:bCs/>
          <w:i/>
          <w:iCs/>
          <w:kern w:val="22"/>
          <w:szCs w:val="22"/>
          <w:lang w:val="fr-CA"/>
        </w:rPr>
        <w:t xml:space="preserve">notamment les plans d’utilisation des terres et les plans marins, et les plans sectoriels, </w:t>
      </w:r>
      <w:r w:rsidR="00792458" w:rsidRPr="00AF5B6D">
        <w:rPr>
          <w:bCs/>
          <w:iCs/>
          <w:kern w:val="22"/>
          <w:szCs w:val="22"/>
          <w:lang w:val="fr-CA"/>
        </w:rPr>
        <w:t>tels que les plans infranationaux d’utilisation des terres, les plans intégrés de bassins versants, les plans intégrés de gestion des aires marines et côtière</w:t>
      </w:r>
      <w:r>
        <w:rPr>
          <w:bCs/>
          <w:iCs/>
          <w:kern w:val="22"/>
          <w:szCs w:val="22"/>
          <w:lang w:val="fr-CA"/>
        </w:rPr>
        <w:t>, les plans de transport</w:t>
      </w:r>
      <w:r w:rsidR="00792458" w:rsidRPr="00AF5B6D">
        <w:rPr>
          <w:bCs/>
          <w:iCs/>
          <w:kern w:val="22"/>
          <w:szCs w:val="22"/>
          <w:lang w:val="fr-CA"/>
        </w:rPr>
        <w:t xml:space="preserve"> et les plans apparentés </w:t>
      </w:r>
      <w:r>
        <w:rPr>
          <w:bCs/>
          <w:iCs/>
          <w:kern w:val="22"/>
          <w:szCs w:val="22"/>
          <w:lang w:val="fr-CA"/>
        </w:rPr>
        <w:t>à</w:t>
      </w:r>
      <w:r w:rsidR="00792458" w:rsidRPr="00AF5B6D">
        <w:rPr>
          <w:bCs/>
          <w:iCs/>
          <w:kern w:val="22"/>
          <w:szCs w:val="22"/>
          <w:lang w:val="fr-CA"/>
        </w:rPr>
        <w:t xml:space="preserve"> l’eau, afin d’améliorer la connectivité et la complémentarité, et de réduire la fragmentation et ses conséquences</w:t>
      </w:r>
      <w:r w:rsidR="002C3BF7" w:rsidRPr="00AF5B6D">
        <w:rPr>
          <w:kern w:val="22"/>
          <w:szCs w:val="22"/>
          <w:lang w:val="fr-CA"/>
        </w:rPr>
        <w:t>;</w:t>
      </w:r>
    </w:p>
    <w:p w:rsidR="00291A64" w:rsidRPr="00AF5B6D" w:rsidRDefault="00792458" w:rsidP="007B3E88">
      <w:pPr>
        <w:pStyle w:val="Para1"/>
        <w:numPr>
          <w:ilvl w:val="0"/>
          <w:numId w:val="43"/>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rPr>
        <w:t xml:space="preserve">Prioriser et mettre en œuvre </w:t>
      </w:r>
      <w:r w:rsidRPr="00AF5B6D">
        <w:rPr>
          <w:bCs/>
          <w:iCs/>
          <w:kern w:val="22"/>
          <w:szCs w:val="22"/>
          <w:lang w:val="fr-CA"/>
        </w:rPr>
        <w:t xml:space="preserve">des mesures pour réduire la fragmentation des habitats dans les paysages terrestres et marins </w:t>
      </w:r>
      <w:r w:rsidR="00B62C5B">
        <w:rPr>
          <w:bCs/>
          <w:iCs/>
          <w:kern w:val="22"/>
          <w:szCs w:val="22"/>
          <w:lang w:val="fr-CA"/>
        </w:rPr>
        <w:t xml:space="preserve">et </w:t>
      </w:r>
      <w:r w:rsidRPr="00AF5B6D">
        <w:rPr>
          <w:bCs/>
          <w:iCs/>
          <w:kern w:val="22"/>
          <w:szCs w:val="22"/>
          <w:lang w:val="fr-CA"/>
        </w:rPr>
        <w:t xml:space="preserve">améliorer la connectivité, notamment en </w:t>
      </w:r>
      <w:r w:rsidR="00B62C5B">
        <w:rPr>
          <w:bCs/>
          <w:iCs/>
          <w:kern w:val="22"/>
          <w:szCs w:val="22"/>
          <w:lang w:val="fr-CA"/>
        </w:rPr>
        <w:t>créant</w:t>
      </w:r>
      <w:r w:rsidRPr="00AF5B6D">
        <w:rPr>
          <w:bCs/>
          <w:iCs/>
          <w:kern w:val="22"/>
          <w:szCs w:val="22"/>
          <w:lang w:val="fr-CA"/>
        </w:rPr>
        <w:t xml:space="preserve"> de nouvelles aires protégées et en déterminant </w:t>
      </w:r>
      <w:r w:rsidR="00E34AC0" w:rsidRPr="00AF5B6D">
        <w:rPr>
          <w:bCs/>
          <w:iCs/>
          <w:kern w:val="22"/>
          <w:szCs w:val="22"/>
          <w:lang w:val="fr-CA"/>
        </w:rPr>
        <w:t xml:space="preserve">d’autres mesures de conservation </w:t>
      </w:r>
      <w:r w:rsidR="00B62C5B">
        <w:rPr>
          <w:bCs/>
          <w:iCs/>
          <w:kern w:val="22"/>
          <w:szCs w:val="22"/>
          <w:lang w:val="fr-CA"/>
        </w:rPr>
        <w:t>efficaces par zone, ainsi que d</w:t>
      </w:r>
      <w:r w:rsidR="007A37CC">
        <w:rPr>
          <w:bCs/>
          <w:iCs/>
          <w:kern w:val="22"/>
          <w:szCs w:val="22"/>
          <w:lang w:val="fr-CA"/>
        </w:rPr>
        <w:t xml:space="preserve">es </w:t>
      </w:r>
      <w:r w:rsidR="00E34AC0" w:rsidRPr="00AF5B6D">
        <w:rPr>
          <w:bCs/>
          <w:iCs/>
          <w:kern w:val="22"/>
          <w:szCs w:val="22"/>
          <w:lang w:val="fr-CA"/>
        </w:rPr>
        <w:t>aires protégée</w:t>
      </w:r>
      <w:r w:rsidR="00B62C5B">
        <w:rPr>
          <w:bCs/>
          <w:iCs/>
          <w:kern w:val="22"/>
          <w:szCs w:val="22"/>
          <w:lang w:val="fr-CA"/>
        </w:rPr>
        <w:t>s autochtones et communautaires</w:t>
      </w:r>
      <w:r w:rsidR="007A37CC">
        <w:rPr>
          <w:bCs/>
          <w:iCs/>
          <w:kern w:val="22"/>
          <w:szCs w:val="22"/>
          <w:lang w:val="fr-CA"/>
        </w:rPr>
        <w:t>,</w:t>
      </w:r>
      <w:r w:rsidR="00E34AC0" w:rsidRPr="00AF5B6D">
        <w:rPr>
          <w:bCs/>
          <w:iCs/>
          <w:kern w:val="22"/>
          <w:szCs w:val="22"/>
          <w:lang w:val="fr-CA"/>
        </w:rPr>
        <w:t xml:space="preserve"> qui pourraient servir de tremplin pour passer d’un habitat à l’autre, </w:t>
      </w:r>
      <w:r w:rsidR="007A37CC">
        <w:rPr>
          <w:bCs/>
          <w:iCs/>
          <w:kern w:val="22"/>
          <w:szCs w:val="22"/>
          <w:lang w:val="fr-CA"/>
        </w:rPr>
        <w:t>des</w:t>
      </w:r>
      <w:r w:rsidR="00E34AC0" w:rsidRPr="00AF5B6D">
        <w:rPr>
          <w:bCs/>
          <w:iCs/>
          <w:kern w:val="22"/>
          <w:szCs w:val="22"/>
          <w:lang w:val="fr-CA"/>
        </w:rPr>
        <w:t xml:space="preserve"> corridors de conserv</w:t>
      </w:r>
      <w:r w:rsidR="00C115AE" w:rsidRPr="00AF5B6D">
        <w:rPr>
          <w:bCs/>
          <w:iCs/>
          <w:kern w:val="22"/>
          <w:szCs w:val="22"/>
          <w:lang w:val="fr-CA"/>
        </w:rPr>
        <w:t>ation pour relier les habitats et</w:t>
      </w:r>
      <w:r w:rsidR="00E34AC0" w:rsidRPr="00AF5B6D">
        <w:rPr>
          <w:bCs/>
          <w:iCs/>
          <w:kern w:val="22"/>
          <w:szCs w:val="22"/>
          <w:lang w:val="fr-CA"/>
        </w:rPr>
        <w:t xml:space="preserve"> </w:t>
      </w:r>
      <w:r w:rsidR="007A37CC">
        <w:rPr>
          <w:bCs/>
          <w:iCs/>
          <w:kern w:val="22"/>
          <w:szCs w:val="22"/>
          <w:lang w:val="fr-CA"/>
        </w:rPr>
        <w:t>des</w:t>
      </w:r>
      <w:r w:rsidR="00E34AC0" w:rsidRPr="00AF5B6D">
        <w:rPr>
          <w:bCs/>
          <w:iCs/>
          <w:kern w:val="22"/>
          <w:szCs w:val="22"/>
          <w:lang w:val="fr-CA"/>
        </w:rPr>
        <w:t xml:space="preserve"> zones tampons pour atténuer les </w:t>
      </w:r>
      <w:r w:rsidR="007A37CC">
        <w:rPr>
          <w:bCs/>
          <w:iCs/>
          <w:kern w:val="22"/>
          <w:szCs w:val="22"/>
          <w:lang w:val="fr-CA"/>
        </w:rPr>
        <w:lastRenderedPageBreak/>
        <w:t>répercussions</w:t>
      </w:r>
      <w:r w:rsidR="00E34AC0" w:rsidRPr="00AF5B6D">
        <w:rPr>
          <w:bCs/>
          <w:iCs/>
          <w:kern w:val="22"/>
          <w:szCs w:val="22"/>
          <w:lang w:val="fr-CA"/>
        </w:rPr>
        <w:t xml:space="preserve"> des différents secteurs, afin d’améliorer </w:t>
      </w:r>
      <w:r w:rsidR="00081FFB" w:rsidRPr="00AF5B6D">
        <w:rPr>
          <w:bCs/>
          <w:iCs/>
          <w:kern w:val="22"/>
          <w:szCs w:val="22"/>
          <w:lang w:val="fr-CA"/>
        </w:rPr>
        <w:t xml:space="preserve">l’ensemble des aires protégées, et la promotion de pratiques sectorielles qui réduisent et atténuent les </w:t>
      </w:r>
      <w:r w:rsidR="007A37CC">
        <w:rPr>
          <w:bCs/>
          <w:iCs/>
          <w:kern w:val="22"/>
          <w:szCs w:val="22"/>
          <w:lang w:val="fr-CA"/>
        </w:rPr>
        <w:t>répercussions</w:t>
      </w:r>
      <w:r w:rsidR="00935F1F">
        <w:rPr>
          <w:bCs/>
          <w:iCs/>
          <w:kern w:val="22"/>
          <w:szCs w:val="22"/>
          <w:lang w:val="fr-CA"/>
        </w:rPr>
        <w:t xml:space="preserve"> sur la diversité biologique</w:t>
      </w:r>
      <w:r w:rsidR="00081FFB" w:rsidRPr="00AF5B6D">
        <w:rPr>
          <w:bCs/>
          <w:iCs/>
          <w:kern w:val="22"/>
          <w:szCs w:val="22"/>
          <w:lang w:val="fr-CA"/>
        </w:rPr>
        <w:t xml:space="preserve"> telles que l’agriculture biologique et l’exploitation forestière à longue durée de rotation</w:t>
      </w:r>
      <w:r w:rsidR="005211CD" w:rsidRPr="00AF5B6D">
        <w:rPr>
          <w:kern w:val="22"/>
          <w:szCs w:val="22"/>
          <w:lang w:val="fr-CA"/>
        </w:rPr>
        <w:t>.</w:t>
      </w:r>
    </w:p>
    <w:p w:rsidR="001F3DD5" w:rsidRPr="00AF5B6D" w:rsidRDefault="00242F8D" w:rsidP="007B3E88">
      <w:pPr>
        <w:pStyle w:val="Para10"/>
        <w:keepNext/>
        <w:suppressLineNumbers/>
        <w:suppressAutoHyphens/>
        <w:kinsoku w:val="0"/>
        <w:overflowPunct w:val="0"/>
        <w:autoSpaceDE w:val="0"/>
        <w:autoSpaceDN w:val="0"/>
        <w:ind w:left="1440" w:hanging="720"/>
        <w:jc w:val="left"/>
        <w:rPr>
          <w:rFonts w:cs="Times New Roman"/>
          <w:b/>
          <w:bCs w:val="0"/>
          <w:iCs/>
          <w:kern w:val="22"/>
          <w:lang w:val="fr-CA" w:eastAsia="ja-JP" w:bidi="th-TH"/>
        </w:rPr>
      </w:pPr>
      <w:r w:rsidRPr="00AF5B6D">
        <w:rPr>
          <w:rFonts w:cs="Times New Roman"/>
          <w:b/>
          <w:bCs w:val="0"/>
          <w:iCs/>
          <w:kern w:val="22"/>
          <w:lang w:val="fr-CA" w:eastAsia="ja-JP" w:bidi="th-TH"/>
        </w:rPr>
        <w:t>B</w:t>
      </w:r>
      <w:r w:rsidR="005D2DB3" w:rsidRPr="00AF5B6D">
        <w:rPr>
          <w:rFonts w:cs="Times New Roman"/>
          <w:b/>
          <w:bCs w:val="0"/>
          <w:iCs/>
          <w:kern w:val="22"/>
          <w:lang w:val="fr-CA" w:eastAsia="ja-JP" w:bidi="th-TH"/>
        </w:rPr>
        <w:t>.</w:t>
      </w:r>
      <w:r w:rsidR="00A577C7" w:rsidRPr="00AF5B6D">
        <w:rPr>
          <w:rFonts w:cs="Times New Roman"/>
          <w:b/>
          <w:bCs w:val="0"/>
          <w:iCs/>
          <w:kern w:val="22"/>
          <w:lang w:val="fr-CA" w:eastAsia="ja-JP" w:bidi="th-TH"/>
        </w:rPr>
        <w:tab/>
      </w:r>
      <w:r w:rsidR="00C115AE" w:rsidRPr="00AF5B6D">
        <w:rPr>
          <w:rFonts w:cs="Times New Roman"/>
          <w:b/>
          <w:bCs w:val="0"/>
          <w:iCs/>
          <w:kern w:val="22"/>
          <w:lang w:val="fr-CA" w:eastAsia="ja-JP" w:bidi="th-TH"/>
        </w:rPr>
        <w:t xml:space="preserve">Étapes proposées pour améliorer et </w:t>
      </w:r>
      <w:r w:rsidR="00935F1F">
        <w:rPr>
          <w:rFonts w:cs="Times New Roman"/>
          <w:b/>
          <w:bCs w:val="0"/>
          <w:iCs/>
          <w:kern w:val="22"/>
          <w:lang w:val="fr-CA" w:eastAsia="ja-JP" w:bidi="th-TH"/>
        </w:rPr>
        <w:t>soutenir</w:t>
      </w:r>
      <w:r w:rsidR="00C115AE" w:rsidRPr="00AF5B6D">
        <w:rPr>
          <w:rFonts w:cs="Times New Roman"/>
          <w:b/>
          <w:bCs w:val="0"/>
          <w:iCs/>
          <w:kern w:val="22"/>
          <w:lang w:val="fr-CA" w:eastAsia="ja-JP" w:bidi="th-TH"/>
        </w:rPr>
        <w:t xml:space="preserve"> l’intégration des aires protégées et autres mesures de conservation </w:t>
      </w:r>
      <w:r w:rsidR="00935F1F">
        <w:rPr>
          <w:rFonts w:cs="Times New Roman"/>
          <w:b/>
          <w:bCs w:val="0"/>
          <w:iCs/>
          <w:kern w:val="22"/>
          <w:lang w:val="fr-CA" w:eastAsia="ja-JP" w:bidi="th-TH"/>
        </w:rPr>
        <w:t>efficaces</w:t>
      </w:r>
      <w:r w:rsidR="00C115AE" w:rsidRPr="00AF5B6D">
        <w:rPr>
          <w:rFonts w:cs="Times New Roman"/>
          <w:b/>
          <w:bCs w:val="0"/>
          <w:iCs/>
          <w:kern w:val="22"/>
          <w:lang w:val="fr-CA" w:eastAsia="ja-JP" w:bidi="th-TH"/>
        </w:rPr>
        <w:t xml:space="preserve"> dans les secteurs</w:t>
      </w:r>
    </w:p>
    <w:p w:rsidR="00CD56F0" w:rsidRPr="00AF5B6D" w:rsidRDefault="00C115AE" w:rsidP="00C115AE">
      <w:pPr>
        <w:pStyle w:val="Para1"/>
        <w:numPr>
          <w:ilvl w:val="0"/>
          <w:numId w:val="44"/>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eastAsia="ja-JP" w:bidi="th-TH"/>
        </w:rPr>
        <w:t xml:space="preserve">Recenser, cartographier et prioriser les aires </w:t>
      </w:r>
      <w:r w:rsidR="00935F1F">
        <w:rPr>
          <w:bCs/>
          <w:i/>
          <w:iCs/>
          <w:kern w:val="22"/>
          <w:szCs w:val="22"/>
          <w:lang w:val="fr-CA" w:eastAsia="ja-JP" w:bidi="th-TH"/>
        </w:rPr>
        <w:t>d’importance pour les</w:t>
      </w:r>
      <w:r w:rsidRPr="00AF5B6D">
        <w:rPr>
          <w:bCs/>
          <w:i/>
          <w:iCs/>
          <w:kern w:val="22"/>
          <w:szCs w:val="22"/>
          <w:lang w:val="fr-CA" w:eastAsia="ja-JP" w:bidi="th-TH"/>
        </w:rPr>
        <w:t xml:space="preserve"> services écosystémiques essentiels</w:t>
      </w:r>
      <w:r w:rsidRPr="00AF5B6D">
        <w:rPr>
          <w:bCs/>
          <w:iCs/>
          <w:kern w:val="22"/>
          <w:szCs w:val="22"/>
          <w:lang w:val="fr-CA" w:eastAsia="ja-JP" w:bidi="th-TH"/>
        </w:rPr>
        <w:t xml:space="preserve">, dont les écosystèmes </w:t>
      </w:r>
      <w:r w:rsidR="003816F9">
        <w:rPr>
          <w:bCs/>
          <w:iCs/>
          <w:kern w:val="22"/>
          <w:szCs w:val="22"/>
          <w:lang w:val="fr-CA" w:eastAsia="ja-JP" w:bidi="th-TH"/>
        </w:rPr>
        <w:t>d’importance</w:t>
      </w:r>
      <w:r w:rsidRPr="00AF5B6D">
        <w:rPr>
          <w:bCs/>
          <w:iCs/>
          <w:kern w:val="22"/>
          <w:szCs w:val="22"/>
          <w:lang w:val="fr-CA" w:eastAsia="ja-JP" w:bidi="th-TH"/>
        </w:rPr>
        <w:t xml:space="preserve"> pour l’</w:t>
      </w:r>
      <w:r w:rsidR="00757268" w:rsidRPr="00AF5B6D">
        <w:rPr>
          <w:bCs/>
          <w:iCs/>
          <w:kern w:val="22"/>
          <w:szCs w:val="22"/>
          <w:lang w:val="fr-CA" w:eastAsia="ja-JP" w:bidi="th-TH"/>
        </w:rPr>
        <w:t>alimentati</w:t>
      </w:r>
      <w:r w:rsidRPr="00AF5B6D">
        <w:rPr>
          <w:bCs/>
          <w:iCs/>
          <w:kern w:val="22"/>
          <w:szCs w:val="22"/>
          <w:lang w:val="fr-CA" w:eastAsia="ja-JP" w:bidi="th-TH"/>
        </w:rPr>
        <w:t>on (p. ex., mangroves pour la pêche), pour l’atténuation des changements climatiques (p. ex., écosyst</w:t>
      </w:r>
      <w:r w:rsidR="00757268" w:rsidRPr="00AF5B6D">
        <w:rPr>
          <w:bCs/>
          <w:iCs/>
          <w:kern w:val="22"/>
          <w:szCs w:val="22"/>
          <w:lang w:val="fr-CA" w:eastAsia="ja-JP" w:bidi="th-TH"/>
        </w:rPr>
        <w:t>èm</w:t>
      </w:r>
      <w:r w:rsidRPr="00AF5B6D">
        <w:rPr>
          <w:bCs/>
          <w:iCs/>
          <w:kern w:val="22"/>
          <w:szCs w:val="22"/>
          <w:lang w:val="fr-CA" w:eastAsia="ja-JP" w:bidi="th-TH"/>
        </w:rPr>
        <w:t>es à forte densité en carbone tels que les forêts, les tourbi</w:t>
      </w:r>
      <w:r w:rsidR="00757268" w:rsidRPr="00AF5B6D">
        <w:rPr>
          <w:bCs/>
          <w:iCs/>
          <w:kern w:val="22"/>
          <w:szCs w:val="22"/>
          <w:lang w:val="fr-CA" w:eastAsia="ja-JP" w:bidi="th-TH"/>
        </w:rPr>
        <w:t>ères et les mangro</w:t>
      </w:r>
      <w:r w:rsidRPr="00AF5B6D">
        <w:rPr>
          <w:bCs/>
          <w:iCs/>
          <w:kern w:val="22"/>
          <w:szCs w:val="22"/>
          <w:lang w:val="fr-CA" w:eastAsia="ja-JP" w:bidi="th-TH"/>
        </w:rPr>
        <w:t xml:space="preserve">ves), pour la sécurité de l’eau (p. ex., les montagnes, les forêts, les terres humides et les herbiers </w:t>
      </w:r>
      <w:r w:rsidR="003816F9">
        <w:rPr>
          <w:bCs/>
          <w:iCs/>
          <w:kern w:val="22"/>
          <w:szCs w:val="22"/>
          <w:lang w:val="fr-CA" w:eastAsia="ja-JP" w:bidi="th-TH"/>
        </w:rPr>
        <w:t xml:space="preserve">marins </w:t>
      </w:r>
      <w:r w:rsidRPr="00AF5B6D">
        <w:rPr>
          <w:bCs/>
          <w:iCs/>
          <w:kern w:val="22"/>
          <w:szCs w:val="22"/>
          <w:lang w:val="fr-CA" w:eastAsia="ja-JP" w:bidi="th-TH"/>
        </w:rPr>
        <w:t>qui procurent l’eau de surface et sous</w:t>
      </w:r>
      <w:r w:rsidR="00757268" w:rsidRPr="00AF5B6D">
        <w:rPr>
          <w:bCs/>
          <w:iCs/>
          <w:kern w:val="22"/>
          <w:szCs w:val="22"/>
          <w:lang w:val="fr-CA" w:eastAsia="ja-JP" w:bidi="th-TH"/>
        </w:rPr>
        <w:t>-</w:t>
      </w:r>
      <w:r w:rsidRPr="00AF5B6D">
        <w:rPr>
          <w:bCs/>
          <w:iCs/>
          <w:kern w:val="22"/>
          <w:szCs w:val="22"/>
          <w:lang w:val="fr-CA" w:eastAsia="ja-JP" w:bidi="th-TH"/>
        </w:rPr>
        <w:t>terraine), pour l’atténuation de la pauvreté (p. ex., écosystèmes qui assurent</w:t>
      </w:r>
      <w:r w:rsidR="003816F9">
        <w:rPr>
          <w:bCs/>
          <w:iCs/>
          <w:kern w:val="22"/>
          <w:szCs w:val="22"/>
          <w:lang w:val="fr-CA" w:eastAsia="ja-JP" w:bidi="th-TH"/>
        </w:rPr>
        <w:t xml:space="preserve"> la subsistance, un gagne-pain </w:t>
      </w:r>
      <w:r w:rsidRPr="00AF5B6D">
        <w:rPr>
          <w:bCs/>
          <w:iCs/>
          <w:kern w:val="22"/>
          <w:szCs w:val="22"/>
          <w:lang w:val="fr-CA" w:eastAsia="ja-JP" w:bidi="th-TH"/>
        </w:rPr>
        <w:t>et de l’emploi) et pour la réduction des risques de catastrophe (p. ex., écosyst</w:t>
      </w:r>
      <w:r w:rsidR="00757268" w:rsidRPr="00AF5B6D">
        <w:rPr>
          <w:bCs/>
          <w:iCs/>
          <w:kern w:val="22"/>
          <w:szCs w:val="22"/>
          <w:lang w:val="fr-CA" w:eastAsia="ja-JP" w:bidi="th-TH"/>
        </w:rPr>
        <w:t>è</w:t>
      </w:r>
      <w:r w:rsidRPr="00AF5B6D">
        <w:rPr>
          <w:bCs/>
          <w:iCs/>
          <w:kern w:val="22"/>
          <w:szCs w:val="22"/>
          <w:lang w:val="fr-CA" w:eastAsia="ja-JP" w:bidi="th-TH"/>
        </w:rPr>
        <w:t xml:space="preserve">mes qui atténuent les conséquences des tempêtes côtières tels que les récifs, les herbiers marins et les </w:t>
      </w:r>
      <w:r w:rsidR="00757268" w:rsidRPr="00AF5B6D">
        <w:rPr>
          <w:bCs/>
          <w:iCs/>
          <w:kern w:val="22"/>
          <w:szCs w:val="22"/>
          <w:lang w:val="fr-CA" w:eastAsia="ja-JP" w:bidi="th-TH"/>
        </w:rPr>
        <w:t>plaines d’inondation);</w:t>
      </w:r>
    </w:p>
    <w:p w:rsidR="00CD56F0" w:rsidRPr="00AF5B6D" w:rsidRDefault="00757268" w:rsidP="007B3E88">
      <w:pPr>
        <w:pStyle w:val="Para1"/>
        <w:numPr>
          <w:ilvl w:val="0"/>
          <w:numId w:val="44"/>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rPr>
        <w:t xml:space="preserve">Examiner et actualiser les plans sectoriels </w:t>
      </w:r>
      <w:r w:rsidRPr="00AF5B6D">
        <w:rPr>
          <w:bCs/>
          <w:iCs/>
          <w:kern w:val="22"/>
          <w:szCs w:val="22"/>
          <w:lang w:val="fr-CA"/>
        </w:rPr>
        <w:t xml:space="preserve">afin </w:t>
      </w:r>
      <w:r w:rsidR="003816F9">
        <w:rPr>
          <w:bCs/>
          <w:iCs/>
          <w:kern w:val="22"/>
          <w:szCs w:val="22"/>
          <w:lang w:val="fr-CA"/>
        </w:rPr>
        <w:t>d’assurer la reconnaissance des</w:t>
      </w:r>
      <w:r w:rsidRPr="00AF5B6D">
        <w:rPr>
          <w:bCs/>
          <w:iCs/>
          <w:kern w:val="22"/>
          <w:szCs w:val="22"/>
          <w:lang w:val="fr-CA"/>
        </w:rPr>
        <w:t xml:space="preserve"> nombreuses valeurs offertes par les aires protégées </w:t>
      </w:r>
      <w:r w:rsidR="003816F9">
        <w:rPr>
          <w:bCs/>
          <w:iCs/>
          <w:kern w:val="22"/>
          <w:szCs w:val="22"/>
          <w:lang w:val="fr-CA"/>
        </w:rPr>
        <w:t>et leur intégration</w:t>
      </w:r>
      <w:r w:rsidRPr="00AF5B6D">
        <w:rPr>
          <w:bCs/>
          <w:iCs/>
          <w:kern w:val="22"/>
          <w:szCs w:val="22"/>
          <w:lang w:val="fr-CA"/>
        </w:rPr>
        <w:t xml:space="preserve"> dans les plans sectoriels</w:t>
      </w:r>
      <w:r w:rsidR="00F45F51" w:rsidRPr="00AF5B6D">
        <w:rPr>
          <w:kern w:val="22"/>
          <w:szCs w:val="22"/>
          <w:lang w:val="fr-CA"/>
        </w:rPr>
        <w:t>;</w:t>
      </w:r>
    </w:p>
    <w:p w:rsidR="00F45F51" w:rsidRPr="00AF5B6D" w:rsidRDefault="00757268" w:rsidP="007B3E88">
      <w:pPr>
        <w:pStyle w:val="Para1"/>
        <w:numPr>
          <w:ilvl w:val="0"/>
          <w:numId w:val="44"/>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rPr>
        <w:t xml:space="preserve">Élaborer des campagnes de communication ciblées </w:t>
      </w:r>
      <w:r w:rsidRPr="00AF5B6D">
        <w:rPr>
          <w:bCs/>
          <w:iCs/>
          <w:kern w:val="22"/>
          <w:szCs w:val="22"/>
          <w:lang w:val="fr-CA"/>
        </w:rPr>
        <w:t xml:space="preserve">destinées à divers secteurs, publics et privés, qui dépendent de la diversité biologique et des services écosystémiques offerts par les aires protégées, dont l’agriculture, la pêche, les forêts, l’eau, le tourisme, la sécurité nationale et infranationale, le développement et les changements climatiques, afin de </w:t>
      </w:r>
      <w:r w:rsidR="003816F9">
        <w:rPr>
          <w:bCs/>
          <w:iCs/>
          <w:kern w:val="22"/>
          <w:szCs w:val="22"/>
          <w:lang w:val="fr-CA"/>
        </w:rPr>
        <w:t>les sensibiliser davantage</w:t>
      </w:r>
      <w:r w:rsidRPr="00AF5B6D">
        <w:rPr>
          <w:bCs/>
          <w:iCs/>
          <w:kern w:val="22"/>
          <w:szCs w:val="22"/>
          <w:lang w:val="fr-CA"/>
        </w:rPr>
        <w:t xml:space="preserve"> </w:t>
      </w:r>
      <w:r w:rsidR="00C83698" w:rsidRPr="00AF5B6D">
        <w:rPr>
          <w:bCs/>
          <w:iCs/>
          <w:kern w:val="22"/>
          <w:szCs w:val="22"/>
          <w:lang w:val="fr-CA"/>
        </w:rPr>
        <w:t>à la valeur de la nature pour leurs secteurs</w:t>
      </w:r>
      <w:r w:rsidR="002C3BF7" w:rsidRPr="00AF5B6D">
        <w:rPr>
          <w:kern w:val="22"/>
          <w:szCs w:val="22"/>
          <w:lang w:val="fr-CA"/>
        </w:rPr>
        <w:t>;</w:t>
      </w:r>
    </w:p>
    <w:p w:rsidR="00E5458F" w:rsidRPr="00AF5B6D" w:rsidRDefault="00C83698" w:rsidP="007B3E88">
      <w:pPr>
        <w:pStyle w:val="Para1"/>
        <w:numPr>
          <w:ilvl w:val="0"/>
          <w:numId w:val="44"/>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rPr>
        <w:t xml:space="preserve">Examiner et réviser les cadres de politique et financiers </w:t>
      </w:r>
      <w:r w:rsidRPr="00AF5B6D">
        <w:rPr>
          <w:bCs/>
          <w:iCs/>
          <w:kern w:val="22"/>
          <w:szCs w:val="22"/>
          <w:lang w:val="fr-CA"/>
        </w:rPr>
        <w:t>en place afin de repérer les possibilités d’améliorer les politiques habilitantes et l’environnement financier de l’intégration sectorielle</w:t>
      </w:r>
      <w:r w:rsidR="002C3BF7" w:rsidRPr="00AF5B6D">
        <w:rPr>
          <w:kern w:val="22"/>
          <w:szCs w:val="22"/>
          <w:lang w:val="fr-CA"/>
        </w:rPr>
        <w:t>;</w:t>
      </w:r>
    </w:p>
    <w:p w:rsidR="00F45F51" w:rsidRPr="00AF5B6D" w:rsidRDefault="009514E7" w:rsidP="007B3E88">
      <w:pPr>
        <w:pStyle w:val="Para1"/>
        <w:numPr>
          <w:ilvl w:val="0"/>
          <w:numId w:val="44"/>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rPr>
        <w:t xml:space="preserve">Encourager le financement innovateur, </w:t>
      </w:r>
      <w:r w:rsidR="002B2521">
        <w:rPr>
          <w:bCs/>
          <w:iCs/>
          <w:kern w:val="22"/>
          <w:szCs w:val="22"/>
          <w:lang w:val="fr-CA"/>
        </w:rPr>
        <w:t>à savoir</w:t>
      </w:r>
      <w:r w:rsidRPr="00AF5B6D">
        <w:rPr>
          <w:bCs/>
          <w:iCs/>
          <w:kern w:val="22"/>
          <w:szCs w:val="22"/>
          <w:lang w:val="fr-CA"/>
        </w:rPr>
        <w:t xml:space="preserve"> les investisseurs d’impact, les compagnies d’assurance et autre</w:t>
      </w:r>
      <w:r w:rsidR="002B2521">
        <w:rPr>
          <w:bCs/>
          <w:iCs/>
          <w:kern w:val="22"/>
          <w:szCs w:val="22"/>
          <w:lang w:val="fr-CA"/>
        </w:rPr>
        <w:t>s, afin de définir et de financ</w:t>
      </w:r>
      <w:r w:rsidRPr="00AF5B6D">
        <w:rPr>
          <w:bCs/>
          <w:iCs/>
          <w:kern w:val="22"/>
          <w:szCs w:val="22"/>
          <w:lang w:val="fr-CA"/>
        </w:rPr>
        <w:t xml:space="preserve">er de nouvelles aires protégées et la restauration d’aires protégées importantes </w:t>
      </w:r>
      <w:r w:rsidR="002B2521">
        <w:rPr>
          <w:bCs/>
          <w:iCs/>
          <w:kern w:val="22"/>
          <w:szCs w:val="22"/>
          <w:lang w:val="fr-CA"/>
        </w:rPr>
        <w:t>pour qu’elles offrent</w:t>
      </w:r>
      <w:r w:rsidRPr="00AF5B6D">
        <w:rPr>
          <w:bCs/>
          <w:iCs/>
          <w:kern w:val="22"/>
          <w:szCs w:val="22"/>
          <w:lang w:val="fr-CA"/>
        </w:rPr>
        <w:t xml:space="preserve"> des services écosystémiques essentiels</w:t>
      </w:r>
      <w:r w:rsidR="002C3BF7" w:rsidRPr="00AF5B6D">
        <w:rPr>
          <w:kern w:val="22"/>
          <w:szCs w:val="22"/>
          <w:lang w:val="fr-CA"/>
        </w:rPr>
        <w:t>;</w:t>
      </w:r>
    </w:p>
    <w:p w:rsidR="001F3DD5" w:rsidRPr="00AF5B6D" w:rsidRDefault="009514E7" w:rsidP="007B3E88">
      <w:pPr>
        <w:pStyle w:val="Para1"/>
        <w:numPr>
          <w:ilvl w:val="0"/>
          <w:numId w:val="44"/>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rPr>
        <w:t xml:space="preserve">Évaluer et actualiser les capacités requises </w:t>
      </w:r>
      <w:r w:rsidRPr="00AF5B6D">
        <w:rPr>
          <w:bCs/>
          <w:iCs/>
          <w:kern w:val="22"/>
          <w:szCs w:val="22"/>
          <w:lang w:val="fr-CA"/>
        </w:rPr>
        <w:t xml:space="preserve">pour améliorer l’intégration des aires protégées, y compris les capacités liées à la création </w:t>
      </w:r>
      <w:r w:rsidR="00004977" w:rsidRPr="00AF5B6D">
        <w:rPr>
          <w:bCs/>
          <w:iCs/>
          <w:kern w:val="22"/>
          <w:szCs w:val="22"/>
          <w:lang w:val="fr-CA"/>
        </w:rPr>
        <w:t>d’environnements de</w:t>
      </w:r>
      <w:r w:rsidR="002B2521">
        <w:rPr>
          <w:bCs/>
          <w:iCs/>
          <w:kern w:val="22"/>
          <w:szCs w:val="22"/>
          <w:lang w:val="fr-CA"/>
        </w:rPr>
        <w:t xml:space="preserve"> politiques habilitantes, à </w:t>
      </w:r>
      <w:r w:rsidR="00004977" w:rsidRPr="00AF5B6D">
        <w:rPr>
          <w:bCs/>
          <w:iCs/>
          <w:kern w:val="22"/>
          <w:szCs w:val="22"/>
          <w:lang w:val="fr-CA"/>
        </w:rPr>
        <w:t>la cartographie spatiale des service</w:t>
      </w:r>
      <w:r w:rsidR="002B2521">
        <w:rPr>
          <w:bCs/>
          <w:iCs/>
          <w:kern w:val="22"/>
          <w:szCs w:val="22"/>
          <w:lang w:val="fr-CA"/>
        </w:rPr>
        <w:t>s écosystémiques essentiels et à</w:t>
      </w:r>
      <w:r w:rsidR="00004977" w:rsidRPr="00AF5B6D">
        <w:rPr>
          <w:bCs/>
          <w:iCs/>
          <w:kern w:val="22"/>
          <w:szCs w:val="22"/>
          <w:lang w:val="fr-CA"/>
        </w:rPr>
        <w:t xml:space="preserve"> l’évaluation de la valeur économique des services écosystémiques</w:t>
      </w:r>
      <w:r w:rsidR="00E5458F" w:rsidRPr="00AF5B6D">
        <w:rPr>
          <w:kern w:val="22"/>
          <w:szCs w:val="22"/>
          <w:lang w:val="fr-CA"/>
        </w:rPr>
        <w:t>.</w:t>
      </w:r>
    </w:p>
    <w:p w:rsidR="00242F8D" w:rsidRPr="00AF5B6D" w:rsidRDefault="00242F8D" w:rsidP="007B3E88">
      <w:pPr>
        <w:suppressLineNumbers/>
        <w:suppressAutoHyphens/>
        <w:kinsoku w:val="0"/>
        <w:overflowPunct w:val="0"/>
        <w:autoSpaceDE w:val="0"/>
        <w:autoSpaceDN w:val="0"/>
        <w:jc w:val="left"/>
        <w:rPr>
          <w:b/>
          <w:caps/>
          <w:kern w:val="22"/>
          <w:szCs w:val="22"/>
          <w:lang w:val="fr-CA"/>
        </w:rPr>
      </w:pPr>
      <w:r w:rsidRPr="00AF5B6D">
        <w:rPr>
          <w:kern w:val="22"/>
          <w:szCs w:val="22"/>
          <w:lang w:val="fr-CA"/>
        </w:rPr>
        <w:br w:type="page"/>
      </w:r>
    </w:p>
    <w:p w:rsidR="00C2619C" w:rsidRPr="00AF5B6D" w:rsidRDefault="00D548A8" w:rsidP="007B3E88">
      <w:pPr>
        <w:pStyle w:val="Titre1"/>
        <w:suppressLineNumbers/>
        <w:tabs>
          <w:tab w:val="clear" w:pos="720"/>
        </w:tabs>
        <w:suppressAutoHyphens/>
        <w:kinsoku w:val="0"/>
        <w:overflowPunct w:val="0"/>
        <w:autoSpaceDE w:val="0"/>
        <w:autoSpaceDN w:val="0"/>
        <w:spacing w:before="0"/>
        <w:rPr>
          <w:b w:val="0"/>
          <w:i/>
          <w:kern w:val="22"/>
          <w:szCs w:val="22"/>
          <w:lang w:val="fr-CA"/>
        </w:rPr>
      </w:pPr>
      <w:r w:rsidRPr="00AF5B6D">
        <w:rPr>
          <w:b w:val="0"/>
          <w:i/>
          <w:caps w:val="0"/>
          <w:kern w:val="22"/>
          <w:szCs w:val="22"/>
          <w:lang w:val="fr-CA"/>
        </w:rPr>
        <w:lastRenderedPageBreak/>
        <w:t>Annexe</w:t>
      </w:r>
      <w:r w:rsidR="00C2619C" w:rsidRPr="00AF5B6D">
        <w:rPr>
          <w:b w:val="0"/>
          <w:i/>
          <w:caps w:val="0"/>
          <w:kern w:val="22"/>
          <w:szCs w:val="22"/>
          <w:lang w:val="fr-CA"/>
        </w:rPr>
        <w:t xml:space="preserve"> </w:t>
      </w:r>
      <w:r w:rsidR="00242F8D" w:rsidRPr="00AF5B6D">
        <w:rPr>
          <w:b w:val="0"/>
          <w:i/>
          <w:kern w:val="22"/>
          <w:szCs w:val="22"/>
          <w:lang w:val="fr-CA"/>
        </w:rPr>
        <w:t>II</w:t>
      </w:r>
    </w:p>
    <w:p w:rsidR="00C45393" w:rsidRPr="00AF5B6D" w:rsidRDefault="00D548A8" w:rsidP="007B3E88">
      <w:pPr>
        <w:pStyle w:val="Titre1"/>
        <w:suppressLineNumbers/>
        <w:tabs>
          <w:tab w:val="clear" w:pos="720"/>
        </w:tabs>
        <w:suppressAutoHyphens/>
        <w:kinsoku w:val="0"/>
        <w:overflowPunct w:val="0"/>
        <w:autoSpaceDE w:val="0"/>
        <w:autoSpaceDN w:val="0"/>
        <w:spacing w:before="120"/>
        <w:rPr>
          <w:rFonts w:eastAsia="Calibri"/>
          <w:snapToGrid w:val="0"/>
          <w:kern w:val="22"/>
          <w:szCs w:val="22"/>
          <w:lang w:val="fr-CA"/>
        </w:rPr>
      </w:pPr>
      <w:r w:rsidRPr="00AF5B6D">
        <w:rPr>
          <w:kern w:val="22"/>
          <w:szCs w:val="22"/>
          <w:lang w:val="fr-CA"/>
        </w:rPr>
        <w:t xml:space="preserve">orientations facultatives sur les modèles de gouvernance </w:t>
      </w:r>
      <w:r w:rsidR="009B7574" w:rsidRPr="00AF5B6D">
        <w:rPr>
          <w:kern w:val="22"/>
          <w:szCs w:val="22"/>
          <w:lang w:val="fr-CA"/>
        </w:rPr>
        <w:t>efficace</w:t>
      </w:r>
      <w:r w:rsidRPr="00AF5B6D">
        <w:rPr>
          <w:kern w:val="22"/>
          <w:szCs w:val="22"/>
          <w:lang w:val="fr-CA"/>
        </w:rPr>
        <w:t xml:space="preserve"> pour la gestion des aires protÉgées, y compris l</w:t>
      </w:r>
      <w:r w:rsidR="009B7574" w:rsidRPr="00AF5B6D">
        <w:rPr>
          <w:kern w:val="22"/>
          <w:szCs w:val="22"/>
          <w:lang w:val="fr-CA"/>
        </w:rPr>
        <w:t>’Équité, compte tenu des travaux entrepris à l’article 8 j)</w:t>
      </w:r>
    </w:p>
    <w:p w:rsidR="00242F8D" w:rsidRPr="00AF5B6D" w:rsidRDefault="00242F8D" w:rsidP="007B3E88">
      <w:pPr>
        <w:pStyle w:val="Titre1"/>
        <w:numPr>
          <w:ilvl w:val="0"/>
          <w:numId w:val="68"/>
        </w:numPr>
        <w:suppressLineNumbers/>
        <w:suppressAutoHyphens/>
        <w:kinsoku w:val="0"/>
        <w:overflowPunct w:val="0"/>
        <w:autoSpaceDE w:val="0"/>
        <w:autoSpaceDN w:val="0"/>
        <w:spacing w:before="120"/>
        <w:rPr>
          <w:kern w:val="22"/>
          <w:szCs w:val="22"/>
          <w:lang w:val="fr-CA"/>
        </w:rPr>
      </w:pPr>
      <w:r w:rsidRPr="00AF5B6D">
        <w:rPr>
          <w:kern w:val="22"/>
          <w:szCs w:val="22"/>
          <w:lang w:val="fr-CA"/>
        </w:rPr>
        <w:t>Context</w:t>
      </w:r>
      <w:r w:rsidR="009B7574" w:rsidRPr="00AF5B6D">
        <w:rPr>
          <w:kern w:val="22"/>
          <w:szCs w:val="22"/>
          <w:lang w:val="fr-CA"/>
        </w:rPr>
        <w:t>E</w:t>
      </w:r>
    </w:p>
    <w:p w:rsidR="00C914FA" w:rsidRPr="00AF5B6D" w:rsidRDefault="006A645E" w:rsidP="007B3E88">
      <w:pPr>
        <w:pStyle w:val="Para1"/>
        <w:numPr>
          <w:ilvl w:val="0"/>
          <w:numId w:val="53"/>
        </w:numPr>
        <w:suppressLineNumbers/>
        <w:suppressAutoHyphens/>
        <w:kinsoku w:val="0"/>
        <w:overflowPunct w:val="0"/>
        <w:autoSpaceDE w:val="0"/>
        <w:autoSpaceDN w:val="0"/>
        <w:ind w:left="0" w:firstLine="0"/>
        <w:rPr>
          <w:kern w:val="22"/>
          <w:szCs w:val="22"/>
          <w:lang w:val="fr-CA"/>
        </w:rPr>
      </w:pPr>
      <w:r w:rsidRPr="00AF5B6D">
        <w:rPr>
          <w:kern w:val="22"/>
          <w:szCs w:val="22"/>
          <w:lang w:val="fr-CA" w:eastAsia="ja-JP" w:bidi="th-TH"/>
        </w:rPr>
        <w:t>La gouvernance est un facteur important du succès des aires protégées à conserver la diversité biologique et à soutenir des modes de subsistance durables. Améliorer la diversité, la qualité, l’efficacité et l’équité de la gouvernance des aires protégées peut faciliter la réalisation de l’Objectif 11 d’Aichi relatif à la diversité biologique et aider à faire face aux enjeux locaux et mondiaux</w:t>
      </w:r>
      <w:r w:rsidR="00C2619C" w:rsidRPr="00AF5B6D">
        <w:rPr>
          <w:kern w:val="22"/>
          <w:szCs w:val="22"/>
          <w:lang w:val="fr-CA" w:eastAsia="ja-JP" w:bidi="th-TH"/>
        </w:rPr>
        <w:t>.</w:t>
      </w:r>
      <w:r w:rsidR="00CF422B" w:rsidRPr="00AF5B6D">
        <w:rPr>
          <w:rStyle w:val="Appelnotedebasdep"/>
          <w:rFonts w:eastAsia="Batang"/>
          <w:iCs/>
          <w:kern w:val="22"/>
          <w:sz w:val="22"/>
          <w:szCs w:val="22"/>
          <w:u w:val="none"/>
          <w:vertAlign w:val="superscript"/>
          <w:lang w:val="fr-CA" w:eastAsia="ja-JP" w:bidi="th-TH"/>
        </w:rPr>
        <w:footnoteReference w:id="21"/>
      </w:r>
      <w:r w:rsidR="00C914FA" w:rsidRPr="00AF5B6D">
        <w:rPr>
          <w:kern w:val="22"/>
          <w:szCs w:val="22"/>
          <w:lang w:val="fr-CA" w:eastAsia="ja-JP" w:bidi="th-TH"/>
        </w:rPr>
        <w:t xml:space="preserve"> </w:t>
      </w:r>
      <w:r w:rsidR="006A5870" w:rsidRPr="00AF5B6D">
        <w:rPr>
          <w:rFonts w:eastAsia="Batang"/>
          <w:bCs/>
          <w:iCs/>
          <w:kern w:val="22"/>
          <w:szCs w:val="22"/>
          <w:lang w:val="fr-CA" w:eastAsia="ja-JP" w:bidi="th-TH"/>
        </w:rPr>
        <w:t>La reconnaissance du rôle et de la contribution d’une diversité d’acteurs et d’approches à la conservation par zone peut faciliter la réalisation des éléments de couverture, de représentativité, de connectivité et qualitatifs de l’Objectif 11</w:t>
      </w:r>
      <w:r w:rsidR="00C914FA" w:rsidRPr="00AF5B6D">
        <w:rPr>
          <w:rFonts w:eastAsia="Batang"/>
          <w:bCs/>
          <w:iCs/>
          <w:kern w:val="22"/>
          <w:szCs w:val="22"/>
          <w:lang w:val="fr-CA" w:eastAsia="ja-JP" w:bidi="th-TH"/>
        </w:rPr>
        <w:t>.</w:t>
      </w:r>
      <w:r w:rsidR="006A5870" w:rsidRPr="00AF5B6D">
        <w:rPr>
          <w:rFonts w:eastAsia="Batang"/>
          <w:bCs/>
          <w:iCs/>
          <w:kern w:val="22"/>
          <w:szCs w:val="22"/>
          <w:lang w:val="fr-CA" w:eastAsia="ja-JP" w:bidi="th-TH"/>
        </w:rPr>
        <w:t xml:space="preserve"> Cette diversité élargit l’appartenance, </w:t>
      </w:r>
      <w:r w:rsidR="0063494C" w:rsidRPr="00AF5B6D">
        <w:rPr>
          <w:rFonts w:eastAsia="Batang"/>
          <w:bCs/>
          <w:iCs/>
          <w:kern w:val="22"/>
          <w:szCs w:val="22"/>
          <w:lang w:val="fr-CA" w:eastAsia="ja-JP" w:bidi="th-TH"/>
        </w:rPr>
        <w:t>ce qui favorise</w:t>
      </w:r>
      <w:r w:rsidR="006A5870" w:rsidRPr="00AF5B6D">
        <w:rPr>
          <w:rFonts w:eastAsia="Batang"/>
          <w:bCs/>
          <w:iCs/>
          <w:kern w:val="22"/>
          <w:szCs w:val="22"/>
          <w:lang w:val="fr-CA" w:eastAsia="ja-JP" w:bidi="th-TH"/>
        </w:rPr>
        <w:t xml:space="preserve"> potentiellement la collaboration et réduit les conflits, tout en améliorant la </w:t>
      </w:r>
      <w:r w:rsidR="00D81608">
        <w:rPr>
          <w:rFonts w:eastAsia="Batang"/>
          <w:bCs/>
          <w:iCs/>
          <w:kern w:val="22"/>
          <w:szCs w:val="22"/>
          <w:lang w:val="fr-CA" w:eastAsia="ja-JP" w:bidi="th-TH"/>
        </w:rPr>
        <w:t>résilience face aux</w:t>
      </w:r>
      <w:r w:rsidR="006A5870" w:rsidRPr="00AF5B6D">
        <w:rPr>
          <w:rFonts w:eastAsia="Batang"/>
          <w:bCs/>
          <w:iCs/>
          <w:kern w:val="22"/>
          <w:szCs w:val="22"/>
          <w:lang w:val="fr-CA" w:eastAsia="ja-JP" w:bidi="th-TH"/>
        </w:rPr>
        <w:t xml:space="preserve"> changement</w:t>
      </w:r>
      <w:r w:rsidR="00D81608">
        <w:rPr>
          <w:rFonts w:eastAsia="Batang"/>
          <w:bCs/>
          <w:iCs/>
          <w:kern w:val="22"/>
          <w:szCs w:val="22"/>
          <w:lang w:val="fr-CA" w:eastAsia="ja-JP" w:bidi="th-TH"/>
        </w:rPr>
        <w:t>s</w:t>
      </w:r>
      <w:r w:rsidR="0063494C" w:rsidRPr="00AF5B6D">
        <w:rPr>
          <w:rFonts w:eastAsia="Batang"/>
          <w:bCs/>
          <w:iCs/>
          <w:kern w:val="22"/>
          <w:szCs w:val="22"/>
          <w:lang w:val="fr-CA" w:eastAsia="ja-JP" w:bidi="th-TH"/>
        </w:rPr>
        <w:t>.</w:t>
      </w:r>
    </w:p>
    <w:p w:rsidR="001F3AF2" w:rsidRPr="00AF5B6D" w:rsidRDefault="0063494C" w:rsidP="007B3E88">
      <w:pPr>
        <w:pStyle w:val="Para1"/>
        <w:numPr>
          <w:ilvl w:val="0"/>
          <w:numId w:val="53"/>
        </w:numPr>
        <w:suppressLineNumbers/>
        <w:suppressAutoHyphens/>
        <w:kinsoku w:val="0"/>
        <w:overflowPunct w:val="0"/>
        <w:autoSpaceDE w:val="0"/>
        <w:autoSpaceDN w:val="0"/>
        <w:ind w:left="0" w:firstLine="0"/>
        <w:rPr>
          <w:kern w:val="22"/>
          <w:szCs w:val="22"/>
          <w:lang w:val="fr-CA"/>
        </w:rPr>
      </w:pPr>
      <w:r w:rsidRPr="00AF5B6D">
        <w:rPr>
          <w:rFonts w:eastAsia="Batang"/>
          <w:bCs/>
          <w:iCs/>
          <w:kern w:val="22"/>
          <w:szCs w:val="22"/>
          <w:lang w:val="fr-CA" w:eastAsia="ja-JP" w:bidi="th-TH"/>
        </w:rPr>
        <w:t xml:space="preserve">Les mesures de gouvernance des aires protégées et conservées </w:t>
      </w:r>
      <w:r w:rsidR="00D81608">
        <w:rPr>
          <w:rFonts w:eastAsia="Batang"/>
          <w:bCs/>
          <w:iCs/>
          <w:kern w:val="22"/>
          <w:szCs w:val="22"/>
          <w:lang w:val="fr-CA" w:eastAsia="ja-JP" w:bidi="th-TH"/>
        </w:rPr>
        <w:t>adaptées</w:t>
      </w:r>
      <w:r w:rsidRPr="00AF5B6D">
        <w:rPr>
          <w:rFonts w:eastAsia="Batang"/>
          <w:bCs/>
          <w:iCs/>
          <w:kern w:val="22"/>
          <w:szCs w:val="22"/>
          <w:lang w:val="fr-CA" w:eastAsia="ja-JP" w:bidi="th-TH"/>
        </w:rPr>
        <w:t xml:space="preserve"> au contexte </w:t>
      </w:r>
      <w:r w:rsidR="00D81608">
        <w:rPr>
          <w:rFonts w:eastAsia="Batang"/>
          <w:bCs/>
          <w:iCs/>
          <w:kern w:val="22"/>
          <w:szCs w:val="22"/>
          <w:lang w:val="fr-CA" w:eastAsia="ja-JP" w:bidi="th-TH"/>
        </w:rPr>
        <w:t>particulier</w:t>
      </w:r>
      <w:r w:rsidRPr="00AF5B6D">
        <w:rPr>
          <w:rFonts w:eastAsia="Batang"/>
          <w:bCs/>
          <w:iCs/>
          <w:kern w:val="22"/>
          <w:szCs w:val="22"/>
          <w:lang w:val="fr-CA" w:eastAsia="ja-JP" w:bidi="th-TH"/>
        </w:rPr>
        <w:t>, socialement intégrées, respectueuses des droits et offrant efficacement des résultats de conservation et de subsistance accroissent la légitimité des aires prot</w:t>
      </w:r>
      <w:r w:rsidR="00995EB7">
        <w:rPr>
          <w:rFonts w:eastAsia="Batang"/>
          <w:bCs/>
          <w:iCs/>
          <w:kern w:val="22"/>
          <w:szCs w:val="22"/>
          <w:lang w:val="fr-CA" w:eastAsia="ja-JP" w:bidi="th-TH"/>
        </w:rPr>
        <w:t>égées et conservées pour les peu</w:t>
      </w:r>
      <w:r w:rsidRPr="00AF5B6D">
        <w:rPr>
          <w:rFonts w:eastAsia="Batang"/>
          <w:bCs/>
          <w:iCs/>
          <w:kern w:val="22"/>
          <w:szCs w:val="22"/>
          <w:lang w:val="fr-CA" w:eastAsia="ja-JP" w:bidi="th-TH"/>
        </w:rPr>
        <w:t>ples autochtones et les communautés locales, et la société en général</w:t>
      </w:r>
      <w:r w:rsidR="00C914FA" w:rsidRPr="00AF5B6D">
        <w:rPr>
          <w:rFonts w:eastAsia="Batang"/>
          <w:bCs/>
          <w:iCs/>
          <w:kern w:val="22"/>
          <w:szCs w:val="22"/>
          <w:lang w:val="fr-CA" w:eastAsia="ja-JP" w:bidi="th-TH"/>
        </w:rPr>
        <w:t>.</w:t>
      </w:r>
    </w:p>
    <w:p w:rsidR="008F5BDC" w:rsidRPr="00AF5B6D" w:rsidRDefault="0063494C" w:rsidP="007B3E88">
      <w:pPr>
        <w:pStyle w:val="Para1"/>
        <w:numPr>
          <w:ilvl w:val="0"/>
          <w:numId w:val="53"/>
        </w:numPr>
        <w:suppressLineNumbers/>
        <w:suppressAutoHyphens/>
        <w:kinsoku w:val="0"/>
        <w:overflowPunct w:val="0"/>
        <w:autoSpaceDE w:val="0"/>
        <w:autoSpaceDN w:val="0"/>
        <w:ind w:left="0" w:firstLine="0"/>
        <w:rPr>
          <w:kern w:val="22"/>
          <w:szCs w:val="22"/>
          <w:lang w:val="fr-CA"/>
        </w:rPr>
      </w:pPr>
      <w:r w:rsidRPr="00AF5B6D">
        <w:rPr>
          <w:kern w:val="22"/>
          <w:szCs w:val="22"/>
          <w:lang w:val="fr-CA" w:eastAsia="ja-JP" w:bidi="th-TH"/>
        </w:rPr>
        <w:t xml:space="preserve">Dans sa </w:t>
      </w:r>
      <w:r w:rsidR="00082E9E" w:rsidRPr="00AF5B6D">
        <w:rPr>
          <w:kern w:val="22"/>
          <w:szCs w:val="22"/>
          <w:lang w:val="fr-CA" w:eastAsia="ja-JP" w:bidi="th-TH"/>
        </w:rPr>
        <w:t>d</w:t>
      </w:r>
      <w:r w:rsidR="00B36330" w:rsidRPr="00AF5B6D">
        <w:rPr>
          <w:kern w:val="22"/>
          <w:szCs w:val="22"/>
          <w:lang w:val="fr-CA" w:eastAsia="ja-JP" w:bidi="th-TH"/>
        </w:rPr>
        <w:t>é</w:t>
      </w:r>
      <w:r w:rsidRPr="00AF5B6D">
        <w:rPr>
          <w:kern w:val="22"/>
          <w:szCs w:val="22"/>
          <w:lang w:val="fr-CA" w:eastAsia="ja-JP" w:bidi="th-TH"/>
        </w:rPr>
        <w:t>cision X/31, la Conférence des Parties a mis en évidence l’élément 2 de la gouvernance, de la participation, de l’équité et du partage des avantages du programme de travail sur les air</w:t>
      </w:r>
      <w:r w:rsidR="00082E9E" w:rsidRPr="00AF5B6D">
        <w:rPr>
          <w:kern w:val="22"/>
          <w:szCs w:val="22"/>
          <w:lang w:val="fr-CA" w:eastAsia="ja-JP" w:bidi="th-TH"/>
        </w:rPr>
        <w:t>e</w:t>
      </w:r>
      <w:r w:rsidRPr="00AF5B6D">
        <w:rPr>
          <w:kern w:val="22"/>
          <w:szCs w:val="22"/>
          <w:lang w:val="fr-CA" w:eastAsia="ja-JP" w:bidi="th-TH"/>
        </w:rPr>
        <w:t>s</w:t>
      </w:r>
      <w:r w:rsidR="00082E9E" w:rsidRPr="00AF5B6D">
        <w:rPr>
          <w:kern w:val="22"/>
          <w:szCs w:val="22"/>
          <w:lang w:val="fr-CA" w:eastAsia="ja-JP" w:bidi="th-TH"/>
        </w:rPr>
        <w:t xml:space="preserve"> protégées</w:t>
      </w:r>
      <w:r w:rsidRPr="00AF5B6D">
        <w:rPr>
          <w:kern w:val="22"/>
          <w:szCs w:val="22"/>
          <w:lang w:val="fr-CA" w:eastAsia="ja-JP" w:bidi="th-TH"/>
        </w:rPr>
        <w:t xml:space="preserve"> en tant que priorité</w:t>
      </w:r>
      <w:r w:rsidR="00082E9E" w:rsidRPr="00AF5B6D">
        <w:rPr>
          <w:kern w:val="22"/>
          <w:szCs w:val="22"/>
          <w:lang w:val="fr-CA" w:eastAsia="ja-JP" w:bidi="th-TH"/>
        </w:rPr>
        <w:t xml:space="preserve"> nécessitant plus d’attention</w:t>
      </w:r>
      <w:r w:rsidR="0075369D" w:rsidRPr="00AF5B6D">
        <w:rPr>
          <w:kern w:val="22"/>
          <w:szCs w:val="22"/>
          <w:lang w:val="fr-CA" w:eastAsia="ja-JP" w:bidi="th-TH"/>
        </w:rPr>
        <w:t>.</w:t>
      </w:r>
      <w:r w:rsidR="009E1A01" w:rsidRPr="00AF5B6D">
        <w:rPr>
          <w:rStyle w:val="Appelnotedebasdep"/>
          <w:rFonts w:eastAsia="Batang"/>
          <w:iCs/>
          <w:kern w:val="22"/>
          <w:sz w:val="22"/>
          <w:szCs w:val="22"/>
          <w:u w:val="none"/>
          <w:vertAlign w:val="superscript"/>
          <w:lang w:val="fr-CA" w:eastAsia="ja-JP" w:bidi="th-TH"/>
        </w:rPr>
        <w:footnoteReference w:id="22"/>
      </w:r>
      <w:r w:rsidR="00C914FA" w:rsidRPr="00AF5B6D">
        <w:rPr>
          <w:kern w:val="22"/>
          <w:szCs w:val="22"/>
          <w:lang w:val="fr-CA" w:eastAsia="ja-JP" w:bidi="th-TH"/>
        </w:rPr>
        <w:t xml:space="preserve"> </w:t>
      </w:r>
      <w:r w:rsidR="00082E9E" w:rsidRPr="00AF5B6D">
        <w:rPr>
          <w:kern w:val="22"/>
          <w:szCs w:val="22"/>
          <w:lang w:val="fr-CA" w:eastAsia="ja-JP" w:bidi="th-TH"/>
        </w:rPr>
        <w:t>D</w:t>
      </w:r>
      <w:r w:rsidR="00B36330" w:rsidRPr="00AF5B6D">
        <w:rPr>
          <w:kern w:val="22"/>
          <w:szCs w:val="22"/>
          <w:lang w:val="fr-CA" w:eastAsia="ja-JP" w:bidi="th-TH"/>
        </w:rPr>
        <w:t>ep</w:t>
      </w:r>
      <w:r w:rsidR="00082E9E" w:rsidRPr="00AF5B6D">
        <w:rPr>
          <w:kern w:val="22"/>
          <w:szCs w:val="22"/>
          <w:lang w:val="fr-CA" w:eastAsia="ja-JP" w:bidi="th-TH"/>
        </w:rPr>
        <w:t xml:space="preserve">uis ce temps, les Parties ont pris de l’expérience, et des </w:t>
      </w:r>
      <w:r w:rsidR="00B36330" w:rsidRPr="00AF5B6D">
        <w:rPr>
          <w:kern w:val="22"/>
          <w:szCs w:val="22"/>
          <w:lang w:val="fr-CA" w:eastAsia="ja-JP" w:bidi="th-TH"/>
        </w:rPr>
        <w:t>méthodes</w:t>
      </w:r>
      <w:r w:rsidR="00082E9E" w:rsidRPr="00AF5B6D">
        <w:rPr>
          <w:kern w:val="22"/>
          <w:szCs w:val="22"/>
          <w:lang w:val="fr-CA" w:eastAsia="ja-JP" w:bidi="th-TH"/>
        </w:rPr>
        <w:t xml:space="preserve"> et des outils ont été développés afin d’évaluer l</w:t>
      </w:r>
      <w:r w:rsidR="00B36330" w:rsidRPr="00AF5B6D">
        <w:rPr>
          <w:kern w:val="22"/>
          <w:szCs w:val="22"/>
          <w:lang w:val="fr-CA" w:eastAsia="ja-JP" w:bidi="th-TH"/>
        </w:rPr>
        <w:t>a</w:t>
      </w:r>
      <w:r w:rsidR="00082E9E" w:rsidRPr="00AF5B6D">
        <w:rPr>
          <w:kern w:val="22"/>
          <w:szCs w:val="22"/>
          <w:lang w:val="fr-CA" w:eastAsia="ja-JP" w:bidi="th-TH"/>
        </w:rPr>
        <w:t xml:space="preserve"> gouvernance </w:t>
      </w:r>
      <w:r w:rsidR="00B36330" w:rsidRPr="00AF5B6D">
        <w:rPr>
          <w:kern w:val="22"/>
          <w:szCs w:val="22"/>
          <w:lang w:val="fr-CA" w:eastAsia="ja-JP" w:bidi="th-TH"/>
        </w:rPr>
        <w:t>et élaborer des plans d’action, ce qui a mené à une meilleure compréhension des concepts essentiels, surtout l’équité</w:t>
      </w:r>
      <w:r w:rsidR="00F80CD8" w:rsidRPr="00AF5B6D">
        <w:rPr>
          <w:kern w:val="22"/>
          <w:szCs w:val="22"/>
          <w:lang w:val="fr-CA" w:eastAsia="ja-JP" w:bidi="th-TH"/>
        </w:rPr>
        <w:t>.</w:t>
      </w:r>
      <w:r w:rsidR="006658B1" w:rsidRPr="00AF5B6D">
        <w:rPr>
          <w:rStyle w:val="Appelnotedebasdep"/>
          <w:kern w:val="22"/>
          <w:sz w:val="22"/>
          <w:szCs w:val="22"/>
          <w:u w:val="none"/>
          <w:vertAlign w:val="superscript"/>
          <w:lang w:val="fr-CA" w:eastAsia="ja-JP" w:bidi="th-TH"/>
        </w:rPr>
        <w:footnoteReference w:id="23"/>
      </w:r>
    </w:p>
    <w:p w:rsidR="0034156B" w:rsidRPr="00AF5B6D" w:rsidRDefault="00C2619C" w:rsidP="007B3E88">
      <w:pPr>
        <w:pStyle w:val="Titre2"/>
        <w:suppressLineNumbers/>
        <w:pBdr>
          <w:top w:val="nil"/>
          <w:left w:val="nil"/>
          <w:bottom w:val="nil"/>
          <w:right w:val="nil"/>
          <w:between w:val="nil"/>
          <w:bar w:val="nil"/>
        </w:pBdr>
        <w:tabs>
          <w:tab w:val="clear" w:pos="720"/>
        </w:tabs>
        <w:suppressAutoHyphens/>
        <w:kinsoku w:val="0"/>
        <w:overflowPunct w:val="0"/>
        <w:autoSpaceDE w:val="0"/>
        <w:autoSpaceDN w:val="0"/>
        <w:rPr>
          <w:kern w:val="22"/>
          <w:szCs w:val="22"/>
          <w:lang w:val="fr-CA"/>
        </w:rPr>
      </w:pPr>
      <w:r w:rsidRPr="00AF5B6D">
        <w:rPr>
          <w:kern w:val="22"/>
          <w:szCs w:val="22"/>
          <w:lang w:val="fr-CA"/>
        </w:rPr>
        <w:t>A</w:t>
      </w:r>
      <w:r w:rsidR="00DD6DF6" w:rsidRPr="00AF5B6D">
        <w:rPr>
          <w:kern w:val="22"/>
          <w:szCs w:val="22"/>
          <w:lang w:val="fr-CA"/>
        </w:rPr>
        <w:t>.</w:t>
      </w:r>
      <w:r w:rsidRPr="00AF5B6D">
        <w:rPr>
          <w:kern w:val="22"/>
          <w:szCs w:val="22"/>
          <w:lang w:val="fr-CA"/>
        </w:rPr>
        <w:tab/>
      </w:r>
      <w:r w:rsidR="00B36330" w:rsidRPr="00AF5B6D">
        <w:rPr>
          <w:kern w:val="22"/>
          <w:szCs w:val="22"/>
          <w:lang w:val="fr-CA"/>
        </w:rPr>
        <w:t>Orientations facultatives sur la diversité de la gouvernance</w:t>
      </w:r>
    </w:p>
    <w:p w:rsidR="00C914FA" w:rsidRPr="00AF5B6D" w:rsidRDefault="00ED0AFD" w:rsidP="007B3E88">
      <w:pPr>
        <w:pStyle w:val="Para1"/>
        <w:numPr>
          <w:ilvl w:val="0"/>
          <w:numId w:val="53"/>
        </w:numPr>
        <w:suppressLineNumbers/>
        <w:suppressAutoHyphens/>
        <w:kinsoku w:val="0"/>
        <w:overflowPunct w:val="0"/>
        <w:autoSpaceDE w:val="0"/>
        <w:autoSpaceDN w:val="0"/>
        <w:ind w:left="0" w:firstLine="0"/>
        <w:rPr>
          <w:kern w:val="22"/>
          <w:szCs w:val="22"/>
          <w:lang w:val="fr-CA" w:eastAsia="ja-JP" w:bidi="th-TH"/>
        </w:rPr>
      </w:pPr>
      <w:r w:rsidRPr="00AF5B6D">
        <w:rPr>
          <w:kern w:val="22"/>
          <w:szCs w:val="22"/>
          <w:lang w:val="fr-CA" w:eastAsia="ja-JP" w:bidi="th-TH"/>
        </w:rPr>
        <w:t>La Convention sur la diversité biologique et l’Union international</w:t>
      </w:r>
      <w:r w:rsidR="00D81608">
        <w:rPr>
          <w:kern w:val="22"/>
          <w:szCs w:val="22"/>
          <w:lang w:val="fr-CA" w:eastAsia="ja-JP" w:bidi="th-TH"/>
        </w:rPr>
        <w:t>e</w:t>
      </w:r>
      <w:r w:rsidRPr="00AF5B6D">
        <w:rPr>
          <w:kern w:val="22"/>
          <w:szCs w:val="22"/>
          <w:lang w:val="fr-CA" w:eastAsia="ja-JP" w:bidi="th-TH"/>
        </w:rPr>
        <w:t xml:space="preserve"> pour la conservation de la nature (UICN) reconnaissent quatre grandes catégories de gouvernance des aires protégées et conservées selon les acteurs ayant l’autorité </w:t>
      </w:r>
      <w:r w:rsidR="00D81608">
        <w:rPr>
          <w:kern w:val="22"/>
          <w:szCs w:val="22"/>
          <w:lang w:val="fr-CA" w:eastAsia="ja-JP" w:bidi="th-TH"/>
        </w:rPr>
        <w:t xml:space="preserve">et la responsabilité </w:t>
      </w:r>
      <w:r w:rsidRPr="00AF5B6D">
        <w:rPr>
          <w:kern w:val="22"/>
          <w:szCs w:val="22"/>
          <w:lang w:val="fr-CA" w:eastAsia="ja-JP" w:bidi="th-TH"/>
        </w:rPr>
        <w:t>de prendre des décisions et de les appliquer : a) la gouvernance par les gouvernements, b) la gouvernance partagée (par différents acteurs travaillant ensemble</w:t>
      </w:r>
      <w:r w:rsidR="00C914FA" w:rsidRPr="00AF5B6D">
        <w:rPr>
          <w:rStyle w:val="Appelnotedebasdep"/>
          <w:rFonts w:eastAsia="Batang"/>
          <w:iCs/>
          <w:kern w:val="22"/>
          <w:sz w:val="22"/>
          <w:szCs w:val="22"/>
          <w:u w:val="none"/>
          <w:vertAlign w:val="superscript"/>
          <w:lang w:val="fr-CA" w:eastAsia="ja-JP" w:bidi="th-TH"/>
        </w:rPr>
        <w:footnoteReference w:id="24"/>
      </w:r>
      <w:r w:rsidR="00ED5439" w:rsidRPr="00AF5B6D">
        <w:rPr>
          <w:kern w:val="22"/>
          <w:szCs w:val="22"/>
          <w:lang w:val="fr-CA" w:eastAsia="ja-JP" w:bidi="th-TH"/>
        </w:rPr>
        <w:t>)</w:t>
      </w:r>
      <w:r w:rsidR="0034156B" w:rsidRPr="00AF5B6D">
        <w:rPr>
          <w:kern w:val="22"/>
          <w:szCs w:val="22"/>
          <w:lang w:val="fr-CA" w:eastAsia="ja-JP" w:bidi="th-TH"/>
        </w:rPr>
        <w:t>;</w:t>
      </w:r>
      <w:r w:rsidR="00C914FA" w:rsidRPr="00AF5B6D">
        <w:rPr>
          <w:kern w:val="22"/>
          <w:szCs w:val="22"/>
          <w:lang w:val="fr-CA" w:eastAsia="ja-JP" w:bidi="th-TH"/>
        </w:rPr>
        <w:t xml:space="preserve"> </w:t>
      </w:r>
      <w:r w:rsidRPr="00AF5B6D">
        <w:rPr>
          <w:kern w:val="22"/>
          <w:szCs w:val="22"/>
          <w:lang w:val="fr-CA" w:eastAsia="ja-JP" w:bidi="th-TH"/>
        </w:rPr>
        <w:t>c) la gouvernance par des particuliers ou des organisations (</w:t>
      </w:r>
      <w:r w:rsidR="00945669" w:rsidRPr="00AF5B6D">
        <w:rPr>
          <w:kern w:val="22"/>
          <w:szCs w:val="22"/>
          <w:lang w:val="fr-CA" w:eastAsia="ja-JP" w:bidi="th-TH"/>
        </w:rPr>
        <w:t xml:space="preserve">souvent des propriétaires fonciers et sous forme d’aires protégées privées) et d) la gouvernance par </w:t>
      </w:r>
      <w:r w:rsidR="00995EB7">
        <w:rPr>
          <w:kern w:val="22"/>
          <w:szCs w:val="22"/>
          <w:lang w:val="fr-CA" w:eastAsia="ja-JP" w:bidi="th-TH"/>
        </w:rPr>
        <w:t>l</w:t>
      </w:r>
      <w:r w:rsidR="00945669" w:rsidRPr="00AF5B6D">
        <w:rPr>
          <w:kern w:val="22"/>
          <w:szCs w:val="22"/>
          <w:lang w:val="fr-CA" w:eastAsia="ja-JP" w:bidi="th-TH"/>
        </w:rPr>
        <w:t xml:space="preserve">es peuples autochtones et les communautés locales </w:t>
      </w:r>
      <w:r w:rsidR="00C914FA" w:rsidRPr="00AF5B6D">
        <w:rPr>
          <w:rStyle w:val="Appelnotedebasdep"/>
          <w:rFonts w:eastAsia="Batang"/>
          <w:iCs/>
          <w:kern w:val="22"/>
          <w:sz w:val="22"/>
          <w:szCs w:val="22"/>
          <w:u w:val="none"/>
          <w:vertAlign w:val="superscript"/>
          <w:lang w:val="fr-CA" w:eastAsia="ja-JP" w:bidi="th-TH"/>
        </w:rPr>
        <w:footnoteReference w:id="25"/>
      </w:r>
      <w:r w:rsidR="00C914FA" w:rsidRPr="00AF5B6D">
        <w:rPr>
          <w:kern w:val="22"/>
          <w:szCs w:val="22"/>
          <w:lang w:val="fr-CA" w:eastAsia="ja-JP" w:bidi="th-TH"/>
        </w:rPr>
        <w:t xml:space="preserve"> </w:t>
      </w:r>
      <w:r w:rsidR="00945669" w:rsidRPr="00AF5B6D">
        <w:rPr>
          <w:kern w:val="22"/>
          <w:szCs w:val="22"/>
          <w:lang w:val="fr-CA" w:eastAsia="ja-JP" w:bidi="th-TH"/>
        </w:rPr>
        <w:t>(souvent appelées aires autochtones protégées</w:t>
      </w:r>
      <w:r w:rsidR="00C914FA" w:rsidRPr="00AF5B6D">
        <w:rPr>
          <w:kern w:val="22"/>
          <w:szCs w:val="22"/>
          <w:lang w:val="fr-CA" w:eastAsia="ja-JP" w:bidi="th-TH"/>
        </w:rPr>
        <w:t>).</w:t>
      </w:r>
    </w:p>
    <w:p w:rsidR="00F80CD8" w:rsidRPr="00AF5B6D" w:rsidRDefault="00945669" w:rsidP="007B3E88">
      <w:pPr>
        <w:pStyle w:val="Para1"/>
        <w:numPr>
          <w:ilvl w:val="0"/>
          <w:numId w:val="53"/>
        </w:numPr>
        <w:suppressLineNumbers/>
        <w:suppressAutoHyphens/>
        <w:kinsoku w:val="0"/>
        <w:overflowPunct w:val="0"/>
        <w:autoSpaceDE w:val="0"/>
        <w:autoSpaceDN w:val="0"/>
        <w:ind w:left="0" w:firstLine="0"/>
        <w:rPr>
          <w:kern w:val="22"/>
          <w:szCs w:val="22"/>
          <w:lang w:val="fr-CA" w:eastAsia="ja-JP" w:bidi="th-TH"/>
        </w:rPr>
      </w:pPr>
      <w:r w:rsidRPr="00AF5B6D">
        <w:rPr>
          <w:kern w:val="22"/>
          <w:szCs w:val="22"/>
          <w:lang w:val="fr-CA" w:eastAsia="ja-JP" w:bidi="th-TH"/>
        </w:rPr>
        <w:t>La diversité de la gouvernance fait surtout référence à l’existence de différents modes de gouvernance primaires et sec</w:t>
      </w:r>
      <w:r w:rsidR="00D50D41" w:rsidRPr="00AF5B6D">
        <w:rPr>
          <w:kern w:val="22"/>
          <w:szCs w:val="22"/>
          <w:lang w:val="fr-CA" w:eastAsia="ja-JP" w:bidi="th-TH"/>
        </w:rPr>
        <w:t xml:space="preserve">ondaires, tant </w:t>
      </w:r>
      <w:r w:rsidRPr="00AF5B6D">
        <w:rPr>
          <w:kern w:val="22"/>
          <w:szCs w:val="22"/>
          <w:lang w:val="fr-CA" w:eastAsia="ja-JP" w:bidi="th-TH"/>
        </w:rPr>
        <w:t xml:space="preserve">au niveau des dispositions </w:t>
      </w:r>
      <w:r w:rsidR="00FA5E46">
        <w:rPr>
          <w:kern w:val="22"/>
          <w:szCs w:val="22"/>
          <w:lang w:val="fr-CA" w:eastAsia="ja-JP" w:bidi="th-TH"/>
        </w:rPr>
        <w:t>que</w:t>
      </w:r>
      <w:r w:rsidR="00995EB7">
        <w:rPr>
          <w:kern w:val="22"/>
          <w:szCs w:val="22"/>
          <w:lang w:val="fr-CA" w:eastAsia="ja-JP" w:bidi="th-TH"/>
        </w:rPr>
        <w:t xml:space="preserve"> des pratiques, et leur</w:t>
      </w:r>
      <w:r w:rsidRPr="00AF5B6D">
        <w:rPr>
          <w:kern w:val="22"/>
          <w:szCs w:val="22"/>
          <w:lang w:val="fr-CA" w:eastAsia="ja-JP" w:bidi="th-TH"/>
        </w:rPr>
        <w:t xml:space="preserve"> </w:t>
      </w:r>
      <w:r w:rsidRPr="00AF5B6D">
        <w:rPr>
          <w:kern w:val="22"/>
          <w:szCs w:val="22"/>
          <w:lang w:val="fr-CA" w:eastAsia="ja-JP" w:bidi="th-TH"/>
        </w:rPr>
        <w:lastRenderedPageBreak/>
        <w:t>complémentarité à assurer la conservation in situ. Le concept de mode de gouvernance est aussi pertinen</w:t>
      </w:r>
      <w:r w:rsidR="00D50D41" w:rsidRPr="00AF5B6D">
        <w:rPr>
          <w:kern w:val="22"/>
          <w:szCs w:val="22"/>
          <w:lang w:val="fr-CA" w:eastAsia="ja-JP" w:bidi="th-TH"/>
        </w:rPr>
        <w:t>t lorsqu’il s’agit de déterminer s</w:t>
      </w:r>
      <w:r w:rsidR="00FA5E46">
        <w:rPr>
          <w:kern w:val="22"/>
          <w:szCs w:val="22"/>
          <w:lang w:val="fr-CA" w:eastAsia="ja-JP" w:bidi="th-TH"/>
        </w:rPr>
        <w:t>i</w:t>
      </w:r>
      <w:r w:rsidR="00D50D41" w:rsidRPr="00AF5B6D">
        <w:rPr>
          <w:kern w:val="22"/>
          <w:szCs w:val="22"/>
          <w:lang w:val="fr-CA" w:eastAsia="ja-JP" w:bidi="th-TH"/>
        </w:rPr>
        <w:t xml:space="preserve"> une forme </w:t>
      </w:r>
      <w:r w:rsidR="00FA5E46">
        <w:rPr>
          <w:kern w:val="22"/>
          <w:szCs w:val="22"/>
          <w:lang w:val="fr-CA" w:eastAsia="ja-JP" w:bidi="th-TH"/>
        </w:rPr>
        <w:t>en particulier</w:t>
      </w:r>
      <w:r w:rsidR="00D50D41" w:rsidRPr="00AF5B6D">
        <w:rPr>
          <w:kern w:val="22"/>
          <w:szCs w:val="22"/>
          <w:lang w:val="fr-CA" w:eastAsia="ja-JP" w:bidi="th-TH"/>
        </w:rPr>
        <w:t xml:space="preserve"> convient à un contexte donné</w:t>
      </w:r>
      <w:r w:rsidR="00C2619C" w:rsidRPr="00AF5B6D">
        <w:rPr>
          <w:rStyle w:val="Appelnotedebasdep"/>
          <w:rFonts w:eastAsia="Batang"/>
          <w:iCs/>
          <w:sz w:val="22"/>
          <w:szCs w:val="22"/>
          <w:u w:val="none"/>
          <w:lang w:val="fr-CA"/>
        </w:rPr>
        <w:t>.</w:t>
      </w:r>
      <w:r w:rsidR="00DD25E4" w:rsidRPr="00AF5B6D">
        <w:rPr>
          <w:rStyle w:val="Appelnotedebasdep"/>
          <w:rFonts w:eastAsia="Batang"/>
          <w:iCs/>
          <w:kern w:val="22"/>
          <w:sz w:val="22"/>
          <w:szCs w:val="22"/>
          <w:u w:val="none"/>
          <w:vertAlign w:val="superscript"/>
          <w:lang w:val="fr-CA" w:eastAsia="ja-JP" w:bidi="th-TH"/>
        </w:rPr>
        <w:footnoteReference w:id="26"/>
      </w:r>
    </w:p>
    <w:p w:rsidR="00A20E7F" w:rsidRPr="00AF5B6D" w:rsidRDefault="00615411" w:rsidP="007B3E88">
      <w:pPr>
        <w:pStyle w:val="Para1"/>
        <w:numPr>
          <w:ilvl w:val="0"/>
          <w:numId w:val="53"/>
        </w:numPr>
        <w:suppressLineNumbers/>
        <w:suppressAutoHyphens/>
        <w:kinsoku w:val="0"/>
        <w:overflowPunct w:val="0"/>
        <w:autoSpaceDE w:val="0"/>
        <w:autoSpaceDN w:val="0"/>
        <w:ind w:left="0" w:firstLine="0"/>
        <w:rPr>
          <w:kern w:val="22"/>
          <w:szCs w:val="22"/>
          <w:lang w:val="fr-CA" w:eastAsia="ja-JP" w:bidi="th-TH"/>
        </w:rPr>
      </w:pPr>
      <w:r w:rsidRPr="00AF5B6D">
        <w:rPr>
          <w:kern w:val="22"/>
          <w:szCs w:val="22"/>
          <w:lang w:val="fr-CA" w:eastAsia="ja-JP" w:bidi="th-TH"/>
        </w:rPr>
        <w:t xml:space="preserve">Conformément aux </w:t>
      </w:r>
      <w:r w:rsidR="009C317C" w:rsidRPr="00AF5B6D">
        <w:rPr>
          <w:kern w:val="22"/>
          <w:szCs w:val="22"/>
          <w:lang w:val="fr-CA" w:eastAsia="ja-JP" w:bidi="th-TH"/>
        </w:rPr>
        <w:t>dé</w:t>
      </w:r>
      <w:r w:rsidRPr="00AF5B6D">
        <w:rPr>
          <w:kern w:val="22"/>
          <w:szCs w:val="22"/>
          <w:lang w:val="fr-CA" w:eastAsia="ja-JP" w:bidi="th-TH"/>
        </w:rPr>
        <w:t>cisions VII/28 et X/31, les orientations facultatives</w:t>
      </w:r>
      <w:r w:rsidRPr="00AF5B6D">
        <w:rPr>
          <w:rStyle w:val="Appelnotedebasdep"/>
          <w:rFonts w:eastAsia="Batang"/>
          <w:iCs/>
          <w:sz w:val="22"/>
          <w:szCs w:val="22"/>
          <w:u w:val="none"/>
          <w:lang w:val="fr-CA"/>
        </w:rPr>
        <w:t xml:space="preserve"> </w:t>
      </w:r>
      <w:r w:rsidR="009C317C" w:rsidRPr="00AF5B6D">
        <w:rPr>
          <w:rStyle w:val="Appelnotedebasdep"/>
          <w:rFonts w:eastAsia="Batang"/>
          <w:iCs/>
          <w:sz w:val="22"/>
          <w:szCs w:val="22"/>
          <w:u w:val="none"/>
          <w:lang w:val="fr-CA"/>
        </w:rPr>
        <w:t>p</w:t>
      </w:r>
      <w:r w:rsidR="009C317C" w:rsidRPr="00AF5B6D">
        <w:rPr>
          <w:rFonts w:eastAsia="Batang"/>
          <w:iCs/>
          <w:szCs w:val="22"/>
          <w:lang w:val="fr-CA"/>
        </w:rPr>
        <w:t>roposent</w:t>
      </w:r>
      <w:r w:rsidR="00BE0B0F" w:rsidRPr="00AF5B6D">
        <w:rPr>
          <w:rStyle w:val="Appelnotedebasdep"/>
          <w:rFonts w:eastAsia="Batang"/>
          <w:iCs/>
          <w:sz w:val="22"/>
          <w:szCs w:val="22"/>
          <w:u w:val="none"/>
          <w:lang w:val="fr-CA"/>
        </w:rPr>
        <w:t xml:space="preserve"> des étapes à suivre </w:t>
      </w:r>
      <w:r w:rsidR="009C317C" w:rsidRPr="00AF5B6D">
        <w:rPr>
          <w:rStyle w:val="Appelnotedebasdep"/>
          <w:rFonts w:eastAsia="Batang"/>
          <w:iCs/>
          <w:sz w:val="22"/>
          <w:szCs w:val="22"/>
          <w:u w:val="none"/>
          <w:lang w:val="fr-CA"/>
        </w:rPr>
        <w:t>e</w:t>
      </w:r>
      <w:r w:rsidR="009C317C" w:rsidRPr="00AF5B6D">
        <w:rPr>
          <w:rFonts w:eastAsia="Batang"/>
          <w:iCs/>
          <w:szCs w:val="22"/>
          <w:lang w:val="fr-CA"/>
        </w:rPr>
        <w:t>n lien avec</w:t>
      </w:r>
      <w:r w:rsidR="00BE0B0F" w:rsidRPr="00AF5B6D">
        <w:rPr>
          <w:rStyle w:val="Appelnotedebasdep"/>
          <w:rFonts w:eastAsia="Batang"/>
          <w:iCs/>
          <w:sz w:val="22"/>
          <w:szCs w:val="22"/>
          <w:u w:val="none"/>
          <w:lang w:val="fr-CA"/>
        </w:rPr>
        <w:t xml:space="preserve"> la reconnaissance, le soutien, la vérification et</w:t>
      </w:r>
      <w:r w:rsidR="009C317C" w:rsidRPr="00AF5B6D">
        <w:rPr>
          <w:rStyle w:val="Appelnotedebasdep"/>
          <w:rFonts w:eastAsia="Batang"/>
          <w:iCs/>
          <w:sz w:val="22"/>
          <w:szCs w:val="22"/>
          <w:u w:val="none"/>
          <w:lang w:val="fr-CA"/>
        </w:rPr>
        <w:t xml:space="preserve"> </w:t>
      </w:r>
      <w:r w:rsidR="00BE0B0F" w:rsidRPr="00AF5B6D">
        <w:rPr>
          <w:rStyle w:val="Appelnotedebasdep"/>
          <w:rFonts w:eastAsia="Batang"/>
          <w:iCs/>
          <w:sz w:val="22"/>
          <w:szCs w:val="22"/>
          <w:u w:val="none"/>
          <w:lang w:val="fr-CA"/>
        </w:rPr>
        <w:t>la coordination, le repérage, le suivi et la communication de données sur des aires conservées volontairement par les peuples autochtones et les communautés locales, les propriétaires fonciers et autres acteurs. En ce qui concerne les territoires et les aires dont la gouvernance rel</w:t>
      </w:r>
      <w:r w:rsidR="009C317C" w:rsidRPr="00AF5B6D">
        <w:rPr>
          <w:rStyle w:val="Appelnotedebasdep"/>
          <w:rFonts w:eastAsia="Batang"/>
          <w:iCs/>
          <w:sz w:val="22"/>
          <w:szCs w:val="22"/>
          <w:u w:val="none"/>
          <w:lang w:val="fr-CA"/>
        </w:rPr>
        <w:t>ève des peu</w:t>
      </w:r>
      <w:r w:rsidR="00BE0B0F" w:rsidRPr="00AF5B6D">
        <w:rPr>
          <w:rStyle w:val="Appelnotedebasdep"/>
          <w:rFonts w:eastAsia="Batang"/>
          <w:iCs/>
          <w:sz w:val="22"/>
          <w:szCs w:val="22"/>
          <w:u w:val="none"/>
          <w:lang w:val="fr-CA"/>
        </w:rPr>
        <w:t xml:space="preserve">ples autochtones et des communautés </w:t>
      </w:r>
      <w:r w:rsidR="00F0069E">
        <w:rPr>
          <w:rFonts w:eastAsia="Batang"/>
          <w:iCs/>
          <w:szCs w:val="22"/>
          <w:lang w:val="fr-CA"/>
        </w:rPr>
        <w:t>locales</w:t>
      </w:r>
      <w:r w:rsidR="00BE0B0F" w:rsidRPr="00AF5B6D">
        <w:rPr>
          <w:rStyle w:val="Appelnotedebasdep"/>
          <w:rFonts w:eastAsia="Batang"/>
          <w:iCs/>
          <w:sz w:val="22"/>
          <w:szCs w:val="22"/>
          <w:u w:val="none"/>
          <w:lang w:val="fr-CA"/>
        </w:rPr>
        <w:t>, ces étapes ne doivent être prises qu’avec leur consentement libre et préalable donné en connaissance de ca</w:t>
      </w:r>
      <w:r w:rsidR="009C317C" w:rsidRPr="00AF5B6D">
        <w:rPr>
          <w:rFonts w:eastAsia="Batang"/>
          <w:iCs/>
          <w:szCs w:val="22"/>
          <w:lang w:val="fr-CA"/>
        </w:rPr>
        <w:t>u</w:t>
      </w:r>
      <w:r w:rsidR="00BE0B0F" w:rsidRPr="00AF5B6D">
        <w:rPr>
          <w:rStyle w:val="Appelnotedebasdep"/>
          <w:rFonts w:eastAsia="Batang"/>
          <w:iCs/>
          <w:sz w:val="22"/>
          <w:szCs w:val="22"/>
          <w:u w:val="none"/>
          <w:lang w:val="fr-CA"/>
        </w:rPr>
        <w:t xml:space="preserve">se, </w:t>
      </w:r>
      <w:r w:rsidR="009C317C" w:rsidRPr="00AF5B6D">
        <w:rPr>
          <w:rStyle w:val="Appelnotedebasdep"/>
          <w:rFonts w:eastAsia="Batang"/>
          <w:iCs/>
          <w:sz w:val="22"/>
          <w:szCs w:val="22"/>
          <w:u w:val="none"/>
          <w:lang w:val="fr-CA"/>
        </w:rPr>
        <w:t>d</w:t>
      </w:r>
      <w:r w:rsidR="009C317C" w:rsidRPr="00AF5B6D">
        <w:rPr>
          <w:rFonts w:eastAsia="Batang"/>
          <w:iCs/>
          <w:szCs w:val="22"/>
          <w:lang w:val="fr-CA"/>
        </w:rPr>
        <w:t>ans le respect de</w:t>
      </w:r>
      <w:r w:rsidR="00BE0B0F" w:rsidRPr="00AF5B6D">
        <w:rPr>
          <w:rStyle w:val="Appelnotedebasdep"/>
          <w:rFonts w:eastAsia="Batang"/>
          <w:iCs/>
          <w:sz w:val="22"/>
          <w:szCs w:val="22"/>
          <w:u w:val="none"/>
          <w:lang w:val="fr-CA"/>
        </w:rPr>
        <w:t xml:space="preserve"> leurs droits, </w:t>
      </w:r>
      <w:r w:rsidR="009C317C" w:rsidRPr="00AF5B6D">
        <w:rPr>
          <w:rFonts w:eastAsia="Batang"/>
          <w:iCs/>
          <w:szCs w:val="22"/>
          <w:lang w:val="fr-CA"/>
        </w:rPr>
        <w:t xml:space="preserve">de </w:t>
      </w:r>
      <w:r w:rsidR="00BE0B0F" w:rsidRPr="00AF5B6D">
        <w:rPr>
          <w:rStyle w:val="Appelnotedebasdep"/>
          <w:rFonts w:eastAsia="Batang"/>
          <w:iCs/>
          <w:sz w:val="22"/>
          <w:szCs w:val="22"/>
          <w:u w:val="none"/>
          <w:lang w:val="fr-CA"/>
        </w:rPr>
        <w:t xml:space="preserve">leurs connaissances et </w:t>
      </w:r>
      <w:r w:rsidR="009C317C" w:rsidRPr="00AF5B6D">
        <w:rPr>
          <w:rFonts w:eastAsia="Batang"/>
          <w:iCs/>
          <w:szCs w:val="22"/>
          <w:lang w:val="fr-CA"/>
        </w:rPr>
        <w:t xml:space="preserve">de </w:t>
      </w:r>
      <w:r w:rsidR="00BE0B0F" w:rsidRPr="00AF5B6D">
        <w:rPr>
          <w:rStyle w:val="Appelnotedebasdep"/>
          <w:rFonts w:eastAsia="Batang"/>
          <w:iCs/>
          <w:sz w:val="22"/>
          <w:szCs w:val="22"/>
          <w:u w:val="none"/>
          <w:lang w:val="fr-CA"/>
        </w:rPr>
        <w:t xml:space="preserve">leurs institutions. </w:t>
      </w:r>
      <w:r w:rsidR="00F0069E">
        <w:rPr>
          <w:rFonts w:eastAsia="Batang"/>
          <w:iCs/>
          <w:szCs w:val="22"/>
          <w:lang w:val="fr-CA"/>
        </w:rPr>
        <w:t>Quant aux</w:t>
      </w:r>
      <w:r w:rsidR="00BE0B0F" w:rsidRPr="00AF5B6D">
        <w:rPr>
          <w:rStyle w:val="Appelnotedebasdep"/>
          <w:rFonts w:eastAsia="Batang"/>
          <w:iCs/>
          <w:sz w:val="22"/>
          <w:szCs w:val="22"/>
          <w:u w:val="none"/>
          <w:lang w:val="fr-CA"/>
        </w:rPr>
        <w:t xml:space="preserve"> aires protégées par les propriétaires fonciers</w:t>
      </w:r>
      <w:r w:rsidR="009C317C" w:rsidRPr="00AF5B6D">
        <w:rPr>
          <w:rStyle w:val="Appelnotedebasdep"/>
          <w:rFonts w:eastAsia="Batang"/>
          <w:iCs/>
          <w:sz w:val="22"/>
          <w:szCs w:val="22"/>
          <w:u w:val="none"/>
          <w:lang w:val="fr-CA"/>
        </w:rPr>
        <w:t>, ces étapes ne doivent être prises qu’avec leur approbation, dans le respect des droits et des connaissances des propriétaires fonciers.</w:t>
      </w:r>
      <w:r w:rsidR="00C914FA" w:rsidRPr="00AF5B6D">
        <w:rPr>
          <w:rStyle w:val="Appelnotedebasdep"/>
          <w:rFonts w:eastAsia="Batang"/>
          <w:iCs/>
          <w:kern w:val="22"/>
          <w:sz w:val="22"/>
          <w:szCs w:val="22"/>
          <w:u w:val="none"/>
          <w:vertAlign w:val="superscript"/>
          <w:lang w:val="fr-CA" w:eastAsia="ja-JP" w:bidi="th-TH"/>
        </w:rPr>
        <w:footnoteReference w:id="27"/>
      </w:r>
    </w:p>
    <w:p w:rsidR="00C914FA" w:rsidRPr="00AF5B6D" w:rsidRDefault="009C317C" w:rsidP="007B3E88">
      <w:pPr>
        <w:pStyle w:val="Para1"/>
        <w:numPr>
          <w:ilvl w:val="0"/>
          <w:numId w:val="53"/>
        </w:numPr>
        <w:suppressLineNumbers/>
        <w:suppressAutoHyphens/>
        <w:kinsoku w:val="0"/>
        <w:overflowPunct w:val="0"/>
        <w:autoSpaceDE w:val="0"/>
        <w:autoSpaceDN w:val="0"/>
        <w:ind w:left="0" w:firstLine="0"/>
        <w:rPr>
          <w:kern w:val="22"/>
          <w:lang w:val="fr-CA" w:eastAsia="ja-JP" w:bidi="th-TH"/>
        </w:rPr>
      </w:pPr>
      <w:r w:rsidRPr="00AF5B6D">
        <w:rPr>
          <w:kern w:val="22"/>
          <w:szCs w:val="22"/>
          <w:lang w:val="fr-CA" w:eastAsia="ja-JP" w:bidi="th-TH"/>
        </w:rPr>
        <w:t xml:space="preserve">Les étapes ci-dessous sont proposées pour améliorer et soutenir la diversité de la gouvernance dans les </w:t>
      </w:r>
      <w:r w:rsidR="003E750B" w:rsidRPr="00AF5B6D">
        <w:rPr>
          <w:kern w:val="22"/>
          <w:szCs w:val="22"/>
          <w:lang w:val="fr-CA" w:eastAsia="ja-JP" w:bidi="th-TH"/>
        </w:rPr>
        <w:t>réseaux</w:t>
      </w:r>
      <w:r w:rsidRPr="00AF5B6D">
        <w:rPr>
          <w:kern w:val="22"/>
          <w:szCs w:val="22"/>
          <w:lang w:val="fr-CA" w:eastAsia="ja-JP" w:bidi="th-TH"/>
        </w:rPr>
        <w:t xml:space="preserve"> nationaux et infranationaux d’aires protégées et conservées </w:t>
      </w:r>
      <w:r w:rsidR="00C914FA" w:rsidRPr="00AF5B6D">
        <w:rPr>
          <w:kern w:val="22"/>
          <w:szCs w:val="22"/>
          <w:lang w:val="fr-CA" w:eastAsia="ja-JP" w:bidi="th-TH"/>
        </w:rPr>
        <w:t>:</w:t>
      </w:r>
    </w:p>
    <w:p w:rsidR="00C914FA" w:rsidRPr="00AF5B6D" w:rsidRDefault="003E750B" w:rsidP="003E750B">
      <w:pPr>
        <w:pStyle w:val="Para10"/>
        <w:numPr>
          <w:ilvl w:val="0"/>
          <w:numId w:val="69"/>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sidRPr="00AF5B6D">
        <w:rPr>
          <w:rFonts w:cs="Times New Roman"/>
          <w:bCs w:val="0"/>
          <w:i/>
          <w:iCs/>
          <w:kern w:val="22"/>
          <w:lang w:val="fr-CA" w:eastAsia="ja-JP" w:bidi="th-TH"/>
        </w:rPr>
        <w:t xml:space="preserve">Développer un énoncé de politique ou de vision de haut niveau en consultation avec les parties prenantes </w:t>
      </w:r>
      <w:r w:rsidRPr="00AF5B6D">
        <w:rPr>
          <w:rFonts w:cs="Times New Roman"/>
          <w:bCs w:val="0"/>
          <w:iCs/>
          <w:kern w:val="22"/>
          <w:lang w:val="fr-CA" w:eastAsia="ja-JP" w:bidi="th-TH"/>
        </w:rPr>
        <w:t xml:space="preserve">qui reconnaît la diversité des </w:t>
      </w:r>
      <w:r w:rsidR="00A43DE9">
        <w:rPr>
          <w:rFonts w:cs="Times New Roman"/>
          <w:bCs w:val="0"/>
          <w:iCs/>
          <w:kern w:val="22"/>
          <w:lang w:val="fr-CA" w:eastAsia="ja-JP" w:bidi="th-TH"/>
        </w:rPr>
        <w:t>acteurs</w:t>
      </w:r>
      <w:r w:rsidRPr="00AF5B6D">
        <w:rPr>
          <w:rFonts w:cs="Times New Roman"/>
          <w:bCs w:val="0"/>
          <w:iCs/>
          <w:kern w:val="22"/>
          <w:lang w:val="fr-CA" w:eastAsia="ja-JP" w:bidi="th-TH"/>
        </w:rPr>
        <w:t xml:space="preserve"> de la conservation et leur contribution aux réseaux nationaux et infranationaux d’aires protégées et conservées. Cet énoncé aiderait à créer le cadre de travail pour les adaptations </w:t>
      </w:r>
      <w:r w:rsidR="00A43DE9">
        <w:rPr>
          <w:rFonts w:cs="Times New Roman"/>
          <w:bCs w:val="0"/>
          <w:iCs/>
          <w:kern w:val="22"/>
          <w:lang w:val="fr-CA" w:eastAsia="ja-JP" w:bidi="th-TH"/>
        </w:rPr>
        <w:t xml:space="preserve">subséquentes </w:t>
      </w:r>
      <w:r w:rsidRPr="00AF5B6D">
        <w:rPr>
          <w:rFonts w:cs="Times New Roman"/>
          <w:bCs w:val="0"/>
          <w:iCs/>
          <w:kern w:val="22"/>
          <w:lang w:val="fr-CA" w:eastAsia="ja-JP" w:bidi="th-TH"/>
        </w:rPr>
        <w:t xml:space="preserve">des lois. Il pourrait aussi contribuer </w:t>
      </w:r>
      <w:r w:rsidR="00250297" w:rsidRPr="00AF5B6D">
        <w:rPr>
          <w:rFonts w:cs="Times New Roman"/>
          <w:bCs w:val="0"/>
          <w:iCs/>
          <w:kern w:val="22"/>
          <w:lang w:val="fr-CA" w:eastAsia="ja-JP" w:bidi="th-TH"/>
        </w:rPr>
        <w:t>à fav</w:t>
      </w:r>
      <w:r w:rsidRPr="00AF5B6D">
        <w:rPr>
          <w:rFonts w:cs="Times New Roman"/>
          <w:bCs w:val="0"/>
          <w:iCs/>
          <w:kern w:val="22"/>
          <w:lang w:val="fr-CA" w:eastAsia="ja-JP" w:bidi="th-TH"/>
        </w:rPr>
        <w:t xml:space="preserve">oriser les </w:t>
      </w:r>
      <w:r w:rsidR="00250297" w:rsidRPr="00AF5B6D">
        <w:rPr>
          <w:rFonts w:cs="Times New Roman"/>
          <w:bCs w:val="0"/>
          <w:iCs/>
          <w:kern w:val="22"/>
          <w:lang w:val="fr-CA" w:eastAsia="ja-JP" w:bidi="th-TH"/>
        </w:rPr>
        <w:t xml:space="preserve"> projets de conservation in situ des </w:t>
      </w:r>
      <w:r w:rsidR="0005630D" w:rsidRPr="00AF5B6D">
        <w:rPr>
          <w:rFonts w:cs="Times New Roman"/>
          <w:bCs w:val="0"/>
          <w:iCs/>
          <w:kern w:val="22"/>
          <w:lang w:val="fr-CA" w:eastAsia="ja-JP" w:bidi="th-TH"/>
        </w:rPr>
        <w:t>acteurs</w:t>
      </w:r>
      <w:r w:rsidR="00D02FE4" w:rsidRPr="00AF5B6D">
        <w:rPr>
          <w:rFonts w:cs="Times New Roman"/>
          <w:kern w:val="22"/>
          <w:lang w:val="fr-CA" w:eastAsia="ja-JP" w:bidi="th-TH"/>
        </w:rPr>
        <w:t>;</w:t>
      </w:r>
      <w:r w:rsidR="00853BE9" w:rsidRPr="00AF5B6D">
        <w:rPr>
          <w:rStyle w:val="Appelnotedebasdep"/>
          <w:rFonts w:eastAsia="Batang" w:cs="Times New Roman"/>
          <w:bCs w:val="0"/>
          <w:iCs/>
          <w:snapToGrid w:val="0"/>
          <w:kern w:val="22"/>
          <w:sz w:val="22"/>
          <w:u w:val="none"/>
          <w:vertAlign w:val="superscript"/>
          <w:lang w:val="fr-CA" w:eastAsia="ja-JP" w:bidi="th-TH"/>
        </w:rPr>
        <w:footnoteReference w:id="28"/>
      </w:r>
    </w:p>
    <w:p w:rsidR="00C914FA" w:rsidRPr="00AF5B6D" w:rsidRDefault="00250297" w:rsidP="007B3E88">
      <w:pPr>
        <w:pStyle w:val="Para10"/>
        <w:numPr>
          <w:ilvl w:val="0"/>
          <w:numId w:val="69"/>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sidRPr="00AF5B6D">
        <w:rPr>
          <w:rFonts w:cs="Times New Roman"/>
          <w:bCs w:val="0"/>
          <w:i/>
          <w:iCs/>
          <w:kern w:val="22"/>
          <w:lang w:val="fr-CA" w:eastAsia="ja-JP" w:bidi="th-TH"/>
        </w:rPr>
        <w:t xml:space="preserve">Faciliter la gestion coordonnée de plusieurs sites </w:t>
      </w:r>
      <w:r w:rsidRPr="00AF5B6D">
        <w:rPr>
          <w:rFonts w:cs="Times New Roman"/>
          <w:bCs w:val="0"/>
          <w:iCs/>
          <w:kern w:val="22"/>
          <w:lang w:val="fr-CA" w:eastAsia="ja-JP" w:bidi="th-TH"/>
        </w:rPr>
        <w:t>faisant l’objet de modes de gouvernance différents</w:t>
      </w:r>
      <w:r w:rsidR="00A43DE9">
        <w:rPr>
          <w:rFonts w:cs="Times New Roman"/>
          <w:bCs w:val="0"/>
          <w:iCs/>
          <w:kern w:val="22"/>
          <w:lang w:val="fr-CA" w:eastAsia="ja-JP" w:bidi="th-TH"/>
        </w:rPr>
        <w:t>,</w:t>
      </w:r>
      <w:r w:rsidRPr="00AF5B6D">
        <w:rPr>
          <w:rFonts w:cs="Times New Roman"/>
          <w:bCs w:val="0"/>
          <w:iCs/>
          <w:kern w:val="22"/>
          <w:lang w:val="fr-CA" w:eastAsia="ja-JP" w:bidi="th-TH"/>
        </w:rPr>
        <w:t xml:space="preserve"> afin de réaliser les objectifs de conservation dans les paysages terrestres et marins </w:t>
      </w:r>
      <w:r w:rsidR="00A43DE9">
        <w:rPr>
          <w:rFonts w:cs="Times New Roman"/>
          <w:bCs w:val="0"/>
          <w:iCs/>
          <w:kern w:val="22"/>
          <w:lang w:val="fr-CA" w:eastAsia="ja-JP" w:bidi="th-TH"/>
        </w:rPr>
        <w:t>plus vastes</w:t>
      </w:r>
      <w:r w:rsidRPr="00AF5B6D">
        <w:rPr>
          <w:rFonts w:cs="Times New Roman"/>
          <w:bCs w:val="0"/>
          <w:iCs/>
          <w:kern w:val="22"/>
          <w:lang w:val="fr-CA" w:eastAsia="ja-JP" w:bidi="th-TH"/>
        </w:rPr>
        <w:t xml:space="preserve"> en utilisant des moyens </w:t>
      </w:r>
      <w:r w:rsidR="00A43DE9">
        <w:rPr>
          <w:rFonts w:cs="Times New Roman"/>
          <w:bCs w:val="0"/>
          <w:iCs/>
          <w:kern w:val="22"/>
          <w:lang w:val="fr-CA" w:eastAsia="ja-JP" w:bidi="th-TH"/>
        </w:rPr>
        <w:t>pertinents</w:t>
      </w:r>
      <w:r w:rsidR="00D02FE4" w:rsidRPr="00AF5B6D">
        <w:rPr>
          <w:rFonts w:cs="Times New Roman"/>
          <w:kern w:val="22"/>
          <w:lang w:val="fr-CA" w:eastAsia="ja-JP" w:bidi="th-TH"/>
        </w:rPr>
        <w:t>;</w:t>
      </w:r>
    </w:p>
    <w:p w:rsidR="00A25D8E" w:rsidRPr="00AF5B6D" w:rsidRDefault="00250297" w:rsidP="007B3E88">
      <w:pPr>
        <w:pStyle w:val="Para10"/>
        <w:numPr>
          <w:ilvl w:val="0"/>
          <w:numId w:val="69"/>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sidRPr="00AF5B6D">
        <w:rPr>
          <w:rFonts w:cs="Times New Roman"/>
          <w:bCs w:val="0"/>
          <w:i/>
          <w:iCs/>
          <w:kern w:val="22"/>
          <w:lang w:val="fr-CA" w:eastAsia="ja-JP" w:bidi="th-TH"/>
        </w:rPr>
        <w:t xml:space="preserve">Préciser et </w:t>
      </w:r>
      <w:r w:rsidR="00A43DE9">
        <w:rPr>
          <w:rFonts w:cs="Times New Roman"/>
          <w:bCs w:val="0"/>
          <w:i/>
          <w:iCs/>
          <w:kern w:val="22"/>
          <w:lang w:val="fr-CA" w:eastAsia="ja-JP" w:bidi="th-TH"/>
        </w:rPr>
        <w:t>définir</w:t>
      </w:r>
      <w:r w:rsidRPr="00AF5B6D">
        <w:rPr>
          <w:rFonts w:cs="Times New Roman"/>
          <w:bCs w:val="0"/>
          <w:i/>
          <w:iCs/>
          <w:kern w:val="22"/>
          <w:lang w:val="fr-CA" w:eastAsia="ja-JP" w:bidi="th-TH"/>
        </w:rPr>
        <w:t xml:space="preserve"> les mandats, les rôles et les responsabilités des institutions </w:t>
      </w:r>
      <w:r w:rsidR="0005630D" w:rsidRPr="00AF5B6D">
        <w:rPr>
          <w:rFonts w:cs="Times New Roman"/>
          <w:bCs w:val="0"/>
          <w:iCs/>
          <w:kern w:val="22"/>
          <w:lang w:val="fr-CA" w:eastAsia="ja-JP" w:bidi="th-TH"/>
        </w:rPr>
        <w:t>de tous les acteurs gouvernementaux et non gouvernementaux reconnus dans le réseau national et infranational d’aires protégées et conservées, en coordination avec d’autres territoires (infranationaux</w:t>
      </w:r>
      <w:r w:rsidR="00A43DE9">
        <w:rPr>
          <w:rFonts w:cs="Times New Roman"/>
          <w:bCs w:val="0"/>
          <w:iCs/>
          <w:kern w:val="22"/>
          <w:lang w:val="fr-CA" w:eastAsia="ja-JP" w:bidi="th-TH"/>
        </w:rPr>
        <w:t>, sectoriels), s’il y a lieu</w:t>
      </w:r>
      <w:r w:rsidR="00D02FE4" w:rsidRPr="00AF5B6D">
        <w:rPr>
          <w:rFonts w:cs="Times New Roman"/>
          <w:kern w:val="22"/>
          <w:lang w:val="fr-CA" w:eastAsia="ja-JP" w:bidi="th-TH"/>
        </w:rPr>
        <w:t>;</w:t>
      </w:r>
    </w:p>
    <w:p w:rsidR="00A25D8E" w:rsidRPr="00AF5B6D" w:rsidRDefault="0005630D" w:rsidP="007B3E88">
      <w:pPr>
        <w:pStyle w:val="Para10"/>
        <w:numPr>
          <w:ilvl w:val="0"/>
          <w:numId w:val="69"/>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sidRPr="00AF5B6D">
        <w:rPr>
          <w:rFonts w:cs="Times New Roman"/>
          <w:bCs w:val="0"/>
          <w:i/>
          <w:iCs/>
          <w:kern w:val="22"/>
          <w:lang w:val="fr-CA" w:eastAsia="ja-JP" w:bidi="th-TH"/>
        </w:rPr>
        <w:t xml:space="preserve">Mener une évaluation de la gouvernance à l’échelle du </w:t>
      </w:r>
      <w:r w:rsidR="00477039" w:rsidRPr="00AF5B6D">
        <w:rPr>
          <w:rFonts w:cs="Times New Roman"/>
          <w:bCs w:val="0"/>
          <w:i/>
          <w:iCs/>
          <w:kern w:val="22"/>
          <w:lang w:val="fr-CA" w:eastAsia="ja-JP" w:bidi="th-TH"/>
        </w:rPr>
        <w:t>réseau</w:t>
      </w:r>
      <w:r w:rsidRPr="00AF5B6D">
        <w:rPr>
          <w:rFonts w:cs="Times New Roman"/>
          <w:bCs w:val="0"/>
          <w:i/>
          <w:iCs/>
          <w:kern w:val="22"/>
          <w:lang w:val="fr-CA" w:eastAsia="ja-JP" w:bidi="th-TH"/>
        </w:rPr>
        <w:t xml:space="preserve"> en tant que processus collaboratif réunissant plusieurs parties prenantes. </w:t>
      </w:r>
      <w:r w:rsidR="00477039" w:rsidRPr="00AF5B6D">
        <w:rPr>
          <w:rFonts w:cs="Times New Roman"/>
          <w:bCs w:val="0"/>
          <w:iCs/>
          <w:kern w:val="22"/>
          <w:lang w:val="fr-CA" w:eastAsia="ja-JP" w:bidi="th-TH"/>
        </w:rPr>
        <w:t>Cette évaluation servirait en grande partie à analyser les écarts entre un réseau national ou infranational d’aires protégées existant et la conservation par zone potentiellement réalisable, dans l’éventualité où les aires protégées et conservées de facto par des divers acteurs et selon différentes méthodes à l’he</w:t>
      </w:r>
      <w:r w:rsidR="001822D9" w:rsidRPr="00AF5B6D">
        <w:rPr>
          <w:rFonts w:cs="Times New Roman"/>
          <w:bCs w:val="0"/>
          <w:iCs/>
          <w:kern w:val="22"/>
          <w:lang w:val="fr-CA" w:eastAsia="ja-JP" w:bidi="th-TH"/>
        </w:rPr>
        <w:t xml:space="preserve">ure actuelle étaient reconnues, </w:t>
      </w:r>
      <w:r w:rsidR="00477039" w:rsidRPr="00AF5B6D">
        <w:rPr>
          <w:rFonts w:cs="Times New Roman"/>
          <w:bCs w:val="0"/>
          <w:iCs/>
          <w:kern w:val="22"/>
          <w:lang w:val="fr-CA" w:eastAsia="ja-JP" w:bidi="th-TH"/>
        </w:rPr>
        <w:t>appuyées</w:t>
      </w:r>
      <w:r w:rsidR="001822D9" w:rsidRPr="00AF5B6D">
        <w:rPr>
          <w:rFonts w:cs="Times New Roman"/>
          <w:bCs w:val="0"/>
          <w:iCs/>
          <w:kern w:val="22"/>
          <w:lang w:val="fr-CA" w:eastAsia="ja-JP" w:bidi="th-TH"/>
        </w:rPr>
        <w:t xml:space="preserve"> et encouragées à prendre ou à partager la responsabilité</w:t>
      </w:r>
      <w:r w:rsidR="00A25D8E" w:rsidRPr="00AF5B6D">
        <w:rPr>
          <w:rFonts w:cs="Times New Roman"/>
          <w:kern w:val="22"/>
          <w:lang w:val="fr-CA" w:eastAsia="ja-JP" w:bidi="th-TH"/>
        </w:rPr>
        <w:t>;</w:t>
      </w:r>
      <w:r w:rsidR="00A25D8E" w:rsidRPr="00AF5B6D">
        <w:rPr>
          <w:rStyle w:val="Appelnotedebasdep"/>
          <w:rFonts w:eastAsia="Batang" w:cs="Times New Roman"/>
          <w:bCs w:val="0"/>
          <w:iCs/>
          <w:snapToGrid w:val="0"/>
          <w:kern w:val="22"/>
          <w:sz w:val="22"/>
          <w:u w:val="none"/>
          <w:vertAlign w:val="superscript"/>
          <w:lang w:val="fr-CA" w:eastAsia="ja-JP" w:bidi="th-TH"/>
        </w:rPr>
        <w:footnoteReference w:id="29"/>
      </w:r>
      <w:r w:rsidR="00A25D8E" w:rsidRPr="00AF5B6D">
        <w:rPr>
          <w:rStyle w:val="Appelnotedebasdep"/>
          <w:rFonts w:eastAsia="Batang" w:cs="Times New Roman"/>
          <w:bCs w:val="0"/>
          <w:iCs/>
          <w:snapToGrid w:val="0"/>
          <w:sz w:val="22"/>
          <w:u w:val="none"/>
          <w:vertAlign w:val="superscript"/>
          <w:lang w:val="fr-CA"/>
        </w:rPr>
        <w:t>,</w:t>
      </w:r>
      <w:r w:rsidR="00A25D8E" w:rsidRPr="00AF5B6D">
        <w:rPr>
          <w:rStyle w:val="Appelnotedebasdep"/>
          <w:rFonts w:eastAsia="Batang" w:cs="Times New Roman"/>
          <w:bCs w:val="0"/>
          <w:iCs/>
          <w:snapToGrid w:val="0"/>
          <w:kern w:val="22"/>
          <w:sz w:val="22"/>
          <w:u w:val="none"/>
          <w:vertAlign w:val="superscript"/>
          <w:lang w:val="fr-CA" w:eastAsia="ja-JP" w:bidi="th-TH"/>
        </w:rPr>
        <w:footnoteReference w:id="30"/>
      </w:r>
    </w:p>
    <w:p w:rsidR="00A25D8E" w:rsidRPr="00AF5B6D" w:rsidRDefault="001822D9" w:rsidP="007B3E88">
      <w:pPr>
        <w:pStyle w:val="Para10"/>
        <w:numPr>
          <w:ilvl w:val="0"/>
          <w:numId w:val="69"/>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sidRPr="00AF5B6D">
        <w:rPr>
          <w:rFonts w:cs="Times New Roman"/>
          <w:bCs w:val="0"/>
          <w:i/>
          <w:iCs/>
          <w:kern w:val="22"/>
          <w:lang w:val="fr-CA" w:eastAsia="ja-JP" w:bidi="th-TH"/>
        </w:rPr>
        <w:t xml:space="preserve">Faciliter le suivi et la communication de données coordonnés </w:t>
      </w:r>
      <w:r w:rsidRPr="00AF5B6D">
        <w:rPr>
          <w:rFonts w:cs="Times New Roman"/>
          <w:bCs w:val="0"/>
          <w:iCs/>
          <w:kern w:val="22"/>
          <w:lang w:val="fr-CA" w:eastAsia="ja-JP" w:bidi="th-TH"/>
        </w:rPr>
        <w:t>sur les aires protégées et conservées faisant l’objet de diffé</w:t>
      </w:r>
      <w:r w:rsidR="0026314F" w:rsidRPr="00AF5B6D">
        <w:rPr>
          <w:rFonts w:cs="Times New Roman"/>
          <w:bCs w:val="0"/>
          <w:iCs/>
          <w:kern w:val="22"/>
          <w:lang w:val="fr-CA" w:eastAsia="ja-JP" w:bidi="th-TH"/>
        </w:rPr>
        <w:t>rents modes de gouvernance par d</w:t>
      </w:r>
      <w:r w:rsidRPr="00AF5B6D">
        <w:rPr>
          <w:rFonts w:cs="Times New Roman"/>
          <w:bCs w:val="0"/>
          <w:iCs/>
          <w:kern w:val="22"/>
          <w:lang w:val="fr-CA" w:eastAsia="ja-JP" w:bidi="th-TH"/>
        </w:rPr>
        <w:t xml:space="preserve">es moyens </w:t>
      </w:r>
      <w:r w:rsidR="0024633C">
        <w:rPr>
          <w:rFonts w:cs="Times New Roman"/>
          <w:bCs w:val="0"/>
          <w:iCs/>
          <w:kern w:val="22"/>
          <w:lang w:val="fr-CA" w:eastAsia="ja-JP" w:bidi="th-TH"/>
        </w:rPr>
        <w:t>pertinents</w:t>
      </w:r>
      <w:r w:rsidR="0026314F" w:rsidRPr="00AF5B6D">
        <w:rPr>
          <w:rFonts w:cs="Times New Roman"/>
          <w:bCs w:val="0"/>
          <w:iCs/>
          <w:kern w:val="22"/>
          <w:lang w:val="fr-CA" w:eastAsia="ja-JP" w:bidi="th-TH"/>
        </w:rPr>
        <w:t>,</w:t>
      </w:r>
      <w:r w:rsidRPr="00AF5B6D">
        <w:rPr>
          <w:rFonts w:cs="Times New Roman"/>
          <w:bCs w:val="0"/>
          <w:iCs/>
          <w:kern w:val="22"/>
          <w:lang w:val="fr-CA" w:eastAsia="ja-JP" w:bidi="th-TH"/>
        </w:rPr>
        <w:t xml:space="preserve"> conformément aux lois nationales, </w:t>
      </w:r>
      <w:r w:rsidR="0026314F" w:rsidRPr="00AF5B6D">
        <w:rPr>
          <w:rFonts w:cs="Times New Roman"/>
          <w:bCs w:val="0"/>
          <w:iCs/>
          <w:kern w:val="22"/>
          <w:lang w:val="fr-CA" w:eastAsia="ja-JP" w:bidi="th-TH"/>
        </w:rPr>
        <w:t>dont</w:t>
      </w:r>
      <w:r w:rsidRPr="00AF5B6D">
        <w:rPr>
          <w:rFonts w:cs="Times New Roman"/>
          <w:bCs w:val="0"/>
          <w:iCs/>
          <w:kern w:val="22"/>
          <w:lang w:val="fr-CA" w:eastAsia="ja-JP" w:bidi="th-TH"/>
        </w:rPr>
        <w:t xml:space="preserve"> la base de donné</w:t>
      </w:r>
      <w:r w:rsidR="0026314F" w:rsidRPr="00AF5B6D">
        <w:rPr>
          <w:rFonts w:cs="Times New Roman"/>
          <w:bCs w:val="0"/>
          <w:iCs/>
          <w:kern w:val="22"/>
          <w:lang w:val="fr-CA" w:eastAsia="ja-JP" w:bidi="th-TH"/>
        </w:rPr>
        <w:t>es m</w:t>
      </w:r>
      <w:r w:rsidRPr="00AF5B6D">
        <w:rPr>
          <w:rFonts w:cs="Times New Roman"/>
          <w:bCs w:val="0"/>
          <w:iCs/>
          <w:kern w:val="22"/>
          <w:lang w:val="fr-CA" w:eastAsia="ja-JP" w:bidi="th-TH"/>
        </w:rPr>
        <w:t xml:space="preserve">ondiale sur les </w:t>
      </w:r>
      <w:r w:rsidR="0024633C">
        <w:rPr>
          <w:rFonts w:cs="Times New Roman"/>
          <w:bCs w:val="0"/>
          <w:iCs/>
          <w:kern w:val="22"/>
          <w:lang w:val="fr-CA" w:eastAsia="ja-JP" w:bidi="th-TH"/>
        </w:rPr>
        <w:t>zones</w:t>
      </w:r>
      <w:r w:rsidRPr="00AF5B6D">
        <w:rPr>
          <w:rFonts w:cs="Times New Roman"/>
          <w:bCs w:val="0"/>
          <w:iCs/>
          <w:kern w:val="22"/>
          <w:lang w:val="fr-CA" w:eastAsia="ja-JP" w:bidi="th-TH"/>
        </w:rPr>
        <w:t xml:space="preserve"> protégées, en tenant compte </w:t>
      </w:r>
      <w:r w:rsidR="0024633C">
        <w:rPr>
          <w:rFonts w:cs="Times New Roman"/>
          <w:bCs w:val="0"/>
          <w:iCs/>
          <w:kern w:val="22"/>
          <w:lang w:val="fr-CA" w:eastAsia="ja-JP" w:bidi="th-TH"/>
        </w:rPr>
        <w:t>de manière convenable</w:t>
      </w:r>
      <w:r w:rsidRPr="00AF5B6D">
        <w:rPr>
          <w:rFonts w:cs="Times New Roman"/>
          <w:bCs w:val="0"/>
          <w:iCs/>
          <w:kern w:val="22"/>
          <w:lang w:val="fr-CA" w:eastAsia="ja-JP" w:bidi="th-TH"/>
        </w:rPr>
        <w:t xml:space="preserve"> de leurs contributions aux éléments de l’Objectif 11</w:t>
      </w:r>
      <w:r w:rsidR="00D02FE4" w:rsidRPr="00AF5B6D">
        <w:rPr>
          <w:rFonts w:cs="Times New Roman"/>
          <w:kern w:val="22"/>
          <w:lang w:val="fr-CA" w:eastAsia="ja-JP" w:bidi="th-TH"/>
        </w:rPr>
        <w:t>;</w:t>
      </w:r>
    </w:p>
    <w:p w:rsidR="00A25D8E" w:rsidRPr="00AF5B6D" w:rsidRDefault="00A40C54" w:rsidP="007B3E88">
      <w:pPr>
        <w:pStyle w:val="Para10"/>
        <w:numPr>
          <w:ilvl w:val="0"/>
          <w:numId w:val="69"/>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sidRPr="00AF5B6D">
        <w:rPr>
          <w:rFonts w:cs="Times New Roman"/>
          <w:bCs w:val="0"/>
          <w:i/>
          <w:iCs/>
          <w:kern w:val="22"/>
          <w:lang w:val="fr-CA" w:eastAsia="ja-JP" w:bidi="th-TH"/>
        </w:rPr>
        <w:lastRenderedPageBreak/>
        <w:t xml:space="preserve">Réviser et adapter le cadre de politique, légal et réglementaire des aires protégées et conservées </w:t>
      </w:r>
      <w:r w:rsidRPr="00AF5B6D">
        <w:rPr>
          <w:rFonts w:cs="Times New Roman"/>
          <w:bCs w:val="0"/>
          <w:iCs/>
          <w:kern w:val="22"/>
          <w:lang w:val="fr-CA" w:eastAsia="ja-JP" w:bidi="th-TH"/>
        </w:rPr>
        <w:t xml:space="preserve">en fonction des occasions recensées dans l’évaluation et conformément à la décision X/31 afin </w:t>
      </w:r>
      <w:r w:rsidR="002D6F03">
        <w:rPr>
          <w:rFonts w:cs="Times New Roman"/>
          <w:bCs w:val="0"/>
          <w:iCs/>
          <w:kern w:val="22"/>
          <w:lang w:val="fr-CA" w:eastAsia="ja-JP" w:bidi="th-TH"/>
        </w:rPr>
        <w:t>de favoriser</w:t>
      </w:r>
      <w:r w:rsidRPr="00AF5B6D">
        <w:rPr>
          <w:rFonts w:cs="Times New Roman"/>
          <w:bCs w:val="0"/>
          <w:iCs/>
          <w:kern w:val="22"/>
          <w:lang w:val="fr-CA" w:eastAsia="ja-JP" w:bidi="th-TH"/>
        </w:rPr>
        <w:t xml:space="preserve"> et de reconnaître légalement différents modes de gouvernance</w:t>
      </w:r>
      <w:r w:rsidR="00D02FE4" w:rsidRPr="00AF5B6D">
        <w:rPr>
          <w:rFonts w:cs="Times New Roman"/>
          <w:kern w:val="22"/>
          <w:lang w:val="fr-CA" w:eastAsia="ja-JP" w:bidi="th-TH"/>
        </w:rPr>
        <w:t>;</w:t>
      </w:r>
      <w:r w:rsidR="00A25D8E" w:rsidRPr="00AF5B6D">
        <w:rPr>
          <w:rStyle w:val="Appelnotedebasdep"/>
          <w:rFonts w:eastAsia="Batang" w:cs="Times New Roman"/>
          <w:bCs w:val="0"/>
          <w:iCs/>
          <w:snapToGrid w:val="0"/>
          <w:kern w:val="22"/>
          <w:sz w:val="22"/>
          <w:u w:val="none"/>
          <w:vertAlign w:val="superscript"/>
          <w:lang w:val="fr-CA" w:eastAsia="ja-JP" w:bidi="th-TH"/>
        </w:rPr>
        <w:footnoteReference w:id="31"/>
      </w:r>
    </w:p>
    <w:p w:rsidR="00A25D8E" w:rsidRPr="00AF5B6D" w:rsidRDefault="00A40C54" w:rsidP="007B3E88">
      <w:pPr>
        <w:pStyle w:val="Para10"/>
        <w:numPr>
          <w:ilvl w:val="0"/>
          <w:numId w:val="69"/>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sidRPr="00AF5B6D">
        <w:rPr>
          <w:rFonts w:cs="Times New Roman"/>
          <w:bCs w:val="0"/>
          <w:i/>
          <w:iCs/>
          <w:kern w:val="22"/>
          <w:lang w:val="fr-CA" w:eastAsia="ja-JP" w:bidi="th-TH"/>
        </w:rPr>
        <w:t xml:space="preserve">Soutenir et sécuriser l’état de la protection </w:t>
      </w:r>
      <w:r w:rsidRPr="00AF5B6D">
        <w:rPr>
          <w:rFonts w:cs="Times New Roman"/>
          <w:bCs w:val="0"/>
          <w:iCs/>
          <w:kern w:val="22"/>
          <w:lang w:val="fr-CA" w:eastAsia="ja-JP" w:bidi="th-TH"/>
        </w:rPr>
        <w:t>des aires protégées et conservées faisant l’objet de tous les modes de gouvernance par des moyens pertinents</w:t>
      </w:r>
      <w:r w:rsidR="00D02FE4" w:rsidRPr="00AF5B6D">
        <w:rPr>
          <w:rFonts w:cs="Times New Roman"/>
          <w:kern w:val="22"/>
          <w:lang w:val="fr-CA" w:eastAsia="ja-JP" w:bidi="th-TH"/>
        </w:rPr>
        <w:t>;</w:t>
      </w:r>
    </w:p>
    <w:p w:rsidR="00A25D8E" w:rsidRPr="00AF5B6D" w:rsidRDefault="00A40C54" w:rsidP="007B3E88">
      <w:pPr>
        <w:pStyle w:val="Para10"/>
        <w:numPr>
          <w:ilvl w:val="0"/>
          <w:numId w:val="69"/>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sidRPr="00AF5B6D">
        <w:rPr>
          <w:rFonts w:cs="Times New Roman"/>
          <w:bCs w:val="0"/>
          <w:i/>
          <w:iCs/>
          <w:kern w:val="22"/>
          <w:lang w:val="fr-CA" w:eastAsia="ja-JP" w:bidi="th-TH"/>
        </w:rPr>
        <w:t xml:space="preserve">Soutenir les associations et alliances nationaux </w:t>
      </w:r>
      <w:r w:rsidRPr="00AF5B6D">
        <w:rPr>
          <w:rFonts w:cs="Times New Roman"/>
          <w:bCs w:val="0"/>
          <w:iCs/>
          <w:kern w:val="22"/>
          <w:lang w:val="fr-CA" w:eastAsia="ja-JP" w:bidi="th-TH"/>
        </w:rPr>
        <w:t>d’aires protégées et conservées selon les modes de gouvernance (</w:t>
      </w:r>
      <w:r w:rsidR="002D6F03">
        <w:rPr>
          <w:rFonts w:cs="Times New Roman"/>
          <w:bCs w:val="0"/>
          <w:iCs/>
          <w:kern w:val="22"/>
          <w:lang w:val="fr-CA" w:eastAsia="ja-JP" w:bidi="th-TH"/>
        </w:rPr>
        <w:t xml:space="preserve">p. ex., </w:t>
      </w:r>
      <w:r w:rsidR="00792B91" w:rsidRPr="00AF5B6D">
        <w:rPr>
          <w:rFonts w:cs="Times New Roman"/>
          <w:bCs w:val="0"/>
          <w:iCs/>
          <w:kern w:val="22"/>
          <w:lang w:val="fr-CA" w:eastAsia="ja-JP" w:bidi="th-TH"/>
        </w:rPr>
        <w:t>Alliance des territoires et aires conservés par les peuples autochtones et les communautés locales, et Association des aires protégées privées)</w:t>
      </w:r>
      <w:r w:rsidR="002D6F03">
        <w:rPr>
          <w:rFonts w:cs="Times New Roman"/>
          <w:bCs w:val="0"/>
          <w:iCs/>
          <w:kern w:val="22"/>
          <w:lang w:val="fr-CA" w:eastAsia="ja-JP" w:bidi="th-TH"/>
        </w:rPr>
        <w:t>,</w:t>
      </w:r>
      <w:r w:rsidR="00792B91" w:rsidRPr="00AF5B6D">
        <w:rPr>
          <w:rFonts w:cs="Times New Roman"/>
          <w:bCs w:val="0"/>
          <w:iCs/>
          <w:kern w:val="22"/>
          <w:lang w:val="fr-CA" w:eastAsia="ja-JP" w:bidi="th-TH"/>
        </w:rPr>
        <w:t xml:space="preserve"> afin de procurer des mécanismes de soutien par les pairs</w:t>
      </w:r>
      <w:r w:rsidR="00D02FE4" w:rsidRPr="00AF5B6D">
        <w:rPr>
          <w:rFonts w:cs="Times New Roman"/>
          <w:kern w:val="22"/>
          <w:lang w:val="fr-CA" w:eastAsia="ja-JP" w:bidi="th-TH"/>
        </w:rPr>
        <w:t>;</w:t>
      </w:r>
    </w:p>
    <w:p w:rsidR="00A25D8E" w:rsidRPr="00AF5B6D" w:rsidRDefault="00792B91" w:rsidP="007B3E88">
      <w:pPr>
        <w:pStyle w:val="Para10"/>
        <w:numPr>
          <w:ilvl w:val="0"/>
          <w:numId w:val="69"/>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sidRPr="00AF5B6D">
        <w:rPr>
          <w:rFonts w:cs="Times New Roman"/>
          <w:bCs w:val="0"/>
          <w:i/>
          <w:iCs/>
          <w:kern w:val="22"/>
          <w:lang w:val="fr-CA" w:eastAsia="ja-JP" w:bidi="th-TH"/>
        </w:rPr>
        <w:t xml:space="preserve">Vérifier la contribution de ces aires </w:t>
      </w:r>
      <w:r w:rsidR="002D6F03">
        <w:rPr>
          <w:rFonts w:cs="Times New Roman"/>
          <w:bCs w:val="0"/>
          <w:iCs/>
          <w:kern w:val="22"/>
          <w:lang w:val="fr-CA" w:eastAsia="ja-JP" w:bidi="th-TH"/>
        </w:rPr>
        <w:t xml:space="preserve">aux réalisation globales </w:t>
      </w:r>
      <w:r w:rsidRPr="00AF5B6D">
        <w:rPr>
          <w:rFonts w:cs="Times New Roman"/>
          <w:bCs w:val="0"/>
          <w:iCs/>
          <w:kern w:val="22"/>
          <w:lang w:val="fr-CA" w:eastAsia="ja-JP" w:bidi="th-TH"/>
        </w:rPr>
        <w:t xml:space="preserve">du réseau d’aires protégées du pays en ce qui </w:t>
      </w:r>
      <w:r w:rsidR="002D6F03">
        <w:rPr>
          <w:rFonts w:cs="Times New Roman"/>
          <w:bCs w:val="0"/>
          <w:iCs/>
          <w:kern w:val="22"/>
          <w:lang w:val="fr-CA" w:eastAsia="ja-JP" w:bidi="th-TH"/>
        </w:rPr>
        <w:t>a trait à l’état de la couverture et à</w:t>
      </w:r>
      <w:r w:rsidRPr="00AF5B6D">
        <w:rPr>
          <w:rFonts w:cs="Times New Roman"/>
          <w:bCs w:val="0"/>
          <w:iCs/>
          <w:kern w:val="22"/>
          <w:lang w:val="fr-CA" w:eastAsia="ja-JP" w:bidi="th-TH"/>
        </w:rPr>
        <w:t xml:space="preserve"> la conservation par la cartographie et autres moyens pertinents</w:t>
      </w:r>
      <w:r w:rsidR="00A25D8E" w:rsidRPr="00AF5B6D">
        <w:rPr>
          <w:rFonts w:cs="Times New Roman"/>
          <w:kern w:val="22"/>
          <w:lang w:val="fr-CA" w:eastAsia="ja-JP" w:bidi="th-TH"/>
        </w:rPr>
        <w:t>.</w:t>
      </w:r>
    </w:p>
    <w:p w:rsidR="00C914FA" w:rsidRPr="00AF5B6D" w:rsidRDefault="00C2619C" w:rsidP="007B3E88">
      <w:pPr>
        <w:pStyle w:val="Titre2"/>
        <w:suppressLineNumbers/>
        <w:pBdr>
          <w:top w:val="nil"/>
          <w:left w:val="nil"/>
          <w:bottom w:val="nil"/>
          <w:right w:val="nil"/>
          <w:between w:val="nil"/>
          <w:bar w:val="nil"/>
        </w:pBdr>
        <w:tabs>
          <w:tab w:val="clear" w:pos="720"/>
          <w:tab w:val="left" w:pos="450"/>
        </w:tabs>
        <w:suppressAutoHyphens/>
        <w:kinsoku w:val="0"/>
        <w:overflowPunct w:val="0"/>
        <w:autoSpaceDE w:val="0"/>
        <w:autoSpaceDN w:val="0"/>
        <w:rPr>
          <w:kern w:val="22"/>
          <w:szCs w:val="22"/>
          <w:lang w:val="fr-CA"/>
        </w:rPr>
      </w:pPr>
      <w:r w:rsidRPr="00AF5B6D">
        <w:rPr>
          <w:kern w:val="22"/>
          <w:szCs w:val="22"/>
          <w:lang w:val="fr-CA"/>
        </w:rPr>
        <w:t>B</w:t>
      </w:r>
      <w:r w:rsidR="001147EE" w:rsidRPr="00AF5B6D">
        <w:rPr>
          <w:kern w:val="22"/>
          <w:szCs w:val="22"/>
          <w:lang w:val="fr-CA"/>
        </w:rPr>
        <w:t>.</w:t>
      </w:r>
      <w:r w:rsidR="001147EE" w:rsidRPr="00AF5B6D">
        <w:rPr>
          <w:kern w:val="22"/>
          <w:szCs w:val="22"/>
          <w:lang w:val="fr-CA"/>
        </w:rPr>
        <w:tab/>
      </w:r>
      <w:r w:rsidR="001C7261" w:rsidRPr="00AF5B6D">
        <w:rPr>
          <w:kern w:val="22"/>
          <w:szCs w:val="22"/>
          <w:lang w:val="fr-CA"/>
        </w:rPr>
        <w:t>Orientations facultatives sur les modèles de gouvernance efficaces et équitables</w:t>
      </w:r>
    </w:p>
    <w:p w:rsidR="00E43D22" w:rsidRPr="00AF5B6D" w:rsidRDefault="001C7261" w:rsidP="007B3E88">
      <w:pPr>
        <w:pStyle w:val="Para1"/>
        <w:numPr>
          <w:ilvl w:val="0"/>
          <w:numId w:val="53"/>
        </w:numPr>
        <w:suppressLineNumbers/>
        <w:suppressAutoHyphens/>
        <w:kinsoku w:val="0"/>
        <w:overflowPunct w:val="0"/>
        <w:autoSpaceDE w:val="0"/>
        <w:autoSpaceDN w:val="0"/>
        <w:ind w:left="0" w:firstLine="0"/>
        <w:rPr>
          <w:kern w:val="22"/>
          <w:szCs w:val="22"/>
          <w:lang w:val="fr-CA" w:eastAsia="ja-JP" w:bidi="th-TH"/>
        </w:rPr>
      </w:pPr>
      <w:r w:rsidRPr="00AF5B6D">
        <w:rPr>
          <w:kern w:val="22"/>
          <w:szCs w:val="22"/>
          <w:lang w:val="fr-CA" w:eastAsia="ja-JP" w:bidi="th-TH"/>
        </w:rPr>
        <w:t>Les modèles de gouvernance efficac</w:t>
      </w:r>
      <w:r w:rsidR="00FC7E62" w:rsidRPr="00AF5B6D">
        <w:rPr>
          <w:kern w:val="22"/>
          <w:szCs w:val="22"/>
          <w:lang w:val="fr-CA" w:eastAsia="ja-JP" w:bidi="th-TH"/>
        </w:rPr>
        <w:t>es et équitables des aires proté</w:t>
      </w:r>
      <w:r w:rsidRPr="00AF5B6D">
        <w:rPr>
          <w:kern w:val="22"/>
          <w:szCs w:val="22"/>
          <w:lang w:val="fr-CA" w:eastAsia="ja-JP" w:bidi="th-TH"/>
        </w:rPr>
        <w:t>gées et conservées consist</w:t>
      </w:r>
      <w:r w:rsidR="00FC7E62" w:rsidRPr="00AF5B6D">
        <w:rPr>
          <w:kern w:val="22"/>
          <w:szCs w:val="22"/>
          <w:lang w:val="fr-CA" w:eastAsia="ja-JP" w:bidi="th-TH"/>
        </w:rPr>
        <w:t>ent en des arrangements concernant la prise de décisions dans lesquelles les principes de « bonne gouvernance » sont adoptés et appliqués</w:t>
      </w:r>
      <w:r w:rsidR="006D2EED">
        <w:rPr>
          <w:kern w:val="22"/>
          <w:szCs w:val="22"/>
          <w:lang w:val="fr-CA" w:eastAsia="ja-JP" w:bidi="th-TH"/>
        </w:rPr>
        <w:t>, et leur mise en œuvre</w:t>
      </w:r>
      <w:r w:rsidR="00FC7E62" w:rsidRPr="00AF5B6D">
        <w:rPr>
          <w:kern w:val="22"/>
          <w:szCs w:val="22"/>
          <w:lang w:val="fr-CA" w:eastAsia="ja-JP" w:bidi="th-TH"/>
        </w:rPr>
        <w:t xml:space="preserve">. Les principes de bonne gouvernance doivent être appliqués indépendamment du mode de gouvernance. Se fondant sur les principes de bonne gouvernance élaborés par les agences des Nations Unies et autres organisations, l’UICN propose des principes </w:t>
      </w:r>
      <w:r w:rsidR="006D2EED">
        <w:rPr>
          <w:kern w:val="22"/>
          <w:szCs w:val="22"/>
          <w:lang w:val="fr-CA" w:eastAsia="ja-JP" w:bidi="th-TH"/>
        </w:rPr>
        <w:t xml:space="preserve">et des facteurs </w:t>
      </w:r>
      <w:r w:rsidR="00FC7E62" w:rsidRPr="00AF5B6D">
        <w:rPr>
          <w:kern w:val="22"/>
          <w:szCs w:val="22"/>
          <w:lang w:val="fr-CA" w:eastAsia="ja-JP" w:bidi="th-TH"/>
        </w:rPr>
        <w:t>de go</w:t>
      </w:r>
      <w:r w:rsidR="00E05135" w:rsidRPr="00AF5B6D">
        <w:rPr>
          <w:kern w:val="22"/>
          <w:szCs w:val="22"/>
          <w:lang w:val="fr-CA" w:eastAsia="ja-JP" w:bidi="th-TH"/>
        </w:rPr>
        <w:t>u</w:t>
      </w:r>
      <w:r w:rsidR="00FC7E62" w:rsidRPr="00AF5B6D">
        <w:rPr>
          <w:kern w:val="22"/>
          <w:szCs w:val="22"/>
          <w:lang w:val="fr-CA" w:eastAsia="ja-JP" w:bidi="th-TH"/>
        </w:rPr>
        <w:t>vernance pour le contexte des aires protégées et conservées, en tant qu’orie</w:t>
      </w:r>
      <w:r w:rsidR="00E05135" w:rsidRPr="00AF5B6D">
        <w:rPr>
          <w:kern w:val="22"/>
          <w:szCs w:val="22"/>
          <w:lang w:val="fr-CA" w:eastAsia="ja-JP" w:bidi="th-TH"/>
        </w:rPr>
        <w:t>ntations pour les décisions à p</w:t>
      </w:r>
      <w:r w:rsidR="00FC7E62" w:rsidRPr="00AF5B6D">
        <w:rPr>
          <w:kern w:val="22"/>
          <w:szCs w:val="22"/>
          <w:lang w:val="fr-CA" w:eastAsia="ja-JP" w:bidi="th-TH"/>
        </w:rPr>
        <w:t>rendre et à mettre en œuvre</w:t>
      </w:r>
      <w:r w:rsidR="00E05135" w:rsidRPr="00AF5B6D">
        <w:rPr>
          <w:kern w:val="22"/>
          <w:szCs w:val="22"/>
          <w:lang w:val="fr-CA" w:eastAsia="ja-JP" w:bidi="th-TH"/>
        </w:rPr>
        <w:t xml:space="preserve"> </w:t>
      </w:r>
      <w:r w:rsidR="00FC7E62" w:rsidRPr="00AF5B6D">
        <w:rPr>
          <w:kern w:val="22"/>
          <w:szCs w:val="22"/>
          <w:lang w:val="fr-CA" w:eastAsia="ja-JP" w:bidi="th-TH"/>
        </w:rPr>
        <w:t xml:space="preserve">en toute légitimité, </w:t>
      </w:r>
      <w:r w:rsidR="00E05135" w:rsidRPr="00AF5B6D">
        <w:rPr>
          <w:kern w:val="22"/>
          <w:szCs w:val="22"/>
          <w:lang w:val="fr-CA" w:eastAsia="ja-JP" w:bidi="th-TH"/>
        </w:rPr>
        <w:t xml:space="preserve">et </w:t>
      </w:r>
      <w:r w:rsidR="00FC7E62" w:rsidRPr="00AF5B6D">
        <w:rPr>
          <w:kern w:val="22"/>
          <w:szCs w:val="22"/>
          <w:lang w:val="fr-CA" w:eastAsia="ja-JP" w:bidi="th-TH"/>
        </w:rPr>
        <w:t xml:space="preserve">de manière compétente, </w:t>
      </w:r>
      <w:r w:rsidR="00E05135" w:rsidRPr="00AF5B6D">
        <w:rPr>
          <w:kern w:val="22"/>
          <w:szCs w:val="22"/>
          <w:lang w:val="fr-CA" w:eastAsia="ja-JP" w:bidi="th-TH"/>
        </w:rPr>
        <w:t>intégrée et juste, avec un sentiment de vision et de responsabilité, tout en respectant les droits</w:t>
      </w:r>
      <w:r w:rsidR="00C914FA" w:rsidRPr="00AF5B6D">
        <w:rPr>
          <w:kern w:val="22"/>
          <w:szCs w:val="22"/>
          <w:lang w:val="fr-CA" w:eastAsia="ja-JP" w:bidi="th-TH"/>
        </w:rPr>
        <w:t>.</w:t>
      </w:r>
      <w:r w:rsidR="00C914FA" w:rsidRPr="00AF5B6D">
        <w:rPr>
          <w:szCs w:val="22"/>
          <w:vertAlign w:val="superscript"/>
          <w:lang w:val="fr-CA"/>
        </w:rPr>
        <w:footnoteReference w:id="32"/>
      </w:r>
    </w:p>
    <w:p w:rsidR="00AB5C14" w:rsidRPr="00AF5B6D" w:rsidRDefault="00E05135" w:rsidP="007B3E88">
      <w:pPr>
        <w:pStyle w:val="Para1"/>
        <w:numPr>
          <w:ilvl w:val="0"/>
          <w:numId w:val="53"/>
        </w:numPr>
        <w:suppressLineNumbers/>
        <w:suppressAutoHyphens/>
        <w:kinsoku w:val="0"/>
        <w:overflowPunct w:val="0"/>
        <w:autoSpaceDE w:val="0"/>
        <w:autoSpaceDN w:val="0"/>
        <w:ind w:left="0" w:firstLine="0"/>
        <w:rPr>
          <w:kern w:val="22"/>
          <w:szCs w:val="22"/>
          <w:lang w:val="fr-CA" w:eastAsia="ja-JP" w:bidi="th-TH"/>
        </w:rPr>
      </w:pPr>
      <w:r w:rsidRPr="00AF5B6D">
        <w:rPr>
          <w:kern w:val="22"/>
          <w:szCs w:val="22"/>
          <w:lang w:val="fr-CA" w:eastAsia="ja-JP" w:bidi="th-TH"/>
        </w:rPr>
        <w:t xml:space="preserve">Le concept de l’équité est un </w:t>
      </w:r>
      <w:r w:rsidR="006D2EED">
        <w:rPr>
          <w:kern w:val="22"/>
          <w:szCs w:val="22"/>
          <w:lang w:val="fr-CA" w:eastAsia="ja-JP" w:bidi="th-TH"/>
        </w:rPr>
        <w:t>élément de la bonne gouvernance</w:t>
      </w:r>
      <w:r w:rsidRPr="00AF5B6D">
        <w:rPr>
          <w:kern w:val="22"/>
          <w:szCs w:val="22"/>
          <w:lang w:val="fr-CA" w:eastAsia="ja-JP" w:bidi="th-TH"/>
        </w:rPr>
        <w:t>. L’équité peut être répartie en trois dimensions : reconnaissa</w:t>
      </w:r>
      <w:r w:rsidR="006D2EED">
        <w:rPr>
          <w:kern w:val="22"/>
          <w:szCs w:val="22"/>
          <w:lang w:val="fr-CA" w:eastAsia="ja-JP" w:bidi="th-TH"/>
        </w:rPr>
        <w:t>nce, procédure et distribution. L</w:t>
      </w:r>
      <w:r w:rsidRPr="00AF5B6D">
        <w:rPr>
          <w:kern w:val="22"/>
          <w:szCs w:val="22"/>
          <w:lang w:val="fr-CA" w:eastAsia="ja-JP" w:bidi="th-TH"/>
        </w:rPr>
        <w:t>a « reconnaissance » est la reconnaissance et le respect des droits</w:t>
      </w:r>
      <w:r w:rsidR="002063EF" w:rsidRPr="00AF5B6D">
        <w:rPr>
          <w:kern w:val="22"/>
          <w:szCs w:val="22"/>
          <w:lang w:val="fr-CA" w:eastAsia="ja-JP" w:bidi="th-TH"/>
        </w:rPr>
        <w:t xml:space="preserve"> et de la diversité des identités, des valeurs, des systèmes </w:t>
      </w:r>
      <w:r w:rsidR="00CA6CB3">
        <w:rPr>
          <w:kern w:val="22"/>
          <w:szCs w:val="22"/>
          <w:lang w:val="fr-CA" w:eastAsia="ja-JP" w:bidi="th-TH"/>
        </w:rPr>
        <w:t>d</w:t>
      </w:r>
      <w:r w:rsidR="002063EF" w:rsidRPr="00AF5B6D">
        <w:rPr>
          <w:kern w:val="22"/>
          <w:szCs w:val="22"/>
          <w:lang w:val="fr-CA" w:eastAsia="ja-JP" w:bidi="th-TH"/>
        </w:rPr>
        <w:t>e connaissance</w:t>
      </w:r>
      <w:r w:rsidR="00CA6CB3">
        <w:rPr>
          <w:kern w:val="22"/>
          <w:szCs w:val="22"/>
          <w:lang w:val="fr-CA" w:eastAsia="ja-JP" w:bidi="th-TH"/>
        </w:rPr>
        <w:t>s</w:t>
      </w:r>
      <w:r w:rsidR="002063EF" w:rsidRPr="00AF5B6D">
        <w:rPr>
          <w:kern w:val="22"/>
          <w:szCs w:val="22"/>
          <w:lang w:val="fr-CA" w:eastAsia="ja-JP" w:bidi="th-TH"/>
        </w:rPr>
        <w:t xml:space="preserve"> et des institutions de </w:t>
      </w:r>
      <w:r w:rsidR="00CA6CB3">
        <w:rPr>
          <w:kern w:val="22"/>
          <w:szCs w:val="22"/>
          <w:lang w:val="fr-CA" w:eastAsia="ja-JP" w:bidi="th-TH"/>
        </w:rPr>
        <w:t>détenteurs</w:t>
      </w:r>
      <w:r w:rsidR="002063EF" w:rsidRPr="00AF5B6D">
        <w:rPr>
          <w:kern w:val="22"/>
          <w:szCs w:val="22"/>
          <w:lang w:val="fr-CA" w:eastAsia="ja-JP" w:bidi="th-TH"/>
        </w:rPr>
        <w:t xml:space="preserve"> des droits</w:t>
      </w:r>
      <w:r w:rsidR="002063EF" w:rsidRPr="00AF5B6D">
        <w:rPr>
          <w:rStyle w:val="Appelnotedebasdep"/>
          <w:kern w:val="22"/>
          <w:sz w:val="22"/>
          <w:szCs w:val="22"/>
          <w:u w:val="none"/>
          <w:vertAlign w:val="superscript"/>
          <w:lang w:val="fr-CA" w:eastAsia="ja-JP" w:bidi="th-TH"/>
        </w:rPr>
        <w:footnoteReference w:id="33"/>
      </w:r>
      <w:r w:rsidR="002063EF" w:rsidRPr="00AF5B6D">
        <w:rPr>
          <w:kern w:val="22"/>
          <w:szCs w:val="22"/>
          <w:lang w:val="fr-CA" w:eastAsia="ja-JP" w:bidi="th-TH"/>
        </w:rPr>
        <w:t xml:space="preserve"> et des parties prenantes. La « procédure » fait référence </w:t>
      </w:r>
      <w:r w:rsidR="00CA6CB3">
        <w:rPr>
          <w:kern w:val="22"/>
          <w:szCs w:val="22"/>
          <w:lang w:val="fr-CA" w:eastAsia="ja-JP" w:bidi="th-TH"/>
        </w:rPr>
        <w:t>au caractère intégré</w:t>
      </w:r>
      <w:r w:rsidR="002063EF" w:rsidRPr="00AF5B6D">
        <w:rPr>
          <w:kern w:val="22"/>
          <w:szCs w:val="22"/>
          <w:lang w:val="fr-CA" w:eastAsia="ja-JP" w:bidi="th-TH"/>
        </w:rPr>
        <w:t xml:space="preserve"> de l’établissement des r</w:t>
      </w:r>
      <w:r w:rsidR="00A1661E" w:rsidRPr="00AF5B6D">
        <w:rPr>
          <w:kern w:val="22"/>
          <w:szCs w:val="22"/>
          <w:lang w:val="fr-CA" w:eastAsia="ja-JP" w:bidi="th-TH"/>
        </w:rPr>
        <w:t>ègles et de la prise de déci</w:t>
      </w:r>
      <w:r w:rsidR="002063EF" w:rsidRPr="00AF5B6D">
        <w:rPr>
          <w:kern w:val="22"/>
          <w:szCs w:val="22"/>
          <w:lang w:val="fr-CA" w:eastAsia="ja-JP" w:bidi="th-TH"/>
        </w:rPr>
        <w:t>sions, et</w:t>
      </w:r>
      <w:r w:rsidR="00A1661E" w:rsidRPr="00AF5B6D">
        <w:rPr>
          <w:kern w:val="22"/>
          <w:szCs w:val="22"/>
          <w:lang w:val="fr-CA" w:eastAsia="ja-JP" w:bidi="th-TH"/>
        </w:rPr>
        <w:t xml:space="preserve"> </w:t>
      </w:r>
      <w:r w:rsidR="002063EF" w:rsidRPr="00AF5B6D">
        <w:rPr>
          <w:kern w:val="22"/>
          <w:szCs w:val="22"/>
          <w:lang w:val="fr-CA" w:eastAsia="ja-JP" w:bidi="th-TH"/>
        </w:rPr>
        <w:t xml:space="preserve">la « distribution » </w:t>
      </w:r>
      <w:r w:rsidR="00A1661E" w:rsidRPr="00AF5B6D">
        <w:rPr>
          <w:kern w:val="22"/>
          <w:szCs w:val="22"/>
          <w:lang w:val="fr-CA" w:eastAsia="ja-JP" w:bidi="th-TH"/>
        </w:rPr>
        <w:t>signifie que les co</w:t>
      </w:r>
      <w:r w:rsidR="002063EF" w:rsidRPr="00AF5B6D">
        <w:rPr>
          <w:kern w:val="22"/>
          <w:szCs w:val="22"/>
          <w:lang w:val="fr-CA" w:eastAsia="ja-JP" w:bidi="th-TH"/>
        </w:rPr>
        <w:t xml:space="preserve">ûts et les bienfaits associés à la gestion des aires protégées doivent être </w:t>
      </w:r>
      <w:r w:rsidR="00CA6CB3">
        <w:rPr>
          <w:kern w:val="22"/>
          <w:szCs w:val="22"/>
          <w:lang w:val="fr-CA" w:eastAsia="ja-JP" w:bidi="th-TH"/>
        </w:rPr>
        <w:t>répartis</w:t>
      </w:r>
      <w:r w:rsidR="002063EF" w:rsidRPr="00AF5B6D">
        <w:rPr>
          <w:kern w:val="22"/>
          <w:szCs w:val="22"/>
          <w:lang w:val="fr-CA" w:eastAsia="ja-JP" w:bidi="th-TH"/>
        </w:rPr>
        <w:t xml:space="preserve"> équitablement </w:t>
      </w:r>
      <w:r w:rsidR="00CA6CB3">
        <w:rPr>
          <w:kern w:val="22"/>
          <w:szCs w:val="22"/>
          <w:lang w:val="fr-CA" w:eastAsia="ja-JP" w:bidi="th-TH"/>
        </w:rPr>
        <w:t>entre</w:t>
      </w:r>
      <w:r w:rsidR="002063EF" w:rsidRPr="00AF5B6D">
        <w:rPr>
          <w:kern w:val="22"/>
          <w:szCs w:val="22"/>
          <w:lang w:val="fr-CA" w:eastAsia="ja-JP" w:bidi="th-TH"/>
        </w:rPr>
        <w:t xml:space="preserve"> les différents acteurs. La figure ci-dessous montre les trois dimensions. Un </w:t>
      </w:r>
      <w:r w:rsidR="00A1661E" w:rsidRPr="00AF5B6D">
        <w:rPr>
          <w:kern w:val="22"/>
          <w:szCs w:val="22"/>
          <w:lang w:val="fr-CA" w:eastAsia="ja-JP" w:bidi="th-TH"/>
        </w:rPr>
        <w:t>récent cadre de travail pour l’avancement de l’équité dans le contexte des aires protégées</w:t>
      </w:r>
      <w:r w:rsidRPr="00AF5B6D">
        <w:rPr>
          <w:kern w:val="22"/>
          <w:szCs w:val="22"/>
          <w:lang w:val="fr-CA" w:eastAsia="ja-JP" w:bidi="th-TH"/>
        </w:rPr>
        <w:t xml:space="preserve"> </w:t>
      </w:r>
      <w:r w:rsidR="00C914FA" w:rsidRPr="00AF5B6D">
        <w:rPr>
          <w:rStyle w:val="Appelnotedebasdep"/>
          <w:rFonts w:eastAsia="Batang"/>
          <w:iCs/>
          <w:kern w:val="22"/>
          <w:sz w:val="22"/>
          <w:szCs w:val="22"/>
          <w:u w:val="none"/>
          <w:vertAlign w:val="superscript"/>
          <w:lang w:val="fr-CA" w:eastAsia="ja-JP" w:bidi="th-TH"/>
        </w:rPr>
        <w:footnoteReference w:id="34"/>
      </w:r>
      <w:r w:rsidR="00D46031" w:rsidRPr="00AF5B6D">
        <w:rPr>
          <w:kern w:val="22"/>
          <w:szCs w:val="22"/>
          <w:vertAlign w:val="superscript"/>
          <w:lang w:val="fr-CA" w:eastAsia="ja-JP" w:bidi="th-TH"/>
        </w:rPr>
        <w:t>,</w:t>
      </w:r>
      <w:r w:rsidR="00D46031" w:rsidRPr="00AF5B6D">
        <w:rPr>
          <w:rStyle w:val="Appelnotedebasdep"/>
          <w:rFonts w:eastAsia="Batang"/>
          <w:iCs/>
          <w:kern w:val="22"/>
          <w:sz w:val="22"/>
          <w:szCs w:val="22"/>
          <w:u w:val="none"/>
          <w:vertAlign w:val="superscript"/>
          <w:lang w:val="fr-CA" w:eastAsia="ja-JP" w:bidi="th-TH"/>
        </w:rPr>
        <w:footnoteReference w:id="35"/>
      </w:r>
      <w:r w:rsidR="00C46475" w:rsidRPr="00AF5B6D">
        <w:rPr>
          <w:kern w:val="22"/>
          <w:szCs w:val="22"/>
          <w:lang w:val="fr-CA" w:eastAsia="ja-JP" w:bidi="th-TH"/>
        </w:rPr>
        <w:t xml:space="preserve"> </w:t>
      </w:r>
      <w:r w:rsidR="00A1661E" w:rsidRPr="00AF5B6D">
        <w:rPr>
          <w:kern w:val="22"/>
          <w:szCs w:val="22"/>
          <w:lang w:val="fr-CA" w:eastAsia="ja-JP" w:bidi="th-TH"/>
        </w:rPr>
        <w:t>propose une série de principes par rapport auxquels évaluer les trois dimensions</w:t>
      </w:r>
      <w:r w:rsidR="00C914FA" w:rsidRPr="00AF5B6D">
        <w:rPr>
          <w:kern w:val="22"/>
          <w:szCs w:val="22"/>
          <w:lang w:val="fr-CA" w:eastAsia="ja-JP" w:bidi="th-TH"/>
        </w:rPr>
        <w:t>.</w:t>
      </w:r>
    </w:p>
    <w:p w:rsidR="00D92063" w:rsidRPr="00AF5B6D" w:rsidRDefault="00D92063" w:rsidP="007B3E88">
      <w:pPr>
        <w:pStyle w:val="Para1"/>
        <w:keepNext/>
        <w:keepLines/>
        <w:numPr>
          <w:ilvl w:val="0"/>
          <w:numId w:val="0"/>
        </w:numPr>
        <w:suppressLineNumbers/>
        <w:suppressAutoHyphens/>
        <w:kinsoku w:val="0"/>
        <w:overflowPunct w:val="0"/>
        <w:autoSpaceDE w:val="0"/>
        <w:autoSpaceDN w:val="0"/>
        <w:jc w:val="left"/>
        <w:rPr>
          <w:b/>
          <w:bCs/>
          <w:kern w:val="22"/>
          <w:szCs w:val="22"/>
          <w:lang w:val="fr-CA" w:eastAsia="ja-JP" w:bidi="th-TH"/>
        </w:rPr>
      </w:pPr>
      <w:r w:rsidRPr="00AF5B6D">
        <w:rPr>
          <w:b/>
          <w:bCs/>
          <w:kern w:val="22"/>
          <w:szCs w:val="22"/>
          <w:lang w:val="fr-CA"/>
        </w:rPr>
        <w:lastRenderedPageBreak/>
        <w:t xml:space="preserve">Figure. </w:t>
      </w:r>
      <w:r w:rsidR="00A1661E" w:rsidRPr="00AF5B6D">
        <w:rPr>
          <w:b/>
          <w:bCs/>
          <w:kern w:val="22"/>
          <w:szCs w:val="22"/>
          <w:lang w:val="fr-CA"/>
        </w:rPr>
        <w:t>Les trois dimensions de l’équité ench</w:t>
      </w:r>
      <w:r w:rsidR="00500322" w:rsidRPr="00AF5B6D">
        <w:rPr>
          <w:b/>
          <w:bCs/>
          <w:kern w:val="22"/>
          <w:szCs w:val="22"/>
          <w:lang w:val="fr-CA"/>
        </w:rPr>
        <w:t>âssé</w:t>
      </w:r>
      <w:r w:rsidR="00A1661E" w:rsidRPr="00AF5B6D">
        <w:rPr>
          <w:b/>
          <w:bCs/>
          <w:kern w:val="22"/>
          <w:szCs w:val="22"/>
          <w:lang w:val="fr-CA"/>
        </w:rPr>
        <w:t>es dans une série de conditions habilitantes</w:t>
      </w:r>
    </w:p>
    <w:p w:rsidR="00AB5C14" w:rsidRPr="00AF5B6D" w:rsidRDefault="00AB5C14" w:rsidP="007B3E88">
      <w:pPr>
        <w:pStyle w:val="Para10"/>
        <w:keepLines/>
        <w:suppressLineNumbers/>
        <w:suppressAutoHyphens/>
        <w:kinsoku w:val="0"/>
        <w:overflowPunct w:val="0"/>
        <w:autoSpaceDE w:val="0"/>
        <w:autoSpaceDN w:val="0"/>
        <w:ind w:left="2160"/>
        <w:rPr>
          <w:rFonts w:cs="Times New Roman"/>
          <w:kern w:val="22"/>
          <w:lang w:val="fr-CA" w:eastAsia="ja-JP" w:bidi="th-TH"/>
        </w:rPr>
      </w:pPr>
      <w:r w:rsidRPr="00AF5B6D">
        <w:rPr>
          <w:rFonts w:cs="Times New Roman"/>
          <w:noProof/>
          <w:kern w:val="22"/>
          <w:lang w:val="fr-CA" w:eastAsia="fr-CA"/>
        </w:rPr>
        <w:drawing>
          <wp:inline distT="0" distB="0" distL="0" distR="0" wp14:anchorId="3FF6DB12" wp14:editId="7C3F1348">
            <wp:extent cx="2571750" cy="2049624"/>
            <wp:effectExtent l="0" t="0" r="0" b="8255"/>
            <wp:docPr id="3" name="Picture 3" descr="cid:image002.png@01D3C061.9532E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3C061.9532EE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71750" cy="2049624"/>
                    </a:xfrm>
                    <a:prstGeom prst="rect">
                      <a:avLst/>
                    </a:prstGeom>
                    <a:noFill/>
                    <a:ln>
                      <a:noFill/>
                    </a:ln>
                  </pic:spPr>
                </pic:pic>
              </a:graphicData>
            </a:graphic>
          </wp:inline>
        </w:drawing>
      </w:r>
    </w:p>
    <w:p w:rsidR="00AB5C14" w:rsidRPr="00AF5B6D" w:rsidRDefault="00D92063" w:rsidP="007B3E88">
      <w:pPr>
        <w:pStyle w:val="Default"/>
        <w:keepLines/>
        <w:suppressLineNumbers/>
        <w:suppressAutoHyphens/>
        <w:kinsoku w:val="0"/>
        <w:overflowPunct w:val="0"/>
        <w:rPr>
          <w:rFonts w:ascii="Times New Roman" w:hAnsi="Times New Roman"/>
          <w:bCs/>
          <w:kern w:val="22"/>
          <w:sz w:val="20"/>
          <w:szCs w:val="20"/>
          <w:lang w:val="fr-CA"/>
        </w:rPr>
      </w:pPr>
      <w:r w:rsidRPr="00AF5B6D">
        <w:rPr>
          <w:rFonts w:ascii="Times New Roman" w:hAnsi="Times New Roman"/>
          <w:bCs/>
          <w:i/>
          <w:iCs/>
          <w:kern w:val="22"/>
          <w:sz w:val="20"/>
          <w:szCs w:val="20"/>
          <w:lang w:val="fr-CA"/>
        </w:rPr>
        <w:t>Source</w:t>
      </w:r>
      <w:r w:rsidR="00A1661E" w:rsidRPr="00AF5B6D">
        <w:rPr>
          <w:rFonts w:ascii="Times New Roman" w:hAnsi="Times New Roman"/>
          <w:bCs/>
          <w:i/>
          <w:iCs/>
          <w:kern w:val="22"/>
          <w:sz w:val="20"/>
          <w:szCs w:val="20"/>
          <w:lang w:val="fr-CA"/>
        </w:rPr>
        <w:t xml:space="preserve"> </w:t>
      </w:r>
      <w:r w:rsidRPr="00AF5B6D">
        <w:rPr>
          <w:rFonts w:ascii="Times New Roman" w:hAnsi="Times New Roman"/>
          <w:bCs/>
          <w:kern w:val="22"/>
          <w:sz w:val="20"/>
          <w:szCs w:val="20"/>
          <w:lang w:val="fr-CA"/>
        </w:rPr>
        <w:t xml:space="preserve">: </w:t>
      </w:r>
      <w:r w:rsidR="00A1661E" w:rsidRPr="00AF5B6D">
        <w:rPr>
          <w:rFonts w:ascii="Times New Roman" w:hAnsi="Times New Roman"/>
          <w:bCs/>
          <w:kern w:val="22"/>
          <w:sz w:val="20"/>
          <w:szCs w:val="20"/>
          <w:lang w:val="fr-CA"/>
        </w:rPr>
        <w:t>Adapté de</w:t>
      </w:r>
      <w:r w:rsidR="00AB5C14" w:rsidRPr="00AF5B6D">
        <w:rPr>
          <w:rFonts w:ascii="Times New Roman" w:hAnsi="Times New Roman"/>
          <w:bCs/>
          <w:kern w:val="22"/>
          <w:sz w:val="20"/>
          <w:szCs w:val="20"/>
          <w:lang w:val="fr-CA"/>
        </w:rPr>
        <w:t xml:space="preserve"> McDermott et al. </w:t>
      </w:r>
      <w:r w:rsidR="00AB5C14" w:rsidRPr="00A41637">
        <w:rPr>
          <w:rFonts w:ascii="Times New Roman" w:hAnsi="Times New Roman"/>
          <w:bCs/>
          <w:kern w:val="22"/>
          <w:sz w:val="20"/>
          <w:szCs w:val="20"/>
          <w:lang w:val="en-US"/>
        </w:rPr>
        <w:t>(2013)</w:t>
      </w:r>
      <w:r w:rsidR="00DD5F47" w:rsidRPr="00A41637">
        <w:rPr>
          <w:rFonts w:ascii="Times New Roman" w:hAnsi="Times New Roman"/>
          <w:bCs/>
          <w:kern w:val="22"/>
          <w:sz w:val="20"/>
          <w:szCs w:val="20"/>
          <w:lang w:val="en-US"/>
        </w:rPr>
        <w:t>.</w:t>
      </w:r>
      <w:r w:rsidRPr="00A41637">
        <w:rPr>
          <w:rFonts w:ascii="Times New Roman" w:eastAsia="Times New Roman" w:hAnsi="Times New Roman"/>
          <w:i/>
          <w:snapToGrid w:val="0"/>
          <w:color w:val="auto"/>
          <w:kern w:val="18"/>
          <w:sz w:val="20"/>
          <w:szCs w:val="20"/>
          <w:lang w:val="en-US"/>
        </w:rPr>
        <w:t xml:space="preserve"> </w:t>
      </w:r>
      <w:r w:rsidRPr="00A41637">
        <w:rPr>
          <w:rFonts w:ascii="Times New Roman" w:hAnsi="Times New Roman"/>
          <w:bCs/>
          <w:iCs/>
          <w:kern w:val="22"/>
          <w:sz w:val="20"/>
          <w:szCs w:val="20"/>
          <w:lang w:val="en-US"/>
        </w:rPr>
        <w:t>Examining equity: A multidimensional framework for assessing equity in payments for ecosystem service</w:t>
      </w:r>
      <w:r w:rsidRPr="00A41637">
        <w:rPr>
          <w:rFonts w:ascii="Times New Roman" w:hAnsi="Times New Roman"/>
          <w:bCs/>
          <w:i/>
          <w:kern w:val="22"/>
          <w:sz w:val="20"/>
          <w:szCs w:val="20"/>
          <w:lang w:val="en-US"/>
        </w:rPr>
        <w:t xml:space="preserve">.  </w:t>
      </w:r>
      <w:r w:rsidRPr="00A41637">
        <w:rPr>
          <w:rFonts w:ascii="Times New Roman" w:hAnsi="Times New Roman"/>
          <w:bCs/>
          <w:i/>
          <w:iCs/>
          <w:kern w:val="22"/>
          <w:sz w:val="20"/>
          <w:szCs w:val="20"/>
          <w:lang w:val="en-US"/>
        </w:rPr>
        <w:t>Environmental Science and Policy</w:t>
      </w:r>
      <w:r w:rsidRPr="00A41637">
        <w:rPr>
          <w:rFonts w:ascii="Times New Roman" w:hAnsi="Times New Roman"/>
          <w:bCs/>
          <w:kern w:val="22"/>
          <w:sz w:val="20"/>
          <w:szCs w:val="20"/>
          <w:lang w:val="en-US"/>
        </w:rPr>
        <w:t xml:space="preserve"> 33: 416-427</w:t>
      </w:r>
      <w:r w:rsidR="00AB5C14" w:rsidRPr="00A41637">
        <w:rPr>
          <w:rFonts w:ascii="Times New Roman" w:hAnsi="Times New Roman"/>
          <w:bCs/>
          <w:kern w:val="22"/>
          <w:sz w:val="20"/>
          <w:szCs w:val="20"/>
          <w:vertAlign w:val="superscript"/>
          <w:lang w:val="en-US"/>
        </w:rPr>
        <w:t xml:space="preserve"> </w:t>
      </w:r>
      <w:r w:rsidR="00A1661E" w:rsidRPr="00A41637">
        <w:rPr>
          <w:rFonts w:ascii="Times New Roman" w:hAnsi="Times New Roman"/>
          <w:bCs/>
          <w:kern w:val="22"/>
          <w:sz w:val="20"/>
          <w:szCs w:val="20"/>
          <w:lang w:val="en-US"/>
        </w:rPr>
        <w:t>et</w:t>
      </w:r>
      <w:r w:rsidR="00AB5C14" w:rsidRPr="00A41637">
        <w:rPr>
          <w:rFonts w:ascii="Times New Roman" w:hAnsi="Times New Roman"/>
          <w:bCs/>
          <w:kern w:val="22"/>
          <w:sz w:val="20"/>
          <w:szCs w:val="20"/>
          <w:lang w:val="en-US"/>
        </w:rPr>
        <w:t xml:space="preserve"> </w:t>
      </w:r>
      <w:proofErr w:type="spellStart"/>
      <w:r w:rsidR="00AB5C14" w:rsidRPr="00A41637">
        <w:rPr>
          <w:rFonts w:ascii="Times New Roman" w:hAnsi="Times New Roman"/>
          <w:bCs/>
          <w:kern w:val="22"/>
          <w:sz w:val="20"/>
          <w:szCs w:val="20"/>
          <w:lang w:val="en-US"/>
        </w:rPr>
        <w:t>Pascual</w:t>
      </w:r>
      <w:proofErr w:type="spellEnd"/>
      <w:r w:rsidR="00AB5C14" w:rsidRPr="00A41637">
        <w:rPr>
          <w:rFonts w:ascii="Times New Roman" w:hAnsi="Times New Roman"/>
          <w:bCs/>
          <w:kern w:val="22"/>
          <w:sz w:val="20"/>
          <w:szCs w:val="20"/>
          <w:lang w:val="en-US"/>
        </w:rPr>
        <w:t xml:space="preserve"> et al. (2014)</w:t>
      </w:r>
      <w:r w:rsidR="00A74169" w:rsidRPr="00A41637">
        <w:rPr>
          <w:rFonts w:ascii="Times New Roman" w:hAnsi="Times New Roman"/>
          <w:bCs/>
          <w:kern w:val="22"/>
          <w:sz w:val="20"/>
          <w:szCs w:val="20"/>
          <w:lang w:val="en-US"/>
        </w:rPr>
        <w:t>.</w:t>
      </w:r>
      <w:r w:rsidR="00A74169" w:rsidRPr="00A41637">
        <w:rPr>
          <w:rFonts w:ascii="Times New Roman" w:hAnsi="Times New Roman"/>
          <w:sz w:val="20"/>
          <w:szCs w:val="20"/>
          <w:lang w:val="en-US"/>
        </w:rPr>
        <w:t xml:space="preserve"> </w:t>
      </w:r>
      <w:r w:rsidR="00A74169" w:rsidRPr="00A41637">
        <w:rPr>
          <w:rFonts w:ascii="Times New Roman" w:hAnsi="Times New Roman"/>
          <w:bCs/>
          <w:kern w:val="22"/>
          <w:sz w:val="20"/>
          <w:szCs w:val="20"/>
          <w:lang w:val="en-US"/>
        </w:rPr>
        <w:t xml:space="preserve">Social equity matters in payments for ecosystem services. </w:t>
      </w:r>
      <w:proofErr w:type="spellStart"/>
      <w:r w:rsidR="00A74169" w:rsidRPr="00AF5B6D">
        <w:rPr>
          <w:rFonts w:ascii="Times New Roman" w:hAnsi="Times New Roman"/>
          <w:bCs/>
          <w:i/>
          <w:iCs/>
          <w:kern w:val="22"/>
          <w:sz w:val="20"/>
          <w:szCs w:val="20"/>
          <w:lang w:val="fr-CA"/>
        </w:rPr>
        <w:t>Bioscience</w:t>
      </w:r>
      <w:proofErr w:type="spellEnd"/>
      <w:r w:rsidR="00A74169" w:rsidRPr="00AF5B6D">
        <w:rPr>
          <w:rFonts w:ascii="Times New Roman" w:hAnsi="Times New Roman"/>
          <w:bCs/>
          <w:kern w:val="22"/>
          <w:sz w:val="20"/>
          <w:szCs w:val="20"/>
          <w:lang w:val="fr-CA"/>
        </w:rPr>
        <w:t xml:space="preserve"> 64(11) 1027-1036</w:t>
      </w:r>
      <w:r w:rsidRPr="00AF5B6D">
        <w:rPr>
          <w:rFonts w:ascii="Times New Roman" w:hAnsi="Times New Roman"/>
          <w:bCs/>
          <w:kern w:val="22"/>
          <w:sz w:val="20"/>
          <w:szCs w:val="20"/>
          <w:lang w:val="fr-CA"/>
        </w:rPr>
        <w:t>.</w:t>
      </w:r>
    </w:p>
    <w:p w:rsidR="00D76DC5" w:rsidRPr="00AF5B6D" w:rsidRDefault="00A1661E" w:rsidP="007B3E88">
      <w:pPr>
        <w:pStyle w:val="Para1"/>
        <w:numPr>
          <w:ilvl w:val="0"/>
          <w:numId w:val="53"/>
        </w:numPr>
        <w:suppressLineNumbers/>
        <w:suppressAutoHyphens/>
        <w:kinsoku w:val="0"/>
        <w:overflowPunct w:val="0"/>
        <w:autoSpaceDE w:val="0"/>
        <w:autoSpaceDN w:val="0"/>
        <w:ind w:left="0" w:firstLine="0"/>
        <w:rPr>
          <w:kern w:val="22"/>
          <w:szCs w:val="22"/>
          <w:lang w:val="fr-CA" w:eastAsia="ja-JP" w:bidi="th-TH"/>
        </w:rPr>
      </w:pPr>
      <w:r w:rsidRPr="00AF5B6D">
        <w:rPr>
          <w:kern w:val="22"/>
          <w:szCs w:val="22"/>
          <w:lang w:val="fr-CA" w:eastAsia="ja-JP" w:bidi="th-TH"/>
        </w:rPr>
        <w:t>La bonne gouvernance signifie que les impact nég</w:t>
      </w:r>
      <w:r w:rsidR="00602593" w:rsidRPr="00AF5B6D">
        <w:rPr>
          <w:kern w:val="22"/>
          <w:szCs w:val="22"/>
          <w:lang w:val="fr-CA" w:eastAsia="ja-JP" w:bidi="th-TH"/>
        </w:rPr>
        <w:t>atifs possibles, surtout sur le bien-être humain des peuples vulnérable</w:t>
      </w:r>
      <w:r w:rsidR="009C2270">
        <w:rPr>
          <w:kern w:val="22"/>
          <w:szCs w:val="22"/>
          <w:lang w:val="fr-CA" w:eastAsia="ja-JP" w:bidi="th-TH"/>
        </w:rPr>
        <w:t>s</w:t>
      </w:r>
      <w:r w:rsidR="00602593" w:rsidRPr="00AF5B6D">
        <w:rPr>
          <w:kern w:val="22"/>
          <w:szCs w:val="22"/>
          <w:lang w:val="fr-CA" w:eastAsia="ja-JP" w:bidi="th-TH"/>
        </w:rPr>
        <w:t xml:space="preserve"> dépendant des ressources natur</w:t>
      </w:r>
      <w:r w:rsidR="00500322" w:rsidRPr="00AF5B6D">
        <w:rPr>
          <w:kern w:val="22"/>
          <w:szCs w:val="22"/>
          <w:lang w:val="fr-CA" w:eastAsia="ja-JP" w:bidi="th-TH"/>
        </w:rPr>
        <w:t xml:space="preserve">elles, sont évalués, suivis et </w:t>
      </w:r>
      <w:r w:rsidR="00602593" w:rsidRPr="00AF5B6D">
        <w:rPr>
          <w:kern w:val="22"/>
          <w:szCs w:val="22"/>
          <w:lang w:val="fr-CA" w:eastAsia="ja-JP" w:bidi="th-TH"/>
        </w:rPr>
        <w:t>évités ou atténués, et que les impact</w:t>
      </w:r>
      <w:r w:rsidR="009C2270">
        <w:rPr>
          <w:kern w:val="22"/>
          <w:szCs w:val="22"/>
          <w:lang w:val="fr-CA" w:eastAsia="ja-JP" w:bidi="th-TH"/>
        </w:rPr>
        <w:t>s</w:t>
      </w:r>
      <w:r w:rsidR="00602593" w:rsidRPr="00AF5B6D">
        <w:rPr>
          <w:kern w:val="22"/>
          <w:szCs w:val="22"/>
          <w:lang w:val="fr-CA" w:eastAsia="ja-JP" w:bidi="th-TH"/>
        </w:rPr>
        <w:t xml:space="preserve"> positifs sont améliorés. Le mode de gouvernance et les dispositions pour la prise de décisions et l’application des décisions doi</w:t>
      </w:r>
      <w:r w:rsidR="009C2270">
        <w:rPr>
          <w:kern w:val="22"/>
          <w:szCs w:val="22"/>
          <w:lang w:val="fr-CA" w:eastAsia="ja-JP" w:bidi="th-TH"/>
        </w:rPr>
        <w:t>ven</w:t>
      </w:r>
      <w:r w:rsidR="00602593" w:rsidRPr="00AF5B6D">
        <w:rPr>
          <w:kern w:val="22"/>
          <w:szCs w:val="22"/>
          <w:lang w:val="fr-CA" w:eastAsia="ja-JP" w:bidi="th-TH"/>
        </w:rPr>
        <w:t>t être adapté</w:t>
      </w:r>
      <w:r w:rsidR="009C2270">
        <w:rPr>
          <w:kern w:val="22"/>
          <w:szCs w:val="22"/>
          <w:lang w:val="fr-CA" w:eastAsia="ja-JP" w:bidi="th-TH"/>
        </w:rPr>
        <w:t>s</w:t>
      </w:r>
      <w:r w:rsidR="00602593" w:rsidRPr="00AF5B6D">
        <w:rPr>
          <w:kern w:val="22"/>
          <w:szCs w:val="22"/>
          <w:lang w:val="fr-CA" w:eastAsia="ja-JP" w:bidi="th-TH"/>
        </w:rPr>
        <w:t xml:space="preserve"> au contexte précis de manière à ce que tous les détenteurs de droits et parties prenantes </w:t>
      </w:r>
      <w:r w:rsidR="00FE6074" w:rsidRPr="00AF5B6D">
        <w:rPr>
          <w:kern w:val="22"/>
          <w:szCs w:val="22"/>
          <w:lang w:val="fr-CA" w:eastAsia="ja-JP" w:bidi="th-TH"/>
        </w:rPr>
        <w:t>touchés</w:t>
      </w:r>
      <w:r w:rsidR="00602593" w:rsidRPr="00AF5B6D">
        <w:rPr>
          <w:kern w:val="22"/>
          <w:szCs w:val="22"/>
          <w:lang w:val="fr-CA" w:eastAsia="ja-JP" w:bidi="th-TH"/>
        </w:rPr>
        <w:t xml:space="preserve"> puissent participer </w:t>
      </w:r>
      <w:r w:rsidR="009C2270">
        <w:rPr>
          <w:kern w:val="22"/>
          <w:szCs w:val="22"/>
          <w:lang w:val="fr-CA" w:eastAsia="ja-JP" w:bidi="th-TH"/>
        </w:rPr>
        <w:t>de manière efficace</w:t>
      </w:r>
      <w:r w:rsidR="00CF1CFA" w:rsidRPr="00AF5B6D">
        <w:rPr>
          <w:kern w:val="22"/>
          <w:szCs w:val="22"/>
          <w:lang w:val="fr-CA" w:eastAsia="ja-JP" w:bidi="th-TH"/>
        </w:rPr>
        <w:t>.</w:t>
      </w:r>
    </w:p>
    <w:p w:rsidR="00C914FA" w:rsidRPr="00AF5B6D" w:rsidRDefault="00FE6074" w:rsidP="007B3E88">
      <w:pPr>
        <w:pStyle w:val="Para1"/>
        <w:numPr>
          <w:ilvl w:val="0"/>
          <w:numId w:val="53"/>
        </w:numPr>
        <w:suppressLineNumbers/>
        <w:suppressAutoHyphens/>
        <w:kinsoku w:val="0"/>
        <w:overflowPunct w:val="0"/>
        <w:autoSpaceDE w:val="0"/>
        <w:autoSpaceDN w:val="0"/>
        <w:ind w:left="0" w:firstLine="0"/>
        <w:rPr>
          <w:iCs/>
          <w:kern w:val="22"/>
          <w:lang w:val="fr-CA" w:eastAsia="ja-JP" w:bidi="th-TH"/>
        </w:rPr>
      </w:pPr>
      <w:r w:rsidRPr="00AF5B6D">
        <w:rPr>
          <w:iCs/>
          <w:kern w:val="22"/>
          <w:lang w:val="fr-CA" w:eastAsia="ja-JP" w:bidi="th-TH"/>
        </w:rPr>
        <w:t>Les modèles de gouvernance efficaces et équitables des aires protégées et conservé</w:t>
      </w:r>
      <w:r w:rsidR="009C2270">
        <w:rPr>
          <w:iCs/>
          <w:kern w:val="22"/>
          <w:lang w:val="fr-CA" w:eastAsia="ja-JP" w:bidi="th-TH"/>
        </w:rPr>
        <w:t>e</w:t>
      </w:r>
      <w:r w:rsidRPr="00AF5B6D">
        <w:rPr>
          <w:iCs/>
          <w:kern w:val="22"/>
          <w:lang w:val="fr-CA" w:eastAsia="ja-JP" w:bidi="th-TH"/>
        </w:rPr>
        <w:t xml:space="preserve">s peuvent comprendre les éléments suivants </w:t>
      </w:r>
      <w:r w:rsidR="00CF1CFA" w:rsidRPr="00AF5B6D">
        <w:rPr>
          <w:iCs/>
          <w:kern w:val="22"/>
          <w:lang w:val="fr-CA" w:eastAsia="ja-JP" w:bidi="th-TH"/>
        </w:rPr>
        <w:t>:</w:t>
      </w:r>
    </w:p>
    <w:p w:rsidR="00C914FA" w:rsidRPr="00AF5B6D" w:rsidRDefault="00500322" w:rsidP="00FE6074">
      <w:pPr>
        <w:pStyle w:val="Para10"/>
        <w:numPr>
          <w:ilvl w:val="0"/>
          <w:numId w:val="106"/>
        </w:numPr>
        <w:suppressLineNumbers/>
        <w:suppressAutoHyphens/>
        <w:kinsoku w:val="0"/>
        <w:overflowPunct w:val="0"/>
        <w:autoSpaceDE w:val="0"/>
        <w:autoSpaceDN w:val="0"/>
        <w:ind w:left="0" w:firstLine="810"/>
        <w:rPr>
          <w:rFonts w:cs="Times New Roman"/>
          <w:kern w:val="22"/>
          <w:lang w:val="fr-CA" w:eastAsia="ja-JP" w:bidi="th-TH"/>
        </w:rPr>
      </w:pPr>
      <w:r w:rsidRPr="00AF5B6D">
        <w:rPr>
          <w:rFonts w:cs="Times New Roman"/>
          <w:kern w:val="22"/>
          <w:lang w:val="fr-CA" w:eastAsia="ja-JP" w:bidi="th-TH"/>
        </w:rPr>
        <w:t xml:space="preserve">Des procédures et des mécanismes pertinents pour la participation entière et active des </w:t>
      </w:r>
      <w:r w:rsidR="002E476B">
        <w:rPr>
          <w:rFonts w:cs="Times New Roman"/>
          <w:kern w:val="22"/>
          <w:lang w:val="fr-CA" w:eastAsia="ja-JP" w:bidi="th-TH"/>
        </w:rPr>
        <w:t>peuples</w:t>
      </w:r>
      <w:r w:rsidRPr="00AF5B6D">
        <w:rPr>
          <w:rFonts w:cs="Times New Roman"/>
          <w:kern w:val="22"/>
          <w:lang w:val="fr-CA" w:eastAsia="ja-JP" w:bidi="th-TH"/>
        </w:rPr>
        <w:t xml:space="preserve"> autochtones et des communautés locales</w:t>
      </w:r>
      <w:r w:rsidR="00846C8A" w:rsidRPr="00AF5B6D">
        <w:rPr>
          <w:rStyle w:val="Appelnotedebasdep"/>
          <w:rFonts w:eastAsia="Batang" w:cs="Times New Roman"/>
          <w:bCs w:val="0"/>
          <w:iCs/>
          <w:snapToGrid w:val="0"/>
          <w:kern w:val="22"/>
          <w:sz w:val="22"/>
          <w:u w:val="none"/>
          <w:vertAlign w:val="superscript"/>
          <w:lang w:val="fr-CA" w:eastAsia="ja-JP" w:bidi="th-TH"/>
        </w:rPr>
        <w:footnoteReference w:id="36"/>
      </w:r>
      <w:r w:rsidR="00846C8A" w:rsidRPr="00AF5B6D">
        <w:rPr>
          <w:rFonts w:cs="Times New Roman"/>
          <w:kern w:val="22"/>
          <w:lang w:val="fr-CA" w:eastAsia="ja-JP" w:bidi="th-TH"/>
        </w:rPr>
        <w:t xml:space="preserve"> </w:t>
      </w:r>
      <w:r w:rsidRPr="00AF5B6D">
        <w:rPr>
          <w:rFonts w:cs="Times New Roman"/>
          <w:kern w:val="22"/>
          <w:lang w:val="fr-CA" w:eastAsia="ja-JP" w:bidi="th-TH"/>
        </w:rPr>
        <w:t xml:space="preserve">garantissant l’égalité entre les sexes dans le respect complet de leurs droits et la reconnaissance de leurs responsabilités, et garantissant </w:t>
      </w:r>
      <w:r w:rsidR="002E476B">
        <w:rPr>
          <w:rFonts w:cs="Times New Roman"/>
          <w:kern w:val="22"/>
          <w:lang w:val="fr-CA" w:eastAsia="ja-JP" w:bidi="th-TH"/>
        </w:rPr>
        <w:t xml:space="preserve">également </w:t>
      </w:r>
      <w:r w:rsidRPr="00AF5B6D">
        <w:rPr>
          <w:rFonts w:cs="Times New Roman"/>
          <w:kern w:val="22"/>
          <w:lang w:val="fr-CA" w:eastAsia="ja-JP" w:bidi="th-TH"/>
        </w:rPr>
        <w:t>la représentation légitime, y compris l’établissement, la gouvernance, la planification, l</w:t>
      </w:r>
      <w:r w:rsidR="002E476B">
        <w:rPr>
          <w:rFonts w:cs="Times New Roman"/>
          <w:kern w:val="22"/>
          <w:lang w:val="fr-CA" w:eastAsia="ja-JP" w:bidi="th-TH"/>
        </w:rPr>
        <w:t>e suivi et la communication de d</w:t>
      </w:r>
      <w:r w:rsidRPr="00AF5B6D">
        <w:rPr>
          <w:rFonts w:cs="Times New Roman"/>
          <w:kern w:val="22"/>
          <w:lang w:val="fr-CA" w:eastAsia="ja-JP" w:bidi="th-TH"/>
        </w:rPr>
        <w:t xml:space="preserve">onnées sur les aires protégées et conservées </w:t>
      </w:r>
      <w:r w:rsidR="002E476B">
        <w:rPr>
          <w:rFonts w:cs="Times New Roman"/>
          <w:kern w:val="22"/>
          <w:lang w:val="fr-CA" w:eastAsia="ja-JP" w:bidi="th-TH"/>
        </w:rPr>
        <w:t>dans</w:t>
      </w:r>
      <w:r w:rsidRPr="00AF5B6D">
        <w:rPr>
          <w:rFonts w:cs="Times New Roman"/>
          <w:kern w:val="22"/>
          <w:lang w:val="fr-CA" w:eastAsia="ja-JP" w:bidi="th-TH"/>
        </w:rPr>
        <w:t xml:space="preserve"> leurs territoires traditionnels (terres et eaux</w:t>
      </w:r>
      <w:r w:rsidR="00C914FA" w:rsidRPr="00AF5B6D">
        <w:rPr>
          <w:rFonts w:cs="Times New Roman"/>
          <w:kern w:val="22"/>
          <w:lang w:val="fr-CA" w:eastAsia="ja-JP" w:bidi="th-TH"/>
        </w:rPr>
        <w:t>);</w:t>
      </w:r>
      <w:r w:rsidR="00C914FA" w:rsidRPr="00AF5B6D">
        <w:rPr>
          <w:rStyle w:val="Appelnotedebasdep"/>
          <w:rFonts w:eastAsia="Batang" w:cs="Times New Roman"/>
          <w:bCs w:val="0"/>
          <w:iCs/>
          <w:snapToGrid w:val="0"/>
          <w:kern w:val="22"/>
          <w:sz w:val="22"/>
          <w:u w:val="none"/>
          <w:vertAlign w:val="superscript"/>
          <w:lang w:val="fr-CA" w:eastAsia="ja-JP" w:bidi="th-TH"/>
        </w:rPr>
        <w:footnoteReference w:id="37"/>
      </w:r>
    </w:p>
    <w:p w:rsidR="00256ABE" w:rsidRPr="00AF5B6D" w:rsidRDefault="00785FCF" w:rsidP="007B3E88">
      <w:pPr>
        <w:pStyle w:val="Para10"/>
        <w:numPr>
          <w:ilvl w:val="0"/>
          <w:numId w:val="106"/>
        </w:numPr>
        <w:suppressLineNumbers/>
        <w:suppressAutoHyphens/>
        <w:kinsoku w:val="0"/>
        <w:overflowPunct w:val="0"/>
        <w:autoSpaceDE w:val="0"/>
        <w:autoSpaceDN w:val="0"/>
        <w:ind w:left="0" w:firstLine="720"/>
        <w:rPr>
          <w:rFonts w:cs="Times New Roman"/>
          <w:kern w:val="22"/>
          <w:lang w:val="fr-CA" w:eastAsia="ja-JP" w:bidi="th-TH"/>
        </w:rPr>
      </w:pPr>
      <w:r w:rsidRPr="00AF5B6D">
        <w:rPr>
          <w:rFonts w:eastAsia="Batang" w:cs="Times New Roman"/>
          <w:bCs w:val="0"/>
          <w:iCs/>
          <w:snapToGrid w:val="0"/>
          <w:kern w:val="22"/>
          <w:lang w:val="fr-CA"/>
        </w:rPr>
        <w:t>Des procédures et des mécanismes pertinents pour la participation et/ou la coordination efficaces avec les parties prenantes</w:t>
      </w:r>
      <w:r w:rsidR="00256ABE" w:rsidRPr="00AF5B6D">
        <w:rPr>
          <w:rFonts w:eastAsia="Batang" w:cs="Times New Roman"/>
          <w:bCs w:val="0"/>
          <w:iCs/>
          <w:snapToGrid w:val="0"/>
          <w:kern w:val="22"/>
          <w:lang w:val="fr-CA"/>
        </w:rPr>
        <w:t>;</w:t>
      </w:r>
    </w:p>
    <w:p w:rsidR="00C914FA" w:rsidRPr="00AF5B6D" w:rsidRDefault="00411AE3" w:rsidP="007B3E88">
      <w:pPr>
        <w:pStyle w:val="Para10"/>
        <w:numPr>
          <w:ilvl w:val="0"/>
          <w:numId w:val="106"/>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 xml:space="preserve">Des procédures et mécanismes pertinents pour reconnaître et accommoder </w:t>
      </w:r>
      <w:r w:rsidR="00C93DCE">
        <w:rPr>
          <w:rFonts w:cs="Times New Roman"/>
          <w:kern w:val="22"/>
          <w:lang w:val="fr-CA" w:eastAsia="ja-JP" w:bidi="th-TH"/>
        </w:rPr>
        <w:t>les modes d’occupation</w:t>
      </w:r>
      <w:r w:rsidRPr="00AF5B6D">
        <w:rPr>
          <w:rFonts w:cs="Times New Roman"/>
          <w:kern w:val="22"/>
          <w:lang w:val="fr-CA" w:eastAsia="ja-JP" w:bidi="th-TH"/>
        </w:rPr>
        <w:t xml:space="preserve"> et </w:t>
      </w:r>
      <w:r w:rsidR="00C93DCE">
        <w:rPr>
          <w:rFonts w:cs="Times New Roman"/>
          <w:kern w:val="22"/>
          <w:lang w:val="fr-CA" w:eastAsia="ja-JP" w:bidi="th-TH"/>
        </w:rPr>
        <w:t xml:space="preserve">les systèmes </w:t>
      </w:r>
      <w:r w:rsidRPr="00AF5B6D">
        <w:rPr>
          <w:rFonts w:cs="Times New Roman"/>
          <w:kern w:val="22"/>
          <w:lang w:val="fr-CA" w:eastAsia="ja-JP" w:bidi="th-TH"/>
        </w:rPr>
        <w:t xml:space="preserve">de gouvernance coutumiers dans les aires protégées </w:t>
      </w:r>
      <w:r w:rsidR="00C914FA" w:rsidRPr="00AF5B6D">
        <w:rPr>
          <w:rFonts w:cs="Times New Roman"/>
          <w:kern w:val="22"/>
          <w:lang w:val="fr-CA" w:eastAsia="ja-JP" w:bidi="th-TH"/>
        </w:rPr>
        <w:t>,</w:t>
      </w:r>
      <w:r w:rsidR="00C914FA" w:rsidRPr="00AF5B6D">
        <w:rPr>
          <w:rStyle w:val="Appelnotedebasdep"/>
          <w:rFonts w:eastAsia="Batang" w:cs="Times New Roman"/>
          <w:bCs w:val="0"/>
          <w:iCs/>
          <w:snapToGrid w:val="0"/>
          <w:kern w:val="22"/>
          <w:sz w:val="22"/>
          <w:u w:val="none"/>
          <w:vertAlign w:val="superscript"/>
          <w:lang w:val="fr-CA" w:eastAsia="ja-JP" w:bidi="th-TH"/>
        </w:rPr>
        <w:footnoteReference w:id="38"/>
      </w:r>
      <w:r w:rsidR="00C914FA" w:rsidRPr="00AF5B6D">
        <w:rPr>
          <w:rFonts w:cs="Times New Roman"/>
          <w:kern w:val="22"/>
          <w:lang w:val="fr-CA" w:eastAsia="ja-JP" w:bidi="th-TH"/>
        </w:rPr>
        <w:t xml:space="preserve"> </w:t>
      </w:r>
      <w:r w:rsidRPr="00AF5B6D">
        <w:rPr>
          <w:rFonts w:cs="Times New Roman"/>
          <w:kern w:val="22"/>
          <w:lang w:val="fr-CA" w:eastAsia="ja-JP" w:bidi="th-TH"/>
        </w:rPr>
        <w:t>y compris les pratiques coutumières et l’utilisation durable coutumière, conformément au Plan d’action sur l’</w:t>
      </w:r>
      <w:r w:rsidRPr="00AF5B6D">
        <w:rPr>
          <w:rFonts w:eastAsia="Times New Roman" w:cs="Times New Roman"/>
          <w:kern w:val="22"/>
          <w:lang w:val="fr-CA" w:eastAsia="ja-JP" w:bidi="th-TH"/>
        </w:rPr>
        <w:t>utilisation</w:t>
      </w:r>
      <w:r w:rsidRPr="00AF5B6D">
        <w:rPr>
          <w:rFonts w:cs="Times New Roman"/>
          <w:kern w:val="22"/>
          <w:lang w:val="fr-CA" w:eastAsia="ja-JP" w:bidi="th-TH"/>
        </w:rPr>
        <w:t xml:space="preserve"> coutumière durable</w:t>
      </w:r>
      <w:r w:rsidR="00C914FA" w:rsidRPr="00AF5B6D">
        <w:rPr>
          <w:rFonts w:cs="Times New Roman"/>
          <w:kern w:val="22"/>
          <w:lang w:val="fr-CA" w:eastAsia="ja-JP" w:bidi="th-TH"/>
        </w:rPr>
        <w:t>;</w:t>
      </w:r>
      <w:r w:rsidR="00C914FA" w:rsidRPr="00AF5B6D">
        <w:rPr>
          <w:rStyle w:val="Appelnotedebasdep"/>
          <w:rFonts w:eastAsia="Batang" w:cs="Times New Roman"/>
          <w:bCs w:val="0"/>
          <w:iCs/>
          <w:snapToGrid w:val="0"/>
          <w:kern w:val="22"/>
          <w:sz w:val="22"/>
          <w:u w:val="none"/>
          <w:vertAlign w:val="superscript"/>
          <w:lang w:val="fr-CA" w:eastAsia="ja-JP" w:bidi="th-TH"/>
        </w:rPr>
        <w:footnoteReference w:id="39"/>
      </w:r>
    </w:p>
    <w:p w:rsidR="00C914FA" w:rsidRPr="00AF5B6D" w:rsidRDefault="00411AE3" w:rsidP="007B3E88">
      <w:pPr>
        <w:pStyle w:val="Para10"/>
        <w:numPr>
          <w:ilvl w:val="0"/>
          <w:numId w:val="106"/>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 xml:space="preserve">Des mécanismes pertinents </w:t>
      </w:r>
      <w:r w:rsidR="00C93DCE">
        <w:rPr>
          <w:rFonts w:cs="Times New Roman"/>
          <w:kern w:val="22"/>
          <w:lang w:val="fr-CA" w:eastAsia="ja-JP" w:bidi="th-TH"/>
        </w:rPr>
        <w:t>assurant</w:t>
      </w:r>
      <w:r w:rsidRPr="00AF5B6D">
        <w:rPr>
          <w:rFonts w:cs="Times New Roman"/>
          <w:kern w:val="22"/>
          <w:lang w:val="fr-CA" w:eastAsia="ja-JP" w:bidi="th-TH"/>
        </w:rPr>
        <w:t xml:space="preserve"> la transparence et la responsabilité, tenant compte des normes et des meilleures pratiques convenues à l’échelle internationale</w:t>
      </w:r>
      <w:r w:rsidR="00AF53F5" w:rsidRPr="00AF5B6D">
        <w:rPr>
          <w:rFonts w:cs="Times New Roman"/>
          <w:kern w:val="22"/>
          <w:lang w:val="fr-CA" w:eastAsia="ja-JP" w:bidi="th-TH"/>
        </w:rPr>
        <w:t>;</w:t>
      </w:r>
      <w:r w:rsidR="00C914FA" w:rsidRPr="00AF5B6D">
        <w:rPr>
          <w:rStyle w:val="Appelnotedebasdep"/>
          <w:rFonts w:eastAsia="Batang" w:cs="Times New Roman"/>
          <w:bCs w:val="0"/>
          <w:iCs/>
          <w:snapToGrid w:val="0"/>
          <w:kern w:val="22"/>
          <w:sz w:val="22"/>
          <w:u w:val="none"/>
          <w:vertAlign w:val="superscript"/>
          <w:lang w:val="fr-CA" w:eastAsia="ja-JP" w:bidi="th-TH"/>
        </w:rPr>
        <w:footnoteReference w:id="40"/>
      </w:r>
    </w:p>
    <w:p w:rsidR="00C914FA" w:rsidRPr="00AF5B6D" w:rsidRDefault="00411AE3" w:rsidP="007B3E88">
      <w:pPr>
        <w:pStyle w:val="Para10"/>
        <w:numPr>
          <w:ilvl w:val="0"/>
          <w:numId w:val="106"/>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lastRenderedPageBreak/>
        <w:t xml:space="preserve">Des procédures et mécanismes </w:t>
      </w:r>
      <w:r w:rsidR="00C93DCE">
        <w:rPr>
          <w:rFonts w:cs="Times New Roman"/>
          <w:kern w:val="22"/>
          <w:lang w:val="fr-CA" w:eastAsia="ja-JP" w:bidi="th-TH"/>
        </w:rPr>
        <w:t xml:space="preserve">pertinents </w:t>
      </w:r>
      <w:r w:rsidRPr="00AF5B6D">
        <w:rPr>
          <w:rFonts w:cs="Times New Roman"/>
          <w:kern w:val="22"/>
          <w:lang w:val="fr-CA" w:eastAsia="ja-JP" w:bidi="th-TH"/>
        </w:rPr>
        <w:t>pour la résolution juste des conflits et des litiges</w:t>
      </w:r>
      <w:r w:rsidR="00C914FA" w:rsidRPr="00AF5B6D">
        <w:rPr>
          <w:rFonts w:cs="Times New Roman"/>
          <w:kern w:val="22"/>
          <w:lang w:val="fr-CA" w:eastAsia="ja-JP" w:bidi="th-TH"/>
        </w:rPr>
        <w:t>;</w:t>
      </w:r>
    </w:p>
    <w:p w:rsidR="00C914FA" w:rsidRPr="00AF5B6D" w:rsidRDefault="00943FFE" w:rsidP="007B3E88">
      <w:pPr>
        <w:pStyle w:val="Para10"/>
        <w:numPr>
          <w:ilvl w:val="0"/>
          <w:numId w:val="106"/>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D</w:t>
      </w:r>
      <w:r w:rsidR="00C93DCE">
        <w:rPr>
          <w:rFonts w:cs="Times New Roman"/>
          <w:kern w:val="22"/>
          <w:lang w:val="fr-CA" w:eastAsia="ja-JP" w:bidi="th-TH"/>
        </w:rPr>
        <w:t>es d</w:t>
      </w:r>
      <w:r w:rsidRPr="00AF5B6D">
        <w:rPr>
          <w:rFonts w:cs="Times New Roman"/>
          <w:kern w:val="22"/>
          <w:lang w:val="fr-CA" w:eastAsia="ja-JP" w:bidi="th-TH"/>
        </w:rPr>
        <w:t>ispositions pour le partage équitable des coûts et des avantages, no</w:t>
      </w:r>
      <w:r w:rsidR="00C46DBD">
        <w:rPr>
          <w:rFonts w:cs="Times New Roman"/>
          <w:kern w:val="22"/>
          <w:lang w:val="fr-CA" w:eastAsia="ja-JP" w:bidi="th-TH"/>
        </w:rPr>
        <w:t>tamme</w:t>
      </w:r>
      <w:r w:rsidRPr="00AF5B6D">
        <w:rPr>
          <w:rFonts w:cs="Times New Roman"/>
          <w:kern w:val="22"/>
          <w:lang w:val="fr-CA" w:eastAsia="ja-JP" w:bidi="th-TH"/>
        </w:rPr>
        <w:t>nt en i) évaluant les coûts et les bienfaits économiques et socioculturels associés à l’établissement et la gestion des aires protégées, ii) en atténuant, en évitant et en compensant les coûts et iii) en partageant équitablement les avantages</w:t>
      </w:r>
      <w:r w:rsidR="00C914FA" w:rsidRPr="00AF5B6D">
        <w:rPr>
          <w:rStyle w:val="Appelnotedebasdep"/>
          <w:rFonts w:eastAsia="Batang" w:cs="Times New Roman"/>
          <w:bCs w:val="0"/>
          <w:iCs/>
          <w:snapToGrid w:val="0"/>
          <w:kern w:val="22"/>
          <w:sz w:val="22"/>
          <w:u w:val="none"/>
          <w:vertAlign w:val="superscript"/>
          <w:lang w:val="fr-CA" w:eastAsia="ja-JP" w:bidi="th-TH"/>
        </w:rPr>
        <w:footnoteReference w:id="41"/>
      </w:r>
      <w:r w:rsidR="00C914FA" w:rsidRPr="00AF5B6D">
        <w:rPr>
          <w:rFonts w:cs="Times New Roman"/>
          <w:kern w:val="22"/>
          <w:vertAlign w:val="superscript"/>
          <w:lang w:val="fr-CA" w:eastAsia="ja-JP" w:bidi="th-TH"/>
        </w:rPr>
        <w:t xml:space="preserve"> </w:t>
      </w:r>
      <w:r w:rsidRPr="00AF5B6D">
        <w:rPr>
          <w:rFonts w:cs="Times New Roman"/>
          <w:kern w:val="22"/>
          <w:lang w:val="fr-CA" w:eastAsia="ja-JP" w:bidi="th-TH"/>
        </w:rPr>
        <w:t>en fonction de critères convenus entre les détenteurs de droits et les parties prenantes</w:t>
      </w:r>
      <w:r w:rsidR="00AF53F5" w:rsidRPr="00AF5B6D">
        <w:rPr>
          <w:rFonts w:cs="Times New Roman"/>
          <w:kern w:val="22"/>
          <w:lang w:val="fr-CA" w:eastAsia="ja-JP" w:bidi="th-TH"/>
        </w:rPr>
        <w:t>;</w:t>
      </w:r>
      <w:r w:rsidR="00C914FA" w:rsidRPr="00AF5B6D">
        <w:rPr>
          <w:rStyle w:val="Appelnotedebasdep"/>
          <w:rFonts w:eastAsia="Batang" w:cs="Times New Roman"/>
          <w:bCs w:val="0"/>
          <w:iCs/>
          <w:snapToGrid w:val="0"/>
          <w:kern w:val="22"/>
          <w:sz w:val="22"/>
          <w:u w:val="none"/>
          <w:vertAlign w:val="superscript"/>
          <w:lang w:val="fr-CA" w:eastAsia="ja-JP" w:bidi="th-TH"/>
        </w:rPr>
        <w:footnoteReference w:id="42"/>
      </w:r>
    </w:p>
    <w:p w:rsidR="00C914FA" w:rsidRPr="00AF5B6D" w:rsidRDefault="00C6210B" w:rsidP="007B3E88">
      <w:pPr>
        <w:pStyle w:val="Para10"/>
        <w:numPr>
          <w:ilvl w:val="0"/>
          <w:numId w:val="106"/>
        </w:numPr>
        <w:suppressLineNumbers/>
        <w:suppressAutoHyphens/>
        <w:kinsoku w:val="0"/>
        <w:overflowPunct w:val="0"/>
        <w:autoSpaceDE w:val="0"/>
        <w:autoSpaceDN w:val="0"/>
        <w:ind w:left="0" w:firstLine="720"/>
        <w:rPr>
          <w:rFonts w:cs="Times New Roman"/>
          <w:kern w:val="22"/>
          <w:lang w:val="fr-CA" w:eastAsia="ja-JP" w:bidi="th-TH"/>
        </w:rPr>
      </w:pPr>
      <w:r>
        <w:rPr>
          <w:rFonts w:cs="Times New Roman"/>
          <w:kern w:val="22"/>
          <w:lang w:val="fr-CA" w:eastAsia="ja-JP" w:bidi="th-TH"/>
        </w:rPr>
        <w:t>Des s</w:t>
      </w:r>
      <w:r w:rsidR="00943FFE" w:rsidRPr="00AF5B6D">
        <w:rPr>
          <w:rFonts w:cs="Times New Roman"/>
          <w:kern w:val="22"/>
          <w:lang w:val="fr-CA" w:eastAsia="ja-JP" w:bidi="th-TH"/>
        </w:rPr>
        <w:t>auvegardes pour garantir la mise en œuvre impartiale et efficace de la règle de droit</w:t>
      </w:r>
      <w:r w:rsidR="00C914FA" w:rsidRPr="00AF5B6D">
        <w:rPr>
          <w:rFonts w:cs="Times New Roman"/>
          <w:kern w:val="22"/>
          <w:lang w:val="fr-CA" w:eastAsia="ja-JP" w:bidi="th-TH"/>
        </w:rPr>
        <w:t>;</w:t>
      </w:r>
    </w:p>
    <w:p w:rsidR="00C914FA" w:rsidRPr="00AF5B6D" w:rsidRDefault="00943FFE" w:rsidP="007B3E88">
      <w:pPr>
        <w:pStyle w:val="Para10"/>
        <w:numPr>
          <w:ilvl w:val="0"/>
          <w:numId w:val="106"/>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 xml:space="preserve">Un système de suivi qui </w:t>
      </w:r>
      <w:r w:rsidR="00CB4E65">
        <w:rPr>
          <w:rFonts w:cs="Times New Roman"/>
          <w:kern w:val="22"/>
          <w:lang w:val="fr-CA" w:eastAsia="ja-JP" w:bidi="th-TH"/>
        </w:rPr>
        <w:t>englobe</w:t>
      </w:r>
      <w:r w:rsidRPr="00AF5B6D">
        <w:rPr>
          <w:rFonts w:cs="Times New Roman"/>
          <w:kern w:val="22"/>
          <w:lang w:val="fr-CA" w:eastAsia="ja-JP" w:bidi="th-TH"/>
        </w:rPr>
        <w:t xml:space="preserve"> les enjeux de la gouvernance, y compris les conséquences sur le bien-être des peuples autochtones et des communautés locales</w:t>
      </w:r>
      <w:r w:rsidR="00C914FA" w:rsidRPr="00AF5B6D">
        <w:rPr>
          <w:rFonts w:cs="Times New Roman"/>
          <w:kern w:val="22"/>
          <w:lang w:val="fr-CA" w:eastAsia="ja-JP" w:bidi="th-TH"/>
        </w:rPr>
        <w:t>;</w:t>
      </w:r>
    </w:p>
    <w:p w:rsidR="00F0698A" w:rsidRPr="00AF5B6D" w:rsidRDefault="00CB4E65" w:rsidP="007B3E88">
      <w:pPr>
        <w:pStyle w:val="Para10"/>
        <w:numPr>
          <w:ilvl w:val="0"/>
          <w:numId w:val="106"/>
        </w:numPr>
        <w:suppressLineNumbers/>
        <w:suppressAutoHyphens/>
        <w:kinsoku w:val="0"/>
        <w:overflowPunct w:val="0"/>
        <w:autoSpaceDE w:val="0"/>
        <w:autoSpaceDN w:val="0"/>
        <w:ind w:left="0" w:firstLine="720"/>
        <w:rPr>
          <w:rFonts w:cs="Times New Roman"/>
          <w:kern w:val="22"/>
          <w:lang w:val="fr-CA" w:eastAsia="ja-JP" w:bidi="th-TH"/>
        </w:rPr>
      </w:pPr>
      <w:r>
        <w:rPr>
          <w:rFonts w:cs="Times New Roman"/>
          <w:kern w:val="22"/>
          <w:lang w:val="fr-CA" w:eastAsia="ja-JP" w:bidi="th-TH"/>
        </w:rPr>
        <w:t>L’harmonisation</w:t>
      </w:r>
      <w:r w:rsidR="00943FFE" w:rsidRPr="00AF5B6D">
        <w:rPr>
          <w:rFonts w:cs="Times New Roman"/>
          <w:kern w:val="22"/>
          <w:lang w:val="fr-CA" w:eastAsia="ja-JP" w:bidi="th-TH"/>
        </w:rPr>
        <w:t xml:space="preserve"> aux articles 8 j) et 10 c) et </w:t>
      </w:r>
      <w:r>
        <w:rPr>
          <w:rFonts w:cs="Times New Roman"/>
          <w:kern w:val="22"/>
          <w:lang w:val="fr-CA" w:eastAsia="ja-JP" w:bidi="th-TH"/>
        </w:rPr>
        <w:t>aux</w:t>
      </w:r>
      <w:r w:rsidR="00943FFE" w:rsidRPr="00AF5B6D">
        <w:rPr>
          <w:rFonts w:cs="Times New Roman"/>
          <w:kern w:val="22"/>
          <w:lang w:val="fr-CA" w:eastAsia="ja-JP" w:bidi="th-TH"/>
        </w:rPr>
        <w:t xml:space="preserve"> dispositions connexes, </w:t>
      </w:r>
      <w:r>
        <w:rPr>
          <w:rFonts w:cs="Times New Roman"/>
          <w:kern w:val="22"/>
          <w:lang w:val="fr-CA" w:eastAsia="ja-JP" w:bidi="th-TH"/>
        </w:rPr>
        <w:t>aux principes et aux</w:t>
      </w:r>
      <w:r w:rsidR="00943FFE" w:rsidRPr="00AF5B6D">
        <w:rPr>
          <w:rFonts w:cs="Times New Roman"/>
          <w:kern w:val="22"/>
          <w:lang w:val="fr-CA" w:eastAsia="ja-JP" w:bidi="th-TH"/>
        </w:rPr>
        <w:t xml:space="preserve"> orientations, notamment en respectant, en protégeant et en maintenant les connaissances traditionnelles des peuples autochtones et des communautés locales</w:t>
      </w:r>
      <w:r w:rsidR="00943FFE" w:rsidRPr="00AF5B6D">
        <w:rPr>
          <w:rStyle w:val="Appelnotedebasdep"/>
          <w:rFonts w:eastAsia="Batang" w:cs="Times New Roman"/>
          <w:bCs w:val="0"/>
          <w:iCs/>
          <w:snapToGrid w:val="0"/>
          <w:kern w:val="22"/>
          <w:sz w:val="22"/>
          <w:u w:val="none"/>
          <w:vertAlign w:val="superscript"/>
          <w:lang w:val="fr-CA" w:eastAsia="ja-JP" w:bidi="th-TH"/>
        </w:rPr>
        <w:footnoteReference w:id="43"/>
      </w:r>
      <w:r w:rsidR="00943FFE" w:rsidRPr="00AF5B6D">
        <w:rPr>
          <w:rFonts w:cs="Times New Roman"/>
          <w:kern w:val="22"/>
          <w:lang w:val="fr-CA" w:eastAsia="ja-JP" w:bidi="th-TH"/>
        </w:rPr>
        <w:t>, et en respectant leur droit à une utilisation coutumière durable de la diversité biologique</w:t>
      </w:r>
      <w:r w:rsidR="00C914FA" w:rsidRPr="00AF5B6D">
        <w:rPr>
          <w:rFonts w:cs="Times New Roman"/>
          <w:kern w:val="22"/>
          <w:lang w:val="fr-CA" w:eastAsia="ja-JP" w:bidi="th-TH"/>
        </w:rPr>
        <w:t>.</w:t>
      </w:r>
    </w:p>
    <w:p w:rsidR="00C914FA" w:rsidRPr="00AF5B6D" w:rsidRDefault="007375CB" w:rsidP="007B3E88">
      <w:pPr>
        <w:pStyle w:val="Para1"/>
        <w:numPr>
          <w:ilvl w:val="0"/>
          <w:numId w:val="53"/>
        </w:numPr>
        <w:suppressLineNumbers/>
        <w:suppressAutoHyphens/>
        <w:kinsoku w:val="0"/>
        <w:overflowPunct w:val="0"/>
        <w:autoSpaceDE w:val="0"/>
        <w:autoSpaceDN w:val="0"/>
        <w:ind w:left="0" w:firstLine="0"/>
        <w:rPr>
          <w:kern w:val="22"/>
          <w:lang w:val="fr-CA" w:eastAsia="ja-JP" w:bidi="th-TH"/>
        </w:rPr>
      </w:pPr>
      <w:r w:rsidRPr="00AF5B6D">
        <w:rPr>
          <w:kern w:val="22"/>
          <w:lang w:val="fr-CA" w:eastAsia="ja-JP" w:bidi="th-TH"/>
        </w:rPr>
        <w:t xml:space="preserve">Mesures proposées que les Parties pourraient prendre pour faciliter et soutenir les modèles de gouvernance efficaces et équitables adaptés à leur contexte pour les aires protégées dans le cadre de leur mandat </w:t>
      </w:r>
      <w:r w:rsidR="00C914FA" w:rsidRPr="00AF5B6D">
        <w:rPr>
          <w:kern w:val="22"/>
          <w:lang w:val="fr-CA" w:eastAsia="ja-JP" w:bidi="th-TH"/>
        </w:rPr>
        <w:t>:</w:t>
      </w:r>
    </w:p>
    <w:p w:rsidR="00C914FA" w:rsidRPr="00AF5B6D" w:rsidRDefault="007375CB" w:rsidP="007375CB">
      <w:pPr>
        <w:pStyle w:val="Para10"/>
        <w:numPr>
          <w:ilvl w:val="0"/>
          <w:numId w:val="109"/>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Réaliser, en consultation avec les détenteurs de droits et les parties prenantes concernés, un examen des politiques et des lois sur les aires protégées</w:t>
      </w:r>
      <w:r w:rsidR="00706F94" w:rsidRPr="00AF5B6D">
        <w:rPr>
          <w:rFonts w:cs="Times New Roman"/>
          <w:kern w:val="22"/>
          <w:lang w:val="fr-CA" w:eastAsia="ja-JP" w:bidi="th-TH"/>
        </w:rPr>
        <w:t xml:space="preserve"> par rapport aux pri</w:t>
      </w:r>
      <w:r w:rsidRPr="00AF5B6D">
        <w:rPr>
          <w:rFonts w:cs="Times New Roman"/>
          <w:kern w:val="22"/>
          <w:lang w:val="fr-CA" w:eastAsia="ja-JP" w:bidi="th-TH"/>
        </w:rPr>
        <w:t>ncipes de bonne gouvernance, y compris l’</w:t>
      </w:r>
      <w:r w:rsidR="00706F94" w:rsidRPr="00AF5B6D">
        <w:rPr>
          <w:rFonts w:cs="Times New Roman"/>
          <w:kern w:val="22"/>
          <w:lang w:val="fr-CA" w:eastAsia="ja-JP" w:bidi="th-TH"/>
        </w:rPr>
        <w:t>équité, en tenant compte des autres normes et orientations pertinentes</w:t>
      </w:r>
      <w:r w:rsidR="00CB4E65">
        <w:rPr>
          <w:rFonts w:cs="Times New Roman"/>
          <w:kern w:val="22"/>
          <w:lang w:val="fr-CA" w:eastAsia="ja-JP" w:bidi="th-TH"/>
        </w:rPr>
        <w:t xml:space="preserve"> </w:t>
      </w:r>
      <w:r w:rsidR="00706F94" w:rsidRPr="00AF5B6D">
        <w:rPr>
          <w:rFonts w:cs="Times New Roman"/>
          <w:kern w:val="22"/>
          <w:lang w:val="fr-CA" w:eastAsia="ja-JP" w:bidi="th-TH"/>
        </w:rPr>
        <w:t>convenu</w:t>
      </w:r>
      <w:r w:rsidR="00CB4E65">
        <w:rPr>
          <w:rFonts w:cs="Times New Roman"/>
          <w:kern w:val="22"/>
          <w:lang w:val="fr-CA" w:eastAsia="ja-JP" w:bidi="th-TH"/>
        </w:rPr>
        <w:t>e</w:t>
      </w:r>
      <w:r w:rsidR="00706F94" w:rsidRPr="00AF5B6D">
        <w:rPr>
          <w:rFonts w:cs="Times New Roman"/>
          <w:kern w:val="22"/>
          <w:lang w:val="fr-CA" w:eastAsia="ja-JP" w:bidi="th-TH"/>
        </w:rPr>
        <w:t xml:space="preserve">s à l’échelle </w:t>
      </w:r>
      <w:r w:rsidR="00706F94" w:rsidRPr="00AF5B6D">
        <w:rPr>
          <w:rFonts w:eastAsia="Times New Roman" w:cs="Times New Roman"/>
          <w:kern w:val="22"/>
          <w:lang w:val="fr-CA" w:eastAsia="ja-JP" w:bidi="th-TH"/>
        </w:rPr>
        <w:t>internationale</w:t>
      </w:r>
      <w:r w:rsidR="00706F94" w:rsidRPr="00AF5B6D">
        <w:rPr>
          <w:rStyle w:val="Appelnotedebasdep"/>
          <w:rFonts w:eastAsia="Batang" w:cs="Times New Roman"/>
          <w:bCs w:val="0"/>
          <w:iCs/>
          <w:snapToGrid w:val="0"/>
          <w:kern w:val="22"/>
          <w:sz w:val="22"/>
          <w:u w:val="none"/>
          <w:vertAlign w:val="superscript"/>
          <w:lang w:val="fr-CA" w:eastAsia="ja-JP" w:bidi="th-TH"/>
        </w:rPr>
        <w:footnoteReference w:id="44"/>
      </w:r>
      <w:r w:rsidR="00706F94" w:rsidRPr="00AF5B6D">
        <w:rPr>
          <w:rFonts w:cs="Times New Roman"/>
          <w:kern w:val="22"/>
          <w:lang w:val="fr-CA" w:eastAsia="ja-JP" w:bidi="th-TH"/>
        </w:rPr>
        <w:t>. Cet examen pourrait être réalisé dans le cadre d’une évaluation de la gouvernance à l’échelle du système</w:t>
      </w:r>
      <w:r w:rsidR="007268EB" w:rsidRPr="00AF5B6D">
        <w:rPr>
          <w:rFonts w:cs="Times New Roman"/>
          <w:kern w:val="22"/>
          <w:lang w:val="fr-CA" w:eastAsia="ja-JP" w:bidi="th-TH"/>
        </w:rPr>
        <w:t>;</w:t>
      </w:r>
    </w:p>
    <w:p w:rsidR="00C914FA" w:rsidRPr="00AF5B6D" w:rsidRDefault="00580E49" w:rsidP="007B3E88">
      <w:pPr>
        <w:pStyle w:val="Para10"/>
        <w:numPr>
          <w:ilvl w:val="0"/>
          <w:numId w:val="109"/>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 xml:space="preserve">Favoriser et </w:t>
      </w:r>
      <w:r w:rsidR="008130C3" w:rsidRPr="00AF5B6D">
        <w:rPr>
          <w:rFonts w:cs="Times New Roman"/>
          <w:kern w:val="22"/>
          <w:lang w:val="fr-CA" w:eastAsia="ja-JP" w:bidi="th-TH"/>
        </w:rPr>
        <w:t xml:space="preserve">réaliser des évaluations de la gouvernance des aires dans </w:t>
      </w:r>
      <w:r w:rsidR="00990645">
        <w:rPr>
          <w:rFonts w:cs="Times New Roman"/>
          <w:kern w:val="22"/>
          <w:lang w:val="fr-CA" w:eastAsia="ja-JP" w:bidi="th-TH"/>
        </w:rPr>
        <w:t xml:space="preserve">un contexte de </w:t>
      </w:r>
      <w:r w:rsidR="008130C3" w:rsidRPr="00AF5B6D">
        <w:rPr>
          <w:rFonts w:cs="Times New Roman"/>
          <w:kern w:val="22"/>
          <w:lang w:val="fr-CA" w:eastAsia="ja-JP" w:bidi="th-TH"/>
        </w:rPr>
        <w:t xml:space="preserve">processus </w:t>
      </w:r>
      <w:r w:rsidR="00277FC0">
        <w:rPr>
          <w:rFonts w:cs="Times New Roman"/>
          <w:kern w:val="22"/>
          <w:lang w:val="fr-CA" w:eastAsia="ja-JP" w:bidi="th-TH"/>
        </w:rPr>
        <w:t xml:space="preserve">collaboratif </w:t>
      </w:r>
      <w:r w:rsidR="008130C3" w:rsidRPr="00AF5B6D">
        <w:rPr>
          <w:rFonts w:cs="Times New Roman"/>
          <w:kern w:val="22"/>
          <w:lang w:val="fr-CA" w:eastAsia="ja-JP" w:bidi="th-TH"/>
        </w:rPr>
        <w:t xml:space="preserve">à plusieurs </w:t>
      </w:r>
      <w:r w:rsidR="00277FC0">
        <w:rPr>
          <w:rFonts w:cs="Times New Roman"/>
          <w:kern w:val="22"/>
          <w:lang w:val="fr-CA" w:eastAsia="ja-JP" w:bidi="th-TH"/>
        </w:rPr>
        <w:t xml:space="preserve">parties </w:t>
      </w:r>
      <w:r w:rsidR="008130C3" w:rsidRPr="00AF5B6D">
        <w:rPr>
          <w:rFonts w:cs="Times New Roman"/>
          <w:kern w:val="22"/>
          <w:lang w:val="fr-CA" w:eastAsia="ja-JP" w:bidi="th-TH"/>
        </w:rPr>
        <w:t xml:space="preserve">prenantes, prendre des mesures pour </w:t>
      </w:r>
      <w:r w:rsidR="00990645">
        <w:rPr>
          <w:rFonts w:cs="Times New Roman"/>
          <w:kern w:val="22"/>
          <w:lang w:val="fr-CA" w:eastAsia="ja-JP" w:bidi="th-TH"/>
        </w:rPr>
        <w:t xml:space="preserve">apporter des </w:t>
      </w:r>
      <w:r w:rsidR="008130C3" w:rsidRPr="00AF5B6D">
        <w:rPr>
          <w:rFonts w:cs="Times New Roman"/>
          <w:kern w:val="22"/>
          <w:lang w:val="fr-CA" w:eastAsia="ja-JP" w:bidi="th-TH"/>
        </w:rPr>
        <w:t>améliorations dans les aires</w:t>
      </w:r>
      <w:r w:rsidR="00FE67B0" w:rsidRPr="00AF5B6D">
        <w:rPr>
          <w:rFonts w:cs="Times New Roman"/>
          <w:kern w:val="22"/>
          <w:lang w:val="fr-CA" w:eastAsia="ja-JP" w:bidi="th-TH"/>
        </w:rPr>
        <w:t xml:space="preserve"> et tirer des enseignements pour les politiques</w:t>
      </w:r>
      <w:r w:rsidR="007268EB" w:rsidRPr="00AF5B6D">
        <w:rPr>
          <w:rFonts w:cs="Times New Roman"/>
          <w:kern w:val="22"/>
          <w:lang w:val="fr-CA" w:eastAsia="ja-JP" w:bidi="th-TH"/>
        </w:rPr>
        <w:t>;</w:t>
      </w:r>
      <w:r w:rsidR="00C914FA" w:rsidRPr="00AF5B6D">
        <w:rPr>
          <w:rStyle w:val="Appelnotedebasdep"/>
          <w:rFonts w:eastAsia="Batang" w:cs="Times New Roman"/>
          <w:bCs w:val="0"/>
          <w:iCs/>
          <w:snapToGrid w:val="0"/>
          <w:kern w:val="22"/>
          <w:sz w:val="22"/>
          <w:u w:val="none"/>
          <w:vertAlign w:val="superscript"/>
          <w:lang w:val="fr-CA" w:eastAsia="ja-JP" w:bidi="th-TH"/>
        </w:rPr>
        <w:footnoteReference w:id="45"/>
      </w:r>
    </w:p>
    <w:p w:rsidR="00C914FA" w:rsidRPr="00AF5B6D" w:rsidRDefault="00FE67B0" w:rsidP="007B3E88">
      <w:pPr>
        <w:pStyle w:val="Para10"/>
        <w:numPr>
          <w:ilvl w:val="0"/>
          <w:numId w:val="109"/>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Adapter les politiques et les lois sur les aires protégées concernant leur établissement, leur gouvernance, leur planification, leur gestion et la communication des données, selon qu’il convient, à partir de l’examen et des résultats de celui-ci, en tenant compte des éléments indiqués au paragraphe 11 ci-dessus</w:t>
      </w:r>
      <w:r w:rsidR="007268EB" w:rsidRPr="00AF5B6D">
        <w:rPr>
          <w:rFonts w:cs="Times New Roman"/>
          <w:kern w:val="22"/>
          <w:lang w:val="fr-CA" w:eastAsia="ja-JP" w:bidi="th-TH"/>
        </w:rPr>
        <w:t>;</w:t>
      </w:r>
    </w:p>
    <w:p w:rsidR="00C914FA" w:rsidRPr="00AF5B6D" w:rsidRDefault="00807B0B" w:rsidP="007B3E88">
      <w:pPr>
        <w:pStyle w:val="Para10"/>
        <w:numPr>
          <w:ilvl w:val="0"/>
          <w:numId w:val="109"/>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Faciliter l’évaluation et le suivi des coûts et avantages économiques et socioculturels associés à l’établissement et la gestion des aires protégées, et éviter, atténuer ou compenser les coûts tout en améliorant et en répartissant équitablement les avantages</w:t>
      </w:r>
      <w:r w:rsidR="007268EB" w:rsidRPr="00AF5B6D">
        <w:rPr>
          <w:rFonts w:cs="Times New Roman"/>
          <w:kern w:val="22"/>
          <w:lang w:val="fr-CA" w:eastAsia="ja-JP" w:bidi="th-TH"/>
        </w:rPr>
        <w:t>;</w:t>
      </w:r>
      <w:r w:rsidR="00C914FA" w:rsidRPr="00AF5B6D">
        <w:rPr>
          <w:rStyle w:val="Appelnotedebasdep"/>
          <w:rFonts w:eastAsia="Batang" w:cs="Times New Roman"/>
          <w:bCs w:val="0"/>
          <w:iCs/>
          <w:snapToGrid w:val="0"/>
          <w:kern w:val="22"/>
          <w:sz w:val="22"/>
          <w:u w:val="none"/>
          <w:vertAlign w:val="superscript"/>
          <w:lang w:val="fr-CA" w:eastAsia="ja-JP" w:bidi="th-TH"/>
        </w:rPr>
        <w:footnoteReference w:id="46"/>
      </w:r>
    </w:p>
    <w:p w:rsidR="00C914FA" w:rsidRPr="00AF5B6D" w:rsidRDefault="00807B0B" w:rsidP="007B3E88">
      <w:pPr>
        <w:pStyle w:val="Para10"/>
        <w:numPr>
          <w:ilvl w:val="0"/>
          <w:numId w:val="109"/>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 xml:space="preserve">Établir ou renforcer les politiques </w:t>
      </w:r>
      <w:r w:rsidRPr="00AF5B6D">
        <w:rPr>
          <w:rFonts w:eastAsia="Times New Roman" w:cs="Times New Roman"/>
          <w:kern w:val="22"/>
          <w:lang w:val="fr-CA" w:eastAsia="ja-JP" w:bidi="th-TH"/>
        </w:rPr>
        <w:t>nationales</w:t>
      </w:r>
      <w:r w:rsidRPr="00AF5B6D">
        <w:rPr>
          <w:rFonts w:cs="Times New Roman"/>
          <w:kern w:val="22"/>
          <w:lang w:val="fr-CA" w:eastAsia="ja-JP" w:bidi="th-TH"/>
        </w:rPr>
        <w:t xml:space="preserve"> sur l’accès aux ressources génétiques dans les aires protégées et le partage juste et équitable des avantages découl</w:t>
      </w:r>
      <w:r w:rsidR="00D5736F">
        <w:rPr>
          <w:rFonts w:cs="Times New Roman"/>
          <w:kern w:val="22"/>
          <w:lang w:val="fr-CA" w:eastAsia="ja-JP" w:bidi="th-TH"/>
        </w:rPr>
        <w:t>a</w:t>
      </w:r>
      <w:r w:rsidRPr="00AF5B6D">
        <w:rPr>
          <w:rFonts w:cs="Times New Roman"/>
          <w:kern w:val="22"/>
          <w:lang w:val="fr-CA" w:eastAsia="ja-JP" w:bidi="th-TH"/>
        </w:rPr>
        <w:t>nt de leur utilisation</w:t>
      </w:r>
      <w:r w:rsidR="007268EB" w:rsidRPr="00AF5B6D">
        <w:rPr>
          <w:rFonts w:cs="Times New Roman"/>
          <w:kern w:val="22"/>
          <w:lang w:val="fr-CA" w:eastAsia="ja-JP" w:bidi="th-TH"/>
        </w:rPr>
        <w:t>;</w:t>
      </w:r>
      <w:r w:rsidR="00C914FA" w:rsidRPr="00AF5B6D">
        <w:rPr>
          <w:rStyle w:val="Appelnotedebasdep"/>
          <w:rFonts w:eastAsia="Batang" w:cs="Times New Roman"/>
          <w:bCs w:val="0"/>
          <w:iCs/>
          <w:snapToGrid w:val="0"/>
          <w:sz w:val="22"/>
          <w:u w:val="none"/>
          <w:vertAlign w:val="superscript"/>
          <w:lang w:val="fr-CA"/>
        </w:rPr>
        <w:footnoteReference w:id="47"/>
      </w:r>
    </w:p>
    <w:p w:rsidR="00C914FA" w:rsidRPr="00AF5B6D" w:rsidRDefault="00222D6D" w:rsidP="007B3E88">
      <w:pPr>
        <w:pStyle w:val="Para10"/>
        <w:numPr>
          <w:ilvl w:val="0"/>
          <w:numId w:val="109"/>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lastRenderedPageBreak/>
        <w:t xml:space="preserve">Faciliter et </w:t>
      </w:r>
      <w:r w:rsidR="00D5736F">
        <w:rPr>
          <w:rFonts w:cs="Times New Roman"/>
          <w:kern w:val="22"/>
          <w:lang w:val="fr-CA" w:eastAsia="ja-JP" w:bidi="th-TH"/>
        </w:rPr>
        <w:t>participer à d</w:t>
      </w:r>
      <w:r w:rsidR="00D53C1E" w:rsidRPr="00AF5B6D">
        <w:rPr>
          <w:rFonts w:cs="Times New Roman"/>
          <w:kern w:val="22"/>
          <w:lang w:val="fr-CA" w:eastAsia="ja-JP" w:bidi="th-TH"/>
        </w:rPr>
        <w:t>es projets de renforcement des capacités sur la gouvernance et l’équité pour les aires protégées et conservées</w:t>
      </w:r>
      <w:r w:rsidR="007268EB" w:rsidRPr="00AF5B6D">
        <w:rPr>
          <w:rFonts w:cs="Times New Roman"/>
          <w:kern w:val="22"/>
          <w:lang w:val="fr-CA" w:eastAsia="ja-JP" w:bidi="th-TH"/>
        </w:rPr>
        <w:t>;</w:t>
      </w:r>
    </w:p>
    <w:p w:rsidR="00C914FA" w:rsidRPr="00AF5B6D" w:rsidRDefault="00D53C1E" w:rsidP="007B3E88">
      <w:pPr>
        <w:pStyle w:val="Para10"/>
        <w:numPr>
          <w:ilvl w:val="0"/>
          <w:numId w:val="109"/>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bCs w:val="0"/>
          <w:kern w:val="22"/>
          <w:lang w:val="fr-CA" w:eastAsia="ja-JP" w:bidi="th-TH"/>
        </w:rPr>
        <w:t>Faciliter un financement pertinent afin d’assurer la participation efficace de tous les détenteurs de droits et parties prenantes</w:t>
      </w:r>
      <w:r w:rsidR="00C914FA" w:rsidRPr="00AF5B6D">
        <w:rPr>
          <w:rFonts w:cs="Times New Roman"/>
          <w:bCs w:val="0"/>
          <w:kern w:val="22"/>
          <w:lang w:val="fr-CA" w:eastAsia="ja-JP" w:bidi="th-TH"/>
        </w:rPr>
        <w:t>.</w:t>
      </w:r>
    </w:p>
    <w:p w:rsidR="00C914FA" w:rsidRPr="00AF5B6D" w:rsidRDefault="00D53C1E" w:rsidP="007B3E88">
      <w:pPr>
        <w:pStyle w:val="Para1"/>
        <w:numPr>
          <w:ilvl w:val="0"/>
          <w:numId w:val="53"/>
        </w:numPr>
        <w:suppressLineNumbers/>
        <w:suppressAutoHyphens/>
        <w:kinsoku w:val="0"/>
        <w:overflowPunct w:val="0"/>
        <w:autoSpaceDE w:val="0"/>
        <w:autoSpaceDN w:val="0"/>
        <w:ind w:left="0" w:firstLine="0"/>
        <w:rPr>
          <w:kern w:val="22"/>
          <w:lang w:val="fr-CA" w:eastAsia="ja-JP" w:bidi="th-TH"/>
        </w:rPr>
      </w:pPr>
      <w:r w:rsidRPr="00AF5B6D">
        <w:rPr>
          <w:kern w:val="22"/>
          <w:lang w:val="fr-CA" w:eastAsia="ja-JP" w:bidi="th-TH"/>
        </w:rPr>
        <w:t xml:space="preserve">Mesures proposées que pourraient prendre d’autres acteurs assurant la gouvernance des aires protégées, afin d’améliorer l’efficacité et l’équité de la gouvernance </w:t>
      </w:r>
      <w:r w:rsidR="00C914FA" w:rsidRPr="00AF5B6D">
        <w:rPr>
          <w:kern w:val="22"/>
          <w:lang w:val="fr-CA" w:eastAsia="ja-JP" w:bidi="th-TH"/>
        </w:rPr>
        <w:t>:</w:t>
      </w:r>
    </w:p>
    <w:p w:rsidR="00C914FA" w:rsidRPr="00AF5B6D" w:rsidRDefault="00D53C1E" w:rsidP="00D53C1E">
      <w:pPr>
        <w:pStyle w:val="Para10"/>
        <w:numPr>
          <w:ilvl w:val="0"/>
          <w:numId w:val="110"/>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 xml:space="preserve">Réaliser des évaluations de la gouvernance et de l’équité des aires </w:t>
      </w:r>
      <w:r w:rsidR="00D5736F">
        <w:rPr>
          <w:rFonts w:cs="Times New Roman"/>
          <w:kern w:val="22"/>
          <w:lang w:val="fr-CA" w:eastAsia="ja-JP" w:bidi="th-TH"/>
        </w:rPr>
        <w:t xml:space="preserve">sur place </w:t>
      </w:r>
      <w:r w:rsidRPr="00AF5B6D">
        <w:rPr>
          <w:rFonts w:cs="Times New Roman"/>
          <w:kern w:val="22"/>
          <w:lang w:val="fr-CA" w:eastAsia="ja-JP" w:bidi="th-TH"/>
        </w:rPr>
        <w:t>intégrant les droits des détenteurs de droits et des parties prenantes, et prendre des mesures pour l’amélioration</w:t>
      </w:r>
      <w:r w:rsidR="00C914FA" w:rsidRPr="00AF5B6D">
        <w:rPr>
          <w:rFonts w:cs="Times New Roman"/>
          <w:kern w:val="22"/>
          <w:lang w:val="fr-CA" w:eastAsia="ja-JP" w:bidi="th-TH"/>
        </w:rPr>
        <w:t>;</w:t>
      </w:r>
    </w:p>
    <w:p w:rsidR="00C914FA" w:rsidRPr="00AF5B6D" w:rsidRDefault="00D53C1E" w:rsidP="007B3E88">
      <w:pPr>
        <w:pStyle w:val="Para10"/>
        <w:numPr>
          <w:ilvl w:val="0"/>
          <w:numId w:val="110"/>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 xml:space="preserve">Évaluer, suivre et atténuer les </w:t>
      </w:r>
      <w:r w:rsidR="001B2354" w:rsidRPr="00AF5B6D">
        <w:rPr>
          <w:rFonts w:cs="Times New Roman"/>
          <w:kern w:val="22"/>
          <w:lang w:val="fr-CA" w:eastAsia="ja-JP" w:bidi="th-TH"/>
        </w:rPr>
        <w:t xml:space="preserve">impacts négatifs découlant de l’établissement et/ou </w:t>
      </w:r>
      <w:r w:rsidR="00662658">
        <w:rPr>
          <w:rFonts w:cs="Times New Roman"/>
          <w:kern w:val="22"/>
          <w:lang w:val="fr-CA" w:eastAsia="ja-JP" w:bidi="th-TH"/>
        </w:rPr>
        <w:t>du</w:t>
      </w:r>
      <w:r w:rsidR="001B2354" w:rsidRPr="00AF5B6D">
        <w:rPr>
          <w:rFonts w:cs="Times New Roman"/>
          <w:kern w:val="22"/>
          <w:lang w:val="fr-CA" w:eastAsia="ja-JP" w:bidi="th-TH"/>
        </w:rPr>
        <w:t xml:space="preserve"> maintien des aires protégées et améliorer les impacts positifs</w:t>
      </w:r>
      <w:r w:rsidR="004D526F" w:rsidRPr="00AF5B6D">
        <w:rPr>
          <w:rFonts w:cs="Times New Roman"/>
          <w:kern w:val="22"/>
          <w:lang w:val="fr-CA" w:eastAsia="ja-JP" w:bidi="th-TH"/>
        </w:rPr>
        <w:t>;</w:t>
      </w:r>
      <w:r w:rsidR="00C914FA" w:rsidRPr="00AF5B6D">
        <w:rPr>
          <w:rStyle w:val="Appelnotedebasdep"/>
          <w:rFonts w:eastAsia="Batang" w:cs="Times New Roman"/>
          <w:bCs w:val="0"/>
          <w:iCs/>
          <w:snapToGrid w:val="0"/>
          <w:kern w:val="22"/>
          <w:sz w:val="22"/>
          <w:u w:val="none"/>
          <w:vertAlign w:val="superscript"/>
          <w:lang w:val="fr-CA" w:eastAsia="ja-JP" w:bidi="th-TH"/>
        </w:rPr>
        <w:footnoteReference w:id="48"/>
      </w:r>
    </w:p>
    <w:p w:rsidR="00C914FA" w:rsidRPr="00AF5B6D" w:rsidRDefault="001B2354" w:rsidP="007B3E88">
      <w:pPr>
        <w:pStyle w:val="Para10"/>
        <w:numPr>
          <w:ilvl w:val="0"/>
          <w:numId w:val="110"/>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Participer à des projets de renforcement des capacités sur la gouvernance et l’équité pour les aires protégées et conservées</w:t>
      </w:r>
      <w:r w:rsidR="00787540" w:rsidRPr="00AF5B6D">
        <w:rPr>
          <w:rFonts w:cs="Times New Roman"/>
          <w:kern w:val="22"/>
          <w:lang w:val="fr-CA" w:eastAsia="ja-JP" w:bidi="th-TH"/>
        </w:rPr>
        <w:t>.</w:t>
      </w:r>
    </w:p>
    <w:p w:rsidR="00787540" w:rsidRPr="00AF5B6D" w:rsidRDefault="00787540" w:rsidP="007B3E88">
      <w:pPr>
        <w:pStyle w:val="Para10"/>
        <w:suppressLineNumbers/>
        <w:suppressAutoHyphens/>
        <w:kinsoku w:val="0"/>
        <w:overflowPunct w:val="0"/>
        <w:autoSpaceDE w:val="0"/>
        <w:autoSpaceDN w:val="0"/>
        <w:rPr>
          <w:rFonts w:cs="Times New Roman"/>
          <w:kern w:val="22"/>
          <w:lang w:val="fr-CA" w:eastAsia="ja-JP" w:bidi="th-TH"/>
        </w:rPr>
      </w:pPr>
    </w:p>
    <w:p w:rsidR="00242F8D" w:rsidRPr="00AF5B6D" w:rsidRDefault="00242F8D" w:rsidP="007B3E88">
      <w:pPr>
        <w:suppressLineNumbers/>
        <w:suppressAutoHyphens/>
        <w:kinsoku w:val="0"/>
        <w:overflowPunct w:val="0"/>
        <w:autoSpaceDE w:val="0"/>
        <w:autoSpaceDN w:val="0"/>
        <w:jc w:val="left"/>
        <w:rPr>
          <w:b/>
          <w:snapToGrid w:val="0"/>
          <w:kern w:val="22"/>
          <w:szCs w:val="22"/>
          <w:lang w:val="fr-CA"/>
        </w:rPr>
      </w:pPr>
      <w:r w:rsidRPr="00AF5B6D">
        <w:rPr>
          <w:b/>
          <w:kern w:val="22"/>
          <w:szCs w:val="22"/>
          <w:lang w:val="fr-CA"/>
        </w:rPr>
        <w:br w:type="page"/>
      </w:r>
    </w:p>
    <w:p w:rsidR="004D526F" w:rsidRPr="00AF5B6D" w:rsidRDefault="004D526F" w:rsidP="007B3E88">
      <w:pPr>
        <w:pStyle w:val="Para1"/>
        <w:numPr>
          <w:ilvl w:val="0"/>
          <w:numId w:val="0"/>
        </w:numPr>
        <w:suppressLineNumbers/>
        <w:suppressAutoHyphens/>
        <w:kinsoku w:val="0"/>
        <w:overflowPunct w:val="0"/>
        <w:autoSpaceDE w:val="0"/>
        <w:autoSpaceDN w:val="0"/>
        <w:spacing w:before="0"/>
        <w:jc w:val="center"/>
        <w:rPr>
          <w:i/>
          <w:kern w:val="22"/>
          <w:szCs w:val="22"/>
          <w:lang w:val="fr-CA"/>
        </w:rPr>
      </w:pPr>
      <w:r w:rsidRPr="00AF5B6D">
        <w:rPr>
          <w:i/>
          <w:kern w:val="22"/>
          <w:szCs w:val="22"/>
          <w:lang w:val="fr-CA"/>
        </w:rPr>
        <w:lastRenderedPageBreak/>
        <w:t>Annex</w:t>
      </w:r>
      <w:r w:rsidR="00C62141" w:rsidRPr="00AF5B6D">
        <w:rPr>
          <w:i/>
          <w:kern w:val="22"/>
          <w:szCs w:val="22"/>
          <w:lang w:val="fr-CA"/>
        </w:rPr>
        <w:t>e</w:t>
      </w:r>
      <w:r w:rsidRPr="00AF5B6D">
        <w:rPr>
          <w:i/>
          <w:kern w:val="22"/>
          <w:szCs w:val="22"/>
          <w:lang w:val="fr-CA"/>
        </w:rPr>
        <w:t xml:space="preserve"> </w:t>
      </w:r>
      <w:r w:rsidR="00242F8D" w:rsidRPr="00AF5B6D">
        <w:rPr>
          <w:i/>
          <w:kern w:val="22"/>
          <w:szCs w:val="22"/>
          <w:lang w:val="fr-CA"/>
        </w:rPr>
        <w:t>III</w:t>
      </w:r>
    </w:p>
    <w:p w:rsidR="005D6096" w:rsidRPr="00AF5B6D" w:rsidRDefault="00EB418F" w:rsidP="007B3E88">
      <w:pPr>
        <w:pStyle w:val="HEADING"/>
        <w:keepNext w:val="0"/>
        <w:suppressLineNumbers/>
        <w:suppressAutoHyphens/>
        <w:kinsoku w:val="0"/>
        <w:overflowPunct w:val="0"/>
        <w:autoSpaceDE w:val="0"/>
        <w:autoSpaceDN w:val="0"/>
        <w:rPr>
          <w:b w:val="0"/>
          <w:kern w:val="22"/>
          <w:szCs w:val="22"/>
          <w:lang w:val="fr-CA"/>
        </w:rPr>
      </w:pPr>
      <w:r w:rsidRPr="00AF5B6D">
        <w:rPr>
          <w:kern w:val="22"/>
          <w:szCs w:val="22"/>
          <w:lang w:val="fr-CA"/>
        </w:rPr>
        <w:t xml:space="preserve">avis scientifiques et techniques sur la définition, les approches de gestion et le recensement d’autres </w:t>
      </w:r>
      <w:r w:rsidR="00FC1EA0" w:rsidRPr="00AF5B6D">
        <w:rPr>
          <w:kern w:val="22"/>
          <w:szCs w:val="22"/>
          <w:lang w:val="fr-CA"/>
        </w:rPr>
        <w:t>mesures de conservation efficaces</w:t>
      </w:r>
      <w:r w:rsidRPr="00AF5B6D">
        <w:rPr>
          <w:kern w:val="22"/>
          <w:szCs w:val="22"/>
          <w:lang w:val="fr-CA"/>
        </w:rPr>
        <w:t xml:space="preserve"> par zone et leur rôle dans la réalisation de l’objectif 11 d’aichi relatif à la diversité biologique </w:t>
      </w:r>
      <w:r w:rsidRPr="00AF5B6D">
        <w:rPr>
          <w:kern w:val="22"/>
          <w:szCs w:val="22"/>
          <w:lang w:val="fr-CA"/>
        </w:rPr>
        <w:br/>
        <w:t>(</w:t>
      </w:r>
      <w:r w:rsidR="00FA1684" w:rsidRPr="00AF5B6D">
        <w:rPr>
          <w:kern w:val="22"/>
          <w:szCs w:val="22"/>
          <w:lang w:val="fr-CA"/>
        </w:rPr>
        <w:t xml:space="preserve">PARAGRAPHE 10 b) DE LA </w:t>
      </w:r>
      <w:r w:rsidRPr="00AF5B6D">
        <w:rPr>
          <w:kern w:val="22"/>
          <w:szCs w:val="22"/>
          <w:lang w:val="fr-CA"/>
        </w:rPr>
        <w:t>DÉCISION</w:t>
      </w:r>
      <w:r w:rsidR="005D4A91" w:rsidRPr="00AF5B6D">
        <w:rPr>
          <w:kern w:val="22"/>
          <w:szCs w:val="22"/>
          <w:lang w:val="fr-CA"/>
        </w:rPr>
        <w:t xml:space="preserve"> </w:t>
      </w:r>
      <w:r w:rsidR="005D4A91" w:rsidRPr="004D2D09">
        <w:rPr>
          <w:kern w:val="22"/>
          <w:szCs w:val="22"/>
          <w:lang w:val="fr-CA"/>
        </w:rPr>
        <w:t>XIII/</w:t>
      </w:r>
      <w:r w:rsidR="004D2D09">
        <w:rPr>
          <w:kern w:val="22"/>
          <w:szCs w:val="22"/>
          <w:lang w:val="fr-CA"/>
        </w:rPr>
        <w:t>2)</w:t>
      </w:r>
    </w:p>
    <w:p w:rsidR="005D6096" w:rsidRPr="00AF5B6D" w:rsidRDefault="00FA1684" w:rsidP="007B3E88">
      <w:pPr>
        <w:pStyle w:val="Titre1"/>
        <w:numPr>
          <w:ilvl w:val="0"/>
          <w:numId w:val="38"/>
        </w:numPr>
        <w:suppressLineNumbers/>
        <w:tabs>
          <w:tab w:val="clear" w:pos="720"/>
          <w:tab w:val="left" w:pos="450"/>
        </w:tabs>
        <w:suppressAutoHyphens/>
        <w:kinsoku w:val="0"/>
        <w:overflowPunct w:val="0"/>
        <w:autoSpaceDE w:val="0"/>
        <w:autoSpaceDN w:val="0"/>
        <w:ind w:left="0" w:firstLine="0"/>
        <w:rPr>
          <w:bCs/>
          <w:kern w:val="22"/>
          <w:szCs w:val="22"/>
          <w:lang w:val="fr-CA"/>
        </w:rPr>
      </w:pPr>
      <w:r w:rsidRPr="00AF5B6D">
        <w:rPr>
          <w:bCs/>
          <w:kern w:val="22"/>
          <w:szCs w:val="22"/>
          <w:lang w:val="fr-CA"/>
        </w:rPr>
        <w:t>Dé</w:t>
      </w:r>
      <w:r w:rsidR="005D6096" w:rsidRPr="00AF5B6D">
        <w:rPr>
          <w:bCs/>
          <w:kern w:val="22"/>
          <w:szCs w:val="22"/>
          <w:lang w:val="fr-CA"/>
        </w:rPr>
        <w:t>finition</w:t>
      </w:r>
    </w:p>
    <w:p w:rsidR="006F4C0F" w:rsidRPr="00AF5B6D" w:rsidRDefault="00FA1684" w:rsidP="007B3E88">
      <w:pPr>
        <w:pStyle w:val="Titre3"/>
        <w:keepNext w:val="0"/>
        <w:suppressLineNumbers/>
        <w:shd w:val="clear" w:color="auto" w:fill="FFFFFF"/>
        <w:tabs>
          <w:tab w:val="clear" w:pos="567"/>
        </w:tabs>
        <w:suppressAutoHyphens/>
        <w:kinsoku w:val="0"/>
        <w:overflowPunct w:val="0"/>
        <w:autoSpaceDE w:val="0"/>
        <w:autoSpaceDN w:val="0"/>
        <w:spacing w:before="0"/>
        <w:ind w:left="720"/>
        <w:contextualSpacing/>
        <w:jc w:val="both"/>
        <w:rPr>
          <w:b/>
          <w:bCs/>
          <w:color w:val="000000" w:themeColor="text1"/>
          <w:kern w:val="22"/>
          <w:szCs w:val="22"/>
          <w:lang w:val="fr-CA"/>
        </w:rPr>
      </w:pPr>
      <w:r w:rsidRPr="00AF5B6D">
        <w:rPr>
          <w:color w:val="000000" w:themeColor="text1"/>
          <w:kern w:val="22"/>
          <w:szCs w:val="22"/>
          <w:lang w:val="fr-CA"/>
        </w:rPr>
        <w:t xml:space="preserve">« Autres </w:t>
      </w:r>
      <w:r w:rsidR="00FC1EA0" w:rsidRPr="00AF5B6D">
        <w:rPr>
          <w:color w:val="000000" w:themeColor="text1"/>
          <w:kern w:val="22"/>
          <w:szCs w:val="22"/>
          <w:lang w:val="fr-CA"/>
        </w:rPr>
        <w:t>mesures de conservation efficaces</w:t>
      </w:r>
      <w:r w:rsidRPr="00AF5B6D">
        <w:rPr>
          <w:color w:val="000000" w:themeColor="text1"/>
          <w:kern w:val="22"/>
          <w:szCs w:val="22"/>
          <w:lang w:val="fr-CA"/>
        </w:rPr>
        <w:t xml:space="preserve"> par zone » signifie</w:t>
      </w:r>
      <w:r w:rsidR="00B025E9" w:rsidRPr="00AF5B6D">
        <w:rPr>
          <w:color w:val="000000" w:themeColor="text1"/>
          <w:kern w:val="22"/>
          <w:szCs w:val="22"/>
          <w:lang w:val="fr-CA"/>
        </w:rPr>
        <w:t> : Une aire définie géographiquement</w:t>
      </w:r>
      <w:r w:rsidRPr="00AF5B6D">
        <w:rPr>
          <w:color w:val="000000" w:themeColor="text1"/>
          <w:kern w:val="22"/>
          <w:szCs w:val="22"/>
          <w:lang w:val="fr-CA"/>
        </w:rPr>
        <w:t xml:space="preserve"> </w:t>
      </w:r>
      <w:r w:rsidR="00B025E9" w:rsidRPr="00AF5B6D">
        <w:rPr>
          <w:color w:val="000000" w:themeColor="text1"/>
          <w:kern w:val="22"/>
          <w:szCs w:val="22"/>
          <w:lang w:val="fr-CA"/>
        </w:rPr>
        <w:t>autre qu’une aire protégée faisant l’objet d’une gouvernance et gérée de manière à obtenir des résultats positifs et durables de la conservation de la diversité biologique</w:t>
      </w:r>
      <w:r w:rsidR="008A0E80" w:rsidRPr="00AF5B6D">
        <w:rPr>
          <w:color w:val="000000" w:themeColor="text1"/>
          <w:kern w:val="22"/>
          <w:szCs w:val="22"/>
          <w:lang w:val="fr-CA"/>
        </w:rPr>
        <w:t>,</w:t>
      </w:r>
      <w:r w:rsidR="00473134" w:rsidRPr="00AF5B6D">
        <w:rPr>
          <w:rStyle w:val="Appelnotedebasdep"/>
          <w:color w:val="000000" w:themeColor="text1"/>
          <w:kern w:val="22"/>
          <w:sz w:val="22"/>
          <w:szCs w:val="22"/>
          <w:u w:val="none"/>
          <w:vertAlign w:val="superscript"/>
          <w:lang w:val="fr-CA"/>
        </w:rPr>
        <w:footnoteReference w:id="49"/>
      </w:r>
      <w:r w:rsidR="005D6096" w:rsidRPr="00AF5B6D">
        <w:rPr>
          <w:color w:val="000000" w:themeColor="text1"/>
          <w:kern w:val="22"/>
          <w:szCs w:val="22"/>
          <w:lang w:val="fr-CA"/>
        </w:rPr>
        <w:t xml:space="preserve"> </w:t>
      </w:r>
      <w:r w:rsidR="0039684B" w:rsidRPr="00AF5B6D">
        <w:rPr>
          <w:color w:val="000000" w:themeColor="text1"/>
          <w:kern w:val="22"/>
          <w:szCs w:val="22"/>
          <w:lang w:val="fr-CA"/>
        </w:rPr>
        <w:t>dont les</w:t>
      </w:r>
      <w:r w:rsidR="00B025E9" w:rsidRPr="00AF5B6D">
        <w:rPr>
          <w:color w:val="000000" w:themeColor="text1"/>
          <w:kern w:val="22"/>
          <w:szCs w:val="22"/>
          <w:lang w:val="fr-CA"/>
        </w:rPr>
        <w:t xml:space="preserve"> services écosystémiques et valeurs spirituelles qui lui sont associées</w:t>
      </w:r>
      <w:r w:rsidR="005D6096" w:rsidRPr="00AF5B6D">
        <w:rPr>
          <w:color w:val="000000" w:themeColor="text1"/>
          <w:kern w:val="22"/>
          <w:szCs w:val="22"/>
          <w:lang w:val="fr-CA"/>
        </w:rPr>
        <w:t>.</w:t>
      </w:r>
    </w:p>
    <w:p w:rsidR="005D6096" w:rsidRPr="00AF5B6D" w:rsidRDefault="00CA63A7" w:rsidP="007B3E88">
      <w:pPr>
        <w:pStyle w:val="Titre1"/>
        <w:keepNext/>
        <w:suppressLineNumbers/>
        <w:tabs>
          <w:tab w:val="clear" w:pos="720"/>
          <w:tab w:val="left" w:pos="540"/>
        </w:tabs>
        <w:suppressAutoHyphens/>
        <w:kinsoku w:val="0"/>
        <w:overflowPunct w:val="0"/>
        <w:autoSpaceDE w:val="0"/>
        <w:autoSpaceDN w:val="0"/>
        <w:rPr>
          <w:rFonts w:eastAsia="Calibri"/>
          <w:kern w:val="22"/>
          <w:szCs w:val="22"/>
          <w:lang w:val="fr-CA"/>
        </w:rPr>
      </w:pPr>
      <w:r w:rsidRPr="00AF5B6D">
        <w:rPr>
          <w:rFonts w:eastAsia="Calibri"/>
          <w:kern w:val="22"/>
          <w:szCs w:val="22"/>
          <w:lang w:val="fr-CA"/>
        </w:rPr>
        <w:t>B.</w:t>
      </w:r>
      <w:r w:rsidRPr="00AF5B6D">
        <w:rPr>
          <w:rFonts w:eastAsia="Calibri"/>
          <w:kern w:val="22"/>
          <w:szCs w:val="22"/>
          <w:lang w:val="fr-CA"/>
        </w:rPr>
        <w:tab/>
      </w:r>
      <w:r w:rsidR="0039684B" w:rsidRPr="00AF5B6D">
        <w:rPr>
          <w:rFonts w:eastAsia="Calibri"/>
          <w:kern w:val="22"/>
          <w:szCs w:val="22"/>
          <w:lang w:val="fr-CA"/>
        </w:rPr>
        <w:t>PRINCIPES DIRECTEURS</w:t>
      </w:r>
    </w:p>
    <w:p w:rsidR="00CA63A7" w:rsidRPr="00AF5B6D" w:rsidRDefault="0039684B" w:rsidP="007B3E88">
      <w:pPr>
        <w:pStyle w:val="Para1"/>
        <w:numPr>
          <w:ilvl w:val="0"/>
          <w:numId w:val="0"/>
        </w:numPr>
        <w:suppressLineNumbers/>
        <w:suppressAutoHyphens/>
        <w:kinsoku w:val="0"/>
        <w:overflowPunct w:val="0"/>
        <w:autoSpaceDE w:val="0"/>
        <w:autoSpaceDN w:val="0"/>
        <w:rPr>
          <w:kern w:val="22"/>
          <w:szCs w:val="22"/>
          <w:lang w:val="fr-CA"/>
        </w:rPr>
      </w:pPr>
      <w:r w:rsidRPr="00AF5B6D">
        <w:rPr>
          <w:kern w:val="22"/>
          <w:szCs w:val="22"/>
          <w:lang w:val="fr-CA"/>
        </w:rPr>
        <w:t>Les principes directeurs doivent être appliqués avec souplesse et au cas par cas</w:t>
      </w:r>
      <w:r w:rsidR="00CA63A7" w:rsidRPr="00AF5B6D">
        <w:rPr>
          <w:kern w:val="22"/>
          <w:szCs w:val="22"/>
          <w:lang w:val="fr-CA"/>
        </w:rPr>
        <w:t>.</w:t>
      </w:r>
    </w:p>
    <w:p w:rsidR="005D6096" w:rsidRPr="00AF5B6D" w:rsidRDefault="00BF1EB7" w:rsidP="00BF1EB7">
      <w:pPr>
        <w:pStyle w:val="Paragraphedeliste"/>
        <w:numPr>
          <w:ilvl w:val="0"/>
          <w:numId w:val="87"/>
        </w:numPr>
        <w:suppressLineNumbers/>
        <w:suppressAutoHyphens/>
        <w:kinsoku w:val="0"/>
        <w:overflowPunct w:val="0"/>
        <w:autoSpaceDE w:val="0"/>
        <w:autoSpaceDN w:val="0"/>
        <w:spacing w:after="120" w:line="216" w:lineRule="auto"/>
        <w:ind w:left="0" w:firstLine="720"/>
        <w:contextualSpacing w:val="0"/>
        <w:rPr>
          <w:b/>
          <w:color w:val="000000" w:themeColor="text1"/>
          <w:kern w:val="22"/>
          <w:szCs w:val="22"/>
          <w:lang w:val="fr-CA"/>
        </w:rPr>
      </w:pPr>
      <w:r w:rsidRPr="00AF5B6D">
        <w:rPr>
          <w:color w:val="000000" w:themeColor="text1"/>
          <w:kern w:val="22"/>
          <w:szCs w:val="22"/>
          <w:lang w:val="fr-CA"/>
        </w:rPr>
        <w:t>Les autres mesures de conservation efficace</w:t>
      </w:r>
      <w:r w:rsidR="00311093">
        <w:rPr>
          <w:color w:val="000000" w:themeColor="text1"/>
          <w:kern w:val="22"/>
          <w:szCs w:val="22"/>
          <w:lang w:val="fr-CA"/>
        </w:rPr>
        <w:t>s</w:t>
      </w:r>
      <w:r w:rsidRPr="00AF5B6D">
        <w:rPr>
          <w:color w:val="000000" w:themeColor="text1"/>
          <w:kern w:val="22"/>
          <w:szCs w:val="22"/>
          <w:lang w:val="fr-CA"/>
        </w:rPr>
        <w:t xml:space="preserve"> par zone (</w:t>
      </w:r>
      <w:proofErr w:type="spellStart"/>
      <w:r w:rsidRPr="00AF5B6D">
        <w:rPr>
          <w:color w:val="000000" w:themeColor="text1"/>
          <w:kern w:val="22"/>
          <w:szCs w:val="22"/>
          <w:lang w:val="fr-CA"/>
        </w:rPr>
        <w:t>AMCEZ</w:t>
      </w:r>
      <w:proofErr w:type="spellEnd"/>
      <w:r w:rsidRPr="00AF5B6D">
        <w:rPr>
          <w:color w:val="000000" w:themeColor="text1"/>
          <w:kern w:val="22"/>
          <w:szCs w:val="22"/>
          <w:lang w:val="fr-CA"/>
        </w:rPr>
        <w:t xml:space="preserve">) ont une valeur </w:t>
      </w:r>
      <w:r w:rsidR="00C3761A">
        <w:rPr>
          <w:color w:val="000000" w:themeColor="text1"/>
          <w:kern w:val="22"/>
          <w:szCs w:val="22"/>
          <w:lang w:val="fr-CA"/>
        </w:rPr>
        <w:t>pour la</w:t>
      </w:r>
      <w:r w:rsidRPr="00AF5B6D">
        <w:rPr>
          <w:color w:val="000000" w:themeColor="text1"/>
          <w:kern w:val="22"/>
          <w:szCs w:val="22"/>
          <w:lang w:val="fr-CA"/>
        </w:rPr>
        <w:t xml:space="preserve"> diversité biologique </w:t>
      </w:r>
      <w:r w:rsidR="00311093">
        <w:rPr>
          <w:color w:val="000000" w:themeColor="text1"/>
          <w:kern w:val="22"/>
          <w:szCs w:val="22"/>
          <w:lang w:val="fr-CA"/>
        </w:rPr>
        <w:t xml:space="preserve">qui constitue un facteur </w:t>
      </w:r>
      <w:r w:rsidRPr="00AF5B6D">
        <w:rPr>
          <w:color w:val="000000" w:themeColor="text1"/>
          <w:kern w:val="22"/>
          <w:szCs w:val="22"/>
          <w:lang w:val="fr-CA"/>
        </w:rPr>
        <w:t>pour la réalisation de l’Objectif 11 du but st</w:t>
      </w:r>
      <w:r w:rsidR="004D4E76" w:rsidRPr="00AF5B6D">
        <w:rPr>
          <w:color w:val="000000" w:themeColor="text1"/>
          <w:kern w:val="22"/>
          <w:szCs w:val="22"/>
          <w:lang w:val="fr-CA"/>
        </w:rPr>
        <w:t>r</w:t>
      </w:r>
      <w:r w:rsidRPr="00AF5B6D">
        <w:rPr>
          <w:color w:val="000000" w:themeColor="text1"/>
          <w:kern w:val="22"/>
          <w:szCs w:val="22"/>
          <w:lang w:val="fr-CA"/>
        </w:rPr>
        <w:t>atégique C du Plan stratégique 2011-2020 pour la diversité biologique</w:t>
      </w:r>
      <w:r w:rsidR="008A0E80" w:rsidRPr="00AF5B6D">
        <w:rPr>
          <w:color w:val="000000" w:themeColor="text1"/>
          <w:kern w:val="22"/>
          <w:szCs w:val="22"/>
          <w:lang w:val="fr-CA"/>
        </w:rPr>
        <w:t>;</w:t>
      </w:r>
    </w:p>
    <w:p w:rsidR="005D6096" w:rsidRPr="00AF5B6D" w:rsidRDefault="00BF1EB7" w:rsidP="007B3E88">
      <w:pPr>
        <w:pStyle w:val="Paragraphedeliste"/>
        <w:numPr>
          <w:ilvl w:val="0"/>
          <w:numId w:val="87"/>
        </w:numPr>
        <w:suppressLineNumbers/>
        <w:suppressAutoHyphens/>
        <w:kinsoku w:val="0"/>
        <w:overflowPunct w:val="0"/>
        <w:autoSpaceDE w:val="0"/>
        <w:autoSpaceDN w:val="0"/>
        <w:spacing w:after="120" w:line="216" w:lineRule="auto"/>
        <w:ind w:left="0" w:firstLine="720"/>
        <w:contextualSpacing w:val="0"/>
        <w:rPr>
          <w:b/>
          <w:color w:val="000000" w:themeColor="text1"/>
          <w:kern w:val="22"/>
          <w:szCs w:val="22"/>
          <w:lang w:val="fr-CA"/>
        </w:rPr>
      </w:pPr>
      <w:r w:rsidRPr="00AF5B6D">
        <w:rPr>
          <w:color w:val="000000" w:themeColor="text1"/>
          <w:kern w:val="22"/>
          <w:szCs w:val="22"/>
          <w:lang w:val="fr-CA"/>
        </w:rPr>
        <w:t xml:space="preserve">Les </w:t>
      </w:r>
      <w:proofErr w:type="spellStart"/>
      <w:r w:rsidRPr="00AF5B6D">
        <w:rPr>
          <w:color w:val="000000" w:themeColor="text1"/>
          <w:kern w:val="22"/>
          <w:szCs w:val="22"/>
          <w:lang w:val="fr-CA"/>
        </w:rPr>
        <w:t>AMCEZ</w:t>
      </w:r>
      <w:proofErr w:type="spellEnd"/>
      <w:r w:rsidRPr="00AF5B6D">
        <w:rPr>
          <w:color w:val="000000" w:themeColor="text1"/>
          <w:kern w:val="22"/>
          <w:szCs w:val="22"/>
          <w:lang w:val="fr-CA"/>
        </w:rPr>
        <w:t xml:space="preserve"> </w:t>
      </w:r>
      <w:r w:rsidR="00C3761A">
        <w:rPr>
          <w:color w:val="000000" w:themeColor="text1"/>
          <w:kern w:val="22"/>
          <w:szCs w:val="22"/>
          <w:lang w:val="fr-CA"/>
        </w:rPr>
        <w:t>laissent apparaître une</w:t>
      </w:r>
      <w:r w:rsidR="004D4E76" w:rsidRPr="00AF5B6D">
        <w:rPr>
          <w:color w:val="000000" w:themeColor="text1"/>
          <w:kern w:val="22"/>
          <w:szCs w:val="22"/>
          <w:lang w:val="fr-CA"/>
        </w:rPr>
        <w:t xml:space="preserve"> occasion </w:t>
      </w:r>
      <w:r w:rsidR="00C3761A">
        <w:rPr>
          <w:color w:val="000000" w:themeColor="text1"/>
          <w:kern w:val="22"/>
          <w:szCs w:val="22"/>
          <w:lang w:val="fr-CA"/>
        </w:rPr>
        <w:t>d’assurer</w:t>
      </w:r>
      <w:r w:rsidR="004D4E76" w:rsidRPr="00AF5B6D">
        <w:rPr>
          <w:color w:val="000000" w:themeColor="text1"/>
          <w:kern w:val="22"/>
          <w:szCs w:val="22"/>
          <w:lang w:val="fr-CA"/>
        </w:rPr>
        <w:t xml:space="preserve"> la conservation in situ à long terme de la diversité biologique. Elles peuvent permettre des activités humaines durables tout en offrant un avantage clair pour la conservation de la diversité biologique et l’évitement de conséquences négatives pour la diversité biologique. La reconnaissance d’une aire encourage le maintien de la valeur </w:t>
      </w:r>
      <w:r w:rsidR="00C3761A">
        <w:rPr>
          <w:color w:val="000000" w:themeColor="text1"/>
          <w:kern w:val="22"/>
          <w:szCs w:val="22"/>
          <w:lang w:val="fr-CA"/>
        </w:rPr>
        <w:t xml:space="preserve">existante </w:t>
      </w:r>
      <w:r w:rsidR="004D4E76" w:rsidRPr="00AF5B6D">
        <w:rPr>
          <w:color w:val="000000" w:themeColor="text1"/>
          <w:kern w:val="22"/>
          <w:szCs w:val="22"/>
          <w:lang w:val="fr-CA"/>
        </w:rPr>
        <w:t xml:space="preserve">de </w:t>
      </w:r>
      <w:r w:rsidR="00C3761A">
        <w:rPr>
          <w:color w:val="000000" w:themeColor="text1"/>
          <w:kern w:val="22"/>
          <w:szCs w:val="22"/>
          <w:lang w:val="fr-CA"/>
        </w:rPr>
        <w:t xml:space="preserve">la </w:t>
      </w:r>
      <w:r w:rsidR="004D4E76" w:rsidRPr="00AF5B6D">
        <w:rPr>
          <w:color w:val="000000" w:themeColor="text1"/>
          <w:kern w:val="22"/>
          <w:szCs w:val="22"/>
          <w:lang w:val="fr-CA"/>
        </w:rPr>
        <w:t>diversité biologique et</w:t>
      </w:r>
      <w:r w:rsidR="00B731D3" w:rsidRPr="00AF5B6D">
        <w:rPr>
          <w:color w:val="000000" w:themeColor="text1"/>
          <w:kern w:val="22"/>
          <w:szCs w:val="22"/>
          <w:lang w:val="fr-CA"/>
        </w:rPr>
        <w:t xml:space="preserve"> l’amélioration des résultats de la conservation de la diversité biologique</w:t>
      </w:r>
      <w:r w:rsidR="008A0E80" w:rsidRPr="00AF5B6D">
        <w:rPr>
          <w:color w:val="000000" w:themeColor="text1"/>
          <w:kern w:val="22"/>
          <w:szCs w:val="22"/>
          <w:lang w:val="fr-CA"/>
        </w:rPr>
        <w:t>;</w:t>
      </w:r>
    </w:p>
    <w:p w:rsidR="005D6096" w:rsidRPr="00AF5B6D" w:rsidRDefault="00B731D3" w:rsidP="007B3E88">
      <w:pPr>
        <w:pStyle w:val="Paragraphedeliste"/>
        <w:numPr>
          <w:ilvl w:val="0"/>
          <w:numId w:val="87"/>
        </w:numPr>
        <w:suppressLineNumbers/>
        <w:suppressAutoHyphens/>
        <w:kinsoku w:val="0"/>
        <w:overflowPunct w:val="0"/>
        <w:autoSpaceDE w:val="0"/>
        <w:autoSpaceDN w:val="0"/>
        <w:spacing w:after="120" w:line="216" w:lineRule="auto"/>
        <w:ind w:left="0" w:firstLine="720"/>
        <w:contextualSpacing w:val="0"/>
        <w:rPr>
          <w:b/>
          <w:color w:val="000000" w:themeColor="text1"/>
          <w:kern w:val="22"/>
          <w:szCs w:val="22"/>
          <w:lang w:val="fr-CA"/>
        </w:rPr>
      </w:pPr>
      <w:r w:rsidRPr="00AF5B6D">
        <w:rPr>
          <w:color w:val="000000" w:themeColor="text1"/>
          <w:kern w:val="22"/>
          <w:szCs w:val="22"/>
          <w:lang w:val="fr-CA"/>
        </w:rPr>
        <w:t xml:space="preserve">Les </w:t>
      </w:r>
      <w:proofErr w:type="spellStart"/>
      <w:r w:rsidRPr="00AF5B6D">
        <w:rPr>
          <w:color w:val="000000" w:themeColor="text1"/>
          <w:kern w:val="22"/>
          <w:szCs w:val="22"/>
          <w:lang w:val="fr-CA"/>
        </w:rPr>
        <w:t>AMCEZ</w:t>
      </w:r>
      <w:proofErr w:type="spellEnd"/>
      <w:r w:rsidRPr="00AF5B6D">
        <w:rPr>
          <w:color w:val="000000" w:themeColor="text1"/>
          <w:kern w:val="22"/>
          <w:szCs w:val="22"/>
          <w:lang w:val="fr-CA"/>
        </w:rPr>
        <w:t xml:space="preserve"> offrent des résultats de la diversité biologique qui se comparent aux résultats des aires protégées et les complètent</w:t>
      </w:r>
      <w:r w:rsidR="008A0E80" w:rsidRPr="00AF5B6D">
        <w:rPr>
          <w:color w:val="000000" w:themeColor="text1"/>
          <w:kern w:val="22"/>
          <w:szCs w:val="22"/>
          <w:lang w:val="fr-CA"/>
        </w:rPr>
        <w:t>;</w:t>
      </w:r>
    </w:p>
    <w:p w:rsidR="005D6096" w:rsidRPr="00AF5B6D" w:rsidRDefault="00B731D3" w:rsidP="007B3E88">
      <w:pPr>
        <w:pStyle w:val="Paragraphedeliste"/>
        <w:numPr>
          <w:ilvl w:val="0"/>
          <w:numId w:val="87"/>
        </w:numPr>
        <w:suppressLineNumbers/>
        <w:suppressAutoHyphens/>
        <w:kinsoku w:val="0"/>
        <w:overflowPunct w:val="0"/>
        <w:autoSpaceDE w:val="0"/>
        <w:autoSpaceDN w:val="0"/>
        <w:spacing w:after="120" w:line="216" w:lineRule="auto"/>
        <w:ind w:left="0" w:firstLine="720"/>
        <w:contextualSpacing w:val="0"/>
        <w:rPr>
          <w:color w:val="000000" w:themeColor="text1"/>
          <w:kern w:val="22"/>
          <w:szCs w:val="22"/>
          <w:lang w:val="fr-CA"/>
        </w:rPr>
      </w:pPr>
      <w:r w:rsidRPr="00AF5B6D">
        <w:rPr>
          <w:color w:val="000000" w:themeColor="text1"/>
          <w:kern w:val="22"/>
          <w:szCs w:val="22"/>
          <w:lang w:val="fr-CA"/>
        </w:rPr>
        <w:t xml:space="preserve">Les </w:t>
      </w:r>
      <w:proofErr w:type="spellStart"/>
      <w:r w:rsidRPr="00AF5B6D">
        <w:rPr>
          <w:color w:val="000000" w:themeColor="text1"/>
          <w:kern w:val="22"/>
          <w:szCs w:val="22"/>
          <w:lang w:val="fr-CA"/>
        </w:rPr>
        <w:t>AMCEZ</w:t>
      </w:r>
      <w:proofErr w:type="spellEnd"/>
      <w:r w:rsidRPr="00AF5B6D">
        <w:rPr>
          <w:color w:val="000000" w:themeColor="text1"/>
          <w:kern w:val="22"/>
          <w:szCs w:val="22"/>
          <w:lang w:val="fr-CA"/>
        </w:rPr>
        <w:t xml:space="preserve"> </w:t>
      </w:r>
      <w:r w:rsidR="00C3761A">
        <w:rPr>
          <w:color w:val="000000" w:themeColor="text1"/>
          <w:kern w:val="22"/>
          <w:szCs w:val="22"/>
          <w:lang w:val="fr-CA"/>
        </w:rPr>
        <w:t>créent</w:t>
      </w:r>
      <w:r w:rsidRPr="00AF5B6D">
        <w:rPr>
          <w:color w:val="000000" w:themeColor="text1"/>
          <w:kern w:val="22"/>
          <w:szCs w:val="22"/>
          <w:lang w:val="fr-CA"/>
        </w:rPr>
        <w:t xml:space="preserve"> </w:t>
      </w:r>
      <w:r w:rsidR="00C3761A">
        <w:rPr>
          <w:color w:val="000000" w:themeColor="text1"/>
          <w:kern w:val="22"/>
          <w:szCs w:val="22"/>
          <w:lang w:val="fr-CA"/>
        </w:rPr>
        <w:t>d</w:t>
      </w:r>
      <w:r w:rsidRPr="00AF5B6D">
        <w:rPr>
          <w:color w:val="000000" w:themeColor="text1"/>
          <w:kern w:val="22"/>
          <w:szCs w:val="22"/>
          <w:lang w:val="fr-CA"/>
        </w:rPr>
        <w:t xml:space="preserve">es résultats positifs pour la diversité biologique en prévenant, réduisant ou éliminant les principales menaces existantes ou prévues, et en renforçant les protections existantes. La gestion des </w:t>
      </w:r>
      <w:proofErr w:type="spellStart"/>
      <w:r w:rsidRPr="00AF5B6D">
        <w:rPr>
          <w:color w:val="000000" w:themeColor="text1"/>
          <w:kern w:val="22"/>
          <w:szCs w:val="22"/>
          <w:lang w:val="fr-CA"/>
        </w:rPr>
        <w:t>AMCEZ</w:t>
      </w:r>
      <w:proofErr w:type="spellEnd"/>
      <w:r w:rsidRPr="00AF5B6D">
        <w:rPr>
          <w:color w:val="000000" w:themeColor="text1"/>
          <w:kern w:val="22"/>
          <w:szCs w:val="22"/>
          <w:lang w:val="fr-CA"/>
        </w:rPr>
        <w:t xml:space="preserve"> </w:t>
      </w:r>
      <w:r w:rsidR="002F4A05" w:rsidRPr="00AF5B6D">
        <w:rPr>
          <w:color w:val="000000" w:themeColor="text1"/>
          <w:kern w:val="22"/>
          <w:szCs w:val="22"/>
          <w:lang w:val="fr-CA"/>
        </w:rPr>
        <w:t>est fait</w:t>
      </w:r>
      <w:r w:rsidRPr="00AF5B6D">
        <w:rPr>
          <w:color w:val="000000" w:themeColor="text1"/>
          <w:kern w:val="22"/>
          <w:szCs w:val="22"/>
          <w:lang w:val="fr-CA"/>
        </w:rPr>
        <w:t>e dans le respect de l’approche par écosystème et</w:t>
      </w:r>
      <w:r w:rsidR="002F4A05" w:rsidRPr="00AF5B6D">
        <w:rPr>
          <w:color w:val="000000" w:themeColor="text1"/>
          <w:kern w:val="22"/>
          <w:szCs w:val="22"/>
          <w:lang w:val="fr-CA"/>
        </w:rPr>
        <w:t xml:space="preserve"> du</w:t>
      </w:r>
      <w:r w:rsidRPr="00AF5B6D">
        <w:rPr>
          <w:color w:val="000000" w:themeColor="text1"/>
          <w:kern w:val="22"/>
          <w:szCs w:val="22"/>
          <w:lang w:val="fr-CA"/>
        </w:rPr>
        <w:t xml:space="preserve"> principe de précaution, et offre la capacité </w:t>
      </w:r>
      <w:r w:rsidR="002F4A05" w:rsidRPr="00AF5B6D">
        <w:rPr>
          <w:color w:val="000000" w:themeColor="text1"/>
          <w:kern w:val="22"/>
          <w:szCs w:val="22"/>
          <w:lang w:val="fr-CA"/>
        </w:rPr>
        <w:t xml:space="preserve">de s’adapter afin </w:t>
      </w:r>
      <w:r w:rsidR="002138E6">
        <w:rPr>
          <w:color w:val="000000" w:themeColor="text1"/>
          <w:kern w:val="22"/>
          <w:szCs w:val="22"/>
          <w:lang w:val="fr-CA"/>
        </w:rPr>
        <w:t>d’obtenir</w:t>
      </w:r>
      <w:r w:rsidR="002F4A05" w:rsidRPr="00AF5B6D">
        <w:rPr>
          <w:color w:val="000000" w:themeColor="text1"/>
          <w:kern w:val="22"/>
          <w:szCs w:val="22"/>
          <w:lang w:val="fr-CA"/>
        </w:rPr>
        <w:t xml:space="preserve"> les résultats pour la diversité biologique, dont les résultats à long terme et la capacité de gérer les nouvelles menaces</w:t>
      </w:r>
      <w:r w:rsidR="008A0E80" w:rsidRPr="00AF5B6D">
        <w:rPr>
          <w:color w:val="000000" w:themeColor="text1"/>
          <w:kern w:val="22"/>
          <w:szCs w:val="22"/>
          <w:lang w:val="fr-CA"/>
        </w:rPr>
        <w:t>;</w:t>
      </w:r>
    </w:p>
    <w:p w:rsidR="005D6096" w:rsidRPr="00AF5B6D" w:rsidRDefault="002F4A05" w:rsidP="007B3E88">
      <w:pPr>
        <w:pStyle w:val="Paragraphedeliste"/>
        <w:numPr>
          <w:ilvl w:val="0"/>
          <w:numId w:val="87"/>
        </w:numPr>
        <w:suppressLineNumbers/>
        <w:suppressAutoHyphens/>
        <w:kinsoku w:val="0"/>
        <w:overflowPunct w:val="0"/>
        <w:autoSpaceDE w:val="0"/>
        <w:autoSpaceDN w:val="0"/>
        <w:spacing w:after="120" w:line="216" w:lineRule="auto"/>
        <w:ind w:left="0" w:firstLine="720"/>
        <w:contextualSpacing w:val="0"/>
        <w:rPr>
          <w:b/>
          <w:color w:val="000000" w:themeColor="text1"/>
          <w:kern w:val="22"/>
          <w:szCs w:val="22"/>
          <w:lang w:val="fr-CA"/>
        </w:rPr>
      </w:pPr>
      <w:r w:rsidRPr="00AF5B6D">
        <w:rPr>
          <w:color w:val="000000" w:themeColor="text1"/>
          <w:kern w:val="22"/>
          <w:szCs w:val="22"/>
          <w:lang w:val="fr-CA"/>
        </w:rPr>
        <w:t xml:space="preserve">Les </w:t>
      </w:r>
      <w:proofErr w:type="spellStart"/>
      <w:r w:rsidRPr="00AF5B6D">
        <w:rPr>
          <w:color w:val="000000" w:themeColor="text1"/>
          <w:kern w:val="22"/>
          <w:szCs w:val="22"/>
          <w:lang w:val="fr-CA"/>
        </w:rPr>
        <w:t>AMCEZ</w:t>
      </w:r>
      <w:proofErr w:type="spellEnd"/>
      <w:r w:rsidRPr="00AF5B6D">
        <w:rPr>
          <w:color w:val="000000" w:themeColor="text1"/>
          <w:kern w:val="22"/>
          <w:szCs w:val="22"/>
          <w:lang w:val="fr-CA"/>
        </w:rPr>
        <w:t xml:space="preserve"> aident à offrir une représentativité et une connectivité accrues dans les réseaux d’aires protégées et peuvent ainsi aider à faire face </w:t>
      </w:r>
      <w:r w:rsidR="00A006AB" w:rsidRPr="00AF5B6D">
        <w:rPr>
          <w:color w:val="000000" w:themeColor="text1"/>
          <w:kern w:val="22"/>
          <w:szCs w:val="22"/>
          <w:lang w:val="fr-CA"/>
        </w:rPr>
        <w:t>à des menaces plus impor</w:t>
      </w:r>
      <w:r w:rsidRPr="00AF5B6D">
        <w:rPr>
          <w:color w:val="000000" w:themeColor="text1"/>
          <w:kern w:val="22"/>
          <w:szCs w:val="22"/>
          <w:lang w:val="fr-CA"/>
        </w:rPr>
        <w:t xml:space="preserve">tantes et </w:t>
      </w:r>
      <w:r w:rsidR="00A006AB" w:rsidRPr="00AF5B6D">
        <w:rPr>
          <w:color w:val="000000" w:themeColor="text1"/>
          <w:kern w:val="22"/>
          <w:szCs w:val="22"/>
          <w:lang w:val="fr-CA"/>
        </w:rPr>
        <w:t>envahissantes,</w:t>
      </w:r>
      <w:r w:rsidRPr="00AF5B6D">
        <w:rPr>
          <w:color w:val="000000" w:themeColor="text1"/>
          <w:kern w:val="22"/>
          <w:szCs w:val="22"/>
          <w:lang w:val="fr-CA"/>
        </w:rPr>
        <w:t xml:space="preserve"> et amélio</w:t>
      </w:r>
      <w:r w:rsidR="00A006AB" w:rsidRPr="00AF5B6D">
        <w:rPr>
          <w:color w:val="000000" w:themeColor="text1"/>
          <w:kern w:val="22"/>
          <w:szCs w:val="22"/>
          <w:lang w:val="fr-CA"/>
        </w:rPr>
        <w:t xml:space="preserve">rer la </w:t>
      </w:r>
      <w:r w:rsidR="002138E6">
        <w:rPr>
          <w:color w:val="000000" w:themeColor="text1"/>
          <w:kern w:val="22"/>
          <w:szCs w:val="22"/>
          <w:lang w:val="fr-CA"/>
        </w:rPr>
        <w:t>résilience</w:t>
      </w:r>
      <w:r w:rsidR="00A006AB" w:rsidRPr="00AF5B6D">
        <w:rPr>
          <w:color w:val="000000" w:themeColor="text1"/>
          <w:kern w:val="22"/>
          <w:szCs w:val="22"/>
          <w:lang w:val="fr-CA"/>
        </w:rPr>
        <w:t xml:space="preserve">, </w:t>
      </w:r>
      <w:r w:rsidR="002138E6">
        <w:rPr>
          <w:color w:val="000000" w:themeColor="text1"/>
          <w:kern w:val="22"/>
          <w:szCs w:val="22"/>
          <w:lang w:val="fr-CA"/>
        </w:rPr>
        <w:t>notamment face</w:t>
      </w:r>
      <w:r w:rsidR="00A006AB" w:rsidRPr="00AF5B6D">
        <w:rPr>
          <w:color w:val="000000" w:themeColor="text1"/>
          <w:kern w:val="22"/>
          <w:szCs w:val="22"/>
          <w:lang w:val="fr-CA"/>
        </w:rPr>
        <w:t xml:space="preserve"> au</w:t>
      </w:r>
      <w:r w:rsidRPr="00AF5B6D">
        <w:rPr>
          <w:color w:val="000000" w:themeColor="text1"/>
          <w:kern w:val="22"/>
          <w:szCs w:val="22"/>
          <w:lang w:val="fr-CA"/>
        </w:rPr>
        <w:t>x changements climatiques</w:t>
      </w:r>
      <w:r w:rsidR="008A0E80" w:rsidRPr="00AF5B6D">
        <w:rPr>
          <w:color w:val="000000" w:themeColor="text1"/>
          <w:kern w:val="22"/>
          <w:szCs w:val="22"/>
          <w:lang w:val="fr-CA"/>
        </w:rPr>
        <w:t>;</w:t>
      </w:r>
    </w:p>
    <w:p w:rsidR="005D6096" w:rsidRPr="00AF5B6D" w:rsidRDefault="00A006AB" w:rsidP="007B3E88">
      <w:pPr>
        <w:pStyle w:val="Paragraphedeliste"/>
        <w:numPr>
          <w:ilvl w:val="0"/>
          <w:numId w:val="87"/>
        </w:numPr>
        <w:suppressLineNumbers/>
        <w:suppressAutoHyphens/>
        <w:kinsoku w:val="0"/>
        <w:overflowPunct w:val="0"/>
        <w:autoSpaceDE w:val="0"/>
        <w:autoSpaceDN w:val="0"/>
        <w:spacing w:after="120" w:line="216" w:lineRule="auto"/>
        <w:ind w:left="0" w:firstLine="720"/>
        <w:contextualSpacing w:val="0"/>
        <w:rPr>
          <w:color w:val="000000" w:themeColor="text1"/>
          <w:kern w:val="22"/>
          <w:szCs w:val="22"/>
          <w:lang w:val="fr-CA"/>
        </w:rPr>
      </w:pPr>
      <w:r w:rsidRPr="00AF5B6D">
        <w:rPr>
          <w:rFonts w:eastAsia="Calibri"/>
          <w:color w:val="000000" w:themeColor="text1"/>
          <w:kern w:val="22"/>
          <w:szCs w:val="22"/>
          <w:lang w:val="fr-CA"/>
        </w:rPr>
        <w:t xml:space="preserve">La définition et les critères de recensement des </w:t>
      </w:r>
      <w:proofErr w:type="spellStart"/>
      <w:r w:rsidRPr="00AF5B6D">
        <w:rPr>
          <w:rFonts w:eastAsia="Calibri"/>
          <w:color w:val="000000" w:themeColor="text1"/>
          <w:kern w:val="22"/>
          <w:szCs w:val="22"/>
          <w:lang w:val="fr-CA"/>
        </w:rPr>
        <w:t>AMCEZ</w:t>
      </w:r>
      <w:proofErr w:type="spellEnd"/>
      <w:r w:rsidRPr="00AF5B6D">
        <w:rPr>
          <w:rFonts w:eastAsia="Calibri"/>
          <w:color w:val="000000" w:themeColor="text1"/>
          <w:kern w:val="22"/>
          <w:szCs w:val="22"/>
          <w:lang w:val="fr-CA"/>
        </w:rPr>
        <w:t xml:space="preserve"> doivent s’appliquer à tous les écosystèmes, et le recensement doit se faire au cas par cas</w:t>
      </w:r>
      <w:r w:rsidR="008A0E80" w:rsidRPr="00AF5B6D">
        <w:rPr>
          <w:rFonts w:eastAsia="Calibri"/>
          <w:color w:val="000000" w:themeColor="text1"/>
          <w:kern w:val="22"/>
          <w:szCs w:val="22"/>
          <w:lang w:val="fr-CA"/>
        </w:rPr>
        <w:t>;</w:t>
      </w:r>
    </w:p>
    <w:p w:rsidR="005D6096" w:rsidRPr="00AF5B6D" w:rsidRDefault="00A006AB" w:rsidP="007B3E88">
      <w:pPr>
        <w:pStyle w:val="Paragraphedeliste"/>
        <w:numPr>
          <w:ilvl w:val="0"/>
          <w:numId w:val="87"/>
        </w:numPr>
        <w:suppressLineNumbers/>
        <w:suppressAutoHyphens/>
        <w:kinsoku w:val="0"/>
        <w:overflowPunct w:val="0"/>
        <w:autoSpaceDE w:val="0"/>
        <w:autoSpaceDN w:val="0"/>
        <w:spacing w:after="120" w:line="216" w:lineRule="auto"/>
        <w:ind w:left="0" w:firstLine="720"/>
        <w:contextualSpacing w:val="0"/>
        <w:rPr>
          <w:color w:val="000000" w:themeColor="text1"/>
          <w:kern w:val="22"/>
          <w:szCs w:val="22"/>
          <w:lang w:val="fr-CA"/>
        </w:rPr>
      </w:pPr>
      <w:r w:rsidRPr="00AF5B6D">
        <w:rPr>
          <w:color w:val="000000" w:themeColor="text1"/>
          <w:kern w:val="22"/>
          <w:szCs w:val="22"/>
          <w:lang w:val="fr-CA"/>
        </w:rPr>
        <w:t>L</w:t>
      </w:r>
      <w:r w:rsidR="00B90ADC" w:rsidRPr="00AF5B6D">
        <w:rPr>
          <w:color w:val="000000" w:themeColor="text1"/>
          <w:kern w:val="22"/>
          <w:szCs w:val="22"/>
          <w:lang w:val="fr-CA"/>
        </w:rPr>
        <w:t>a reconna</w:t>
      </w:r>
      <w:r w:rsidRPr="00AF5B6D">
        <w:rPr>
          <w:color w:val="000000" w:themeColor="text1"/>
          <w:kern w:val="22"/>
          <w:szCs w:val="22"/>
          <w:lang w:val="fr-CA"/>
        </w:rPr>
        <w:t xml:space="preserve">issance des </w:t>
      </w:r>
      <w:proofErr w:type="spellStart"/>
      <w:r w:rsidRPr="00AF5B6D">
        <w:rPr>
          <w:color w:val="000000" w:themeColor="text1"/>
          <w:kern w:val="22"/>
          <w:szCs w:val="22"/>
          <w:lang w:val="fr-CA"/>
        </w:rPr>
        <w:t>AMCEZ</w:t>
      </w:r>
      <w:proofErr w:type="spellEnd"/>
      <w:r w:rsidRPr="00AF5B6D">
        <w:rPr>
          <w:color w:val="000000" w:themeColor="text1"/>
          <w:kern w:val="22"/>
          <w:szCs w:val="22"/>
          <w:lang w:val="fr-CA"/>
        </w:rPr>
        <w:t xml:space="preserve"> dans les aires situées sur les territoires des peuples autochtones et des populations locales doit se</w:t>
      </w:r>
      <w:r w:rsidR="00B90ADC" w:rsidRPr="00AF5B6D">
        <w:rPr>
          <w:color w:val="000000" w:themeColor="text1"/>
          <w:kern w:val="22"/>
          <w:szCs w:val="22"/>
          <w:lang w:val="fr-CA"/>
        </w:rPr>
        <w:t xml:space="preserve"> faire par aut</w:t>
      </w:r>
      <w:r w:rsidRPr="00AF5B6D">
        <w:rPr>
          <w:color w:val="000000" w:themeColor="text1"/>
          <w:kern w:val="22"/>
          <w:szCs w:val="22"/>
          <w:lang w:val="fr-CA"/>
        </w:rPr>
        <w:t>o</w:t>
      </w:r>
      <w:r w:rsidR="00B90ADC" w:rsidRPr="00AF5B6D">
        <w:rPr>
          <w:color w:val="000000" w:themeColor="text1"/>
          <w:kern w:val="22"/>
          <w:szCs w:val="22"/>
          <w:lang w:val="fr-CA"/>
        </w:rPr>
        <w:t>-</w:t>
      </w:r>
      <w:r w:rsidRPr="00AF5B6D">
        <w:rPr>
          <w:color w:val="000000" w:themeColor="text1"/>
          <w:kern w:val="22"/>
          <w:szCs w:val="22"/>
          <w:lang w:val="fr-CA"/>
        </w:rPr>
        <w:t xml:space="preserve">recensement et exige </w:t>
      </w:r>
      <w:r w:rsidR="00B90ADC" w:rsidRPr="00AF5B6D">
        <w:rPr>
          <w:color w:val="000000" w:themeColor="text1"/>
          <w:kern w:val="22"/>
          <w:szCs w:val="22"/>
          <w:lang w:val="fr-CA"/>
        </w:rPr>
        <w:t xml:space="preserve">le consentement libre et préalable donné en connaissance de cause de </w:t>
      </w:r>
      <w:r w:rsidR="002138E6">
        <w:rPr>
          <w:color w:val="000000" w:themeColor="text1"/>
          <w:kern w:val="22"/>
          <w:szCs w:val="22"/>
          <w:lang w:val="fr-CA"/>
        </w:rPr>
        <w:t>ces groupes</w:t>
      </w:r>
      <w:r w:rsidR="008A0E80" w:rsidRPr="00AF5B6D">
        <w:rPr>
          <w:color w:val="000000" w:themeColor="text1"/>
          <w:kern w:val="22"/>
          <w:szCs w:val="22"/>
          <w:lang w:val="fr-CA"/>
        </w:rPr>
        <w:t>;</w:t>
      </w:r>
    </w:p>
    <w:p w:rsidR="005D6096" w:rsidRPr="00AF5B6D" w:rsidRDefault="00B90ADC" w:rsidP="007B3E88">
      <w:pPr>
        <w:pStyle w:val="Paragraphedeliste"/>
        <w:numPr>
          <w:ilvl w:val="0"/>
          <w:numId w:val="87"/>
        </w:numPr>
        <w:suppressLineNumbers/>
        <w:suppressAutoHyphens/>
        <w:kinsoku w:val="0"/>
        <w:overflowPunct w:val="0"/>
        <w:autoSpaceDE w:val="0"/>
        <w:autoSpaceDN w:val="0"/>
        <w:spacing w:after="120" w:line="216" w:lineRule="auto"/>
        <w:ind w:left="0" w:firstLine="720"/>
        <w:contextualSpacing w:val="0"/>
        <w:rPr>
          <w:color w:val="000000" w:themeColor="text1"/>
          <w:kern w:val="22"/>
          <w:szCs w:val="22"/>
          <w:lang w:val="fr-CA"/>
        </w:rPr>
      </w:pPr>
      <w:r w:rsidRPr="00AF5B6D">
        <w:rPr>
          <w:color w:val="000000" w:themeColor="text1"/>
          <w:kern w:val="22"/>
          <w:szCs w:val="22"/>
          <w:lang w:val="fr-CA"/>
        </w:rPr>
        <w:t xml:space="preserve">La reconnaissance des </w:t>
      </w:r>
      <w:proofErr w:type="spellStart"/>
      <w:r w:rsidRPr="00AF5B6D">
        <w:rPr>
          <w:color w:val="000000" w:themeColor="text1"/>
          <w:kern w:val="22"/>
          <w:szCs w:val="22"/>
          <w:lang w:val="fr-CA"/>
        </w:rPr>
        <w:t>AMCEZ</w:t>
      </w:r>
      <w:proofErr w:type="spellEnd"/>
      <w:r w:rsidRPr="00AF5B6D">
        <w:rPr>
          <w:color w:val="000000" w:themeColor="text1"/>
          <w:kern w:val="22"/>
          <w:szCs w:val="22"/>
          <w:lang w:val="fr-CA"/>
        </w:rPr>
        <w:t xml:space="preserve"> doit se faire en consultation pertinente avec les autorités de gouvernance, les parties prenantes et le public</w:t>
      </w:r>
      <w:r w:rsidR="008A0E80" w:rsidRPr="00AF5B6D">
        <w:rPr>
          <w:color w:val="000000" w:themeColor="text1"/>
          <w:kern w:val="22"/>
          <w:szCs w:val="22"/>
          <w:lang w:val="fr-CA"/>
        </w:rPr>
        <w:t>;</w:t>
      </w:r>
    </w:p>
    <w:p w:rsidR="005D6096" w:rsidRPr="00AF5B6D" w:rsidRDefault="00B90ADC" w:rsidP="007B3E88">
      <w:pPr>
        <w:pStyle w:val="Paragraphedeliste"/>
        <w:numPr>
          <w:ilvl w:val="0"/>
          <w:numId w:val="87"/>
        </w:numPr>
        <w:suppressLineNumbers/>
        <w:suppressAutoHyphens/>
        <w:kinsoku w:val="0"/>
        <w:overflowPunct w:val="0"/>
        <w:autoSpaceDE w:val="0"/>
        <w:autoSpaceDN w:val="0"/>
        <w:spacing w:after="120" w:line="216" w:lineRule="auto"/>
        <w:ind w:left="0" w:firstLine="720"/>
        <w:contextualSpacing w:val="0"/>
        <w:rPr>
          <w:color w:val="000000" w:themeColor="text1"/>
          <w:kern w:val="22"/>
          <w:szCs w:val="22"/>
          <w:lang w:val="fr-CA"/>
        </w:rPr>
      </w:pPr>
      <w:r w:rsidRPr="00AF5B6D">
        <w:rPr>
          <w:color w:val="000000" w:themeColor="text1"/>
          <w:kern w:val="22"/>
          <w:szCs w:val="22"/>
          <w:lang w:val="fr-CA"/>
        </w:rPr>
        <w:t xml:space="preserve">Les aires protégées pour leurs valeurs culturelles et spirituelles, ainsi que pour une gouvernance et une gestion respectueuse </w:t>
      </w:r>
      <w:r w:rsidR="002138E6">
        <w:rPr>
          <w:color w:val="000000" w:themeColor="text1"/>
          <w:kern w:val="22"/>
          <w:szCs w:val="22"/>
          <w:lang w:val="fr-CA"/>
        </w:rPr>
        <w:t>reposant sur les</w:t>
      </w:r>
      <w:r w:rsidRPr="00AF5B6D">
        <w:rPr>
          <w:color w:val="000000" w:themeColor="text1"/>
          <w:kern w:val="22"/>
          <w:szCs w:val="22"/>
          <w:lang w:val="fr-CA"/>
        </w:rPr>
        <w:t xml:space="preserve"> valeurs culturelles et spirituelles, donnent souvent des résultats positifs pour la diversité biologique</w:t>
      </w:r>
      <w:r w:rsidR="008A0E80" w:rsidRPr="00AF5B6D">
        <w:rPr>
          <w:color w:val="000000" w:themeColor="text1"/>
          <w:kern w:val="22"/>
          <w:szCs w:val="22"/>
          <w:lang w:val="fr-CA"/>
        </w:rPr>
        <w:t>;</w:t>
      </w:r>
    </w:p>
    <w:p w:rsidR="005D6096" w:rsidRPr="00AF5B6D" w:rsidRDefault="002017E3" w:rsidP="007B3E88">
      <w:pPr>
        <w:pStyle w:val="Paragraphedeliste"/>
        <w:numPr>
          <w:ilvl w:val="0"/>
          <w:numId w:val="87"/>
        </w:numPr>
        <w:suppressLineNumbers/>
        <w:suppressAutoHyphens/>
        <w:kinsoku w:val="0"/>
        <w:overflowPunct w:val="0"/>
        <w:autoSpaceDE w:val="0"/>
        <w:autoSpaceDN w:val="0"/>
        <w:spacing w:after="120" w:line="216" w:lineRule="auto"/>
        <w:ind w:left="0" w:firstLine="720"/>
        <w:contextualSpacing w:val="0"/>
        <w:rPr>
          <w:color w:val="000000" w:themeColor="text1"/>
          <w:kern w:val="22"/>
          <w:szCs w:val="22"/>
          <w:lang w:val="fr-CA"/>
        </w:rPr>
      </w:pPr>
      <w:r w:rsidRPr="00AF5B6D">
        <w:rPr>
          <w:color w:val="000000" w:themeColor="text1"/>
          <w:kern w:val="22"/>
          <w:szCs w:val="22"/>
          <w:lang w:val="fr-CA"/>
        </w:rPr>
        <w:t xml:space="preserve">Les </w:t>
      </w:r>
      <w:proofErr w:type="spellStart"/>
      <w:r w:rsidRPr="00AF5B6D">
        <w:rPr>
          <w:color w:val="000000" w:themeColor="text1"/>
          <w:kern w:val="22"/>
          <w:szCs w:val="22"/>
          <w:lang w:val="fr-CA"/>
        </w:rPr>
        <w:t>AMCEZ</w:t>
      </w:r>
      <w:proofErr w:type="spellEnd"/>
      <w:r w:rsidRPr="00AF5B6D">
        <w:rPr>
          <w:color w:val="000000" w:themeColor="text1"/>
          <w:kern w:val="22"/>
          <w:szCs w:val="22"/>
          <w:lang w:val="fr-CA"/>
        </w:rPr>
        <w:t xml:space="preserve"> reconnaissent, encouragent et rendent visible le rôle des différents modes de gouvernance et acteurs de la conservation de</w:t>
      </w:r>
      <w:r w:rsidR="002138E6">
        <w:rPr>
          <w:color w:val="000000" w:themeColor="text1"/>
          <w:kern w:val="22"/>
          <w:szCs w:val="22"/>
          <w:lang w:val="fr-CA"/>
        </w:rPr>
        <w:t xml:space="preserve"> </w:t>
      </w:r>
      <w:r w:rsidRPr="00AF5B6D">
        <w:rPr>
          <w:color w:val="000000" w:themeColor="text1"/>
          <w:kern w:val="22"/>
          <w:szCs w:val="22"/>
          <w:lang w:val="fr-CA"/>
        </w:rPr>
        <w:t>la diversité biologique</w:t>
      </w:r>
      <w:r w:rsidR="00FC3DBE" w:rsidRPr="00AF5B6D">
        <w:rPr>
          <w:color w:val="000000" w:themeColor="text1"/>
          <w:kern w:val="22"/>
          <w:szCs w:val="22"/>
          <w:lang w:val="fr-CA"/>
        </w:rPr>
        <w:t>;</w:t>
      </w:r>
    </w:p>
    <w:p w:rsidR="005D6096" w:rsidRPr="00AF5B6D" w:rsidRDefault="002017E3" w:rsidP="007B3E88">
      <w:pPr>
        <w:pStyle w:val="Paragraphedeliste"/>
        <w:numPr>
          <w:ilvl w:val="0"/>
          <w:numId w:val="87"/>
        </w:numPr>
        <w:suppressLineNumbers/>
        <w:suppressAutoHyphens/>
        <w:kinsoku w:val="0"/>
        <w:overflowPunct w:val="0"/>
        <w:autoSpaceDE w:val="0"/>
        <w:autoSpaceDN w:val="0"/>
        <w:spacing w:after="120" w:line="216" w:lineRule="auto"/>
        <w:ind w:left="0" w:firstLine="720"/>
        <w:contextualSpacing w:val="0"/>
        <w:rPr>
          <w:color w:val="000000" w:themeColor="text1"/>
          <w:kern w:val="22"/>
          <w:szCs w:val="22"/>
          <w:lang w:val="fr-CA"/>
        </w:rPr>
      </w:pPr>
      <w:r w:rsidRPr="00AF5B6D">
        <w:rPr>
          <w:color w:val="000000" w:themeColor="text1"/>
          <w:kern w:val="22"/>
          <w:szCs w:val="22"/>
          <w:lang w:val="fr-CA"/>
        </w:rPr>
        <w:lastRenderedPageBreak/>
        <w:t>Les mesures d’encouragement pour assurer l’efficacité peuvent comprendre tout un éventail d’avantages sociaux et écologiques, dont la responsabilisation des peuples autochtones et des communautés locales</w:t>
      </w:r>
      <w:r w:rsidR="00473134" w:rsidRPr="00AF5B6D">
        <w:rPr>
          <w:color w:val="000000" w:themeColor="text1"/>
          <w:kern w:val="22"/>
          <w:szCs w:val="22"/>
          <w:lang w:val="fr-CA"/>
        </w:rPr>
        <w:t>;</w:t>
      </w:r>
    </w:p>
    <w:p w:rsidR="005D6096" w:rsidRPr="00AF5B6D" w:rsidRDefault="002017E3" w:rsidP="007B3E88">
      <w:pPr>
        <w:pStyle w:val="Paragraphedeliste"/>
        <w:numPr>
          <w:ilvl w:val="0"/>
          <w:numId w:val="87"/>
        </w:numPr>
        <w:suppressLineNumbers/>
        <w:suppressAutoHyphens/>
        <w:kinsoku w:val="0"/>
        <w:overflowPunct w:val="0"/>
        <w:autoSpaceDE w:val="0"/>
        <w:autoSpaceDN w:val="0"/>
        <w:spacing w:after="120" w:line="216" w:lineRule="auto"/>
        <w:ind w:left="0" w:firstLine="720"/>
        <w:contextualSpacing w:val="0"/>
        <w:rPr>
          <w:color w:val="000000" w:themeColor="text1"/>
          <w:kern w:val="22"/>
          <w:szCs w:val="22"/>
          <w:lang w:val="fr-CA"/>
        </w:rPr>
      </w:pPr>
      <w:r w:rsidRPr="00AF5B6D">
        <w:rPr>
          <w:color w:val="000000" w:themeColor="text1"/>
          <w:kern w:val="22"/>
          <w:szCs w:val="22"/>
          <w:lang w:val="fr-CA"/>
        </w:rPr>
        <w:t>La meilleure information</w:t>
      </w:r>
      <w:r w:rsidR="008F3BB5" w:rsidRPr="00AF5B6D">
        <w:rPr>
          <w:color w:val="000000" w:themeColor="text1"/>
          <w:kern w:val="22"/>
          <w:szCs w:val="22"/>
          <w:lang w:val="fr-CA"/>
        </w:rPr>
        <w:t xml:space="preserve"> scientifique disponible, y com</w:t>
      </w:r>
      <w:r w:rsidRPr="00AF5B6D">
        <w:rPr>
          <w:color w:val="000000" w:themeColor="text1"/>
          <w:kern w:val="22"/>
          <w:szCs w:val="22"/>
          <w:lang w:val="fr-CA"/>
        </w:rPr>
        <w:t xml:space="preserve">pris les connaissances autochtones et locales, doit être utilisée afin de reconnaître les </w:t>
      </w:r>
      <w:proofErr w:type="spellStart"/>
      <w:r w:rsidRPr="00AF5B6D">
        <w:rPr>
          <w:color w:val="000000" w:themeColor="text1"/>
          <w:kern w:val="22"/>
          <w:szCs w:val="22"/>
          <w:lang w:val="fr-CA"/>
        </w:rPr>
        <w:t>AMCEZ</w:t>
      </w:r>
      <w:proofErr w:type="spellEnd"/>
      <w:r w:rsidR="008F3BB5" w:rsidRPr="00AF5B6D">
        <w:rPr>
          <w:color w:val="000000" w:themeColor="text1"/>
          <w:kern w:val="22"/>
          <w:szCs w:val="22"/>
          <w:lang w:val="fr-CA"/>
        </w:rPr>
        <w:t xml:space="preserve">, de délimiter leur emplacement et leur </w:t>
      </w:r>
      <w:r w:rsidR="00735BD2">
        <w:rPr>
          <w:color w:val="000000" w:themeColor="text1"/>
          <w:kern w:val="22"/>
          <w:szCs w:val="22"/>
          <w:lang w:val="fr-CA"/>
        </w:rPr>
        <w:t>envergure</w:t>
      </w:r>
      <w:r w:rsidR="008F3BB5" w:rsidRPr="00AF5B6D">
        <w:rPr>
          <w:color w:val="000000" w:themeColor="text1"/>
          <w:kern w:val="22"/>
          <w:szCs w:val="22"/>
          <w:lang w:val="fr-CA"/>
        </w:rPr>
        <w:t xml:space="preserve">, </w:t>
      </w:r>
      <w:r w:rsidR="00735BD2">
        <w:rPr>
          <w:color w:val="000000" w:themeColor="text1"/>
          <w:kern w:val="22"/>
          <w:szCs w:val="22"/>
          <w:lang w:val="fr-CA"/>
        </w:rPr>
        <w:t xml:space="preserve">d’aider </w:t>
      </w:r>
      <w:r w:rsidR="008F3BB5" w:rsidRPr="00AF5B6D">
        <w:rPr>
          <w:color w:val="000000" w:themeColor="text1"/>
          <w:kern w:val="22"/>
          <w:szCs w:val="22"/>
          <w:lang w:val="fr-CA"/>
        </w:rPr>
        <w:t xml:space="preserve">aider à déterminer l’approche de gestion et </w:t>
      </w:r>
      <w:r w:rsidR="00735BD2">
        <w:rPr>
          <w:color w:val="000000" w:themeColor="text1"/>
          <w:kern w:val="22"/>
          <w:szCs w:val="22"/>
          <w:lang w:val="fr-CA"/>
        </w:rPr>
        <w:t xml:space="preserve">de </w:t>
      </w:r>
      <w:r w:rsidR="008F3BB5" w:rsidRPr="00AF5B6D">
        <w:rPr>
          <w:color w:val="000000" w:themeColor="text1"/>
          <w:kern w:val="22"/>
          <w:szCs w:val="22"/>
          <w:lang w:val="fr-CA"/>
        </w:rPr>
        <w:t>mesurer le rendement</w:t>
      </w:r>
      <w:r w:rsidR="005D6096" w:rsidRPr="00AF5B6D">
        <w:rPr>
          <w:color w:val="000000" w:themeColor="text1"/>
          <w:kern w:val="22"/>
          <w:szCs w:val="22"/>
          <w:lang w:val="fr-CA"/>
        </w:rPr>
        <w:t>.</w:t>
      </w:r>
    </w:p>
    <w:p w:rsidR="00FC3DBE" w:rsidRPr="00AF5B6D" w:rsidRDefault="003B017B" w:rsidP="007B3E88">
      <w:pPr>
        <w:pStyle w:val="Titre1"/>
        <w:keepNext/>
        <w:suppressLineNumbers/>
        <w:suppressAutoHyphens/>
        <w:kinsoku w:val="0"/>
        <w:overflowPunct w:val="0"/>
        <w:autoSpaceDE w:val="0"/>
        <w:autoSpaceDN w:val="0"/>
        <w:spacing w:before="120" w:after="0"/>
        <w:rPr>
          <w:bCs/>
          <w:kern w:val="22"/>
          <w:szCs w:val="22"/>
          <w:lang w:val="fr-CA"/>
        </w:rPr>
      </w:pPr>
      <w:r w:rsidRPr="00AF5B6D">
        <w:rPr>
          <w:bCs/>
          <w:kern w:val="22"/>
          <w:szCs w:val="22"/>
          <w:lang w:val="fr-CA"/>
        </w:rPr>
        <w:t>C.</w:t>
      </w:r>
      <w:r w:rsidRPr="00AF5B6D">
        <w:rPr>
          <w:bCs/>
          <w:kern w:val="22"/>
          <w:szCs w:val="22"/>
          <w:lang w:val="fr-CA"/>
        </w:rPr>
        <w:tab/>
      </w:r>
      <w:r w:rsidR="008F3BB5" w:rsidRPr="00AF5B6D">
        <w:rPr>
          <w:bCs/>
          <w:kern w:val="22"/>
          <w:szCs w:val="22"/>
          <w:lang w:val="fr-CA"/>
        </w:rPr>
        <w:t>CRITÈRES DE RECENSEMENT</w:t>
      </w:r>
    </w:p>
    <w:p w:rsidR="002603C9" w:rsidRPr="00AF5B6D" w:rsidRDefault="002603C9" w:rsidP="007B3E88">
      <w:pPr>
        <w:pStyle w:val="Titre2"/>
        <w:suppressLineNumbers/>
        <w:tabs>
          <w:tab w:val="clear" w:pos="720"/>
        </w:tabs>
        <w:suppressAutoHyphens/>
        <w:kinsoku w:val="0"/>
        <w:overflowPunct w:val="0"/>
        <w:autoSpaceDE w:val="0"/>
        <w:autoSpaceDN w:val="0"/>
        <w:spacing w:before="0" w:after="0"/>
        <w:rPr>
          <w:kern w:val="22"/>
          <w:szCs w:val="22"/>
          <w:lang w:val="fr-CA"/>
        </w:rPr>
      </w:pPr>
    </w:p>
    <w:tbl>
      <w:tblPr>
        <w:tblStyle w:val="Grilledutableau"/>
        <w:tblW w:w="9331" w:type="dxa"/>
        <w:jc w:val="center"/>
        <w:tblLook w:val="04A0" w:firstRow="1" w:lastRow="0" w:firstColumn="1" w:lastColumn="0" w:noHBand="0" w:noVBand="1"/>
      </w:tblPr>
      <w:tblGrid>
        <w:gridCol w:w="1646"/>
        <w:gridCol w:w="7685"/>
      </w:tblGrid>
      <w:tr w:rsidR="00EA1588" w:rsidRPr="00A41637" w:rsidTr="007B3E88">
        <w:trPr>
          <w:cantSplit/>
          <w:jc w:val="center"/>
        </w:trPr>
        <w:tc>
          <w:tcPr>
            <w:tcW w:w="9331" w:type="dxa"/>
            <w:gridSpan w:val="2"/>
            <w:shd w:val="clear" w:color="auto" w:fill="BFBFBF" w:themeFill="background1" w:themeFillShade="BF"/>
          </w:tcPr>
          <w:p w:rsidR="003B017B" w:rsidRPr="00AF5B6D" w:rsidRDefault="008F3BB5" w:rsidP="007B3E88">
            <w:pPr>
              <w:suppressLineNumbers/>
              <w:suppressAutoHyphens/>
              <w:kinsoku w:val="0"/>
              <w:overflowPunct w:val="0"/>
              <w:autoSpaceDE w:val="0"/>
              <w:autoSpaceDN w:val="0"/>
              <w:jc w:val="left"/>
              <w:rPr>
                <w:rFonts w:ascii="Times New Roman" w:hAnsi="Times New Roman" w:cs="Times New Roman"/>
                <w:b/>
                <w:kern w:val="22"/>
                <w:szCs w:val="22"/>
                <w:lang w:val="fr-CA"/>
              </w:rPr>
            </w:pPr>
            <w:r w:rsidRPr="00AF5B6D">
              <w:rPr>
                <w:rFonts w:ascii="Times New Roman" w:hAnsi="Times New Roman" w:cs="Times New Roman"/>
                <w:b/>
                <w:kern w:val="22"/>
                <w:szCs w:val="22"/>
                <w:lang w:val="fr-CA"/>
              </w:rPr>
              <w:t>Critère A : L’aire n’est pas reconnue comme une aire protégée à l’heure actuelle</w:t>
            </w:r>
          </w:p>
        </w:tc>
      </w:tr>
      <w:tr w:rsidR="00EA1588" w:rsidRPr="00A41637" w:rsidTr="007B3E88">
        <w:trPr>
          <w:cantSplit/>
          <w:jc w:val="center"/>
        </w:trPr>
        <w:tc>
          <w:tcPr>
            <w:tcW w:w="1611" w:type="dxa"/>
          </w:tcPr>
          <w:p w:rsidR="003B017B" w:rsidRPr="00AF5B6D" w:rsidRDefault="008F3BB5" w:rsidP="007B3E88">
            <w:pPr>
              <w:pStyle w:val="Titre3"/>
              <w:keepNext w:val="0"/>
              <w:suppressLineNumbers/>
              <w:tabs>
                <w:tab w:val="clear" w:pos="567"/>
              </w:tabs>
              <w:suppressAutoHyphens/>
              <w:kinsoku w:val="0"/>
              <w:overflowPunct w:val="0"/>
              <w:autoSpaceDE w:val="0"/>
              <w:autoSpaceDN w:val="0"/>
              <w:spacing w:before="0" w:after="0"/>
              <w:jc w:val="left"/>
              <w:outlineLvl w:val="2"/>
              <w:rPr>
                <w:rFonts w:ascii="Times New Roman" w:hAnsi="Times New Roman" w:cs="Times New Roman"/>
                <w:b/>
                <w:bCs/>
                <w:i w:val="0"/>
                <w:kern w:val="22"/>
                <w:szCs w:val="22"/>
                <w:lang w:val="fr-CA"/>
              </w:rPr>
            </w:pPr>
            <w:r w:rsidRPr="00AF5B6D">
              <w:rPr>
                <w:rFonts w:ascii="Times New Roman" w:hAnsi="Times New Roman" w:cs="Times New Roman"/>
                <w:b/>
                <w:i w:val="0"/>
                <w:kern w:val="22"/>
                <w:szCs w:val="22"/>
                <w:lang w:val="fr-CA"/>
              </w:rPr>
              <w:t>N’est pas une aire protégée</w:t>
            </w:r>
          </w:p>
        </w:tc>
        <w:tc>
          <w:tcPr>
            <w:tcW w:w="7720" w:type="dxa"/>
          </w:tcPr>
          <w:p w:rsidR="003B017B" w:rsidRPr="00AF5B6D" w:rsidRDefault="008F3BB5" w:rsidP="007B3E88">
            <w:pPr>
              <w:pStyle w:val="Titre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CA"/>
              </w:rPr>
            </w:pPr>
            <w:r w:rsidRPr="00AF5B6D">
              <w:rPr>
                <w:rFonts w:ascii="Times New Roman" w:hAnsi="Times New Roman" w:cs="Times New Roman"/>
                <w:i w:val="0"/>
                <w:kern w:val="22"/>
                <w:szCs w:val="22"/>
                <w:lang w:val="fr-CA"/>
              </w:rPr>
              <w:t>L’aire n’est pas reconnue comme une aire protégée ou composante d’une aire protégée, ni déclarée comme telle à l’heure actuelle; elle peut avoir été établie à d’autres fins</w:t>
            </w:r>
            <w:r w:rsidR="003B017B" w:rsidRPr="00AF5B6D">
              <w:rPr>
                <w:rFonts w:ascii="Times New Roman" w:hAnsi="Times New Roman" w:cs="Times New Roman"/>
                <w:i w:val="0"/>
                <w:kern w:val="22"/>
                <w:szCs w:val="22"/>
                <w:lang w:val="fr-CA"/>
              </w:rPr>
              <w:t>.</w:t>
            </w:r>
          </w:p>
        </w:tc>
      </w:tr>
      <w:tr w:rsidR="00EA1588" w:rsidRPr="00A41637" w:rsidTr="007B3E88">
        <w:trPr>
          <w:cantSplit/>
          <w:jc w:val="center"/>
        </w:trPr>
        <w:tc>
          <w:tcPr>
            <w:tcW w:w="9331" w:type="dxa"/>
            <w:gridSpan w:val="2"/>
            <w:shd w:val="clear" w:color="auto" w:fill="BFBFBF" w:themeFill="background1" w:themeFillShade="BF"/>
          </w:tcPr>
          <w:p w:rsidR="003B017B" w:rsidRPr="00AF5B6D" w:rsidRDefault="008F3BB5" w:rsidP="007B3E88">
            <w:pPr>
              <w:suppressLineNumbers/>
              <w:suppressAutoHyphens/>
              <w:kinsoku w:val="0"/>
              <w:overflowPunct w:val="0"/>
              <w:autoSpaceDE w:val="0"/>
              <w:autoSpaceDN w:val="0"/>
              <w:ind w:left="162" w:hanging="162"/>
              <w:jc w:val="left"/>
              <w:rPr>
                <w:rFonts w:ascii="Times New Roman" w:hAnsi="Times New Roman" w:cs="Times New Roman"/>
                <w:b/>
                <w:kern w:val="22"/>
                <w:szCs w:val="22"/>
                <w:lang w:val="fr-CA"/>
              </w:rPr>
            </w:pPr>
            <w:r w:rsidRPr="00AF5B6D">
              <w:rPr>
                <w:rFonts w:ascii="Times New Roman" w:hAnsi="Times New Roman" w:cs="Times New Roman"/>
                <w:b/>
                <w:kern w:val="22"/>
                <w:szCs w:val="22"/>
                <w:lang w:val="fr-CA"/>
              </w:rPr>
              <w:t>Critère B : L’aire fait l’objet d’une gouvernance et d’une gestion</w:t>
            </w:r>
          </w:p>
        </w:tc>
      </w:tr>
      <w:tr w:rsidR="00EA1588" w:rsidRPr="00AF5B6D" w:rsidTr="007B3E88">
        <w:trPr>
          <w:cantSplit/>
          <w:jc w:val="center"/>
        </w:trPr>
        <w:tc>
          <w:tcPr>
            <w:tcW w:w="1611" w:type="dxa"/>
          </w:tcPr>
          <w:p w:rsidR="003B017B" w:rsidRPr="00AF5B6D" w:rsidRDefault="008F3BB5" w:rsidP="007B3E88">
            <w:pPr>
              <w:suppressLineNumbers/>
              <w:suppressAutoHyphens/>
              <w:kinsoku w:val="0"/>
              <w:overflowPunct w:val="0"/>
              <w:autoSpaceDE w:val="0"/>
              <w:autoSpaceDN w:val="0"/>
              <w:jc w:val="left"/>
              <w:rPr>
                <w:rFonts w:ascii="Times New Roman" w:hAnsi="Times New Roman" w:cs="Times New Roman"/>
                <w:b/>
                <w:kern w:val="22"/>
                <w:szCs w:val="22"/>
                <w:lang w:val="fr-CA"/>
              </w:rPr>
            </w:pPr>
            <w:r w:rsidRPr="00AF5B6D">
              <w:rPr>
                <w:rFonts w:ascii="Times New Roman" w:hAnsi="Times New Roman" w:cs="Times New Roman"/>
                <w:b/>
                <w:kern w:val="22"/>
                <w:szCs w:val="22"/>
                <w:lang w:val="fr-CA"/>
              </w:rPr>
              <w:t xml:space="preserve">Espace </w:t>
            </w:r>
            <w:proofErr w:type="spellStart"/>
            <w:r w:rsidRPr="00AF5B6D">
              <w:rPr>
                <w:rFonts w:ascii="Times New Roman" w:hAnsi="Times New Roman" w:cs="Times New Roman"/>
                <w:b/>
                <w:kern w:val="22"/>
                <w:szCs w:val="22"/>
                <w:lang w:val="fr-CA"/>
              </w:rPr>
              <w:t>géographi-quement</w:t>
            </w:r>
            <w:proofErr w:type="spellEnd"/>
            <w:r w:rsidRPr="00AF5B6D">
              <w:rPr>
                <w:rFonts w:ascii="Times New Roman" w:hAnsi="Times New Roman" w:cs="Times New Roman"/>
                <w:b/>
                <w:kern w:val="22"/>
                <w:szCs w:val="22"/>
                <w:lang w:val="fr-CA"/>
              </w:rPr>
              <w:t xml:space="preserve"> défini</w:t>
            </w:r>
          </w:p>
        </w:tc>
        <w:tc>
          <w:tcPr>
            <w:tcW w:w="7720" w:type="dxa"/>
          </w:tcPr>
          <w:p w:rsidR="003B017B" w:rsidRPr="00AF5B6D" w:rsidRDefault="00EE4ACC" w:rsidP="007B3E88">
            <w:pPr>
              <w:pStyle w:val="Titre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kern w:val="22"/>
                <w:szCs w:val="22"/>
                <w:lang w:val="fr-CA"/>
              </w:rPr>
            </w:pPr>
            <w:r w:rsidRPr="00AF5B6D">
              <w:rPr>
                <w:rFonts w:ascii="Times New Roman" w:hAnsi="Times New Roman" w:cs="Times New Roman"/>
                <w:i w:val="0"/>
                <w:kern w:val="22"/>
                <w:szCs w:val="22"/>
                <w:lang w:val="fr-CA"/>
              </w:rPr>
              <w:t>Les dimensions et la superficie sont décrites, même en trois dimensions, si nécessaire</w:t>
            </w:r>
            <w:r w:rsidR="003B017B" w:rsidRPr="00AF5B6D">
              <w:rPr>
                <w:rFonts w:ascii="Times New Roman" w:hAnsi="Times New Roman" w:cs="Times New Roman"/>
                <w:i w:val="0"/>
                <w:kern w:val="22"/>
                <w:szCs w:val="22"/>
                <w:lang w:val="fr-CA"/>
              </w:rPr>
              <w:t>.</w:t>
            </w:r>
          </w:p>
          <w:p w:rsidR="003B017B" w:rsidRPr="00AF5B6D" w:rsidRDefault="00EE4ACC" w:rsidP="007B3E88">
            <w:pPr>
              <w:pStyle w:val="Titre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kern w:val="22"/>
                <w:szCs w:val="22"/>
                <w:lang w:val="fr-CA"/>
              </w:rPr>
            </w:pPr>
            <w:r w:rsidRPr="00AF5B6D">
              <w:rPr>
                <w:rFonts w:ascii="Times New Roman" w:hAnsi="Times New Roman" w:cs="Times New Roman"/>
                <w:i w:val="0"/>
                <w:kern w:val="22"/>
                <w:szCs w:val="22"/>
                <w:lang w:val="fr-CA"/>
              </w:rPr>
              <w:t>Les frontières sont décrites</w:t>
            </w:r>
            <w:r w:rsidR="003B017B" w:rsidRPr="00AF5B6D">
              <w:rPr>
                <w:rFonts w:ascii="Times New Roman" w:hAnsi="Times New Roman" w:cs="Times New Roman"/>
                <w:i w:val="0"/>
                <w:kern w:val="22"/>
                <w:szCs w:val="22"/>
                <w:lang w:val="fr-CA"/>
              </w:rPr>
              <w:t>.</w:t>
            </w:r>
          </w:p>
        </w:tc>
      </w:tr>
      <w:tr w:rsidR="00EA1588" w:rsidRPr="00A41637" w:rsidTr="007B3E88">
        <w:trPr>
          <w:cantSplit/>
          <w:jc w:val="center"/>
        </w:trPr>
        <w:tc>
          <w:tcPr>
            <w:tcW w:w="1611" w:type="dxa"/>
          </w:tcPr>
          <w:p w:rsidR="003B017B" w:rsidRPr="00AF5B6D" w:rsidRDefault="00EE4ACC" w:rsidP="007B3E88">
            <w:pPr>
              <w:suppressLineNumbers/>
              <w:suppressAutoHyphens/>
              <w:kinsoku w:val="0"/>
              <w:overflowPunct w:val="0"/>
              <w:autoSpaceDE w:val="0"/>
              <w:autoSpaceDN w:val="0"/>
              <w:jc w:val="left"/>
              <w:rPr>
                <w:rFonts w:ascii="Times New Roman" w:hAnsi="Times New Roman" w:cs="Times New Roman"/>
                <w:b/>
                <w:kern w:val="22"/>
                <w:szCs w:val="22"/>
                <w:lang w:val="fr-CA"/>
              </w:rPr>
            </w:pPr>
            <w:r w:rsidRPr="00AF5B6D">
              <w:rPr>
                <w:rFonts w:ascii="Times New Roman" w:hAnsi="Times New Roman" w:cs="Times New Roman"/>
                <w:b/>
                <w:kern w:val="22"/>
                <w:szCs w:val="22"/>
                <w:lang w:val="fr-CA"/>
              </w:rPr>
              <w:t>Autorités de gouvernance légitimes</w:t>
            </w:r>
          </w:p>
        </w:tc>
        <w:tc>
          <w:tcPr>
            <w:tcW w:w="7720" w:type="dxa"/>
          </w:tcPr>
          <w:p w:rsidR="003B017B" w:rsidRPr="00AF5B6D" w:rsidRDefault="00EE4ACC" w:rsidP="007B3E88">
            <w:pPr>
              <w:pStyle w:val="Paragraphedeliste"/>
              <w:numPr>
                <w:ilvl w:val="0"/>
                <w:numId w:val="55"/>
              </w:numPr>
              <w:suppressLineNumbers/>
              <w:suppressAutoHyphens/>
              <w:kinsoku w:val="0"/>
              <w:overflowPunct w:val="0"/>
              <w:autoSpaceDE w:val="0"/>
              <w:autoSpaceDN w:val="0"/>
              <w:ind w:left="403"/>
              <w:jc w:val="left"/>
              <w:rPr>
                <w:rFonts w:ascii="Times New Roman" w:hAnsi="Times New Roman" w:cs="Times New Roman"/>
                <w:kern w:val="22"/>
                <w:szCs w:val="22"/>
                <w:lang w:val="fr-CA"/>
              </w:rPr>
            </w:pPr>
            <w:r w:rsidRPr="00AF5B6D">
              <w:rPr>
                <w:rFonts w:ascii="Times New Roman" w:hAnsi="Times New Roman" w:cs="Times New Roman"/>
                <w:kern w:val="22"/>
                <w:szCs w:val="22"/>
                <w:lang w:val="fr-CA"/>
              </w:rPr>
              <w:t>La gouvernance profite d’une autorité légitime et est pertinente à la réalisation de la conservation in situ de la diversité biologique dans l’aire</w:t>
            </w:r>
            <w:r w:rsidR="003B017B" w:rsidRPr="00AF5B6D">
              <w:rPr>
                <w:rFonts w:ascii="Times New Roman" w:hAnsi="Times New Roman" w:cs="Times New Roman"/>
                <w:kern w:val="22"/>
                <w:szCs w:val="22"/>
                <w:lang w:val="fr-CA"/>
              </w:rPr>
              <w:t>.</w:t>
            </w:r>
          </w:p>
          <w:p w:rsidR="003B017B" w:rsidRPr="00AF5B6D" w:rsidRDefault="00EE4ACC" w:rsidP="007B3E88">
            <w:pPr>
              <w:pStyle w:val="Paragraphedeliste"/>
              <w:numPr>
                <w:ilvl w:val="0"/>
                <w:numId w:val="55"/>
              </w:numPr>
              <w:suppressLineNumbers/>
              <w:suppressAutoHyphens/>
              <w:kinsoku w:val="0"/>
              <w:overflowPunct w:val="0"/>
              <w:autoSpaceDE w:val="0"/>
              <w:autoSpaceDN w:val="0"/>
              <w:ind w:left="403"/>
              <w:jc w:val="left"/>
              <w:rPr>
                <w:rFonts w:ascii="Times New Roman" w:hAnsi="Times New Roman" w:cs="Times New Roman"/>
                <w:kern w:val="22"/>
                <w:szCs w:val="22"/>
                <w:lang w:val="fr-CA"/>
              </w:rPr>
            </w:pPr>
            <w:r w:rsidRPr="00AF5B6D">
              <w:rPr>
                <w:rFonts w:ascii="Times New Roman" w:hAnsi="Times New Roman" w:cs="Times New Roman"/>
                <w:kern w:val="22"/>
                <w:szCs w:val="22"/>
                <w:lang w:val="fr-CA"/>
              </w:rPr>
              <w:t>La gouvernance assurée par les peuples autochtones et les communautés locales est auto-recensée et examinée par des pairs</w:t>
            </w:r>
            <w:r w:rsidR="00AA6F81" w:rsidRPr="00AF5B6D">
              <w:rPr>
                <w:rFonts w:ascii="Times New Roman" w:hAnsi="Times New Roman" w:cs="Times New Roman"/>
                <w:kern w:val="22"/>
                <w:szCs w:val="22"/>
                <w:lang w:val="fr-CA"/>
              </w:rPr>
              <w:t>.</w:t>
            </w:r>
          </w:p>
          <w:p w:rsidR="003B017B" w:rsidRPr="00AF5B6D" w:rsidRDefault="00EE4ACC" w:rsidP="007B3E88">
            <w:pPr>
              <w:pStyle w:val="Paragraphedeliste"/>
              <w:numPr>
                <w:ilvl w:val="0"/>
                <w:numId w:val="55"/>
              </w:numPr>
              <w:suppressLineNumbers/>
              <w:suppressAutoHyphens/>
              <w:kinsoku w:val="0"/>
              <w:overflowPunct w:val="0"/>
              <w:autoSpaceDE w:val="0"/>
              <w:autoSpaceDN w:val="0"/>
              <w:ind w:left="403"/>
              <w:jc w:val="left"/>
              <w:rPr>
                <w:rFonts w:ascii="Times New Roman" w:hAnsi="Times New Roman" w:cs="Times New Roman"/>
                <w:kern w:val="22"/>
                <w:szCs w:val="22"/>
                <w:lang w:val="fr-CA"/>
              </w:rPr>
            </w:pPr>
            <w:r w:rsidRPr="00AF5B6D">
              <w:rPr>
                <w:rFonts w:ascii="Times New Roman" w:hAnsi="Times New Roman" w:cs="Times New Roman"/>
                <w:kern w:val="22"/>
                <w:szCs w:val="22"/>
                <w:lang w:val="fr-CA"/>
              </w:rPr>
              <w:t>La gouvernance témoigne des facteurs d’équité adoptés dans la Convention</w:t>
            </w:r>
            <w:r w:rsidR="003B017B" w:rsidRPr="00AF5B6D">
              <w:rPr>
                <w:rFonts w:ascii="Times New Roman" w:hAnsi="Times New Roman" w:cs="Times New Roman"/>
                <w:kern w:val="22"/>
                <w:szCs w:val="22"/>
                <w:lang w:val="fr-CA"/>
              </w:rPr>
              <w:t>.</w:t>
            </w:r>
          </w:p>
          <w:p w:rsidR="003B017B" w:rsidRPr="00AF5B6D" w:rsidRDefault="00EE4ACC" w:rsidP="00735BD2">
            <w:pPr>
              <w:pStyle w:val="Paragraphedeliste"/>
              <w:numPr>
                <w:ilvl w:val="0"/>
                <w:numId w:val="55"/>
              </w:numPr>
              <w:suppressLineNumbers/>
              <w:suppressAutoHyphens/>
              <w:kinsoku w:val="0"/>
              <w:overflowPunct w:val="0"/>
              <w:autoSpaceDE w:val="0"/>
              <w:autoSpaceDN w:val="0"/>
              <w:ind w:left="403"/>
              <w:jc w:val="left"/>
              <w:rPr>
                <w:rFonts w:ascii="Times New Roman" w:hAnsi="Times New Roman" w:cs="Times New Roman"/>
                <w:kern w:val="22"/>
                <w:szCs w:val="22"/>
                <w:lang w:val="fr-CA"/>
              </w:rPr>
            </w:pPr>
            <w:r w:rsidRPr="00AF5B6D">
              <w:rPr>
                <w:rFonts w:ascii="Times New Roman" w:hAnsi="Times New Roman" w:cs="Times New Roman"/>
                <w:kern w:val="22"/>
                <w:szCs w:val="22"/>
                <w:lang w:val="fr-CA"/>
              </w:rPr>
              <w:t xml:space="preserve">La gouvernance peut être assurée par une autorité unique ou </w:t>
            </w:r>
            <w:r w:rsidR="00735BD2">
              <w:rPr>
                <w:rFonts w:ascii="Times New Roman" w:hAnsi="Times New Roman" w:cs="Times New Roman"/>
                <w:kern w:val="22"/>
                <w:szCs w:val="22"/>
                <w:lang w:val="fr-CA"/>
              </w:rPr>
              <w:t>dans le cadre d’une collaboration entre</w:t>
            </w:r>
            <w:r w:rsidR="0036572C" w:rsidRPr="00AF5B6D">
              <w:rPr>
                <w:rFonts w:ascii="Times New Roman" w:hAnsi="Times New Roman" w:cs="Times New Roman"/>
                <w:kern w:val="22"/>
                <w:szCs w:val="22"/>
                <w:lang w:val="fr-CA"/>
              </w:rPr>
              <w:t xml:space="preserve"> plusieurs autorités compétentes et offre la possibilité de faire face aux menaces collectivement</w:t>
            </w:r>
            <w:r w:rsidR="003B017B" w:rsidRPr="00AF5B6D">
              <w:rPr>
                <w:rFonts w:ascii="Times New Roman" w:hAnsi="Times New Roman" w:cs="Times New Roman"/>
                <w:kern w:val="22"/>
                <w:szCs w:val="22"/>
                <w:lang w:val="fr-CA"/>
              </w:rPr>
              <w:t>.</w:t>
            </w:r>
          </w:p>
        </w:tc>
      </w:tr>
      <w:tr w:rsidR="00EA1588" w:rsidRPr="00A41637" w:rsidTr="007B3E88">
        <w:trPr>
          <w:cantSplit/>
          <w:jc w:val="center"/>
        </w:trPr>
        <w:tc>
          <w:tcPr>
            <w:tcW w:w="1611" w:type="dxa"/>
          </w:tcPr>
          <w:p w:rsidR="003B017B" w:rsidRPr="00AF5B6D" w:rsidRDefault="0036572C" w:rsidP="007B3E88">
            <w:pPr>
              <w:suppressLineNumbers/>
              <w:suppressAutoHyphens/>
              <w:kinsoku w:val="0"/>
              <w:overflowPunct w:val="0"/>
              <w:autoSpaceDE w:val="0"/>
              <w:autoSpaceDN w:val="0"/>
              <w:jc w:val="left"/>
              <w:rPr>
                <w:rFonts w:ascii="Times New Roman" w:hAnsi="Times New Roman" w:cs="Times New Roman"/>
                <w:b/>
                <w:kern w:val="22"/>
                <w:szCs w:val="22"/>
                <w:lang w:val="fr-CA"/>
              </w:rPr>
            </w:pPr>
            <w:r w:rsidRPr="00AF5B6D">
              <w:rPr>
                <w:rFonts w:ascii="Times New Roman" w:hAnsi="Times New Roman" w:cs="Times New Roman"/>
                <w:b/>
                <w:kern w:val="22"/>
                <w:szCs w:val="22"/>
                <w:lang w:val="fr-CA"/>
              </w:rPr>
              <w:t>Gestion</w:t>
            </w:r>
          </w:p>
        </w:tc>
        <w:tc>
          <w:tcPr>
            <w:tcW w:w="7720" w:type="dxa"/>
          </w:tcPr>
          <w:p w:rsidR="003B017B" w:rsidRPr="00AF5B6D" w:rsidRDefault="0036572C" w:rsidP="007B3E88">
            <w:pPr>
              <w:pStyle w:val="Titre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Cs w:val="0"/>
                <w:kern w:val="22"/>
                <w:szCs w:val="22"/>
                <w:lang w:val="fr-CA"/>
              </w:rPr>
            </w:pPr>
            <w:r w:rsidRPr="00AF5B6D">
              <w:rPr>
                <w:rFonts w:ascii="Times New Roman" w:hAnsi="Times New Roman" w:cs="Times New Roman"/>
                <w:i w:val="0"/>
                <w:kern w:val="22"/>
                <w:szCs w:val="22"/>
                <w:lang w:val="fr-CA"/>
              </w:rPr>
              <w:t>Les autorités pertinentes sont connues et participent à la gestion; les autorités responsables sont connues</w:t>
            </w:r>
            <w:r w:rsidR="003B017B" w:rsidRPr="00AF5B6D">
              <w:rPr>
                <w:rFonts w:ascii="Times New Roman" w:hAnsi="Times New Roman" w:cs="Times New Roman"/>
                <w:i w:val="0"/>
                <w:kern w:val="22"/>
                <w:szCs w:val="22"/>
                <w:lang w:val="fr-CA"/>
              </w:rPr>
              <w:t>.</w:t>
            </w:r>
          </w:p>
          <w:p w:rsidR="003B017B" w:rsidRPr="00AF5B6D" w:rsidRDefault="0036572C" w:rsidP="007B3E88">
            <w:pPr>
              <w:pStyle w:val="Titre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Cs w:val="0"/>
                <w:kern w:val="22"/>
                <w:szCs w:val="22"/>
                <w:lang w:val="fr-CA"/>
              </w:rPr>
            </w:pPr>
            <w:r w:rsidRPr="00AF5B6D">
              <w:rPr>
                <w:rFonts w:ascii="Times New Roman" w:hAnsi="Times New Roman" w:cs="Times New Roman"/>
                <w:i w:val="0"/>
                <w:kern w:val="22"/>
                <w:szCs w:val="22"/>
                <w:lang w:val="fr-CA"/>
              </w:rPr>
              <w:t>Un système de gestion est en place; il contribue à assurer la durabilité de la conservation in situ de la diversité biologique</w:t>
            </w:r>
            <w:r w:rsidR="003B017B" w:rsidRPr="00AF5B6D">
              <w:rPr>
                <w:rFonts w:ascii="Times New Roman" w:hAnsi="Times New Roman" w:cs="Times New Roman"/>
                <w:i w:val="0"/>
                <w:kern w:val="22"/>
                <w:szCs w:val="22"/>
                <w:lang w:val="fr-CA"/>
              </w:rPr>
              <w:t>.</w:t>
            </w:r>
          </w:p>
          <w:p w:rsidR="003B017B" w:rsidRPr="00AF5B6D" w:rsidRDefault="0036572C" w:rsidP="00335BEF">
            <w:pPr>
              <w:pStyle w:val="Titre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kern w:val="22"/>
                <w:szCs w:val="22"/>
                <w:lang w:val="fr-CA"/>
              </w:rPr>
            </w:pPr>
            <w:r w:rsidRPr="00AF5B6D">
              <w:rPr>
                <w:rFonts w:ascii="Times New Roman" w:hAnsi="Times New Roman" w:cs="Times New Roman"/>
                <w:i w:val="0"/>
                <w:kern w:val="22"/>
                <w:szCs w:val="22"/>
                <w:lang w:val="fr-CA"/>
              </w:rPr>
              <w:t xml:space="preserve">La gestion est conforme à l’approche par écosystème et peut s’adapter afin </w:t>
            </w:r>
            <w:r w:rsidR="00335BEF">
              <w:rPr>
                <w:rFonts w:ascii="Times New Roman" w:hAnsi="Times New Roman" w:cs="Times New Roman"/>
                <w:i w:val="0"/>
                <w:kern w:val="22"/>
                <w:szCs w:val="22"/>
                <w:lang w:val="fr-CA"/>
              </w:rPr>
              <w:t>d’obtenir</w:t>
            </w:r>
            <w:r w:rsidR="005E602C" w:rsidRPr="00AF5B6D">
              <w:rPr>
                <w:rFonts w:ascii="Times New Roman" w:hAnsi="Times New Roman" w:cs="Times New Roman"/>
                <w:i w:val="0"/>
                <w:kern w:val="22"/>
                <w:szCs w:val="22"/>
                <w:lang w:val="fr-CA"/>
              </w:rPr>
              <w:t xml:space="preserve"> </w:t>
            </w:r>
            <w:r w:rsidRPr="00AF5B6D">
              <w:rPr>
                <w:rFonts w:ascii="Times New Roman" w:hAnsi="Times New Roman" w:cs="Times New Roman"/>
                <w:i w:val="0"/>
                <w:kern w:val="22"/>
                <w:szCs w:val="22"/>
                <w:lang w:val="fr-CA"/>
              </w:rPr>
              <w:t xml:space="preserve">les </w:t>
            </w:r>
            <w:r w:rsidR="005E602C" w:rsidRPr="00AF5B6D">
              <w:rPr>
                <w:rFonts w:ascii="Times New Roman" w:hAnsi="Times New Roman" w:cs="Times New Roman"/>
                <w:i w:val="0"/>
                <w:kern w:val="22"/>
                <w:szCs w:val="22"/>
                <w:lang w:val="fr-CA"/>
              </w:rPr>
              <w:t xml:space="preserve">résultats </w:t>
            </w:r>
            <w:r w:rsidRPr="00AF5B6D">
              <w:rPr>
                <w:rFonts w:ascii="Times New Roman" w:hAnsi="Times New Roman" w:cs="Times New Roman"/>
                <w:i w:val="0"/>
                <w:kern w:val="22"/>
                <w:szCs w:val="22"/>
                <w:lang w:val="fr-CA"/>
              </w:rPr>
              <w:t>pour la diversité biologique, dont les résultats à</w:t>
            </w:r>
            <w:r w:rsidR="005E602C" w:rsidRPr="00AF5B6D">
              <w:rPr>
                <w:rFonts w:ascii="Times New Roman" w:hAnsi="Times New Roman" w:cs="Times New Roman"/>
                <w:i w:val="0"/>
                <w:kern w:val="22"/>
                <w:szCs w:val="22"/>
                <w:lang w:val="fr-CA"/>
              </w:rPr>
              <w:t xml:space="preserve"> long terme, et comprenant la capacité </w:t>
            </w:r>
            <w:r w:rsidRPr="00AF5B6D">
              <w:rPr>
                <w:rFonts w:ascii="Times New Roman" w:hAnsi="Times New Roman" w:cs="Times New Roman"/>
                <w:i w:val="0"/>
                <w:kern w:val="22"/>
                <w:szCs w:val="22"/>
                <w:lang w:val="fr-CA"/>
              </w:rPr>
              <w:t>de faire face à une nouvelle menace</w:t>
            </w:r>
            <w:r w:rsidR="003B017B" w:rsidRPr="00AF5B6D">
              <w:rPr>
                <w:rFonts w:ascii="Times New Roman" w:hAnsi="Times New Roman" w:cs="Times New Roman"/>
                <w:i w:val="0"/>
                <w:kern w:val="22"/>
                <w:szCs w:val="22"/>
                <w:lang w:val="fr-CA"/>
              </w:rPr>
              <w:t>.</w:t>
            </w:r>
          </w:p>
        </w:tc>
      </w:tr>
      <w:tr w:rsidR="00EA1588" w:rsidRPr="00A41637" w:rsidTr="007B3E88">
        <w:trPr>
          <w:cantSplit/>
          <w:jc w:val="center"/>
        </w:trPr>
        <w:tc>
          <w:tcPr>
            <w:tcW w:w="9331" w:type="dxa"/>
            <w:gridSpan w:val="2"/>
            <w:shd w:val="clear" w:color="auto" w:fill="BFBFBF" w:themeFill="background1" w:themeFillShade="BF"/>
          </w:tcPr>
          <w:p w:rsidR="003B017B" w:rsidRPr="00AF5B6D" w:rsidRDefault="005E602C" w:rsidP="007B3E88">
            <w:pPr>
              <w:suppressLineNumbers/>
              <w:suppressAutoHyphens/>
              <w:kinsoku w:val="0"/>
              <w:overflowPunct w:val="0"/>
              <w:autoSpaceDE w:val="0"/>
              <w:autoSpaceDN w:val="0"/>
              <w:ind w:left="162" w:hanging="162"/>
              <w:jc w:val="left"/>
              <w:rPr>
                <w:rFonts w:ascii="Times New Roman" w:hAnsi="Times New Roman" w:cs="Times New Roman"/>
                <w:b/>
                <w:bCs/>
                <w:kern w:val="22"/>
                <w:szCs w:val="22"/>
                <w:lang w:val="fr-CA"/>
              </w:rPr>
            </w:pPr>
            <w:r w:rsidRPr="00AF5B6D">
              <w:rPr>
                <w:rFonts w:ascii="Times New Roman" w:hAnsi="Times New Roman" w:cs="Times New Roman"/>
                <w:b/>
                <w:kern w:val="22"/>
                <w:szCs w:val="22"/>
                <w:lang w:val="fr-CA"/>
              </w:rPr>
              <w:t>Critère C : Réalise une contribution durable et efficace pour la conservation in situ de la diversité biologique</w:t>
            </w:r>
          </w:p>
        </w:tc>
      </w:tr>
      <w:tr w:rsidR="00EA1588" w:rsidRPr="00A41637" w:rsidTr="007B3E88">
        <w:trPr>
          <w:cantSplit/>
          <w:jc w:val="center"/>
        </w:trPr>
        <w:tc>
          <w:tcPr>
            <w:tcW w:w="1611" w:type="dxa"/>
          </w:tcPr>
          <w:p w:rsidR="003B017B" w:rsidRPr="00AF5B6D" w:rsidRDefault="005E602C" w:rsidP="007B3E88">
            <w:pPr>
              <w:pStyle w:val="Titre3"/>
              <w:keepNext w:val="0"/>
              <w:suppressLineNumbers/>
              <w:suppressAutoHyphens/>
              <w:kinsoku w:val="0"/>
              <w:overflowPunct w:val="0"/>
              <w:autoSpaceDE w:val="0"/>
              <w:autoSpaceDN w:val="0"/>
              <w:spacing w:before="0" w:after="0"/>
              <w:jc w:val="left"/>
              <w:outlineLvl w:val="2"/>
              <w:rPr>
                <w:rFonts w:ascii="Times New Roman" w:hAnsi="Times New Roman" w:cs="Times New Roman"/>
                <w:b/>
                <w:bCs/>
                <w:i w:val="0"/>
                <w:kern w:val="22"/>
                <w:szCs w:val="22"/>
                <w:lang w:val="fr-CA"/>
              </w:rPr>
            </w:pPr>
            <w:r w:rsidRPr="00AF5B6D">
              <w:rPr>
                <w:rFonts w:ascii="Times New Roman" w:hAnsi="Times New Roman" w:cs="Times New Roman"/>
                <w:b/>
                <w:i w:val="0"/>
                <w:kern w:val="22"/>
                <w:szCs w:val="22"/>
                <w:lang w:val="fr-CA"/>
              </w:rPr>
              <w:t>Efficace</w:t>
            </w:r>
          </w:p>
        </w:tc>
        <w:tc>
          <w:tcPr>
            <w:tcW w:w="7720" w:type="dxa"/>
          </w:tcPr>
          <w:p w:rsidR="003B017B" w:rsidRPr="00AF5B6D" w:rsidRDefault="005E602C" w:rsidP="007B3E88">
            <w:pPr>
              <w:pStyle w:val="Titre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CA"/>
              </w:rPr>
            </w:pPr>
            <w:r w:rsidRPr="00AF5B6D">
              <w:rPr>
                <w:rFonts w:ascii="Times New Roman" w:hAnsi="Times New Roman" w:cs="Times New Roman"/>
                <w:i w:val="0"/>
                <w:kern w:val="22"/>
                <w:szCs w:val="22"/>
                <w:lang w:val="fr-CA"/>
              </w:rPr>
              <w:t>L’aire obtient ou obtiendra des résultats positifs durables pour la conservation in situ de la diversité biologique</w:t>
            </w:r>
            <w:r w:rsidR="003B017B" w:rsidRPr="00AF5B6D">
              <w:rPr>
                <w:rFonts w:ascii="Times New Roman" w:hAnsi="Times New Roman" w:cs="Times New Roman"/>
                <w:i w:val="0"/>
                <w:kern w:val="22"/>
                <w:szCs w:val="22"/>
                <w:lang w:val="fr-CA"/>
              </w:rPr>
              <w:t>.</w:t>
            </w:r>
          </w:p>
          <w:p w:rsidR="003B017B" w:rsidRPr="00AF5B6D" w:rsidRDefault="005E602C" w:rsidP="007B3E88">
            <w:pPr>
              <w:pStyle w:val="Titre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CA"/>
              </w:rPr>
            </w:pPr>
            <w:r w:rsidRPr="00AF5B6D">
              <w:rPr>
                <w:rFonts w:ascii="Times New Roman" w:hAnsi="Times New Roman" w:cs="Times New Roman"/>
                <w:i w:val="0"/>
                <w:kern w:val="22"/>
                <w:szCs w:val="22"/>
                <w:lang w:val="fr-CA"/>
              </w:rPr>
              <w:t>Les menaces actuelles sont bien comprises</w:t>
            </w:r>
            <w:r w:rsidR="00AA6F81" w:rsidRPr="00AF5B6D">
              <w:rPr>
                <w:rFonts w:ascii="Times New Roman" w:hAnsi="Times New Roman" w:cs="Times New Roman"/>
                <w:i w:val="0"/>
                <w:kern w:val="22"/>
                <w:szCs w:val="22"/>
                <w:lang w:val="fr-CA"/>
              </w:rPr>
              <w:t>.</w:t>
            </w:r>
          </w:p>
          <w:p w:rsidR="003B017B" w:rsidRPr="00AF5B6D" w:rsidRDefault="005E602C" w:rsidP="007B3E88">
            <w:pPr>
              <w:pStyle w:val="Titre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CA"/>
              </w:rPr>
            </w:pPr>
            <w:r w:rsidRPr="00AF5B6D">
              <w:rPr>
                <w:rFonts w:ascii="Times New Roman" w:hAnsi="Times New Roman" w:cs="Times New Roman"/>
                <w:i w:val="0"/>
                <w:kern w:val="22"/>
                <w:szCs w:val="22"/>
                <w:lang w:val="fr-CA"/>
              </w:rPr>
              <w:t>Les menaces importantes sont traitées efficacement</w:t>
            </w:r>
            <w:r w:rsidR="003B017B" w:rsidRPr="00AF5B6D">
              <w:rPr>
                <w:rFonts w:ascii="Times New Roman" w:hAnsi="Times New Roman" w:cs="Times New Roman"/>
                <w:i w:val="0"/>
                <w:kern w:val="22"/>
                <w:szCs w:val="22"/>
                <w:lang w:val="fr-CA"/>
              </w:rPr>
              <w:t>.</w:t>
            </w:r>
          </w:p>
          <w:p w:rsidR="003B017B" w:rsidRPr="00AF5B6D" w:rsidRDefault="005E602C" w:rsidP="007B3E88">
            <w:pPr>
              <w:pStyle w:val="Titre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CA"/>
              </w:rPr>
            </w:pPr>
            <w:r w:rsidRPr="00AF5B6D">
              <w:rPr>
                <w:rFonts w:ascii="Times New Roman" w:hAnsi="Times New Roman" w:cs="Times New Roman"/>
                <w:i w:val="0"/>
                <w:kern w:val="22"/>
                <w:szCs w:val="22"/>
                <w:lang w:val="fr-CA"/>
              </w:rPr>
              <w:t>Les mécanismes tels que les cadres de politique et de réglementation sont en p</w:t>
            </w:r>
            <w:r w:rsidR="00335BEF">
              <w:rPr>
                <w:rFonts w:ascii="Times New Roman" w:hAnsi="Times New Roman" w:cs="Times New Roman"/>
                <w:i w:val="0"/>
                <w:kern w:val="22"/>
                <w:szCs w:val="22"/>
                <w:lang w:val="fr-CA"/>
              </w:rPr>
              <w:t>l</w:t>
            </w:r>
            <w:r w:rsidRPr="00AF5B6D">
              <w:rPr>
                <w:rFonts w:ascii="Times New Roman" w:hAnsi="Times New Roman" w:cs="Times New Roman"/>
                <w:i w:val="0"/>
                <w:kern w:val="22"/>
                <w:szCs w:val="22"/>
                <w:lang w:val="fr-CA"/>
              </w:rPr>
              <w:t>ace afin de reconnaître et de réagir aux nouvelles menaces</w:t>
            </w:r>
            <w:r w:rsidR="003B017B" w:rsidRPr="00AF5B6D">
              <w:rPr>
                <w:rFonts w:ascii="Times New Roman" w:hAnsi="Times New Roman" w:cs="Times New Roman"/>
                <w:i w:val="0"/>
                <w:kern w:val="22"/>
                <w:szCs w:val="22"/>
                <w:lang w:val="fr-CA"/>
              </w:rPr>
              <w:t>.</w:t>
            </w:r>
          </w:p>
          <w:p w:rsidR="003B017B" w:rsidRPr="00AF5B6D" w:rsidRDefault="005E602C" w:rsidP="007B3E88">
            <w:pPr>
              <w:pStyle w:val="Titre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CA"/>
              </w:rPr>
            </w:pPr>
            <w:r w:rsidRPr="00AF5B6D">
              <w:rPr>
                <w:rFonts w:ascii="Times New Roman" w:hAnsi="Times New Roman" w:cs="Times New Roman"/>
                <w:i w:val="0"/>
                <w:kern w:val="22"/>
                <w:szCs w:val="22"/>
                <w:lang w:val="fr-CA"/>
              </w:rPr>
              <w:t xml:space="preserve">La gestion à l’intérieur et à l’extérieur des </w:t>
            </w:r>
            <w:proofErr w:type="spellStart"/>
            <w:r w:rsidRPr="00AF5B6D">
              <w:rPr>
                <w:rFonts w:ascii="Times New Roman" w:hAnsi="Times New Roman" w:cs="Times New Roman"/>
                <w:i w:val="0"/>
                <w:kern w:val="22"/>
                <w:szCs w:val="22"/>
                <w:lang w:val="fr-CA"/>
              </w:rPr>
              <w:t>AMCEZ</w:t>
            </w:r>
            <w:proofErr w:type="spellEnd"/>
            <w:r w:rsidRPr="00AF5B6D">
              <w:rPr>
                <w:rFonts w:ascii="Times New Roman" w:hAnsi="Times New Roman" w:cs="Times New Roman"/>
                <w:i w:val="0"/>
                <w:kern w:val="22"/>
                <w:szCs w:val="22"/>
                <w:lang w:val="fr-CA"/>
              </w:rPr>
              <w:t xml:space="preserve"> est intégrée, dans la mesure du possible</w:t>
            </w:r>
            <w:r w:rsidR="003B017B" w:rsidRPr="00AF5B6D">
              <w:rPr>
                <w:rFonts w:ascii="Times New Roman" w:hAnsi="Times New Roman" w:cs="Times New Roman"/>
                <w:i w:val="0"/>
                <w:kern w:val="22"/>
                <w:szCs w:val="22"/>
                <w:lang w:val="fr-CA"/>
              </w:rPr>
              <w:t>.</w:t>
            </w:r>
          </w:p>
        </w:tc>
      </w:tr>
      <w:tr w:rsidR="00EA1588" w:rsidRPr="00A41637" w:rsidTr="007B3E88">
        <w:trPr>
          <w:cantSplit/>
          <w:jc w:val="center"/>
        </w:trPr>
        <w:tc>
          <w:tcPr>
            <w:tcW w:w="1611" w:type="dxa"/>
          </w:tcPr>
          <w:p w:rsidR="003B017B" w:rsidRPr="00AF5B6D" w:rsidRDefault="005E602C" w:rsidP="007B3E88">
            <w:pPr>
              <w:pStyle w:val="Titre3"/>
              <w:keepNext w:val="0"/>
              <w:suppressLineNumbers/>
              <w:suppressAutoHyphens/>
              <w:kinsoku w:val="0"/>
              <w:overflowPunct w:val="0"/>
              <w:autoSpaceDE w:val="0"/>
              <w:autoSpaceDN w:val="0"/>
              <w:spacing w:before="0" w:after="0"/>
              <w:jc w:val="left"/>
              <w:outlineLvl w:val="2"/>
              <w:rPr>
                <w:rFonts w:ascii="Times New Roman" w:hAnsi="Times New Roman" w:cs="Times New Roman"/>
                <w:b/>
                <w:bCs/>
                <w:i w:val="0"/>
                <w:kern w:val="22"/>
                <w:szCs w:val="22"/>
                <w:lang w:val="fr-CA"/>
              </w:rPr>
            </w:pPr>
            <w:r w:rsidRPr="00AF5B6D">
              <w:rPr>
                <w:rFonts w:ascii="Times New Roman" w:hAnsi="Times New Roman" w:cs="Times New Roman"/>
                <w:b/>
                <w:i w:val="0"/>
                <w:kern w:val="22"/>
                <w:szCs w:val="22"/>
                <w:lang w:val="fr-CA"/>
              </w:rPr>
              <w:t>Durabilité à long terme</w:t>
            </w:r>
          </w:p>
        </w:tc>
        <w:tc>
          <w:tcPr>
            <w:tcW w:w="7720" w:type="dxa"/>
          </w:tcPr>
          <w:p w:rsidR="003B017B" w:rsidRPr="00AF5B6D" w:rsidRDefault="005E602C" w:rsidP="007B3E88">
            <w:pPr>
              <w:pStyle w:val="Titre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CA"/>
              </w:rPr>
            </w:pPr>
            <w:r w:rsidRPr="00AF5B6D">
              <w:rPr>
                <w:rFonts w:ascii="Times New Roman" w:hAnsi="Times New Roman" w:cs="Times New Roman"/>
                <w:i w:val="0"/>
                <w:kern w:val="22"/>
                <w:szCs w:val="22"/>
                <w:lang w:val="fr-CA"/>
              </w:rPr>
              <w:t xml:space="preserve">Les </w:t>
            </w:r>
            <w:proofErr w:type="spellStart"/>
            <w:r w:rsidRPr="00AF5B6D">
              <w:rPr>
                <w:rFonts w:ascii="Times New Roman" w:hAnsi="Times New Roman" w:cs="Times New Roman"/>
                <w:i w:val="0"/>
                <w:kern w:val="22"/>
                <w:szCs w:val="22"/>
                <w:lang w:val="fr-CA"/>
              </w:rPr>
              <w:t>AM</w:t>
            </w:r>
            <w:r w:rsidR="00CC6FF1" w:rsidRPr="00AF5B6D">
              <w:rPr>
                <w:rFonts w:ascii="Times New Roman" w:hAnsi="Times New Roman" w:cs="Times New Roman"/>
                <w:i w:val="0"/>
                <w:kern w:val="22"/>
                <w:szCs w:val="22"/>
                <w:lang w:val="fr-CA"/>
              </w:rPr>
              <w:t>CEZ</w:t>
            </w:r>
            <w:proofErr w:type="spellEnd"/>
            <w:r w:rsidR="00CC6FF1" w:rsidRPr="00AF5B6D">
              <w:rPr>
                <w:rFonts w:ascii="Times New Roman" w:hAnsi="Times New Roman" w:cs="Times New Roman"/>
                <w:i w:val="0"/>
                <w:kern w:val="22"/>
                <w:szCs w:val="22"/>
                <w:lang w:val="fr-CA"/>
              </w:rPr>
              <w:t xml:space="preserve"> sont en place à long terme, ou le seront vraisemblablement</w:t>
            </w:r>
            <w:r w:rsidR="003B017B" w:rsidRPr="00AF5B6D">
              <w:rPr>
                <w:rFonts w:ascii="Times New Roman" w:hAnsi="Times New Roman" w:cs="Times New Roman"/>
                <w:i w:val="0"/>
                <w:kern w:val="22"/>
                <w:szCs w:val="22"/>
                <w:lang w:val="fr-CA"/>
              </w:rPr>
              <w:t>.</w:t>
            </w:r>
          </w:p>
          <w:p w:rsidR="003B017B" w:rsidRPr="00AF5B6D" w:rsidRDefault="00CC6FF1" w:rsidP="00CC6FF1">
            <w:pPr>
              <w:pStyle w:val="Titre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CA"/>
              </w:rPr>
            </w:pPr>
            <w:r w:rsidRPr="00AF5B6D">
              <w:rPr>
                <w:rFonts w:ascii="Times New Roman" w:hAnsi="Times New Roman" w:cs="Times New Roman"/>
                <w:i w:val="0"/>
                <w:kern w:val="22"/>
                <w:szCs w:val="22"/>
                <w:lang w:val="fr-CA"/>
              </w:rPr>
              <w:t xml:space="preserve">La « durabilité </w:t>
            </w:r>
            <w:r w:rsidRPr="00AF5B6D">
              <w:rPr>
                <w:rFonts w:ascii="Times New Roman" w:hAnsi="Times New Roman" w:cs="Times New Roman"/>
                <w:i w:val="0"/>
                <w:lang w:val="fr-CA"/>
              </w:rPr>
              <w:t>» s’applique à la continuité de la gouvernance et de la gestion, et le « long terme » s’applique au résultat</w:t>
            </w:r>
            <w:r w:rsidR="003B017B" w:rsidRPr="00AF5B6D">
              <w:rPr>
                <w:rFonts w:ascii="Times New Roman" w:hAnsi="Times New Roman" w:cs="Times New Roman"/>
                <w:i w:val="0"/>
                <w:kern w:val="22"/>
                <w:szCs w:val="22"/>
                <w:lang w:val="fr-CA"/>
              </w:rPr>
              <w:t>.</w:t>
            </w:r>
          </w:p>
        </w:tc>
      </w:tr>
      <w:tr w:rsidR="00EA1588" w:rsidRPr="00A41637" w:rsidTr="007B3E88">
        <w:trPr>
          <w:cantSplit/>
          <w:jc w:val="center"/>
        </w:trPr>
        <w:tc>
          <w:tcPr>
            <w:tcW w:w="1611" w:type="dxa"/>
          </w:tcPr>
          <w:p w:rsidR="003B017B" w:rsidRPr="00AF5B6D" w:rsidRDefault="00CC6FF1" w:rsidP="007B3E88">
            <w:pPr>
              <w:suppressLineNumbers/>
              <w:suppressAutoHyphens/>
              <w:kinsoku w:val="0"/>
              <w:overflowPunct w:val="0"/>
              <w:autoSpaceDE w:val="0"/>
              <w:autoSpaceDN w:val="0"/>
              <w:jc w:val="left"/>
              <w:rPr>
                <w:rFonts w:ascii="Times New Roman" w:hAnsi="Times New Roman" w:cs="Times New Roman"/>
                <w:kern w:val="22"/>
                <w:szCs w:val="22"/>
                <w:lang w:val="fr-CA"/>
              </w:rPr>
            </w:pPr>
            <w:r w:rsidRPr="00AF5B6D">
              <w:rPr>
                <w:rFonts w:ascii="Times New Roman" w:hAnsi="Times New Roman" w:cs="Times New Roman"/>
                <w:b/>
                <w:color w:val="000000" w:themeColor="text1"/>
                <w:kern w:val="22"/>
                <w:szCs w:val="22"/>
                <w:lang w:val="fr-CA"/>
              </w:rPr>
              <w:lastRenderedPageBreak/>
              <w:t>Information et suivi</w:t>
            </w:r>
          </w:p>
        </w:tc>
        <w:tc>
          <w:tcPr>
            <w:tcW w:w="7720" w:type="dxa"/>
          </w:tcPr>
          <w:p w:rsidR="003B017B" w:rsidRPr="00AF5B6D" w:rsidRDefault="00CC6FF1" w:rsidP="007B3E88">
            <w:pPr>
              <w:pStyle w:val="Titre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kern w:val="22"/>
                <w:szCs w:val="22"/>
                <w:lang w:val="fr-CA"/>
              </w:rPr>
            </w:pPr>
            <w:r w:rsidRPr="00AF5B6D">
              <w:rPr>
                <w:rFonts w:ascii="Times New Roman" w:hAnsi="Times New Roman" w:cs="Times New Roman"/>
                <w:i w:val="0"/>
                <w:kern w:val="22"/>
                <w:szCs w:val="22"/>
                <w:lang w:val="fr-CA"/>
              </w:rPr>
              <w:t xml:space="preserve">Le recensement d’une </w:t>
            </w:r>
            <w:proofErr w:type="spellStart"/>
            <w:r w:rsidRPr="00AF5B6D">
              <w:rPr>
                <w:rFonts w:ascii="Times New Roman" w:hAnsi="Times New Roman" w:cs="Times New Roman"/>
                <w:i w:val="0"/>
                <w:kern w:val="22"/>
                <w:szCs w:val="22"/>
                <w:lang w:val="fr-CA"/>
              </w:rPr>
              <w:t>AMCEZ</w:t>
            </w:r>
            <w:proofErr w:type="spellEnd"/>
            <w:r w:rsidRPr="00AF5B6D">
              <w:rPr>
                <w:rFonts w:ascii="Times New Roman" w:hAnsi="Times New Roman" w:cs="Times New Roman"/>
                <w:i w:val="0"/>
                <w:kern w:val="22"/>
                <w:szCs w:val="22"/>
                <w:lang w:val="fr-CA"/>
              </w:rPr>
              <w:t xml:space="preserve"> doit documenter les attributs connus de la diversité biologique, dans la mesure du possible, dont les valeurs culturelles et/ou spirituelles de l’aire et de la gouvernance et la gestion en place, en tant que valeur de référence pour évaluer l’efficacité</w:t>
            </w:r>
            <w:r w:rsidR="003B017B" w:rsidRPr="00AF5B6D">
              <w:rPr>
                <w:rFonts w:ascii="Times New Roman" w:hAnsi="Times New Roman" w:cs="Times New Roman"/>
                <w:i w:val="0"/>
                <w:kern w:val="22"/>
                <w:szCs w:val="22"/>
                <w:lang w:val="fr-CA"/>
              </w:rPr>
              <w:t>.</w:t>
            </w:r>
          </w:p>
          <w:p w:rsidR="003B017B" w:rsidRPr="00AF5B6D" w:rsidRDefault="00CC6FF1" w:rsidP="007B3E88">
            <w:pPr>
              <w:pStyle w:val="Titre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CA"/>
              </w:rPr>
            </w:pPr>
            <w:r w:rsidRPr="00AF5B6D">
              <w:rPr>
                <w:rFonts w:ascii="Times New Roman" w:hAnsi="Times New Roman" w:cs="Times New Roman"/>
                <w:i w:val="0"/>
                <w:kern w:val="22"/>
                <w:szCs w:val="22"/>
                <w:lang w:val="fr-CA"/>
              </w:rPr>
              <w:t xml:space="preserve">Le système de suivi </w:t>
            </w:r>
            <w:r w:rsidR="00144F69" w:rsidRPr="00AF5B6D">
              <w:rPr>
                <w:rFonts w:ascii="Times New Roman" w:hAnsi="Times New Roman" w:cs="Times New Roman"/>
                <w:i w:val="0"/>
                <w:kern w:val="22"/>
                <w:szCs w:val="22"/>
                <w:lang w:val="fr-CA"/>
              </w:rPr>
              <w:t>fournit des donné</w:t>
            </w:r>
            <w:r w:rsidR="002E3C0B">
              <w:rPr>
                <w:rFonts w:ascii="Times New Roman" w:hAnsi="Times New Roman" w:cs="Times New Roman"/>
                <w:i w:val="0"/>
                <w:kern w:val="22"/>
                <w:szCs w:val="22"/>
                <w:lang w:val="fr-CA"/>
              </w:rPr>
              <w:t>e</w:t>
            </w:r>
            <w:r w:rsidR="00144F69" w:rsidRPr="00AF5B6D">
              <w:rPr>
                <w:rFonts w:ascii="Times New Roman" w:hAnsi="Times New Roman" w:cs="Times New Roman"/>
                <w:i w:val="0"/>
                <w:kern w:val="22"/>
                <w:szCs w:val="22"/>
                <w:lang w:val="fr-CA"/>
              </w:rPr>
              <w:t xml:space="preserve">s sur les mesures de gestion </w:t>
            </w:r>
            <w:r w:rsidR="00335BEF">
              <w:rPr>
                <w:rFonts w:ascii="Times New Roman" w:hAnsi="Times New Roman" w:cs="Times New Roman"/>
                <w:i w:val="0"/>
                <w:kern w:val="22"/>
                <w:szCs w:val="22"/>
                <w:lang w:val="fr-CA"/>
              </w:rPr>
              <w:t>en lien avec l</w:t>
            </w:r>
            <w:r w:rsidR="00144F69" w:rsidRPr="00AF5B6D">
              <w:rPr>
                <w:rFonts w:ascii="Times New Roman" w:hAnsi="Times New Roman" w:cs="Times New Roman"/>
                <w:i w:val="0"/>
                <w:kern w:val="22"/>
                <w:szCs w:val="22"/>
                <w:lang w:val="fr-CA"/>
              </w:rPr>
              <w:t>a diversité biologique</w:t>
            </w:r>
            <w:r w:rsidR="003B017B" w:rsidRPr="00AF5B6D">
              <w:rPr>
                <w:rFonts w:ascii="Times New Roman" w:hAnsi="Times New Roman" w:cs="Times New Roman"/>
                <w:i w:val="0"/>
                <w:kern w:val="22"/>
                <w:szCs w:val="22"/>
                <w:lang w:val="fr-CA"/>
              </w:rPr>
              <w:t>.</w:t>
            </w:r>
          </w:p>
          <w:p w:rsidR="003B017B" w:rsidRPr="00AF5B6D" w:rsidRDefault="00144F69" w:rsidP="00144F69">
            <w:pPr>
              <w:pStyle w:val="Titre3"/>
              <w:keepNext w:val="0"/>
              <w:numPr>
                <w:ilvl w:val="0"/>
                <w:numId w:val="6"/>
              </w:numPr>
              <w:suppressLineNumbers/>
              <w:tabs>
                <w:tab w:val="clear" w:pos="567"/>
              </w:tabs>
              <w:suppressAutoHyphens/>
              <w:kinsoku w:val="0"/>
              <w:overflowPunct w:val="0"/>
              <w:autoSpaceDE w:val="0"/>
              <w:autoSpaceDN w:val="0"/>
              <w:spacing w:before="0" w:after="60"/>
              <w:ind w:left="403"/>
              <w:jc w:val="left"/>
              <w:outlineLvl w:val="2"/>
              <w:rPr>
                <w:rFonts w:ascii="Times New Roman" w:hAnsi="Times New Roman" w:cs="Times New Roman"/>
                <w:i w:val="0"/>
                <w:kern w:val="22"/>
                <w:szCs w:val="22"/>
                <w:lang w:val="fr-CA"/>
              </w:rPr>
            </w:pPr>
            <w:r w:rsidRPr="00AF5B6D">
              <w:rPr>
                <w:rFonts w:ascii="Times New Roman" w:hAnsi="Times New Roman" w:cs="Times New Roman"/>
                <w:i w:val="0"/>
                <w:kern w:val="22"/>
                <w:szCs w:val="22"/>
                <w:lang w:val="fr-CA"/>
              </w:rPr>
              <w:t>Des processus doivent être en place afin d’évaluer l’efficacité de la gouvernance et de la gestion, notamment concernant l’équité</w:t>
            </w:r>
            <w:r w:rsidR="003B017B" w:rsidRPr="00AF5B6D">
              <w:rPr>
                <w:rFonts w:ascii="Times New Roman" w:hAnsi="Times New Roman" w:cs="Times New Roman"/>
                <w:i w:val="0"/>
                <w:kern w:val="22"/>
                <w:szCs w:val="22"/>
                <w:lang w:val="fr-CA"/>
              </w:rPr>
              <w:t>.</w:t>
            </w:r>
          </w:p>
        </w:tc>
      </w:tr>
      <w:tr w:rsidR="00EA1588" w:rsidRPr="00A41637" w:rsidTr="007B3E88">
        <w:trPr>
          <w:cantSplit/>
          <w:jc w:val="center"/>
        </w:trPr>
        <w:tc>
          <w:tcPr>
            <w:tcW w:w="9331" w:type="dxa"/>
            <w:gridSpan w:val="2"/>
            <w:shd w:val="clear" w:color="auto" w:fill="BFBFBF" w:themeFill="background1" w:themeFillShade="BF"/>
          </w:tcPr>
          <w:p w:rsidR="003B017B" w:rsidRPr="00AF5B6D" w:rsidRDefault="00144F69" w:rsidP="007B3E88">
            <w:pPr>
              <w:pStyle w:val="Titre3"/>
              <w:suppressLineNumbers/>
              <w:suppressAutoHyphens/>
              <w:kinsoku w:val="0"/>
              <w:overflowPunct w:val="0"/>
              <w:autoSpaceDE w:val="0"/>
              <w:autoSpaceDN w:val="0"/>
              <w:spacing w:before="0" w:after="0"/>
              <w:ind w:left="259" w:hanging="259"/>
              <w:jc w:val="left"/>
              <w:outlineLvl w:val="2"/>
              <w:rPr>
                <w:rFonts w:ascii="Times New Roman" w:hAnsi="Times New Roman" w:cs="Times New Roman"/>
                <w:b/>
                <w:bCs/>
                <w:i w:val="0"/>
                <w:kern w:val="22"/>
                <w:szCs w:val="22"/>
                <w:lang w:val="fr-CA"/>
              </w:rPr>
            </w:pPr>
            <w:r w:rsidRPr="00AF5B6D">
              <w:rPr>
                <w:rFonts w:ascii="Times New Roman" w:hAnsi="Times New Roman" w:cs="Times New Roman"/>
                <w:b/>
                <w:i w:val="0"/>
                <w:kern w:val="22"/>
                <w:szCs w:val="22"/>
                <w:lang w:val="fr-CA"/>
              </w:rPr>
              <w:t>Critère D : Services écosystémiques et valeurs spirituelles associés</w:t>
            </w:r>
          </w:p>
        </w:tc>
      </w:tr>
      <w:tr w:rsidR="00EA1588" w:rsidRPr="00A41637" w:rsidTr="007B3E88">
        <w:trPr>
          <w:cantSplit/>
          <w:jc w:val="center"/>
        </w:trPr>
        <w:tc>
          <w:tcPr>
            <w:tcW w:w="1611" w:type="dxa"/>
          </w:tcPr>
          <w:p w:rsidR="003B017B" w:rsidRPr="00AF5B6D" w:rsidRDefault="00144F69" w:rsidP="007B3E88">
            <w:pPr>
              <w:pStyle w:val="Titre3"/>
              <w:keepNext w:val="0"/>
              <w:suppressLineNumbers/>
              <w:suppressAutoHyphens/>
              <w:kinsoku w:val="0"/>
              <w:overflowPunct w:val="0"/>
              <w:autoSpaceDE w:val="0"/>
              <w:autoSpaceDN w:val="0"/>
              <w:spacing w:before="0" w:after="0"/>
              <w:jc w:val="left"/>
              <w:outlineLvl w:val="2"/>
              <w:rPr>
                <w:rFonts w:ascii="Times New Roman" w:hAnsi="Times New Roman" w:cs="Times New Roman"/>
                <w:b/>
                <w:bCs/>
                <w:i w:val="0"/>
                <w:kern w:val="22"/>
                <w:szCs w:val="22"/>
                <w:lang w:val="fr-CA"/>
              </w:rPr>
            </w:pPr>
            <w:r w:rsidRPr="00AF5B6D">
              <w:rPr>
                <w:rFonts w:ascii="Times New Roman" w:hAnsi="Times New Roman" w:cs="Times New Roman"/>
                <w:b/>
                <w:i w:val="0"/>
                <w:kern w:val="22"/>
                <w:szCs w:val="22"/>
                <w:lang w:val="fr-CA"/>
              </w:rPr>
              <w:t>Services écosystémiques</w:t>
            </w:r>
          </w:p>
        </w:tc>
        <w:tc>
          <w:tcPr>
            <w:tcW w:w="7720" w:type="dxa"/>
          </w:tcPr>
          <w:p w:rsidR="003B017B" w:rsidRPr="00AF5B6D" w:rsidRDefault="00144F69" w:rsidP="00144F69">
            <w:pPr>
              <w:pStyle w:val="Titre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CA"/>
              </w:rPr>
            </w:pPr>
            <w:r w:rsidRPr="00AF5B6D">
              <w:rPr>
                <w:rFonts w:ascii="Times New Roman" w:hAnsi="Times New Roman" w:cs="Times New Roman"/>
                <w:i w:val="0"/>
                <w:kern w:val="22"/>
                <w:szCs w:val="22"/>
                <w:lang w:val="fr-CA"/>
              </w:rPr>
              <w:t>Les services écosystémiques sont soutenus, surtout ceux d’importance pour les peuples autochtones et les communautés locales, en tenant compte des interactions et des compromis au sein des services, dans le but d’obtenir des résultats positifs pour la diversité biologique et l’équité</w:t>
            </w:r>
            <w:r w:rsidR="003B017B" w:rsidRPr="00AF5B6D">
              <w:rPr>
                <w:rFonts w:ascii="Times New Roman" w:hAnsi="Times New Roman" w:cs="Times New Roman"/>
                <w:i w:val="0"/>
                <w:kern w:val="22"/>
                <w:szCs w:val="22"/>
                <w:lang w:val="fr-CA"/>
              </w:rPr>
              <w:t>.</w:t>
            </w:r>
          </w:p>
        </w:tc>
      </w:tr>
      <w:tr w:rsidR="00EA1588" w:rsidRPr="00A41637" w:rsidTr="007B3E88">
        <w:trPr>
          <w:cantSplit/>
          <w:jc w:val="center"/>
        </w:trPr>
        <w:tc>
          <w:tcPr>
            <w:tcW w:w="1611" w:type="dxa"/>
          </w:tcPr>
          <w:p w:rsidR="003B017B" w:rsidRPr="00AF5B6D" w:rsidRDefault="00405216" w:rsidP="007B3E88">
            <w:pPr>
              <w:pStyle w:val="Titre3"/>
              <w:keepNext w:val="0"/>
              <w:suppressLineNumbers/>
              <w:suppressAutoHyphens/>
              <w:kinsoku w:val="0"/>
              <w:overflowPunct w:val="0"/>
              <w:autoSpaceDE w:val="0"/>
              <w:autoSpaceDN w:val="0"/>
              <w:spacing w:before="0" w:after="0"/>
              <w:jc w:val="left"/>
              <w:outlineLvl w:val="2"/>
              <w:rPr>
                <w:rFonts w:ascii="Times New Roman" w:hAnsi="Times New Roman" w:cs="Times New Roman"/>
                <w:b/>
                <w:bCs/>
                <w:i w:val="0"/>
                <w:kern w:val="22"/>
                <w:szCs w:val="22"/>
                <w:lang w:val="fr-CA"/>
              </w:rPr>
            </w:pPr>
            <w:r w:rsidRPr="00AF5B6D">
              <w:rPr>
                <w:rFonts w:ascii="Times New Roman" w:hAnsi="Times New Roman" w:cs="Times New Roman"/>
                <w:b/>
                <w:i w:val="0"/>
                <w:kern w:val="22"/>
                <w:szCs w:val="22"/>
                <w:lang w:val="fr-CA"/>
              </w:rPr>
              <w:t>Valeurs culturelles et spirituelles</w:t>
            </w:r>
          </w:p>
        </w:tc>
        <w:tc>
          <w:tcPr>
            <w:tcW w:w="7720" w:type="dxa"/>
          </w:tcPr>
          <w:p w:rsidR="003B017B" w:rsidRPr="00AF5B6D" w:rsidRDefault="00405216" w:rsidP="007B3E88">
            <w:pPr>
              <w:pStyle w:val="Titre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CA"/>
              </w:rPr>
            </w:pPr>
            <w:r w:rsidRPr="00AF5B6D">
              <w:rPr>
                <w:rFonts w:ascii="Times New Roman" w:hAnsi="Times New Roman" w:cs="Times New Roman"/>
                <w:i w:val="0"/>
                <w:kern w:val="22"/>
                <w:szCs w:val="22"/>
                <w:lang w:val="fr-CA"/>
              </w:rPr>
              <w:t>Les mesures de gouvernance et de gestion mesurent, recensent, respectent et maintiennent l’importance et les valeurs culturelles et spirituelles de l’aire</w:t>
            </w:r>
            <w:r w:rsidR="003B017B" w:rsidRPr="00AF5B6D">
              <w:rPr>
                <w:rFonts w:ascii="Times New Roman" w:hAnsi="Times New Roman" w:cs="Times New Roman"/>
                <w:i w:val="0"/>
                <w:kern w:val="22"/>
                <w:szCs w:val="22"/>
                <w:lang w:val="fr-CA"/>
              </w:rPr>
              <w:t>.</w:t>
            </w:r>
          </w:p>
          <w:p w:rsidR="003B017B" w:rsidRPr="00AF5B6D" w:rsidRDefault="00405216" w:rsidP="007B3E88">
            <w:pPr>
              <w:pStyle w:val="Titre3"/>
              <w:keepNext w:val="0"/>
              <w:numPr>
                <w:ilvl w:val="0"/>
                <w:numId w:val="6"/>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CA"/>
              </w:rPr>
            </w:pPr>
            <w:r w:rsidRPr="00AF5B6D">
              <w:rPr>
                <w:rFonts w:ascii="Times New Roman" w:hAnsi="Times New Roman" w:cs="Times New Roman"/>
                <w:i w:val="0"/>
                <w:kern w:val="22"/>
                <w:szCs w:val="22"/>
                <w:lang w:val="fr-CA"/>
              </w:rPr>
              <w:t>Les mesures de gouvernance et de gestion respectent et maintiennent les connaissances, les pratiques et les institutions fondamentales à la conservation in situ de la diversité biologique</w:t>
            </w:r>
            <w:r w:rsidR="003B017B" w:rsidRPr="00AF5B6D">
              <w:rPr>
                <w:rFonts w:ascii="Times New Roman" w:hAnsi="Times New Roman" w:cs="Times New Roman"/>
                <w:i w:val="0"/>
                <w:kern w:val="22"/>
                <w:szCs w:val="22"/>
                <w:lang w:val="fr-CA"/>
              </w:rPr>
              <w:t>.</w:t>
            </w:r>
          </w:p>
        </w:tc>
      </w:tr>
    </w:tbl>
    <w:p w:rsidR="005D6096" w:rsidRPr="00AF5B6D" w:rsidRDefault="00AA6F81" w:rsidP="007B3E88">
      <w:pPr>
        <w:pStyle w:val="Titre1"/>
        <w:keepNext/>
        <w:suppressLineNumbers/>
        <w:tabs>
          <w:tab w:val="clear" w:pos="720"/>
          <w:tab w:val="left" w:pos="360"/>
        </w:tabs>
        <w:suppressAutoHyphens/>
        <w:kinsoku w:val="0"/>
        <w:overflowPunct w:val="0"/>
        <w:autoSpaceDE w:val="0"/>
        <w:autoSpaceDN w:val="0"/>
        <w:spacing w:line="226" w:lineRule="auto"/>
        <w:rPr>
          <w:bCs/>
          <w:kern w:val="22"/>
          <w:szCs w:val="22"/>
          <w:lang w:val="fr-CA"/>
        </w:rPr>
      </w:pPr>
      <w:r w:rsidRPr="00AF5B6D">
        <w:rPr>
          <w:bCs/>
          <w:kern w:val="22"/>
          <w:szCs w:val="22"/>
          <w:lang w:val="fr-CA"/>
        </w:rPr>
        <w:t>D.</w:t>
      </w:r>
      <w:r w:rsidRPr="00AF5B6D">
        <w:rPr>
          <w:bCs/>
          <w:kern w:val="22"/>
          <w:szCs w:val="22"/>
          <w:lang w:val="fr-CA"/>
        </w:rPr>
        <w:tab/>
      </w:r>
      <w:r w:rsidR="00405216" w:rsidRPr="00AF5B6D">
        <w:rPr>
          <w:bCs/>
          <w:kern w:val="22"/>
          <w:szCs w:val="22"/>
          <w:lang w:val="fr-CA"/>
        </w:rPr>
        <w:t>AUTRES FACTEURS</w:t>
      </w:r>
    </w:p>
    <w:p w:rsidR="005D6096" w:rsidRPr="00AF5B6D" w:rsidRDefault="00405216" w:rsidP="007B3E88">
      <w:pPr>
        <w:pStyle w:val="Paragraphedeliste"/>
        <w:keepNext/>
        <w:numPr>
          <w:ilvl w:val="6"/>
          <w:numId w:val="39"/>
        </w:numPr>
        <w:suppressLineNumbers/>
        <w:tabs>
          <w:tab w:val="left" w:pos="360"/>
        </w:tabs>
        <w:suppressAutoHyphens/>
        <w:kinsoku w:val="0"/>
        <w:overflowPunct w:val="0"/>
        <w:autoSpaceDE w:val="0"/>
        <w:autoSpaceDN w:val="0"/>
        <w:spacing w:line="226" w:lineRule="auto"/>
        <w:ind w:left="0" w:firstLine="0"/>
        <w:jc w:val="center"/>
        <w:rPr>
          <w:i/>
          <w:kern w:val="22"/>
          <w:szCs w:val="22"/>
          <w:lang w:val="fr-CA"/>
        </w:rPr>
      </w:pPr>
      <w:r w:rsidRPr="00AF5B6D">
        <w:rPr>
          <w:i/>
          <w:kern w:val="22"/>
          <w:szCs w:val="22"/>
          <w:lang w:val="fr-CA"/>
        </w:rPr>
        <w:t>Approches de gestion</w:t>
      </w:r>
    </w:p>
    <w:p w:rsidR="005D6096" w:rsidRPr="00AF5B6D" w:rsidRDefault="00050114" w:rsidP="00050114">
      <w:pPr>
        <w:pStyle w:val="Paragraphedeliste"/>
        <w:numPr>
          <w:ilvl w:val="0"/>
          <w:numId w:val="88"/>
        </w:numPr>
        <w:suppressLineNumbers/>
        <w:suppressAutoHyphens/>
        <w:kinsoku w:val="0"/>
        <w:overflowPunct w:val="0"/>
        <w:autoSpaceDE w:val="0"/>
        <w:autoSpaceDN w:val="0"/>
        <w:spacing w:before="120" w:after="120" w:line="226" w:lineRule="auto"/>
        <w:ind w:left="0" w:firstLine="720"/>
        <w:contextualSpacing w:val="0"/>
        <w:rPr>
          <w:kern w:val="22"/>
          <w:szCs w:val="22"/>
          <w:lang w:val="fr-CA"/>
        </w:rPr>
      </w:pPr>
      <w:r w:rsidRPr="00AF5B6D">
        <w:rPr>
          <w:kern w:val="22"/>
          <w:szCs w:val="22"/>
          <w:lang w:val="fr-CA"/>
        </w:rPr>
        <w:t xml:space="preserve">Les </w:t>
      </w:r>
      <w:proofErr w:type="spellStart"/>
      <w:r w:rsidRPr="00AF5B6D">
        <w:rPr>
          <w:kern w:val="22"/>
          <w:szCs w:val="22"/>
          <w:lang w:val="fr-CA"/>
        </w:rPr>
        <w:t>AMCEZ</w:t>
      </w:r>
      <w:proofErr w:type="spellEnd"/>
      <w:r w:rsidRPr="00AF5B6D">
        <w:rPr>
          <w:kern w:val="22"/>
          <w:szCs w:val="22"/>
          <w:lang w:val="fr-CA"/>
        </w:rPr>
        <w:t xml:space="preserve"> sont diversifiées </w:t>
      </w:r>
      <w:r w:rsidR="007E31CA">
        <w:rPr>
          <w:kern w:val="22"/>
          <w:szCs w:val="22"/>
          <w:lang w:val="fr-CA"/>
        </w:rPr>
        <w:t>quant</w:t>
      </w:r>
      <w:r w:rsidRPr="00AF5B6D">
        <w:rPr>
          <w:kern w:val="22"/>
          <w:szCs w:val="22"/>
          <w:lang w:val="fr-CA"/>
        </w:rPr>
        <w:t xml:space="preserve"> à leur objet, leur conception, leur gouvernance, leurs participants et leu</w:t>
      </w:r>
      <w:r w:rsidR="007E31CA">
        <w:rPr>
          <w:kern w:val="22"/>
          <w:szCs w:val="22"/>
          <w:lang w:val="fr-CA"/>
        </w:rPr>
        <w:t>r</w:t>
      </w:r>
      <w:r w:rsidRPr="00AF5B6D">
        <w:rPr>
          <w:kern w:val="22"/>
          <w:szCs w:val="22"/>
          <w:lang w:val="fr-CA"/>
        </w:rPr>
        <w:t xml:space="preserve"> gestion, surtout</w:t>
      </w:r>
      <w:r w:rsidR="004D0061" w:rsidRPr="00AF5B6D">
        <w:rPr>
          <w:kern w:val="22"/>
          <w:szCs w:val="22"/>
          <w:lang w:val="fr-CA"/>
        </w:rPr>
        <w:t xml:space="preserve"> lorsqu’elles tiennent compte des valeurs culturelles et spirituelles apparentées. Par conséquent, les approches de gestion des </w:t>
      </w:r>
      <w:proofErr w:type="spellStart"/>
      <w:r w:rsidR="004D0061" w:rsidRPr="00AF5B6D">
        <w:rPr>
          <w:kern w:val="22"/>
          <w:szCs w:val="22"/>
          <w:lang w:val="fr-CA"/>
        </w:rPr>
        <w:t>AMCEZ</w:t>
      </w:r>
      <w:proofErr w:type="spellEnd"/>
      <w:r w:rsidR="004D0061" w:rsidRPr="00AF5B6D">
        <w:rPr>
          <w:kern w:val="22"/>
          <w:szCs w:val="22"/>
          <w:lang w:val="fr-CA"/>
        </w:rPr>
        <w:t xml:space="preserve"> sont et demeureront diversifiées</w:t>
      </w:r>
      <w:r w:rsidR="00471E77" w:rsidRPr="00AF5B6D">
        <w:rPr>
          <w:kern w:val="22"/>
          <w:szCs w:val="22"/>
          <w:lang w:val="fr-CA"/>
        </w:rPr>
        <w:t>;</w:t>
      </w:r>
    </w:p>
    <w:p w:rsidR="005D6096" w:rsidRPr="00AF5B6D" w:rsidRDefault="004D0061" w:rsidP="007B3E88">
      <w:pPr>
        <w:pStyle w:val="Paragraphedeliste"/>
        <w:numPr>
          <w:ilvl w:val="0"/>
          <w:numId w:val="88"/>
        </w:numPr>
        <w:suppressLineNumbers/>
        <w:suppressAutoHyphens/>
        <w:kinsoku w:val="0"/>
        <w:overflowPunct w:val="0"/>
        <w:autoSpaceDE w:val="0"/>
        <w:autoSpaceDN w:val="0"/>
        <w:spacing w:before="120" w:after="120" w:line="226" w:lineRule="auto"/>
        <w:ind w:left="0" w:firstLine="720"/>
        <w:contextualSpacing w:val="0"/>
        <w:rPr>
          <w:kern w:val="22"/>
          <w:szCs w:val="22"/>
          <w:lang w:val="fr-CA"/>
        </w:rPr>
      </w:pPr>
      <w:r w:rsidRPr="00AF5B6D">
        <w:rPr>
          <w:kern w:val="22"/>
          <w:szCs w:val="22"/>
          <w:lang w:val="fr-CA"/>
        </w:rPr>
        <w:t xml:space="preserve">Certaines </w:t>
      </w:r>
      <w:proofErr w:type="spellStart"/>
      <w:r w:rsidRPr="00AF5B6D">
        <w:rPr>
          <w:kern w:val="22"/>
          <w:szCs w:val="22"/>
          <w:lang w:val="fr-CA"/>
        </w:rPr>
        <w:t>AMCEZ</w:t>
      </w:r>
      <w:proofErr w:type="spellEnd"/>
      <w:r w:rsidRPr="00AF5B6D">
        <w:rPr>
          <w:kern w:val="22"/>
          <w:szCs w:val="22"/>
          <w:lang w:val="fr-CA"/>
        </w:rPr>
        <w:t xml:space="preserve"> sont établies, reconnues ou gérées dans le but de soutenir intentionnellement la conservation in s</w:t>
      </w:r>
      <w:r w:rsidR="007E31CA">
        <w:rPr>
          <w:kern w:val="22"/>
          <w:szCs w:val="22"/>
          <w:lang w:val="fr-CA"/>
        </w:rPr>
        <w:t>itu de la diversité biologique. Ce but</w:t>
      </w:r>
      <w:r w:rsidRPr="00AF5B6D">
        <w:rPr>
          <w:kern w:val="22"/>
          <w:szCs w:val="22"/>
          <w:lang w:val="fr-CA"/>
        </w:rPr>
        <w:t xml:space="preserve"> est un objectif de gestion primaire ou fait partie d’objectifs de gestion intentionnels</w:t>
      </w:r>
      <w:r w:rsidR="00473134" w:rsidRPr="00AF5B6D">
        <w:rPr>
          <w:kern w:val="22"/>
          <w:szCs w:val="22"/>
          <w:lang w:val="fr-CA"/>
        </w:rPr>
        <w:t>;</w:t>
      </w:r>
    </w:p>
    <w:p w:rsidR="005D6096" w:rsidRPr="00AF5B6D" w:rsidRDefault="004D0061" w:rsidP="007B3E88">
      <w:pPr>
        <w:pStyle w:val="Paragraphedeliste"/>
        <w:numPr>
          <w:ilvl w:val="0"/>
          <w:numId w:val="88"/>
        </w:numPr>
        <w:suppressLineNumbers/>
        <w:suppressAutoHyphens/>
        <w:kinsoku w:val="0"/>
        <w:overflowPunct w:val="0"/>
        <w:autoSpaceDE w:val="0"/>
        <w:autoSpaceDN w:val="0"/>
        <w:spacing w:before="120" w:after="120" w:line="226" w:lineRule="auto"/>
        <w:ind w:left="0" w:firstLine="720"/>
        <w:contextualSpacing w:val="0"/>
        <w:rPr>
          <w:kern w:val="22"/>
          <w:szCs w:val="22"/>
          <w:lang w:val="fr-CA"/>
        </w:rPr>
      </w:pPr>
      <w:r w:rsidRPr="00AF5B6D">
        <w:rPr>
          <w:kern w:val="22"/>
          <w:szCs w:val="22"/>
          <w:lang w:val="fr-CA"/>
        </w:rPr>
        <w:t xml:space="preserve">Certaines </w:t>
      </w:r>
      <w:proofErr w:type="spellStart"/>
      <w:r w:rsidRPr="00AF5B6D">
        <w:rPr>
          <w:kern w:val="22"/>
          <w:szCs w:val="22"/>
          <w:lang w:val="fr-CA"/>
        </w:rPr>
        <w:t>AMCEZ</w:t>
      </w:r>
      <w:proofErr w:type="spellEnd"/>
      <w:r w:rsidRPr="00AF5B6D">
        <w:rPr>
          <w:kern w:val="22"/>
          <w:szCs w:val="22"/>
          <w:lang w:val="fr-CA"/>
        </w:rPr>
        <w:t xml:space="preserve"> sont établies, reconnues ou gérées dans un autre but que pour soutenir la conservation in situ de la diversité biologique. </w:t>
      </w:r>
      <w:r w:rsidR="007E31CA">
        <w:rPr>
          <w:kern w:val="22"/>
          <w:szCs w:val="22"/>
          <w:lang w:val="fr-CA"/>
        </w:rPr>
        <w:t>Leur</w:t>
      </w:r>
      <w:r w:rsidRPr="00AF5B6D">
        <w:rPr>
          <w:kern w:val="22"/>
          <w:szCs w:val="22"/>
          <w:lang w:val="fr-CA"/>
        </w:rPr>
        <w:t xml:space="preserve"> contribution à la conservation in situ de la diversité biologique est </w:t>
      </w:r>
      <w:r w:rsidR="007E31CA">
        <w:rPr>
          <w:kern w:val="22"/>
          <w:szCs w:val="22"/>
          <w:lang w:val="fr-CA"/>
        </w:rPr>
        <w:t xml:space="preserve">donc </w:t>
      </w:r>
      <w:r w:rsidRPr="00AF5B6D">
        <w:rPr>
          <w:kern w:val="22"/>
          <w:szCs w:val="22"/>
          <w:lang w:val="fr-CA"/>
        </w:rPr>
        <w:t xml:space="preserve">un avantage connexe de leur premier objectif ou but </w:t>
      </w:r>
      <w:r w:rsidR="00CB3B0A" w:rsidRPr="00AF5B6D">
        <w:rPr>
          <w:kern w:val="22"/>
          <w:szCs w:val="22"/>
          <w:lang w:val="fr-CA"/>
        </w:rPr>
        <w:t>intentionnel</w:t>
      </w:r>
      <w:r w:rsidRPr="00AF5B6D">
        <w:rPr>
          <w:kern w:val="22"/>
          <w:szCs w:val="22"/>
          <w:lang w:val="fr-CA"/>
        </w:rPr>
        <w:t xml:space="preserve"> de gestion. Par contre, </w:t>
      </w:r>
      <w:r w:rsidR="00CB3B0A" w:rsidRPr="00AF5B6D">
        <w:rPr>
          <w:kern w:val="22"/>
          <w:szCs w:val="22"/>
          <w:lang w:val="fr-CA"/>
        </w:rPr>
        <w:t>lorsque la contri</w:t>
      </w:r>
      <w:r w:rsidRPr="00AF5B6D">
        <w:rPr>
          <w:kern w:val="22"/>
          <w:szCs w:val="22"/>
          <w:lang w:val="fr-CA"/>
        </w:rPr>
        <w:t xml:space="preserve">bution à la conservation in situ de la diversité biologique est accessoire à </w:t>
      </w:r>
      <w:r w:rsidR="00CB3B0A" w:rsidRPr="00AF5B6D">
        <w:rPr>
          <w:kern w:val="22"/>
          <w:szCs w:val="22"/>
          <w:lang w:val="fr-CA"/>
        </w:rPr>
        <w:t>l’objectif</w:t>
      </w:r>
      <w:r w:rsidRPr="00AF5B6D">
        <w:rPr>
          <w:kern w:val="22"/>
          <w:szCs w:val="22"/>
          <w:lang w:val="fr-CA"/>
        </w:rPr>
        <w:t xml:space="preserve"> principal annoncé de l’</w:t>
      </w:r>
      <w:proofErr w:type="spellStart"/>
      <w:r w:rsidRPr="00AF5B6D">
        <w:rPr>
          <w:kern w:val="22"/>
          <w:szCs w:val="22"/>
          <w:lang w:val="fr-CA"/>
        </w:rPr>
        <w:t>AMCEZ</w:t>
      </w:r>
      <w:proofErr w:type="spellEnd"/>
      <w:r w:rsidRPr="00AF5B6D">
        <w:rPr>
          <w:kern w:val="22"/>
          <w:szCs w:val="22"/>
          <w:lang w:val="fr-CA"/>
        </w:rPr>
        <w:t>, il est souhaitable que cette contribution devienne un objectif reconnu de la gestion de l’</w:t>
      </w:r>
      <w:proofErr w:type="spellStart"/>
      <w:r w:rsidRPr="00AF5B6D">
        <w:rPr>
          <w:kern w:val="22"/>
          <w:szCs w:val="22"/>
          <w:lang w:val="fr-CA"/>
        </w:rPr>
        <w:t>AMCEZ</w:t>
      </w:r>
      <w:proofErr w:type="spellEnd"/>
      <w:r w:rsidR="00473134" w:rsidRPr="00AF5B6D">
        <w:rPr>
          <w:kern w:val="22"/>
          <w:szCs w:val="22"/>
          <w:lang w:val="fr-CA"/>
        </w:rPr>
        <w:t>;</w:t>
      </w:r>
    </w:p>
    <w:p w:rsidR="005D6096" w:rsidRPr="00AF5B6D" w:rsidRDefault="00CB3B0A" w:rsidP="007B3E88">
      <w:pPr>
        <w:pStyle w:val="Paragraphedeliste"/>
        <w:numPr>
          <w:ilvl w:val="0"/>
          <w:numId w:val="88"/>
        </w:numPr>
        <w:suppressLineNumbers/>
        <w:suppressAutoHyphens/>
        <w:kinsoku w:val="0"/>
        <w:overflowPunct w:val="0"/>
        <w:autoSpaceDE w:val="0"/>
        <w:autoSpaceDN w:val="0"/>
        <w:spacing w:before="120" w:after="120" w:line="226" w:lineRule="auto"/>
        <w:ind w:left="0" w:firstLine="720"/>
        <w:contextualSpacing w:val="0"/>
        <w:rPr>
          <w:kern w:val="22"/>
          <w:szCs w:val="22"/>
          <w:lang w:val="fr-CA" w:eastAsia="en-CA"/>
        </w:rPr>
      </w:pPr>
      <w:r w:rsidRPr="00AF5B6D">
        <w:rPr>
          <w:kern w:val="22"/>
          <w:szCs w:val="22"/>
          <w:lang w:val="fr-CA"/>
        </w:rPr>
        <w:t>Des mesures de gestion précises doivent être définies et mises en œuvre dans tous les cas où la conservation in situ de la diversité biologique est reconnu</w:t>
      </w:r>
      <w:r w:rsidR="006935C4">
        <w:rPr>
          <w:kern w:val="22"/>
          <w:szCs w:val="22"/>
          <w:lang w:val="fr-CA"/>
        </w:rPr>
        <w:t>e</w:t>
      </w:r>
      <w:r w:rsidRPr="00AF5B6D">
        <w:rPr>
          <w:kern w:val="22"/>
          <w:szCs w:val="22"/>
          <w:lang w:val="fr-CA"/>
        </w:rPr>
        <w:t xml:space="preserve"> </w:t>
      </w:r>
      <w:r w:rsidR="006935C4">
        <w:rPr>
          <w:kern w:val="22"/>
          <w:szCs w:val="22"/>
          <w:lang w:val="fr-CA"/>
        </w:rPr>
        <w:t>comme un outil</w:t>
      </w:r>
      <w:r w:rsidRPr="00AF5B6D">
        <w:rPr>
          <w:kern w:val="22"/>
          <w:szCs w:val="22"/>
          <w:lang w:val="fr-CA"/>
        </w:rPr>
        <w:t xml:space="preserve"> de gestion</w:t>
      </w:r>
      <w:r w:rsidR="005D6096" w:rsidRPr="00AF5B6D">
        <w:rPr>
          <w:kern w:val="22"/>
          <w:szCs w:val="22"/>
          <w:lang w:val="fr-CA"/>
        </w:rPr>
        <w:t>.</w:t>
      </w:r>
    </w:p>
    <w:p w:rsidR="005D6096" w:rsidRPr="00AF5B6D" w:rsidRDefault="00E84B4F" w:rsidP="007B3E88">
      <w:pPr>
        <w:pStyle w:val="Paragraphedeliste"/>
        <w:keepNext/>
        <w:suppressLineNumbers/>
        <w:tabs>
          <w:tab w:val="left" w:pos="360"/>
        </w:tabs>
        <w:suppressAutoHyphens/>
        <w:kinsoku w:val="0"/>
        <w:overflowPunct w:val="0"/>
        <w:autoSpaceDE w:val="0"/>
        <w:autoSpaceDN w:val="0"/>
        <w:spacing w:before="120" w:after="120" w:line="226" w:lineRule="auto"/>
        <w:ind w:left="0"/>
        <w:contextualSpacing w:val="0"/>
        <w:jc w:val="center"/>
        <w:rPr>
          <w:i/>
          <w:caps/>
          <w:kern w:val="22"/>
          <w:szCs w:val="22"/>
          <w:lang w:val="fr-CA"/>
        </w:rPr>
      </w:pPr>
      <w:r w:rsidRPr="00AF5B6D">
        <w:rPr>
          <w:i/>
          <w:kern w:val="22"/>
          <w:szCs w:val="22"/>
          <w:lang w:val="fr-CA"/>
        </w:rPr>
        <w:t>2.</w:t>
      </w:r>
      <w:r w:rsidRPr="00AF5B6D">
        <w:rPr>
          <w:i/>
          <w:kern w:val="22"/>
          <w:szCs w:val="22"/>
          <w:lang w:val="fr-CA"/>
        </w:rPr>
        <w:tab/>
      </w:r>
      <w:r w:rsidR="00CB3B0A" w:rsidRPr="00AF5B6D">
        <w:rPr>
          <w:i/>
          <w:kern w:val="22"/>
          <w:szCs w:val="22"/>
          <w:lang w:val="fr-CA"/>
        </w:rPr>
        <w:t xml:space="preserve">Réalisation de l’Objectif 11 d’Aichi </w:t>
      </w:r>
      <w:r w:rsidR="007E31CA">
        <w:rPr>
          <w:i/>
          <w:kern w:val="22"/>
          <w:szCs w:val="22"/>
          <w:lang w:val="fr-CA"/>
        </w:rPr>
        <w:t>relatif à</w:t>
      </w:r>
      <w:r w:rsidR="00CB3B0A" w:rsidRPr="00AF5B6D">
        <w:rPr>
          <w:i/>
          <w:kern w:val="22"/>
          <w:szCs w:val="22"/>
          <w:lang w:val="fr-CA"/>
        </w:rPr>
        <w:t xml:space="preserve"> la diversité biologique</w:t>
      </w:r>
    </w:p>
    <w:p w:rsidR="005D6096" w:rsidRPr="00AF5B6D" w:rsidRDefault="000C7841" w:rsidP="00CB3B0A">
      <w:pPr>
        <w:pStyle w:val="Paragraphedeliste"/>
        <w:numPr>
          <w:ilvl w:val="0"/>
          <w:numId w:val="89"/>
        </w:numPr>
        <w:suppressLineNumbers/>
        <w:suppressAutoHyphens/>
        <w:kinsoku w:val="0"/>
        <w:overflowPunct w:val="0"/>
        <w:autoSpaceDE w:val="0"/>
        <w:autoSpaceDN w:val="0"/>
        <w:spacing w:before="120" w:after="120" w:line="226" w:lineRule="auto"/>
        <w:ind w:left="0" w:firstLine="720"/>
        <w:contextualSpacing w:val="0"/>
        <w:rPr>
          <w:kern w:val="22"/>
          <w:szCs w:val="22"/>
          <w:lang w:val="fr-CA"/>
        </w:rPr>
      </w:pPr>
      <w:r w:rsidRPr="00AF5B6D">
        <w:rPr>
          <w:kern w:val="22"/>
          <w:szCs w:val="22"/>
          <w:lang w:val="fr-CA"/>
        </w:rPr>
        <w:t xml:space="preserve">Les </w:t>
      </w:r>
      <w:proofErr w:type="spellStart"/>
      <w:r w:rsidRPr="00AF5B6D">
        <w:rPr>
          <w:kern w:val="22"/>
          <w:szCs w:val="22"/>
          <w:lang w:val="fr-CA"/>
        </w:rPr>
        <w:t>AMCEZ</w:t>
      </w:r>
      <w:proofErr w:type="spellEnd"/>
      <w:r w:rsidRPr="00AF5B6D">
        <w:rPr>
          <w:kern w:val="22"/>
          <w:szCs w:val="22"/>
          <w:lang w:val="fr-CA"/>
        </w:rPr>
        <w:t xml:space="preserve">, par définition, </w:t>
      </w:r>
      <w:r w:rsidR="006F5C05" w:rsidRPr="00AF5B6D">
        <w:rPr>
          <w:kern w:val="22"/>
          <w:szCs w:val="22"/>
          <w:lang w:val="fr-CA"/>
        </w:rPr>
        <w:t>contri</w:t>
      </w:r>
      <w:r w:rsidRPr="00AF5B6D">
        <w:rPr>
          <w:kern w:val="22"/>
          <w:szCs w:val="22"/>
          <w:lang w:val="fr-CA"/>
        </w:rPr>
        <w:t xml:space="preserve">buent </w:t>
      </w:r>
      <w:r w:rsidR="006F5C05" w:rsidRPr="00AF5B6D">
        <w:rPr>
          <w:kern w:val="22"/>
          <w:szCs w:val="22"/>
          <w:lang w:val="fr-CA"/>
        </w:rPr>
        <w:t xml:space="preserve">aux éléments quantitatifs (c.-à-d., les éléments de couverture de 17 p. cent et de 10 p. cent) et qualitatifs (p. ex., représentativité, couverture d’aires d’importance pour la diversité biologique, connectivité et intégration dans des paysages terrestres et marin plus vastes, efficacité et équité de la gestion) de l’Objectif 11 d’Aichi </w:t>
      </w:r>
      <w:r w:rsidR="007E31CA">
        <w:rPr>
          <w:kern w:val="22"/>
          <w:szCs w:val="22"/>
          <w:lang w:val="fr-CA"/>
        </w:rPr>
        <w:t>relatif à</w:t>
      </w:r>
      <w:r w:rsidR="006F5C05" w:rsidRPr="00AF5B6D">
        <w:rPr>
          <w:kern w:val="22"/>
          <w:szCs w:val="22"/>
          <w:lang w:val="fr-CA"/>
        </w:rPr>
        <w:t xml:space="preserve"> la diversité biologique</w:t>
      </w:r>
      <w:r w:rsidR="00473134" w:rsidRPr="00AF5B6D">
        <w:rPr>
          <w:kern w:val="22"/>
          <w:szCs w:val="22"/>
          <w:lang w:val="fr-CA"/>
        </w:rPr>
        <w:t>;</w:t>
      </w:r>
    </w:p>
    <w:p w:rsidR="008F5BDC" w:rsidRPr="00AF5B6D" w:rsidRDefault="006F5C05" w:rsidP="007B3E88">
      <w:pPr>
        <w:pStyle w:val="Paragraphedeliste"/>
        <w:numPr>
          <w:ilvl w:val="0"/>
          <w:numId w:val="89"/>
        </w:numPr>
        <w:suppressLineNumbers/>
        <w:suppressAutoHyphens/>
        <w:kinsoku w:val="0"/>
        <w:overflowPunct w:val="0"/>
        <w:autoSpaceDE w:val="0"/>
        <w:autoSpaceDN w:val="0"/>
        <w:spacing w:before="120" w:after="120" w:line="226" w:lineRule="auto"/>
        <w:ind w:left="0" w:firstLine="720"/>
        <w:contextualSpacing w:val="0"/>
        <w:rPr>
          <w:kern w:val="22"/>
          <w:szCs w:val="22"/>
          <w:lang w:val="fr-CA"/>
        </w:rPr>
      </w:pPr>
      <w:r w:rsidRPr="00AF5B6D">
        <w:rPr>
          <w:kern w:val="22"/>
          <w:szCs w:val="22"/>
          <w:lang w:val="fr-CA"/>
        </w:rPr>
        <w:t xml:space="preserve">Étant donné la diversité des </w:t>
      </w:r>
      <w:proofErr w:type="spellStart"/>
      <w:r w:rsidRPr="00AF5B6D">
        <w:rPr>
          <w:kern w:val="22"/>
          <w:szCs w:val="22"/>
          <w:lang w:val="fr-CA"/>
        </w:rPr>
        <w:t>A</w:t>
      </w:r>
      <w:r w:rsidR="007E31CA">
        <w:rPr>
          <w:kern w:val="22"/>
          <w:szCs w:val="22"/>
          <w:lang w:val="fr-CA"/>
        </w:rPr>
        <w:t>MCEZ</w:t>
      </w:r>
      <w:proofErr w:type="spellEnd"/>
      <w:r w:rsidR="007E31CA">
        <w:rPr>
          <w:kern w:val="22"/>
          <w:szCs w:val="22"/>
          <w:lang w:val="fr-CA"/>
        </w:rPr>
        <w:t xml:space="preserve"> quant à leur d’objet, </w:t>
      </w:r>
      <w:r w:rsidR="00B93DE3">
        <w:rPr>
          <w:kern w:val="22"/>
          <w:szCs w:val="22"/>
          <w:lang w:val="fr-CA"/>
        </w:rPr>
        <w:t>leur</w:t>
      </w:r>
      <w:r w:rsidR="007E31CA">
        <w:rPr>
          <w:kern w:val="22"/>
          <w:szCs w:val="22"/>
          <w:lang w:val="fr-CA"/>
        </w:rPr>
        <w:t xml:space="preserve"> conc</w:t>
      </w:r>
      <w:r w:rsidRPr="00AF5B6D">
        <w:rPr>
          <w:kern w:val="22"/>
          <w:szCs w:val="22"/>
          <w:lang w:val="fr-CA"/>
        </w:rPr>
        <w:t xml:space="preserve">eption, </w:t>
      </w:r>
      <w:r w:rsidR="00B93DE3">
        <w:rPr>
          <w:kern w:val="22"/>
          <w:szCs w:val="22"/>
          <w:lang w:val="fr-CA"/>
        </w:rPr>
        <w:t>leur</w:t>
      </w:r>
      <w:r w:rsidRPr="00AF5B6D">
        <w:rPr>
          <w:kern w:val="22"/>
          <w:szCs w:val="22"/>
          <w:lang w:val="fr-CA"/>
        </w:rPr>
        <w:t xml:space="preserve"> gouvernance et </w:t>
      </w:r>
      <w:r w:rsidR="00B93DE3">
        <w:rPr>
          <w:kern w:val="22"/>
          <w:szCs w:val="22"/>
          <w:lang w:val="fr-CA"/>
        </w:rPr>
        <w:t>leur</w:t>
      </w:r>
      <w:r w:rsidRPr="00AF5B6D">
        <w:rPr>
          <w:kern w:val="22"/>
          <w:szCs w:val="22"/>
          <w:lang w:val="fr-CA"/>
        </w:rPr>
        <w:t xml:space="preserve"> gestion, elles contribuent souvent à d’autres Objectifs d’Aichi </w:t>
      </w:r>
      <w:r w:rsidR="00B93DE3">
        <w:rPr>
          <w:kern w:val="22"/>
          <w:szCs w:val="22"/>
          <w:lang w:val="fr-CA"/>
        </w:rPr>
        <w:t>relatifs à</w:t>
      </w:r>
      <w:r w:rsidRPr="00AF5B6D">
        <w:rPr>
          <w:kern w:val="22"/>
          <w:szCs w:val="22"/>
          <w:lang w:val="fr-CA"/>
        </w:rPr>
        <w:t xml:space="preserve"> la diversité biologique, </w:t>
      </w:r>
      <w:r w:rsidR="00B93DE3">
        <w:rPr>
          <w:kern w:val="22"/>
          <w:szCs w:val="22"/>
          <w:lang w:val="fr-CA"/>
        </w:rPr>
        <w:t>aux</w:t>
      </w:r>
      <w:r w:rsidRPr="00AF5B6D">
        <w:rPr>
          <w:kern w:val="22"/>
          <w:szCs w:val="22"/>
          <w:lang w:val="fr-CA"/>
        </w:rPr>
        <w:t xml:space="preserve"> objectifs du Programme de développement durable à l’horizon 2030</w:t>
      </w:r>
      <w:r w:rsidR="00B93DE3">
        <w:rPr>
          <w:kern w:val="22"/>
          <w:szCs w:val="22"/>
          <w:lang w:val="fr-CA"/>
        </w:rPr>
        <w:t xml:space="preserve"> et aux objectifs ou ci</w:t>
      </w:r>
      <w:r w:rsidR="002F5613" w:rsidRPr="00AF5B6D">
        <w:rPr>
          <w:kern w:val="22"/>
          <w:szCs w:val="22"/>
          <w:lang w:val="fr-CA"/>
        </w:rPr>
        <w:t>bles d’autres accords multilatéraux sur l’environnement</w:t>
      </w:r>
      <w:r w:rsidR="005D6096" w:rsidRPr="00AF5B6D">
        <w:rPr>
          <w:kern w:val="22"/>
          <w:szCs w:val="22"/>
          <w:lang w:val="fr-CA"/>
        </w:rPr>
        <w:t>.</w:t>
      </w:r>
      <w:r w:rsidR="005D6096" w:rsidRPr="00AF5B6D">
        <w:rPr>
          <w:rStyle w:val="Appelnotedebasdep"/>
          <w:kern w:val="22"/>
          <w:sz w:val="22"/>
          <w:szCs w:val="22"/>
          <w:u w:val="none"/>
          <w:vertAlign w:val="superscript"/>
          <w:lang w:val="fr-CA"/>
        </w:rPr>
        <w:footnoteReference w:id="50"/>
      </w:r>
    </w:p>
    <w:p w:rsidR="005D6096" w:rsidRPr="00AF5B6D" w:rsidRDefault="002F5613" w:rsidP="007B3E88">
      <w:pPr>
        <w:pStyle w:val="Paragraphedeliste"/>
        <w:keepNext/>
        <w:numPr>
          <w:ilvl w:val="0"/>
          <w:numId w:val="40"/>
        </w:numPr>
        <w:suppressLineNumbers/>
        <w:tabs>
          <w:tab w:val="left" w:pos="360"/>
        </w:tabs>
        <w:suppressAutoHyphens/>
        <w:kinsoku w:val="0"/>
        <w:overflowPunct w:val="0"/>
        <w:autoSpaceDE w:val="0"/>
        <w:autoSpaceDN w:val="0"/>
        <w:spacing w:before="120" w:after="120" w:line="226" w:lineRule="auto"/>
        <w:ind w:left="0" w:firstLine="0"/>
        <w:contextualSpacing w:val="0"/>
        <w:jc w:val="center"/>
        <w:rPr>
          <w:i/>
          <w:kern w:val="22"/>
          <w:szCs w:val="22"/>
          <w:lang w:val="fr-CA"/>
        </w:rPr>
      </w:pPr>
      <w:r w:rsidRPr="00AF5B6D">
        <w:rPr>
          <w:i/>
          <w:kern w:val="22"/>
          <w:szCs w:val="22"/>
          <w:lang w:val="fr-CA"/>
        </w:rPr>
        <w:lastRenderedPageBreak/>
        <w:t>Orientations supplémentaires</w:t>
      </w:r>
    </w:p>
    <w:p w:rsidR="005D6096" w:rsidRPr="00AF5B6D" w:rsidRDefault="002F5613" w:rsidP="002F5613">
      <w:pPr>
        <w:pStyle w:val="Paragraphedeliste"/>
        <w:numPr>
          <w:ilvl w:val="0"/>
          <w:numId w:val="90"/>
        </w:numPr>
        <w:suppressLineNumbers/>
        <w:suppressAutoHyphens/>
        <w:kinsoku w:val="0"/>
        <w:overflowPunct w:val="0"/>
        <w:autoSpaceDE w:val="0"/>
        <w:autoSpaceDN w:val="0"/>
        <w:spacing w:before="120" w:after="120" w:line="226" w:lineRule="auto"/>
        <w:ind w:left="0" w:firstLine="720"/>
        <w:contextualSpacing w:val="0"/>
        <w:rPr>
          <w:kern w:val="22"/>
          <w:szCs w:val="22"/>
          <w:lang w:val="fr-CA"/>
        </w:rPr>
      </w:pPr>
      <w:r w:rsidRPr="00AF5B6D">
        <w:rPr>
          <w:kern w:val="22"/>
          <w:szCs w:val="22"/>
          <w:lang w:val="fr-CA"/>
        </w:rPr>
        <w:t xml:space="preserve">Des outils supplémentaires </w:t>
      </w:r>
      <w:r w:rsidR="00E35DAB" w:rsidRPr="00AF5B6D">
        <w:rPr>
          <w:kern w:val="22"/>
          <w:szCs w:val="22"/>
          <w:lang w:val="fr-CA"/>
        </w:rPr>
        <w:t xml:space="preserve">sont nécessaires </w:t>
      </w:r>
      <w:r w:rsidRPr="00AF5B6D">
        <w:rPr>
          <w:kern w:val="22"/>
          <w:szCs w:val="22"/>
          <w:lang w:val="fr-CA"/>
        </w:rPr>
        <w:t xml:space="preserve">pour </w:t>
      </w:r>
      <w:r w:rsidR="00B93DE3">
        <w:rPr>
          <w:kern w:val="22"/>
          <w:szCs w:val="22"/>
          <w:lang w:val="fr-CA"/>
        </w:rPr>
        <w:t xml:space="preserve">évaluer </w:t>
      </w:r>
      <w:r w:rsidR="006935C4">
        <w:rPr>
          <w:kern w:val="22"/>
          <w:szCs w:val="22"/>
          <w:lang w:val="fr-CA"/>
        </w:rPr>
        <w:t>et</w:t>
      </w:r>
      <w:r w:rsidR="00B93DE3">
        <w:rPr>
          <w:kern w:val="22"/>
          <w:szCs w:val="22"/>
          <w:lang w:val="fr-CA"/>
        </w:rPr>
        <w:t xml:space="preserve"> trier les</w:t>
      </w:r>
      <w:r w:rsidRPr="00AF5B6D">
        <w:rPr>
          <w:kern w:val="22"/>
          <w:szCs w:val="22"/>
          <w:lang w:val="fr-CA"/>
        </w:rPr>
        <w:t xml:space="preserve"> </w:t>
      </w:r>
      <w:proofErr w:type="spellStart"/>
      <w:r w:rsidRPr="00AF5B6D">
        <w:rPr>
          <w:kern w:val="22"/>
          <w:szCs w:val="22"/>
          <w:lang w:val="fr-CA"/>
        </w:rPr>
        <w:t>AMCEZ</w:t>
      </w:r>
      <w:proofErr w:type="spellEnd"/>
      <w:r w:rsidRPr="00AF5B6D">
        <w:rPr>
          <w:kern w:val="22"/>
          <w:szCs w:val="22"/>
          <w:lang w:val="fr-CA"/>
        </w:rPr>
        <w:t xml:space="preserve"> </w:t>
      </w:r>
      <w:r w:rsidR="00E35DAB" w:rsidRPr="00AF5B6D">
        <w:rPr>
          <w:kern w:val="22"/>
          <w:szCs w:val="22"/>
          <w:lang w:val="fr-CA"/>
        </w:rPr>
        <w:t xml:space="preserve"> à la lumière des expérience acquises </w:t>
      </w:r>
      <w:r w:rsidR="00B93DE3">
        <w:rPr>
          <w:kern w:val="22"/>
          <w:szCs w:val="22"/>
          <w:lang w:val="fr-CA"/>
        </w:rPr>
        <w:t>dans le contexte</w:t>
      </w:r>
      <w:r w:rsidR="00E35DAB" w:rsidRPr="00AF5B6D">
        <w:rPr>
          <w:kern w:val="22"/>
          <w:szCs w:val="22"/>
          <w:lang w:val="fr-CA"/>
        </w:rPr>
        <w:t xml:space="preserve"> de l’application de ces orientations</w:t>
      </w:r>
      <w:r w:rsidR="00473134" w:rsidRPr="00AF5B6D">
        <w:rPr>
          <w:kern w:val="22"/>
          <w:szCs w:val="22"/>
          <w:lang w:val="fr-CA"/>
        </w:rPr>
        <w:t>;</w:t>
      </w:r>
    </w:p>
    <w:p w:rsidR="005D6096" w:rsidRPr="00AF5B6D" w:rsidRDefault="00E35DAB" w:rsidP="007B3E88">
      <w:pPr>
        <w:pStyle w:val="Paragraphedeliste"/>
        <w:numPr>
          <w:ilvl w:val="0"/>
          <w:numId w:val="90"/>
        </w:numPr>
        <w:suppressLineNumbers/>
        <w:suppressAutoHyphens/>
        <w:kinsoku w:val="0"/>
        <w:overflowPunct w:val="0"/>
        <w:autoSpaceDE w:val="0"/>
        <w:autoSpaceDN w:val="0"/>
        <w:spacing w:before="120" w:after="120" w:line="226" w:lineRule="auto"/>
        <w:ind w:left="0" w:firstLine="720"/>
        <w:contextualSpacing w:val="0"/>
        <w:rPr>
          <w:color w:val="000000" w:themeColor="text1"/>
          <w:kern w:val="22"/>
          <w:szCs w:val="22"/>
          <w:lang w:val="fr-CA"/>
        </w:rPr>
      </w:pPr>
      <w:r w:rsidRPr="00AF5B6D">
        <w:rPr>
          <w:color w:val="000000"/>
          <w:kern w:val="22"/>
          <w:szCs w:val="22"/>
          <w:lang w:val="fr-CA"/>
        </w:rPr>
        <w:t xml:space="preserve">Le suivi de l’efficacité des </w:t>
      </w:r>
      <w:proofErr w:type="spellStart"/>
      <w:r w:rsidRPr="00AF5B6D">
        <w:rPr>
          <w:color w:val="000000"/>
          <w:kern w:val="22"/>
          <w:szCs w:val="22"/>
          <w:lang w:val="fr-CA"/>
        </w:rPr>
        <w:t>AMCEZ</w:t>
      </w:r>
      <w:proofErr w:type="spellEnd"/>
      <w:r w:rsidRPr="00AF5B6D">
        <w:rPr>
          <w:color w:val="000000"/>
          <w:kern w:val="22"/>
          <w:szCs w:val="22"/>
          <w:lang w:val="fr-CA"/>
        </w:rPr>
        <w:t xml:space="preserve"> exige plus d’orientations, de communication des données, de réseautage et de part</w:t>
      </w:r>
      <w:r w:rsidR="002B1776" w:rsidRPr="00AF5B6D">
        <w:rPr>
          <w:color w:val="000000"/>
          <w:kern w:val="22"/>
          <w:szCs w:val="22"/>
          <w:lang w:val="fr-CA"/>
        </w:rPr>
        <w:t>age des outils disponibles, et l</w:t>
      </w:r>
      <w:r w:rsidRPr="00AF5B6D">
        <w:rPr>
          <w:color w:val="000000"/>
          <w:kern w:val="22"/>
          <w:szCs w:val="22"/>
          <w:lang w:val="fr-CA"/>
        </w:rPr>
        <w:t xml:space="preserve">e développement de nouveaux outils, si nécessaire. Cette orientation comprend : </w:t>
      </w:r>
      <w:r w:rsidR="002B1776" w:rsidRPr="00AF5B6D">
        <w:rPr>
          <w:color w:val="000000"/>
          <w:kern w:val="22"/>
          <w:szCs w:val="22"/>
          <w:lang w:val="fr-CA"/>
        </w:rPr>
        <w:t xml:space="preserve">i) </w:t>
      </w:r>
      <w:r w:rsidRPr="00AF5B6D">
        <w:rPr>
          <w:color w:val="000000"/>
          <w:kern w:val="22"/>
          <w:szCs w:val="22"/>
          <w:lang w:val="fr-CA"/>
        </w:rPr>
        <w:t>les données de référence, telles que la documentation des valeurs et des éléments de la diver</w:t>
      </w:r>
      <w:r w:rsidR="002B1776" w:rsidRPr="00AF5B6D">
        <w:rPr>
          <w:color w:val="000000"/>
          <w:kern w:val="22"/>
          <w:szCs w:val="22"/>
          <w:lang w:val="fr-CA"/>
        </w:rPr>
        <w:t>sité biologique, ii</w:t>
      </w:r>
      <w:r w:rsidRPr="00AF5B6D">
        <w:rPr>
          <w:color w:val="000000"/>
          <w:kern w:val="22"/>
          <w:szCs w:val="22"/>
          <w:lang w:val="fr-CA"/>
        </w:rPr>
        <w:t xml:space="preserve">) </w:t>
      </w:r>
      <w:r w:rsidR="002B1776" w:rsidRPr="00AF5B6D">
        <w:rPr>
          <w:color w:val="000000"/>
          <w:kern w:val="22"/>
          <w:szCs w:val="22"/>
          <w:lang w:val="fr-CA"/>
        </w:rPr>
        <w:t>un suivi communautaire continu et l’intégration des connaissances traditionnelles, iii) le suivi à long-terme, y compris les moyens d’assurer la durabilité de la diversité biologique et d’améliorer la conservation in situ, et iv) les systèmes de suivi de la gouvernance et de la gestion qui contribuent aux résultats de la diversité biologique</w:t>
      </w:r>
      <w:r w:rsidR="00E17969" w:rsidRPr="00AF5B6D">
        <w:rPr>
          <w:color w:val="000000" w:themeColor="text1"/>
          <w:kern w:val="22"/>
          <w:szCs w:val="22"/>
          <w:lang w:val="fr-CA"/>
        </w:rPr>
        <w:t>;</w:t>
      </w:r>
    </w:p>
    <w:p w:rsidR="005D6096" w:rsidRPr="00AF5B6D" w:rsidRDefault="002B1776" w:rsidP="007B3E88">
      <w:pPr>
        <w:pStyle w:val="Paragraphedeliste"/>
        <w:numPr>
          <w:ilvl w:val="0"/>
          <w:numId w:val="90"/>
        </w:numPr>
        <w:suppressLineNumbers/>
        <w:suppressAutoHyphens/>
        <w:kinsoku w:val="0"/>
        <w:overflowPunct w:val="0"/>
        <w:autoSpaceDE w:val="0"/>
        <w:autoSpaceDN w:val="0"/>
        <w:spacing w:before="120" w:after="120" w:line="226" w:lineRule="auto"/>
        <w:ind w:left="0" w:firstLine="720"/>
        <w:contextualSpacing w:val="0"/>
        <w:rPr>
          <w:color w:val="000000"/>
          <w:kern w:val="22"/>
          <w:szCs w:val="22"/>
          <w:lang w:val="fr-CA"/>
        </w:rPr>
      </w:pPr>
      <w:r w:rsidRPr="00AF5B6D">
        <w:rPr>
          <w:color w:val="000000"/>
          <w:kern w:val="22"/>
          <w:szCs w:val="22"/>
          <w:lang w:val="fr-CA"/>
        </w:rPr>
        <w:t xml:space="preserve">Les manuels sur la transmission de données dans la base de données mondiale sur les </w:t>
      </w:r>
      <w:r w:rsidR="004A013F">
        <w:rPr>
          <w:color w:val="000000"/>
          <w:kern w:val="22"/>
          <w:szCs w:val="22"/>
          <w:lang w:val="fr-CA"/>
        </w:rPr>
        <w:t>zones</w:t>
      </w:r>
      <w:r w:rsidRPr="00AF5B6D">
        <w:rPr>
          <w:color w:val="000000"/>
          <w:kern w:val="22"/>
          <w:szCs w:val="22"/>
          <w:lang w:val="fr-CA"/>
        </w:rPr>
        <w:t xml:space="preserve"> protégées, le registre des territoires et des aires conservés par les peuples autochtones et les communautés locales conservé au Centre </w:t>
      </w:r>
      <w:r w:rsidR="004E6836" w:rsidRPr="00AF5B6D">
        <w:rPr>
          <w:color w:val="000000"/>
          <w:kern w:val="22"/>
          <w:szCs w:val="22"/>
          <w:lang w:val="fr-CA"/>
        </w:rPr>
        <w:t>de surveillance de la conservation mondiale de la nature et les autres</w:t>
      </w:r>
      <w:r w:rsidR="00DA5255">
        <w:rPr>
          <w:color w:val="000000"/>
          <w:kern w:val="22"/>
          <w:szCs w:val="22"/>
          <w:lang w:val="fr-CA"/>
        </w:rPr>
        <w:t xml:space="preserve"> documents d’orientation de la C</w:t>
      </w:r>
      <w:r w:rsidR="004E6836" w:rsidRPr="00AF5B6D">
        <w:rPr>
          <w:color w:val="000000"/>
          <w:kern w:val="22"/>
          <w:szCs w:val="22"/>
          <w:lang w:val="fr-CA"/>
        </w:rPr>
        <w:t xml:space="preserve">onvention sur la diversité biologique, et, selon qu’il convient, </w:t>
      </w:r>
      <w:r w:rsidR="00DA5255">
        <w:rPr>
          <w:color w:val="000000"/>
          <w:kern w:val="22"/>
          <w:szCs w:val="22"/>
          <w:lang w:val="fr-CA"/>
        </w:rPr>
        <w:t>des</w:t>
      </w:r>
      <w:r w:rsidR="004E6836" w:rsidRPr="00AF5B6D">
        <w:rPr>
          <w:color w:val="000000"/>
          <w:kern w:val="22"/>
          <w:szCs w:val="22"/>
          <w:lang w:val="fr-CA"/>
        </w:rPr>
        <w:t xml:space="preserve"> agences sectorielles, offrent des orientations utiles pour la communication de données sur les </w:t>
      </w:r>
      <w:proofErr w:type="spellStart"/>
      <w:r w:rsidR="004E6836" w:rsidRPr="00AF5B6D">
        <w:rPr>
          <w:color w:val="000000"/>
          <w:kern w:val="22"/>
          <w:szCs w:val="22"/>
          <w:lang w:val="fr-CA"/>
        </w:rPr>
        <w:t>AMCEZ</w:t>
      </w:r>
      <w:proofErr w:type="spellEnd"/>
      <w:r w:rsidR="00E17969" w:rsidRPr="00AF5B6D">
        <w:rPr>
          <w:color w:val="000000"/>
          <w:kern w:val="22"/>
          <w:szCs w:val="22"/>
          <w:lang w:val="fr-CA"/>
        </w:rPr>
        <w:t>;</w:t>
      </w:r>
    </w:p>
    <w:p w:rsidR="005D6096" w:rsidRPr="00AF5B6D" w:rsidRDefault="004E6836" w:rsidP="007B3E88">
      <w:pPr>
        <w:pStyle w:val="Paragraphedeliste"/>
        <w:numPr>
          <w:ilvl w:val="0"/>
          <w:numId w:val="90"/>
        </w:numPr>
        <w:suppressLineNumbers/>
        <w:suppressAutoHyphens/>
        <w:kinsoku w:val="0"/>
        <w:overflowPunct w:val="0"/>
        <w:autoSpaceDE w:val="0"/>
        <w:autoSpaceDN w:val="0"/>
        <w:spacing w:before="120" w:after="120" w:line="226" w:lineRule="auto"/>
        <w:ind w:left="0" w:firstLine="720"/>
        <w:contextualSpacing w:val="0"/>
        <w:rPr>
          <w:color w:val="000000" w:themeColor="text1"/>
          <w:kern w:val="22"/>
          <w:szCs w:val="22"/>
          <w:lang w:val="fr-CA"/>
        </w:rPr>
      </w:pPr>
      <w:r w:rsidRPr="00AF5B6D">
        <w:rPr>
          <w:kern w:val="22"/>
          <w:szCs w:val="22"/>
          <w:lang w:val="fr-CA"/>
        </w:rPr>
        <w:t xml:space="preserve">Bien que la contribution des </w:t>
      </w:r>
      <w:proofErr w:type="spellStart"/>
      <w:r w:rsidRPr="00AF5B6D">
        <w:rPr>
          <w:kern w:val="22"/>
          <w:szCs w:val="22"/>
          <w:lang w:val="fr-CA"/>
        </w:rPr>
        <w:t>AMCEZ</w:t>
      </w:r>
      <w:proofErr w:type="spellEnd"/>
      <w:r w:rsidRPr="00AF5B6D">
        <w:rPr>
          <w:kern w:val="22"/>
          <w:szCs w:val="22"/>
          <w:lang w:val="fr-CA"/>
        </w:rPr>
        <w:t xml:space="preserve"> aux éléments quantitatifs de l’</w:t>
      </w:r>
      <w:r w:rsidR="003F2ADF" w:rsidRPr="00AF5B6D">
        <w:rPr>
          <w:kern w:val="22"/>
          <w:szCs w:val="22"/>
          <w:lang w:val="fr-CA"/>
        </w:rPr>
        <w:t>Objectif 11 soi</w:t>
      </w:r>
      <w:r w:rsidRPr="00AF5B6D">
        <w:rPr>
          <w:kern w:val="22"/>
          <w:szCs w:val="22"/>
          <w:lang w:val="fr-CA"/>
        </w:rPr>
        <w:t xml:space="preserve">t relativement </w:t>
      </w:r>
      <w:r w:rsidR="003F2ADF" w:rsidRPr="00AF5B6D">
        <w:rPr>
          <w:kern w:val="22"/>
          <w:szCs w:val="22"/>
          <w:lang w:val="fr-CA"/>
        </w:rPr>
        <w:t>simple</w:t>
      </w:r>
      <w:r w:rsidRPr="00AF5B6D">
        <w:rPr>
          <w:kern w:val="22"/>
          <w:szCs w:val="22"/>
          <w:lang w:val="fr-CA"/>
        </w:rPr>
        <w:t xml:space="preserve"> à évaluer, des études et des orientations suppl</w:t>
      </w:r>
      <w:r w:rsidR="003F2ADF" w:rsidRPr="00AF5B6D">
        <w:rPr>
          <w:kern w:val="22"/>
          <w:szCs w:val="22"/>
          <w:lang w:val="fr-CA"/>
        </w:rPr>
        <w:t>é</w:t>
      </w:r>
      <w:r w:rsidRPr="00AF5B6D">
        <w:rPr>
          <w:kern w:val="22"/>
          <w:szCs w:val="22"/>
          <w:lang w:val="fr-CA"/>
        </w:rPr>
        <w:t>mentaires sont nécessaires</w:t>
      </w:r>
      <w:r w:rsidR="003F2ADF" w:rsidRPr="00AF5B6D">
        <w:rPr>
          <w:kern w:val="22"/>
          <w:szCs w:val="22"/>
          <w:lang w:val="fr-CA"/>
        </w:rPr>
        <w:t>,</w:t>
      </w:r>
      <w:r w:rsidRPr="00AF5B6D">
        <w:rPr>
          <w:kern w:val="22"/>
          <w:szCs w:val="22"/>
          <w:lang w:val="fr-CA"/>
        </w:rPr>
        <w:t xml:space="preserve"> afin de mieux comprendre et</w:t>
      </w:r>
      <w:r w:rsidR="003F2ADF" w:rsidRPr="00AF5B6D">
        <w:rPr>
          <w:kern w:val="22"/>
          <w:szCs w:val="22"/>
          <w:lang w:val="fr-CA"/>
        </w:rPr>
        <w:t xml:space="preserve"> de</w:t>
      </w:r>
      <w:r w:rsidRPr="00AF5B6D">
        <w:rPr>
          <w:kern w:val="22"/>
          <w:szCs w:val="22"/>
          <w:lang w:val="fr-CA"/>
        </w:rPr>
        <w:t xml:space="preserve"> communiquer la fa</w:t>
      </w:r>
      <w:r w:rsidR="003F2ADF" w:rsidRPr="00AF5B6D">
        <w:rPr>
          <w:kern w:val="22"/>
          <w:szCs w:val="22"/>
          <w:lang w:val="fr-CA"/>
        </w:rPr>
        <w:t>çon d</w:t>
      </w:r>
      <w:r w:rsidRPr="00AF5B6D">
        <w:rPr>
          <w:kern w:val="22"/>
          <w:szCs w:val="22"/>
          <w:lang w:val="fr-CA"/>
        </w:rPr>
        <w:t>ont leur contribution aux éléments qualitatifs de l’Objectif 11 peut être améliorée</w:t>
      </w:r>
      <w:r w:rsidR="00E17969" w:rsidRPr="00AF5B6D">
        <w:rPr>
          <w:kern w:val="22"/>
          <w:szCs w:val="22"/>
          <w:lang w:val="fr-CA"/>
        </w:rPr>
        <w:t>;</w:t>
      </w:r>
    </w:p>
    <w:p w:rsidR="005D6096" w:rsidRPr="00AF5B6D" w:rsidRDefault="003F2ADF" w:rsidP="007B3E88">
      <w:pPr>
        <w:pStyle w:val="Paragraphedeliste"/>
        <w:numPr>
          <w:ilvl w:val="0"/>
          <w:numId w:val="90"/>
        </w:numPr>
        <w:suppressLineNumbers/>
        <w:suppressAutoHyphens/>
        <w:kinsoku w:val="0"/>
        <w:overflowPunct w:val="0"/>
        <w:autoSpaceDE w:val="0"/>
        <w:autoSpaceDN w:val="0"/>
        <w:spacing w:before="120" w:after="120" w:line="226" w:lineRule="auto"/>
        <w:ind w:left="0" w:firstLine="720"/>
        <w:contextualSpacing w:val="0"/>
        <w:rPr>
          <w:color w:val="000000"/>
          <w:kern w:val="22"/>
          <w:szCs w:val="22"/>
          <w:lang w:val="fr-CA"/>
        </w:rPr>
      </w:pPr>
      <w:r w:rsidRPr="00AF5B6D">
        <w:rPr>
          <w:kern w:val="22"/>
          <w:szCs w:val="22"/>
          <w:lang w:val="fr-CA"/>
        </w:rPr>
        <w:t>Des études supplémentaires</w:t>
      </w:r>
      <w:r w:rsidR="004A013F">
        <w:rPr>
          <w:kern w:val="22"/>
          <w:szCs w:val="22"/>
          <w:lang w:val="fr-CA"/>
        </w:rPr>
        <w:t>,</w:t>
      </w:r>
      <w:r w:rsidRPr="00AF5B6D">
        <w:rPr>
          <w:kern w:val="22"/>
          <w:szCs w:val="22"/>
          <w:lang w:val="fr-CA"/>
        </w:rPr>
        <w:t xml:space="preserve"> afin de mieux comprendre et communiquer toute la gamme des contributions des </w:t>
      </w:r>
      <w:proofErr w:type="spellStart"/>
      <w:r w:rsidRPr="00AF5B6D">
        <w:rPr>
          <w:kern w:val="22"/>
          <w:szCs w:val="22"/>
          <w:lang w:val="fr-CA"/>
        </w:rPr>
        <w:t>AMCEZ</w:t>
      </w:r>
      <w:proofErr w:type="spellEnd"/>
      <w:r w:rsidRPr="00AF5B6D">
        <w:rPr>
          <w:kern w:val="22"/>
          <w:szCs w:val="22"/>
          <w:lang w:val="fr-CA"/>
        </w:rPr>
        <w:t xml:space="preserve"> aux autres objectifs et l’engagement envers les autres secteurs</w:t>
      </w:r>
      <w:r w:rsidR="00E17969" w:rsidRPr="00AF5B6D">
        <w:rPr>
          <w:kern w:val="22"/>
          <w:szCs w:val="22"/>
          <w:lang w:val="fr-CA"/>
        </w:rPr>
        <w:t>;</w:t>
      </w:r>
    </w:p>
    <w:p w:rsidR="005D6096" w:rsidRPr="00AF5B6D" w:rsidRDefault="003F2ADF" w:rsidP="007B3E88">
      <w:pPr>
        <w:pStyle w:val="Paragraphedeliste"/>
        <w:numPr>
          <w:ilvl w:val="0"/>
          <w:numId w:val="90"/>
        </w:numPr>
        <w:suppressLineNumbers/>
        <w:suppressAutoHyphens/>
        <w:kinsoku w:val="0"/>
        <w:overflowPunct w:val="0"/>
        <w:autoSpaceDE w:val="0"/>
        <w:autoSpaceDN w:val="0"/>
        <w:spacing w:before="120" w:after="120" w:line="226" w:lineRule="auto"/>
        <w:ind w:left="0" w:firstLine="720"/>
        <w:contextualSpacing w:val="0"/>
        <w:rPr>
          <w:color w:val="000000"/>
          <w:kern w:val="22"/>
          <w:szCs w:val="22"/>
          <w:lang w:val="fr-CA"/>
        </w:rPr>
      </w:pPr>
      <w:r w:rsidRPr="00AF5B6D">
        <w:rPr>
          <w:color w:val="000000"/>
          <w:kern w:val="22"/>
          <w:szCs w:val="22"/>
          <w:lang w:val="fr-CA"/>
        </w:rPr>
        <w:t>Des orientations supplémentaires sont nécessaires concernant la taille des aires individuelles et des aires faisant partie de réseaux, afin de réaliser les résultats de la diversité biologique</w:t>
      </w:r>
      <w:r w:rsidR="00E17969" w:rsidRPr="00AF5B6D">
        <w:rPr>
          <w:color w:val="000000"/>
          <w:kern w:val="22"/>
          <w:szCs w:val="22"/>
          <w:lang w:val="fr-CA"/>
        </w:rPr>
        <w:t>;</w:t>
      </w:r>
    </w:p>
    <w:p w:rsidR="00C90052" w:rsidRPr="00AF5B6D" w:rsidRDefault="003F2ADF" w:rsidP="007B3E88">
      <w:pPr>
        <w:pStyle w:val="Paragraphedeliste"/>
        <w:numPr>
          <w:ilvl w:val="0"/>
          <w:numId w:val="90"/>
        </w:numPr>
        <w:suppressLineNumbers/>
        <w:suppressAutoHyphens/>
        <w:kinsoku w:val="0"/>
        <w:overflowPunct w:val="0"/>
        <w:autoSpaceDE w:val="0"/>
        <w:autoSpaceDN w:val="0"/>
        <w:spacing w:before="120" w:after="120" w:line="226" w:lineRule="auto"/>
        <w:ind w:left="0" w:firstLine="720"/>
        <w:contextualSpacing w:val="0"/>
        <w:rPr>
          <w:color w:val="000000"/>
          <w:kern w:val="22"/>
          <w:szCs w:val="22"/>
          <w:lang w:val="fr-CA"/>
        </w:rPr>
      </w:pPr>
      <w:r w:rsidRPr="00AF5B6D">
        <w:rPr>
          <w:color w:val="000000"/>
          <w:kern w:val="22"/>
          <w:szCs w:val="22"/>
          <w:lang w:val="fr-CA"/>
        </w:rPr>
        <w:t>Des orientations supplémentaires sont nécessaires sur la façon</w:t>
      </w:r>
      <w:r w:rsidR="00DC06CB" w:rsidRPr="00AF5B6D">
        <w:rPr>
          <w:color w:val="000000"/>
          <w:kern w:val="22"/>
          <w:szCs w:val="22"/>
          <w:lang w:val="fr-CA"/>
        </w:rPr>
        <w:t xml:space="preserve"> de reconnaître et de soutenir </w:t>
      </w:r>
      <w:r w:rsidRPr="00AF5B6D">
        <w:rPr>
          <w:color w:val="000000"/>
          <w:kern w:val="22"/>
          <w:szCs w:val="22"/>
          <w:lang w:val="fr-CA"/>
        </w:rPr>
        <w:t xml:space="preserve">les </w:t>
      </w:r>
      <w:proofErr w:type="spellStart"/>
      <w:r w:rsidRPr="00AF5B6D">
        <w:rPr>
          <w:color w:val="000000"/>
          <w:kern w:val="22"/>
          <w:szCs w:val="22"/>
          <w:lang w:val="fr-CA"/>
        </w:rPr>
        <w:t>AMCEZ</w:t>
      </w:r>
      <w:proofErr w:type="spellEnd"/>
      <w:r w:rsidRPr="00AF5B6D">
        <w:rPr>
          <w:color w:val="000000"/>
          <w:kern w:val="22"/>
          <w:szCs w:val="22"/>
          <w:lang w:val="fr-CA"/>
        </w:rPr>
        <w:t xml:space="preserve"> des peuples autochtones et des communautés locales</w:t>
      </w:r>
      <w:r w:rsidR="005D6096" w:rsidRPr="00AF5B6D">
        <w:rPr>
          <w:color w:val="000000"/>
          <w:kern w:val="22"/>
          <w:szCs w:val="22"/>
          <w:lang w:val="fr-CA"/>
        </w:rPr>
        <w:t>.</w:t>
      </w:r>
      <w:r w:rsidR="00C90052" w:rsidRPr="00AF5B6D">
        <w:rPr>
          <w:color w:val="000000"/>
          <w:kern w:val="22"/>
          <w:szCs w:val="22"/>
          <w:lang w:val="fr-CA"/>
        </w:rPr>
        <w:br w:type="page"/>
      </w:r>
    </w:p>
    <w:p w:rsidR="00C90052" w:rsidRPr="00AF5B6D" w:rsidRDefault="00C90052" w:rsidP="007B3E88">
      <w:pPr>
        <w:pStyle w:val="Para1"/>
        <w:numPr>
          <w:ilvl w:val="0"/>
          <w:numId w:val="0"/>
        </w:numPr>
        <w:suppressLineNumbers/>
        <w:suppressAutoHyphens/>
        <w:kinsoku w:val="0"/>
        <w:overflowPunct w:val="0"/>
        <w:autoSpaceDE w:val="0"/>
        <w:autoSpaceDN w:val="0"/>
        <w:spacing w:before="0"/>
        <w:jc w:val="center"/>
        <w:rPr>
          <w:i/>
          <w:kern w:val="22"/>
          <w:szCs w:val="22"/>
          <w:lang w:val="fr-CA"/>
        </w:rPr>
      </w:pPr>
      <w:r w:rsidRPr="00AF5B6D">
        <w:rPr>
          <w:i/>
          <w:kern w:val="22"/>
          <w:szCs w:val="22"/>
          <w:lang w:val="fr-CA"/>
        </w:rPr>
        <w:lastRenderedPageBreak/>
        <w:t>Annex</w:t>
      </w:r>
      <w:r w:rsidR="00DC06CB" w:rsidRPr="00AF5B6D">
        <w:rPr>
          <w:i/>
          <w:kern w:val="22"/>
          <w:szCs w:val="22"/>
          <w:lang w:val="fr-CA"/>
        </w:rPr>
        <w:t>e</w:t>
      </w:r>
      <w:r w:rsidRPr="00AF5B6D">
        <w:rPr>
          <w:i/>
          <w:kern w:val="22"/>
          <w:szCs w:val="22"/>
          <w:lang w:val="fr-CA"/>
        </w:rPr>
        <w:t xml:space="preserve"> IV</w:t>
      </w:r>
    </w:p>
    <w:p w:rsidR="00C90052" w:rsidRPr="00AF5B6D" w:rsidRDefault="00DC06CB" w:rsidP="007B3E88">
      <w:pPr>
        <w:keepNext/>
        <w:suppressLineNumbers/>
        <w:suppressAutoHyphens/>
        <w:kinsoku w:val="0"/>
        <w:overflowPunct w:val="0"/>
        <w:autoSpaceDE w:val="0"/>
        <w:autoSpaceDN w:val="0"/>
        <w:spacing w:before="120"/>
        <w:jc w:val="center"/>
        <w:rPr>
          <w:b/>
          <w:kern w:val="22"/>
          <w:szCs w:val="22"/>
          <w:lang w:val="fr-CA"/>
        </w:rPr>
      </w:pPr>
      <w:r w:rsidRPr="00AF5B6D">
        <w:rPr>
          <w:b/>
          <w:kern w:val="22"/>
          <w:szCs w:val="22"/>
          <w:lang w:val="fr-CA"/>
        </w:rPr>
        <w:t>FACTEURS DE LA RÉALISATION DE L’OBJECTIF 11 D’AICHI REL</w:t>
      </w:r>
      <w:r w:rsidR="005E59E5">
        <w:rPr>
          <w:b/>
          <w:kern w:val="22"/>
          <w:szCs w:val="22"/>
          <w:lang w:val="fr-CA"/>
        </w:rPr>
        <w:t>ATIF À LA DIVERSITÉ BIOLOGIQUE D</w:t>
      </w:r>
      <w:r w:rsidRPr="00AF5B6D">
        <w:rPr>
          <w:b/>
          <w:kern w:val="22"/>
          <w:szCs w:val="22"/>
          <w:lang w:val="fr-CA"/>
        </w:rPr>
        <w:t>ANS LES AIRES MARINES ET CÔTIÈRES</w:t>
      </w:r>
    </w:p>
    <w:p w:rsidR="00C90052" w:rsidRPr="00AF5B6D" w:rsidRDefault="00E17969" w:rsidP="007B3E88">
      <w:pPr>
        <w:pStyle w:val="Heading2longmultiline"/>
        <w:keepNext/>
        <w:suppressLineNumbers/>
        <w:suppressAutoHyphens/>
        <w:kinsoku w:val="0"/>
        <w:overflowPunct w:val="0"/>
        <w:autoSpaceDE w:val="0"/>
        <w:autoSpaceDN w:val="0"/>
        <w:ind w:hanging="1047"/>
        <w:rPr>
          <w:b w:val="0"/>
          <w:kern w:val="22"/>
          <w:szCs w:val="22"/>
          <w:lang w:val="fr-CA"/>
        </w:rPr>
      </w:pPr>
      <w:r w:rsidRPr="00AF5B6D">
        <w:rPr>
          <w:kern w:val="22"/>
          <w:szCs w:val="22"/>
          <w:lang w:val="fr-CA"/>
        </w:rPr>
        <w:t>A.</w:t>
      </w:r>
      <w:r w:rsidRPr="00AF5B6D">
        <w:rPr>
          <w:kern w:val="22"/>
          <w:szCs w:val="22"/>
          <w:lang w:val="fr-CA"/>
        </w:rPr>
        <w:tab/>
      </w:r>
      <w:r w:rsidR="00DC06CB" w:rsidRPr="00AF5B6D">
        <w:rPr>
          <w:kern w:val="22"/>
          <w:szCs w:val="22"/>
          <w:lang w:val="fr-CA"/>
        </w:rPr>
        <w:t>Aspects uniques de l’environnement marin</w:t>
      </w:r>
      <w:r w:rsidR="00EE58B6" w:rsidRPr="00AF5B6D">
        <w:rPr>
          <w:kern w:val="22"/>
          <w:szCs w:val="22"/>
          <w:lang w:val="fr-CA"/>
        </w:rPr>
        <w:t xml:space="preserve"> d’importance p</w:t>
      </w:r>
      <w:r w:rsidR="007E1178">
        <w:rPr>
          <w:kern w:val="22"/>
          <w:szCs w:val="22"/>
          <w:lang w:val="fr-CA"/>
        </w:rPr>
        <w:t xml:space="preserve">our les mesures de conservation et de </w:t>
      </w:r>
      <w:r w:rsidR="00EE58B6" w:rsidRPr="00AF5B6D">
        <w:rPr>
          <w:kern w:val="22"/>
          <w:szCs w:val="22"/>
          <w:lang w:val="fr-CA"/>
        </w:rPr>
        <w:t>gestion par zone</w:t>
      </w:r>
    </w:p>
    <w:p w:rsidR="00C90052" w:rsidRPr="00AF5B6D" w:rsidRDefault="00503DE0" w:rsidP="007B3E88">
      <w:pPr>
        <w:suppressLineNumbers/>
        <w:suppressAutoHyphens/>
        <w:kinsoku w:val="0"/>
        <w:overflowPunct w:val="0"/>
        <w:autoSpaceDE w:val="0"/>
        <w:autoSpaceDN w:val="0"/>
        <w:spacing w:before="120" w:after="120"/>
        <w:rPr>
          <w:bCs/>
          <w:iCs/>
          <w:kern w:val="22"/>
          <w:szCs w:val="22"/>
          <w:lang w:val="fr-CA"/>
        </w:rPr>
      </w:pPr>
      <w:r w:rsidRPr="00AF5B6D">
        <w:rPr>
          <w:bCs/>
          <w:iCs/>
          <w:kern w:val="22"/>
          <w:szCs w:val="22"/>
          <w:lang w:val="fr-CA"/>
        </w:rPr>
        <w:t>1</w:t>
      </w:r>
      <w:r w:rsidR="00C90052" w:rsidRPr="00AF5B6D">
        <w:rPr>
          <w:bCs/>
          <w:iCs/>
          <w:kern w:val="22"/>
          <w:szCs w:val="22"/>
          <w:lang w:val="fr-CA"/>
        </w:rPr>
        <w:t>.</w:t>
      </w:r>
      <w:r w:rsidR="00C90052" w:rsidRPr="00AF5B6D">
        <w:rPr>
          <w:bCs/>
          <w:iCs/>
          <w:kern w:val="22"/>
          <w:szCs w:val="22"/>
          <w:lang w:val="fr-CA"/>
        </w:rPr>
        <w:tab/>
      </w:r>
      <w:r w:rsidR="00EE58B6" w:rsidRPr="00AF5B6D">
        <w:rPr>
          <w:bCs/>
          <w:iCs/>
          <w:kern w:val="22"/>
          <w:szCs w:val="22"/>
          <w:lang w:val="fr-CA"/>
        </w:rPr>
        <w:t>Les outils et les approches pour la conservation et la gestion dans les aires marines et côtières sont semblables, mais il existe néanmoins des différences inhérentes entre les environnements terrestres et marins qui peuvent avoir des conséquences sur l’application des mesures de conservation par zone</w:t>
      </w:r>
      <w:r w:rsidR="008219EF" w:rsidRPr="00AF5B6D">
        <w:rPr>
          <w:bCs/>
          <w:iCs/>
          <w:kern w:val="22"/>
          <w:szCs w:val="22"/>
          <w:lang w:val="fr-CA"/>
        </w:rPr>
        <w:t xml:space="preserve">. Le matériel d’information pour l’atelier et les discussions en atelier </w:t>
      </w:r>
      <w:r w:rsidR="00806F6C">
        <w:rPr>
          <w:bCs/>
          <w:iCs/>
          <w:kern w:val="22"/>
          <w:szCs w:val="22"/>
          <w:lang w:val="fr-CA"/>
        </w:rPr>
        <w:t>ont</w:t>
      </w:r>
      <w:r w:rsidR="008219EF" w:rsidRPr="00AF5B6D">
        <w:rPr>
          <w:bCs/>
          <w:iCs/>
          <w:kern w:val="22"/>
          <w:szCs w:val="22"/>
          <w:lang w:val="fr-CA"/>
        </w:rPr>
        <w:t xml:space="preserve"> recensé plusieurs de ces aspects uniques, dont ceux-ci </w:t>
      </w:r>
      <w:r w:rsidR="00C90052" w:rsidRPr="00AF5B6D">
        <w:rPr>
          <w:bCs/>
          <w:iCs/>
          <w:kern w:val="22"/>
          <w:szCs w:val="22"/>
          <w:lang w:val="fr-CA"/>
        </w:rPr>
        <w:t>:</w:t>
      </w:r>
    </w:p>
    <w:p w:rsidR="00C90052" w:rsidRPr="00AF5B6D" w:rsidRDefault="008219EF" w:rsidP="008219EF">
      <w:pPr>
        <w:pStyle w:val="Paragraphedeliste"/>
        <w:numPr>
          <w:ilvl w:val="0"/>
          <w:numId w:val="91"/>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iCs/>
          <w:kern w:val="22"/>
          <w:szCs w:val="22"/>
          <w:lang w:val="fr-CA"/>
        </w:rPr>
        <w:t xml:space="preserve">La nature tridimensionnelle de l’environnement marin (dont la profondeur maximum peut atteindre </w:t>
      </w:r>
      <w:r w:rsidR="00806F6C">
        <w:rPr>
          <w:bCs/>
          <w:iCs/>
          <w:kern w:val="22"/>
          <w:szCs w:val="22"/>
          <w:lang w:val="fr-CA"/>
        </w:rPr>
        <w:t xml:space="preserve">près de </w:t>
      </w:r>
      <w:r w:rsidRPr="00AF5B6D">
        <w:rPr>
          <w:bCs/>
          <w:iCs/>
          <w:kern w:val="22"/>
          <w:szCs w:val="22"/>
          <w:lang w:val="fr-CA"/>
        </w:rPr>
        <w:t>11 km en océan profond), fortement influenc</w:t>
      </w:r>
      <w:r w:rsidR="007E1178">
        <w:rPr>
          <w:bCs/>
          <w:iCs/>
          <w:kern w:val="22"/>
          <w:szCs w:val="22"/>
          <w:lang w:val="fr-CA"/>
        </w:rPr>
        <w:t>é</w:t>
      </w:r>
      <w:r w:rsidRPr="00AF5B6D">
        <w:rPr>
          <w:bCs/>
          <w:iCs/>
          <w:kern w:val="22"/>
          <w:szCs w:val="22"/>
          <w:lang w:val="fr-CA"/>
        </w:rPr>
        <w:t xml:space="preserve">e par les changements dans les propriétés </w:t>
      </w:r>
      <w:proofErr w:type="spellStart"/>
      <w:r w:rsidRPr="00AF5B6D">
        <w:rPr>
          <w:bCs/>
          <w:iCs/>
          <w:kern w:val="22"/>
          <w:szCs w:val="22"/>
          <w:lang w:val="fr-CA"/>
        </w:rPr>
        <w:t>physiochimiques</w:t>
      </w:r>
      <w:proofErr w:type="spellEnd"/>
      <w:r w:rsidRPr="00AF5B6D">
        <w:rPr>
          <w:bCs/>
          <w:iCs/>
          <w:kern w:val="22"/>
          <w:szCs w:val="22"/>
          <w:lang w:val="fr-CA"/>
        </w:rPr>
        <w:t xml:space="preserve">, </w:t>
      </w:r>
      <w:r w:rsidR="003A3549" w:rsidRPr="00AF5B6D">
        <w:rPr>
          <w:bCs/>
          <w:iCs/>
          <w:kern w:val="22"/>
          <w:szCs w:val="22"/>
          <w:lang w:val="fr-CA"/>
        </w:rPr>
        <w:t>don</w:t>
      </w:r>
      <w:r w:rsidRPr="00AF5B6D">
        <w:rPr>
          <w:bCs/>
          <w:iCs/>
          <w:kern w:val="22"/>
          <w:szCs w:val="22"/>
          <w:lang w:val="fr-CA"/>
        </w:rPr>
        <w:t>t la pression, la salinité et la luminosité</w:t>
      </w:r>
      <w:r w:rsidR="00C90052" w:rsidRPr="00AF5B6D">
        <w:rPr>
          <w:bCs/>
          <w:iCs/>
          <w:kern w:val="22"/>
          <w:szCs w:val="22"/>
          <w:lang w:val="fr-CA"/>
        </w:rPr>
        <w:t>;</w:t>
      </w:r>
    </w:p>
    <w:p w:rsidR="00C90052" w:rsidRPr="00AF5B6D" w:rsidRDefault="003A3549" w:rsidP="007B3E88">
      <w:pPr>
        <w:pStyle w:val="Paragraphedeliste"/>
        <w:numPr>
          <w:ilvl w:val="0"/>
          <w:numId w:val="91"/>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iCs/>
          <w:kern w:val="22"/>
          <w:szCs w:val="22"/>
          <w:lang w:val="fr-CA"/>
        </w:rPr>
        <w:t xml:space="preserve">La nature dynamique de l’environnement marin, influencé </w:t>
      </w:r>
      <w:r w:rsidR="007E1178">
        <w:rPr>
          <w:bCs/>
          <w:iCs/>
          <w:kern w:val="22"/>
          <w:szCs w:val="22"/>
          <w:lang w:val="fr-CA"/>
        </w:rPr>
        <w:t>notamment par les courants et les marées</w:t>
      </w:r>
      <w:r w:rsidRPr="00AF5B6D">
        <w:rPr>
          <w:bCs/>
          <w:iCs/>
          <w:kern w:val="22"/>
          <w:szCs w:val="22"/>
          <w:lang w:val="fr-CA"/>
        </w:rPr>
        <w:t>, et facilitant la connectivité entre les écosystèmes et les habitats</w:t>
      </w:r>
      <w:r w:rsidR="00C90052" w:rsidRPr="00AF5B6D">
        <w:rPr>
          <w:bCs/>
          <w:iCs/>
          <w:kern w:val="22"/>
          <w:szCs w:val="22"/>
          <w:lang w:val="fr-CA"/>
        </w:rPr>
        <w:t>;</w:t>
      </w:r>
    </w:p>
    <w:p w:rsidR="00C90052" w:rsidRPr="00AF5B6D" w:rsidRDefault="003A3549" w:rsidP="007B3E88">
      <w:pPr>
        <w:pStyle w:val="Paragraphedeliste"/>
        <w:numPr>
          <w:ilvl w:val="0"/>
          <w:numId w:val="91"/>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iCs/>
          <w:kern w:val="22"/>
          <w:szCs w:val="22"/>
          <w:lang w:val="fr-CA"/>
        </w:rPr>
        <w:t>La nature de la fragmentation et de la connectivité des habitats dans l’environnement marin</w:t>
      </w:r>
      <w:r w:rsidR="00C90052" w:rsidRPr="00AF5B6D">
        <w:rPr>
          <w:bCs/>
          <w:iCs/>
          <w:kern w:val="22"/>
          <w:szCs w:val="22"/>
          <w:lang w:val="fr-CA"/>
        </w:rPr>
        <w:t>;</w:t>
      </w:r>
    </w:p>
    <w:p w:rsidR="00C90052" w:rsidRPr="00AF5B6D" w:rsidRDefault="003A3549" w:rsidP="007B3E88">
      <w:pPr>
        <w:pStyle w:val="Paragraphedeliste"/>
        <w:numPr>
          <w:ilvl w:val="0"/>
          <w:numId w:val="91"/>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iCs/>
          <w:kern w:val="22"/>
          <w:szCs w:val="22"/>
          <w:lang w:val="fr-CA"/>
        </w:rPr>
        <w:t xml:space="preserve">L’absence de visibilité et/ou </w:t>
      </w:r>
      <w:r w:rsidR="007E1178">
        <w:rPr>
          <w:bCs/>
          <w:iCs/>
          <w:kern w:val="22"/>
          <w:szCs w:val="22"/>
          <w:lang w:val="fr-CA"/>
        </w:rPr>
        <w:t>l’isolement</w:t>
      </w:r>
      <w:r w:rsidRPr="00AF5B6D">
        <w:rPr>
          <w:bCs/>
          <w:iCs/>
          <w:kern w:val="22"/>
          <w:szCs w:val="22"/>
          <w:lang w:val="fr-CA"/>
        </w:rPr>
        <w:t xml:space="preserve"> des caractéristiques conservées</w:t>
      </w:r>
      <w:r w:rsidR="00C90052" w:rsidRPr="00AF5B6D">
        <w:rPr>
          <w:bCs/>
          <w:iCs/>
          <w:kern w:val="22"/>
          <w:szCs w:val="22"/>
          <w:lang w:val="fr-CA"/>
        </w:rPr>
        <w:t>;</w:t>
      </w:r>
    </w:p>
    <w:p w:rsidR="00C90052" w:rsidRPr="00AF5B6D" w:rsidRDefault="003A3549" w:rsidP="007B3E88">
      <w:pPr>
        <w:pStyle w:val="Paragraphedeliste"/>
        <w:numPr>
          <w:ilvl w:val="0"/>
          <w:numId w:val="91"/>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kern w:val="22"/>
          <w:szCs w:val="22"/>
          <w:lang w:val="fr-CA"/>
        </w:rPr>
        <w:t>La production primaire dans l’environnement marin se limite souvent à la</w:t>
      </w:r>
      <w:r w:rsidR="003167EE" w:rsidRPr="00AF5B6D">
        <w:rPr>
          <w:bCs/>
          <w:kern w:val="22"/>
          <w:szCs w:val="22"/>
          <w:lang w:val="fr-CA"/>
        </w:rPr>
        <w:t xml:space="preserve"> zone côtière pour les espèces formant des habitats, où le phytoplancton est réparti dans la zone </w:t>
      </w:r>
      <w:proofErr w:type="spellStart"/>
      <w:r w:rsidR="003167EE" w:rsidRPr="00AF5B6D">
        <w:rPr>
          <w:bCs/>
          <w:kern w:val="22"/>
          <w:szCs w:val="22"/>
          <w:lang w:val="fr-CA"/>
        </w:rPr>
        <w:t>photique</w:t>
      </w:r>
      <w:proofErr w:type="spellEnd"/>
      <w:r w:rsidR="003167EE" w:rsidRPr="00AF5B6D">
        <w:rPr>
          <w:bCs/>
          <w:kern w:val="22"/>
          <w:szCs w:val="22"/>
          <w:lang w:val="fr-CA"/>
        </w:rPr>
        <w:t xml:space="preserve"> pélagique, alors que </w:t>
      </w:r>
      <w:r w:rsidR="00806F6C">
        <w:rPr>
          <w:bCs/>
          <w:kern w:val="22"/>
          <w:szCs w:val="22"/>
          <w:lang w:val="fr-CA"/>
        </w:rPr>
        <w:t xml:space="preserve">les </w:t>
      </w:r>
      <w:r w:rsidR="003167EE" w:rsidRPr="00AF5B6D">
        <w:rPr>
          <w:bCs/>
          <w:kern w:val="22"/>
          <w:szCs w:val="22"/>
          <w:lang w:val="fr-CA"/>
        </w:rPr>
        <w:t>peuplements</w:t>
      </w:r>
      <w:r w:rsidR="008A0D02" w:rsidRPr="00AF5B6D">
        <w:rPr>
          <w:bCs/>
          <w:kern w:val="22"/>
          <w:szCs w:val="22"/>
          <w:lang w:val="fr-CA"/>
        </w:rPr>
        <w:t xml:space="preserve"> des environnements terrestres sont étalés et structurels. L’environnement marin présente également un plus grand roulement de la production primaire, qui varie en fonction du cycle annuel, </w:t>
      </w:r>
      <w:r w:rsidR="002C1D3F">
        <w:rPr>
          <w:bCs/>
          <w:kern w:val="22"/>
          <w:szCs w:val="22"/>
          <w:lang w:val="fr-CA"/>
        </w:rPr>
        <w:t>et est liée à</w:t>
      </w:r>
      <w:r w:rsidR="008A0D02" w:rsidRPr="00AF5B6D">
        <w:rPr>
          <w:bCs/>
          <w:kern w:val="22"/>
          <w:szCs w:val="22"/>
          <w:lang w:val="fr-CA"/>
        </w:rPr>
        <w:t xml:space="preserve"> la température et </w:t>
      </w:r>
      <w:r w:rsidR="002C1D3F">
        <w:rPr>
          <w:bCs/>
          <w:kern w:val="22"/>
          <w:szCs w:val="22"/>
          <w:lang w:val="fr-CA"/>
        </w:rPr>
        <w:t>aux</w:t>
      </w:r>
      <w:r w:rsidR="008A0D02" w:rsidRPr="00AF5B6D">
        <w:rPr>
          <w:bCs/>
          <w:kern w:val="22"/>
          <w:szCs w:val="22"/>
          <w:lang w:val="fr-CA"/>
        </w:rPr>
        <w:t xml:space="preserve"> courants</w:t>
      </w:r>
      <w:r w:rsidR="00C90052" w:rsidRPr="00AF5B6D">
        <w:rPr>
          <w:bCs/>
          <w:iCs/>
          <w:kern w:val="22"/>
          <w:szCs w:val="22"/>
          <w:lang w:val="fr-CA"/>
        </w:rPr>
        <w:t>;</w:t>
      </w:r>
    </w:p>
    <w:p w:rsidR="00C90052" w:rsidRPr="00AF5B6D" w:rsidRDefault="008A0D02" w:rsidP="007B3E88">
      <w:pPr>
        <w:pStyle w:val="Paragraphedeliste"/>
        <w:numPr>
          <w:ilvl w:val="0"/>
          <w:numId w:val="91"/>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iCs/>
          <w:kern w:val="22"/>
          <w:szCs w:val="22"/>
          <w:lang w:val="fr-CA"/>
        </w:rPr>
        <w:t>L’atmosphère des environnements terrestres est bien mélangée à une échelle beaucoup plus large, alors que le mélange dans l’environnement marin peut changer à beaucoup plus petite échelle</w:t>
      </w:r>
      <w:r w:rsidR="00C90052" w:rsidRPr="00AF5B6D">
        <w:rPr>
          <w:bCs/>
          <w:iCs/>
          <w:kern w:val="22"/>
          <w:szCs w:val="22"/>
          <w:lang w:val="fr-CA"/>
        </w:rPr>
        <w:t>;</w:t>
      </w:r>
    </w:p>
    <w:p w:rsidR="00C90052" w:rsidRPr="00AF5B6D" w:rsidRDefault="00A2447B" w:rsidP="007B3E88">
      <w:pPr>
        <w:pStyle w:val="Paragraphedeliste"/>
        <w:numPr>
          <w:ilvl w:val="0"/>
          <w:numId w:val="91"/>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iCs/>
          <w:kern w:val="22"/>
          <w:szCs w:val="22"/>
          <w:lang w:val="fr-CA"/>
        </w:rPr>
        <w:t xml:space="preserve">Les impacts des changements climatiques auront des conséquences très différentes sur les aires terrestres et marines, car les aires côtières sont vulnérables à l’érosion et aux vagues de tempête, et les efforts de protection peuvent être perdus </w:t>
      </w:r>
      <w:r w:rsidR="002C1D3F">
        <w:rPr>
          <w:bCs/>
          <w:iCs/>
          <w:kern w:val="22"/>
          <w:szCs w:val="22"/>
          <w:lang w:val="fr-CA"/>
        </w:rPr>
        <w:t>en conséquence d’une</w:t>
      </w:r>
      <w:r w:rsidRPr="00AF5B6D">
        <w:rPr>
          <w:bCs/>
          <w:iCs/>
          <w:kern w:val="22"/>
          <w:szCs w:val="22"/>
          <w:lang w:val="fr-CA"/>
        </w:rPr>
        <w:t xml:space="preserve"> grande tempête. L’effet envahissant de l’acidification des océans peut se faire ressentir sur tout le peuplement d’une productivité primaire dans une aire ma</w:t>
      </w:r>
      <w:r w:rsidR="00E754AD" w:rsidRPr="00AF5B6D">
        <w:rPr>
          <w:bCs/>
          <w:iCs/>
          <w:kern w:val="22"/>
          <w:szCs w:val="22"/>
          <w:lang w:val="fr-CA"/>
        </w:rPr>
        <w:t>rine et avoir un effet d’entraînement sur tout le réseau alimentaire;</w:t>
      </w:r>
    </w:p>
    <w:p w:rsidR="00C90052" w:rsidRPr="00AF5B6D" w:rsidRDefault="00E754AD" w:rsidP="007B3E88">
      <w:pPr>
        <w:pStyle w:val="Paragraphedeliste"/>
        <w:numPr>
          <w:ilvl w:val="0"/>
          <w:numId w:val="91"/>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kern w:val="22"/>
          <w:szCs w:val="22"/>
          <w:lang w:val="fr-CA"/>
        </w:rPr>
        <w:t>Différences dans la résistance et le rythme de récupération de la diversité biologique et des écosystèmes</w:t>
      </w:r>
      <w:r w:rsidR="00C90052" w:rsidRPr="00AF5B6D">
        <w:rPr>
          <w:bCs/>
          <w:kern w:val="22"/>
          <w:szCs w:val="22"/>
          <w:lang w:val="fr-CA"/>
        </w:rPr>
        <w:t>;</w:t>
      </w:r>
    </w:p>
    <w:p w:rsidR="00C90052" w:rsidRPr="00AF5B6D" w:rsidRDefault="00E754AD" w:rsidP="007B3E88">
      <w:pPr>
        <w:pStyle w:val="Paragraphedeliste"/>
        <w:numPr>
          <w:ilvl w:val="0"/>
          <w:numId w:val="91"/>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kern w:val="22"/>
          <w:szCs w:val="22"/>
          <w:lang w:val="fr-CA"/>
        </w:rPr>
        <w:t xml:space="preserve">Différences dans les méthodes et les difficultés </w:t>
      </w:r>
      <w:r w:rsidR="00524C42" w:rsidRPr="00AF5B6D">
        <w:rPr>
          <w:bCs/>
          <w:kern w:val="22"/>
          <w:szCs w:val="22"/>
          <w:lang w:val="fr-CA"/>
        </w:rPr>
        <w:t>relatives aux suivis et à la collecte de données</w:t>
      </w:r>
      <w:r w:rsidR="00C90052" w:rsidRPr="00AF5B6D">
        <w:rPr>
          <w:bCs/>
          <w:kern w:val="22"/>
          <w:szCs w:val="22"/>
          <w:lang w:val="fr-CA"/>
        </w:rPr>
        <w:t>;</w:t>
      </w:r>
    </w:p>
    <w:p w:rsidR="00C90052" w:rsidRPr="00AF5B6D" w:rsidRDefault="00524C42" w:rsidP="007B3E88">
      <w:pPr>
        <w:pStyle w:val="Paragraphedeliste"/>
        <w:numPr>
          <w:ilvl w:val="0"/>
          <w:numId w:val="91"/>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kern w:val="22"/>
          <w:szCs w:val="22"/>
          <w:lang w:val="fr-CA"/>
        </w:rPr>
        <w:t>Régimes juridiques potentiellement différents pour différentes parties de la même aire marine (p. ex, fond marin et colonne d’eau dans les aires marines situées au-delà de la juridiction nationale</w:t>
      </w:r>
      <w:r w:rsidR="00C90052" w:rsidRPr="00AF5B6D">
        <w:rPr>
          <w:bCs/>
          <w:kern w:val="22"/>
          <w:szCs w:val="22"/>
          <w:lang w:val="fr-CA"/>
        </w:rPr>
        <w:t>);</w:t>
      </w:r>
    </w:p>
    <w:p w:rsidR="00C90052" w:rsidRPr="00AF5B6D" w:rsidRDefault="00524C42" w:rsidP="007B3E88">
      <w:pPr>
        <w:pStyle w:val="Paragraphedeliste"/>
        <w:numPr>
          <w:ilvl w:val="0"/>
          <w:numId w:val="91"/>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kern w:val="22"/>
          <w:szCs w:val="22"/>
          <w:lang w:val="fr-CA"/>
        </w:rPr>
        <w:t xml:space="preserve">Manque fréquent </w:t>
      </w:r>
      <w:r w:rsidR="002C1D3F">
        <w:rPr>
          <w:bCs/>
          <w:kern w:val="22"/>
          <w:szCs w:val="22"/>
          <w:lang w:val="fr-CA"/>
        </w:rPr>
        <w:t>de l’appartenance précise</w:t>
      </w:r>
      <w:r w:rsidRPr="00AF5B6D">
        <w:rPr>
          <w:bCs/>
          <w:kern w:val="22"/>
          <w:szCs w:val="22"/>
          <w:lang w:val="fr-CA"/>
        </w:rPr>
        <w:t xml:space="preserve"> d’aires spécifiques de l’environnement marin</w:t>
      </w:r>
      <w:r w:rsidR="0025435F" w:rsidRPr="00AF5B6D">
        <w:rPr>
          <w:bCs/>
          <w:kern w:val="22"/>
          <w:szCs w:val="22"/>
          <w:lang w:val="fr-CA"/>
        </w:rPr>
        <w:t xml:space="preserve"> comportant pl</w:t>
      </w:r>
      <w:r w:rsidRPr="00AF5B6D">
        <w:rPr>
          <w:bCs/>
          <w:kern w:val="22"/>
          <w:szCs w:val="22"/>
          <w:lang w:val="fr-CA"/>
        </w:rPr>
        <w:t>usieurs utilisateurs et parties prenantes</w:t>
      </w:r>
      <w:r w:rsidR="0025435F" w:rsidRPr="00AF5B6D">
        <w:rPr>
          <w:bCs/>
          <w:kern w:val="22"/>
          <w:szCs w:val="22"/>
          <w:lang w:val="fr-CA"/>
        </w:rPr>
        <w:t xml:space="preserve"> et faisant souvent l’objet de chevauchement et d’intérêts divergents</w:t>
      </w:r>
      <w:r w:rsidR="008C06BA" w:rsidRPr="00AF5B6D">
        <w:rPr>
          <w:bCs/>
          <w:kern w:val="22"/>
          <w:szCs w:val="22"/>
          <w:lang w:val="fr-CA"/>
        </w:rPr>
        <w:t>;</w:t>
      </w:r>
      <w:r w:rsidR="00C90052" w:rsidRPr="00AF5B6D">
        <w:rPr>
          <w:bCs/>
          <w:kern w:val="22"/>
          <w:szCs w:val="22"/>
          <w:lang w:val="fr-CA"/>
        </w:rPr>
        <w:t xml:space="preserve"> </w:t>
      </w:r>
    </w:p>
    <w:p w:rsidR="00C90052" w:rsidRPr="00AF5B6D" w:rsidRDefault="0025435F" w:rsidP="007B3E88">
      <w:pPr>
        <w:pStyle w:val="Paragraphedeliste"/>
        <w:numPr>
          <w:ilvl w:val="0"/>
          <w:numId w:val="91"/>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kern w:val="22"/>
          <w:szCs w:val="22"/>
          <w:lang w:val="fr-CA"/>
        </w:rPr>
        <w:t>Incidence fréquente de plusieurs autorités de réglementation ayant compétence dans une aire donnée</w:t>
      </w:r>
      <w:r w:rsidR="00C90052" w:rsidRPr="00AF5B6D">
        <w:rPr>
          <w:bCs/>
          <w:kern w:val="22"/>
          <w:szCs w:val="22"/>
          <w:lang w:val="fr-CA"/>
        </w:rPr>
        <w:t>;</w:t>
      </w:r>
    </w:p>
    <w:p w:rsidR="00C90052" w:rsidRPr="00AF5B6D" w:rsidRDefault="0025435F" w:rsidP="007B3E88">
      <w:pPr>
        <w:pStyle w:val="Paragraphedeliste"/>
        <w:numPr>
          <w:ilvl w:val="0"/>
          <w:numId w:val="91"/>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kern w:val="22"/>
          <w:szCs w:val="22"/>
          <w:lang w:val="fr-CA"/>
        </w:rPr>
        <w:t>Attentes de « résultats » fondé</w:t>
      </w:r>
      <w:r w:rsidR="002C1D3F">
        <w:rPr>
          <w:bCs/>
          <w:kern w:val="22"/>
          <w:szCs w:val="22"/>
          <w:lang w:val="fr-CA"/>
        </w:rPr>
        <w:t>s</w:t>
      </w:r>
      <w:r w:rsidRPr="00AF5B6D">
        <w:rPr>
          <w:bCs/>
          <w:kern w:val="22"/>
          <w:szCs w:val="22"/>
          <w:lang w:val="fr-CA"/>
        </w:rPr>
        <w:t xml:space="preserve"> sur les ressources : d’une perspective économique, </w:t>
      </w:r>
      <w:r w:rsidR="0058519E" w:rsidRPr="00AF5B6D">
        <w:rPr>
          <w:bCs/>
          <w:kern w:val="22"/>
          <w:szCs w:val="22"/>
          <w:lang w:val="fr-CA"/>
        </w:rPr>
        <w:t xml:space="preserve">on s’attend souvent à ce que </w:t>
      </w:r>
      <w:r w:rsidRPr="00AF5B6D">
        <w:rPr>
          <w:bCs/>
          <w:kern w:val="22"/>
          <w:szCs w:val="22"/>
          <w:lang w:val="fr-CA"/>
        </w:rPr>
        <w:t>les</w:t>
      </w:r>
      <w:r w:rsidR="0058519E" w:rsidRPr="00AF5B6D">
        <w:rPr>
          <w:bCs/>
          <w:kern w:val="22"/>
          <w:szCs w:val="22"/>
          <w:lang w:val="fr-CA"/>
        </w:rPr>
        <w:t xml:space="preserve"> mesures de conservation par zo</w:t>
      </w:r>
      <w:r w:rsidRPr="00AF5B6D">
        <w:rPr>
          <w:bCs/>
          <w:kern w:val="22"/>
          <w:szCs w:val="22"/>
          <w:lang w:val="fr-CA"/>
        </w:rPr>
        <w:t xml:space="preserve">ne dans l’environnement marin </w:t>
      </w:r>
      <w:r w:rsidR="0058519E" w:rsidRPr="00AF5B6D">
        <w:rPr>
          <w:bCs/>
          <w:kern w:val="22"/>
          <w:szCs w:val="22"/>
          <w:lang w:val="fr-CA"/>
        </w:rPr>
        <w:t xml:space="preserve">améliorent les </w:t>
      </w:r>
      <w:r w:rsidR="0058519E" w:rsidRPr="00AF5B6D">
        <w:rPr>
          <w:bCs/>
          <w:kern w:val="22"/>
          <w:szCs w:val="22"/>
          <w:lang w:val="fr-CA"/>
        </w:rPr>
        <w:lastRenderedPageBreak/>
        <w:t>ressources de la pêche et rétablissent la productivité. Dans un environnement terrestre, l’accent est surtout mis sur la protection des animaux sans attente de récolte lorsque les populations augmentent</w:t>
      </w:r>
      <w:r w:rsidR="00C90052" w:rsidRPr="00AF5B6D">
        <w:rPr>
          <w:bCs/>
          <w:iCs/>
          <w:kern w:val="22"/>
          <w:szCs w:val="22"/>
          <w:lang w:val="fr-CA" w:eastAsia="ko-KR"/>
        </w:rPr>
        <w:t>.</w:t>
      </w:r>
    </w:p>
    <w:p w:rsidR="00C90052" w:rsidRPr="00AF5B6D" w:rsidRDefault="00503DE0" w:rsidP="007B3E88">
      <w:pPr>
        <w:pStyle w:val="Titre2"/>
        <w:suppressLineNumbers/>
        <w:suppressAutoHyphens/>
        <w:kinsoku w:val="0"/>
        <w:overflowPunct w:val="0"/>
        <w:autoSpaceDE w:val="0"/>
        <w:autoSpaceDN w:val="0"/>
        <w:rPr>
          <w:b w:val="0"/>
          <w:bCs w:val="0"/>
          <w:kern w:val="22"/>
          <w:szCs w:val="22"/>
          <w:lang w:val="fr-CA"/>
        </w:rPr>
      </w:pPr>
      <w:r w:rsidRPr="00AF5B6D">
        <w:rPr>
          <w:kern w:val="22"/>
          <w:szCs w:val="22"/>
          <w:lang w:val="fr-CA"/>
        </w:rPr>
        <w:t>B.</w:t>
      </w:r>
      <w:r w:rsidRPr="00AF5B6D">
        <w:rPr>
          <w:kern w:val="22"/>
          <w:szCs w:val="22"/>
          <w:lang w:val="fr-CA"/>
        </w:rPr>
        <w:tab/>
      </w:r>
      <w:r w:rsidR="006B602A" w:rsidRPr="00AF5B6D">
        <w:rPr>
          <w:kern w:val="22"/>
          <w:szCs w:val="22"/>
          <w:lang w:val="fr-CA"/>
        </w:rPr>
        <w:t>Principaux types de mesures de conservation par zone dans les aires marines et côtières</w:t>
      </w:r>
    </w:p>
    <w:p w:rsidR="00C90052" w:rsidRPr="00AF5B6D" w:rsidRDefault="00503DE0" w:rsidP="007B3E88">
      <w:pPr>
        <w:suppressLineNumbers/>
        <w:suppressAutoHyphens/>
        <w:kinsoku w:val="0"/>
        <w:overflowPunct w:val="0"/>
        <w:autoSpaceDE w:val="0"/>
        <w:autoSpaceDN w:val="0"/>
        <w:spacing w:before="120" w:after="120"/>
        <w:rPr>
          <w:bCs/>
          <w:iCs/>
          <w:kern w:val="22"/>
          <w:szCs w:val="22"/>
          <w:lang w:val="fr-CA"/>
        </w:rPr>
      </w:pPr>
      <w:r w:rsidRPr="00AF5B6D">
        <w:rPr>
          <w:bCs/>
          <w:iCs/>
          <w:kern w:val="22"/>
          <w:szCs w:val="22"/>
          <w:lang w:val="fr-CA"/>
        </w:rPr>
        <w:t>2</w:t>
      </w:r>
      <w:r w:rsidR="00C90052" w:rsidRPr="00AF5B6D">
        <w:rPr>
          <w:bCs/>
          <w:iCs/>
          <w:kern w:val="22"/>
          <w:szCs w:val="22"/>
          <w:lang w:val="fr-CA"/>
        </w:rPr>
        <w:t>.</w:t>
      </w:r>
      <w:r w:rsidR="00C90052" w:rsidRPr="00AF5B6D">
        <w:rPr>
          <w:bCs/>
          <w:iCs/>
          <w:kern w:val="22"/>
          <w:szCs w:val="22"/>
          <w:lang w:val="fr-CA"/>
        </w:rPr>
        <w:tab/>
      </w:r>
      <w:r w:rsidR="006B602A" w:rsidRPr="00AF5B6D">
        <w:rPr>
          <w:bCs/>
          <w:iCs/>
          <w:kern w:val="22"/>
          <w:szCs w:val="22"/>
          <w:lang w:val="fr-CA"/>
        </w:rPr>
        <w:t xml:space="preserve">Il existe plusieurs types de mesures de conservation et de gestion par zone appliquées dans les aires marines et côtières. Ces aires peuvent être classées de différentes façons sans toutefois être incompatibles. Les mesures de conservation et de gestion par zone peuvent généralement être classées comme suit </w:t>
      </w:r>
      <w:r w:rsidR="00C90052" w:rsidRPr="00AF5B6D">
        <w:rPr>
          <w:bCs/>
          <w:iCs/>
          <w:kern w:val="22"/>
          <w:szCs w:val="22"/>
          <w:lang w:val="fr-CA"/>
        </w:rPr>
        <w:t>:</w:t>
      </w:r>
    </w:p>
    <w:p w:rsidR="00C90052" w:rsidRPr="00AF5B6D" w:rsidRDefault="00D268C5" w:rsidP="006B602A">
      <w:pPr>
        <w:pStyle w:val="Paragraphedeliste"/>
        <w:numPr>
          <w:ilvl w:val="0"/>
          <w:numId w:val="92"/>
        </w:numPr>
        <w:suppressLineNumbers/>
        <w:suppressAutoHyphens/>
        <w:kinsoku w:val="0"/>
        <w:overflowPunct w:val="0"/>
        <w:autoSpaceDE w:val="0"/>
        <w:autoSpaceDN w:val="0"/>
        <w:spacing w:before="120" w:after="120"/>
        <w:ind w:left="0" w:firstLine="720"/>
        <w:contextualSpacing w:val="0"/>
        <w:rPr>
          <w:bCs/>
          <w:iCs/>
          <w:kern w:val="22"/>
          <w:szCs w:val="22"/>
          <w:lang w:val="fr-CA"/>
        </w:rPr>
      </w:pPr>
      <w:r w:rsidRPr="00AF5B6D">
        <w:rPr>
          <w:bCs/>
          <w:i/>
          <w:iCs/>
          <w:kern w:val="22"/>
          <w:szCs w:val="22"/>
          <w:lang w:val="fr-CA"/>
        </w:rPr>
        <w:t xml:space="preserve">Aires protégées marines et côtières : </w:t>
      </w:r>
      <w:r w:rsidRPr="00AF5B6D">
        <w:rPr>
          <w:bCs/>
          <w:iCs/>
          <w:kern w:val="22"/>
          <w:szCs w:val="22"/>
          <w:lang w:val="fr-CA"/>
        </w:rPr>
        <w:t>L’article 2 de la Convention définit une « zone protégée » comme toute zone géographiquement délimitée qui est désignée, ou réglementée, et gérée en vue d’atteindre des objectifs spécifiques de conservation</w:t>
      </w:r>
      <w:r w:rsidR="00C90052" w:rsidRPr="00AF5B6D">
        <w:rPr>
          <w:bCs/>
          <w:iCs/>
          <w:kern w:val="22"/>
          <w:szCs w:val="22"/>
          <w:lang w:val="fr-CA"/>
        </w:rPr>
        <w:t>;</w:t>
      </w:r>
    </w:p>
    <w:p w:rsidR="00C90052" w:rsidRPr="00AF5B6D" w:rsidRDefault="00D268C5" w:rsidP="007B3E88">
      <w:pPr>
        <w:pStyle w:val="Paragraphedeliste"/>
        <w:numPr>
          <w:ilvl w:val="0"/>
          <w:numId w:val="92"/>
        </w:numPr>
        <w:suppressLineNumbers/>
        <w:suppressAutoHyphens/>
        <w:kinsoku w:val="0"/>
        <w:overflowPunct w:val="0"/>
        <w:autoSpaceDE w:val="0"/>
        <w:autoSpaceDN w:val="0"/>
        <w:spacing w:before="120" w:after="120"/>
        <w:ind w:left="0" w:firstLine="720"/>
        <w:contextualSpacing w:val="0"/>
        <w:rPr>
          <w:bCs/>
          <w:iCs/>
          <w:kern w:val="22"/>
          <w:szCs w:val="22"/>
          <w:lang w:val="fr-CA"/>
        </w:rPr>
      </w:pPr>
      <w:r w:rsidRPr="00AF5B6D">
        <w:rPr>
          <w:bCs/>
          <w:i/>
          <w:iCs/>
          <w:kern w:val="22"/>
          <w:szCs w:val="22"/>
          <w:lang w:val="fr-CA"/>
        </w:rPr>
        <w:t xml:space="preserve">Aires gérées par des peuples autochtones et des communautés locales : </w:t>
      </w:r>
      <w:r w:rsidR="00612046" w:rsidRPr="00AF5B6D">
        <w:rPr>
          <w:bCs/>
          <w:iCs/>
          <w:kern w:val="22"/>
          <w:szCs w:val="22"/>
          <w:lang w:val="fr-CA"/>
        </w:rPr>
        <w:t>Dans ce type de méthode, l’autorité de gestion est partiellement ou entièrement cédée aux peuples autochtones et aux communautés locales, et les objectifs de conservation sont souvent liés à la sécurité des aliments et l’accès aux ressources pour les peuples autochtones et les communautés locales</w:t>
      </w:r>
      <w:r w:rsidR="00C90052" w:rsidRPr="00AF5B6D">
        <w:rPr>
          <w:kern w:val="22"/>
          <w:szCs w:val="22"/>
          <w:lang w:val="fr-CA"/>
        </w:rPr>
        <w:t>;</w:t>
      </w:r>
    </w:p>
    <w:p w:rsidR="00C90052" w:rsidRPr="00AF5B6D" w:rsidRDefault="00612046" w:rsidP="007B3E88">
      <w:pPr>
        <w:pStyle w:val="Paragraphedeliste"/>
        <w:numPr>
          <w:ilvl w:val="0"/>
          <w:numId w:val="92"/>
        </w:numPr>
        <w:suppressLineNumbers/>
        <w:suppressAutoHyphens/>
        <w:kinsoku w:val="0"/>
        <w:overflowPunct w:val="0"/>
        <w:autoSpaceDE w:val="0"/>
        <w:autoSpaceDN w:val="0"/>
        <w:spacing w:before="120" w:after="120"/>
        <w:ind w:left="0" w:firstLine="720"/>
        <w:contextualSpacing w:val="0"/>
        <w:rPr>
          <w:bCs/>
          <w:iCs/>
          <w:kern w:val="22"/>
          <w:szCs w:val="22"/>
          <w:u w:val="single"/>
          <w:lang w:val="fr-CA"/>
        </w:rPr>
      </w:pPr>
      <w:r w:rsidRPr="00AF5B6D">
        <w:rPr>
          <w:bCs/>
          <w:i/>
          <w:iCs/>
          <w:kern w:val="22"/>
          <w:szCs w:val="22"/>
          <w:lang w:val="fr-CA"/>
        </w:rPr>
        <w:t xml:space="preserve">Mesures de gestion de la pêche par zone : </w:t>
      </w:r>
      <w:r w:rsidRPr="00AF5B6D">
        <w:rPr>
          <w:bCs/>
          <w:iCs/>
          <w:kern w:val="22"/>
          <w:szCs w:val="22"/>
          <w:lang w:val="fr-CA"/>
        </w:rPr>
        <w:t>Mesures de gestion et/ou de conservation de la pêche formellement établies et définies en fonction de l’espace</w:t>
      </w:r>
      <w:r w:rsidR="00BE7DC1">
        <w:rPr>
          <w:bCs/>
          <w:iCs/>
          <w:kern w:val="22"/>
          <w:szCs w:val="22"/>
          <w:lang w:val="fr-CA"/>
        </w:rPr>
        <w:t>,</w:t>
      </w:r>
      <w:r w:rsidRPr="00AF5B6D">
        <w:rPr>
          <w:bCs/>
          <w:iCs/>
          <w:kern w:val="22"/>
          <w:szCs w:val="22"/>
          <w:lang w:val="fr-CA"/>
        </w:rPr>
        <w:t xml:space="preserve"> </w:t>
      </w:r>
      <w:r w:rsidR="00172727">
        <w:rPr>
          <w:bCs/>
          <w:iCs/>
          <w:kern w:val="22"/>
          <w:szCs w:val="22"/>
          <w:lang w:val="fr-CA"/>
        </w:rPr>
        <w:t xml:space="preserve">et </w:t>
      </w:r>
      <w:r w:rsidRPr="00AF5B6D">
        <w:rPr>
          <w:bCs/>
          <w:iCs/>
          <w:kern w:val="22"/>
          <w:szCs w:val="22"/>
          <w:lang w:val="fr-CA"/>
        </w:rPr>
        <w:t xml:space="preserve">mises en œuvre en vue d’atteindre un ou plusieurs objectifs pour la pêche. Les résultats de ces mesures </w:t>
      </w:r>
      <w:r w:rsidR="00B15014" w:rsidRPr="00AF5B6D">
        <w:rPr>
          <w:bCs/>
          <w:iCs/>
          <w:kern w:val="22"/>
          <w:szCs w:val="22"/>
          <w:lang w:val="fr-CA"/>
        </w:rPr>
        <w:t>sont communément liés à</w:t>
      </w:r>
      <w:r w:rsidRPr="00AF5B6D">
        <w:rPr>
          <w:bCs/>
          <w:iCs/>
          <w:kern w:val="22"/>
          <w:szCs w:val="22"/>
          <w:lang w:val="fr-CA"/>
        </w:rPr>
        <w:t xml:space="preserve"> l’utilisation durable de la pêche. </w:t>
      </w:r>
      <w:r w:rsidR="00B15014" w:rsidRPr="00AF5B6D">
        <w:rPr>
          <w:bCs/>
          <w:iCs/>
          <w:kern w:val="22"/>
          <w:szCs w:val="22"/>
          <w:lang w:val="fr-CA"/>
        </w:rPr>
        <w:t xml:space="preserve">Cependant, </w:t>
      </w:r>
      <w:r w:rsidR="00BE7DC1">
        <w:rPr>
          <w:bCs/>
          <w:iCs/>
          <w:kern w:val="22"/>
          <w:szCs w:val="22"/>
          <w:lang w:val="fr-CA"/>
        </w:rPr>
        <w:t>ils</w:t>
      </w:r>
      <w:r w:rsidR="00B15014" w:rsidRPr="00AF5B6D">
        <w:rPr>
          <w:bCs/>
          <w:iCs/>
          <w:kern w:val="22"/>
          <w:szCs w:val="22"/>
          <w:lang w:val="fr-CA"/>
        </w:rPr>
        <w:t xml:space="preserve"> peuvent souvent comprendre la protection, ou la réduction des  répercussions sur </w:t>
      </w:r>
      <w:r w:rsidR="00E46070" w:rsidRPr="00AF5B6D">
        <w:rPr>
          <w:bCs/>
          <w:iCs/>
          <w:kern w:val="22"/>
          <w:szCs w:val="22"/>
          <w:lang w:val="fr-CA"/>
        </w:rPr>
        <w:t>la diversité biologique, les habitats ou la structure et le fonctionnement des écosystèmes</w:t>
      </w:r>
      <w:r w:rsidR="00C90052" w:rsidRPr="00AF5B6D">
        <w:rPr>
          <w:kern w:val="22"/>
          <w:szCs w:val="22"/>
          <w:lang w:val="fr-CA"/>
        </w:rPr>
        <w:t>;</w:t>
      </w:r>
    </w:p>
    <w:p w:rsidR="00C90052" w:rsidRPr="00AF5B6D" w:rsidRDefault="00E46070" w:rsidP="007B3E88">
      <w:pPr>
        <w:pStyle w:val="Paragraphedeliste"/>
        <w:numPr>
          <w:ilvl w:val="0"/>
          <w:numId w:val="92"/>
        </w:numPr>
        <w:suppressLineNumbers/>
        <w:suppressAutoHyphens/>
        <w:kinsoku w:val="0"/>
        <w:overflowPunct w:val="0"/>
        <w:autoSpaceDE w:val="0"/>
        <w:autoSpaceDN w:val="0"/>
        <w:spacing w:before="120" w:after="120"/>
        <w:ind w:left="0" w:firstLine="720"/>
        <w:contextualSpacing w:val="0"/>
        <w:rPr>
          <w:bCs/>
          <w:iCs/>
          <w:kern w:val="22"/>
          <w:szCs w:val="22"/>
          <w:u w:val="single"/>
          <w:lang w:val="fr-CA"/>
        </w:rPr>
      </w:pPr>
      <w:r w:rsidRPr="00AF5B6D">
        <w:rPr>
          <w:bCs/>
          <w:i/>
          <w:iCs/>
          <w:kern w:val="22"/>
          <w:szCs w:val="22"/>
          <w:lang w:val="fr-CA"/>
        </w:rPr>
        <w:t xml:space="preserve">Autres méthodes de gestion sectorielles par zone : </w:t>
      </w:r>
      <w:r w:rsidRPr="00AF5B6D">
        <w:rPr>
          <w:bCs/>
          <w:iCs/>
          <w:kern w:val="22"/>
          <w:szCs w:val="22"/>
          <w:lang w:val="fr-CA"/>
        </w:rPr>
        <w:t>Il existe tout un éventail de mesures par zone appliquées à d</w:t>
      </w:r>
      <w:r w:rsidR="00BE7DC1">
        <w:rPr>
          <w:bCs/>
          <w:iCs/>
          <w:kern w:val="22"/>
          <w:szCs w:val="22"/>
          <w:lang w:val="fr-CA"/>
        </w:rPr>
        <w:t xml:space="preserve">’autres secteurs à différentes </w:t>
      </w:r>
      <w:r w:rsidRPr="00AF5B6D">
        <w:rPr>
          <w:bCs/>
          <w:iCs/>
          <w:kern w:val="22"/>
          <w:szCs w:val="22"/>
          <w:lang w:val="fr-CA"/>
        </w:rPr>
        <w:t>échelles et à différentes fins. Par exemple, les aires marines particulièrement sensibles (aires désignées par l’Organisation maritime internationale aux fins de protection contre les dommages causés par les activités maritimes internationales pour des raisons écologiques, socioéconomiques ou scientifiques)</w:t>
      </w:r>
      <w:r w:rsidR="00491333" w:rsidRPr="00AF5B6D">
        <w:rPr>
          <w:bCs/>
          <w:iCs/>
          <w:kern w:val="22"/>
          <w:szCs w:val="22"/>
          <w:lang w:val="fr-CA"/>
        </w:rPr>
        <w:t xml:space="preserve">, aires d’intérêt écologique particulier (aires du fond marin désignées par l’Autorité internationale des fonds marins aux fins de protection contre les dommages causés </w:t>
      </w:r>
      <w:r w:rsidR="008211DF">
        <w:rPr>
          <w:bCs/>
          <w:iCs/>
          <w:kern w:val="22"/>
          <w:szCs w:val="22"/>
          <w:lang w:val="fr-CA"/>
        </w:rPr>
        <w:t xml:space="preserve">à la diversité biologique </w:t>
      </w:r>
      <w:r w:rsidR="00491333" w:rsidRPr="00AF5B6D">
        <w:rPr>
          <w:bCs/>
          <w:iCs/>
          <w:kern w:val="22"/>
          <w:szCs w:val="22"/>
          <w:lang w:val="fr-CA"/>
        </w:rPr>
        <w:t>par l’exploitation minière dans les grands f</w:t>
      </w:r>
      <w:r w:rsidR="008211DF">
        <w:rPr>
          <w:bCs/>
          <w:iCs/>
          <w:kern w:val="22"/>
          <w:szCs w:val="22"/>
          <w:lang w:val="fr-CA"/>
        </w:rPr>
        <w:t>onds marins</w:t>
      </w:r>
      <w:r w:rsidR="00491333" w:rsidRPr="00AF5B6D">
        <w:rPr>
          <w:bCs/>
          <w:iCs/>
          <w:kern w:val="22"/>
          <w:szCs w:val="22"/>
          <w:lang w:val="fr-CA"/>
        </w:rPr>
        <w:t>, et la structure et le fonctionnement des écosystèmes), ainsi que des mesures de conservation dans l’autres secteurs</w:t>
      </w:r>
      <w:r w:rsidR="00C90052" w:rsidRPr="00AF5B6D">
        <w:rPr>
          <w:kern w:val="22"/>
          <w:szCs w:val="22"/>
          <w:lang w:val="fr-CA"/>
        </w:rPr>
        <w:t>.</w:t>
      </w:r>
      <w:bookmarkStart w:id="3" w:name="_Toc378368361"/>
    </w:p>
    <w:bookmarkEnd w:id="3"/>
    <w:p w:rsidR="00C90052" w:rsidRPr="00AF5B6D" w:rsidRDefault="00503DE0" w:rsidP="007B3E88">
      <w:pPr>
        <w:pStyle w:val="Heading2longmultiline"/>
        <w:keepNext/>
        <w:suppressLineNumbers/>
        <w:suppressAutoHyphens/>
        <w:kinsoku w:val="0"/>
        <w:overflowPunct w:val="0"/>
        <w:autoSpaceDE w:val="0"/>
        <w:autoSpaceDN w:val="0"/>
        <w:ind w:left="2131" w:right="994" w:hanging="1051"/>
        <w:rPr>
          <w:b w:val="0"/>
          <w:iCs w:val="0"/>
          <w:kern w:val="22"/>
          <w:szCs w:val="22"/>
          <w:lang w:val="fr-CA"/>
        </w:rPr>
      </w:pPr>
      <w:r w:rsidRPr="00AF5B6D">
        <w:rPr>
          <w:kern w:val="22"/>
          <w:szCs w:val="22"/>
          <w:lang w:val="fr-CA"/>
        </w:rPr>
        <w:t>C.</w:t>
      </w:r>
      <w:r w:rsidRPr="00AF5B6D">
        <w:rPr>
          <w:kern w:val="22"/>
          <w:szCs w:val="22"/>
          <w:lang w:val="fr-CA"/>
        </w:rPr>
        <w:tab/>
      </w:r>
      <w:r w:rsidR="00491333" w:rsidRPr="00AF5B6D">
        <w:rPr>
          <w:kern w:val="22"/>
          <w:szCs w:val="22"/>
          <w:lang w:val="fr-CA"/>
        </w:rPr>
        <w:t>Méthodes pour accélérer les progrès en vue de la réalisation de l’Objectif 11 d’Aichi relatif à la diversité biologique dans les aires marines et côtières</w:t>
      </w:r>
    </w:p>
    <w:p w:rsidR="00C90052" w:rsidRPr="00AF5B6D" w:rsidRDefault="00503DE0" w:rsidP="007B3E88">
      <w:pPr>
        <w:suppressLineNumbers/>
        <w:suppressAutoHyphens/>
        <w:kinsoku w:val="0"/>
        <w:overflowPunct w:val="0"/>
        <w:autoSpaceDE w:val="0"/>
        <w:autoSpaceDN w:val="0"/>
        <w:spacing w:before="120" w:after="120"/>
        <w:rPr>
          <w:rFonts w:eastAsiaTheme="minorEastAsia"/>
          <w:color w:val="000000"/>
          <w:kern w:val="22"/>
          <w:szCs w:val="22"/>
          <w:lang w:val="fr-CA" w:eastAsia="ko-KR"/>
        </w:rPr>
      </w:pPr>
      <w:r w:rsidRPr="00AF5B6D">
        <w:rPr>
          <w:rFonts w:eastAsiaTheme="minorEastAsia"/>
          <w:color w:val="000000"/>
          <w:kern w:val="22"/>
          <w:szCs w:val="22"/>
          <w:lang w:val="fr-CA" w:eastAsia="ko-KR"/>
        </w:rPr>
        <w:t>3</w:t>
      </w:r>
      <w:r w:rsidR="00C90052" w:rsidRPr="00AF5B6D">
        <w:rPr>
          <w:rFonts w:eastAsiaTheme="minorEastAsia"/>
          <w:color w:val="000000"/>
          <w:kern w:val="22"/>
          <w:szCs w:val="22"/>
          <w:lang w:val="fr-CA" w:eastAsia="ko-KR"/>
        </w:rPr>
        <w:t>.</w:t>
      </w:r>
      <w:r w:rsidR="00C90052" w:rsidRPr="00AF5B6D">
        <w:rPr>
          <w:rFonts w:eastAsiaTheme="minorEastAsia"/>
          <w:color w:val="000000"/>
          <w:kern w:val="22"/>
          <w:szCs w:val="22"/>
          <w:lang w:val="fr-CA" w:eastAsia="ko-KR"/>
        </w:rPr>
        <w:tab/>
      </w:r>
      <w:r w:rsidR="00386F57" w:rsidRPr="00AF5B6D">
        <w:rPr>
          <w:bCs/>
          <w:kern w:val="22"/>
          <w:szCs w:val="22"/>
          <w:lang w:val="fr-CA"/>
        </w:rPr>
        <w:t xml:space="preserve">Les discussions en atelier ont mis en évidence les méthodes suivantes pour accélérer les progrès des pays en vue de la réalisation de l’Objectif 11 d’Aichi relatif à la diversité biologique dans les aires marines et côtières, reconnaissant que ces méthodes ne sont pas exhaustives et qu’il existe d’autres sources d’orientations sur ces questions </w:t>
      </w:r>
      <w:r w:rsidR="00C90052" w:rsidRPr="00AF5B6D">
        <w:rPr>
          <w:rFonts w:eastAsiaTheme="minorEastAsia"/>
          <w:color w:val="000000"/>
          <w:kern w:val="22"/>
          <w:szCs w:val="22"/>
          <w:lang w:val="fr-CA" w:eastAsia="ko-KR"/>
        </w:rPr>
        <w:t>:</w:t>
      </w:r>
    </w:p>
    <w:p w:rsidR="00C90052" w:rsidRPr="00AF5B6D" w:rsidRDefault="00503DE0" w:rsidP="007B3E88">
      <w:pPr>
        <w:pStyle w:val="Titre3"/>
        <w:suppressLineNumbers/>
        <w:tabs>
          <w:tab w:val="clear" w:pos="567"/>
          <w:tab w:val="left" w:pos="360"/>
        </w:tabs>
        <w:suppressAutoHyphens/>
        <w:kinsoku w:val="0"/>
        <w:overflowPunct w:val="0"/>
        <w:autoSpaceDE w:val="0"/>
        <w:autoSpaceDN w:val="0"/>
        <w:rPr>
          <w:kern w:val="22"/>
          <w:szCs w:val="22"/>
          <w:lang w:val="fr-CA"/>
        </w:rPr>
      </w:pPr>
      <w:r w:rsidRPr="00AF5B6D">
        <w:rPr>
          <w:kern w:val="22"/>
          <w:szCs w:val="22"/>
          <w:lang w:val="fr-CA" w:eastAsia="ko-KR"/>
        </w:rPr>
        <w:t>1.</w:t>
      </w:r>
      <w:r w:rsidRPr="00AF5B6D">
        <w:rPr>
          <w:kern w:val="22"/>
          <w:szCs w:val="22"/>
          <w:lang w:val="fr-CA" w:eastAsia="ko-KR"/>
        </w:rPr>
        <w:tab/>
      </w:r>
      <w:r w:rsidR="00386F57" w:rsidRPr="00AF5B6D">
        <w:rPr>
          <w:kern w:val="22"/>
          <w:szCs w:val="22"/>
          <w:lang w:val="fr-CA" w:eastAsia="ko-KR"/>
        </w:rPr>
        <w:t>Fournir une base d’information adéquate</w:t>
      </w:r>
    </w:p>
    <w:p w:rsidR="00C90052" w:rsidRPr="00AF5B6D" w:rsidRDefault="00386F57" w:rsidP="00386F57">
      <w:pPr>
        <w:pStyle w:val="Paragraphedeliste"/>
        <w:numPr>
          <w:ilvl w:val="0"/>
          <w:numId w:val="93"/>
        </w:numPr>
        <w:suppressLineNumbers/>
        <w:suppressAutoHyphens/>
        <w:kinsoku w:val="0"/>
        <w:overflowPunct w:val="0"/>
        <w:autoSpaceDE w:val="0"/>
        <w:autoSpaceDN w:val="0"/>
        <w:spacing w:before="120" w:after="120"/>
        <w:ind w:left="0" w:firstLine="720"/>
        <w:contextualSpacing w:val="0"/>
        <w:rPr>
          <w:rFonts w:eastAsia="Malgun Gothic"/>
          <w:bCs/>
          <w:kern w:val="22"/>
          <w:szCs w:val="22"/>
          <w:lang w:val="fr-CA"/>
        </w:rPr>
      </w:pPr>
      <w:r w:rsidRPr="00AF5B6D">
        <w:rPr>
          <w:rFonts w:eastAsia="Malgun Gothic"/>
          <w:bCs/>
          <w:kern w:val="22"/>
          <w:szCs w:val="22"/>
          <w:lang w:val="fr-CA"/>
        </w:rPr>
        <w:t>Recenser l’infor</w:t>
      </w:r>
      <w:r w:rsidR="008211DF">
        <w:rPr>
          <w:rFonts w:eastAsia="Malgun Gothic"/>
          <w:bCs/>
          <w:kern w:val="22"/>
          <w:szCs w:val="22"/>
          <w:lang w:val="fr-CA"/>
        </w:rPr>
        <w:t>mation nécessaire pour traiter l</w:t>
      </w:r>
      <w:r w:rsidRPr="00AF5B6D">
        <w:rPr>
          <w:rFonts w:eastAsia="Malgun Gothic"/>
          <w:bCs/>
          <w:kern w:val="22"/>
          <w:szCs w:val="22"/>
          <w:lang w:val="fr-CA"/>
        </w:rPr>
        <w:t>es éléments qualitatifs, dont l’information sur la diversité biologique, les écosystèmes et la biogéographie, ainsi que l’information sur les menaces actuelles pour la diversité biologique et les menaces possibles provenant de nouvelles pressions émergentes</w:t>
      </w:r>
      <w:r w:rsidR="00C90052" w:rsidRPr="00AF5B6D">
        <w:rPr>
          <w:rFonts w:eastAsia="Malgun Gothic"/>
          <w:bCs/>
          <w:kern w:val="22"/>
          <w:szCs w:val="22"/>
          <w:lang w:val="fr-CA"/>
        </w:rPr>
        <w:t>;</w:t>
      </w:r>
    </w:p>
    <w:p w:rsidR="00C90052" w:rsidRPr="00AF5B6D" w:rsidRDefault="00386F57" w:rsidP="007B3E88">
      <w:pPr>
        <w:pStyle w:val="Paragraphedeliste"/>
        <w:numPr>
          <w:ilvl w:val="0"/>
          <w:numId w:val="93"/>
        </w:numPr>
        <w:suppressLineNumbers/>
        <w:suppressAutoHyphens/>
        <w:kinsoku w:val="0"/>
        <w:overflowPunct w:val="0"/>
        <w:autoSpaceDE w:val="0"/>
        <w:autoSpaceDN w:val="0"/>
        <w:spacing w:before="120" w:after="120"/>
        <w:ind w:left="0" w:firstLine="720"/>
        <w:contextualSpacing w:val="0"/>
        <w:rPr>
          <w:rFonts w:eastAsia="Malgun Gothic"/>
          <w:bCs/>
          <w:kern w:val="22"/>
          <w:szCs w:val="22"/>
          <w:lang w:val="fr-CA"/>
        </w:rPr>
      </w:pPr>
      <w:r w:rsidRPr="00AF5B6D">
        <w:rPr>
          <w:rFonts w:eastAsia="Malgun Gothic"/>
          <w:bCs/>
          <w:kern w:val="22"/>
          <w:szCs w:val="22"/>
          <w:lang w:val="fr-CA"/>
        </w:rPr>
        <w:t>Résumer et harmoniser différents types d’information</w:t>
      </w:r>
      <w:r w:rsidR="00B17CEB" w:rsidRPr="00AF5B6D">
        <w:rPr>
          <w:rFonts w:eastAsia="Malgun Gothic"/>
          <w:bCs/>
          <w:kern w:val="22"/>
          <w:szCs w:val="22"/>
          <w:lang w:val="fr-CA"/>
        </w:rPr>
        <w:t xml:space="preserve"> avec le consentement libre et préalable donné en connaissance de cause </w:t>
      </w:r>
      <w:r w:rsidR="00622795">
        <w:rPr>
          <w:rFonts w:eastAsia="Malgun Gothic"/>
          <w:bCs/>
          <w:kern w:val="22"/>
          <w:szCs w:val="22"/>
          <w:lang w:val="fr-CA"/>
        </w:rPr>
        <w:t>d</w:t>
      </w:r>
      <w:r w:rsidR="00B17CEB" w:rsidRPr="00AF5B6D">
        <w:rPr>
          <w:rFonts w:eastAsia="Malgun Gothic"/>
          <w:bCs/>
          <w:kern w:val="22"/>
          <w:szCs w:val="22"/>
          <w:lang w:val="fr-CA"/>
        </w:rPr>
        <w:t>es détenteurs de connaissances, dont l’information sur les aires marine</w:t>
      </w:r>
      <w:r w:rsidR="008211DF">
        <w:rPr>
          <w:rFonts w:eastAsia="Malgun Gothic"/>
          <w:bCs/>
          <w:kern w:val="22"/>
          <w:szCs w:val="22"/>
          <w:lang w:val="fr-CA"/>
        </w:rPr>
        <w:t>s</w:t>
      </w:r>
      <w:r w:rsidR="00B17CEB" w:rsidRPr="00AF5B6D">
        <w:rPr>
          <w:rFonts w:eastAsia="Malgun Gothic"/>
          <w:bCs/>
          <w:kern w:val="22"/>
          <w:szCs w:val="22"/>
          <w:lang w:val="fr-CA"/>
        </w:rPr>
        <w:t xml:space="preserve"> d’importance écologique ou biologique (AIEB</w:t>
      </w:r>
      <w:r w:rsidR="00C90052" w:rsidRPr="00AF5B6D">
        <w:rPr>
          <w:rFonts w:eastAsia="Malgun Gothic"/>
          <w:bCs/>
          <w:kern w:val="22"/>
          <w:szCs w:val="22"/>
          <w:lang w:val="fr-CA"/>
        </w:rPr>
        <w:t>)</w:t>
      </w:r>
      <w:r w:rsidR="00B17CEB" w:rsidRPr="00AF5B6D">
        <w:rPr>
          <w:rFonts w:eastAsia="Malgun Gothic"/>
          <w:bCs/>
          <w:kern w:val="22"/>
          <w:szCs w:val="22"/>
          <w:lang w:val="fr-CA"/>
        </w:rPr>
        <w:t xml:space="preserve">, les principales </w:t>
      </w:r>
      <w:r w:rsidR="00622795">
        <w:rPr>
          <w:rFonts w:eastAsia="Malgun Gothic"/>
          <w:bCs/>
          <w:kern w:val="22"/>
          <w:szCs w:val="22"/>
          <w:lang w:val="fr-CA"/>
        </w:rPr>
        <w:t xml:space="preserve">aires </w:t>
      </w:r>
      <w:r w:rsidR="00B17CEB" w:rsidRPr="00AF5B6D">
        <w:rPr>
          <w:rFonts w:eastAsia="Malgun Gothic"/>
          <w:bCs/>
          <w:kern w:val="22"/>
          <w:szCs w:val="22"/>
          <w:lang w:val="fr-CA"/>
        </w:rPr>
        <w:t>de diversité biologique, les écosystèmes marins vulnérables, les aires marines particulièrement sensibles et les aires d’importance pour les mammifères marins</w:t>
      </w:r>
      <w:r w:rsidR="00C90052" w:rsidRPr="00AF5B6D">
        <w:rPr>
          <w:rFonts w:eastAsia="Malgun Gothic"/>
          <w:bCs/>
          <w:kern w:val="22"/>
          <w:szCs w:val="22"/>
          <w:lang w:val="fr-CA"/>
        </w:rPr>
        <w:t>;</w:t>
      </w:r>
    </w:p>
    <w:p w:rsidR="00C90052" w:rsidRPr="00AF5B6D" w:rsidRDefault="00FB1B2C" w:rsidP="007B3E88">
      <w:pPr>
        <w:pStyle w:val="Paragraphedeliste"/>
        <w:numPr>
          <w:ilvl w:val="0"/>
          <w:numId w:val="93"/>
        </w:numPr>
        <w:suppressLineNumbers/>
        <w:suppressAutoHyphens/>
        <w:kinsoku w:val="0"/>
        <w:overflowPunct w:val="0"/>
        <w:autoSpaceDE w:val="0"/>
        <w:autoSpaceDN w:val="0"/>
        <w:spacing w:before="120" w:after="120"/>
        <w:ind w:left="0" w:firstLine="720"/>
        <w:contextualSpacing w:val="0"/>
        <w:rPr>
          <w:rFonts w:eastAsia="Malgun Gothic"/>
          <w:bCs/>
          <w:kern w:val="22"/>
          <w:szCs w:val="22"/>
          <w:lang w:val="fr-CA"/>
        </w:rPr>
      </w:pPr>
      <w:r w:rsidRPr="00AF5B6D">
        <w:rPr>
          <w:rFonts w:eastAsia="Malgun Gothic"/>
          <w:bCs/>
          <w:kern w:val="22"/>
          <w:szCs w:val="22"/>
          <w:lang w:val="fr-CA"/>
        </w:rPr>
        <w:t xml:space="preserve">Élaborer et/ou améliorer les mécanismes pour normaliser, échanger et intégrer l’information (p. ex., mécanisme de centre d’échange, </w:t>
      </w:r>
      <w:r w:rsidRPr="00AF5B6D">
        <w:rPr>
          <w:bCs/>
          <w:kern w:val="22"/>
          <w:szCs w:val="22"/>
          <w:lang w:val="fr-CA"/>
        </w:rPr>
        <w:t>Système</w:t>
      </w:r>
      <w:r w:rsidRPr="00AF5B6D">
        <w:rPr>
          <w:rFonts w:eastAsia="Malgun Gothic"/>
          <w:bCs/>
          <w:kern w:val="22"/>
          <w:szCs w:val="22"/>
          <w:lang w:val="fr-CA"/>
        </w:rPr>
        <w:t xml:space="preserve"> mondial d’observation de l’océan et autres systèmes de suivi</w:t>
      </w:r>
      <w:r w:rsidR="008211DF">
        <w:rPr>
          <w:rFonts w:eastAsia="Malgun Gothic"/>
          <w:bCs/>
          <w:kern w:val="22"/>
          <w:szCs w:val="22"/>
          <w:lang w:val="fr-CA"/>
        </w:rPr>
        <w:t>)</w:t>
      </w:r>
      <w:r w:rsidR="00F40894" w:rsidRPr="00AF5B6D">
        <w:rPr>
          <w:rFonts w:eastAsia="Malgun Gothic"/>
          <w:bCs/>
          <w:kern w:val="22"/>
          <w:szCs w:val="22"/>
          <w:lang w:val="fr-CA"/>
        </w:rPr>
        <w:t>.</w:t>
      </w:r>
    </w:p>
    <w:p w:rsidR="00C90052" w:rsidRPr="00AF5B6D" w:rsidRDefault="00FB1B2C" w:rsidP="007B3E88">
      <w:pPr>
        <w:pStyle w:val="Titre3"/>
        <w:numPr>
          <w:ilvl w:val="6"/>
          <w:numId w:val="39"/>
        </w:numPr>
        <w:suppressLineNumbers/>
        <w:tabs>
          <w:tab w:val="clear" w:pos="567"/>
          <w:tab w:val="left" w:pos="360"/>
        </w:tabs>
        <w:suppressAutoHyphens/>
        <w:kinsoku w:val="0"/>
        <w:overflowPunct w:val="0"/>
        <w:autoSpaceDE w:val="0"/>
        <w:autoSpaceDN w:val="0"/>
        <w:ind w:left="0" w:firstLine="0"/>
        <w:rPr>
          <w:kern w:val="22"/>
          <w:szCs w:val="22"/>
          <w:lang w:val="fr-CA"/>
        </w:rPr>
      </w:pPr>
      <w:r w:rsidRPr="00AF5B6D">
        <w:rPr>
          <w:kern w:val="22"/>
          <w:szCs w:val="22"/>
          <w:lang w:val="fr-CA" w:eastAsia="ko-KR"/>
        </w:rPr>
        <w:lastRenderedPageBreak/>
        <w:t>Engagement des parties prenantes</w:t>
      </w:r>
    </w:p>
    <w:p w:rsidR="00C90052" w:rsidRPr="00AF5B6D" w:rsidRDefault="00FB1B2C" w:rsidP="00FB1B2C">
      <w:pPr>
        <w:pStyle w:val="Paragraphedeliste"/>
        <w:numPr>
          <w:ilvl w:val="0"/>
          <w:numId w:val="94"/>
        </w:numPr>
        <w:suppressLineNumbers/>
        <w:suppressAutoHyphens/>
        <w:kinsoku w:val="0"/>
        <w:overflowPunct w:val="0"/>
        <w:autoSpaceDE w:val="0"/>
        <w:autoSpaceDN w:val="0"/>
        <w:spacing w:before="120" w:after="120"/>
        <w:ind w:left="0" w:firstLine="720"/>
        <w:rPr>
          <w:rFonts w:eastAsia="Malgun Gothic"/>
          <w:bCs/>
          <w:kern w:val="22"/>
          <w:szCs w:val="22"/>
          <w:lang w:val="fr-CA"/>
        </w:rPr>
      </w:pPr>
      <w:r w:rsidRPr="00AF5B6D">
        <w:rPr>
          <w:rFonts w:eastAsia="Malgun Gothic"/>
          <w:bCs/>
          <w:kern w:val="22"/>
          <w:szCs w:val="22"/>
          <w:lang w:val="fr-CA"/>
        </w:rPr>
        <w:t>Recenser les parties prenantes pertinentes en tenan</w:t>
      </w:r>
      <w:r w:rsidR="00FC2780">
        <w:rPr>
          <w:rFonts w:eastAsia="Malgun Gothic"/>
          <w:bCs/>
          <w:kern w:val="22"/>
          <w:szCs w:val="22"/>
          <w:lang w:val="fr-CA"/>
        </w:rPr>
        <w:t>t compte du mode de subsistance</w:t>
      </w:r>
      <w:r w:rsidRPr="00AF5B6D">
        <w:rPr>
          <w:rFonts w:eastAsia="Malgun Gothic"/>
          <w:bCs/>
          <w:kern w:val="22"/>
          <w:szCs w:val="22"/>
          <w:lang w:val="fr-CA"/>
        </w:rPr>
        <w:t xml:space="preserve"> et des spécificités culturelles et spirituelles à différentes échelles</w:t>
      </w:r>
      <w:r w:rsidR="00C90052" w:rsidRPr="00AF5B6D">
        <w:rPr>
          <w:rFonts w:eastAsia="Malgun Gothic"/>
          <w:bCs/>
          <w:kern w:val="22"/>
          <w:szCs w:val="22"/>
          <w:lang w:val="fr-CA"/>
        </w:rPr>
        <w:t>;</w:t>
      </w:r>
    </w:p>
    <w:p w:rsidR="00C90052" w:rsidRPr="00AF5B6D" w:rsidRDefault="00FB1B2C" w:rsidP="007B3E88">
      <w:pPr>
        <w:numPr>
          <w:ilvl w:val="0"/>
          <w:numId w:val="94"/>
        </w:numPr>
        <w:suppressLineNumbers/>
        <w:suppressAutoHyphens/>
        <w:kinsoku w:val="0"/>
        <w:overflowPunct w:val="0"/>
        <w:autoSpaceDE w:val="0"/>
        <w:autoSpaceDN w:val="0"/>
        <w:spacing w:before="120" w:after="120"/>
        <w:ind w:left="0" w:firstLine="720"/>
        <w:rPr>
          <w:rFonts w:eastAsia="Malgun Gothic"/>
          <w:bCs/>
          <w:kern w:val="22"/>
          <w:szCs w:val="22"/>
          <w:lang w:val="fr-CA"/>
        </w:rPr>
      </w:pPr>
      <w:r w:rsidRPr="00AF5B6D">
        <w:rPr>
          <w:rFonts w:eastAsia="Malgun Gothic"/>
          <w:bCs/>
          <w:kern w:val="22"/>
          <w:szCs w:val="22"/>
          <w:lang w:val="fr-CA"/>
        </w:rPr>
        <w:t xml:space="preserve">Développer et favoriser des </w:t>
      </w:r>
      <w:r w:rsidR="00C632B0" w:rsidRPr="00AF5B6D">
        <w:rPr>
          <w:rFonts w:eastAsia="Malgun Gothic"/>
          <w:bCs/>
          <w:kern w:val="22"/>
          <w:szCs w:val="22"/>
          <w:lang w:val="fr-CA"/>
        </w:rPr>
        <w:t>communautés de pratique et des réseaux de parties prenantes qui faciliteront l’apprentissage et les échanges réciproques</w:t>
      </w:r>
      <w:r w:rsidR="00FC2780">
        <w:rPr>
          <w:rFonts w:eastAsia="Malgun Gothic"/>
          <w:bCs/>
          <w:kern w:val="22"/>
          <w:szCs w:val="22"/>
          <w:lang w:val="fr-CA"/>
        </w:rPr>
        <w:t>,</w:t>
      </w:r>
      <w:r w:rsidR="00C632B0" w:rsidRPr="00AF5B6D">
        <w:rPr>
          <w:rFonts w:eastAsia="Malgun Gothic"/>
          <w:bCs/>
          <w:kern w:val="22"/>
          <w:szCs w:val="22"/>
          <w:lang w:val="fr-CA"/>
        </w:rPr>
        <w:t xml:space="preserve"> et appuieront la gouvernance, le suivi, l’application, la communication de données et l’évaluation</w:t>
      </w:r>
      <w:r w:rsidR="00C90052" w:rsidRPr="00AF5B6D">
        <w:rPr>
          <w:rFonts w:eastAsia="Malgun Gothic"/>
          <w:bCs/>
          <w:kern w:val="22"/>
          <w:szCs w:val="22"/>
          <w:lang w:val="fr-CA"/>
        </w:rPr>
        <w:t>;</w:t>
      </w:r>
    </w:p>
    <w:p w:rsidR="00C90052" w:rsidRPr="00AF5B6D" w:rsidRDefault="00C632B0" w:rsidP="007B3E88">
      <w:pPr>
        <w:numPr>
          <w:ilvl w:val="0"/>
          <w:numId w:val="94"/>
        </w:numPr>
        <w:suppressLineNumbers/>
        <w:suppressAutoHyphens/>
        <w:kinsoku w:val="0"/>
        <w:overflowPunct w:val="0"/>
        <w:autoSpaceDE w:val="0"/>
        <w:autoSpaceDN w:val="0"/>
        <w:spacing w:before="120" w:after="120"/>
        <w:ind w:left="0" w:firstLine="720"/>
        <w:rPr>
          <w:rFonts w:eastAsia="Malgun Gothic"/>
          <w:bCs/>
          <w:kern w:val="22"/>
          <w:szCs w:val="22"/>
          <w:lang w:val="fr-CA"/>
        </w:rPr>
      </w:pPr>
      <w:r w:rsidRPr="00AF5B6D">
        <w:rPr>
          <w:rFonts w:eastAsia="Malgun Gothic"/>
          <w:bCs/>
          <w:kern w:val="22"/>
          <w:szCs w:val="22"/>
          <w:lang w:val="fr-CA"/>
        </w:rPr>
        <w:t xml:space="preserve">Développer une compréhension commune </w:t>
      </w:r>
      <w:r w:rsidR="007A2772" w:rsidRPr="00AF5B6D">
        <w:rPr>
          <w:rFonts w:eastAsia="Malgun Gothic"/>
          <w:bCs/>
          <w:kern w:val="22"/>
          <w:szCs w:val="22"/>
          <w:lang w:val="fr-CA"/>
        </w:rPr>
        <w:t xml:space="preserve">des objectifs et des résultats escomptés </w:t>
      </w:r>
      <w:r w:rsidRPr="00AF5B6D">
        <w:rPr>
          <w:rFonts w:eastAsia="Malgun Gothic"/>
          <w:bCs/>
          <w:kern w:val="22"/>
          <w:szCs w:val="22"/>
          <w:lang w:val="fr-CA"/>
        </w:rPr>
        <w:t>entre les parties pre</w:t>
      </w:r>
      <w:r w:rsidR="007A2772" w:rsidRPr="00AF5B6D">
        <w:rPr>
          <w:rFonts w:eastAsia="Malgun Gothic"/>
          <w:bCs/>
          <w:kern w:val="22"/>
          <w:szCs w:val="22"/>
          <w:lang w:val="fr-CA"/>
        </w:rPr>
        <w:t>n</w:t>
      </w:r>
      <w:r w:rsidRPr="00AF5B6D">
        <w:rPr>
          <w:rFonts w:eastAsia="Malgun Gothic"/>
          <w:bCs/>
          <w:kern w:val="22"/>
          <w:szCs w:val="22"/>
          <w:lang w:val="fr-CA"/>
        </w:rPr>
        <w:t>antes</w:t>
      </w:r>
      <w:r w:rsidR="00C90052" w:rsidRPr="00AF5B6D">
        <w:rPr>
          <w:rFonts w:eastAsia="Malgun Gothic"/>
          <w:bCs/>
          <w:kern w:val="22"/>
          <w:szCs w:val="22"/>
          <w:lang w:val="fr-CA"/>
        </w:rPr>
        <w:t>;</w:t>
      </w:r>
    </w:p>
    <w:p w:rsidR="00C90052" w:rsidRPr="00AF5B6D" w:rsidRDefault="007A2772" w:rsidP="007B3E88">
      <w:pPr>
        <w:numPr>
          <w:ilvl w:val="0"/>
          <w:numId w:val="94"/>
        </w:numPr>
        <w:suppressLineNumbers/>
        <w:suppressAutoHyphens/>
        <w:kinsoku w:val="0"/>
        <w:overflowPunct w:val="0"/>
        <w:autoSpaceDE w:val="0"/>
        <w:autoSpaceDN w:val="0"/>
        <w:spacing w:before="120" w:after="120"/>
        <w:ind w:left="0" w:firstLine="720"/>
        <w:rPr>
          <w:rFonts w:eastAsia="Malgun Gothic"/>
          <w:bCs/>
          <w:kern w:val="22"/>
          <w:szCs w:val="22"/>
          <w:lang w:val="fr-CA"/>
        </w:rPr>
      </w:pPr>
      <w:r w:rsidRPr="00AF5B6D">
        <w:rPr>
          <w:rFonts w:eastAsia="Malgun Gothic"/>
          <w:bCs/>
          <w:kern w:val="22"/>
          <w:szCs w:val="22"/>
          <w:lang w:val="fr-CA"/>
        </w:rPr>
        <w:t xml:space="preserve">Encourager et appuyer d’excellentes habiletés sociales et de communication chez les gestionnaires et les praticiens des aires protégées marines et autres </w:t>
      </w:r>
      <w:r w:rsidR="00FC1EA0" w:rsidRPr="00AF5B6D">
        <w:rPr>
          <w:rFonts w:eastAsia="Malgun Gothic"/>
          <w:bCs/>
          <w:kern w:val="22"/>
          <w:szCs w:val="22"/>
          <w:lang w:val="fr-CA"/>
        </w:rPr>
        <w:t>mesures de conservation efficaces</w:t>
      </w:r>
      <w:r w:rsidRPr="00AF5B6D">
        <w:rPr>
          <w:rFonts w:eastAsia="Malgun Gothic"/>
          <w:bCs/>
          <w:kern w:val="22"/>
          <w:szCs w:val="22"/>
          <w:lang w:val="fr-CA"/>
        </w:rPr>
        <w:t xml:space="preserve"> par zone</w:t>
      </w:r>
      <w:r w:rsidR="00F40894" w:rsidRPr="00AF5B6D">
        <w:rPr>
          <w:rFonts w:eastAsia="Malgun Gothic"/>
          <w:snapToGrid w:val="0"/>
          <w:color w:val="000000"/>
          <w:kern w:val="22"/>
          <w:szCs w:val="22"/>
          <w:lang w:val="fr-CA"/>
        </w:rPr>
        <w:t>.</w:t>
      </w:r>
    </w:p>
    <w:p w:rsidR="00C90052" w:rsidRPr="00AF5B6D" w:rsidRDefault="00564E6F" w:rsidP="007B3E88">
      <w:pPr>
        <w:keepNext/>
        <w:suppressLineNumbers/>
        <w:tabs>
          <w:tab w:val="left" w:pos="360"/>
        </w:tabs>
        <w:suppressAutoHyphens/>
        <w:kinsoku w:val="0"/>
        <w:overflowPunct w:val="0"/>
        <w:autoSpaceDE w:val="0"/>
        <w:autoSpaceDN w:val="0"/>
        <w:spacing w:before="120" w:after="120"/>
        <w:jc w:val="center"/>
        <w:rPr>
          <w:i/>
          <w:kern w:val="22"/>
          <w:szCs w:val="22"/>
          <w:lang w:val="fr-CA"/>
        </w:rPr>
      </w:pPr>
      <w:r w:rsidRPr="00AF5B6D">
        <w:rPr>
          <w:i/>
          <w:kern w:val="22"/>
          <w:szCs w:val="22"/>
          <w:lang w:val="fr-CA" w:eastAsia="ko-KR"/>
        </w:rPr>
        <w:t>3.</w:t>
      </w:r>
      <w:r w:rsidRPr="00AF5B6D">
        <w:rPr>
          <w:i/>
          <w:kern w:val="22"/>
          <w:szCs w:val="22"/>
          <w:lang w:val="fr-CA" w:eastAsia="ko-KR"/>
        </w:rPr>
        <w:tab/>
      </w:r>
      <w:r w:rsidR="007A2772" w:rsidRPr="00AF5B6D">
        <w:rPr>
          <w:i/>
          <w:kern w:val="22"/>
          <w:szCs w:val="22"/>
          <w:lang w:val="fr-CA" w:eastAsia="ko-KR"/>
        </w:rPr>
        <w:t>Gouvernance, suivi et application</w:t>
      </w:r>
    </w:p>
    <w:p w:rsidR="00C90052" w:rsidRPr="00AF5B6D" w:rsidRDefault="007A2772" w:rsidP="007A2772">
      <w:pPr>
        <w:pStyle w:val="Paragraphedeliste"/>
        <w:numPr>
          <w:ilvl w:val="0"/>
          <w:numId w:val="95"/>
        </w:numPr>
        <w:suppressLineNumbers/>
        <w:suppressAutoHyphens/>
        <w:kinsoku w:val="0"/>
        <w:overflowPunct w:val="0"/>
        <w:autoSpaceDE w:val="0"/>
        <w:autoSpaceDN w:val="0"/>
        <w:spacing w:before="120" w:after="120"/>
        <w:ind w:left="0" w:firstLine="720"/>
        <w:contextualSpacing w:val="0"/>
        <w:rPr>
          <w:bCs/>
          <w:kern w:val="22"/>
          <w:szCs w:val="22"/>
          <w:lang w:val="fr-CA"/>
        </w:rPr>
      </w:pPr>
      <w:r w:rsidRPr="00AF5B6D">
        <w:rPr>
          <w:bCs/>
          <w:kern w:val="22"/>
          <w:szCs w:val="22"/>
          <w:lang w:val="fr-CA"/>
        </w:rPr>
        <w:t>Cerner les politiques et les mesures de gestion en place, y compris à l’</w:t>
      </w:r>
      <w:r w:rsidR="004A1DC4" w:rsidRPr="00AF5B6D">
        <w:rPr>
          <w:bCs/>
          <w:kern w:val="22"/>
          <w:szCs w:val="22"/>
          <w:lang w:val="fr-CA"/>
        </w:rPr>
        <w:t>extérieur des aires p</w:t>
      </w:r>
      <w:r w:rsidR="00FC2780">
        <w:rPr>
          <w:bCs/>
          <w:kern w:val="22"/>
          <w:szCs w:val="22"/>
          <w:lang w:val="fr-CA"/>
        </w:rPr>
        <w:t xml:space="preserve">rotégées et </w:t>
      </w:r>
      <w:r w:rsidRPr="00AF5B6D">
        <w:rPr>
          <w:bCs/>
          <w:kern w:val="22"/>
          <w:szCs w:val="22"/>
          <w:lang w:val="fr-CA"/>
        </w:rPr>
        <w:t>conservées</w:t>
      </w:r>
      <w:r w:rsidR="00C90052" w:rsidRPr="00AF5B6D">
        <w:rPr>
          <w:bCs/>
          <w:kern w:val="22"/>
          <w:szCs w:val="22"/>
          <w:lang w:val="fr-CA"/>
        </w:rPr>
        <w:t>;</w:t>
      </w:r>
    </w:p>
    <w:p w:rsidR="00C90052" w:rsidRPr="00AF5B6D" w:rsidRDefault="004A1DC4" w:rsidP="007B3E88">
      <w:pPr>
        <w:pStyle w:val="Paragraphedeliste"/>
        <w:numPr>
          <w:ilvl w:val="0"/>
          <w:numId w:val="95"/>
        </w:numPr>
        <w:suppressLineNumbers/>
        <w:suppressAutoHyphens/>
        <w:kinsoku w:val="0"/>
        <w:overflowPunct w:val="0"/>
        <w:autoSpaceDE w:val="0"/>
        <w:autoSpaceDN w:val="0"/>
        <w:spacing w:before="120" w:after="120"/>
        <w:ind w:left="0" w:firstLine="720"/>
        <w:contextualSpacing w:val="0"/>
        <w:rPr>
          <w:bCs/>
          <w:kern w:val="22"/>
          <w:szCs w:val="22"/>
          <w:lang w:val="fr-CA"/>
        </w:rPr>
      </w:pPr>
      <w:r w:rsidRPr="00AF5B6D">
        <w:rPr>
          <w:bCs/>
          <w:kern w:val="22"/>
          <w:szCs w:val="22"/>
          <w:lang w:val="fr-CA"/>
        </w:rPr>
        <w:t>Utiliser plus efficacement les nouveaux développements dans les données à source ouverte (p. ex., information par satellite</w:t>
      </w:r>
      <w:r w:rsidR="00C90052" w:rsidRPr="00AF5B6D">
        <w:rPr>
          <w:bCs/>
          <w:kern w:val="22"/>
          <w:szCs w:val="22"/>
          <w:lang w:val="fr-CA"/>
        </w:rPr>
        <w:t>);</w:t>
      </w:r>
    </w:p>
    <w:p w:rsidR="00C90052" w:rsidRPr="00AF5B6D" w:rsidRDefault="00FC2780" w:rsidP="007B3E88">
      <w:pPr>
        <w:pStyle w:val="Paragraphedeliste"/>
        <w:numPr>
          <w:ilvl w:val="0"/>
          <w:numId w:val="95"/>
        </w:numPr>
        <w:suppressLineNumbers/>
        <w:suppressAutoHyphens/>
        <w:kinsoku w:val="0"/>
        <w:overflowPunct w:val="0"/>
        <w:autoSpaceDE w:val="0"/>
        <w:autoSpaceDN w:val="0"/>
        <w:spacing w:before="120" w:after="120"/>
        <w:ind w:left="0" w:firstLine="720"/>
        <w:contextualSpacing w:val="0"/>
        <w:rPr>
          <w:bCs/>
          <w:kern w:val="22"/>
          <w:szCs w:val="22"/>
          <w:lang w:val="fr-CA"/>
        </w:rPr>
      </w:pPr>
      <w:r>
        <w:rPr>
          <w:bCs/>
          <w:kern w:val="22"/>
          <w:szCs w:val="22"/>
          <w:lang w:val="fr-CA"/>
        </w:rPr>
        <w:t>Développer</w:t>
      </w:r>
      <w:r w:rsidR="004A1DC4" w:rsidRPr="00AF5B6D">
        <w:rPr>
          <w:bCs/>
          <w:kern w:val="22"/>
          <w:szCs w:val="22"/>
          <w:lang w:val="fr-CA"/>
        </w:rPr>
        <w:t xml:space="preserve"> et/ou renforcer les mécanismes et partenariats mondiaux de suivi, afin de réduire les coûts généraux de suivi</w:t>
      </w:r>
      <w:r w:rsidR="00C90052" w:rsidRPr="00AF5B6D">
        <w:rPr>
          <w:bCs/>
          <w:kern w:val="22"/>
          <w:szCs w:val="22"/>
          <w:lang w:val="fr-CA"/>
        </w:rPr>
        <w:t>;</w:t>
      </w:r>
    </w:p>
    <w:p w:rsidR="00C90052" w:rsidRPr="00AF5B6D" w:rsidRDefault="00FC2780" w:rsidP="007B3E88">
      <w:pPr>
        <w:pStyle w:val="Paragraphedeliste"/>
        <w:numPr>
          <w:ilvl w:val="0"/>
          <w:numId w:val="95"/>
        </w:numPr>
        <w:suppressLineNumbers/>
        <w:suppressAutoHyphens/>
        <w:kinsoku w:val="0"/>
        <w:overflowPunct w:val="0"/>
        <w:autoSpaceDE w:val="0"/>
        <w:autoSpaceDN w:val="0"/>
        <w:spacing w:before="120" w:after="120"/>
        <w:ind w:left="0" w:firstLine="720"/>
        <w:contextualSpacing w:val="0"/>
        <w:rPr>
          <w:bCs/>
          <w:kern w:val="22"/>
          <w:szCs w:val="22"/>
          <w:lang w:val="fr-CA"/>
        </w:rPr>
      </w:pPr>
      <w:r>
        <w:rPr>
          <w:bCs/>
          <w:kern w:val="22"/>
          <w:szCs w:val="22"/>
          <w:lang w:val="fr-CA"/>
        </w:rPr>
        <w:t>Faire participer</w:t>
      </w:r>
      <w:r w:rsidR="004A1DC4" w:rsidRPr="00AF5B6D">
        <w:rPr>
          <w:bCs/>
          <w:kern w:val="22"/>
          <w:szCs w:val="22"/>
          <w:lang w:val="fr-CA"/>
        </w:rPr>
        <w:t xml:space="preserve"> les peuples autochtones et les </w:t>
      </w:r>
      <w:r>
        <w:rPr>
          <w:bCs/>
          <w:kern w:val="22"/>
          <w:szCs w:val="22"/>
          <w:lang w:val="fr-CA"/>
        </w:rPr>
        <w:t>communautés locales, ainsi que l</w:t>
      </w:r>
      <w:r w:rsidR="004A1DC4" w:rsidRPr="00AF5B6D">
        <w:rPr>
          <w:bCs/>
          <w:kern w:val="22"/>
          <w:szCs w:val="22"/>
          <w:lang w:val="fr-CA"/>
        </w:rPr>
        <w:t>es dirigeants locaux respectés</w:t>
      </w:r>
      <w:r w:rsidR="004C4F54">
        <w:rPr>
          <w:bCs/>
          <w:kern w:val="22"/>
          <w:szCs w:val="22"/>
          <w:lang w:val="fr-CA"/>
        </w:rPr>
        <w:t>,</w:t>
      </w:r>
      <w:r w:rsidR="000F14FC" w:rsidRPr="00AF5B6D">
        <w:rPr>
          <w:bCs/>
          <w:kern w:val="22"/>
          <w:szCs w:val="22"/>
          <w:lang w:val="fr-CA"/>
        </w:rPr>
        <w:t xml:space="preserve"> </w:t>
      </w:r>
      <w:r>
        <w:rPr>
          <w:bCs/>
          <w:kern w:val="22"/>
          <w:szCs w:val="22"/>
          <w:lang w:val="fr-CA"/>
        </w:rPr>
        <w:t xml:space="preserve">aux </w:t>
      </w:r>
      <w:r w:rsidR="000F14FC" w:rsidRPr="00AF5B6D">
        <w:rPr>
          <w:bCs/>
          <w:kern w:val="22"/>
          <w:szCs w:val="22"/>
          <w:lang w:val="fr-CA"/>
        </w:rPr>
        <w:t xml:space="preserve">suivis et </w:t>
      </w:r>
      <w:r>
        <w:rPr>
          <w:bCs/>
          <w:kern w:val="22"/>
          <w:szCs w:val="22"/>
          <w:lang w:val="fr-CA"/>
        </w:rPr>
        <w:t xml:space="preserve">à </w:t>
      </w:r>
      <w:r w:rsidR="000F14FC" w:rsidRPr="00AF5B6D">
        <w:rPr>
          <w:bCs/>
          <w:kern w:val="22"/>
          <w:szCs w:val="22"/>
          <w:lang w:val="fr-CA"/>
        </w:rPr>
        <w:t xml:space="preserve">l’application, et renforcer les capacités des communautés locales </w:t>
      </w:r>
      <w:r>
        <w:rPr>
          <w:bCs/>
          <w:kern w:val="22"/>
          <w:szCs w:val="22"/>
          <w:lang w:val="fr-CA"/>
        </w:rPr>
        <w:t>à effectuer</w:t>
      </w:r>
      <w:r w:rsidR="000F14FC" w:rsidRPr="00AF5B6D">
        <w:rPr>
          <w:bCs/>
          <w:kern w:val="22"/>
          <w:szCs w:val="22"/>
          <w:lang w:val="fr-CA"/>
        </w:rPr>
        <w:t xml:space="preserve"> des suivis</w:t>
      </w:r>
      <w:r w:rsidR="00C90052" w:rsidRPr="00AF5B6D">
        <w:rPr>
          <w:bCs/>
          <w:kern w:val="22"/>
          <w:szCs w:val="22"/>
          <w:lang w:val="fr-CA"/>
        </w:rPr>
        <w:t>;</w:t>
      </w:r>
    </w:p>
    <w:p w:rsidR="00C90052" w:rsidRPr="00AF5B6D" w:rsidRDefault="000F14FC" w:rsidP="007B3E88">
      <w:pPr>
        <w:pStyle w:val="Paragraphedeliste"/>
        <w:numPr>
          <w:ilvl w:val="0"/>
          <w:numId w:val="95"/>
        </w:numPr>
        <w:suppressLineNumbers/>
        <w:suppressAutoHyphens/>
        <w:kinsoku w:val="0"/>
        <w:overflowPunct w:val="0"/>
        <w:autoSpaceDE w:val="0"/>
        <w:autoSpaceDN w:val="0"/>
        <w:spacing w:before="120" w:after="120"/>
        <w:ind w:left="0" w:firstLine="720"/>
        <w:contextualSpacing w:val="0"/>
        <w:rPr>
          <w:bCs/>
          <w:kern w:val="22"/>
          <w:szCs w:val="22"/>
          <w:lang w:val="fr-CA"/>
        </w:rPr>
      </w:pPr>
      <w:r w:rsidRPr="00AF5B6D">
        <w:rPr>
          <w:kern w:val="22"/>
          <w:szCs w:val="22"/>
          <w:lang w:val="fr-CA"/>
        </w:rPr>
        <w:t>Renfor</w:t>
      </w:r>
      <w:r w:rsidR="00FC2780">
        <w:rPr>
          <w:kern w:val="22"/>
          <w:szCs w:val="22"/>
          <w:lang w:val="fr-CA"/>
        </w:rPr>
        <w:t>cer les</w:t>
      </w:r>
      <w:r w:rsidR="0062342C" w:rsidRPr="00AF5B6D">
        <w:rPr>
          <w:kern w:val="22"/>
          <w:szCs w:val="22"/>
          <w:lang w:val="fr-CA"/>
        </w:rPr>
        <w:t xml:space="preserve"> capacités des scientifiques </w:t>
      </w:r>
      <w:r w:rsidR="00FC2780">
        <w:rPr>
          <w:kern w:val="22"/>
          <w:szCs w:val="22"/>
          <w:lang w:val="fr-CA"/>
        </w:rPr>
        <w:t>à utiliser les</w:t>
      </w:r>
      <w:r w:rsidR="0062342C" w:rsidRPr="00AF5B6D">
        <w:rPr>
          <w:kern w:val="22"/>
          <w:szCs w:val="22"/>
          <w:lang w:val="fr-CA"/>
        </w:rPr>
        <w:t xml:space="preserve"> connaissances autochtones et locales en respectant les contextes culturels</w:t>
      </w:r>
      <w:r w:rsidR="00C90052" w:rsidRPr="00AF5B6D">
        <w:rPr>
          <w:kern w:val="22"/>
          <w:szCs w:val="22"/>
          <w:lang w:val="fr-CA"/>
        </w:rPr>
        <w:t>;</w:t>
      </w:r>
    </w:p>
    <w:p w:rsidR="00C90052" w:rsidRPr="00AF5B6D" w:rsidRDefault="0062342C" w:rsidP="007B3E88">
      <w:pPr>
        <w:pStyle w:val="Paragraphedeliste"/>
        <w:numPr>
          <w:ilvl w:val="0"/>
          <w:numId w:val="95"/>
        </w:numPr>
        <w:suppressLineNumbers/>
        <w:suppressAutoHyphens/>
        <w:kinsoku w:val="0"/>
        <w:overflowPunct w:val="0"/>
        <w:autoSpaceDE w:val="0"/>
        <w:autoSpaceDN w:val="0"/>
        <w:spacing w:before="120" w:after="120"/>
        <w:ind w:left="0" w:firstLine="720"/>
        <w:contextualSpacing w:val="0"/>
        <w:rPr>
          <w:bCs/>
          <w:kern w:val="22"/>
          <w:szCs w:val="22"/>
          <w:lang w:val="fr-CA"/>
        </w:rPr>
      </w:pPr>
      <w:r w:rsidRPr="00AF5B6D">
        <w:rPr>
          <w:bCs/>
          <w:kern w:val="22"/>
          <w:szCs w:val="22"/>
          <w:lang w:val="fr-CA"/>
        </w:rPr>
        <w:t>Développer les capacité</w:t>
      </w:r>
      <w:r w:rsidR="00FC2780">
        <w:rPr>
          <w:bCs/>
          <w:kern w:val="22"/>
          <w:szCs w:val="22"/>
          <w:lang w:val="fr-CA"/>
        </w:rPr>
        <w:t>s</w:t>
      </w:r>
      <w:r w:rsidRPr="00AF5B6D">
        <w:rPr>
          <w:bCs/>
          <w:kern w:val="22"/>
          <w:szCs w:val="22"/>
          <w:lang w:val="fr-CA"/>
        </w:rPr>
        <w:t xml:space="preserve"> des gestionnaires et des praticiens</w:t>
      </w:r>
      <w:r w:rsidR="00C90052" w:rsidRPr="00AF5B6D">
        <w:rPr>
          <w:bCs/>
          <w:kern w:val="22"/>
          <w:szCs w:val="22"/>
          <w:lang w:val="fr-CA"/>
        </w:rPr>
        <w:t>;</w:t>
      </w:r>
    </w:p>
    <w:p w:rsidR="00C90052" w:rsidRPr="00AF5B6D" w:rsidRDefault="0062342C" w:rsidP="007B3E88">
      <w:pPr>
        <w:pStyle w:val="Paragraphedeliste"/>
        <w:numPr>
          <w:ilvl w:val="0"/>
          <w:numId w:val="95"/>
        </w:numPr>
        <w:suppressLineNumbers/>
        <w:suppressAutoHyphens/>
        <w:kinsoku w:val="0"/>
        <w:overflowPunct w:val="0"/>
        <w:autoSpaceDE w:val="0"/>
        <w:autoSpaceDN w:val="0"/>
        <w:spacing w:before="120" w:after="120"/>
        <w:ind w:left="0" w:firstLine="720"/>
        <w:contextualSpacing w:val="0"/>
        <w:rPr>
          <w:bCs/>
          <w:kern w:val="22"/>
          <w:szCs w:val="22"/>
          <w:lang w:val="fr-CA"/>
        </w:rPr>
      </w:pPr>
      <w:r w:rsidRPr="00AF5B6D">
        <w:rPr>
          <w:bCs/>
          <w:kern w:val="22"/>
          <w:szCs w:val="22"/>
          <w:lang w:val="fr-CA"/>
        </w:rPr>
        <w:t>Faciliter la collaboration, la communication et les échanges de meilleures pratiques entre les gestionnaires et les praticiens</w:t>
      </w:r>
      <w:r w:rsidR="00C90052" w:rsidRPr="00AF5B6D">
        <w:rPr>
          <w:bCs/>
          <w:kern w:val="22"/>
          <w:szCs w:val="22"/>
          <w:lang w:val="fr-CA"/>
        </w:rPr>
        <w:t>;</w:t>
      </w:r>
    </w:p>
    <w:p w:rsidR="00C90052" w:rsidRPr="00AF5B6D" w:rsidRDefault="0062342C" w:rsidP="007B3E88">
      <w:pPr>
        <w:pStyle w:val="Paragraphedeliste"/>
        <w:numPr>
          <w:ilvl w:val="0"/>
          <w:numId w:val="95"/>
        </w:numPr>
        <w:suppressLineNumbers/>
        <w:suppressAutoHyphens/>
        <w:kinsoku w:val="0"/>
        <w:overflowPunct w:val="0"/>
        <w:autoSpaceDE w:val="0"/>
        <w:autoSpaceDN w:val="0"/>
        <w:spacing w:before="120" w:after="120"/>
        <w:ind w:left="0" w:firstLine="720"/>
        <w:contextualSpacing w:val="0"/>
        <w:rPr>
          <w:bCs/>
          <w:kern w:val="22"/>
          <w:szCs w:val="22"/>
          <w:lang w:val="fr-CA"/>
        </w:rPr>
      </w:pPr>
      <w:r w:rsidRPr="00AF5B6D">
        <w:rPr>
          <w:bCs/>
          <w:kern w:val="22"/>
          <w:szCs w:val="22"/>
          <w:lang w:val="fr-CA"/>
        </w:rPr>
        <w:t xml:space="preserve">Repérer les lacunes et les obstacles à une gouvernance efficace et </w:t>
      </w:r>
      <w:r w:rsidR="00A93F93">
        <w:rPr>
          <w:bCs/>
          <w:kern w:val="22"/>
          <w:szCs w:val="22"/>
          <w:lang w:val="fr-CA"/>
        </w:rPr>
        <w:t xml:space="preserve">à </w:t>
      </w:r>
      <w:r w:rsidRPr="00AF5B6D">
        <w:rPr>
          <w:bCs/>
          <w:kern w:val="22"/>
          <w:szCs w:val="22"/>
          <w:lang w:val="fr-CA"/>
        </w:rPr>
        <w:t>la conformité</w:t>
      </w:r>
      <w:r w:rsidR="00C90052" w:rsidRPr="00AF5B6D">
        <w:rPr>
          <w:bCs/>
          <w:kern w:val="22"/>
          <w:szCs w:val="22"/>
          <w:lang w:val="fr-CA"/>
        </w:rPr>
        <w:t>;</w:t>
      </w:r>
    </w:p>
    <w:p w:rsidR="00C90052" w:rsidRPr="00AF5B6D" w:rsidRDefault="0062342C" w:rsidP="007B3E88">
      <w:pPr>
        <w:pStyle w:val="Paragraphedeliste"/>
        <w:numPr>
          <w:ilvl w:val="0"/>
          <w:numId w:val="95"/>
        </w:numPr>
        <w:suppressLineNumbers/>
        <w:suppressAutoHyphens/>
        <w:kinsoku w:val="0"/>
        <w:overflowPunct w:val="0"/>
        <w:autoSpaceDE w:val="0"/>
        <w:autoSpaceDN w:val="0"/>
        <w:spacing w:before="120" w:after="120"/>
        <w:ind w:left="0" w:firstLine="720"/>
        <w:contextualSpacing w:val="0"/>
        <w:rPr>
          <w:bCs/>
          <w:kern w:val="22"/>
          <w:szCs w:val="22"/>
          <w:lang w:val="fr-CA"/>
        </w:rPr>
      </w:pPr>
      <w:r w:rsidRPr="00AF5B6D">
        <w:rPr>
          <w:bCs/>
          <w:kern w:val="22"/>
          <w:szCs w:val="22"/>
          <w:lang w:val="fr-CA"/>
        </w:rPr>
        <w:t>Utiliser les normes et les indicateurs existants, et améliorer la visibilité et l’adoption de diverses normes mondiales et régionales</w:t>
      </w:r>
      <w:r w:rsidR="00A93F93">
        <w:rPr>
          <w:bCs/>
          <w:kern w:val="22"/>
          <w:szCs w:val="22"/>
          <w:lang w:val="fr-CA"/>
        </w:rPr>
        <w:t>,</w:t>
      </w:r>
      <w:r w:rsidRPr="00AF5B6D">
        <w:rPr>
          <w:bCs/>
          <w:kern w:val="22"/>
          <w:szCs w:val="22"/>
          <w:lang w:val="fr-CA"/>
        </w:rPr>
        <w:t xml:space="preserve"> afin de faciliter l’utilisation de méthodes communes à différentes échelles</w:t>
      </w:r>
      <w:r w:rsidR="00F40894" w:rsidRPr="00AF5B6D">
        <w:rPr>
          <w:bCs/>
          <w:kern w:val="22"/>
          <w:szCs w:val="22"/>
          <w:lang w:val="fr-CA"/>
        </w:rPr>
        <w:t>;</w:t>
      </w:r>
    </w:p>
    <w:p w:rsidR="00C90052" w:rsidRPr="00AF5B6D" w:rsidRDefault="0062342C" w:rsidP="007B3E88">
      <w:pPr>
        <w:pStyle w:val="Paragraphedeliste"/>
        <w:numPr>
          <w:ilvl w:val="0"/>
          <w:numId w:val="95"/>
        </w:numPr>
        <w:suppressLineNumbers/>
        <w:suppressAutoHyphens/>
        <w:kinsoku w:val="0"/>
        <w:overflowPunct w:val="0"/>
        <w:autoSpaceDE w:val="0"/>
        <w:autoSpaceDN w:val="0"/>
        <w:spacing w:before="120" w:after="120"/>
        <w:ind w:left="0" w:firstLine="720"/>
        <w:contextualSpacing w:val="0"/>
        <w:rPr>
          <w:bCs/>
          <w:kern w:val="22"/>
          <w:szCs w:val="22"/>
          <w:lang w:val="fr-CA"/>
        </w:rPr>
      </w:pPr>
      <w:r w:rsidRPr="00AF5B6D">
        <w:rPr>
          <w:bCs/>
          <w:kern w:val="22"/>
          <w:szCs w:val="22"/>
          <w:lang w:val="fr-CA"/>
        </w:rPr>
        <w:t>Reconnaître et appuyer le rôle des peuples autochtones et des communautés locales</w:t>
      </w:r>
      <w:r w:rsidR="001667B8" w:rsidRPr="00AF5B6D">
        <w:rPr>
          <w:bCs/>
          <w:kern w:val="22"/>
          <w:szCs w:val="22"/>
          <w:lang w:val="fr-CA"/>
        </w:rPr>
        <w:t xml:space="preserve"> en matière de gouvernance, de suivi et d’application</w:t>
      </w:r>
      <w:r w:rsidR="00F40894" w:rsidRPr="00AF5B6D">
        <w:rPr>
          <w:bCs/>
          <w:kern w:val="22"/>
          <w:szCs w:val="22"/>
          <w:lang w:val="fr-CA"/>
        </w:rPr>
        <w:t>.</w:t>
      </w:r>
    </w:p>
    <w:p w:rsidR="00C90052" w:rsidRPr="00AF5B6D" w:rsidRDefault="001667B8" w:rsidP="007B3E88">
      <w:pPr>
        <w:pStyle w:val="Paragraphedeliste"/>
        <w:keepNext/>
        <w:numPr>
          <w:ilvl w:val="1"/>
          <w:numId w:val="39"/>
        </w:numPr>
        <w:suppressLineNumbers/>
        <w:suppressAutoHyphens/>
        <w:kinsoku w:val="0"/>
        <w:overflowPunct w:val="0"/>
        <w:autoSpaceDE w:val="0"/>
        <w:autoSpaceDN w:val="0"/>
        <w:spacing w:before="120" w:after="120"/>
        <w:ind w:left="1440" w:hanging="720"/>
        <w:contextualSpacing w:val="0"/>
        <w:jc w:val="left"/>
        <w:rPr>
          <w:i/>
          <w:kern w:val="22"/>
          <w:szCs w:val="22"/>
          <w:lang w:val="fr-CA"/>
        </w:rPr>
      </w:pPr>
      <w:r w:rsidRPr="00AF5B6D">
        <w:rPr>
          <w:i/>
          <w:kern w:val="22"/>
          <w:szCs w:val="22"/>
          <w:lang w:val="fr-CA" w:eastAsia="ko-KR"/>
        </w:rPr>
        <w:t>Évaluation et communication des progrès dans la réalisation des éléments qualitatifs de l’Objectif 11 d’Aichi relatif à la diversité biologique</w:t>
      </w:r>
    </w:p>
    <w:p w:rsidR="00C90052" w:rsidRPr="00AF5B6D" w:rsidRDefault="001667B8" w:rsidP="007B3E88">
      <w:pPr>
        <w:keepNext/>
        <w:suppressLineNumbers/>
        <w:suppressAutoHyphens/>
        <w:kinsoku w:val="0"/>
        <w:overflowPunct w:val="0"/>
        <w:autoSpaceDE w:val="0"/>
        <w:autoSpaceDN w:val="0"/>
        <w:spacing w:before="120" w:after="120"/>
        <w:jc w:val="left"/>
        <w:rPr>
          <w:i/>
          <w:iCs/>
          <w:kern w:val="22"/>
          <w:szCs w:val="22"/>
          <w:lang w:val="fr-CA"/>
        </w:rPr>
      </w:pPr>
      <w:r w:rsidRPr="00AF5B6D">
        <w:rPr>
          <w:i/>
          <w:iCs/>
          <w:kern w:val="22"/>
          <w:szCs w:val="22"/>
          <w:lang w:val="fr-CA"/>
        </w:rPr>
        <w:t>Évaluation</w:t>
      </w:r>
    </w:p>
    <w:p w:rsidR="00C90052" w:rsidRPr="00AF5B6D" w:rsidRDefault="001667B8" w:rsidP="001667B8">
      <w:pPr>
        <w:pStyle w:val="Paragraphedeliste"/>
        <w:numPr>
          <w:ilvl w:val="0"/>
          <w:numId w:val="96"/>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rFonts w:eastAsia="Malgun Gothic"/>
          <w:bCs/>
          <w:kern w:val="22"/>
          <w:szCs w:val="22"/>
          <w:lang w:val="fr-CA"/>
        </w:rPr>
        <w:t>Veiller à ce que les bonnes conditions soient en place pour favoriser l’évaluation et l’analyse (p. ex., fondements juridiques, politiques, objectifs de conservation et expertise</w:t>
      </w:r>
      <w:r w:rsidR="00C90052" w:rsidRPr="00AF5B6D">
        <w:rPr>
          <w:rFonts w:eastAsia="Malgun Gothic"/>
          <w:kern w:val="22"/>
          <w:szCs w:val="22"/>
          <w:lang w:val="fr-CA"/>
        </w:rPr>
        <w:t>);</w:t>
      </w:r>
    </w:p>
    <w:p w:rsidR="00C90052" w:rsidRPr="00AF5B6D" w:rsidRDefault="001667B8" w:rsidP="007B3E88">
      <w:pPr>
        <w:numPr>
          <w:ilvl w:val="0"/>
          <w:numId w:val="96"/>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rFonts w:eastAsia="Malgun Gothic"/>
          <w:kern w:val="22"/>
          <w:szCs w:val="22"/>
          <w:lang w:val="fr-CA"/>
        </w:rPr>
        <w:t>Développer une compréhension commune de ce en quoi consiste l’efficacité chez les groupes de parties prenantes, conformément aux objectifs des aires protégées</w:t>
      </w:r>
      <w:r w:rsidR="00A93F93">
        <w:rPr>
          <w:rFonts w:eastAsia="Malgun Gothic"/>
          <w:kern w:val="22"/>
          <w:szCs w:val="22"/>
          <w:lang w:val="fr-CA"/>
        </w:rPr>
        <w:t xml:space="preserve"> et </w:t>
      </w:r>
      <w:r w:rsidRPr="00AF5B6D">
        <w:rPr>
          <w:rFonts w:eastAsia="Malgun Gothic"/>
          <w:kern w:val="22"/>
          <w:szCs w:val="22"/>
          <w:lang w:val="fr-CA"/>
        </w:rPr>
        <w:t>conservées;</w:t>
      </w:r>
    </w:p>
    <w:p w:rsidR="00C90052" w:rsidRPr="00AF5B6D" w:rsidRDefault="001667B8" w:rsidP="007B3E88">
      <w:pPr>
        <w:numPr>
          <w:ilvl w:val="0"/>
          <w:numId w:val="96"/>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kern w:val="22"/>
          <w:szCs w:val="22"/>
          <w:lang w:val="fr-CA"/>
        </w:rPr>
        <w:t>Élaborer des indicateurs clairs, fiables et mesurables pour évaluer l’effica</w:t>
      </w:r>
      <w:r w:rsidR="00A93F93">
        <w:rPr>
          <w:kern w:val="22"/>
          <w:szCs w:val="22"/>
          <w:lang w:val="fr-CA"/>
        </w:rPr>
        <w:t xml:space="preserve">cité des aires protégées et </w:t>
      </w:r>
      <w:r w:rsidRPr="00AF5B6D">
        <w:rPr>
          <w:kern w:val="22"/>
          <w:szCs w:val="22"/>
          <w:lang w:val="fr-CA"/>
        </w:rPr>
        <w:t>conservées</w:t>
      </w:r>
      <w:r w:rsidR="006B3D21" w:rsidRPr="00AF5B6D">
        <w:rPr>
          <w:kern w:val="22"/>
          <w:szCs w:val="22"/>
          <w:lang w:val="fr-CA"/>
        </w:rPr>
        <w:t xml:space="preserve"> à atteindre leurs objectifs</w:t>
      </w:r>
      <w:r w:rsidR="00C90052" w:rsidRPr="00AF5B6D">
        <w:rPr>
          <w:kern w:val="22"/>
          <w:szCs w:val="22"/>
          <w:lang w:val="fr-CA"/>
        </w:rPr>
        <w:t>;</w:t>
      </w:r>
    </w:p>
    <w:p w:rsidR="00C90052" w:rsidRPr="00AF5B6D" w:rsidRDefault="006B3D21" w:rsidP="007B3E88">
      <w:pPr>
        <w:numPr>
          <w:ilvl w:val="0"/>
          <w:numId w:val="96"/>
        </w:numPr>
        <w:suppressLineNumbers/>
        <w:suppressAutoHyphens/>
        <w:kinsoku w:val="0"/>
        <w:overflowPunct w:val="0"/>
        <w:autoSpaceDE w:val="0"/>
        <w:autoSpaceDN w:val="0"/>
        <w:spacing w:before="120" w:after="120"/>
        <w:ind w:left="0" w:firstLine="720"/>
        <w:rPr>
          <w:bCs/>
          <w:kern w:val="22"/>
          <w:szCs w:val="22"/>
          <w:lang w:val="fr-CA"/>
        </w:rPr>
      </w:pPr>
      <w:r w:rsidRPr="00AF5B6D">
        <w:rPr>
          <w:bCs/>
          <w:kern w:val="22"/>
          <w:szCs w:val="22"/>
          <w:lang w:val="fr-CA"/>
        </w:rPr>
        <w:t>Élaborer des méthodes normalisées d’évaluer tous les mécanismes et procédés</w:t>
      </w:r>
      <w:r w:rsidR="00C90052" w:rsidRPr="00AF5B6D">
        <w:rPr>
          <w:bCs/>
          <w:kern w:val="22"/>
          <w:szCs w:val="22"/>
          <w:lang w:val="fr-CA"/>
        </w:rPr>
        <w:t>;</w:t>
      </w:r>
    </w:p>
    <w:p w:rsidR="00C90052" w:rsidRPr="00AF5B6D" w:rsidRDefault="00A93F93" w:rsidP="007B3E88">
      <w:pPr>
        <w:numPr>
          <w:ilvl w:val="0"/>
          <w:numId w:val="96"/>
        </w:numPr>
        <w:suppressLineNumbers/>
        <w:suppressAutoHyphens/>
        <w:kinsoku w:val="0"/>
        <w:overflowPunct w:val="0"/>
        <w:autoSpaceDE w:val="0"/>
        <w:autoSpaceDN w:val="0"/>
        <w:spacing w:before="120" w:after="120"/>
        <w:ind w:left="0" w:firstLine="720"/>
        <w:rPr>
          <w:bCs/>
          <w:kern w:val="22"/>
          <w:szCs w:val="22"/>
          <w:lang w:val="fr-CA"/>
        </w:rPr>
      </w:pPr>
      <w:r>
        <w:rPr>
          <w:bCs/>
          <w:kern w:val="22"/>
          <w:szCs w:val="22"/>
          <w:lang w:val="fr-CA"/>
        </w:rPr>
        <w:lastRenderedPageBreak/>
        <w:t xml:space="preserve">Évaluer les aires protégées et </w:t>
      </w:r>
      <w:r w:rsidR="006B3D21" w:rsidRPr="00AF5B6D">
        <w:rPr>
          <w:bCs/>
          <w:kern w:val="22"/>
          <w:szCs w:val="22"/>
          <w:lang w:val="fr-CA"/>
        </w:rPr>
        <w:t>conservées à l’échelle des réseaux et individuellement</w:t>
      </w:r>
      <w:r w:rsidR="00C90052" w:rsidRPr="00AF5B6D">
        <w:rPr>
          <w:bCs/>
          <w:kern w:val="22"/>
          <w:szCs w:val="22"/>
          <w:lang w:val="fr-CA"/>
        </w:rPr>
        <w:t>;</w:t>
      </w:r>
    </w:p>
    <w:p w:rsidR="00C90052" w:rsidRPr="00AF5B6D" w:rsidRDefault="00A93F93" w:rsidP="007B3E88">
      <w:pPr>
        <w:numPr>
          <w:ilvl w:val="0"/>
          <w:numId w:val="96"/>
        </w:numPr>
        <w:suppressLineNumbers/>
        <w:suppressAutoHyphens/>
        <w:kinsoku w:val="0"/>
        <w:overflowPunct w:val="0"/>
        <w:autoSpaceDE w:val="0"/>
        <w:autoSpaceDN w:val="0"/>
        <w:spacing w:before="120" w:after="120"/>
        <w:ind w:left="0" w:firstLine="720"/>
        <w:rPr>
          <w:bCs/>
          <w:kern w:val="22"/>
          <w:szCs w:val="22"/>
          <w:lang w:val="fr-CA"/>
        </w:rPr>
      </w:pPr>
      <w:r>
        <w:rPr>
          <w:bCs/>
          <w:kern w:val="22"/>
          <w:szCs w:val="22"/>
          <w:lang w:val="fr-CA"/>
        </w:rPr>
        <w:t>Créer</w:t>
      </w:r>
      <w:r w:rsidR="006B3D21" w:rsidRPr="00AF5B6D">
        <w:rPr>
          <w:bCs/>
          <w:kern w:val="22"/>
          <w:szCs w:val="22"/>
          <w:lang w:val="fr-CA"/>
        </w:rPr>
        <w:t xml:space="preserve"> et encourager les communautés de pratique à appuyer l’évaluation</w:t>
      </w:r>
      <w:r w:rsidR="00C90052" w:rsidRPr="00AF5B6D">
        <w:rPr>
          <w:bCs/>
          <w:kern w:val="22"/>
          <w:szCs w:val="22"/>
          <w:lang w:val="fr-CA"/>
        </w:rPr>
        <w:t>;</w:t>
      </w:r>
    </w:p>
    <w:p w:rsidR="00C90052" w:rsidRPr="00AF5B6D" w:rsidRDefault="006B3D21" w:rsidP="007B3E88">
      <w:pPr>
        <w:keepNext/>
        <w:suppressLineNumbers/>
        <w:suppressAutoHyphens/>
        <w:kinsoku w:val="0"/>
        <w:overflowPunct w:val="0"/>
        <w:autoSpaceDE w:val="0"/>
        <w:autoSpaceDN w:val="0"/>
        <w:spacing w:before="120" w:after="120"/>
        <w:jc w:val="left"/>
        <w:rPr>
          <w:i/>
          <w:iCs/>
          <w:kern w:val="22"/>
          <w:szCs w:val="22"/>
          <w:lang w:val="fr-CA"/>
        </w:rPr>
      </w:pPr>
      <w:r w:rsidRPr="00AF5B6D">
        <w:rPr>
          <w:i/>
          <w:iCs/>
          <w:kern w:val="22"/>
          <w:szCs w:val="22"/>
          <w:lang w:val="fr-CA"/>
        </w:rPr>
        <w:t>Communication des données</w:t>
      </w:r>
    </w:p>
    <w:p w:rsidR="00C90052" w:rsidRPr="00AF5B6D" w:rsidRDefault="006B3D21" w:rsidP="006B3D21">
      <w:pPr>
        <w:pStyle w:val="Paragraphedeliste"/>
        <w:numPr>
          <w:ilvl w:val="0"/>
          <w:numId w:val="97"/>
        </w:numPr>
        <w:suppressLineNumbers/>
        <w:suppressAutoHyphens/>
        <w:kinsoku w:val="0"/>
        <w:overflowPunct w:val="0"/>
        <w:autoSpaceDE w:val="0"/>
        <w:autoSpaceDN w:val="0"/>
        <w:spacing w:before="120" w:after="120"/>
        <w:ind w:left="0" w:firstLine="720"/>
        <w:rPr>
          <w:bCs/>
          <w:kern w:val="22"/>
          <w:szCs w:val="22"/>
          <w:lang w:val="fr-CA"/>
        </w:rPr>
      </w:pPr>
      <w:r w:rsidRPr="00AF5B6D">
        <w:rPr>
          <w:bCs/>
          <w:kern w:val="22"/>
          <w:szCs w:val="22"/>
          <w:lang w:val="fr-CA"/>
        </w:rPr>
        <w:t>Améliorer la fréquence et la précision de la communication des données, notamment en maximisant l’utilisation des mécanismes de communication des données existants (p. ex., rapports nationaux de la CDB, rapports de l’</w:t>
      </w:r>
      <w:proofErr w:type="spellStart"/>
      <w:r w:rsidRPr="00AF5B6D">
        <w:rPr>
          <w:bCs/>
          <w:kern w:val="22"/>
          <w:szCs w:val="22"/>
          <w:lang w:val="fr-CA"/>
        </w:rPr>
        <w:t>IPBES</w:t>
      </w:r>
      <w:proofErr w:type="spellEnd"/>
      <w:r w:rsidRPr="00AF5B6D">
        <w:rPr>
          <w:bCs/>
          <w:kern w:val="22"/>
          <w:szCs w:val="22"/>
          <w:lang w:val="fr-CA"/>
        </w:rPr>
        <w:t>, rapports de l’Union européenne</w:t>
      </w:r>
      <w:r w:rsidR="00C90052" w:rsidRPr="00AF5B6D">
        <w:rPr>
          <w:bCs/>
          <w:kern w:val="22"/>
          <w:szCs w:val="22"/>
          <w:lang w:val="fr-CA"/>
        </w:rPr>
        <w:t>);</w:t>
      </w:r>
    </w:p>
    <w:p w:rsidR="00C90052" w:rsidRPr="00AF5B6D" w:rsidRDefault="00A93F93" w:rsidP="007B3E88">
      <w:pPr>
        <w:numPr>
          <w:ilvl w:val="0"/>
          <w:numId w:val="97"/>
        </w:numPr>
        <w:suppressLineNumbers/>
        <w:suppressAutoHyphens/>
        <w:kinsoku w:val="0"/>
        <w:overflowPunct w:val="0"/>
        <w:autoSpaceDE w:val="0"/>
        <w:autoSpaceDN w:val="0"/>
        <w:spacing w:before="120" w:after="120"/>
        <w:ind w:left="0" w:firstLine="720"/>
        <w:rPr>
          <w:bCs/>
          <w:kern w:val="22"/>
          <w:szCs w:val="22"/>
          <w:lang w:val="fr-CA"/>
        </w:rPr>
      </w:pPr>
      <w:r>
        <w:rPr>
          <w:bCs/>
          <w:kern w:val="22"/>
          <w:szCs w:val="22"/>
          <w:lang w:val="fr-CA"/>
        </w:rPr>
        <w:t>Accroître</w:t>
      </w:r>
      <w:r w:rsidR="006B3D21" w:rsidRPr="00AF5B6D">
        <w:rPr>
          <w:bCs/>
          <w:kern w:val="22"/>
          <w:szCs w:val="22"/>
          <w:lang w:val="fr-CA"/>
        </w:rPr>
        <w:t xml:space="preserve"> la visibilité de la communication des données afin d’encourager l’analyse par un éventail d’experts de </w:t>
      </w:r>
      <w:r>
        <w:rPr>
          <w:bCs/>
          <w:kern w:val="22"/>
          <w:szCs w:val="22"/>
          <w:lang w:val="fr-CA"/>
        </w:rPr>
        <w:t>diverses</w:t>
      </w:r>
      <w:r w:rsidR="006B3D21" w:rsidRPr="00AF5B6D">
        <w:rPr>
          <w:bCs/>
          <w:kern w:val="22"/>
          <w:szCs w:val="22"/>
          <w:lang w:val="fr-CA"/>
        </w:rPr>
        <w:t xml:space="preserve"> disciplines</w:t>
      </w:r>
      <w:r w:rsidR="00C90052" w:rsidRPr="00AF5B6D">
        <w:rPr>
          <w:bCs/>
          <w:kern w:val="22"/>
          <w:szCs w:val="22"/>
          <w:lang w:val="fr-CA"/>
        </w:rPr>
        <w:t>;</w:t>
      </w:r>
    </w:p>
    <w:p w:rsidR="00C90052" w:rsidRPr="00AF5B6D" w:rsidRDefault="00A87D49" w:rsidP="007B3E88">
      <w:pPr>
        <w:numPr>
          <w:ilvl w:val="0"/>
          <w:numId w:val="97"/>
        </w:numPr>
        <w:suppressLineNumbers/>
        <w:suppressAutoHyphens/>
        <w:kinsoku w:val="0"/>
        <w:overflowPunct w:val="0"/>
        <w:autoSpaceDE w:val="0"/>
        <w:autoSpaceDN w:val="0"/>
        <w:spacing w:before="120" w:after="120"/>
        <w:ind w:left="0" w:firstLine="720"/>
        <w:rPr>
          <w:bCs/>
          <w:kern w:val="22"/>
          <w:szCs w:val="22"/>
          <w:lang w:val="fr-CA"/>
        </w:rPr>
      </w:pPr>
      <w:r w:rsidRPr="00AF5B6D">
        <w:rPr>
          <w:bCs/>
          <w:kern w:val="22"/>
          <w:szCs w:val="22"/>
          <w:lang w:val="fr-CA"/>
        </w:rPr>
        <w:t xml:space="preserve">Veiller à ce que les gestionnaires soient </w:t>
      </w:r>
      <w:r w:rsidR="00A93F93">
        <w:rPr>
          <w:bCs/>
          <w:kern w:val="22"/>
          <w:szCs w:val="22"/>
          <w:lang w:val="fr-CA"/>
        </w:rPr>
        <w:t>bien</w:t>
      </w:r>
      <w:r w:rsidRPr="00AF5B6D">
        <w:rPr>
          <w:bCs/>
          <w:kern w:val="22"/>
          <w:szCs w:val="22"/>
          <w:lang w:val="fr-CA"/>
        </w:rPr>
        <w:t xml:space="preserve"> informés de la communication et de l’analyse des données en ayant recours aux mécanismes de rétroaction pertinents afin de facilit</w:t>
      </w:r>
      <w:r w:rsidR="004C4F54">
        <w:rPr>
          <w:bCs/>
          <w:kern w:val="22"/>
          <w:szCs w:val="22"/>
          <w:lang w:val="fr-CA"/>
        </w:rPr>
        <w:t>er</w:t>
      </w:r>
      <w:r w:rsidRPr="00AF5B6D">
        <w:rPr>
          <w:bCs/>
          <w:kern w:val="22"/>
          <w:szCs w:val="22"/>
          <w:lang w:val="fr-CA"/>
        </w:rPr>
        <w:t xml:space="preserve"> la gestion adaptative</w:t>
      </w:r>
      <w:r w:rsidR="00C90052" w:rsidRPr="00AF5B6D">
        <w:rPr>
          <w:bCs/>
          <w:kern w:val="22"/>
          <w:szCs w:val="22"/>
          <w:lang w:val="fr-CA"/>
        </w:rPr>
        <w:t>;</w:t>
      </w:r>
    </w:p>
    <w:p w:rsidR="00C90052" w:rsidRPr="00AF5B6D" w:rsidRDefault="00A87D49" w:rsidP="007B3E88">
      <w:pPr>
        <w:numPr>
          <w:ilvl w:val="0"/>
          <w:numId w:val="97"/>
        </w:numPr>
        <w:suppressLineNumbers/>
        <w:suppressAutoHyphens/>
        <w:kinsoku w:val="0"/>
        <w:overflowPunct w:val="0"/>
        <w:autoSpaceDE w:val="0"/>
        <w:autoSpaceDN w:val="0"/>
        <w:spacing w:before="120" w:after="120"/>
        <w:ind w:left="0" w:firstLine="720"/>
        <w:rPr>
          <w:bCs/>
          <w:kern w:val="22"/>
          <w:szCs w:val="22"/>
          <w:lang w:val="fr-CA"/>
        </w:rPr>
      </w:pPr>
      <w:r w:rsidRPr="00AF5B6D">
        <w:rPr>
          <w:bCs/>
          <w:kern w:val="22"/>
          <w:szCs w:val="22"/>
          <w:lang w:val="fr-CA"/>
        </w:rPr>
        <w:t>Renforcer les capacités des pays en développement à entreprendre des analyses de la communication des données et de l’efficacité de la gestion</w:t>
      </w:r>
      <w:r w:rsidR="00C90052" w:rsidRPr="00AF5B6D">
        <w:rPr>
          <w:kern w:val="22"/>
          <w:szCs w:val="22"/>
          <w:lang w:val="fr-CA"/>
        </w:rPr>
        <w:t>;</w:t>
      </w:r>
    </w:p>
    <w:p w:rsidR="00C90052" w:rsidRPr="00AF5B6D" w:rsidRDefault="00A87D49" w:rsidP="007B3E88">
      <w:pPr>
        <w:numPr>
          <w:ilvl w:val="0"/>
          <w:numId w:val="97"/>
        </w:numPr>
        <w:suppressLineNumbers/>
        <w:suppressAutoHyphens/>
        <w:kinsoku w:val="0"/>
        <w:overflowPunct w:val="0"/>
        <w:autoSpaceDE w:val="0"/>
        <w:autoSpaceDN w:val="0"/>
        <w:spacing w:before="120" w:after="120"/>
        <w:ind w:left="0" w:firstLine="720"/>
        <w:rPr>
          <w:bCs/>
          <w:kern w:val="22"/>
          <w:szCs w:val="22"/>
          <w:lang w:val="fr-CA"/>
        </w:rPr>
      </w:pPr>
      <w:r w:rsidRPr="00AF5B6D">
        <w:rPr>
          <w:bCs/>
          <w:kern w:val="22"/>
          <w:szCs w:val="22"/>
          <w:lang w:val="fr-CA"/>
        </w:rPr>
        <w:t>Développer la volonté politique d’appuyer la communication opportune et efficace des données, notamment par l’engagement du gouvernement à communiquer régulièrement et adéquatement des données</w:t>
      </w:r>
      <w:r w:rsidR="00C90052" w:rsidRPr="00AF5B6D">
        <w:rPr>
          <w:bCs/>
          <w:kern w:val="22"/>
          <w:szCs w:val="22"/>
          <w:lang w:val="fr-CA"/>
        </w:rPr>
        <w:t>;</w:t>
      </w:r>
    </w:p>
    <w:p w:rsidR="00C90052" w:rsidRPr="00AF5B6D" w:rsidRDefault="00E979B6" w:rsidP="007B3E88">
      <w:pPr>
        <w:numPr>
          <w:ilvl w:val="0"/>
          <w:numId w:val="97"/>
        </w:numPr>
        <w:suppressLineNumbers/>
        <w:suppressAutoHyphens/>
        <w:kinsoku w:val="0"/>
        <w:overflowPunct w:val="0"/>
        <w:autoSpaceDE w:val="0"/>
        <w:autoSpaceDN w:val="0"/>
        <w:spacing w:before="120" w:after="120"/>
        <w:ind w:left="0" w:firstLine="720"/>
        <w:rPr>
          <w:bCs/>
          <w:kern w:val="22"/>
          <w:szCs w:val="22"/>
          <w:lang w:val="fr-CA"/>
        </w:rPr>
      </w:pPr>
      <w:r w:rsidRPr="00AF5B6D">
        <w:rPr>
          <w:bCs/>
          <w:kern w:val="22"/>
          <w:szCs w:val="22"/>
          <w:lang w:val="fr-CA"/>
        </w:rPr>
        <w:t>Engager les peuples autochtones et les communautés locales à communiquer des données et effectuer des évaluations</w:t>
      </w:r>
      <w:r w:rsidR="00C90052" w:rsidRPr="00AF5B6D">
        <w:rPr>
          <w:bCs/>
          <w:kern w:val="22"/>
          <w:szCs w:val="22"/>
          <w:lang w:val="fr-CA"/>
        </w:rPr>
        <w:t>;</w:t>
      </w:r>
    </w:p>
    <w:p w:rsidR="00C90052" w:rsidRPr="00AF5B6D" w:rsidRDefault="00931F71" w:rsidP="007B3E88">
      <w:pPr>
        <w:numPr>
          <w:ilvl w:val="0"/>
          <w:numId w:val="97"/>
        </w:numPr>
        <w:suppressLineNumbers/>
        <w:suppressAutoHyphens/>
        <w:kinsoku w:val="0"/>
        <w:overflowPunct w:val="0"/>
        <w:autoSpaceDE w:val="0"/>
        <w:autoSpaceDN w:val="0"/>
        <w:spacing w:before="120" w:after="120"/>
        <w:ind w:left="0" w:firstLine="720"/>
        <w:rPr>
          <w:bCs/>
          <w:kern w:val="22"/>
          <w:szCs w:val="22"/>
          <w:lang w:val="fr-CA"/>
        </w:rPr>
      </w:pPr>
      <w:r w:rsidRPr="00AF5B6D">
        <w:rPr>
          <w:bCs/>
          <w:kern w:val="22"/>
          <w:szCs w:val="22"/>
          <w:lang w:val="fr-CA"/>
        </w:rPr>
        <w:t>Élaborer des app</w:t>
      </w:r>
      <w:r w:rsidR="00FE32D4">
        <w:rPr>
          <w:bCs/>
          <w:kern w:val="22"/>
          <w:szCs w:val="22"/>
          <w:lang w:val="fr-CA"/>
        </w:rPr>
        <w:t>roches normalisé</w:t>
      </w:r>
      <w:r w:rsidR="00125C3B" w:rsidRPr="00AF5B6D">
        <w:rPr>
          <w:bCs/>
          <w:kern w:val="22"/>
          <w:szCs w:val="22"/>
          <w:lang w:val="fr-CA"/>
        </w:rPr>
        <w:t>es pour la communicati</w:t>
      </w:r>
      <w:r w:rsidRPr="00AF5B6D">
        <w:rPr>
          <w:bCs/>
          <w:kern w:val="22"/>
          <w:szCs w:val="22"/>
          <w:lang w:val="fr-CA"/>
        </w:rPr>
        <w:t>on des données pour tous les mécanismes et processus</w:t>
      </w:r>
      <w:r w:rsidR="00C90052" w:rsidRPr="00AF5B6D">
        <w:rPr>
          <w:bCs/>
          <w:kern w:val="22"/>
          <w:szCs w:val="22"/>
          <w:lang w:val="fr-CA"/>
        </w:rPr>
        <w:t>;</w:t>
      </w:r>
    </w:p>
    <w:p w:rsidR="00C90052" w:rsidRPr="00AF5B6D" w:rsidRDefault="00125C3B" w:rsidP="007B3E88">
      <w:pPr>
        <w:numPr>
          <w:ilvl w:val="0"/>
          <w:numId w:val="97"/>
        </w:numPr>
        <w:suppressLineNumbers/>
        <w:suppressAutoHyphens/>
        <w:kinsoku w:val="0"/>
        <w:overflowPunct w:val="0"/>
        <w:autoSpaceDE w:val="0"/>
        <w:autoSpaceDN w:val="0"/>
        <w:spacing w:before="120" w:after="120"/>
        <w:ind w:left="0" w:firstLine="720"/>
        <w:rPr>
          <w:rFonts w:eastAsia="Malgun Gothic"/>
          <w:bCs/>
          <w:kern w:val="22"/>
          <w:szCs w:val="22"/>
          <w:lang w:val="fr-CA"/>
        </w:rPr>
      </w:pPr>
      <w:r w:rsidRPr="00AF5B6D">
        <w:rPr>
          <w:rFonts w:eastAsia="Malgun Gothic"/>
          <w:bCs/>
          <w:kern w:val="22"/>
          <w:szCs w:val="22"/>
          <w:lang w:val="fr-CA"/>
        </w:rPr>
        <w:t>Créer et encourager les communautés de pratique à appuyer la communication de données</w:t>
      </w:r>
      <w:r w:rsidR="00C90052" w:rsidRPr="00AF5B6D">
        <w:rPr>
          <w:rFonts w:eastAsia="Malgun Gothic"/>
          <w:bCs/>
          <w:kern w:val="22"/>
          <w:szCs w:val="22"/>
          <w:lang w:val="fr-CA"/>
        </w:rPr>
        <w:t>.</w:t>
      </w:r>
    </w:p>
    <w:p w:rsidR="00C90052" w:rsidRPr="00AF5B6D" w:rsidRDefault="00564E6F" w:rsidP="007B3E88">
      <w:pPr>
        <w:suppressLineNumbers/>
        <w:suppressAutoHyphens/>
        <w:kinsoku w:val="0"/>
        <w:overflowPunct w:val="0"/>
        <w:autoSpaceDE w:val="0"/>
        <w:autoSpaceDN w:val="0"/>
        <w:spacing w:before="120" w:after="120"/>
        <w:rPr>
          <w:rFonts w:eastAsiaTheme="minorEastAsia"/>
          <w:color w:val="000000"/>
          <w:kern w:val="22"/>
          <w:szCs w:val="22"/>
          <w:lang w:val="fr-CA" w:eastAsia="ko-KR"/>
        </w:rPr>
      </w:pPr>
      <w:r w:rsidRPr="00AF5B6D">
        <w:rPr>
          <w:rFonts w:eastAsiaTheme="minorEastAsia"/>
          <w:color w:val="000000"/>
          <w:kern w:val="22"/>
          <w:szCs w:val="22"/>
          <w:lang w:val="fr-CA" w:eastAsia="ko-KR"/>
        </w:rPr>
        <w:t>4</w:t>
      </w:r>
      <w:r w:rsidR="00C90052" w:rsidRPr="00AF5B6D">
        <w:rPr>
          <w:rFonts w:eastAsiaTheme="minorEastAsia"/>
          <w:color w:val="000000"/>
          <w:kern w:val="22"/>
          <w:szCs w:val="22"/>
          <w:lang w:val="fr-CA" w:eastAsia="ko-KR"/>
        </w:rPr>
        <w:t>.</w:t>
      </w:r>
      <w:r w:rsidR="00C90052" w:rsidRPr="00AF5B6D">
        <w:rPr>
          <w:rFonts w:eastAsiaTheme="minorEastAsia"/>
          <w:color w:val="000000"/>
          <w:kern w:val="22"/>
          <w:szCs w:val="22"/>
          <w:lang w:val="fr-CA" w:eastAsia="ko-KR"/>
        </w:rPr>
        <w:tab/>
      </w:r>
      <w:r w:rsidR="00125C3B" w:rsidRPr="00AF5B6D">
        <w:rPr>
          <w:bCs/>
          <w:kern w:val="22"/>
          <w:szCs w:val="22"/>
          <w:lang w:val="fr-CA"/>
        </w:rPr>
        <w:t xml:space="preserve">Les discussions en atelier ont mis en évidence les méthodes suivantes d’accélérer les progrès des pays en vue de la réalisation de l’Objectif 11 d’Aichi relatif à la diversité biologique dans les aires marines et côtières, notamment en ce qui concerne l’intégration efficace des aires marines protégées et autres </w:t>
      </w:r>
      <w:r w:rsidR="00FC1EA0" w:rsidRPr="00AF5B6D">
        <w:rPr>
          <w:bCs/>
          <w:kern w:val="22"/>
          <w:szCs w:val="22"/>
          <w:lang w:val="fr-CA"/>
        </w:rPr>
        <w:t>mesures de conservation efficaces</w:t>
      </w:r>
      <w:r w:rsidR="00B23A58">
        <w:rPr>
          <w:bCs/>
          <w:kern w:val="22"/>
          <w:szCs w:val="22"/>
          <w:lang w:val="fr-CA"/>
        </w:rPr>
        <w:t xml:space="preserve"> par zone dans le</w:t>
      </w:r>
      <w:r w:rsidR="00125C3B" w:rsidRPr="00AF5B6D">
        <w:rPr>
          <w:bCs/>
          <w:kern w:val="22"/>
          <w:szCs w:val="22"/>
          <w:lang w:val="fr-CA"/>
        </w:rPr>
        <w:t xml:space="preserve">s paysages terrestres et marins plus vastes, reconnaissant que celles-ci ne sont pas exhaustives et qu’il existe d’autres sources d’orientations sur ces questions </w:t>
      </w:r>
      <w:r w:rsidR="00C90052" w:rsidRPr="00AF5B6D">
        <w:rPr>
          <w:rFonts w:eastAsiaTheme="minorEastAsia"/>
          <w:color w:val="000000"/>
          <w:kern w:val="22"/>
          <w:szCs w:val="22"/>
          <w:lang w:val="fr-CA" w:eastAsia="ko-KR"/>
        </w:rPr>
        <w:t>:</w:t>
      </w:r>
    </w:p>
    <w:p w:rsidR="00C90052" w:rsidRPr="00AF5B6D" w:rsidRDefault="00A56EBD" w:rsidP="00125C3B">
      <w:pPr>
        <w:pStyle w:val="Paragraphedeliste"/>
        <w:numPr>
          <w:ilvl w:val="0"/>
          <w:numId w:val="98"/>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rFonts w:eastAsia="Malgun Gothic"/>
          <w:kern w:val="22"/>
          <w:szCs w:val="22"/>
          <w:lang w:val="fr-CA"/>
        </w:rPr>
        <w:t xml:space="preserve">Définir comment les aires marines protégées et autres </w:t>
      </w:r>
      <w:r w:rsidR="00FC1EA0" w:rsidRPr="00AF5B6D">
        <w:rPr>
          <w:rFonts w:eastAsia="Malgun Gothic"/>
          <w:kern w:val="22"/>
          <w:szCs w:val="22"/>
          <w:lang w:val="fr-CA"/>
        </w:rPr>
        <w:t>mesures de conservation efficaces</w:t>
      </w:r>
      <w:r w:rsidRPr="00AF5B6D">
        <w:rPr>
          <w:rFonts w:eastAsia="Malgun Gothic"/>
          <w:kern w:val="22"/>
          <w:szCs w:val="22"/>
          <w:lang w:val="fr-CA"/>
        </w:rPr>
        <w:t xml:space="preserve"> par zone s’inscrivent dans les cadres de planification des paysages terrestres et marins, </w:t>
      </w:r>
      <w:r w:rsidR="00B23A58">
        <w:rPr>
          <w:rFonts w:eastAsia="Malgun Gothic"/>
          <w:kern w:val="22"/>
          <w:szCs w:val="22"/>
          <w:lang w:val="fr-CA"/>
        </w:rPr>
        <w:t>notamment</w:t>
      </w:r>
      <w:r w:rsidRPr="00AF5B6D">
        <w:rPr>
          <w:rFonts w:eastAsia="Malgun Gothic"/>
          <w:kern w:val="22"/>
          <w:szCs w:val="22"/>
          <w:lang w:val="fr-CA"/>
        </w:rPr>
        <w:t xml:space="preserve"> la planification des espaces marins, la gestion côtière intégrée et la planification systématique de la conservation</w:t>
      </w:r>
      <w:r w:rsidR="00C90052" w:rsidRPr="00AF5B6D">
        <w:rPr>
          <w:rFonts w:eastAsia="Malgun Gothic"/>
          <w:kern w:val="22"/>
          <w:szCs w:val="22"/>
          <w:lang w:val="fr-CA"/>
        </w:rPr>
        <w:t>;</w:t>
      </w:r>
    </w:p>
    <w:p w:rsidR="00C90052" w:rsidRPr="00AF5B6D" w:rsidRDefault="00A56EBD" w:rsidP="007B3E88">
      <w:pPr>
        <w:numPr>
          <w:ilvl w:val="0"/>
          <w:numId w:val="98"/>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kern w:val="22"/>
          <w:szCs w:val="22"/>
          <w:lang w:val="fr-CA"/>
        </w:rPr>
        <w:t>Déterminer l’information nécessaire ainsi que la meilleure échelle sur laquelle recueillir l’information, notamment en ce qui concerne : les cadres jurid</w:t>
      </w:r>
      <w:r w:rsidR="00077746" w:rsidRPr="00AF5B6D">
        <w:rPr>
          <w:kern w:val="22"/>
          <w:szCs w:val="22"/>
          <w:lang w:val="fr-CA"/>
        </w:rPr>
        <w:t>iques et de politique existants;</w:t>
      </w:r>
      <w:r w:rsidRPr="00AF5B6D">
        <w:rPr>
          <w:kern w:val="22"/>
          <w:szCs w:val="22"/>
          <w:lang w:val="fr-CA"/>
        </w:rPr>
        <w:t xml:space="preserve"> les caractéristiques écologiques et biologiques, et les aires d</w:t>
      </w:r>
      <w:r w:rsidR="00077746" w:rsidRPr="00AF5B6D">
        <w:rPr>
          <w:kern w:val="22"/>
          <w:szCs w:val="22"/>
          <w:lang w:val="fr-CA"/>
        </w:rPr>
        <w:t xml:space="preserve">’intérêt particulier pour la conservation; les utilisations et les activités dans </w:t>
      </w:r>
      <w:r w:rsidR="00B23A58">
        <w:rPr>
          <w:kern w:val="22"/>
          <w:szCs w:val="22"/>
          <w:lang w:val="fr-CA"/>
        </w:rPr>
        <w:t>les</w:t>
      </w:r>
      <w:r w:rsidR="00077746" w:rsidRPr="00AF5B6D">
        <w:rPr>
          <w:kern w:val="22"/>
          <w:szCs w:val="22"/>
          <w:lang w:val="fr-CA"/>
        </w:rPr>
        <w:t xml:space="preserve"> paysages terrestres et marins </w:t>
      </w:r>
      <w:r w:rsidR="00B23A58">
        <w:rPr>
          <w:kern w:val="22"/>
          <w:szCs w:val="22"/>
          <w:lang w:val="fr-CA"/>
        </w:rPr>
        <w:t xml:space="preserve">plus vastes </w:t>
      </w:r>
      <w:r w:rsidR="00077746" w:rsidRPr="00AF5B6D">
        <w:rPr>
          <w:kern w:val="22"/>
          <w:szCs w:val="22"/>
          <w:lang w:val="fr-CA"/>
        </w:rPr>
        <w:t xml:space="preserve">et dans des aires d’intérêt particulier pour la conservation, les parties </w:t>
      </w:r>
      <w:r w:rsidR="00B23A58">
        <w:rPr>
          <w:kern w:val="22"/>
          <w:szCs w:val="22"/>
          <w:lang w:val="fr-CA"/>
        </w:rPr>
        <w:t xml:space="preserve">prenantes actives dans les </w:t>
      </w:r>
      <w:r w:rsidR="00077746" w:rsidRPr="00AF5B6D">
        <w:rPr>
          <w:kern w:val="22"/>
          <w:szCs w:val="22"/>
          <w:lang w:val="fr-CA"/>
        </w:rPr>
        <w:t xml:space="preserve">paysages terrestres et marins </w:t>
      </w:r>
      <w:r w:rsidR="00B23A58">
        <w:rPr>
          <w:kern w:val="22"/>
          <w:szCs w:val="22"/>
          <w:lang w:val="fr-CA"/>
        </w:rPr>
        <w:t xml:space="preserve">plus vastes </w:t>
      </w:r>
      <w:r w:rsidR="00077746" w:rsidRPr="00AF5B6D">
        <w:rPr>
          <w:kern w:val="22"/>
          <w:szCs w:val="22"/>
          <w:lang w:val="fr-CA"/>
        </w:rPr>
        <w:t xml:space="preserve">ou ayant un intérêt pour ceux-ci, et les interactions possibles entre les utilisations anthropiques; </w:t>
      </w:r>
      <w:r w:rsidR="003B3AA6" w:rsidRPr="00AF5B6D">
        <w:rPr>
          <w:kern w:val="22"/>
          <w:szCs w:val="22"/>
          <w:lang w:val="fr-CA"/>
        </w:rPr>
        <w:t xml:space="preserve">les impacts cumulatifs sur diverses échelles spatiales, et les réponses et la résistance/vulnérabilité </w:t>
      </w:r>
      <w:r w:rsidR="00B23A58">
        <w:rPr>
          <w:kern w:val="22"/>
          <w:szCs w:val="22"/>
          <w:lang w:val="fr-CA"/>
        </w:rPr>
        <w:t>des</w:t>
      </w:r>
      <w:r w:rsidR="003B3AA6" w:rsidRPr="00AF5B6D">
        <w:rPr>
          <w:kern w:val="22"/>
          <w:szCs w:val="22"/>
          <w:lang w:val="fr-CA"/>
        </w:rPr>
        <w:t xml:space="preserve"> systèmes à l’utilisation humaine accrue et aux forces de la nature; et la </w:t>
      </w:r>
      <w:r w:rsidR="00A146F4">
        <w:rPr>
          <w:kern w:val="22"/>
          <w:szCs w:val="22"/>
          <w:lang w:val="fr-CA"/>
        </w:rPr>
        <w:t>connectivité à l’intérieur et à</w:t>
      </w:r>
      <w:r w:rsidR="003B3AA6" w:rsidRPr="00AF5B6D">
        <w:rPr>
          <w:kern w:val="22"/>
          <w:szCs w:val="22"/>
          <w:lang w:val="fr-CA"/>
        </w:rPr>
        <w:t xml:space="preserve"> l’extérieur des paysages terrestres et marins</w:t>
      </w:r>
      <w:r w:rsidR="00C90052" w:rsidRPr="00AF5B6D">
        <w:rPr>
          <w:kern w:val="22"/>
          <w:szCs w:val="22"/>
          <w:lang w:val="fr-CA"/>
        </w:rPr>
        <w:t>;</w:t>
      </w:r>
    </w:p>
    <w:p w:rsidR="00C90052" w:rsidRPr="00AF5B6D" w:rsidRDefault="003B3AA6" w:rsidP="007B3E88">
      <w:pPr>
        <w:numPr>
          <w:ilvl w:val="0"/>
          <w:numId w:val="98"/>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rFonts w:eastAsia="Malgun Gothic"/>
          <w:kern w:val="22"/>
          <w:szCs w:val="22"/>
          <w:lang w:val="fr-CA"/>
        </w:rPr>
        <w:t xml:space="preserve">Recenser les sources de données et d’information existantes (y compris les connaissances traditionnelles et locales), repérer les manques d’information et compiler les données, les modèles et autres informations </w:t>
      </w:r>
      <w:r w:rsidR="00A146F4">
        <w:rPr>
          <w:rFonts w:eastAsia="Malgun Gothic"/>
          <w:kern w:val="22"/>
          <w:szCs w:val="22"/>
          <w:lang w:val="fr-CA"/>
        </w:rPr>
        <w:t xml:space="preserve">pertinentes </w:t>
      </w:r>
      <w:r w:rsidRPr="00AF5B6D">
        <w:rPr>
          <w:rFonts w:eastAsia="Malgun Gothic"/>
          <w:kern w:val="22"/>
          <w:szCs w:val="22"/>
          <w:lang w:val="fr-CA"/>
        </w:rPr>
        <w:t xml:space="preserve">existantes, et élaborer et/ou améliorer </w:t>
      </w:r>
      <w:r w:rsidR="00A146F4">
        <w:rPr>
          <w:rFonts w:eastAsia="Malgun Gothic"/>
          <w:kern w:val="22"/>
          <w:szCs w:val="22"/>
          <w:lang w:val="fr-CA"/>
        </w:rPr>
        <w:t>d</w:t>
      </w:r>
      <w:r w:rsidRPr="00AF5B6D">
        <w:rPr>
          <w:rFonts w:eastAsia="Malgun Gothic"/>
          <w:kern w:val="22"/>
          <w:szCs w:val="22"/>
          <w:lang w:val="fr-CA"/>
        </w:rPr>
        <w:t>es outils conviviaux, de source ouverte, efficaces et transparents pour visualiser et intégrer les données</w:t>
      </w:r>
      <w:r w:rsidR="00C90052" w:rsidRPr="00AF5B6D">
        <w:rPr>
          <w:kern w:val="22"/>
          <w:szCs w:val="22"/>
          <w:lang w:val="fr-CA"/>
        </w:rPr>
        <w:t>;</w:t>
      </w:r>
    </w:p>
    <w:p w:rsidR="00C90052" w:rsidRPr="00AF5B6D" w:rsidRDefault="003B3AA6" w:rsidP="007B3E88">
      <w:pPr>
        <w:numPr>
          <w:ilvl w:val="0"/>
          <w:numId w:val="98"/>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kern w:val="22"/>
          <w:szCs w:val="22"/>
          <w:lang w:val="fr-CA"/>
        </w:rPr>
        <w:t>Reconnaître et comprendre divers systèmes de valeurs</w:t>
      </w:r>
      <w:r w:rsidR="00C90052" w:rsidRPr="00AF5B6D">
        <w:rPr>
          <w:kern w:val="22"/>
          <w:szCs w:val="22"/>
          <w:lang w:val="fr-CA"/>
        </w:rPr>
        <w:t>;</w:t>
      </w:r>
    </w:p>
    <w:p w:rsidR="00C90052" w:rsidRPr="00AF5B6D" w:rsidRDefault="003B3AA6" w:rsidP="007B3E88">
      <w:pPr>
        <w:numPr>
          <w:ilvl w:val="0"/>
          <w:numId w:val="98"/>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kern w:val="22"/>
          <w:szCs w:val="22"/>
          <w:lang w:val="fr-CA"/>
        </w:rPr>
        <w:lastRenderedPageBreak/>
        <w:t>Obtenir l’engagement complet et efficace des peuples autochtones et des communautés locales</w:t>
      </w:r>
      <w:r w:rsidR="00C90052" w:rsidRPr="00AF5B6D">
        <w:rPr>
          <w:kern w:val="22"/>
          <w:szCs w:val="22"/>
          <w:lang w:val="fr-CA"/>
        </w:rPr>
        <w:t>;</w:t>
      </w:r>
    </w:p>
    <w:p w:rsidR="00C90052" w:rsidRPr="00AF5B6D" w:rsidRDefault="003B3AA6" w:rsidP="007B3E88">
      <w:pPr>
        <w:numPr>
          <w:ilvl w:val="0"/>
          <w:numId w:val="98"/>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rFonts w:eastAsia="Malgun Gothic"/>
          <w:kern w:val="22"/>
          <w:szCs w:val="22"/>
          <w:lang w:val="fr-CA"/>
        </w:rPr>
        <w:t>Développer une compréhension commune</w:t>
      </w:r>
      <w:r w:rsidR="00FC1EA0" w:rsidRPr="00AF5B6D">
        <w:rPr>
          <w:rFonts w:eastAsia="Malgun Gothic"/>
          <w:kern w:val="22"/>
          <w:szCs w:val="22"/>
          <w:lang w:val="fr-CA"/>
        </w:rPr>
        <w:t xml:space="preserve"> chez les parties prenantes concernant les objectifs de l’intégration </w:t>
      </w:r>
      <w:r w:rsidR="00A146F4">
        <w:rPr>
          <w:rFonts w:eastAsia="Malgun Gothic"/>
          <w:kern w:val="22"/>
          <w:szCs w:val="22"/>
          <w:lang w:val="fr-CA"/>
        </w:rPr>
        <w:t>des aires marines protégées et l</w:t>
      </w:r>
      <w:r w:rsidR="00FC1EA0" w:rsidRPr="00AF5B6D">
        <w:rPr>
          <w:rFonts w:eastAsia="Malgun Gothic"/>
          <w:kern w:val="22"/>
          <w:szCs w:val="22"/>
          <w:lang w:val="fr-CA"/>
        </w:rPr>
        <w:t>es autres mesures de conservation efficaces par zone dans les paysages terrestres et marins plus vastes</w:t>
      </w:r>
      <w:r w:rsidR="00C90052" w:rsidRPr="00AF5B6D">
        <w:rPr>
          <w:rFonts w:eastAsia="Malgun Gothic"/>
          <w:kern w:val="22"/>
          <w:szCs w:val="22"/>
          <w:lang w:val="fr-CA"/>
        </w:rPr>
        <w:t>;</w:t>
      </w:r>
    </w:p>
    <w:p w:rsidR="00C90052" w:rsidRPr="00AF5B6D" w:rsidRDefault="00A67B7D" w:rsidP="007B3E88">
      <w:pPr>
        <w:numPr>
          <w:ilvl w:val="0"/>
          <w:numId w:val="98"/>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rFonts w:eastAsia="Malgun Gothic"/>
          <w:kern w:val="22"/>
          <w:szCs w:val="22"/>
          <w:lang w:val="fr-CA"/>
        </w:rPr>
        <w:t xml:space="preserve">Veiller à ce que les impacts de </w:t>
      </w:r>
      <w:r w:rsidRPr="00AF5B6D">
        <w:rPr>
          <w:kern w:val="22"/>
          <w:szCs w:val="22"/>
          <w:lang w:val="fr-CA"/>
        </w:rPr>
        <w:t>toutes</w:t>
      </w:r>
      <w:r w:rsidRPr="00AF5B6D">
        <w:rPr>
          <w:rFonts w:eastAsia="Malgun Gothic"/>
          <w:kern w:val="22"/>
          <w:szCs w:val="22"/>
          <w:lang w:val="fr-CA"/>
        </w:rPr>
        <w:t xml:space="preserve"> les activités soient définis, tant à l’intérieur qu’à l’extérieur des aires protégées et autres mesures de conservation efficaces par zone</w:t>
      </w:r>
      <w:r w:rsidR="00C90052" w:rsidRPr="00AF5B6D">
        <w:rPr>
          <w:rFonts w:eastAsia="Malgun Gothic"/>
          <w:kern w:val="22"/>
          <w:szCs w:val="22"/>
          <w:lang w:val="fr-CA"/>
        </w:rPr>
        <w:t>;</w:t>
      </w:r>
    </w:p>
    <w:p w:rsidR="00C90052" w:rsidRPr="00AF5B6D" w:rsidRDefault="00A67B7D" w:rsidP="007B3E88">
      <w:pPr>
        <w:numPr>
          <w:ilvl w:val="0"/>
          <w:numId w:val="98"/>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kern w:val="22"/>
          <w:szCs w:val="22"/>
          <w:lang w:val="fr-CA"/>
        </w:rPr>
        <w:t xml:space="preserve">Élaborer des indicateurs clairs, fiables et mesurables pour évaluer l’efficacité des aires marines protégées et </w:t>
      </w:r>
      <w:r w:rsidR="00A146F4">
        <w:rPr>
          <w:kern w:val="22"/>
          <w:szCs w:val="22"/>
          <w:lang w:val="fr-CA"/>
        </w:rPr>
        <w:t xml:space="preserve">des </w:t>
      </w:r>
      <w:r w:rsidRPr="00AF5B6D">
        <w:rPr>
          <w:kern w:val="22"/>
          <w:szCs w:val="22"/>
          <w:lang w:val="fr-CA"/>
        </w:rPr>
        <w:t>autres mesures de conservation efficaces par zone à atteindre leurs objectifs et pour évaluer l’état des paysages terrestres et marins plus vastes;</w:t>
      </w:r>
    </w:p>
    <w:p w:rsidR="00C90052" w:rsidRPr="00AF5B6D" w:rsidRDefault="00564E6F" w:rsidP="007B3E88">
      <w:pPr>
        <w:suppressLineNumbers/>
        <w:suppressAutoHyphens/>
        <w:kinsoku w:val="0"/>
        <w:overflowPunct w:val="0"/>
        <w:autoSpaceDE w:val="0"/>
        <w:autoSpaceDN w:val="0"/>
        <w:spacing w:before="120" w:after="120"/>
        <w:rPr>
          <w:rFonts w:eastAsiaTheme="minorEastAsia"/>
          <w:color w:val="000000"/>
          <w:kern w:val="22"/>
          <w:szCs w:val="22"/>
          <w:lang w:val="fr-CA" w:eastAsia="ko-KR"/>
        </w:rPr>
      </w:pPr>
      <w:r w:rsidRPr="00AF5B6D">
        <w:rPr>
          <w:rFonts w:eastAsiaTheme="minorEastAsia"/>
          <w:color w:val="000000"/>
          <w:kern w:val="22"/>
          <w:szCs w:val="22"/>
          <w:lang w:val="fr-CA" w:eastAsia="ko-KR"/>
        </w:rPr>
        <w:t>5</w:t>
      </w:r>
      <w:r w:rsidR="00C90052" w:rsidRPr="00AF5B6D">
        <w:rPr>
          <w:rFonts w:eastAsiaTheme="minorEastAsia"/>
          <w:color w:val="000000"/>
          <w:kern w:val="22"/>
          <w:szCs w:val="22"/>
          <w:lang w:val="fr-CA" w:eastAsia="ko-KR"/>
        </w:rPr>
        <w:t>.</w:t>
      </w:r>
      <w:r w:rsidR="00C90052" w:rsidRPr="00AF5B6D">
        <w:rPr>
          <w:rFonts w:eastAsiaTheme="minorEastAsia"/>
          <w:color w:val="000000"/>
          <w:kern w:val="22"/>
          <w:szCs w:val="22"/>
          <w:lang w:val="fr-CA" w:eastAsia="ko-KR"/>
        </w:rPr>
        <w:tab/>
      </w:r>
      <w:r w:rsidR="00A67B7D" w:rsidRPr="00AF5B6D">
        <w:rPr>
          <w:bCs/>
          <w:kern w:val="22"/>
          <w:szCs w:val="22"/>
          <w:lang w:val="fr-CA"/>
        </w:rPr>
        <w:t xml:space="preserve">Les discussions en atelier ont mis en évidence les méthodes suivantes de gérer les paysages terrestres et marins plus vastes afin d’assurer l’efficacité des aires marines protégées et autres mesures de conservation efficaces par zone, reconnaissant que celles-ci ne sont pas exhaustives et qu’il existe d’autres sources d’orientations sur ces questions </w:t>
      </w:r>
      <w:r w:rsidR="00C90052" w:rsidRPr="00AF5B6D">
        <w:rPr>
          <w:rFonts w:eastAsiaTheme="minorEastAsia"/>
          <w:color w:val="000000"/>
          <w:kern w:val="22"/>
          <w:szCs w:val="22"/>
          <w:lang w:val="fr-CA" w:eastAsia="ko-KR"/>
        </w:rPr>
        <w:t>:</w:t>
      </w:r>
    </w:p>
    <w:p w:rsidR="00C90052" w:rsidRPr="00AF5B6D" w:rsidRDefault="00522F56" w:rsidP="00522F56">
      <w:pPr>
        <w:pStyle w:val="Paragraphedeliste"/>
        <w:numPr>
          <w:ilvl w:val="0"/>
          <w:numId w:val="99"/>
        </w:numPr>
        <w:suppressLineNumbers/>
        <w:suppressAutoHyphens/>
        <w:kinsoku w:val="0"/>
        <w:overflowPunct w:val="0"/>
        <w:autoSpaceDE w:val="0"/>
        <w:autoSpaceDN w:val="0"/>
        <w:ind w:left="0" w:firstLine="720"/>
        <w:rPr>
          <w:kern w:val="22"/>
          <w:szCs w:val="22"/>
          <w:lang w:val="fr-CA"/>
        </w:rPr>
      </w:pPr>
      <w:r w:rsidRPr="00AF5B6D">
        <w:rPr>
          <w:kern w:val="22"/>
          <w:szCs w:val="22"/>
          <w:lang w:val="fr-CA"/>
        </w:rPr>
        <w:t xml:space="preserve">Élaborer et/ou améliorer la gouvernance et </w:t>
      </w:r>
      <w:r w:rsidR="00A146F4">
        <w:rPr>
          <w:kern w:val="22"/>
          <w:szCs w:val="22"/>
          <w:lang w:val="fr-CA"/>
        </w:rPr>
        <w:t>la gestion intégrées en appui à la</w:t>
      </w:r>
      <w:r w:rsidRPr="00AF5B6D">
        <w:rPr>
          <w:kern w:val="22"/>
          <w:szCs w:val="22"/>
          <w:lang w:val="fr-CA"/>
        </w:rPr>
        <w:t xml:space="preserve"> planification des paysages terrestres et marins, et coordonner la planification, l’établissement d’objectifs et la gouvernance à toutes les échelles géographiques</w:t>
      </w:r>
      <w:r w:rsidR="00C90052" w:rsidRPr="00AF5B6D">
        <w:rPr>
          <w:kern w:val="22"/>
          <w:szCs w:val="22"/>
          <w:lang w:val="fr-CA"/>
        </w:rPr>
        <w:t>;</w:t>
      </w:r>
    </w:p>
    <w:p w:rsidR="00C90052" w:rsidRPr="00AF5B6D" w:rsidRDefault="00522F56" w:rsidP="007B3E88">
      <w:pPr>
        <w:numPr>
          <w:ilvl w:val="0"/>
          <w:numId w:val="99"/>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Élaborer et/ou perfectionner les outils d’appui aux décisions pour la planification des paysages terrestres et marins</w:t>
      </w:r>
      <w:r w:rsidR="00C90052" w:rsidRPr="00AF5B6D">
        <w:rPr>
          <w:kern w:val="22"/>
          <w:szCs w:val="22"/>
          <w:lang w:val="fr-CA"/>
        </w:rPr>
        <w:t>;</w:t>
      </w:r>
    </w:p>
    <w:p w:rsidR="00C90052" w:rsidRPr="00AF5B6D" w:rsidRDefault="00522F56" w:rsidP="007B3E88">
      <w:pPr>
        <w:numPr>
          <w:ilvl w:val="0"/>
          <w:numId w:val="99"/>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Veiller à ce que les lois pertinentes soient en vigueur et appliquées</w:t>
      </w:r>
      <w:r w:rsidR="00C90052" w:rsidRPr="00AF5B6D">
        <w:rPr>
          <w:kern w:val="22"/>
          <w:szCs w:val="22"/>
          <w:lang w:val="fr-CA"/>
        </w:rPr>
        <w:t>;</w:t>
      </w:r>
    </w:p>
    <w:p w:rsidR="00C90052" w:rsidRPr="00AF5B6D" w:rsidRDefault="00522F56" w:rsidP="007B3E88">
      <w:pPr>
        <w:numPr>
          <w:ilvl w:val="0"/>
          <w:numId w:val="99"/>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Comprendre et évaluer l’état de l’utilisation et de la gestion des paysages terrestres et marins plus vastes, et cerner les aires nécessitant une meilleure protection</w:t>
      </w:r>
      <w:r w:rsidR="00C90052" w:rsidRPr="00AF5B6D">
        <w:rPr>
          <w:kern w:val="22"/>
          <w:szCs w:val="22"/>
          <w:lang w:val="fr-CA"/>
        </w:rPr>
        <w:t>;</w:t>
      </w:r>
    </w:p>
    <w:p w:rsidR="00C90052" w:rsidRPr="00AF5B6D" w:rsidRDefault="008C4ACB" w:rsidP="007B3E88">
      <w:pPr>
        <w:numPr>
          <w:ilvl w:val="0"/>
          <w:numId w:val="99"/>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Réaliser des évaluations des menaces et utiliser une hiérarchie d’atténuation</w:t>
      </w:r>
      <w:r w:rsidR="00C90052" w:rsidRPr="00AF5B6D">
        <w:rPr>
          <w:rFonts w:eastAsia="Malgun Gothic"/>
          <w:kern w:val="22"/>
          <w:szCs w:val="22"/>
          <w:lang w:val="fr-CA"/>
        </w:rPr>
        <w:t>;</w:t>
      </w:r>
    </w:p>
    <w:p w:rsidR="00C90052" w:rsidRPr="00AF5B6D" w:rsidRDefault="008C4ACB" w:rsidP="007B3E88">
      <w:pPr>
        <w:numPr>
          <w:ilvl w:val="0"/>
          <w:numId w:val="99"/>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Évaluer la compatibilité et/ou l’incompatibilité relative des utilisations existantes et proposées, ainsi que les interactions et les répercussions des changements environnementaux de plus grande envergure (p. ex. changements climatiques</w:t>
      </w:r>
      <w:r w:rsidR="00C90052" w:rsidRPr="00AF5B6D">
        <w:rPr>
          <w:kern w:val="22"/>
          <w:szCs w:val="22"/>
          <w:lang w:val="fr-CA"/>
        </w:rPr>
        <w:t>);</w:t>
      </w:r>
    </w:p>
    <w:p w:rsidR="00C90052" w:rsidRPr="00AF5B6D" w:rsidRDefault="008C4ACB" w:rsidP="007B3E88">
      <w:pPr>
        <w:numPr>
          <w:ilvl w:val="0"/>
          <w:numId w:val="99"/>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Comprendre les conflits et les déplacements des moyens de subsistance et cerner les moyens pertinents d’offrir une subsistance et une rémunération</w:t>
      </w:r>
      <w:r w:rsidR="00C90052" w:rsidRPr="00AF5B6D">
        <w:rPr>
          <w:kern w:val="22"/>
          <w:szCs w:val="22"/>
          <w:lang w:val="fr-CA"/>
        </w:rPr>
        <w:t>;</w:t>
      </w:r>
    </w:p>
    <w:p w:rsidR="00C90052" w:rsidRPr="00AF5B6D" w:rsidRDefault="008C4ACB" w:rsidP="007B3E88">
      <w:pPr>
        <w:numPr>
          <w:ilvl w:val="0"/>
          <w:numId w:val="99"/>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 xml:space="preserve">Communiquer </w:t>
      </w:r>
      <w:r w:rsidR="00545B19" w:rsidRPr="00AF5B6D">
        <w:rPr>
          <w:kern w:val="22"/>
          <w:szCs w:val="22"/>
          <w:lang w:val="fr-CA"/>
        </w:rPr>
        <w:t xml:space="preserve">avec </w:t>
      </w:r>
      <w:r w:rsidRPr="00AF5B6D">
        <w:rPr>
          <w:kern w:val="22"/>
          <w:szCs w:val="22"/>
          <w:lang w:val="fr-CA"/>
        </w:rPr>
        <w:t>les parties prenantes</w:t>
      </w:r>
      <w:r w:rsidR="00545B19" w:rsidRPr="00AF5B6D">
        <w:rPr>
          <w:kern w:val="22"/>
          <w:szCs w:val="22"/>
          <w:lang w:val="fr-CA"/>
        </w:rPr>
        <w:t xml:space="preserve"> pertinentes des paysages terrestres et marins plus vastes et les faire participer de manière accessible, efficace et appropriée </w:t>
      </w:r>
      <w:r w:rsidR="00C90052" w:rsidRPr="00AF5B6D">
        <w:rPr>
          <w:kern w:val="22"/>
          <w:szCs w:val="22"/>
          <w:lang w:val="fr-CA"/>
        </w:rPr>
        <w:t>;</w:t>
      </w:r>
    </w:p>
    <w:p w:rsidR="00C90052" w:rsidRPr="00AF5B6D" w:rsidRDefault="00545B19" w:rsidP="007B3E88">
      <w:pPr>
        <w:numPr>
          <w:ilvl w:val="0"/>
          <w:numId w:val="99"/>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 xml:space="preserve">Veiller à ce que la planification et la gestion </w:t>
      </w:r>
      <w:r w:rsidR="00A653F7">
        <w:rPr>
          <w:kern w:val="22"/>
          <w:szCs w:val="22"/>
          <w:lang w:val="fr-CA"/>
        </w:rPr>
        <w:t>respectent les</w:t>
      </w:r>
      <w:r w:rsidRPr="00AF5B6D">
        <w:rPr>
          <w:kern w:val="22"/>
          <w:szCs w:val="22"/>
          <w:lang w:val="fr-CA"/>
        </w:rPr>
        <w:t xml:space="preserve"> différentes cultures et </w:t>
      </w:r>
      <w:r w:rsidR="00A653F7">
        <w:rPr>
          <w:kern w:val="22"/>
          <w:szCs w:val="22"/>
          <w:lang w:val="fr-CA"/>
        </w:rPr>
        <w:t>les</w:t>
      </w:r>
      <w:r w:rsidRPr="00AF5B6D">
        <w:rPr>
          <w:kern w:val="22"/>
          <w:szCs w:val="22"/>
          <w:lang w:val="fr-CA"/>
        </w:rPr>
        <w:t xml:space="preserve"> différents systèmes de valeurs des paysages terrestres et marins plus vastes</w:t>
      </w:r>
      <w:r w:rsidR="00C90052" w:rsidRPr="00AF5B6D">
        <w:rPr>
          <w:kern w:val="22"/>
          <w:szCs w:val="22"/>
          <w:lang w:val="fr-CA"/>
        </w:rPr>
        <w:t>;</w:t>
      </w:r>
    </w:p>
    <w:p w:rsidR="00C90052" w:rsidRPr="00AF5B6D" w:rsidRDefault="00545B19" w:rsidP="007B3E88">
      <w:pPr>
        <w:numPr>
          <w:ilvl w:val="0"/>
          <w:numId w:val="99"/>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Recenser et faire participer les dirigeants et champions locaux/nationaux</w:t>
      </w:r>
      <w:r w:rsidR="00C90052" w:rsidRPr="00AF5B6D">
        <w:rPr>
          <w:kern w:val="22"/>
          <w:szCs w:val="22"/>
          <w:lang w:val="fr-CA"/>
        </w:rPr>
        <w:t>;</w:t>
      </w:r>
    </w:p>
    <w:p w:rsidR="00C90052" w:rsidRPr="00AF5B6D" w:rsidRDefault="00545B19" w:rsidP="007B3E88">
      <w:pPr>
        <w:numPr>
          <w:ilvl w:val="0"/>
          <w:numId w:val="99"/>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Développer et/ou renforcer les capacités en appui à la planification des paysages terrestres et marins plus vastes</w:t>
      </w:r>
      <w:r w:rsidR="00C90052" w:rsidRPr="00AF5B6D">
        <w:rPr>
          <w:kern w:val="22"/>
          <w:szCs w:val="22"/>
          <w:lang w:val="fr-CA"/>
        </w:rPr>
        <w:t>.</w:t>
      </w:r>
    </w:p>
    <w:p w:rsidR="00C90052" w:rsidRPr="00AF5B6D" w:rsidRDefault="00564E6F" w:rsidP="007B3E88">
      <w:pPr>
        <w:keepNext/>
        <w:suppressLineNumbers/>
        <w:suppressAutoHyphens/>
        <w:kinsoku w:val="0"/>
        <w:overflowPunct w:val="0"/>
        <w:autoSpaceDE w:val="0"/>
        <w:autoSpaceDN w:val="0"/>
        <w:spacing w:before="120" w:after="120"/>
        <w:ind w:left="1627" w:hanging="720"/>
        <w:jc w:val="left"/>
        <w:rPr>
          <w:b/>
          <w:iCs/>
          <w:kern w:val="22"/>
          <w:szCs w:val="22"/>
          <w:lang w:val="fr-CA"/>
        </w:rPr>
      </w:pPr>
      <w:r w:rsidRPr="00AF5B6D">
        <w:rPr>
          <w:b/>
          <w:iCs/>
          <w:kern w:val="22"/>
          <w:szCs w:val="22"/>
          <w:lang w:val="fr-CA" w:eastAsia="ko-KR"/>
        </w:rPr>
        <w:t>D.</w:t>
      </w:r>
      <w:r w:rsidRPr="00AF5B6D">
        <w:rPr>
          <w:b/>
          <w:iCs/>
          <w:kern w:val="22"/>
          <w:szCs w:val="22"/>
          <w:lang w:val="fr-CA" w:eastAsia="ko-KR"/>
        </w:rPr>
        <w:tab/>
      </w:r>
      <w:r w:rsidR="00481B51" w:rsidRPr="00AF5B6D">
        <w:rPr>
          <w:b/>
          <w:iCs/>
          <w:kern w:val="22"/>
          <w:szCs w:val="22"/>
          <w:lang w:val="fr-CA"/>
        </w:rPr>
        <w:t xml:space="preserve">Enseignements tirés de </w:t>
      </w:r>
      <w:r w:rsidR="00A653F7">
        <w:rPr>
          <w:b/>
          <w:iCs/>
          <w:kern w:val="22"/>
          <w:szCs w:val="22"/>
          <w:lang w:val="fr-CA"/>
        </w:rPr>
        <w:t>l’application</w:t>
      </w:r>
      <w:r w:rsidR="00481B51" w:rsidRPr="00AF5B6D">
        <w:rPr>
          <w:b/>
          <w:iCs/>
          <w:kern w:val="22"/>
          <w:szCs w:val="22"/>
          <w:lang w:val="fr-CA"/>
        </w:rPr>
        <w:t xml:space="preserve"> des différents types de mesures de conservation/gestion par zone dans les aires marines et côtières</w:t>
      </w:r>
    </w:p>
    <w:p w:rsidR="00C90052" w:rsidRPr="00AF5B6D" w:rsidRDefault="00C90052" w:rsidP="000D0E13">
      <w:pPr>
        <w:suppressLineNumbers/>
        <w:suppressAutoHyphens/>
        <w:kinsoku w:val="0"/>
        <w:overflowPunct w:val="0"/>
        <w:autoSpaceDE w:val="0"/>
        <w:autoSpaceDN w:val="0"/>
        <w:spacing w:before="120" w:after="120"/>
        <w:rPr>
          <w:kern w:val="22"/>
          <w:szCs w:val="22"/>
          <w:lang w:val="fr-CA"/>
        </w:rPr>
      </w:pPr>
      <w:r w:rsidRPr="00AF5B6D">
        <w:rPr>
          <w:kern w:val="22"/>
          <w:szCs w:val="22"/>
          <w:lang w:val="fr-CA"/>
        </w:rPr>
        <w:t>12.</w:t>
      </w:r>
      <w:r w:rsidRPr="00AF5B6D">
        <w:rPr>
          <w:kern w:val="22"/>
          <w:szCs w:val="22"/>
          <w:lang w:val="fr-CA"/>
        </w:rPr>
        <w:tab/>
      </w:r>
      <w:r w:rsidR="00A653F7">
        <w:rPr>
          <w:kern w:val="22"/>
          <w:szCs w:val="22"/>
          <w:lang w:val="fr-CA"/>
        </w:rPr>
        <w:t>Les documents d’information et l</w:t>
      </w:r>
      <w:r w:rsidR="008E5AEA" w:rsidRPr="00AF5B6D">
        <w:rPr>
          <w:kern w:val="22"/>
          <w:szCs w:val="22"/>
          <w:lang w:val="fr-CA"/>
        </w:rPr>
        <w:t>es présentations thématiques de l’</w:t>
      </w:r>
      <w:r w:rsidR="002F1BB8" w:rsidRPr="00AF5B6D">
        <w:rPr>
          <w:kern w:val="22"/>
          <w:szCs w:val="22"/>
          <w:lang w:val="fr-CA"/>
        </w:rPr>
        <w:t xml:space="preserve">atelier ont permis de tirer des </w:t>
      </w:r>
      <w:r w:rsidR="00A653F7">
        <w:rPr>
          <w:kern w:val="22"/>
          <w:szCs w:val="22"/>
          <w:lang w:val="fr-CA"/>
        </w:rPr>
        <w:t>enseignements en lien avec les</w:t>
      </w:r>
      <w:r w:rsidR="002F1BB8" w:rsidRPr="00AF5B6D">
        <w:rPr>
          <w:kern w:val="22"/>
          <w:szCs w:val="22"/>
          <w:lang w:val="fr-CA"/>
        </w:rPr>
        <w:t xml:space="preserve"> différents types de mesures de conservation/gestion des aires protégées</w:t>
      </w:r>
      <w:r w:rsidR="00A653F7">
        <w:rPr>
          <w:kern w:val="22"/>
          <w:szCs w:val="22"/>
          <w:lang w:val="fr-CA"/>
        </w:rPr>
        <w:t xml:space="preserve"> marines et côtières, dont voici les principaux éléments</w:t>
      </w:r>
      <w:r w:rsidR="000D0E13" w:rsidRPr="00AF5B6D">
        <w:rPr>
          <w:kern w:val="22"/>
          <w:szCs w:val="22"/>
          <w:lang w:val="fr-CA"/>
        </w:rPr>
        <w:t> :</w:t>
      </w:r>
    </w:p>
    <w:p w:rsidR="00C90052" w:rsidRPr="00AF5B6D" w:rsidRDefault="000D0E13" w:rsidP="007B3E88">
      <w:pPr>
        <w:pStyle w:val="Paragraphedeliste"/>
        <w:numPr>
          <w:ilvl w:val="0"/>
          <w:numId w:val="100"/>
        </w:numPr>
        <w:suppressLineNumbers/>
        <w:suppressAutoHyphens/>
        <w:kinsoku w:val="0"/>
        <w:overflowPunct w:val="0"/>
        <w:autoSpaceDE w:val="0"/>
        <w:autoSpaceDN w:val="0"/>
        <w:spacing w:before="120" w:after="120"/>
        <w:ind w:left="0" w:firstLine="720"/>
        <w:contextualSpacing w:val="0"/>
        <w:rPr>
          <w:kern w:val="22"/>
          <w:szCs w:val="22"/>
          <w:lang w:val="fr-CA"/>
        </w:rPr>
      </w:pPr>
      <w:r w:rsidRPr="00AF5B6D">
        <w:rPr>
          <w:kern w:val="22"/>
          <w:szCs w:val="22"/>
          <w:lang w:val="fr-CA"/>
        </w:rPr>
        <w:t>L’efficacité de la protection de la diversité biologique peut être très différente pour les différents types de mesures de conservation/gestion par zone (différences relatives à la superficie, à la durée et au niveau de restriction)</w:t>
      </w:r>
      <w:r w:rsidR="003C52EA" w:rsidRPr="00AF5B6D">
        <w:rPr>
          <w:kern w:val="22"/>
          <w:szCs w:val="22"/>
          <w:lang w:val="fr-CA"/>
        </w:rPr>
        <w:t>, à cause des contextes écologique, socioéconomique et de gouvernance de l’aire, et de la nature de la mise en œuvre de la mesure</w:t>
      </w:r>
      <w:r w:rsidR="00C90052" w:rsidRPr="00AF5B6D">
        <w:rPr>
          <w:kern w:val="22"/>
          <w:szCs w:val="22"/>
          <w:lang w:val="fr-CA"/>
        </w:rPr>
        <w:t>;</w:t>
      </w:r>
    </w:p>
    <w:p w:rsidR="003C52EA" w:rsidRPr="00AF5B6D" w:rsidRDefault="003C52EA" w:rsidP="007B3E88">
      <w:pPr>
        <w:pStyle w:val="Paragraphedeliste"/>
        <w:numPr>
          <w:ilvl w:val="0"/>
          <w:numId w:val="100"/>
        </w:numPr>
        <w:suppressLineNumbers/>
        <w:suppressAutoHyphens/>
        <w:kinsoku w:val="0"/>
        <w:overflowPunct w:val="0"/>
        <w:autoSpaceDE w:val="0"/>
        <w:autoSpaceDN w:val="0"/>
        <w:spacing w:before="120" w:after="120"/>
        <w:ind w:left="0" w:firstLine="720"/>
        <w:contextualSpacing w:val="0"/>
        <w:rPr>
          <w:kern w:val="22"/>
          <w:szCs w:val="22"/>
          <w:lang w:val="fr-CA"/>
        </w:rPr>
      </w:pPr>
      <w:r w:rsidRPr="00AF5B6D">
        <w:rPr>
          <w:kern w:val="22"/>
          <w:szCs w:val="22"/>
          <w:lang w:val="fr-CA"/>
        </w:rPr>
        <w:lastRenderedPageBreak/>
        <w:t xml:space="preserve">Bien qu’une augmentation de la superficie, de la durée et du </w:t>
      </w:r>
      <w:r w:rsidR="0034283D" w:rsidRPr="00AF5B6D">
        <w:rPr>
          <w:kern w:val="22"/>
          <w:szCs w:val="22"/>
          <w:lang w:val="fr-CA"/>
        </w:rPr>
        <w:t>niveau</w:t>
      </w:r>
      <w:r w:rsidRPr="00AF5B6D">
        <w:rPr>
          <w:kern w:val="22"/>
          <w:szCs w:val="22"/>
          <w:lang w:val="fr-CA"/>
        </w:rPr>
        <w:t xml:space="preserve"> de restriction améliore généralement la protection de plusieurs éléments de la dive</w:t>
      </w:r>
      <w:r w:rsidR="0034283D" w:rsidRPr="00AF5B6D">
        <w:rPr>
          <w:kern w:val="22"/>
          <w:szCs w:val="22"/>
          <w:lang w:val="fr-CA"/>
        </w:rPr>
        <w:t>rsité biologique, les répercussi</w:t>
      </w:r>
      <w:r w:rsidRPr="00AF5B6D">
        <w:rPr>
          <w:kern w:val="22"/>
          <w:szCs w:val="22"/>
          <w:lang w:val="fr-CA"/>
        </w:rPr>
        <w:t>ons des activités anthropiques sur les écosyst</w:t>
      </w:r>
      <w:r w:rsidR="0034283D" w:rsidRPr="00AF5B6D">
        <w:rPr>
          <w:kern w:val="22"/>
          <w:szCs w:val="22"/>
          <w:lang w:val="fr-CA"/>
        </w:rPr>
        <w:t>è</w:t>
      </w:r>
      <w:r w:rsidR="008D098D">
        <w:rPr>
          <w:kern w:val="22"/>
          <w:szCs w:val="22"/>
          <w:lang w:val="fr-CA"/>
        </w:rPr>
        <w:t>mes déplacé</w:t>
      </w:r>
      <w:r w:rsidRPr="00AF5B6D">
        <w:rPr>
          <w:kern w:val="22"/>
          <w:szCs w:val="22"/>
          <w:lang w:val="fr-CA"/>
        </w:rPr>
        <w:t xml:space="preserve">s </w:t>
      </w:r>
      <w:r w:rsidR="0034283D" w:rsidRPr="00AF5B6D">
        <w:rPr>
          <w:kern w:val="22"/>
          <w:szCs w:val="22"/>
          <w:lang w:val="fr-CA"/>
        </w:rPr>
        <w:t>pour des raisons d’exclusion sont parfois accrues dans les aires où ces activités se maintiennent. La planification efficace de la conservation globale doit tenir compte de tous ces facteurs;</w:t>
      </w:r>
    </w:p>
    <w:p w:rsidR="00C90052" w:rsidRPr="00AF5B6D" w:rsidRDefault="003C52EA" w:rsidP="007B3E88">
      <w:pPr>
        <w:pStyle w:val="Paragraphedeliste"/>
        <w:numPr>
          <w:ilvl w:val="0"/>
          <w:numId w:val="100"/>
        </w:numPr>
        <w:suppressLineNumbers/>
        <w:suppressAutoHyphens/>
        <w:kinsoku w:val="0"/>
        <w:overflowPunct w:val="0"/>
        <w:autoSpaceDE w:val="0"/>
        <w:autoSpaceDN w:val="0"/>
        <w:spacing w:before="120" w:after="120"/>
        <w:ind w:left="0" w:firstLine="720"/>
        <w:contextualSpacing w:val="0"/>
        <w:rPr>
          <w:kern w:val="22"/>
          <w:szCs w:val="22"/>
          <w:lang w:val="fr-CA"/>
        </w:rPr>
      </w:pPr>
      <w:r w:rsidRPr="00AF5B6D">
        <w:rPr>
          <w:kern w:val="22"/>
          <w:szCs w:val="22"/>
          <w:lang w:val="fr-CA"/>
        </w:rPr>
        <w:t xml:space="preserve">Les mesures bien conçues et appliquées </w:t>
      </w:r>
      <w:r w:rsidR="0034283D" w:rsidRPr="00AF5B6D">
        <w:rPr>
          <w:kern w:val="22"/>
          <w:szCs w:val="22"/>
          <w:lang w:val="fr-CA"/>
        </w:rPr>
        <w:t>peuvent être efficaces même lorsque les aires ne sont pas grandes et qu’elles ne font pas l’objet de restrictions permanentes</w:t>
      </w:r>
      <w:r w:rsidR="008D098D">
        <w:rPr>
          <w:kern w:val="22"/>
          <w:szCs w:val="22"/>
          <w:lang w:val="fr-CA"/>
        </w:rPr>
        <w:t>, alors que</w:t>
      </w:r>
      <w:r w:rsidR="0034283D" w:rsidRPr="00AF5B6D">
        <w:rPr>
          <w:kern w:val="22"/>
          <w:szCs w:val="22"/>
          <w:lang w:val="fr-CA"/>
        </w:rPr>
        <w:t xml:space="preserve"> les mesures mal élaborées et appliquées peuvent être inefficaces</w:t>
      </w:r>
      <w:r w:rsidR="00703C02" w:rsidRPr="00AF5B6D">
        <w:rPr>
          <w:kern w:val="22"/>
          <w:szCs w:val="22"/>
          <w:lang w:val="fr-CA"/>
        </w:rPr>
        <w:t>, indépendamment de leur envergure</w:t>
      </w:r>
      <w:r w:rsidR="00F40894" w:rsidRPr="00AF5B6D">
        <w:rPr>
          <w:kern w:val="22"/>
          <w:szCs w:val="22"/>
          <w:lang w:val="fr-CA"/>
        </w:rPr>
        <w:t>;</w:t>
      </w:r>
    </w:p>
    <w:p w:rsidR="00C90052" w:rsidRPr="00AF5B6D" w:rsidRDefault="00703C02" w:rsidP="007B3E88">
      <w:pPr>
        <w:pStyle w:val="Paragraphedeliste"/>
        <w:numPr>
          <w:ilvl w:val="0"/>
          <w:numId w:val="100"/>
        </w:numPr>
        <w:suppressLineNumbers/>
        <w:suppressAutoHyphens/>
        <w:kinsoku w:val="0"/>
        <w:overflowPunct w:val="0"/>
        <w:autoSpaceDE w:val="0"/>
        <w:autoSpaceDN w:val="0"/>
        <w:spacing w:before="120" w:after="120"/>
        <w:ind w:left="0" w:firstLine="720"/>
        <w:contextualSpacing w:val="0"/>
        <w:rPr>
          <w:iCs/>
          <w:kern w:val="22"/>
          <w:szCs w:val="22"/>
          <w:u w:val="single"/>
          <w:lang w:val="fr-CA"/>
        </w:rPr>
      </w:pPr>
      <w:r w:rsidRPr="00AF5B6D">
        <w:rPr>
          <w:kern w:val="22"/>
          <w:szCs w:val="22"/>
          <w:lang w:val="fr-CA"/>
        </w:rPr>
        <w:t xml:space="preserve">L’évaluation de l’efficacité des mesures de conservation par zone doit être menée au cas par cas, en tenant compte des caractéristiques de la mesure appliquée et du contexte dans lequel elle est appliquée </w:t>
      </w:r>
      <w:r w:rsidR="00C90052" w:rsidRPr="00AF5B6D">
        <w:rPr>
          <w:kern w:val="22"/>
          <w:szCs w:val="22"/>
          <w:lang w:val="fr-CA"/>
        </w:rPr>
        <w:t>;</w:t>
      </w:r>
    </w:p>
    <w:p w:rsidR="00C90052" w:rsidRPr="00AF5B6D" w:rsidRDefault="00703C02" w:rsidP="007B3E88">
      <w:pPr>
        <w:pStyle w:val="Paragraphedeliste"/>
        <w:numPr>
          <w:ilvl w:val="0"/>
          <w:numId w:val="100"/>
        </w:numPr>
        <w:suppressLineNumbers/>
        <w:suppressAutoHyphens/>
        <w:kinsoku w:val="0"/>
        <w:overflowPunct w:val="0"/>
        <w:autoSpaceDE w:val="0"/>
        <w:autoSpaceDN w:val="0"/>
        <w:spacing w:before="120" w:after="120"/>
        <w:ind w:left="0" w:firstLine="720"/>
        <w:contextualSpacing w:val="0"/>
        <w:rPr>
          <w:bCs/>
          <w:iCs/>
          <w:kern w:val="22"/>
          <w:szCs w:val="22"/>
          <w:lang w:val="fr-CA"/>
        </w:rPr>
      </w:pPr>
      <w:r w:rsidRPr="00AF5B6D">
        <w:rPr>
          <w:bCs/>
          <w:iCs/>
          <w:kern w:val="22"/>
          <w:szCs w:val="22"/>
          <w:lang w:val="fr-CA"/>
        </w:rPr>
        <w:t xml:space="preserve">Les caractéristiques principales suivantes de l’aire doivent </w:t>
      </w:r>
      <w:r w:rsidR="008D098D">
        <w:rPr>
          <w:bCs/>
          <w:iCs/>
          <w:kern w:val="22"/>
          <w:szCs w:val="22"/>
          <w:lang w:val="fr-CA"/>
        </w:rPr>
        <w:t>entrer en ligne de compte</w:t>
      </w:r>
      <w:r w:rsidRPr="00AF5B6D">
        <w:rPr>
          <w:bCs/>
          <w:iCs/>
          <w:kern w:val="22"/>
          <w:szCs w:val="22"/>
          <w:lang w:val="fr-CA"/>
        </w:rPr>
        <w:t xml:space="preserve"> lors de l’évaluation des applications particulières d’une mesure de conservation/gestion par zone </w:t>
      </w:r>
      <w:r w:rsidR="00C90052" w:rsidRPr="00AF5B6D">
        <w:rPr>
          <w:bCs/>
          <w:iCs/>
          <w:kern w:val="22"/>
          <w:szCs w:val="22"/>
          <w:lang w:val="fr-CA"/>
        </w:rPr>
        <w:t>:</w:t>
      </w:r>
    </w:p>
    <w:p w:rsidR="00C90052" w:rsidRPr="00AF5B6D" w:rsidRDefault="00703C02" w:rsidP="00703C02">
      <w:pPr>
        <w:pStyle w:val="Paragraphedeliste"/>
        <w:numPr>
          <w:ilvl w:val="1"/>
          <w:numId w:val="101"/>
        </w:numPr>
        <w:suppressLineNumbers/>
        <w:suppressAutoHyphens/>
        <w:kinsoku w:val="0"/>
        <w:overflowPunct w:val="0"/>
        <w:autoSpaceDE w:val="0"/>
        <w:autoSpaceDN w:val="0"/>
        <w:spacing w:before="120" w:after="120"/>
        <w:contextualSpacing w:val="0"/>
        <w:rPr>
          <w:bCs/>
          <w:iCs/>
          <w:kern w:val="22"/>
          <w:szCs w:val="22"/>
          <w:lang w:val="fr-CA"/>
        </w:rPr>
      </w:pPr>
      <w:r w:rsidRPr="00AF5B6D">
        <w:rPr>
          <w:bCs/>
          <w:iCs/>
          <w:kern w:val="22"/>
          <w:szCs w:val="22"/>
          <w:lang w:val="fr-CA"/>
        </w:rPr>
        <w:t xml:space="preserve">Les éléments écologiques du problème de conservation </w:t>
      </w:r>
      <w:r w:rsidR="00FB7115" w:rsidRPr="00AF5B6D">
        <w:rPr>
          <w:bCs/>
          <w:iCs/>
          <w:kern w:val="22"/>
          <w:szCs w:val="22"/>
          <w:lang w:val="fr-CA"/>
        </w:rPr>
        <w:t xml:space="preserve">précis dans l’aire et dans </w:t>
      </w:r>
      <w:r w:rsidR="00B13459">
        <w:rPr>
          <w:bCs/>
          <w:iCs/>
          <w:kern w:val="22"/>
          <w:szCs w:val="22"/>
          <w:lang w:val="fr-CA"/>
        </w:rPr>
        <w:t>la</w:t>
      </w:r>
      <w:r w:rsidR="00FB7115" w:rsidRPr="00AF5B6D">
        <w:rPr>
          <w:bCs/>
          <w:iCs/>
          <w:kern w:val="22"/>
          <w:szCs w:val="22"/>
          <w:lang w:val="fr-CA"/>
        </w:rPr>
        <w:t xml:space="preserve"> plus grande région, et la façon dont la mesure peut contribuer à leur conservation</w:t>
      </w:r>
      <w:r w:rsidR="00C90052" w:rsidRPr="00AF5B6D">
        <w:rPr>
          <w:bCs/>
          <w:iCs/>
          <w:kern w:val="22"/>
          <w:szCs w:val="22"/>
          <w:lang w:val="fr-CA"/>
        </w:rPr>
        <w:t>;</w:t>
      </w:r>
    </w:p>
    <w:p w:rsidR="00C90052" w:rsidRPr="00AF5B6D" w:rsidRDefault="00FB7115" w:rsidP="007B3E88">
      <w:pPr>
        <w:pStyle w:val="Paragraphedeliste"/>
        <w:numPr>
          <w:ilvl w:val="1"/>
          <w:numId w:val="101"/>
        </w:numPr>
        <w:suppressLineNumbers/>
        <w:suppressAutoHyphens/>
        <w:kinsoku w:val="0"/>
        <w:overflowPunct w:val="0"/>
        <w:autoSpaceDE w:val="0"/>
        <w:autoSpaceDN w:val="0"/>
        <w:spacing w:before="120" w:after="120"/>
        <w:ind w:hanging="450"/>
        <w:contextualSpacing w:val="0"/>
        <w:rPr>
          <w:bCs/>
          <w:iCs/>
          <w:kern w:val="22"/>
          <w:szCs w:val="22"/>
          <w:lang w:val="fr-CA"/>
        </w:rPr>
      </w:pPr>
      <w:r w:rsidRPr="00AF5B6D">
        <w:rPr>
          <w:bCs/>
          <w:iCs/>
          <w:kern w:val="22"/>
          <w:szCs w:val="22"/>
          <w:lang w:val="fr-CA"/>
        </w:rPr>
        <w:t>L’importance, la durée et la portée des restrictions et des placements dans l’aire</w:t>
      </w:r>
      <w:r w:rsidR="00C90052" w:rsidRPr="00AF5B6D">
        <w:rPr>
          <w:bCs/>
          <w:iCs/>
          <w:kern w:val="22"/>
          <w:szCs w:val="22"/>
          <w:lang w:val="fr-CA"/>
        </w:rPr>
        <w:t>;</w:t>
      </w:r>
    </w:p>
    <w:p w:rsidR="00C90052" w:rsidRPr="00AF5B6D" w:rsidRDefault="00FB7115" w:rsidP="007B3E88">
      <w:pPr>
        <w:pStyle w:val="Paragraphedeliste"/>
        <w:numPr>
          <w:ilvl w:val="1"/>
          <w:numId w:val="101"/>
        </w:numPr>
        <w:suppressLineNumbers/>
        <w:suppressAutoHyphens/>
        <w:kinsoku w:val="0"/>
        <w:overflowPunct w:val="0"/>
        <w:autoSpaceDE w:val="0"/>
        <w:autoSpaceDN w:val="0"/>
        <w:spacing w:before="120" w:after="120"/>
        <w:ind w:hanging="450"/>
        <w:contextualSpacing w:val="0"/>
        <w:rPr>
          <w:bCs/>
          <w:iCs/>
          <w:kern w:val="22"/>
          <w:szCs w:val="22"/>
          <w:lang w:val="fr-CA"/>
        </w:rPr>
      </w:pPr>
      <w:r w:rsidRPr="00AF5B6D">
        <w:rPr>
          <w:bCs/>
          <w:iCs/>
          <w:kern w:val="22"/>
          <w:szCs w:val="22"/>
          <w:lang w:val="fr-CA"/>
        </w:rPr>
        <w:t>La capa</w:t>
      </w:r>
      <w:r w:rsidR="00B13459">
        <w:rPr>
          <w:bCs/>
          <w:iCs/>
          <w:kern w:val="22"/>
          <w:szCs w:val="22"/>
          <w:lang w:val="fr-CA"/>
        </w:rPr>
        <w:t>cité de l’autorité de gestion à</w:t>
      </w:r>
      <w:r w:rsidRPr="00AF5B6D">
        <w:rPr>
          <w:bCs/>
          <w:iCs/>
          <w:kern w:val="22"/>
          <w:szCs w:val="22"/>
          <w:lang w:val="fr-CA"/>
        </w:rPr>
        <w:t xml:space="preserve"> mettre en œuvre une mesure adoptée, et d’effectuer un suivi et d’assurer son application dans l’aire pendant que la mesure est en place</w:t>
      </w:r>
      <w:r w:rsidR="00C90052" w:rsidRPr="00AF5B6D">
        <w:rPr>
          <w:bCs/>
          <w:iCs/>
          <w:kern w:val="22"/>
          <w:szCs w:val="22"/>
          <w:lang w:val="fr-CA"/>
        </w:rPr>
        <w:t>;</w:t>
      </w:r>
    </w:p>
    <w:p w:rsidR="00C90052" w:rsidRPr="00AF5B6D" w:rsidRDefault="00FB7115" w:rsidP="007B3E88">
      <w:pPr>
        <w:pStyle w:val="Paragraphedeliste"/>
        <w:numPr>
          <w:ilvl w:val="1"/>
          <w:numId w:val="101"/>
        </w:numPr>
        <w:suppressLineNumbers/>
        <w:suppressAutoHyphens/>
        <w:kinsoku w:val="0"/>
        <w:overflowPunct w:val="0"/>
        <w:autoSpaceDE w:val="0"/>
        <w:autoSpaceDN w:val="0"/>
        <w:spacing w:before="120" w:after="120"/>
        <w:ind w:hanging="450"/>
        <w:contextualSpacing w:val="0"/>
        <w:rPr>
          <w:bCs/>
          <w:iCs/>
          <w:kern w:val="22"/>
          <w:szCs w:val="22"/>
          <w:lang w:val="fr-CA"/>
        </w:rPr>
      </w:pPr>
      <w:r w:rsidRPr="00AF5B6D">
        <w:rPr>
          <w:bCs/>
          <w:iCs/>
          <w:kern w:val="22"/>
          <w:szCs w:val="22"/>
          <w:lang w:val="fr-CA"/>
        </w:rPr>
        <w:t>La contribution possible de la mesure à l’utilisation durable en plus de la conservation</w:t>
      </w:r>
      <w:r w:rsidR="00C90052" w:rsidRPr="00AF5B6D">
        <w:rPr>
          <w:bCs/>
          <w:iCs/>
          <w:kern w:val="22"/>
          <w:szCs w:val="22"/>
          <w:lang w:val="fr-CA"/>
        </w:rPr>
        <w:t>;</w:t>
      </w:r>
    </w:p>
    <w:p w:rsidR="00C90052" w:rsidRPr="00AF5B6D" w:rsidRDefault="00BC0014" w:rsidP="007B3E88">
      <w:pPr>
        <w:pStyle w:val="Paragraphedeliste"/>
        <w:numPr>
          <w:ilvl w:val="0"/>
          <w:numId w:val="100"/>
        </w:numPr>
        <w:suppressLineNumbers/>
        <w:suppressAutoHyphens/>
        <w:kinsoku w:val="0"/>
        <w:overflowPunct w:val="0"/>
        <w:autoSpaceDE w:val="0"/>
        <w:autoSpaceDN w:val="0"/>
        <w:spacing w:before="120" w:after="120"/>
        <w:ind w:left="0" w:firstLine="720"/>
        <w:contextualSpacing w:val="0"/>
        <w:rPr>
          <w:bCs/>
          <w:iCs/>
          <w:kern w:val="22"/>
          <w:szCs w:val="22"/>
          <w:lang w:val="fr-CA"/>
        </w:rPr>
      </w:pPr>
      <w:r w:rsidRPr="00AF5B6D">
        <w:rPr>
          <w:kern w:val="22"/>
          <w:szCs w:val="22"/>
          <w:lang w:val="fr-CA"/>
        </w:rPr>
        <w:t xml:space="preserve">Les attributs importants suivants doivent </w:t>
      </w:r>
      <w:r w:rsidR="00B13459">
        <w:rPr>
          <w:kern w:val="22"/>
          <w:szCs w:val="22"/>
          <w:lang w:val="fr-CA"/>
        </w:rPr>
        <w:t xml:space="preserve">être </w:t>
      </w:r>
      <w:r w:rsidRPr="00AF5B6D">
        <w:rPr>
          <w:kern w:val="22"/>
          <w:szCs w:val="22"/>
          <w:lang w:val="fr-CA"/>
        </w:rPr>
        <w:t xml:space="preserve">pris en ligne de compte dans le contexte dans lequel la mesure sera appliquée, dans l’analyse au cas par cas </w:t>
      </w:r>
      <w:r w:rsidR="00C90052" w:rsidRPr="00AF5B6D">
        <w:rPr>
          <w:kern w:val="22"/>
          <w:szCs w:val="22"/>
          <w:lang w:val="fr-CA"/>
        </w:rPr>
        <w:t>:</w:t>
      </w:r>
    </w:p>
    <w:p w:rsidR="00C90052" w:rsidRPr="00AF5B6D" w:rsidRDefault="00BC0014" w:rsidP="002E0E24">
      <w:pPr>
        <w:pStyle w:val="Paragraphedeliste"/>
        <w:numPr>
          <w:ilvl w:val="1"/>
          <w:numId w:val="102"/>
        </w:numPr>
        <w:suppressLineNumbers/>
        <w:suppressAutoHyphens/>
        <w:kinsoku w:val="0"/>
        <w:overflowPunct w:val="0"/>
        <w:autoSpaceDE w:val="0"/>
        <w:autoSpaceDN w:val="0"/>
        <w:spacing w:before="120" w:after="120"/>
        <w:ind w:hanging="540"/>
        <w:contextualSpacing w:val="0"/>
        <w:rPr>
          <w:bCs/>
          <w:iCs/>
          <w:kern w:val="22"/>
          <w:szCs w:val="22"/>
          <w:lang w:val="fr-CA"/>
        </w:rPr>
      </w:pPr>
      <w:r w:rsidRPr="00AF5B6D">
        <w:rPr>
          <w:kern w:val="22"/>
          <w:szCs w:val="22"/>
          <w:lang w:val="fr-CA"/>
        </w:rPr>
        <w:t>La mesure dans laquelle la mesure a été développée dans le cadre de l’approche par écosystème et est bien intégrée aux autres mesures utilisées</w:t>
      </w:r>
      <w:r w:rsidR="00C90052" w:rsidRPr="00AF5B6D">
        <w:rPr>
          <w:kern w:val="22"/>
          <w:szCs w:val="22"/>
          <w:lang w:val="fr-CA"/>
        </w:rPr>
        <w:t>;</w:t>
      </w:r>
    </w:p>
    <w:p w:rsidR="00C90052" w:rsidRPr="00AF5B6D" w:rsidRDefault="002E0E24" w:rsidP="007B3E88">
      <w:pPr>
        <w:pStyle w:val="Paragraphedeliste"/>
        <w:numPr>
          <w:ilvl w:val="1"/>
          <w:numId w:val="102"/>
        </w:numPr>
        <w:suppressLineNumbers/>
        <w:suppressAutoHyphens/>
        <w:kinsoku w:val="0"/>
        <w:overflowPunct w:val="0"/>
        <w:autoSpaceDE w:val="0"/>
        <w:autoSpaceDN w:val="0"/>
        <w:spacing w:before="120" w:after="120"/>
        <w:ind w:hanging="540"/>
        <w:contextualSpacing w:val="0"/>
        <w:rPr>
          <w:bCs/>
          <w:iCs/>
          <w:kern w:val="22"/>
          <w:szCs w:val="22"/>
          <w:lang w:val="fr-CA"/>
        </w:rPr>
      </w:pPr>
      <w:r w:rsidRPr="00AF5B6D">
        <w:rPr>
          <w:kern w:val="22"/>
          <w:szCs w:val="22"/>
          <w:lang w:val="fr-CA"/>
        </w:rPr>
        <w:t>La mesure dans laquelle la mesure a été</w:t>
      </w:r>
      <w:r w:rsidR="000172E3">
        <w:rPr>
          <w:kern w:val="22"/>
          <w:szCs w:val="22"/>
          <w:lang w:val="fr-CA"/>
        </w:rPr>
        <w:t xml:space="preserve"> développée à partir</w:t>
      </w:r>
      <w:r w:rsidRPr="00AF5B6D">
        <w:rPr>
          <w:kern w:val="22"/>
          <w:szCs w:val="22"/>
          <w:lang w:val="fr-CA"/>
        </w:rPr>
        <w:t xml:space="preserve"> de la meilleure information scientifique et des meilleures connaissances autochtones et locales disponibles, en prenant les précautions nécessaires</w:t>
      </w:r>
      <w:r w:rsidR="00C90052" w:rsidRPr="00AF5B6D">
        <w:rPr>
          <w:kern w:val="22"/>
          <w:szCs w:val="22"/>
          <w:lang w:val="fr-CA"/>
        </w:rPr>
        <w:t>;</w:t>
      </w:r>
    </w:p>
    <w:p w:rsidR="00C90052" w:rsidRPr="00AF5B6D" w:rsidRDefault="002E0E24" w:rsidP="007B3E88">
      <w:pPr>
        <w:pStyle w:val="Paragraphedeliste"/>
        <w:numPr>
          <w:ilvl w:val="1"/>
          <w:numId w:val="102"/>
        </w:numPr>
        <w:suppressLineNumbers/>
        <w:suppressAutoHyphens/>
        <w:kinsoku w:val="0"/>
        <w:overflowPunct w:val="0"/>
        <w:autoSpaceDE w:val="0"/>
        <w:autoSpaceDN w:val="0"/>
        <w:spacing w:before="120" w:after="120"/>
        <w:ind w:hanging="540"/>
        <w:contextualSpacing w:val="0"/>
        <w:rPr>
          <w:bCs/>
          <w:iCs/>
          <w:kern w:val="22"/>
          <w:szCs w:val="22"/>
          <w:lang w:val="fr-CA"/>
        </w:rPr>
      </w:pPr>
      <w:r w:rsidRPr="00AF5B6D">
        <w:rPr>
          <w:kern w:val="22"/>
          <w:szCs w:val="22"/>
          <w:lang w:val="fr-CA"/>
        </w:rPr>
        <w:t xml:space="preserve">Le niveau de protection qu’offre la mesure aux éléments de la diversité biologique de </w:t>
      </w:r>
      <w:bookmarkStart w:id="4" w:name="_GoBack"/>
      <w:bookmarkEnd w:id="4"/>
      <w:r w:rsidRPr="00AF5B6D">
        <w:rPr>
          <w:kern w:val="22"/>
          <w:szCs w:val="22"/>
          <w:lang w:val="fr-CA"/>
        </w:rPr>
        <w:t>grande priorité en tenant compte des autres menaces réelles ou possibles dans la même aire et, si pertinent, à l’extérieur de l’aire</w:t>
      </w:r>
      <w:r w:rsidR="00C90052" w:rsidRPr="00AF5B6D">
        <w:rPr>
          <w:kern w:val="22"/>
          <w:szCs w:val="22"/>
          <w:lang w:val="fr-CA"/>
        </w:rPr>
        <w:t>;</w:t>
      </w:r>
    </w:p>
    <w:p w:rsidR="00C90052" w:rsidRPr="00AF5B6D" w:rsidRDefault="002E0E24" w:rsidP="007B3E88">
      <w:pPr>
        <w:pStyle w:val="Paragraphedeliste"/>
        <w:numPr>
          <w:ilvl w:val="1"/>
          <w:numId w:val="102"/>
        </w:numPr>
        <w:suppressLineNumbers/>
        <w:suppressAutoHyphens/>
        <w:kinsoku w:val="0"/>
        <w:overflowPunct w:val="0"/>
        <w:autoSpaceDE w:val="0"/>
        <w:autoSpaceDN w:val="0"/>
        <w:spacing w:before="120" w:after="120"/>
        <w:ind w:hanging="540"/>
        <w:contextualSpacing w:val="0"/>
        <w:rPr>
          <w:bCs/>
          <w:iCs/>
          <w:kern w:val="22"/>
          <w:szCs w:val="22"/>
          <w:lang w:val="fr-CA"/>
        </w:rPr>
      </w:pPr>
      <w:r w:rsidRPr="00AF5B6D">
        <w:rPr>
          <w:kern w:val="22"/>
          <w:szCs w:val="22"/>
          <w:lang w:val="fr-CA"/>
        </w:rPr>
        <w:t>Les processus de gouvernance ayant mené à l’élaboration et l’adoption de la mesure, et leurs conséquences sur la conformité et la coopération à la mesure</w:t>
      </w:r>
      <w:r w:rsidR="00C90052" w:rsidRPr="00AF5B6D">
        <w:rPr>
          <w:kern w:val="22"/>
          <w:szCs w:val="22"/>
          <w:lang w:val="fr-CA"/>
        </w:rPr>
        <w:t>.</w:t>
      </w:r>
    </w:p>
    <w:p w:rsidR="00C90052" w:rsidRPr="00AF5B6D" w:rsidRDefault="002E0E24" w:rsidP="007B3E88">
      <w:pPr>
        <w:pStyle w:val="Paragraphedeliste"/>
        <w:numPr>
          <w:ilvl w:val="0"/>
          <w:numId w:val="100"/>
        </w:numPr>
        <w:suppressLineNumbers/>
        <w:suppressAutoHyphens/>
        <w:kinsoku w:val="0"/>
        <w:overflowPunct w:val="0"/>
        <w:autoSpaceDE w:val="0"/>
        <w:autoSpaceDN w:val="0"/>
        <w:spacing w:before="120" w:after="120"/>
        <w:ind w:left="0" w:firstLine="720"/>
        <w:contextualSpacing w:val="0"/>
        <w:rPr>
          <w:bCs/>
          <w:iCs/>
          <w:kern w:val="22"/>
          <w:szCs w:val="22"/>
          <w:lang w:val="fr-CA"/>
        </w:rPr>
      </w:pPr>
      <w:r w:rsidRPr="00AF5B6D">
        <w:rPr>
          <w:kern w:val="22"/>
          <w:szCs w:val="22"/>
          <w:lang w:val="fr-CA"/>
        </w:rPr>
        <w:t>Il est important que les résultats de la conservation soient appuy</w:t>
      </w:r>
      <w:r w:rsidR="005E5277" w:rsidRPr="00AF5B6D">
        <w:rPr>
          <w:kern w:val="22"/>
          <w:szCs w:val="22"/>
          <w:lang w:val="fr-CA"/>
        </w:rPr>
        <w:t>és par de solides éléments prob</w:t>
      </w:r>
      <w:r w:rsidRPr="00AF5B6D">
        <w:rPr>
          <w:kern w:val="22"/>
          <w:szCs w:val="22"/>
          <w:lang w:val="fr-CA"/>
        </w:rPr>
        <w:t xml:space="preserve">ants, et </w:t>
      </w:r>
      <w:r w:rsidR="005E5277" w:rsidRPr="00AF5B6D">
        <w:rPr>
          <w:kern w:val="22"/>
          <w:szCs w:val="22"/>
          <w:lang w:val="fr-CA"/>
        </w:rPr>
        <w:t>d’a</w:t>
      </w:r>
      <w:r w:rsidR="00B13459">
        <w:rPr>
          <w:kern w:val="22"/>
          <w:szCs w:val="22"/>
          <w:lang w:val="fr-CA"/>
        </w:rPr>
        <w:t xml:space="preserve">ccorder une certaine souplesse </w:t>
      </w:r>
      <w:r w:rsidR="005E5277" w:rsidRPr="00AF5B6D">
        <w:rPr>
          <w:kern w:val="22"/>
          <w:szCs w:val="22"/>
          <w:lang w:val="fr-CA"/>
        </w:rPr>
        <w:t>afin d’élaborer des mesures propres au contexte qui visent plus d’un objectif, au lieu de se fier à des critères de contribution normatifs</w:t>
      </w:r>
      <w:r w:rsidR="00C90052" w:rsidRPr="00AF5B6D">
        <w:rPr>
          <w:kern w:val="22"/>
          <w:szCs w:val="22"/>
          <w:lang w:val="fr-CA"/>
        </w:rPr>
        <w:t>;</w:t>
      </w:r>
    </w:p>
    <w:p w:rsidR="00C90052" w:rsidRPr="00AF5B6D" w:rsidRDefault="005E5277" w:rsidP="007B3E88">
      <w:pPr>
        <w:pStyle w:val="Paragraphedeliste"/>
        <w:numPr>
          <w:ilvl w:val="0"/>
          <w:numId w:val="100"/>
        </w:numPr>
        <w:suppressLineNumbers/>
        <w:suppressAutoHyphens/>
        <w:kinsoku w:val="0"/>
        <w:overflowPunct w:val="0"/>
        <w:autoSpaceDE w:val="0"/>
        <w:autoSpaceDN w:val="0"/>
        <w:spacing w:before="120" w:after="120"/>
        <w:ind w:left="0" w:firstLine="720"/>
        <w:contextualSpacing w:val="0"/>
        <w:rPr>
          <w:bCs/>
          <w:iCs/>
          <w:kern w:val="22"/>
          <w:szCs w:val="22"/>
          <w:lang w:val="fr-CA"/>
        </w:rPr>
      </w:pPr>
      <w:r w:rsidRPr="00AF5B6D">
        <w:rPr>
          <w:kern w:val="22"/>
          <w:szCs w:val="22"/>
          <w:lang w:val="fr-CA"/>
        </w:rPr>
        <w:t xml:space="preserve">Il est important que l’élaboration des mesures de conservation par zone </w:t>
      </w:r>
      <w:r w:rsidR="00CB591A" w:rsidRPr="00AF5B6D">
        <w:rPr>
          <w:kern w:val="22"/>
          <w:szCs w:val="22"/>
          <w:lang w:val="fr-CA"/>
        </w:rPr>
        <w:t>contiennent</w:t>
      </w:r>
      <w:r w:rsidRPr="00AF5B6D">
        <w:rPr>
          <w:kern w:val="22"/>
          <w:szCs w:val="22"/>
          <w:lang w:val="fr-CA"/>
        </w:rPr>
        <w:t xml:space="preserve"> des cadres de suivi et d’évaluation adéquats</w:t>
      </w:r>
      <w:r w:rsidR="00CB591A" w:rsidRPr="00AF5B6D">
        <w:rPr>
          <w:kern w:val="22"/>
          <w:szCs w:val="22"/>
          <w:lang w:val="fr-CA"/>
        </w:rPr>
        <w:t>,</w:t>
      </w:r>
      <w:r w:rsidRPr="00AF5B6D">
        <w:rPr>
          <w:kern w:val="22"/>
          <w:szCs w:val="22"/>
          <w:lang w:val="fr-CA"/>
        </w:rPr>
        <w:t xml:space="preserve"> </w:t>
      </w:r>
      <w:r w:rsidR="00CB591A" w:rsidRPr="00AF5B6D">
        <w:rPr>
          <w:kern w:val="22"/>
          <w:szCs w:val="22"/>
          <w:lang w:val="fr-CA"/>
        </w:rPr>
        <w:t>afin de d’accumuler des preuves fiables de la réalisation des résultats de conservation.</w:t>
      </w:r>
    </w:p>
    <w:p w:rsidR="00AB1DAA" w:rsidRPr="00AF5B6D" w:rsidRDefault="00564E6F" w:rsidP="007B3E88">
      <w:pPr>
        <w:pStyle w:val="Para1"/>
        <w:numPr>
          <w:ilvl w:val="0"/>
          <w:numId w:val="0"/>
        </w:numPr>
        <w:suppressLineNumbers/>
        <w:suppressAutoHyphens/>
        <w:kinsoku w:val="0"/>
        <w:overflowPunct w:val="0"/>
        <w:autoSpaceDE w:val="0"/>
        <w:autoSpaceDN w:val="0"/>
        <w:jc w:val="center"/>
        <w:rPr>
          <w:kern w:val="22"/>
          <w:szCs w:val="22"/>
          <w:lang w:val="fr-CA"/>
        </w:rPr>
      </w:pPr>
      <w:r w:rsidRPr="00AF5B6D">
        <w:rPr>
          <w:kern w:val="22"/>
          <w:szCs w:val="22"/>
          <w:lang w:val="fr-CA"/>
        </w:rPr>
        <w:t>__________</w:t>
      </w:r>
    </w:p>
    <w:p w:rsidR="00736BC2" w:rsidRPr="00AF5B6D" w:rsidRDefault="00736BC2" w:rsidP="007B3E88">
      <w:pPr>
        <w:pStyle w:val="Para1"/>
        <w:numPr>
          <w:ilvl w:val="0"/>
          <w:numId w:val="0"/>
        </w:numPr>
        <w:suppressLineNumbers/>
        <w:suppressAutoHyphens/>
        <w:kinsoku w:val="0"/>
        <w:overflowPunct w:val="0"/>
        <w:autoSpaceDE w:val="0"/>
        <w:autoSpaceDN w:val="0"/>
        <w:spacing w:before="0" w:after="0"/>
        <w:rPr>
          <w:kern w:val="22"/>
          <w:szCs w:val="22"/>
          <w:lang w:val="fr-CA"/>
        </w:rPr>
      </w:pPr>
    </w:p>
    <w:sectPr w:rsidR="00736BC2" w:rsidRPr="00AF5B6D" w:rsidSect="00831BF6">
      <w:headerReference w:type="even" r:id="rId17"/>
      <w:headerReference w:type="default" r:id="rId18"/>
      <w:footerReference w:type="even" r:id="rId19"/>
      <w:footerReference w:type="first" r:id="rId20"/>
      <w:pgSz w:w="12240" w:h="15840" w:code="1"/>
      <w:pgMar w:top="567" w:right="1440" w:bottom="1134" w:left="153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332" w:rsidRDefault="00962332">
      <w:r>
        <w:separator/>
      </w:r>
    </w:p>
  </w:endnote>
  <w:endnote w:type="continuationSeparator" w:id="0">
    <w:p w:rsidR="00962332" w:rsidRDefault="0096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C0" w:rsidRDefault="00277FC0" w:rsidP="007B3E88">
    <w:pPr>
      <w:pStyle w:val="Pieddepage"/>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C0" w:rsidRDefault="00277FC0" w:rsidP="007B3E88">
    <w:pPr>
      <w:pStyle w:val="Pieddepage"/>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332" w:rsidRDefault="00962332">
      <w:r>
        <w:separator/>
      </w:r>
    </w:p>
  </w:footnote>
  <w:footnote w:type="continuationSeparator" w:id="0">
    <w:p w:rsidR="00962332" w:rsidRDefault="00962332">
      <w:r>
        <w:continuationSeparator/>
      </w:r>
    </w:p>
  </w:footnote>
  <w:footnote w:id="1">
    <w:p w:rsidR="00277FC0" w:rsidRPr="00F11CD2"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D548A8">
        <w:rPr>
          <w:rStyle w:val="Appelnotedebasdep"/>
          <w:snapToGrid w:val="0"/>
          <w:kern w:val="18"/>
          <w:szCs w:val="18"/>
          <w:u w:val="none"/>
          <w:lang w:val="fr-CA"/>
        </w:rPr>
        <w:t>*</w:t>
      </w:r>
      <w:r w:rsidRPr="00D548A8">
        <w:rPr>
          <w:snapToGrid w:val="0"/>
          <w:kern w:val="18"/>
          <w:szCs w:val="18"/>
          <w:lang w:val="fr-CA"/>
        </w:rPr>
        <w:t xml:space="preserve"> </w:t>
      </w:r>
      <w:hyperlink r:id="rId1" w:history="1">
        <w:r w:rsidRPr="00F11CD2">
          <w:rPr>
            <w:rStyle w:val="Lienhypertexte"/>
            <w:snapToGrid w:val="0"/>
            <w:kern w:val="18"/>
            <w:szCs w:val="18"/>
            <w:lang w:val="fr-CA"/>
          </w:rPr>
          <w:t>CBD/</w:t>
        </w:r>
        <w:proofErr w:type="spellStart"/>
        <w:r w:rsidRPr="00F11CD2">
          <w:rPr>
            <w:rStyle w:val="Lienhypertexte"/>
            <w:snapToGrid w:val="0"/>
            <w:kern w:val="18"/>
            <w:szCs w:val="18"/>
            <w:lang w:val="fr-CA"/>
          </w:rPr>
          <w:t>S</w:t>
        </w:r>
        <w:r w:rsidRPr="00F11CD2">
          <w:rPr>
            <w:rStyle w:val="Lienhypertexte"/>
            <w:snapToGrid w:val="0"/>
            <w:kern w:val="18"/>
            <w:szCs w:val="18"/>
            <w:lang w:val="fr-CA"/>
          </w:rPr>
          <w:t>BSTTA</w:t>
        </w:r>
        <w:proofErr w:type="spellEnd"/>
        <w:r w:rsidRPr="00F11CD2">
          <w:rPr>
            <w:rStyle w:val="Lienhypertexte"/>
            <w:snapToGrid w:val="0"/>
            <w:kern w:val="18"/>
            <w:szCs w:val="18"/>
            <w:lang w:val="fr-CA"/>
          </w:rPr>
          <w:t>/22/1</w:t>
        </w:r>
      </w:hyperlink>
      <w:r w:rsidRPr="00F11CD2">
        <w:rPr>
          <w:snapToGrid w:val="0"/>
          <w:kern w:val="18"/>
          <w:szCs w:val="18"/>
          <w:lang w:val="fr-CA"/>
        </w:rPr>
        <w:t>.</w:t>
      </w:r>
    </w:p>
  </w:footnote>
  <w:footnote w:id="2">
    <w:p w:rsidR="00277FC0" w:rsidRPr="00F11CD2" w:rsidRDefault="00277FC0" w:rsidP="00F11CD2">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F11CD2">
        <w:rPr>
          <w:rStyle w:val="Appelnotedebasdep"/>
          <w:snapToGrid w:val="0"/>
          <w:kern w:val="18"/>
          <w:szCs w:val="18"/>
          <w:u w:val="none"/>
          <w:vertAlign w:val="superscript"/>
          <w:lang w:val="fr-CA"/>
        </w:rPr>
        <w:footnoteRef/>
      </w:r>
      <w:r w:rsidRPr="00F11CD2">
        <w:rPr>
          <w:snapToGrid w:val="0"/>
          <w:kern w:val="18"/>
          <w:szCs w:val="18"/>
          <w:lang w:val="fr-CA"/>
        </w:rPr>
        <w:t xml:space="preserve"> Paragraphes </w:t>
      </w:r>
      <w:r w:rsidRPr="00F11CD2">
        <w:rPr>
          <w:rFonts w:eastAsia="Calibri"/>
          <w:snapToGrid w:val="0"/>
          <w:kern w:val="18"/>
          <w:szCs w:val="18"/>
          <w:lang w:val="fr-CA"/>
        </w:rPr>
        <w:t>10 a), 10 b) et 10 c) respectivement de la d</w:t>
      </w:r>
      <w:r>
        <w:rPr>
          <w:rFonts w:eastAsia="Calibri"/>
          <w:snapToGrid w:val="0"/>
          <w:kern w:val="18"/>
          <w:szCs w:val="18"/>
          <w:lang w:val="fr-CA"/>
        </w:rPr>
        <w:t>é</w:t>
      </w:r>
      <w:r w:rsidRPr="00F11CD2">
        <w:rPr>
          <w:rFonts w:eastAsia="Calibri"/>
          <w:snapToGrid w:val="0"/>
          <w:kern w:val="18"/>
          <w:szCs w:val="18"/>
          <w:lang w:val="fr-CA"/>
        </w:rPr>
        <w:t>cision XIII/2.</w:t>
      </w:r>
    </w:p>
  </w:footnote>
  <w:footnote w:id="3">
    <w:p w:rsidR="00277FC0" w:rsidRPr="00F11CD2"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F11CD2">
        <w:rPr>
          <w:rStyle w:val="Appelnotedebasdep"/>
          <w:snapToGrid w:val="0"/>
          <w:kern w:val="18"/>
          <w:szCs w:val="18"/>
          <w:u w:val="none"/>
          <w:vertAlign w:val="superscript"/>
          <w:lang w:val="fr-CA"/>
        </w:rPr>
        <w:footnoteRef/>
      </w:r>
      <w:r w:rsidRPr="00F11CD2">
        <w:rPr>
          <w:snapToGrid w:val="0"/>
          <w:kern w:val="18"/>
          <w:szCs w:val="18"/>
          <w:lang w:val="fr-CA"/>
        </w:rPr>
        <w:t xml:space="preserve"> </w:t>
      </w:r>
      <w:r>
        <w:rPr>
          <w:snapToGrid w:val="0"/>
          <w:kern w:val="18"/>
          <w:szCs w:val="18"/>
          <w:lang w:val="fr-CA"/>
        </w:rPr>
        <w:t>Rappelant le paragraphe 76 de la</w:t>
      </w:r>
      <w:r w:rsidRPr="00F11CD2">
        <w:rPr>
          <w:snapToGrid w:val="0"/>
          <w:color w:val="000000"/>
          <w:kern w:val="18"/>
          <w:szCs w:val="18"/>
          <w:lang w:val="fr-CA"/>
        </w:rPr>
        <w:t xml:space="preserve"> </w:t>
      </w:r>
      <w:hyperlink r:id="rId2" w:history="1">
        <w:r w:rsidRPr="00F11CD2">
          <w:rPr>
            <w:rStyle w:val="Lienhypertexte"/>
            <w:snapToGrid w:val="0"/>
            <w:kern w:val="18"/>
            <w:szCs w:val="18"/>
            <w:lang w:val="fr-CA"/>
          </w:rPr>
          <w:t>d</w:t>
        </w:r>
        <w:r>
          <w:rPr>
            <w:rStyle w:val="Lienhypertexte"/>
            <w:snapToGrid w:val="0"/>
            <w:kern w:val="18"/>
            <w:szCs w:val="18"/>
            <w:lang w:val="fr-CA"/>
          </w:rPr>
          <w:t>é</w:t>
        </w:r>
        <w:r w:rsidRPr="00F11CD2">
          <w:rPr>
            <w:rStyle w:val="Lienhypertexte"/>
            <w:snapToGrid w:val="0"/>
            <w:kern w:val="18"/>
            <w:szCs w:val="18"/>
            <w:lang w:val="fr-CA"/>
          </w:rPr>
          <w:t>cisi</w:t>
        </w:r>
        <w:r w:rsidRPr="00F11CD2">
          <w:rPr>
            <w:rStyle w:val="Lienhypertexte"/>
            <w:snapToGrid w:val="0"/>
            <w:kern w:val="18"/>
            <w:szCs w:val="18"/>
            <w:lang w:val="fr-CA"/>
          </w:rPr>
          <w:t>o</w:t>
        </w:r>
        <w:r w:rsidRPr="00F11CD2">
          <w:rPr>
            <w:rStyle w:val="Lienhypertexte"/>
            <w:snapToGrid w:val="0"/>
            <w:kern w:val="18"/>
            <w:szCs w:val="18"/>
            <w:lang w:val="fr-CA"/>
          </w:rPr>
          <w:t>n X/29</w:t>
        </w:r>
      </w:hyperlink>
      <w:r w:rsidRPr="00F11CD2">
        <w:rPr>
          <w:snapToGrid w:val="0"/>
          <w:color w:val="000000"/>
          <w:kern w:val="18"/>
          <w:szCs w:val="18"/>
          <w:lang w:val="fr-CA"/>
        </w:rPr>
        <w:t xml:space="preserve"> </w:t>
      </w:r>
      <w:r>
        <w:rPr>
          <w:snapToGrid w:val="0"/>
          <w:color w:val="000000"/>
          <w:kern w:val="18"/>
          <w:szCs w:val="18"/>
          <w:lang w:val="fr-CA"/>
        </w:rPr>
        <w:t xml:space="preserve">et le paragraphe 1 b) de la </w:t>
      </w:r>
      <w:hyperlink r:id="rId3" w:history="1">
        <w:r>
          <w:rPr>
            <w:rStyle w:val="Lienhypertexte"/>
            <w:snapToGrid w:val="0"/>
            <w:kern w:val="18"/>
            <w:szCs w:val="18"/>
            <w:lang w:val="fr-CA"/>
          </w:rPr>
          <w:t>dé</w:t>
        </w:r>
        <w:r w:rsidRPr="00F11CD2">
          <w:rPr>
            <w:rStyle w:val="Lienhypertexte"/>
            <w:snapToGrid w:val="0"/>
            <w:kern w:val="18"/>
            <w:szCs w:val="18"/>
            <w:lang w:val="fr-CA"/>
          </w:rPr>
          <w:t>cisi</w:t>
        </w:r>
        <w:r w:rsidRPr="00F11CD2">
          <w:rPr>
            <w:rStyle w:val="Lienhypertexte"/>
            <w:snapToGrid w:val="0"/>
            <w:kern w:val="18"/>
            <w:szCs w:val="18"/>
            <w:lang w:val="fr-CA"/>
          </w:rPr>
          <w:t>o</w:t>
        </w:r>
        <w:r w:rsidRPr="00F11CD2">
          <w:rPr>
            <w:rStyle w:val="Lienhypertexte"/>
            <w:snapToGrid w:val="0"/>
            <w:kern w:val="18"/>
            <w:szCs w:val="18"/>
            <w:lang w:val="fr-CA"/>
          </w:rPr>
          <w:t>n XI/24</w:t>
        </w:r>
      </w:hyperlink>
      <w:r w:rsidRPr="00F11CD2">
        <w:rPr>
          <w:snapToGrid w:val="0"/>
          <w:color w:val="000000"/>
          <w:kern w:val="18"/>
          <w:szCs w:val="18"/>
          <w:lang w:val="fr-CA"/>
        </w:rPr>
        <w:t>.</w:t>
      </w:r>
    </w:p>
  </w:footnote>
  <w:footnote w:id="4">
    <w:p w:rsidR="00277FC0" w:rsidRPr="00E60A17" w:rsidRDefault="00277FC0" w:rsidP="003B151A">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7B3E88">
        <w:rPr>
          <w:rStyle w:val="Appelnotedebasdep"/>
          <w:snapToGrid w:val="0"/>
          <w:kern w:val="18"/>
          <w:szCs w:val="18"/>
          <w:u w:val="none"/>
          <w:vertAlign w:val="superscript"/>
        </w:rPr>
        <w:footnoteRef/>
      </w:r>
      <w:r w:rsidRPr="00E60A17">
        <w:rPr>
          <w:snapToGrid w:val="0"/>
          <w:kern w:val="18"/>
          <w:szCs w:val="18"/>
          <w:lang w:val="fr-CA"/>
        </w:rPr>
        <w:t xml:space="preserve"> </w:t>
      </w:r>
      <w:r>
        <w:rPr>
          <w:snapToGrid w:val="0"/>
          <w:kern w:val="18"/>
          <w:szCs w:val="18"/>
          <w:lang w:val="fr-CA"/>
        </w:rPr>
        <w:t>Voir la</w:t>
      </w:r>
      <w:r w:rsidRPr="00E60A17">
        <w:rPr>
          <w:snapToGrid w:val="0"/>
          <w:kern w:val="18"/>
          <w:szCs w:val="18"/>
          <w:lang w:val="fr-CA"/>
        </w:rPr>
        <w:t xml:space="preserve"> </w:t>
      </w:r>
      <w:hyperlink r:id="rId4" w:history="1">
        <w:r w:rsidRPr="00E60A17">
          <w:rPr>
            <w:rStyle w:val="Lienhypertexte"/>
            <w:snapToGrid w:val="0"/>
            <w:kern w:val="18"/>
            <w:szCs w:val="18"/>
            <w:lang w:val="fr-CA"/>
          </w:rPr>
          <w:t>d</w:t>
        </w:r>
        <w:r>
          <w:rPr>
            <w:rStyle w:val="Lienhypertexte"/>
            <w:snapToGrid w:val="0"/>
            <w:kern w:val="18"/>
            <w:szCs w:val="18"/>
            <w:lang w:val="fr-CA"/>
          </w:rPr>
          <w:t>é</w:t>
        </w:r>
        <w:r w:rsidRPr="00E60A17">
          <w:rPr>
            <w:rStyle w:val="Lienhypertexte"/>
            <w:snapToGrid w:val="0"/>
            <w:kern w:val="18"/>
            <w:szCs w:val="18"/>
            <w:lang w:val="fr-CA"/>
          </w:rPr>
          <w:t>cisi</w:t>
        </w:r>
        <w:r w:rsidRPr="00E60A17">
          <w:rPr>
            <w:rStyle w:val="Lienhypertexte"/>
            <w:snapToGrid w:val="0"/>
            <w:kern w:val="18"/>
            <w:szCs w:val="18"/>
            <w:lang w:val="fr-CA"/>
          </w:rPr>
          <w:t>o</w:t>
        </w:r>
        <w:r w:rsidRPr="00E60A17">
          <w:rPr>
            <w:rStyle w:val="Lienhypertexte"/>
            <w:snapToGrid w:val="0"/>
            <w:kern w:val="18"/>
            <w:szCs w:val="18"/>
            <w:lang w:val="fr-CA"/>
          </w:rPr>
          <w:t>n XIII/9</w:t>
        </w:r>
      </w:hyperlink>
      <w:r w:rsidRPr="00E60A17">
        <w:rPr>
          <w:snapToGrid w:val="0"/>
          <w:color w:val="000000"/>
          <w:kern w:val="18"/>
          <w:szCs w:val="18"/>
          <w:lang w:val="fr-CA"/>
        </w:rPr>
        <w:t>.</w:t>
      </w:r>
    </w:p>
  </w:footnote>
  <w:footnote w:id="5">
    <w:p w:rsidR="00277FC0" w:rsidRPr="00E60A17"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7B3E88">
        <w:rPr>
          <w:rStyle w:val="Appelnotedebasdep"/>
          <w:snapToGrid w:val="0"/>
          <w:kern w:val="18"/>
          <w:szCs w:val="18"/>
          <w:u w:val="none"/>
          <w:vertAlign w:val="superscript"/>
        </w:rPr>
        <w:footnoteRef/>
      </w:r>
      <w:r w:rsidRPr="00E60A17">
        <w:rPr>
          <w:snapToGrid w:val="0"/>
          <w:kern w:val="18"/>
          <w:szCs w:val="18"/>
          <w:lang w:val="fr-CA"/>
        </w:rPr>
        <w:t xml:space="preserve"> En tenant compte des exposés reçus en réponse à la notification 2017-065 et autres informations disponibles, et en </w:t>
      </w:r>
      <w:r>
        <w:rPr>
          <w:snapToGrid w:val="0"/>
          <w:kern w:val="18"/>
          <w:szCs w:val="18"/>
          <w:lang w:val="fr-CA"/>
        </w:rPr>
        <w:t>pre</w:t>
      </w:r>
      <w:r w:rsidRPr="00E60A17">
        <w:rPr>
          <w:snapToGrid w:val="0"/>
          <w:kern w:val="18"/>
          <w:szCs w:val="18"/>
          <w:lang w:val="fr-CA"/>
        </w:rPr>
        <w:t xml:space="preserve">nant note des enseignements </w:t>
      </w:r>
      <w:r>
        <w:rPr>
          <w:snapToGrid w:val="0"/>
          <w:kern w:val="18"/>
          <w:szCs w:val="18"/>
          <w:lang w:val="fr-CA"/>
        </w:rPr>
        <w:t>tiré</w:t>
      </w:r>
      <w:r w:rsidRPr="00E60A17">
        <w:rPr>
          <w:snapToGrid w:val="0"/>
          <w:kern w:val="18"/>
          <w:szCs w:val="18"/>
          <w:lang w:val="fr-CA"/>
        </w:rPr>
        <w:t xml:space="preserve">s </w:t>
      </w:r>
      <w:r>
        <w:rPr>
          <w:snapToGrid w:val="0"/>
          <w:kern w:val="18"/>
          <w:szCs w:val="18"/>
          <w:lang w:val="fr-CA"/>
        </w:rPr>
        <w:t>des conv</w:t>
      </w:r>
      <w:r w:rsidRPr="00E60A17">
        <w:rPr>
          <w:snapToGrid w:val="0"/>
          <w:kern w:val="18"/>
          <w:szCs w:val="18"/>
          <w:lang w:val="fr-CA"/>
        </w:rPr>
        <w:t xml:space="preserve">entions et accords </w:t>
      </w:r>
      <w:r>
        <w:rPr>
          <w:snapToGrid w:val="0"/>
          <w:kern w:val="18"/>
          <w:szCs w:val="18"/>
          <w:lang w:val="fr-CA"/>
        </w:rPr>
        <w:t>sur</w:t>
      </w:r>
      <w:r w:rsidRPr="00E60A17">
        <w:rPr>
          <w:snapToGrid w:val="0"/>
          <w:kern w:val="18"/>
          <w:szCs w:val="18"/>
          <w:lang w:val="fr-CA"/>
        </w:rPr>
        <w:t xml:space="preserve"> la diversité biologique</w:t>
      </w:r>
      <w:r>
        <w:rPr>
          <w:snapToGrid w:val="0"/>
          <w:kern w:val="18"/>
          <w:szCs w:val="18"/>
          <w:lang w:val="fr-CA"/>
        </w:rPr>
        <w:t xml:space="preserve"> pertinents</w:t>
      </w:r>
      <w:r w:rsidRPr="00E60A17">
        <w:rPr>
          <w:snapToGrid w:val="0"/>
          <w:kern w:val="18"/>
          <w:szCs w:val="18"/>
          <w:lang w:val="fr-CA"/>
        </w:rPr>
        <w:t>.</w:t>
      </w:r>
    </w:p>
  </w:footnote>
  <w:footnote w:id="6">
    <w:p w:rsidR="00277FC0" w:rsidRPr="00E60A17"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7B3E88">
        <w:rPr>
          <w:rStyle w:val="Appelnotedebasdep"/>
          <w:snapToGrid w:val="0"/>
          <w:kern w:val="18"/>
          <w:szCs w:val="18"/>
          <w:u w:val="none"/>
          <w:vertAlign w:val="superscript"/>
        </w:rPr>
        <w:footnoteRef/>
      </w:r>
      <w:r w:rsidRPr="00E60A17">
        <w:rPr>
          <w:snapToGrid w:val="0"/>
          <w:kern w:val="18"/>
          <w:szCs w:val="18"/>
          <w:lang w:val="fr-CA"/>
        </w:rPr>
        <w:t xml:space="preserve"> CBD/</w:t>
      </w:r>
      <w:proofErr w:type="spellStart"/>
      <w:r w:rsidRPr="00E60A17">
        <w:rPr>
          <w:snapToGrid w:val="0"/>
          <w:kern w:val="18"/>
          <w:szCs w:val="18"/>
          <w:lang w:val="fr-CA"/>
        </w:rPr>
        <w:t>SBSTTA</w:t>
      </w:r>
      <w:proofErr w:type="spellEnd"/>
      <w:r w:rsidRPr="00E60A17">
        <w:rPr>
          <w:snapToGrid w:val="0"/>
          <w:kern w:val="18"/>
          <w:szCs w:val="18"/>
          <w:lang w:val="fr-CA"/>
        </w:rPr>
        <w:t>/22/</w:t>
      </w:r>
      <w:proofErr w:type="spellStart"/>
      <w:r w:rsidRPr="00E60A17">
        <w:rPr>
          <w:snapToGrid w:val="0"/>
          <w:kern w:val="18"/>
          <w:szCs w:val="18"/>
          <w:lang w:val="fr-CA"/>
        </w:rPr>
        <w:t>INF</w:t>
      </w:r>
      <w:proofErr w:type="spellEnd"/>
      <w:r w:rsidRPr="00E60A17">
        <w:rPr>
          <w:snapToGrid w:val="0"/>
          <w:kern w:val="18"/>
          <w:szCs w:val="18"/>
          <w:lang w:val="fr-CA"/>
        </w:rPr>
        <w:t>/6 et CBD/</w:t>
      </w:r>
      <w:proofErr w:type="spellStart"/>
      <w:r w:rsidRPr="00E60A17">
        <w:rPr>
          <w:snapToGrid w:val="0"/>
          <w:kern w:val="18"/>
          <w:szCs w:val="18"/>
          <w:lang w:val="fr-CA"/>
        </w:rPr>
        <w:t>SBSTTA</w:t>
      </w:r>
      <w:proofErr w:type="spellEnd"/>
      <w:r w:rsidRPr="00E60A17">
        <w:rPr>
          <w:snapToGrid w:val="0"/>
          <w:kern w:val="18"/>
          <w:szCs w:val="18"/>
          <w:lang w:val="fr-CA"/>
        </w:rPr>
        <w:t>/22/</w:t>
      </w:r>
      <w:proofErr w:type="spellStart"/>
      <w:r w:rsidRPr="00E60A17">
        <w:rPr>
          <w:snapToGrid w:val="0"/>
          <w:kern w:val="18"/>
          <w:szCs w:val="18"/>
          <w:lang w:val="fr-CA"/>
        </w:rPr>
        <w:t>INF</w:t>
      </w:r>
      <w:proofErr w:type="spellEnd"/>
      <w:r w:rsidRPr="00E60A17">
        <w:rPr>
          <w:snapToGrid w:val="0"/>
          <w:kern w:val="18"/>
          <w:szCs w:val="18"/>
          <w:lang w:val="fr-CA"/>
        </w:rPr>
        <w:t>/7.</w:t>
      </w:r>
    </w:p>
  </w:footnote>
  <w:footnote w:id="7">
    <w:p w:rsidR="00277FC0" w:rsidRPr="00E60A17"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7B3E88">
        <w:rPr>
          <w:rStyle w:val="Appelnotedebasdep"/>
          <w:snapToGrid w:val="0"/>
          <w:kern w:val="18"/>
          <w:szCs w:val="18"/>
          <w:u w:val="none"/>
          <w:vertAlign w:val="superscript"/>
        </w:rPr>
        <w:footnoteRef/>
      </w:r>
      <w:r w:rsidRPr="00E60A17">
        <w:rPr>
          <w:snapToGrid w:val="0"/>
          <w:kern w:val="18"/>
          <w:szCs w:val="18"/>
          <w:lang w:val="fr-CA"/>
        </w:rPr>
        <w:t xml:space="preserve"> En tenant compte des exposés reçus en réponse à la notification </w:t>
      </w:r>
      <w:r>
        <w:rPr>
          <w:snapToGrid w:val="0"/>
          <w:kern w:val="18"/>
          <w:szCs w:val="18"/>
          <w:lang w:val="fr-CA"/>
        </w:rPr>
        <w:t>(</w:t>
      </w:r>
      <w:r w:rsidRPr="00E60A17">
        <w:rPr>
          <w:snapToGrid w:val="0"/>
          <w:kern w:val="18"/>
          <w:szCs w:val="18"/>
          <w:lang w:val="fr-CA"/>
        </w:rPr>
        <w:t>2017-065)</w:t>
      </w:r>
      <w:r>
        <w:rPr>
          <w:snapToGrid w:val="0"/>
          <w:kern w:val="18"/>
          <w:szCs w:val="18"/>
          <w:lang w:val="fr-CA"/>
        </w:rPr>
        <w:t xml:space="preserve">, de la décision X/31 et des autres informations disponibles, et en prenant note également des </w:t>
      </w:r>
      <w:r w:rsidRPr="00E60A17">
        <w:rPr>
          <w:snapToGrid w:val="0"/>
          <w:kern w:val="18"/>
          <w:szCs w:val="18"/>
          <w:lang w:val="fr-CA"/>
        </w:rPr>
        <w:t xml:space="preserve">enseignements </w:t>
      </w:r>
      <w:r>
        <w:rPr>
          <w:snapToGrid w:val="0"/>
          <w:kern w:val="18"/>
          <w:szCs w:val="18"/>
          <w:lang w:val="fr-CA"/>
        </w:rPr>
        <w:t>tiré</w:t>
      </w:r>
      <w:r w:rsidRPr="00E60A17">
        <w:rPr>
          <w:snapToGrid w:val="0"/>
          <w:kern w:val="18"/>
          <w:szCs w:val="18"/>
          <w:lang w:val="fr-CA"/>
        </w:rPr>
        <w:t xml:space="preserve">s </w:t>
      </w:r>
      <w:r>
        <w:rPr>
          <w:snapToGrid w:val="0"/>
          <w:kern w:val="18"/>
          <w:szCs w:val="18"/>
          <w:lang w:val="fr-CA"/>
        </w:rPr>
        <w:t>des conv</w:t>
      </w:r>
      <w:r w:rsidRPr="00E60A17">
        <w:rPr>
          <w:snapToGrid w:val="0"/>
          <w:kern w:val="18"/>
          <w:szCs w:val="18"/>
          <w:lang w:val="fr-CA"/>
        </w:rPr>
        <w:t xml:space="preserve">entions et accords </w:t>
      </w:r>
      <w:r>
        <w:rPr>
          <w:snapToGrid w:val="0"/>
          <w:kern w:val="18"/>
          <w:szCs w:val="18"/>
          <w:lang w:val="fr-CA"/>
        </w:rPr>
        <w:t>sur</w:t>
      </w:r>
      <w:r w:rsidRPr="00E60A17">
        <w:rPr>
          <w:snapToGrid w:val="0"/>
          <w:kern w:val="18"/>
          <w:szCs w:val="18"/>
          <w:lang w:val="fr-CA"/>
        </w:rPr>
        <w:t xml:space="preserve"> la diversité biologique</w:t>
      </w:r>
      <w:r>
        <w:rPr>
          <w:snapToGrid w:val="0"/>
          <w:kern w:val="18"/>
          <w:szCs w:val="18"/>
          <w:lang w:val="fr-CA"/>
        </w:rPr>
        <w:t xml:space="preserve"> pertinents</w:t>
      </w:r>
      <w:r w:rsidRPr="00E60A17">
        <w:rPr>
          <w:snapToGrid w:val="0"/>
          <w:kern w:val="18"/>
          <w:szCs w:val="18"/>
          <w:lang w:val="fr-CA"/>
        </w:rPr>
        <w:t>.</w:t>
      </w:r>
    </w:p>
  </w:footnote>
  <w:footnote w:id="8">
    <w:p w:rsidR="00277FC0" w:rsidRPr="00D548A8"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7B3E88">
        <w:rPr>
          <w:rStyle w:val="Appelnotedebasdep"/>
          <w:snapToGrid w:val="0"/>
          <w:kern w:val="18"/>
          <w:szCs w:val="18"/>
          <w:u w:val="none"/>
          <w:vertAlign w:val="superscript"/>
        </w:rPr>
        <w:footnoteRef/>
      </w:r>
      <w:r w:rsidRPr="00D548A8">
        <w:rPr>
          <w:snapToGrid w:val="0"/>
          <w:kern w:val="18"/>
          <w:szCs w:val="18"/>
          <w:lang w:val="fr-CA"/>
        </w:rPr>
        <w:t xml:space="preserve"> CBD/</w:t>
      </w:r>
      <w:proofErr w:type="spellStart"/>
      <w:r w:rsidRPr="00D548A8">
        <w:rPr>
          <w:snapToGrid w:val="0"/>
          <w:kern w:val="18"/>
          <w:szCs w:val="18"/>
          <w:lang w:val="fr-CA"/>
        </w:rPr>
        <w:t>SBSTTA</w:t>
      </w:r>
      <w:proofErr w:type="spellEnd"/>
      <w:r w:rsidRPr="00D548A8">
        <w:rPr>
          <w:snapToGrid w:val="0"/>
          <w:kern w:val="18"/>
          <w:szCs w:val="18"/>
          <w:lang w:val="fr-CA"/>
        </w:rPr>
        <w:t>/22/</w:t>
      </w:r>
      <w:proofErr w:type="spellStart"/>
      <w:r w:rsidRPr="00D548A8">
        <w:rPr>
          <w:snapToGrid w:val="0"/>
          <w:kern w:val="18"/>
          <w:szCs w:val="18"/>
          <w:lang w:val="fr-CA"/>
        </w:rPr>
        <w:t>INF</w:t>
      </w:r>
      <w:proofErr w:type="spellEnd"/>
      <w:r w:rsidRPr="00D548A8">
        <w:rPr>
          <w:snapToGrid w:val="0"/>
          <w:kern w:val="18"/>
          <w:szCs w:val="18"/>
          <w:lang w:val="fr-CA"/>
        </w:rPr>
        <w:t>/8.</w:t>
      </w:r>
    </w:p>
  </w:footnote>
  <w:footnote w:id="9">
    <w:p w:rsidR="00277FC0" w:rsidRPr="00904473"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7B3E88">
        <w:rPr>
          <w:rStyle w:val="Appelnotedebasdep"/>
          <w:snapToGrid w:val="0"/>
          <w:kern w:val="18"/>
          <w:szCs w:val="18"/>
          <w:u w:val="none"/>
          <w:vertAlign w:val="superscript"/>
        </w:rPr>
        <w:footnoteRef/>
      </w:r>
      <w:r w:rsidRPr="00904473">
        <w:rPr>
          <w:snapToGrid w:val="0"/>
          <w:kern w:val="18"/>
          <w:szCs w:val="18"/>
          <w:lang w:val="fr-CA"/>
        </w:rPr>
        <w:t xml:space="preserve"> CBD/PA/</w:t>
      </w:r>
      <w:proofErr w:type="spellStart"/>
      <w:r w:rsidRPr="00904473">
        <w:rPr>
          <w:snapToGrid w:val="0"/>
          <w:kern w:val="18"/>
          <w:szCs w:val="18"/>
          <w:lang w:val="fr-CA"/>
        </w:rPr>
        <w:t>EM</w:t>
      </w:r>
      <w:proofErr w:type="spellEnd"/>
      <w:r w:rsidRPr="00904473">
        <w:rPr>
          <w:snapToGrid w:val="0"/>
          <w:kern w:val="18"/>
          <w:szCs w:val="18"/>
          <w:lang w:val="fr-CA"/>
        </w:rPr>
        <w:t>/2018/1/2 et CBD/</w:t>
      </w:r>
      <w:proofErr w:type="spellStart"/>
      <w:r w:rsidRPr="00904473">
        <w:rPr>
          <w:snapToGrid w:val="0"/>
          <w:kern w:val="18"/>
          <w:szCs w:val="18"/>
          <w:lang w:val="fr-CA"/>
        </w:rPr>
        <w:t>MCB</w:t>
      </w:r>
      <w:proofErr w:type="spellEnd"/>
      <w:r w:rsidRPr="00904473">
        <w:rPr>
          <w:snapToGrid w:val="0"/>
          <w:kern w:val="18"/>
          <w:szCs w:val="18"/>
          <w:lang w:val="fr-CA"/>
        </w:rPr>
        <w:t>/</w:t>
      </w:r>
      <w:proofErr w:type="spellStart"/>
      <w:r w:rsidRPr="00904473">
        <w:rPr>
          <w:snapToGrid w:val="0"/>
          <w:kern w:val="18"/>
          <w:szCs w:val="18"/>
          <w:lang w:val="fr-CA"/>
        </w:rPr>
        <w:t>EM</w:t>
      </w:r>
      <w:proofErr w:type="spellEnd"/>
      <w:r w:rsidRPr="00904473">
        <w:rPr>
          <w:snapToGrid w:val="0"/>
          <w:kern w:val="18"/>
          <w:szCs w:val="18"/>
          <w:lang w:val="fr-CA"/>
        </w:rPr>
        <w:t>/2018/1/3.</w:t>
      </w:r>
    </w:p>
  </w:footnote>
  <w:footnote w:id="10">
    <w:p w:rsidR="00277FC0" w:rsidRPr="00F95FA5"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7B3E88">
        <w:rPr>
          <w:rStyle w:val="Appelnotedebasdep"/>
          <w:snapToGrid w:val="0"/>
          <w:kern w:val="18"/>
          <w:szCs w:val="18"/>
          <w:u w:val="none"/>
          <w:vertAlign w:val="superscript"/>
        </w:rPr>
        <w:footnoteRef/>
      </w:r>
      <w:r w:rsidRPr="00F95FA5">
        <w:rPr>
          <w:snapToGrid w:val="0"/>
          <w:kern w:val="18"/>
          <w:szCs w:val="18"/>
          <w:lang w:val="fr-CA"/>
        </w:rPr>
        <w:t xml:space="preserve"> Annexes I et II au document CBD/</w:t>
      </w:r>
      <w:proofErr w:type="spellStart"/>
      <w:r w:rsidRPr="00F95FA5">
        <w:rPr>
          <w:snapToGrid w:val="0"/>
          <w:kern w:val="18"/>
          <w:szCs w:val="18"/>
          <w:lang w:val="fr-CA"/>
        </w:rPr>
        <w:t>SBSTTA</w:t>
      </w:r>
      <w:proofErr w:type="spellEnd"/>
      <w:r w:rsidRPr="00F95FA5">
        <w:rPr>
          <w:snapToGrid w:val="0"/>
          <w:kern w:val="18"/>
          <w:szCs w:val="18"/>
          <w:lang w:val="fr-CA"/>
        </w:rPr>
        <w:t>/22/6.</w:t>
      </w:r>
    </w:p>
  </w:footnote>
  <w:footnote w:id="11">
    <w:p w:rsidR="00277FC0" w:rsidRPr="00630607" w:rsidRDefault="00277FC0" w:rsidP="007B3E88">
      <w:pPr>
        <w:pStyle w:val="Notedebasdepage"/>
        <w:suppressLineNumbers/>
        <w:suppressAutoHyphens/>
        <w:kinsoku w:val="0"/>
        <w:overflowPunct w:val="0"/>
        <w:autoSpaceDE w:val="0"/>
        <w:autoSpaceDN w:val="0"/>
        <w:adjustRightInd w:val="0"/>
        <w:snapToGrid w:val="0"/>
        <w:ind w:firstLine="0"/>
        <w:jc w:val="left"/>
        <w:rPr>
          <w:szCs w:val="18"/>
          <w:lang w:val="fr-CA"/>
        </w:rPr>
      </w:pPr>
      <w:r w:rsidRPr="007B3E88">
        <w:rPr>
          <w:rStyle w:val="Appelnotedebasdep"/>
          <w:szCs w:val="18"/>
          <w:u w:val="none"/>
          <w:vertAlign w:val="superscript"/>
        </w:rPr>
        <w:footnoteRef/>
      </w:r>
      <w:r w:rsidRPr="00630607">
        <w:rPr>
          <w:szCs w:val="18"/>
          <w:lang w:val="fr-CA"/>
        </w:rPr>
        <w:t xml:space="preserve"> Annexe III au document </w:t>
      </w:r>
      <w:r w:rsidRPr="00630607">
        <w:rPr>
          <w:snapToGrid w:val="0"/>
          <w:kern w:val="18"/>
          <w:szCs w:val="18"/>
          <w:lang w:val="fr-CA"/>
        </w:rPr>
        <w:t>CBD/</w:t>
      </w:r>
      <w:proofErr w:type="spellStart"/>
      <w:r w:rsidRPr="00630607">
        <w:rPr>
          <w:snapToGrid w:val="0"/>
          <w:kern w:val="18"/>
          <w:szCs w:val="18"/>
          <w:lang w:val="fr-CA"/>
        </w:rPr>
        <w:t>SBSTTA</w:t>
      </w:r>
      <w:proofErr w:type="spellEnd"/>
      <w:r w:rsidRPr="00630607">
        <w:rPr>
          <w:snapToGrid w:val="0"/>
          <w:kern w:val="18"/>
          <w:szCs w:val="18"/>
          <w:lang w:val="fr-CA"/>
        </w:rPr>
        <w:t>/22/6.</w:t>
      </w:r>
    </w:p>
  </w:footnote>
  <w:footnote w:id="12">
    <w:p w:rsidR="00277FC0" w:rsidRPr="007B3E88" w:rsidRDefault="00277FC0" w:rsidP="007B3E88">
      <w:pPr>
        <w:pStyle w:val="Notedebasdepage"/>
        <w:suppressLineNumbers/>
        <w:suppressAutoHyphens/>
        <w:kinsoku w:val="0"/>
        <w:overflowPunct w:val="0"/>
        <w:autoSpaceDE w:val="0"/>
        <w:autoSpaceDN w:val="0"/>
        <w:adjustRightInd w:val="0"/>
        <w:snapToGrid w:val="0"/>
        <w:ind w:firstLine="0"/>
        <w:jc w:val="left"/>
        <w:rPr>
          <w:szCs w:val="18"/>
          <w:lang w:val="en-US"/>
        </w:rPr>
      </w:pPr>
      <w:r w:rsidRPr="007B3E88">
        <w:rPr>
          <w:rStyle w:val="Appelnotedebasdep"/>
          <w:szCs w:val="18"/>
          <w:u w:val="none"/>
          <w:vertAlign w:val="superscript"/>
        </w:rPr>
        <w:footnoteRef/>
      </w:r>
      <w:r w:rsidRPr="007B3E88">
        <w:rPr>
          <w:szCs w:val="18"/>
        </w:rPr>
        <w:t xml:space="preserve"> </w:t>
      </w:r>
      <w:r w:rsidRPr="009B350E">
        <w:rPr>
          <w:snapToGrid w:val="0"/>
          <w:kern w:val="18"/>
          <w:szCs w:val="18"/>
        </w:rPr>
        <w:t>CBD/</w:t>
      </w:r>
      <w:proofErr w:type="spellStart"/>
      <w:r w:rsidRPr="009B350E">
        <w:rPr>
          <w:snapToGrid w:val="0"/>
          <w:kern w:val="18"/>
          <w:szCs w:val="18"/>
        </w:rPr>
        <w:t>SBSTTA</w:t>
      </w:r>
      <w:proofErr w:type="spellEnd"/>
      <w:r w:rsidRPr="009B350E">
        <w:rPr>
          <w:snapToGrid w:val="0"/>
          <w:kern w:val="18"/>
          <w:szCs w:val="18"/>
        </w:rPr>
        <w:t>/22/6.</w:t>
      </w:r>
    </w:p>
  </w:footnote>
  <w:footnote w:id="13">
    <w:p w:rsidR="00277FC0" w:rsidRPr="007B3E88"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Appelnotedebasdep"/>
          <w:snapToGrid w:val="0"/>
          <w:kern w:val="18"/>
          <w:szCs w:val="18"/>
          <w:u w:val="none"/>
          <w:vertAlign w:val="superscript"/>
        </w:rPr>
        <w:footnoteRef/>
      </w:r>
      <w:r w:rsidRPr="007B3E88">
        <w:rPr>
          <w:snapToGrid w:val="0"/>
          <w:kern w:val="18"/>
          <w:szCs w:val="18"/>
        </w:rPr>
        <w:t xml:space="preserve"> </w:t>
      </w:r>
      <w:proofErr w:type="spellStart"/>
      <w:r w:rsidRPr="007B3E88">
        <w:rPr>
          <w:snapToGrid w:val="0"/>
          <w:kern w:val="18"/>
          <w:szCs w:val="18"/>
        </w:rPr>
        <w:t>Hadded</w:t>
      </w:r>
      <w:proofErr w:type="spellEnd"/>
      <w:r w:rsidRPr="007B3E88">
        <w:rPr>
          <w:snapToGrid w:val="0"/>
          <w:kern w:val="18"/>
          <w:szCs w:val="18"/>
        </w:rPr>
        <w:t xml:space="preserve">, N.M. et al. 2015. Habitat fragmentation and its lasting impact on Earth’s ecosystems. </w:t>
      </w:r>
      <w:r w:rsidRPr="007B3E88">
        <w:rPr>
          <w:snapToGrid w:val="0"/>
          <w:kern w:val="18"/>
          <w:szCs w:val="18"/>
          <w:lang w:val="en-CA"/>
        </w:rPr>
        <w:t xml:space="preserve">Science Advances: 1(2): e1500052, Mar 2015. </w:t>
      </w:r>
      <w:r w:rsidRPr="00017416">
        <w:rPr>
          <w:snapToGrid w:val="0"/>
          <w:kern w:val="18"/>
          <w:szCs w:val="18"/>
          <w:lang w:val="en-US"/>
        </w:rPr>
        <w:t>https://www.ncbi.nlm.nih.gov/pmc/articles/PMC4643828/</w:t>
      </w:r>
    </w:p>
  </w:footnote>
  <w:footnote w:id="14">
    <w:p w:rsidR="00277FC0" w:rsidRPr="007B3E88"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Appelnotedebasdep"/>
          <w:snapToGrid w:val="0"/>
          <w:kern w:val="18"/>
          <w:szCs w:val="18"/>
          <w:u w:val="none"/>
          <w:vertAlign w:val="superscript"/>
        </w:rPr>
        <w:footnoteRef/>
      </w:r>
      <w:r w:rsidRPr="007B3E88">
        <w:rPr>
          <w:snapToGrid w:val="0"/>
          <w:kern w:val="18"/>
          <w:szCs w:val="18"/>
        </w:rPr>
        <w:t xml:space="preserve"> Watson, J. et al. 2018. The exceptional value of intact forest ecosystems. Nature Ecology and Evolution 2, 599-610.</w:t>
      </w:r>
    </w:p>
  </w:footnote>
  <w:footnote w:id="15">
    <w:p w:rsidR="00277FC0" w:rsidRPr="007B3E88" w:rsidRDefault="00277FC0" w:rsidP="007B3E88">
      <w:pPr>
        <w:keepLines/>
        <w:suppressLineNumbers/>
        <w:suppressAutoHyphens/>
        <w:kinsoku w:val="0"/>
        <w:overflowPunct w:val="0"/>
        <w:autoSpaceDE w:val="0"/>
        <w:autoSpaceDN w:val="0"/>
        <w:adjustRightInd w:val="0"/>
        <w:snapToGrid w:val="0"/>
        <w:spacing w:after="60"/>
        <w:jc w:val="left"/>
        <w:rPr>
          <w:snapToGrid w:val="0"/>
          <w:color w:val="272525"/>
          <w:kern w:val="18"/>
          <w:sz w:val="18"/>
          <w:szCs w:val="18"/>
          <w:lang w:val="en-US"/>
        </w:rPr>
      </w:pPr>
      <w:r w:rsidRPr="007B3E88">
        <w:rPr>
          <w:rStyle w:val="Appelnotedebasdep"/>
          <w:snapToGrid w:val="0"/>
          <w:kern w:val="18"/>
          <w:szCs w:val="18"/>
          <w:u w:val="none"/>
          <w:vertAlign w:val="superscript"/>
        </w:rPr>
        <w:footnoteRef/>
      </w:r>
      <w:r w:rsidRPr="007B3E88">
        <w:rPr>
          <w:snapToGrid w:val="0"/>
          <w:kern w:val="18"/>
          <w:sz w:val="18"/>
          <w:szCs w:val="18"/>
        </w:rPr>
        <w:t xml:space="preserve"> </w:t>
      </w:r>
      <w:r w:rsidRPr="007B3E88">
        <w:rPr>
          <w:snapToGrid w:val="0"/>
          <w:kern w:val="18"/>
          <w:sz w:val="18"/>
          <w:szCs w:val="18"/>
          <w:lang w:val="en-US"/>
        </w:rPr>
        <w:t xml:space="preserve">Ervin, J., K. J. </w:t>
      </w:r>
      <w:proofErr w:type="spellStart"/>
      <w:r w:rsidRPr="007B3E88">
        <w:rPr>
          <w:snapToGrid w:val="0"/>
          <w:kern w:val="18"/>
          <w:sz w:val="18"/>
          <w:szCs w:val="18"/>
          <w:lang w:val="en-US"/>
        </w:rPr>
        <w:t>Mulongoy</w:t>
      </w:r>
      <w:proofErr w:type="spellEnd"/>
      <w:r w:rsidRPr="007B3E88">
        <w:rPr>
          <w:snapToGrid w:val="0"/>
          <w:kern w:val="18"/>
          <w:sz w:val="18"/>
          <w:szCs w:val="18"/>
          <w:lang w:val="en-US"/>
        </w:rPr>
        <w:t xml:space="preserve">, K. Lawrence, E. Game, D. Sheppard, P. Bridgewater, G. Bennett, </w:t>
      </w:r>
      <w:proofErr w:type="spellStart"/>
      <w:r w:rsidRPr="007B3E88">
        <w:rPr>
          <w:snapToGrid w:val="0"/>
          <w:kern w:val="18"/>
          <w:sz w:val="18"/>
          <w:szCs w:val="18"/>
          <w:lang w:val="en-US"/>
        </w:rPr>
        <w:t>S.B</w:t>
      </w:r>
      <w:proofErr w:type="spellEnd"/>
      <w:r w:rsidRPr="007B3E88">
        <w:rPr>
          <w:snapToGrid w:val="0"/>
          <w:kern w:val="18"/>
          <w:sz w:val="18"/>
          <w:szCs w:val="18"/>
          <w:lang w:val="en-US"/>
        </w:rPr>
        <w:t xml:space="preserve">. </w:t>
      </w:r>
      <w:proofErr w:type="spellStart"/>
      <w:r w:rsidRPr="007B3E88">
        <w:rPr>
          <w:snapToGrid w:val="0"/>
          <w:kern w:val="18"/>
          <w:sz w:val="18"/>
          <w:szCs w:val="18"/>
          <w:lang w:val="en-US"/>
        </w:rPr>
        <w:t>Gidda</w:t>
      </w:r>
      <w:proofErr w:type="spellEnd"/>
      <w:r w:rsidRPr="007B3E88">
        <w:rPr>
          <w:snapToGrid w:val="0"/>
          <w:kern w:val="18"/>
          <w:sz w:val="18"/>
          <w:szCs w:val="18"/>
          <w:lang w:val="en-US"/>
        </w:rPr>
        <w:t xml:space="preserve"> and P. </w:t>
      </w:r>
      <w:proofErr w:type="spellStart"/>
      <w:r w:rsidRPr="007B3E88">
        <w:rPr>
          <w:snapToGrid w:val="0"/>
          <w:kern w:val="18"/>
          <w:sz w:val="18"/>
          <w:szCs w:val="18"/>
          <w:lang w:val="en-US"/>
        </w:rPr>
        <w:t>Bos</w:t>
      </w:r>
      <w:proofErr w:type="spellEnd"/>
      <w:r w:rsidRPr="007B3E88">
        <w:rPr>
          <w:snapToGrid w:val="0"/>
          <w:kern w:val="18"/>
          <w:sz w:val="18"/>
          <w:szCs w:val="18"/>
          <w:lang w:val="en-US"/>
        </w:rPr>
        <w:t>. 2010. Making Protected Areas Relevant: A guide to integrating protected areas into wider landscapes, seascapes and sectoral plans and strategies. CBD Technical Series No. 44. Montreal, Canada: Convention on Biological Diversity, 94</w:t>
      </w:r>
      <w:r w:rsidRPr="009B350E">
        <w:rPr>
          <w:snapToGrid w:val="0"/>
          <w:kern w:val="18"/>
          <w:sz w:val="18"/>
          <w:szCs w:val="18"/>
          <w:lang w:val="en-US"/>
        </w:rPr>
        <w:t> </w:t>
      </w:r>
      <w:r w:rsidRPr="007B3E88">
        <w:rPr>
          <w:snapToGrid w:val="0"/>
          <w:kern w:val="18"/>
          <w:sz w:val="18"/>
          <w:szCs w:val="18"/>
          <w:lang w:val="en-US"/>
        </w:rPr>
        <w:t>pp.</w:t>
      </w:r>
    </w:p>
  </w:footnote>
  <w:footnote w:id="16">
    <w:p w:rsidR="00277FC0" w:rsidRPr="007B3E88"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Appelnotedebasdep"/>
          <w:snapToGrid w:val="0"/>
          <w:kern w:val="18"/>
          <w:szCs w:val="18"/>
          <w:u w:val="none"/>
          <w:vertAlign w:val="superscript"/>
        </w:rPr>
        <w:footnoteRef/>
      </w:r>
      <w:r w:rsidRPr="007B3E88">
        <w:rPr>
          <w:snapToGrid w:val="0"/>
          <w:kern w:val="18"/>
          <w:szCs w:val="18"/>
        </w:rPr>
        <w:t xml:space="preserve"> </w:t>
      </w:r>
      <w:proofErr w:type="spellStart"/>
      <w:r>
        <w:rPr>
          <w:snapToGrid w:val="0"/>
          <w:kern w:val="18"/>
          <w:szCs w:val="18"/>
        </w:rPr>
        <w:t>Voir</w:t>
      </w:r>
      <w:proofErr w:type="spellEnd"/>
      <w:r>
        <w:rPr>
          <w:snapToGrid w:val="0"/>
          <w:kern w:val="18"/>
          <w:szCs w:val="18"/>
        </w:rPr>
        <w:t xml:space="preserve"> par </w:t>
      </w:r>
      <w:proofErr w:type="spellStart"/>
      <w:r>
        <w:rPr>
          <w:snapToGrid w:val="0"/>
          <w:kern w:val="18"/>
          <w:szCs w:val="18"/>
        </w:rPr>
        <w:t>exemple</w:t>
      </w:r>
      <w:proofErr w:type="spellEnd"/>
      <w:r w:rsidRPr="007B3E88">
        <w:rPr>
          <w:snapToGrid w:val="0"/>
          <w:kern w:val="18"/>
          <w:szCs w:val="18"/>
        </w:rPr>
        <w:t xml:space="preserve"> CBD. 2016. Biodiversity and the 2030 Agenda. Montreal: Secretariat of the Convention on Biological Diversity. Available at https://www.cbd.int/development/doc/biodiversity-2030-agenda-policy-brief-en.pdf</w:t>
      </w:r>
    </w:p>
  </w:footnote>
  <w:footnote w:id="17">
    <w:p w:rsidR="00277FC0" w:rsidRPr="000117F6"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7B3E88">
        <w:rPr>
          <w:rStyle w:val="Appelnotedebasdep"/>
          <w:snapToGrid w:val="0"/>
          <w:kern w:val="18"/>
          <w:szCs w:val="18"/>
          <w:u w:val="none"/>
          <w:vertAlign w:val="superscript"/>
        </w:rPr>
        <w:footnoteRef/>
      </w:r>
      <w:r w:rsidRPr="00017416">
        <w:rPr>
          <w:snapToGrid w:val="0"/>
          <w:kern w:val="18"/>
          <w:szCs w:val="18"/>
          <w:lang w:val="fr-CA"/>
        </w:rPr>
        <w:t xml:space="preserve"> Voir par exemple : United Nations </w:t>
      </w:r>
      <w:proofErr w:type="spellStart"/>
      <w:r w:rsidRPr="00017416">
        <w:rPr>
          <w:snapToGrid w:val="0"/>
          <w:kern w:val="18"/>
          <w:szCs w:val="18"/>
          <w:lang w:val="fr-CA"/>
        </w:rPr>
        <w:t>Development</w:t>
      </w:r>
      <w:proofErr w:type="spellEnd"/>
      <w:r w:rsidRPr="00017416">
        <w:rPr>
          <w:snapToGrid w:val="0"/>
          <w:kern w:val="18"/>
          <w:szCs w:val="18"/>
          <w:lang w:val="fr-CA"/>
        </w:rPr>
        <w:t xml:space="preserve"> Programme. </w:t>
      </w:r>
      <w:r w:rsidRPr="007B3E88">
        <w:rPr>
          <w:snapToGrid w:val="0"/>
          <w:kern w:val="18"/>
          <w:szCs w:val="18"/>
        </w:rPr>
        <w:t xml:space="preserve">2018. Nature for water, Nature for life: Nature-based solutions for achieving the Global Goals. </w:t>
      </w:r>
      <w:r w:rsidRPr="000117F6">
        <w:rPr>
          <w:snapToGrid w:val="0"/>
          <w:kern w:val="18"/>
          <w:szCs w:val="18"/>
          <w:lang w:val="fr-CA"/>
        </w:rPr>
        <w:t xml:space="preserve">New York, </w:t>
      </w:r>
      <w:proofErr w:type="spellStart"/>
      <w:r w:rsidRPr="000117F6">
        <w:rPr>
          <w:snapToGrid w:val="0"/>
          <w:kern w:val="18"/>
          <w:szCs w:val="18"/>
          <w:lang w:val="fr-CA"/>
        </w:rPr>
        <w:t>UNDP</w:t>
      </w:r>
      <w:proofErr w:type="spellEnd"/>
      <w:r w:rsidRPr="000117F6">
        <w:rPr>
          <w:snapToGrid w:val="0"/>
          <w:kern w:val="18"/>
          <w:szCs w:val="18"/>
          <w:lang w:val="fr-CA"/>
        </w:rPr>
        <w:t>; p</w:t>
      </w:r>
      <w:r>
        <w:rPr>
          <w:snapToGrid w:val="0"/>
          <w:kern w:val="18"/>
          <w:szCs w:val="18"/>
          <w:lang w:val="fr-CA"/>
        </w:rPr>
        <w:t>ublié</w:t>
      </w:r>
      <w:r w:rsidRPr="000117F6">
        <w:rPr>
          <w:snapToGrid w:val="0"/>
          <w:kern w:val="18"/>
          <w:szCs w:val="18"/>
          <w:lang w:val="fr-CA"/>
        </w:rPr>
        <w:t xml:space="preserve"> sur le site </w:t>
      </w:r>
      <w:hyperlink r:id="rId5" w:history="1">
        <w:r w:rsidRPr="000117F6">
          <w:rPr>
            <w:rStyle w:val="Lienhypertexte"/>
            <w:snapToGrid w:val="0"/>
            <w:kern w:val="18"/>
            <w:szCs w:val="18"/>
            <w:lang w:val="fr-CA"/>
          </w:rPr>
          <w:t>www.natur</w:t>
        </w:r>
        <w:r w:rsidRPr="000117F6">
          <w:rPr>
            <w:rStyle w:val="Lienhypertexte"/>
            <w:snapToGrid w:val="0"/>
            <w:kern w:val="18"/>
            <w:szCs w:val="18"/>
            <w:lang w:val="fr-CA"/>
          </w:rPr>
          <w:t>e</w:t>
        </w:r>
        <w:r w:rsidRPr="000117F6">
          <w:rPr>
            <w:rStyle w:val="Lienhypertexte"/>
            <w:snapToGrid w:val="0"/>
            <w:kern w:val="18"/>
            <w:szCs w:val="18"/>
            <w:lang w:val="fr-CA"/>
          </w:rPr>
          <w:t>forlife.world</w:t>
        </w:r>
      </w:hyperlink>
      <w:r w:rsidRPr="000117F6">
        <w:rPr>
          <w:snapToGrid w:val="0"/>
          <w:kern w:val="18"/>
          <w:szCs w:val="18"/>
          <w:lang w:val="fr-CA"/>
        </w:rPr>
        <w:t>.</w:t>
      </w:r>
    </w:p>
  </w:footnote>
  <w:footnote w:id="18">
    <w:p w:rsidR="00277FC0" w:rsidRPr="00935F1F"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7B3E88">
        <w:rPr>
          <w:rStyle w:val="Appelnotedebasdep"/>
          <w:snapToGrid w:val="0"/>
          <w:kern w:val="18"/>
          <w:szCs w:val="18"/>
          <w:u w:val="none"/>
          <w:vertAlign w:val="superscript"/>
        </w:rPr>
        <w:footnoteRef/>
      </w:r>
      <w:r w:rsidRPr="00A41637">
        <w:rPr>
          <w:snapToGrid w:val="0"/>
          <w:kern w:val="18"/>
          <w:szCs w:val="18"/>
          <w:lang w:val="fr-CA"/>
        </w:rPr>
        <w:t xml:space="preserve"> Voir Bronson et al., 2017. Natural </w:t>
      </w:r>
      <w:proofErr w:type="spellStart"/>
      <w:r w:rsidRPr="00A41637">
        <w:rPr>
          <w:snapToGrid w:val="0"/>
          <w:kern w:val="18"/>
          <w:szCs w:val="18"/>
          <w:lang w:val="fr-CA"/>
        </w:rPr>
        <w:t>Climate</w:t>
      </w:r>
      <w:proofErr w:type="spellEnd"/>
      <w:r w:rsidRPr="00A41637">
        <w:rPr>
          <w:snapToGrid w:val="0"/>
          <w:kern w:val="18"/>
          <w:szCs w:val="18"/>
          <w:lang w:val="fr-CA"/>
        </w:rPr>
        <w:t xml:space="preserve"> Solutions. </w:t>
      </w:r>
      <w:proofErr w:type="spellStart"/>
      <w:r w:rsidRPr="00935F1F">
        <w:rPr>
          <w:snapToGrid w:val="0"/>
          <w:kern w:val="18"/>
          <w:szCs w:val="18"/>
          <w:lang w:val="fr-CA"/>
        </w:rPr>
        <w:t>PNAS</w:t>
      </w:r>
      <w:proofErr w:type="spellEnd"/>
      <w:r w:rsidRPr="00935F1F">
        <w:rPr>
          <w:snapToGrid w:val="0"/>
          <w:kern w:val="18"/>
          <w:szCs w:val="18"/>
          <w:lang w:val="fr-CA"/>
        </w:rPr>
        <w:t>: 114(44): 11645-11650 publié sur le site : http://www.pnas.org/content/114/44/11645.</w:t>
      </w:r>
    </w:p>
  </w:footnote>
  <w:footnote w:id="19">
    <w:p w:rsidR="00277FC0" w:rsidRPr="00935F1F"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7B3E88">
        <w:rPr>
          <w:rStyle w:val="Appelnotedebasdep"/>
          <w:snapToGrid w:val="0"/>
          <w:kern w:val="18"/>
          <w:szCs w:val="18"/>
          <w:u w:val="none"/>
          <w:vertAlign w:val="superscript"/>
        </w:rPr>
        <w:footnoteRef/>
      </w:r>
      <w:r w:rsidRPr="007B3E88">
        <w:rPr>
          <w:snapToGrid w:val="0"/>
          <w:kern w:val="18"/>
          <w:szCs w:val="18"/>
          <w:lang w:val="en-CA"/>
        </w:rPr>
        <w:t xml:space="preserve"> Dudley, N. et al. 2009. </w:t>
      </w:r>
      <w:r w:rsidRPr="007B3E88">
        <w:rPr>
          <w:snapToGrid w:val="0"/>
          <w:kern w:val="18"/>
          <w:szCs w:val="18"/>
          <w:lang w:val="en-US"/>
        </w:rPr>
        <w:t xml:space="preserve">Natural Solutions – Protected Areas: Helping People Cope with Climate Change. </w:t>
      </w:r>
      <w:proofErr w:type="spellStart"/>
      <w:r w:rsidRPr="00A41637">
        <w:rPr>
          <w:snapToGrid w:val="0"/>
          <w:kern w:val="18"/>
          <w:szCs w:val="18"/>
          <w:lang w:val="fr-CA"/>
        </w:rPr>
        <w:t>Switzerland</w:t>
      </w:r>
      <w:proofErr w:type="spellEnd"/>
      <w:r w:rsidRPr="00A41637">
        <w:rPr>
          <w:snapToGrid w:val="0"/>
          <w:kern w:val="18"/>
          <w:szCs w:val="18"/>
          <w:lang w:val="fr-CA"/>
        </w:rPr>
        <w:t xml:space="preserve">: </w:t>
      </w:r>
      <w:proofErr w:type="spellStart"/>
      <w:r w:rsidRPr="00A41637">
        <w:rPr>
          <w:snapToGrid w:val="0"/>
          <w:kern w:val="18"/>
          <w:szCs w:val="18"/>
          <w:lang w:val="fr-CA"/>
        </w:rPr>
        <w:t>IUCN</w:t>
      </w:r>
      <w:proofErr w:type="spellEnd"/>
      <w:r w:rsidRPr="00A41637">
        <w:rPr>
          <w:snapToGrid w:val="0"/>
          <w:kern w:val="18"/>
          <w:szCs w:val="18"/>
          <w:lang w:val="fr-CA"/>
        </w:rPr>
        <w:t xml:space="preserve">. </w:t>
      </w:r>
      <w:r w:rsidRPr="00935F1F">
        <w:rPr>
          <w:snapToGrid w:val="0"/>
          <w:kern w:val="18"/>
          <w:szCs w:val="18"/>
          <w:lang w:val="fr-CA"/>
        </w:rPr>
        <w:t>Publié sur le site : https://www.iucn.org/content/natural-solutions-protected-areas-helping-people-cope-climate-change.</w:t>
      </w:r>
    </w:p>
  </w:footnote>
  <w:footnote w:id="20">
    <w:p w:rsidR="00277FC0" w:rsidRPr="00935F1F" w:rsidRDefault="00277FC0" w:rsidP="00017416">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7B3E88">
        <w:rPr>
          <w:snapToGrid w:val="0"/>
          <w:kern w:val="18"/>
          <w:vertAlign w:val="superscript"/>
          <w:lang w:eastAsia="ja-JP" w:bidi="th-TH"/>
        </w:rPr>
        <w:footnoteRef/>
      </w:r>
      <w:r w:rsidRPr="007B3E88">
        <w:rPr>
          <w:snapToGrid w:val="0"/>
          <w:kern w:val="18"/>
          <w:szCs w:val="18"/>
        </w:rPr>
        <w:t xml:space="preserve"> </w:t>
      </w:r>
      <w:proofErr w:type="spellStart"/>
      <w:r>
        <w:rPr>
          <w:snapToGrid w:val="0"/>
          <w:kern w:val="18"/>
          <w:szCs w:val="18"/>
        </w:rPr>
        <w:t>Voir</w:t>
      </w:r>
      <w:proofErr w:type="spellEnd"/>
      <w:r w:rsidRPr="007B3E88">
        <w:rPr>
          <w:snapToGrid w:val="0"/>
          <w:kern w:val="18"/>
          <w:szCs w:val="18"/>
        </w:rPr>
        <w:t xml:space="preserve"> UNDP. 2016. National Biodiversity Strategies and Action Plans: Natural Catalysts for Accelerating Action on Sustainable Development Goals. Interim Report. United Nations Development Programme. Dec</w:t>
      </w:r>
      <w:r w:rsidRPr="009B350E">
        <w:rPr>
          <w:snapToGrid w:val="0"/>
          <w:kern w:val="18"/>
          <w:szCs w:val="18"/>
        </w:rPr>
        <w:t>ember</w:t>
      </w:r>
      <w:r w:rsidRPr="007B3E88">
        <w:rPr>
          <w:snapToGrid w:val="0"/>
          <w:kern w:val="18"/>
          <w:szCs w:val="18"/>
        </w:rPr>
        <w:t xml:space="preserve"> 2016. UNDP: New York, </w:t>
      </w:r>
      <w:r w:rsidRPr="009B350E">
        <w:rPr>
          <w:snapToGrid w:val="0"/>
          <w:kern w:val="18"/>
          <w:szCs w:val="18"/>
        </w:rPr>
        <w:t>United States of America</w:t>
      </w:r>
      <w:r w:rsidRPr="007B3E88">
        <w:rPr>
          <w:snapToGrid w:val="0"/>
          <w:kern w:val="18"/>
          <w:szCs w:val="18"/>
        </w:rPr>
        <w:t xml:space="preserve">. </w:t>
      </w:r>
      <w:r w:rsidRPr="00935F1F">
        <w:rPr>
          <w:snapToGrid w:val="0"/>
          <w:kern w:val="18"/>
          <w:szCs w:val="18"/>
          <w:lang w:val="fr-CA"/>
        </w:rPr>
        <w:t>10017, publié sur le site : https://www.cbd.int/doc/nbsap/NBSAPs-catalysts-SDGs.pdf</w:t>
      </w:r>
    </w:p>
  </w:footnote>
  <w:footnote w:id="21">
    <w:p w:rsidR="00277FC0" w:rsidRPr="00DC06CB"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Appelnotedebasdep"/>
          <w:rFonts w:eastAsia="Batang"/>
          <w:iCs/>
          <w:snapToGrid w:val="0"/>
          <w:kern w:val="18"/>
          <w:szCs w:val="18"/>
          <w:u w:val="none"/>
          <w:vertAlign w:val="superscript"/>
          <w:lang w:eastAsia="ja-JP" w:bidi="th-TH"/>
        </w:rPr>
        <w:footnoteRef/>
      </w:r>
      <w:r w:rsidRPr="00B36330">
        <w:rPr>
          <w:snapToGrid w:val="0"/>
          <w:kern w:val="18"/>
          <w:szCs w:val="18"/>
          <w:lang w:val="fr-CA"/>
        </w:rPr>
        <w:t xml:space="preserve"> </w:t>
      </w:r>
      <w:r>
        <w:rPr>
          <w:rFonts w:eastAsia="Batang"/>
          <w:iCs/>
          <w:snapToGrid w:val="0"/>
          <w:kern w:val="18"/>
          <w:szCs w:val="18"/>
          <w:lang w:val="fr-CA" w:eastAsia="ja-JP" w:bidi="th-TH"/>
        </w:rPr>
        <w:t xml:space="preserve">Plusieurs études, dont une récente analyse de 165 aires protégées de partout au monde, révèlent que les lieux où les </w:t>
      </w:r>
      <w:r w:rsidRPr="00463AC3">
        <w:rPr>
          <w:rFonts w:eastAsia="Batang"/>
          <w:i/>
          <w:iCs/>
          <w:snapToGrid w:val="0"/>
          <w:kern w:val="18"/>
          <w:szCs w:val="18"/>
          <w:lang w:val="fr-CA" w:eastAsia="ja-JP" w:bidi="th-TH"/>
        </w:rPr>
        <w:t>populations locales</w:t>
      </w:r>
      <w:r>
        <w:rPr>
          <w:rFonts w:eastAsia="Batang"/>
          <w:iCs/>
          <w:snapToGrid w:val="0"/>
          <w:kern w:val="18"/>
          <w:szCs w:val="18"/>
          <w:lang w:val="fr-CA" w:eastAsia="ja-JP" w:bidi="th-TH"/>
        </w:rPr>
        <w:t xml:space="preserve"> participent directement aux efforts de conservation et en tirent profit présentent une plus grande efficacité en matière de conservation de la diversité biologique et de développement socioéconomique</w:t>
      </w:r>
      <w:r w:rsidRPr="00B36330">
        <w:rPr>
          <w:rFonts w:eastAsia="Batang"/>
          <w:iCs/>
          <w:snapToGrid w:val="0"/>
          <w:kern w:val="18"/>
          <w:szCs w:val="18"/>
          <w:lang w:val="fr-CA" w:eastAsia="ja-JP" w:bidi="th-TH"/>
        </w:rPr>
        <w:t xml:space="preserve">. </w:t>
      </w:r>
      <w:proofErr w:type="spellStart"/>
      <w:r w:rsidRPr="00DC06CB">
        <w:rPr>
          <w:snapToGrid w:val="0"/>
          <w:kern w:val="18"/>
          <w:szCs w:val="18"/>
          <w:lang w:val="en-US"/>
        </w:rPr>
        <w:t>Oldekop</w:t>
      </w:r>
      <w:proofErr w:type="spellEnd"/>
      <w:r w:rsidRPr="00DC06CB">
        <w:rPr>
          <w:snapToGrid w:val="0"/>
          <w:kern w:val="18"/>
          <w:szCs w:val="18"/>
          <w:lang w:val="en-US"/>
        </w:rPr>
        <w:t xml:space="preserve">, J.A., et al. (2015). A global assessment of the social and conservation outcomes of protected areas – </w:t>
      </w:r>
      <w:r w:rsidRPr="00DC06CB">
        <w:rPr>
          <w:i/>
          <w:iCs/>
          <w:snapToGrid w:val="0"/>
          <w:kern w:val="18"/>
          <w:szCs w:val="18"/>
          <w:lang w:val="en-US"/>
        </w:rPr>
        <w:t>Conservation Biology</w:t>
      </w:r>
      <w:r w:rsidRPr="00DC06CB">
        <w:rPr>
          <w:snapToGrid w:val="0"/>
          <w:kern w:val="18"/>
          <w:szCs w:val="18"/>
          <w:lang w:val="en-US"/>
        </w:rPr>
        <w:t>, 30(1): 133-141.</w:t>
      </w:r>
    </w:p>
  </w:footnote>
  <w:footnote w:id="22">
    <w:p w:rsidR="00277FC0" w:rsidRPr="00B36330"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eastAsia="ja-JP" w:bidi="th-TH"/>
        </w:rPr>
      </w:pPr>
      <w:r w:rsidRPr="00B36330">
        <w:rPr>
          <w:rStyle w:val="Appelnotedebasdep"/>
          <w:rFonts w:eastAsia="Batang"/>
          <w:iCs/>
          <w:snapToGrid w:val="0"/>
          <w:kern w:val="18"/>
          <w:szCs w:val="18"/>
          <w:u w:val="none"/>
          <w:vertAlign w:val="superscript"/>
          <w:lang w:val="fr-CA" w:eastAsia="ja-JP" w:bidi="th-TH"/>
        </w:rPr>
        <w:footnoteRef/>
      </w:r>
      <w:r w:rsidRPr="00B36330">
        <w:rPr>
          <w:snapToGrid w:val="0"/>
          <w:kern w:val="18"/>
          <w:szCs w:val="18"/>
          <w:lang w:val="fr-CA"/>
        </w:rPr>
        <w:t xml:space="preserve"> </w:t>
      </w:r>
      <w:r>
        <w:rPr>
          <w:snapToGrid w:val="0"/>
          <w:kern w:val="18"/>
          <w:szCs w:val="18"/>
          <w:lang w:val="fr-CA" w:eastAsia="ja-JP" w:bidi="th-TH"/>
        </w:rPr>
        <w:t>Dans cette même décision, les Parties ont été invitées à créer des mécanismes et des processus clairs pour le partage équitable des coûts et des bienfaits, et pour la participation entière et efficace des peuples autochtones et des communautés locales en lien avec les aires protégées, conformément aux lois du pays et aux obligations internationales en vigueur; et à reconnaître le rôle des aires protégées par les communautés autochtones et locales, des aires protégées des autres parties prenantes pour la conservation de la diversité biologique, de la gestion collaborative et de la diversification des modes de gouvernance</w:t>
      </w:r>
      <w:r w:rsidRPr="00B36330">
        <w:rPr>
          <w:snapToGrid w:val="0"/>
          <w:kern w:val="18"/>
          <w:szCs w:val="18"/>
          <w:lang w:val="fr-CA" w:eastAsia="ja-JP" w:bidi="th-TH"/>
        </w:rPr>
        <w:t>.</w:t>
      </w:r>
    </w:p>
  </w:footnote>
  <w:footnote w:id="23">
    <w:p w:rsidR="00277FC0" w:rsidRPr="00B36330"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B36330">
        <w:rPr>
          <w:rStyle w:val="Appelnotedebasdep"/>
          <w:snapToGrid w:val="0"/>
          <w:kern w:val="18"/>
          <w:szCs w:val="18"/>
          <w:u w:val="none"/>
          <w:vertAlign w:val="superscript"/>
          <w:lang w:val="fr-CA"/>
        </w:rPr>
        <w:footnoteRef/>
      </w:r>
      <w:r w:rsidRPr="00B36330">
        <w:rPr>
          <w:snapToGrid w:val="0"/>
          <w:kern w:val="18"/>
          <w:szCs w:val="18"/>
          <w:lang w:val="fr-CA"/>
        </w:rPr>
        <w:t xml:space="preserve"> </w:t>
      </w:r>
      <w:r w:rsidRPr="00B36330">
        <w:rPr>
          <w:snapToGrid w:val="0"/>
          <w:kern w:val="18"/>
          <w:szCs w:val="18"/>
          <w:lang w:val="fr-CA" w:eastAsia="ja-JP" w:bidi="th-TH"/>
        </w:rPr>
        <w:t>CBD/</w:t>
      </w:r>
      <w:proofErr w:type="spellStart"/>
      <w:r w:rsidRPr="00B36330">
        <w:rPr>
          <w:snapToGrid w:val="0"/>
          <w:kern w:val="18"/>
          <w:szCs w:val="18"/>
          <w:lang w:val="fr-CA" w:eastAsia="ja-JP" w:bidi="th-TH"/>
        </w:rPr>
        <w:t>SBSTTA</w:t>
      </w:r>
      <w:proofErr w:type="spellEnd"/>
      <w:r w:rsidRPr="00B36330">
        <w:rPr>
          <w:snapToGrid w:val="0"/>
          <w:kern w:val="18"/>
          <w:szCs w:val="18"/>
          <w:lang w:val="fr-CA" w:eastAsia="ja-JP" w:bidi="th-TH"/>
        </w:rPr>
        <w:t>/22/</w:t>
      </w:r>
      <w:proofErr w:type="spellStart"/>
      <w:r w:rsidRPr="00B36330">
        <w:rPr>
          <w:snapToGrid w:val="0"/>
          <w:kern w:val="18"/>
          <w:szCs w:val="18"/>
          <w:lang w:val="fr-CA" w:eastAsia="ja-JP" w:bidi="th-TH"/>
        </w:rPr>
        <w:t>INF</w:t>
      </w:r>
      <w:proofErr w:type="spellEnd"/>
      <w:r w:rsidRPr="00B36330">
        <w:rPr>
          <w:snapToGrid w:val="0"/>
          <w:kern w:val="18"/>
          <w:szCs w:val="18"/>
          <w:lang w:val="fr-CA" w:eastAsia="ja-JP" w:bidi="th-TH"/>
        </w:rPr>
        <w:t>/8.</w:t>
      </w:r>
    </w:p>
  </w:footnote>
  <w:footnote w:id="24">
    <w:p w:rsidR="00277FC0" w:rsidRPr="00B36330"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B36330">
        <w:rPr>
          <w:rStyle w:val="Appelnotedebasdep"/>
          <w:rFonts w:eastAsia="Batang"/>
          <w:iCs/>
          <w:snapToGrid w:val="0"/>
          <w:kern w:val="18"/>
          <w:szCs w:val="18"/>
          <w:u w:val="none"/>
          <w:vertAlign w:val="superscript"/>
          <w:lang w:val="fr-CA" w:eastAsia="ja-JP" w:bidi="th-TH"/>
        </w:rPr>
        <w:footnoteRef/>
      </w:r>
      <w:r w:rsidRPr="00B36330">
        <w:rPr>
          <w:snapToGrid w:val="0"/>
          <w:kern w:val="18"/>
          <w:szCs w:val="18"/>
          <w:lang w:val="fr-CA"/>
        </w:rPr>
        <w:t xml:space="preserve"> </w:t>
      </w:r>
      <w:r>
        <w:rPr>
          <w:snapToGrid w:val="0"/>
          <w:kern w:val="18"/>
          <w:szCs w:val="18"/>
          <w:lang w:val="fr-CA"/>
        </w:rPr>
        <w:t>Par exemple entre les peuples autochtones et les communautés locales et les gouvernements ou entre les particuliers et le gouvernement</w:t>
      </w:r>
      <w:r w:rsidRPr="00B36330">
        <w:rPr>
          <w:snapToGrid w:val="0"/>
          <w:kern w:val="18"/>
          <w:szCs w:val="18"/>
          <w:lang w:val="fr-CA"/>
        </w:rPr>
        <w:t>.</w:t>
      </w:r>
    </w:p>
  </w:footnote>
  <w:footnote w:id="25">
    <w:p w:rsidR="00277FC0" w:rsidRPr="00E67DC9"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B36330">
        <w:rPr>
          <w:rStyle w:val="Appelnotedebasdep"/>
          <w:rFonts w:eastAsia="Batang"/>
          <w:iCs/>
          <w:snapToGrid w:val="0"/>
          <w:kern w:val="18"/>
          <w:u w:val="none"/>
          <w:vertAlign w:val="superscript"/>
          <w:lang w:val="fr-CA" w:eastAsia="ja-JP" w:bidi="th-TH"/>
        </w:rPr>
        <w:footnoteRef/>
      </w:r>
      <w:r w:rsidRPr="00B36330">
        <w:rPr>
          <w:snapToGrid w:val="0"/>
          <w:kern w:val="18"/>
          <w:szCs w:val="18"/>
          <w:lang w:val="fr-CA"/>
        </w:rPr>
        <w:t xml:space="preserve"> </w:t>
      </w:r>
      <w:r>
        <w:rPr>
          <w:snapToGrid w:val="0"/>
          <w:kern w:val="18"/>
          <w:szCs w:val="18"/>
          <w:lang w:val="fr-CA"/>
        </w:rPr>
        <w:t>Territoires et aires conservés par les peuples autochtones et les communautés locales</w:t>
      </w:r>
      <w:r w:rsidRPr="00B36330">
        <w:rPr>
          <w:snapToGrid w:val="0"/>
          <w:kern w:val="18"/>
          <w:szCs w:val="18"/>
          <w:lang w:val="fr-CA"/>
        </w:rPr>
        <w:t>.</w:t>
      </w:r>
    </w:p>
  </w:footnote>
  <w:footnote w:id="26">
    <w:p w:rsidR="00277FC0" w:rsidRPr="0026314F" w:rsidRDefault="00277FC0" w:rsidP="007B3E88">
      <w:pPr>
        <w:pStyle w:val="Para10"/>
        <w:keepLines/>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lang w:val="fr-CA" w:eastAsia="ja-JP" w:bidi="th-TH"/>
        </w:rPr>
      </w:pPr>
      <w:r w:rsidRPr="007B3E88">
        <w:rPr>
          <w:rStyle w:val="Appelnotedebasdep"/>
          <w:rFonts w:eastAsia="Batang" w:cs="Times New Roman"/>
          <w:bCs w:val="0"/>
          <w:iCs/>
          <w:snapToGrid w:val="0"/>
          <w:kern w:val="18"/>
          <w:szCs w:val="18"/>
          <w:u w:val="none"/>
          <w:vertAlign w:val="superscript"/>
          <w:lang w:eastAsia="ja-JP" w:bidi="th-TH"/>
        </w:rPr>
        <w:footnoteRef/>
      </w:r>
      <w:r w:rsidRPr="0026314F">
        <w:rPr>
          <w:rFonts w:cs="Times New Roman"/>
          <w:snapToGrid w:val="0"/>
          <w:kern w:val="18"/>
          <w:sz w:val="18"/>
          <w:szCs w:val="18"/>
          <w:lang w:val="fr-CA"/>
        </w:rPr>
        <w:t xml:space="preserve"> </w:t>
      </w:r>
      <w:r w:rsidRPr="0026314F">
        <w:rPr>
          <w:rFonts w:cs="Times New Roman"/>
          <w:snapToGrid w:val="0"/>
          <w:kern w:val="18"/>
          <w:sz w:val="18"/>
          <w:szCs w:val="18"/>
          <w:lang w:val="fr-CA" w:eastAsia="ja-JP" w:bidi="th-TH"/>
        </w:rPr>
        <w:t xml:space="preserve">Et ce, parce que le mode de gouvernance </w:t>
      </w:r>
      <w:r>
        <w:rPr>
          <w:rFonts w:cs="Times New Roman"/>
          <w:snapToGrid w:val="0"/>
          <w:kern w:val="18"/>
          <w:sz w:val="18"/>
          <w:szCs w:val="18"/>
          <w:lang w:val="fr-CA" w:eastAsia="ja-JP" w:bidi="th-TH"/>
        </w:rPr>
        <w:t>concerne le ou les acteurs ayant la responsabilité d’initier l’établissement de l’autorité et de la responsabilité, et le maintien de celles-ci, pour les aires protégées et conservées, et qu’il varie selon le mode d’occupation et les aspirations de la partie prenante</w:t>
      </w:r>
      <w:r w:rsidRPr="0026314F">
        <w:rPr>
          <w:rFonts w:cs="Times New Roman"/>
          <w:snapToGrid w:val="0"/>
          <w:kern w:val="18"/>
          <w:sz w:val="18"/>
          <w:szCs w:val="18"/>
          <w:lang w:val="fr-CA" w:eastAsia="ja-JP" w:bidi="th-TH"/>
        </w:rPr>
        <w:t>.</w:t>
      </w:r>
    </w:p>
  </w:footnote>
  <w:footnote w:id="27">
    <w:p w:rsidR="00277FC0" w:rsidRPr="0026314F"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26314F">
        <w:rPr>
          <w:rStyle w:val="Appelnotedebasdep"/>
          <w:rFonts w:eastAsia="Batang"/>
          <w:iCs/>
          <w:snapToGrid w:val="0"/>
          <w:kern w:val="18"/>
          <w:szCs w:val="18"/>
          <w:u w:val="none"/>
          <w:vertAlign w:val="superscript"/>
          <w:lang w:val="fr-CA" w:eastAsia="ja-JP" w:bidi="th-TH"/>
        </w:rPr>
        <w:footnoteRef/>
      </w:r>
      <w:r w:rsidRPr="0026314F">
        <w:rPr>
          <w:snapToGrid w:val="0"/>
          <w:kern w:val="18"/>
          <w:szCs w:val="18"/>
          <w:lang w:val="fr-CA"/>
        </w:rPr>
        <w:t xml:space="preserve"> </w:t>
      </w:r>
      <w:r>
        <w:rPr>
          <w:snapToGrid w:val="0"/>
          <w:kern w:val="18"/>
          <w:szCs w:val="18"/>
          <w:lang w:val="fr-CA"/>
        </w:rPr>
        <w:t xml:space="preserve">Orientations utiles </w:t>
      </w:r>
      <w:r w:rsidRPr="0026314F">
        <w:rPr>
          <w:snapToGrid w:val="0"/>
          <w:kern w:val="18"/>
          <w:szCs w:val="18"/>
          <w:lang w:val="fr-CA"/>
        </w:rPr>
        <w:t xml:space="preserve">: </w:t>
      </w:r>
      <w:r>
        <w:rPr>
          <w:snapToGrid w:val="0"/>
          <w:kern w:val="18"/>
          <w:szCs w:val="18"/>
          <w:lang w:val="fr-CA"/>
        </w:rPr>
        <w:t>Cahier technique N</w:t>
      </w:r>
      <w:r w:rsidRPr="0059402B">
        <w:rPr>
          <w:snapToGrid w:val="0"/>
          <w:kern w:val="18"/>
          <w:szCs w:val="18"/>
          <w:vertAlign w:val="superscript"/>
          <w:lang w:val="fr-CA"/>
        </w:rPr>
        <w:t>o</w:t>
      </w:r>
      <w:r>
        <w:rPr>
          <w:snapToGrid w:val="0"/>
          <w:kern w:val="18"/>
          <w:szCs w:val="18"/>
          <w:lang w:val="fr-CA"/>
        </w:rPr>
        <w:t xml:space="preserve"> 64 de la CDB, </w:t>
      </w:r>
      <w:r w:rsidRPr="0026314F">
        <w:rPr>
          <w:snapToGrid w:val="0"/>
          <w:kern w:val="18"/>
          <w:szCs w:val="18"/>
          <w:lang w:val="fr-CA"/>
        </w:rPr>
        <w:t xml:space="preserve"> </w:t>
      </w:r>
      <w:r>
        <w:rPr>
          <w:snapToGrid w:val="0"/>
          <w:kern w:val="18"/>
          <w:szCs w:val="18"/>
          <w:lang w:val="fr-CA"/>
        </w:rPr>
        <w:t>la</w:t>
      </w:r>
      <w:r w:rsidRPr="0026314F">
        <w:rPr>
          <w:snapToGrid w:val="0"/>
          <w:kern w:val="18"/>
          <w:szCs w:val="18"/>
          <w:lang w:val="fr-CA"/>
        </w:rPr>
        <w:t xml:space="preserve"> </w:t>
      </w:r>
      <w:hyperlink r:id="rId6" w:history="1">
        <w:r>
          <w:rPr>
            <w:rStyle w:val="Lienhypertexte"/>
            <w:snapToGrid w:val="0"/>
            <w:kern w:val="18"/>
            <w:szCs w:val="18"/>
            <w:lang w:val="fr-CA"/>
          </w:rPr>
          <w:t>Déclaration des Nations Unies sur les droits des peuples autochtones</w:t>
        </w:r>
      </w:hyperlink>
      <w:r w:rsidRPr="0026314F">
        <w:rPr>
          <w:snapToGrid w:val="0"/>
          <w:kern w:val="18"/>
          <w:szCs w:val="18"/>
          <w:lang w:val="fr-CA"/>
        </w:rPr>
        <w:t xml:space="preserve">; Sue </w:t>
      </w:r>
      <w:proofErr w:type="spellStart"/>
      <w:r w:rsidRPr="0026314F">
        <w:rPr>
          <w:snapToGrid w:val="0"/>
          <w:kern w:val="18"/>
          <w:szCs w:val="18"/>
          <w:lang w:val="fr-CA"/>
        </w:rPr>
        <w:t>Stolton</w:t>
      </w:r>
      <w:proofErr w:type="spellEnd"/>
      <w:r w:rsidRPr="0026314F">
        <w:rPr>
          <w:snapToGrid w:val="0"/>
          <w:kern w:val="18"/>
          <w:szCs w:val="18"/>
          <w:lang w:val="fr-CA"/>
        </w:rPr>
        <w:t>, Kent H. Redford and Nigel Dudley (2014). </w:t>
      </w:r>
      <w:r w:rsidRPr="0059402B">
        <w:rPr>
          <w:i/>
          <w:iCs/>
          <w:snapToGrid w:val="0"/>
          <w:kern w:val="18"/>
          <w:szCs w:val="18"/>
          <w:lang w:val="fr-CA"/>
        </w:rPr>
        <w:t>The Futures of </w:t>
      </w:r>
      <w:proofErr w:type="spellStart"/>
      <w:r w:rsidRPr="0059402B">
        <w:rPr>
          <w:i/>
          <w:iCs/>
          <w:snapToGrid w:val="0"/>
          <w:kern w:val="18"/>
          <w:szCs w:val="18"/>
          <w:lang w:val="fr-CA"/>
        </w:rPr>
        <w:t>Privately</w:t>
      </w:r>
      <w:proofErr w:type="spellEnd"/>
      <w:r w:rsidRPr="0059402B">
        <w:rPr>
          <w:i/>
          <w:iCs/>
          <w:snapToGrid w:val="0"/>
          <w:kern w:val="18"/>
          <w:szCs w:val="18"/>
          <w:lang w:val="fr-CA"/>
        </w:rPr>
        <w:t xml:space="preserve"> </w:t>
      </w:r>
      <w:proofErr w:type="spellStart"/>
      <w:r w:rsidRPr="0059402B">
        <w:rPr>
          <w:i/>
          <w:iCs/>
          <w:snapToGrid w:val="0"/>
          <w:kern w:val="18"/>
          <w:szCs w:val="18"/>
          <w:lang w:val="fr-CA"/>
        </w:rPr>
        <w:t>Protected</w:t>
      </w:r>
      <w:proofErr w:type="spellEnd"/>
      <w:r w:rsidRPr="0059402B">
        <w:rPr>
          <w:i/>
          <w:iCs/>
          <w:snapToGrid w:val="0"/>
          <w:kern w:val="18"/>
          <w:szCs w:val="18"/>
          <w:lang w:val="fr-CA"/>
        </w:rPr>
        <w:t xml:space="preserve"> Areas</w:t>
      </w:r>
      <w:r w:rsidRPr="0059402B">
        <w:rPr>
          <w:snapToGrid w:val="0"/>
          <w:kern w:val="18"/>
          <w:szCs w:val="18"/>
          <w:lang w:val="fr-CA"/>
        </w:rPr>
        <w:t>.</w:t>
      </w:r>
      <w:r>
        <w:rPr>
          <w:snapToGrid w:val="0"/>
          <w:kern w:val="18"/>
          <w:szCs w:val="18"/>
          <w:lang w:val="fr-CA"/>
        </w:rPr>
        <w:t xml:space="preserve"> </w:t>
      </w:r>
      <w:r w:rsidRPr="0026314F">
        <w:rPr>
          <w:snapToGrid w:val="0"/>
          <w:kern w:val="18"/>
          <w:szCs w:val="18"/>
          <w:lang w:val="fr-CA"/>
        </w:rPr>
        <w:t xml:space="preserve">Gland, </w:t>
      </w:r>
      <w:r>
        <w:rPr>
          <w:snapToGrid w:val="0"/>
          <w:kern w:val="18"/>
          <w:szCs w:val="18"/>
          <w:lang w:val="fr-CA"/>
        </w:rPr>
        <w:t>Suisse</w:t>
      </w:r>
      <w:r w:rsidRPr="0026314F">
        <w:rPr>
          <w:snapToGrid w:val="0"/>
          <w:kern w:val="18"/>
          <w:szCs w:val="18"/>
          <w:lang w:val="fr-CA"/>
        </w:rPr>
        <w:t>,</w:t>
      </w:r>
      <w:r>
        <w:rPr>
          <w:snapToGrid w:val="0"/>
          <w:kern w:val="18"/>
          <w:szCs w:val="18"/>
          <w:lang w:val="fr-CA"/>
        </w:rPr>
        <w:t xml:space="preserve"> UI</w:t>
      </w:r>
      <w:r w:rsidRPr="0026314F">
        <w:rPr>
          <w:snapToGrid w:val="0"/>
          <w:kern w:val="18"/>
          <w:szCs w:val="18"/>
          <w:lang w:val="fr-CA"/>
        </w:rPr>
        <w:t>CN.</w:t>
      </w:r>
    </w:p>
  </w:footnote>
  <w:footnote w:id="28">
    <w:p w:rsidR="00277FC0" w:rsidRPr="0026314F"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26314F">
        <w:rPr>
          <w:rStyle w:val="Appelnotedebasdep"/>
          <w:rFonts w:eastAsia="Batang"/>
          <w:iCs/>
          <w:snapToGrid w:val="0"/>
          <w:kern w:val="18"/>
          <w:szCs w:val="18"/>
          <w:u w:val="none"/>
          <w:vertAlign w:val="superscript"/>
          <w:lang w:val="fr-CA" w:eastAsia="ja-JP" w:bidi="th-TH"/>
        </w:rPr>
        <w:footnoteRef/>
      </w:r>
      <w:r w:rsidRPr="0026314F">
        <w:rPr>
          <w:snapToGrid w:val="0"/>
          <w:kern w:val="18"/>
          <w:szCs w:val="18"/>
          <w:lang w:val="fr-CA"/>
        </w:rPr>
        <w:t xml:space="preserve"> </w:t>
      </w:r>
      <w:r>
        <w:rPr>
          <w:snapToGrid w:val="0"/>
          <w:kern w:val="18"/>
          <w:szCs w:val="18"/>
          <w:lang w:val="fr-CA"/>
        </w:rPr>
        <w:t>Les acteurs tels que les gouvernements infranationaux, les gouvernements locaux, les propriétaires fonciers, les petits cultivateurs, les organisations non gouvernementales et autres entités privées, et les peuples autochtones et communautés locales</w:t>
      </w:r>
      <w:r w:rsidRPr="0026314F">
        <w:rPr>
          <w:snapToGrid w:val="0"/>
          <w:kern w:val="18"/>
          <w:szCs w:val="18"/>
          <w:lang w:val="fr-CA" w:eastAsia="ja-JP" w:bidi="th-TH"/>
        </w:rPr>
        <w:t>.</w:t>
      </w:r>
    </w:p>
  </w:footnote>
  <w:footnote w:id="29">
    <w:p w:rsidR="00277FC0" w:rsidRPr="00DC06CB" w:rsidRDefault="00277FC0" w:rsidP="007B3E88">
      <w:pPr>
        <w:pStyle w:val="Para10"/>
        <w:keepLines/>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lang w:val="en-US"/>
        </w:rPr>
      </w:pPr>
      <w:r w:rsidRPr="0026314F">
        <w:rPr>
          <w:rStyle w:val="Appelnotedebasdep"/>
          <w:rFonts w:eastAsia="Batang" w:cs="Times New Roman"/>
          <w:bCs w:val="0"/>
          <w:iCs/>
          <w:snapToGrid w:val="0"/>
          <w:kern w:val="18"/>
          <w:szCs w:val="18"/>
          <w:u w:val="none"/>
          <w:vertAlign w:val="superscript"/>
          <w:lang w:val="fr-CA" w:eastAsia="ja-JP" w:bidi="th-TH"/>
        </w:rPr>
        <w:footnoteRef/>
      </w:r>
      <w:r w:rsidRPr="00DC06CB">
        <w:rPr>
          <w:rFonts w:cs="Times New Roman"/>
          <w:snapToGrid w:val="0"/>
          <w:kern w:val="18"/>
          <w:sz w:val="18"/>
          <w:szCs w:val="18"/>
          <w:lang w:val="en-US"/>
        </w:rPr>
        <w:t xml:space="preserve"> Orientations </w:t>
      </w:r>
      <w:proofErr w:type="spellStart"/>
      <w:r w:rsidRPr="00DC06CB">
        <w:rPr>
          <w:rFonts w:cs="Times New Roman"/>
          <w:snapToGrid w:val="0"/>
          <w:kern w:val="18"/>
          <w:sz w:val="18"/>
          <w:szCs w:val="18"/>
          <w:lang w:val="en-US"/>
        </w:rPr>
        <w:t>utiles</w:t>
      </w:r>
      <w:proofErr w:type="spellEnd"/>
      <w:r w:rsidRPr="00DC06CB">
        <w:rPr>
          <w:rFonts w:cs="Times New Roman"/>
          <w:snapToGrid w:val="0"/>
          <w:kern w:val="18"/>
          <w:sz w:val="18"/>
          <w:szCs w:val="18"/>
          <w:lang w:val="en-US"/>
        </w:rPr>
        <w:t xml:space="preserve"> : </w:t>
      </w:r>
      <w:proofErr w:type="spellStart"/>
      <w:r w:rsidRPr="00DC06CB">
        <w:rPr>
          <w:rFonts w:cs="Times New Roman"/>
          <w:snapToGrid w:val="0"/>
          <w:kern w:val="18"/>
          <w:sz w:val="18"/>
          <w:szCs w:val="18"/>
          <w:lang w:val="en-US"/>
        </w:rPr>
        <w:t>IUCN</w:t>
      </w:r>
      <w:proofErr w:type="spellEnd"/>
      <w:r w:rsidRPr="00DC06CB">
        <w:rPr>
          <w:rFonts w:cs="Times New Roman"/>
          <w:snapToGrid w:val="0"/>
          <w:kern w:val="18"/>
          <w:sz w:val="18"/>
          <w:szCs w:val="18"/>
          <w:lang w:val="en-US"/>
        </w:rPr>
        <w:t xml:space="preserve"> Best Practice Guidelines No. 20: Governance of Protected Areas: from Understanding to Action (2013).</w:t>
      </w:r>
    </w:p>
  </w:footnote>
  <w:footnote w:id="30">
    <w:p w:rsidR="00277FC0" w:rsidRPr="003F0010" w:rsidRDefault="00277FC0" w:rsidP="007B3E88">
      <w:pPr>
        <w:pStyle w:val="Para10"/>
        <w:keepLines/>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lang w:val="fr-CA" w:eastAsia="ja-JP" w:bidi="th-TH"/>
        </w:rPr>
      </w:pPr>
      <w:r w:rsidRPr="0026314F">
        <w:rPr>
          <w:rStyle w:val="Appelnotedebasdep"/>
          <w:rFonts w:eastAsia="Batang" w:cs="Times New Roman"/>
          <w:bCs w:val="0"/>
          <w:iCs/>
          <w:snapToGrid w:val="0"/>
          <w:kern w:val="18"/>
          <w:szCs w:val="18"/>
          <w:u w:val="none"/>
          <w:vertAlign w:val="superscript"/>
          <w:lang w:val="fr-CA" w:eastAsia="ja-JP" w:bidi="th-TH"/>
        </w:rPr>
        <w:footnoteRef/>
      </w:r>
      <w:r w:rsidRPr="003F0010">
        <w:rPr>
          <w:rFonts w:cs="Times New Roman"/>
          <w:snapToGrid w:val="0"/>
          <w:kern w:val="18"/>
          <w:sz w:val="18"/>
          <w:szCs w:val="18"/>
          <w:lang w:val="fr-CA"/>
        </w:rPr>
        <w:t xml:space="preserve"> </w:t>
      </w:r>
      <w:r w:rsidRPr="003F0010">
        <w:rPr>
          <w:rFonts w:cs="Times New Roman"/>
          <w:snapToGrid w:val="0"/>
          <w:kern w:val="18"/>
          <w:sz w:val="18"/>
          <w:szCs w:val="18"/>
          <w:lang w:val="fr-CA" w:eastAsia="ja-JP" w:bidi="th-TH"/>
        </w:rPr>
        <w:t>Une telle évaluation</w:t>
      </w:r>
      <w:r>
        <w:rPr>
          <w:rFonts w:cs="Times New Roman"/>
          <w:snapToGrid w:val="0"/>
          <w:kern w:val="18"/>
          <w:sz w:val="18"/>
          <w:szCs w:val="18"/>
          <w:lang w:val="fr-CA" w:eastAsia="ja-JP" w:bidi="th-TH"/>
        </w:rPr>
        <w:t xml:space="preserve"> aide aussi à cerner les aires d’importance particulière pour la diversité biologique, l’état de la conservation et de la protection, et la manière de les gouverner et par qui, ce qui laisse présager la possibilité de contributions aux réseaux existants. Les facteurs économiques et les coûts et les bienfaits sociaux et culturels doivent aussi entrer en ligne de compte</w:t>
      </w:r>
      <w:r w:rsidRPr="003F0010">
        <w:rPr>
          <w:rFonts w:cs="Times New Roman"/>
          <w:snapToGrid w:val="0"/>
          <w:kern w:val="18"/>
          <w:sz w:val="18"/>
          <w:szCs w:val="18"/>
          <w:lang w:val="fr-CA" w:eastAsia="ja-JP" w:bidi="th-TH"/>
        </w:rPr>
        <w:t>.</w:t>
      </w:r>
    </w:p>
  </w:footnote>
  <w:footnote w:id="31">
    <w:p w:rsidR="00277FC0" w:rsidRPr="00A41637"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Appelnotedebasdep"/>
          <w:rFonts w:eastAsia="Batang"/>
          <w:iCs/>
          <w:snapToGrid w:val="0"/>
          <w:kern w:val="18"/>
          <w:szCs w:val="18"/>
          <w:u w:val="none"/>
          <w:vertAlign w:val="superscript"/>
          <w:lang w:eastAsia="ja-JP" w:bidi="th-TH"/>
        </w:rPr>
        <w:footnoteRef/>
      </w:r>
      <w:r w:rsidRPr="00D65F0F">
        <w:rPr>
          <w:snapToGrid w:val="0"/>
          <w:kern w:val="18"/>
          <w:szCs w:val="18"/>
          <w:lang w:val="fr-CA"/>
        </w:rPr>
        <w:t xml:space="preserve"> </w:t>
      </w:r>
      <w:r w:rsidRPr="00D65F0F">
        <w:rPr>
          <w:snapToGrid w:val="0"/>
          <w:kern w:val="18"/>
          <w:szCs w:val="18"/>
          <w:lang w:val="fr-CA" w:eastAsia="ja-JP" w:bidi="th-TH"/>
        </w:rPr>
        <w:t xml:space="preserve">Les gouvernements et </w:t>
      </w:r>
      <w:r>
        <w:rPr>
          <w:snapToGrid w:val="0"/>
          <w:kern w:val="18"/>
          <w:szCs w:val="18"/>
          <w:lang w:val="fr-CA" w:eastAsia="ja-JP" w:bidi="th-TH"/>
        </w:rPr>
        <w:t xml:space="preserve">les </w:t>
      </w:r>
      <w:r w:rsidRPr="00D65F0F">
        <w:rPr>
          <w:snapToGrid w:val="0"/>
          <w:kern w:val="18"/>
          <w:szCs w:val="18"/>
          <w:lang w:val="fr-CA" w:eastAsia="ja-JP" w:bidi="th-TH"/>
        </w:rPr>
        <w:t>parties prenantes intéressés peuven</w:t>
      </w:r>
      <w:r>
        <w:rPr>
          <w:snapToGrid w:val="0"/>
          <w:kern w:val="18"/>
          <w:szCs w:val="18"/>
          <w:lang w:val="fr-CA" w:eastAsia="ja-JP" w:bidi="th-TH"/>
        </w:rPr>
        <w:t xml:space="preserve">t consulter les nombreuses données d’expérience et orientations des </w:t>
      </w:r>
      <w:r w:rsidRPr="00CA6CB3">
        <w:rPr>
          <w:snapToGrid w:val="0"/>
          <w:kern w:val="18"/>
          <w:szCs w:val="18"/>
          <w:lang w:val="fr-CA" w:eastAsia="ja-JP" w:bidi="th-TH"/>
        </w:rPr>
        <w:t xml:space="preserve">Parties. Orientations utiles </w:t>
      </w:r>
      <w:r w:rsidRPr="00CA6CB3">
        <w:rPr>
          <w:snapToGrid w:val="0"/>
          <w:kern w:val="18"/>
          <w:szCs w:val="18"/>
          <w:lang w:val="fr-CA"/>
        </w:rPr>
        <w:t>: Cahier technique n</w:t>
      </w:r>
      <w:r w:rsidRPr="00CA6CB3">
        <w:rPr>
          <w:snapToGrid w:val="0"/>
          <w:kern w:val="18"/>
          <w:szCs w:val="18"/>
          <w:vertAlign w:val="superscript"/>
          <w:lang w:val="fr-CA"/>
        </w:rPr>
        <w:t>o</w:t>
      </w:r>
      <w:r w:rsidRPr="00CA6CB3">
        <w:rPr>
          <w:snapToGrid w:val="0"/>
          <w:kern w:val="18"/>
          <w:szCs w:val="18"/>
          <w:lang w:val="fr-CA"/>
        </w:rPr>
        <w:t xml:space="preserve"> 64 de la CDB, Sue </w:t>
      </w:r>
      <w:proofErr w:type="spellStart"/>
      <w:r w:rsidRPr="00CA6CB3">
        <w:rPr>
          <w:snapToGrid w:val="0"/>
          <w:kern w:val="18"/>
          <w:szCs w:val="18"/>
          <w:lang w:val="fr-CA"/>
        </w:rPr>
        <w:t>Stolton</w:t>
      </w:r>
      <w:proofErr w:type="spellEnd"/>
      <w:r w:rsidRPr="00CA6CB3">
        <w:rPr>
          <w:snapToGrid w:val="0"/>
          <w:kern w:val="18"/>
          <w:szCs w:val="18"/>
          <w:lang w:val="fr-CA"/>
        </w:rPr>
        <w:t>, Kent H. Redford and Nigel Dudley (2014). </w:t>
      </w:r>
      <w:r w:rsidRPr="00A41637">
        <w:rPr>
          <w:i/>
          <w:iCs/>
          <w:snapToGrid w:val="0"/>
          <w:kern w:val="18"/>
          <w:szCs w:val="18"/>
          <w:lang w:val="en-US"/>
        </w:rPr>
        <w:t>The Futures of Privately Protected Areas</w:t>
      </w:r>
      <w:r w:rsidRPr="00A41637">
        <w:rPr>
          <w:snapToGrid w:val="0"/>
          <w:kern w:val="18"/>
          <w:szCs w:val="18"/>
          <w:lang w:val="en-US"/>
        </w:rPr>
        <w:t xml:space="preserve">. Gland, Suisse, UICN; et le document </w:t>
      </w:r>
      <w:proofErr w:type="spellStart"/>
      <w:r w:rsidRPr="00A41637">
        <w:rPr>
          <w:snapToGrid w:val="0"/>
          <w:kern w:val="18"/>
          <w:szCs w:val="18"/>
          <w:lang w:val="en-US"/>
        </w:rPr>
        <w:t>informatif</w:t>
      </w:r>
      <w:proofErr w:type="spellEnd"/>
      <w:r w:rsidRPr="00A41637">
        <w:rPr>
          <w:snapToGrid w:val="0"/>
          <w:kern w:val="18"/>
          <w:szCs w:val="18"/>
          <w:lang w:val="en-US"/>
        </w:rPr>
        <w:t xml:space="preserve"> CBD/</w:t>
      </w:r>
      <w:proofErr w:type="spellStart"/>
      <w:r w:rsidRPr="00A41637">
        <w:rPr>
          <w:snapToGrid w:val="0"/>
          <w:kern w:val="18"/>
          <w:szCs w:val="18"/>
          <w:lang w:val="en-US"/>
        </w:rPr>
        <w:t>SBSTTA</w:t>
      </w:r>
      <w:proofErr w:type="spellEnd"/>
      <w:r w:rsidRPr="00A41637">
        <w:rPr>
          <w:snapToGrid w:val="0"/>
          <w:kern w:val="18"/>
          <w:szCs w:val="18"/>
          <w:lang w:val="en-US"/>
        </w:rPr>
        <w:t>/22/INF/8.</w:t>
      </w:r>
    </w:p>
  </w:footnote>
  <w:footnote w:id="32">
    <w:p w:rsidR="00277FC0" w:rsidRPr="00A41637"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sidRPr="00CA6CB3">
        <w:rPr>
          <w:rStyle w:val="Appelnotedebasdep"/>
          <w:rFonts w:eastAsia="Batang"/>
          <w:iCs/>
          <w:snapToGrid w:val="0"/>
          <w:kern w:val="18"/>
          <w:szCs w:val="18"/>
          <w:u w:val="none"/>
          <w:vertAlign w:val="superscript"/>
          <w:lang w:val="fr-CA" w:eastAsia="ja-JP" w:bidi="th-TH"/>
        </w:rPr>
        <w:footnoteRef/>
      </w:r>
      <w:r w:rsidRPr="00A41637">
        <w:rPr>
          <w:snapToGrid w:val="0"/>
          <w:kern w:val="18"/>
          <w:szCs w:val="18"/>
          <w:lang w:val="en-US"/>
        </w:rPr>
        <w:t xml:space="preserve"> </w:t>
      </w:r>
      <w:proofErr w:type="spellStart"/>
      <w:r w:rsidRPr="00A41637">
        <w:rPr>
          <w:snapToGrid w:val="0"/>
          <w:kern w:val="18"/>
          <w:szCs w:val="18"/>
          <w:lang w:val="en-US"/>
        </w:rPr>
        <w:t>IUCN</w:t>
      </w:r>
      <w:proofErr w:type="spellEnd"/>
      <w:r w:rsidRPr="00A41637">
        <w:rPr>
          <w:snapToGrid w:val="0"/>
          <w:kern w:val="18"/>
          <w:szCs w:val="18"/>
          <w:lang w:val="en-US"/>
        </w:rPr>
        <w:t xml:space="preserve"> Best Practice Guidelines No. 20</w:t>
      </w:r>
    </w:p>
  </w:footnote>
  <w:footnote w:id="33">
    <w:p w:rsidR="00277FC0" w:rsidRPr="00CA6CB3" w:rsidRDefault="00277FC0" w:rsidP="002063EF">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CA6CB3">
        <w:rPr>
          <w:rStyle w:val="Appelnotedebasdep"/>
          <w:snapToGrid w:val="0"/>
          <w:kern w:val="18"/>
          <w:szCs w:val="18"/>
          <w:u w:val="none"/>
          <w:vertAlign w:val="superscript"/>
          <w:lang w:val="fr-CA"/>
        </w:rPr>
        <w:footnoteRef/>
      </w:r>
      <w:r w:rsidRPr="00CA6CB3">
        <w:rPr>
          <w:snapToGrid w:val="0"/>
          <w:kern w:val="18"/>
          <w:szCs w:val="18"/>
          <w:lang w:val="fr-CA"/>
        </w:rPr>
        <w:t xml:space="preserve"> Dans le context</w:t>
      </w:r>
      <w:r>
        <w:rPr>
          <w:snapToGrid w:val="0"/>
          <w:kern w:val="18"/>
          <w:szCs w:val="18"/>
          <w:lang w:val="fr-CA"/>
        </w:rPr>
        <w:t>e</w:t>
      </w:r>
      <w:r w:rsidRPr="00CA6CB3">
        <w:rPr>
          <w:snapToGrid w:val="0"/>
          <w:kern w:val="18"/>
          <w:szCs w:val="18"/>
          <w:lang w:val="fr-CA"/>
        </w:rPr>
        <w:t xml:space="preserve"> des aires protégées, </w:t>
      </w:r>
      <w:r>
        <w:rPr>
          <w:snapToGrid w:val="0"/>
          <w:kern w:val="18"/>
          <w:szCs w:val="18"/>
          <w:lang w:val="fr-CA"/>
        </w:rPr>
        <w:t>les « détenteurs de droits » sont des acteurs possédant les droits légaux ou coutumiers relatifs aux ressources naturelles et aux terres</w:t>
      </w:r>
      <w:r w:rsidRPr="00CA6CB3">
        <w:rPr>
          <w:snapToGrid w:val="0"/>
          <w:kern w:val="18"/>
          <w:szCs w:val="18"/>
          <w:lang w:val="fr-CA"/>
        </w:rPr>
        <w:t>.</w:t>
      </w:r>
      <w:r>
        <w:rPr>
          <w:snapToGrid w:val="0"/>
          <w:kern w:val="18"/>
          <w:szCs w:val="18"/>
          <w:lang w:val="fr-CA"/>
        </w:rPr>
        <w:t xml:space="preserve"> Les « parties prenantes » sont des acteurs ayant de l’intérêt et des inquiétudes concernant les ressources naturelles et les terres.</w:t>
      </w:r>
    </w:p>
  </w:footnote>
  <w:footnote w:id="34">
    <w:p w:rsidR="00277FC0" w:rsidRPr="00A41637"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sidRPr="00CA6CB3">
        <w:rPr>
          <w:rStyle w:val="Appelnotedebasdep"/>
          <w:rFonts w:eastAsia="Batang"/>
          <w:iCs/>
          <w:snapToGrid w:val="0"/>
          <w:kern w:val="18"/>
          <w:szCs w:val="18"/>
          <w:u w:val="none"/>
          <w:vertAlign w:val="superscript"/>
          <w:lang w:val="fr-CA" w:eastAsia="ja-JP" w:bidi="th-TH"/>
        </w:rPr>
        <w:footnoteRef/>
      </w:r>
      <w:r w:rsidRPr="00A41637">
        <w:rPr>
          <w:snapToGrid w:val="0"/>
          <w:kern w:val="18"/>
          <w:szCs w:val="18"/>
          <w:lang w:val="en-US"/>
        </w:rPr>
        <w:t xml:space="preserve"> </w:t>
      </w:r>
      <w:proofErr w:type="spellStart"/>
      <w:r w:rsidRPr="00A41637">
        <w:rPr>
          <w:snapToGrid w:val="0"/>
          <w:kern w:val="18"/>
          <w:szCs w:val="18"/>
          <w:lang w:val="en-US"/>
        </w:rPr>
        <w:t>Schreckenberg</w:t>
      </w:r>
      <w:proofErr w:type="spellEnd"/>
      <w:r w:rsidRPr="00A41637">
        <w:rPr>
          <w:snapToGrid w:val="0"/>
          <w:kern w:val="18"/>
          <w:szCs w:val="18"/>
          <w:lang w:val="en-US"/>
        </w:rPr>
        <w:t xml:space="preserve">, K., et.al. (2016): Unpacking Equity for Protected Area Conservation, </w:t>
      </w:r>
      <w:r w:rsidRPr="00A41637">
        <w:rPr>
          <w:i/>
          <w:iCs/>
          <w:snapToGrid w:val="0"/>
          <w:kern w:val="18"/>
          <w:szCs w:val="18"/>
          <w:lang w:val="en-US"/>
        </w:rPr>
        <w:t>PARKS Journal</w:t>
      </w:r>
      <w:r w:rsidRPr="00A41637">
        <w:rPr>
          <w:snapToGrid w:val="0"/>
          <w:kern w:val="18"/>
          <w:szCs w:val="18"/>
          <w:lang w:val="en-US"/>
        </w:rPr>
        <w:t>.</w:t>
      </w:r>
    </w:p>
  </w:footnote>
  <w:footnote w:id="35">
    <w:p w:rsidR="00277FC0" w:rsidRPr="00A41637"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sidRPr="00CA6CB3">
        <w:rPr>
          <w:rStyle w:val="Appelnotedebasdep"/>
          <w:rFonts w:eastAsia="Batang"/>
          <w:iCs/>
          <w:snapToGrid w:val="0"/>
          <w:kern w:val="18"/>
          <w:szCs w:val="18"/>
          <w:u w:val="none"/>
          <w:vertAlign w:val="superscript"/>
          <w:lang w:val="fr-CA" w:eastAsia="ja-JP" w:bidi="th-TH"/>
        </w:rPr>
        <w:footnoteRef/>
      </w:r>
      <w:r w:rsidRPr="00A41637">
        <w:rPr>
          <w:snapToGrid w:val="0"/>
          <w:kern w:val="18"/>
          <w:szCs w:val="18"/>
          <w:lang w:val="en-US"/>
        </w:rPr>
        <w:t xml:space="preserve"> “Protected areas: facilitating the achievement of Aichi Biodiversity Target 11” (UNEP/CBD/COP/13/INF/17)</w:t>
      </w:r>
    </w:p>
  </w:footnote>
  <w:footnote w:id="36">
    <w:p w:rsidR="00277FC0" w:rsidRPr="00AF70AF"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7B3E88">
        <w:rPr>
          <w:rStyle w:val="Appelnotedebasdep"/>
          <w:rFonts w:eastAsia="Batang"/>
          <w:iCs/>
          <w:snapToGrid w:val="0"/>
          <w:kern w:val="18"/>
          <w:szCs w:val="18"/>
          <w:u w:val="none"/>
          <w:vertAlign w:val="superscript"/>
          <w:lang w:eastAsia="ja-JP" w:bidi="th-TH"/>
        </w:rPr>
        <w:footnoteRef/>
      </w:r>
      <w:r w:rsidRPr="00AF70AF">
        <w:rPr>
          <w:snapToGrid w:val="0"/>
          <w:kern w:val="18"/>
          <w:szCs w:val="18"/>
          <w:lang w:val="fr-CA"/>
        </w:rPr>
        <w:t xml:space="preserve"> La participation effic</w:t>
      </w:r>
      <w:r>
        <w:rPr>
          <w:snapToGrid w:val="0"/>
          <w:kern w:val="18"/>
          <w:szCs w:val="18"/>
          <w:lang w:val="fr-CA"/>
        </w:rPr>
        <w:t>ace des autres parties prenantes s’applique aux organes publics assurant la gouvernance des aires protégées, tandis que la coordination avec les autres parties prenantes s’applique aux acteurs non gouvernementaux assurant la gouvernance des aires protégées</w:t>
      </w:r>
      <w:r w:rsidRPr="00AF70AF">
        <w:rPr>
          <w:snapToGrid w:val="0"/>
          <w:kern w:val="18"/>
          <w:szCs w:val="18"/>
          <w:lang w:val="fr-CA"/>
        </w:rPr>
        <w:t>.</w:t>
      </w:r>
    </w:p>
  </w:footnote>
  <w:footnote w:id="37">
    <w:p w:rsidR="00277FC0" w:rsidRPr="00190085"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AF70AF">
        <w:rPr>
          <w:rStyle w:val="Appelnotedebasdep"/>
          <w:rFonts w:eastAsia="Batang"/>
          <w:iCs/>
          <w:snapToGrid w:val="0"/>
          <w:kern w:val="18"/>
          <w:szCs w:val="18"/>
          <w:u w:val="none"/>
          <w:vertAlign w:val="superscript"/>
          <w:lang w:val="fr-CA" w:eastAsia="ja-JP" w:bidi="th-TH"/>
        </w:rPr>
        <w:footnoteRef/>
      </w:r>
      <w:r w:rsidRPr="0078227F">
        <w:rPr>
          <w:snapToGrid w:val="0"/>
          <w:kern w:val="18"/>
          <w:szCs w:val="18"/>
          <w:lang w:val="fr-CA"/>
        </w:rPr>
        <w:t xml:space="preserve"> Voir aussi la décision VII/28 : </w:t>
      </w:r>
      <w:r>
        <w:rPr>
          <w:snapToGrid w:val="0"/>
          <w:kern w:val="18"/>
          <w:szCs w:val="18"/>
          <w:lang w:val="fr-CA"/>
        </w:rPr>
        <w:t xml:space="preserve">Prend note que l’établissement, la gestion et le suivi des aires protégées doivent se faire avec la participation entière et active des peuples autochtones et des communautés locales et dans le respect complet de leurs droits, </w:t>
      </w:r>
      <w:r w:rsidRPr="00190085">
        <w:rPr>
          <w:snapToGrid w:val="0"/>
          <w:kern w:val="18"/>
          <w:szCs w:val="18"/>
          <w:lang w:val="fr-CA"/>
        </w:rPr>
        <w:t xml:space="preserve">conformément aux lois du pays et </w:t>
      </w:r>
      <w:r>
        <w:rPr>
          <w:snapToGrid w:val="0"/>
          <w:kern w:val="18"/>
          <w:szCs w:val="18"/>
          <w:lang w:val="fr-CA"/>
        </w:rPr>
        <w:t>aux</w:t>
      </w:r>
      <w:r w:rsidRPr="00190085">
        <w:rPr>
          <w:snapToGrid w:val="0"/>
          <w:kern w:val="18"/>
          <w:szCs w:val="18"/>
          <w:lang w:val="fr-CA"/>
        </w:rPr>
        <w:t xml:space="preserve"> obligations internationales en vigueur</w:t>
      </w:r>
    </w:p>
  </w:footnote>
  <w:footnote w:id="38">
    <w:p w:rsidR="00277FC0" w:rsidRPr="00190085"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190085">
        <w:rPr>
          <w:rStyle w:val="Appelnotedebasdep"/>
          <w:rFonts w:eastAsia="Batang"/>
          <w:iCs/>
          <w:snapToGrid w:val="0"/>
          <w:kern w:val="18"/>
          <w:szCs w:val="18"/>
          <w:u w:val="none"/>
          <w:vertAlign w:val="superscript"/>
          <w:lang w:val="fr-CA" w:eastAsia="ja-JP" w:bidi="th-TH"/>
        </w:rPr>
        <w:footnoteRef/>
      </w:r>
      <w:r w:rsidRPr="00190085">
        <w:rPr>
          <w:snapToGrid w:val="0"/>
          <w:kern w:val="18"/>
          <w:szCs w:val="18"/>
          <w:lang w:val="fr-CA"/>
        </w:rPr>
        <w:t xml:space="preserve"> Orientations utiles : FAO </w:t>
      </w:r>
      <w:proofErr w:type="spellStart"/>
      <w:r w:rsidRPr="00190085">
        <w:rPr>
          <w:snapToGrid w:val="0"/>
          <w:kern w:val="18"/>
          <w:szCs w:val="18"/>
          <w:lang w:val="fr-CA"/>
        </w:rPr>
        <w:t>Voluntary</w:t>
      </w:r>
      <w:proofErr w:type="spellEnd"/>
      <w:r w:rsidRPr="00190085">
        <w:rPr>
          <w:snapToGrid w:val="0"/>
          <w:kern w:val="18"/>
          <w:szCs w:val="18"/>
          <w:lang w:val="fr-CA"/>
        </w:rPr>
        <w:t xml:space="preserve"> Guidelines on the </w:t>
      </w:r>
      <w:proofErr w:type="spellStart"/>
      <w:r w:rsidRPr="00190085">
        <w:rPr>
          <w:snapToGrid w:val="0"/>
          <w:kern w:val="18"/>
          <w:szCs w:val="18"/>
          <w:lang w:val="fr-CA"/>
        </w:rPr>
        <w:t>Responsible</w:t>
      </w:r>
      <w:proofErr w:type="spellEnd"/>
      <w:r w:rsidRPr="00190085">
        <w:rPr>
          <w:snapToGrid w:val="0"/>
          <w:kern w:val="18"/>
          <w:szCs w:val="18"/>
          <w:lang w:val="fr-CA"/>
        </w:rPr>
        <w:t xml:space="preserve"> </w:t>
      </w:r>
      <w:proofErr w:type="spellStart"/>
      <w:r w:rsidRPr="00190085">
        <w:rPr>
          <w:snapToGrid w:val="0"/>
          <w:kern w:val="18"/>
          <w:szCs w:val="18"/>
          <w:lang w:val="fr-CA"/>
        </w:rPr>
        <w:t>Governance</w:t>
      </w:r>
      <w:proofErr w:type="spellEnd"/>
      <w:r w:rsidRPr="00190085">
        <w:rPr>
          <w:snapToGrid w:val="0"/>
          <w:kern w:val="18"/>
          <w:szCs w:val="18"/>
          <w:lang w:val="fr-CA"/>
        </w:rPr>
        <w:t xml:space="preserve"> of Tenure (2012); Cahier technique n</w:t>
      </w:r>
      <w:r w:rsidRPr="00190085">
        <w:rPr>
          <w:snapToGrid w:val="0"/>
          <w:kern w:val="18"/>
          <w:szCs w:val="18"/>
          <w:vertAlign w:val="superscript"/>
          <w:lang w:val="fr-CA"/>
        </w:rPr>
        <w:t>o</w:t>
      </w:r>
      <w:r w:rsidRPr="00190085">
        <w:rPr>
          <w:snapToGrid w:val="0"/>
          <w:kern w:val="18"/>
          <w:szCs w:val="18"/>
          <w:lang w:val="fr-CA"/>
        </w:rPr>
        <w:t xml:space="preserve"> 64 de la CDB</w:t>
      </w:r>
      <w:r w:rsidRPr="00190085">
        <w:rPr>
          <w:rStyle w:val="Lienhypertexte"/>
          <w:snapToGrid w:val="0"/>
          <w:kern w:val="18"/>
          <w:szCs w:val="18"/>
          <w:lang w:val="fr-CA"/>
        </w:rPr>
        <w:t>.</w:t>
      </w:r>
    </w:p>
  </w:footnote>
  <w:footnote w:id="39">
    <w:p w:rsidR="00277FC0" w:rsidRPr="00876FC0"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AF70AF">
        <w:rPr>
          <w:rStyle w:val="Appelnotedebasdep"/>
          <w:rFonts w:eastAsia="Batang"/>
          <w:iCs/>
          <w:snapToGrid w:val="0"/>
          <w:kern w:val="18"/>
          <w:szCs w:val="18"/>
          <w:u w:val="none"/>
          <w:vertAlign w:val="superscript"/>
          <w:lang w:val="fr-CA" w:eastAsia="ja-JP" w:bidi="th-TH"/>
        </w:rPr>
        <w:footnoteRef/>
      </w:r>
      <w:r w:rsidRPr="00876FC0">
        <w:rPr>
          <w:snapToGrid w:val="0"/>
          <w:kern w:val="18"/>
          <w:szCs w:val="18"/>
          <w:lang w:val="fr-CA"/>
        </w:rPr>
        <w:t xml:space="preserve"> Annexe à la décision </w:t>
      </w:r>
      <w:r w:rsidRPr="00876FC0">
        <w:rPr>
          <w:snapToGrid w:val="0"/>
          <w:kern w:val="18"/>
          <w:lang w:val="fr-CA"/>
        </w:rPr>
        <w:t>XII/12</w:t>
      </w:r>
      <w:r w:rsidRPr="00876FC0">
        <w:rPr>
          <w:snapToGrid w:val="0"/>
          <w:kern w:val="18"/>
          <w:szCs w:val="18"/>
          <w:lang w:val="fr-CA"/>
        </w:rPr>
        <w:t>, notamment la tâche III sur les aires protégées</w:t>
      </w:r>
      <w:r w:rsidRPr="00876FC0">
        <w:rPr>
          <w:snapToGrid w:val="0"/>
          <w:kern w:val="18"/>
          <w:szCs w:val="18"/>
          <w:lang w:val="fr-CA" w:eastAsia="ja-JP" w:bidi="th-TH"/>
        </w:rPr>
        <w:t>.</w:t>
      </w:r>
    </w:p>
  </w:footnote>
  <w:footnote w:id="40">
    <w:p w:rsidR="00277FC0" w:rsidRPr="00876FC0"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AF70AF">
        <w:rPr>
          <w:rStyle w:val="Appelnotedebasdep"/>
          <w:rFonts w:eastAsia="Batang"/>
          <w:iCs/>
          <w:snapToGrid w:val="0"/>
          <w:kern w:val="18"/>
          <w:szCs w:val="18"/>
          <w:u w:val="none"/>
          <w:vertAlign w:val="superscript"/>
          <w:lang w:val="fr-CA" w:eastAsia="ja-JP" w:bidi="th-TH"/>
        </w:rPr>
        <w:footnoteRef/>
      </w:r>
      <w:r w:rsidRPr="00876FC0">
        <w:rPr>
          <w:snapToGrid w:val="0"/>
          <w:kern w:val="18"/>
          <w:szCs w:val="18"/>
          <w:lang w:val="fr-CA"/>
        </w:rPr>
        <w:t xml:space="preserve"> Orientations utiles : C</w:t>
      </w:r>
      <w:r>
        <w:rPr>
          <w:snapToGrid w:val="0"/>
          <w:kern w:val="18"/>
          <w:szCs w:val="18"/>
          <w:lang w:val="fr-CA"/>
        </w:rPr>
        <w:t>ommissi</w:t>
      </w:r>
      <w:r w:rsidRPr="00876FC0">
        <w:rPr>
          <w:snapToGrid w:val="0"/>
          <w:kern w:val="18"/>
          <w:szCs w:val="18"/>
          <w:lang w:val="fr-CA"/>
        </w:rPr>
        <w:t xml:space="preserve">on économique des Nations Unies pour l’Europe, </w:t>
      </w:r>
      <w:r>
        <w:rPr>
          <w:snapToGrid w:val="0"/>
          <w:kern w:val="18"/>
          <w:szCs w:val="18"/>
          <w:lang w:val="fr-CA"/>
        </w:rPr>
        <w:t xml:space="preserve">Convention sur l’accès à l’information, la participation du public à la prise de décisions et l’accès la justice en matière d’environnement </w:t>
      </w:r>
      <w:r w:rsidRPr="00876FC0">
        <w:rPr>
          <w:snapToGrid w:val="0"/>
          <w:kern w:val="18"/>
          <w:szCs w:val="18"/>
          <w:lang w:val="fr-CA"/>
        </w:rPr>
        <w:t xml:space="preserve"> (</w:t>
      </w:r>
      <w:r>
        <w:rPr>
          <w:snapToGrid w:val="0"/>
          <w:kern w:val="18"/>
          <w:szCs w:val="18"/>
          <w:lang w:val="fr-CA"/>
        </w:rPr>
        <w:t>Convention d’Aarhus</w:t>
      </w:r>
      <w:r w:rsidRPr="00876FC0">
        <w:rPr>
          <w:snapToGrid w:val="0"/>
          <w:kern w:val="18"/>
          <w:szCs w:val="18"/>
          <w:lang w:val="fr-CA"/>
        </w:rPr>
        <w:t>).</w:t>
      </w:r>
    </w:p>
  </w:footnote>
  <w:footnote w:id="41">
    <w:p w:rsidR="00277FC0" w:rsidRPr="00807B0B" w:rsidRDefault="00277FC0" w:rsidP="007B3E88">
      <w:pPr>
        <w:pStyle w:val="Para10"/>
        <w:keepLines/>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lang w:val="fr-CA"/>
        </w:rPr>
      </w:pPr>
      <w:r w:rsidRPr="007B3E88">
        <w:rPr>
          <w:rStyle w:val="Appelnotedebasdep"/>
          <w:rFonts w:eastAsia="Batang" w:cs="Times New Roman"/>
          <w:bCs w:val="0"/>
          <w:iCs/>
          <w:snapToGrid w:val="0"/>
          <w:kern w:val="18"/>
          <w:szCs w:val="18"/>
          <w:u w:val="none"/>
          <w:vertAlign w:val="superscript"/>
          <w:lang w:eastAsia="ja-JP" w:bidi="th-TH"/>
        </w:rPr>
        <w:footnoteRef/>
      </w:r>
      <w:r w:rsidRPr="00D67874">
        <w:rPr>
          <w:rFonts w:cs="Times New Roman"/>
          <w:snapToGrid w:val="0"/>
          <w:kern w:val="18"/>
          <w:sz w:val="18"/>
          <w:szCs w:val="18"/>
          <w:lang w:val="fr-CA"/>
        </w:rPr>
        <w:t xml:space="preserve"> </w:t>
      </w:r>
      <w:r w:rsidRPr="00807B0B">
        <w:rPr>
          <w:rFonts w:cs="Times New Roman"/>
          <w:snapToGrid w:val="0"/>
          <w:kern w:val="18"/>
          <w:sz w:val="18"/>
          <w:szCs w:val="18"/>
          <w:lang w:val="fr-CA"/>
        </w:rPr>
        <w:t xml:space="preserve">Décision VII/28, </w:t>
      </w:r>
      <w:r>
        <w:rPr>
          <w:rFonts w:cs="Times New Roman"/>
          <w:snapToGrid w:val="0"/>
          <w:kern w:val="18"/>
          <w:sz w:val="18"/>
          <w:szCs w:val="18"/>
          <w:lang w:val="fr-CA"/>
        </w:rPr>
        <w:t>activité proposée</w:t>
      </w:r>
      <w:r w:rsidRPr="00807B0B">
        <w:rPr>
          <w:rFonts w:cs="Times New Roman"/>
          <w:snapToGrid w:val="0"/>
          <w:kern w:val="18"/>
          <w:sz w:val="18"/>
          <w:szCs w:val="18"/>
          <w:lang w:val="fr-CA"/>
        </w:rPr>
        <w:t xml:space="preserve"> 2.1.1; </w:t>
      </w:r>
      <w:r>
        <w:rPr>
          <w:rFonts w:cs="Times New Roman"/>
          <w:snapToGrid w:val="0"/>
          <w:kern w:val="18"/>
          <w:sz w:val="18"/>
          <w:szCs w:val="18"/>
          <w:lang w:val="fr-CA"/>
        </w:rPr>
        <w:t>paragraphe 6 e) de la dé</w:t>
      </w:r>
      <w:r w:rsidRPr="00807B0B">
        <w:rPr>
          <w:rFonts w:cs="Times New Roman"/>
          <w:snapToGrid w:val="0"/>
          <w:kern w:val="18"/>
          <w:sz w:val="18"/>
          <w:szCs w:val="18"/>
          <w:lang w:val="fr-CA"/>
        </w:rPr>
        <w:t xml:space="preserve">cision </w:t>
      </w:r>
      <w:r w:rsidRPr="00D67874">
        <w:rPr>
          <w:snapToGrid w:val="0"/>
          <w:kern w:val="18"/>
          <w:lang w:val="fr-CA"/>
        </w:rPr>
        <w:t>IX/18</w:t>
      </w:r>
      <w:r>
        <w:rPr>
          <w:rFonts w:cs="Times New Roman"/>
          <w:snapToGrid w:val="0"/>
          <w:kern w:val="18"/>
          <w:sz w:val="18"/>
          <w:szCs w:val="18"/>
          <w:lang w:val="fr-CA"/>
        </w:rPr>
        <w:t xml:space="preserve"> </w:t>
      </w:r>
      <w:r w:rsidRPr="00807B0B">
        <w:rPr>
          <w:rFonts w:cs="Times New Roman"/>
          <w:snapToGrid w:val="0"/>
          <w:kern w:val="18"/>
          <w:sz w:val="18"/>
          <w:szCs w:val="18"/>
          <w:lang w:val="fr-CA"/>
        </w:rPr>
        <w:t>A</w:t>
      </w:r>
      <w:r>
        <w:rPr>
          <w:rFonts w:cs="Times New Roman"/>
          <w:snapToGrid w:val="0"/>
          <w:kern w:val="18"/>
          <w:sz w:val="18"/>
          <w:szCs w:val="18"/>
          <w:lang w:val="fr-CA"/>
        </w:rPr>
        <w:t>; paragraphes 31a) et 32 d) de la dé</w:t>
      </w:r>
      <w:r w:rsidRPr="00807B0B">
        <w:rPr>
          <w:rFonts w:cs="Times New Roman"/>
          <w:snapToGrid w:val="0"/>
          <w:kern w:val="18"/>
          <w:sz w:val="18"/>
          <w:szCs w:val="18"/>
          <w:lang w:val="fr-CA"/>
        </w:rPr>
        <w:t>cision</w:t>
      </w:r>
      <w:r>
        <w:rPr>
          <w:rFonts w:cs="Times New Roman"/>
          <w:snapToGrid w:val="0"/>
          <w:kern w:val="18"/>
          <w:sz w:val="18"/>
          <w:szCs w:val="18"/>
          <w:lang w:val="fr-CA"/>
        </w:rPr>
        <w:t> </w:t>
      </w:r>
      <w:r w:rsidRPr="00D67874">
        <w:rPr>
          <w:rFonts w:cs="Times New Roman"/>
          <w:snapToGrid w:val="0"/>
          <w:kern w:val="18"/>
          <w:sz w:val="18"/>
          <w:szCs w:val="18"/>
          <w:lang w:val="fr-CA"/>
        </w:rPr>
        <w:t>X/31</w:t>
      </w:r>
      <w:r w:rsidRPr="00807B0B">
        <w:rPr>
          <w:rFonts w:cs="Times New Roman"/>
          <w:snapToGrid w:val="0"/>
          <w:kern w:val="18"/>
          <w:sz w:val="18"/>
          <w:szCs w:val="18"/>
          <w:lang w:val="fr-CA"/>
        </w:rPr>
        <w:t>.</w:t>
      </w:r>
    </w:p>
  </w:footnote>
  <w:footnote w:id="42">
    <w:p w:rsidR="00277FC0" w:rsidRPr="00807B0B"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807B0B">
        <w:rPr>
          <w:rStyle w:val="Appelnotedebasdep"/>
          <w:rFonts w:eastAsia="Batang"/>
          <w:iCs/>
          <w:snapToGrid w:val="0"/>
          <w:kern w:val="18"/>
          <w:szCs w:val="18"/>
          <w:u w:val="none"/>
          <w:vertAlign w:val="superscript"/>
          <w:lang w:val="fr-CA" w:eastAsia="ja-JP" w:bidi="th-TH"/>
        </w:rPr>
        <w:footnoteRef/>
      </w:r>
      <w:r w:rsidRPr="00DC06CB">
        <w:rPr>
          <w:snapToGrid w:val="0"/>
          <w:kern w:val="18"/>
          <w:szCs w:val="18"/>
          <w:lang w:val="en-US"/>
        </w:rPr>
        <w:t xml:space="preserve"> </w:t>
      </w:r>
      <w:r w:rsidRPr="00DC06CB">
        <w:rPr>
          <w:rFonts w:eastAsia="MS Mincho"/>
          <w:bCs/>
          <w:snapToGrid w:val="0"/>
          <w:kern w:val="18"/>
          <w:szCs w:val="18"/>
          <w:lang w:val="en-US"/>
        </w:rPr>
        <w:t xml:space="preserve">Franks, P et al. (2018) Understanding and assessing equity in protected area conservation: a matter of governance, rights, social impacts and human wellbeing. </w:t>
      </w:r>
      <w:proofErr w:type="spellStart"/>
      <w:r w:rsidRPr="00807B0B">
        <w:rPr>
          <w:rFonts w:eastAsia="MS Mincho"/>
          <w:bCs/>
          <w:snapToGrid w:val="0"/>
          <w:kern w:val="18"/>
          <w:szCs w:val="18"/>
          <w:lang w:val="fr-CA"/>
        </w:rPr>
        <w:t>IIED</w:t>
      </w:r>
      <w:proofErr w:type="spellEnd"/>
      <w:r w:rsidRPr="00807B0B">
        <w:rPr>
          <w:rFonts w:eastAsia="MS Mincho"/>
          <w:bCs/>
          <w:snapToGrid w:val="0"/>
          <w:kern w:val="18"/>
          <w:szCs w:val="18"/>
          <w:lang w:val="fr-CA"/>
        </w:rPr>
        <w:t xml:space="preserve"> Issue Paper. </w:t>
      </w:r>
      <w:proofErr w:type="spellStart"/>
      <w:r w:rsidRPr="00807B0B">
        <w:rPr>
          <w:rFonts w:eastAsia="MS Mincho"/>
          <w:bCs/>
          <w:snapToGrid w:val="0"/>
          <w:kern w:val="18"/>
          <w:szCs w:val="18"/>
          <w:lang w:val="fr-CA"/>
        </w:rPr>
        <w:t>IIED</w:t>
      </w:r>
      <w:proofErr w:type="spellEnd"/>
      <w:r w:rsidRPr="00807B0B">
        <w:rPr>
          <w:rFonts w:eastAsia="MS Mincho"/>
          <w:bCs/>
          <w:snapToGrid w:val="0"/>
          <w:kern w:val="18"/>
          <w:szCs w:val="18"/>
          <w:lang w:val="fr-CA"/>
        </w:rPr>
        <w:t>, London.</w:t>
      </w:r>
    </w:p>
  </w:footnote>
  <w:footnote w:id="43">
    <w:p w:rsidR="00277FC0" w:rsidRPr="00D67874" w:rsidRDefault="00277FC0" w:rsidP="00943FFE">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807B0B">
        <w:rPr>
          <w:rStyle w:val="Appelnotedebasdep"/>
          <w:rFonts w:eastAsia="Batang"/>
          <w:iCs/>
          <w:snapToGrid w:val="0"/>
          <w:kern w:val="18"/>
          <w:szCs w:val="18"/>
          <w:u w:val="none"/>
          <w:vertAlign w:val="superscript"/>
          <w:lang w:val="fr-CA" w:eastAsia="ja-JP" w:bidi="th-TH"/>
        </w:rPr>
        <w:footnoteRef/>
      </w:r>
      <w:r w:rsidRPr="00D67874">
        <w:rPr>
          <w:snapToGrid w:val="0"/>
          <w:kern w:val="18"/>
          <w:szCs w:val="18"/>
          <w:lang w:val="fr-CA"/>
        </w:rPr>
        <w:t xml:space="preserve"> Décision VII/28, activité proposée 1.1.7 du but l 1 du Programme de travail sur les aires protégées.</w:t>
      </w:r>
    </w:p>
  </w:footnote>
  <w:footnote w:id="44">
    <w:p w:rsidR="00277FC0" w:rsidRPr="00D5736F" w:rsidRDefault="00277FC0" w:rsidP="00706F94">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807B0B">
        <w:rPr>
          <w:rStyle w:val="Appelnotedebasdep"/>
          <w:rFonts w:eastAsia="Batang"/>
          <w:iCs/>
          <w:snapToGrid w:val="0"/>
          <w:kern w:val="18"/>
          <w:szCs w:val="18"/>
          <w:u w:val="none"/>
          <w:vertAlign w:val="superscript"/>
          <w:lang w:val="fr-CA" w:eastAsia="ja-JP" w:bidi="th-TH"/>
        </w:rPr>
        <w:footnoteRef/>
      </w:r>
      <w:r w:rsidRPr="00D67874">
        <w:rPr>
          <w:rStyle w:val="Appelnotedebasdep"/>
          <w:rFonts w:eastAsia="Batang"/>
          <w:iCs/>
          <w:snapToGrid w:val="0"/>
          <w:kern w:val="18"/>
          <w:szCs w:val="18"/>
          <w:u w:val="none"/>
          <w:vertAlign w:val="superscript"/>
          <w:lang w:val="fr-CA" w:eastAsia="ja-JP" w:bidi="th-TH"/>
        </w:rPr>
        <w:t xml:space="preserve"> </w:t>
      </w:r>
      <w:r w:rsidRPr="00D67874">
        <w:rPr>
          <w:snapToGrid w:val="0"/>
          <w:kern w:val="18"/>
          <w:szCs w:val="18"/>
          <w:lang w:val="fr-CA"/>
        </w:rPr>
        <w:t>Orientations utiles : Commission économique des Nations Unies pour l’Eur</w:t>
      </w:r>
      <w:r>
        <w:rPr>
          <w:snapToGrid w:val="0"/>
          <w:kern w:val="18"/>
          <w:szCs w:val="18"/>
          <w:lang w:val="fr-CA"/>
        </w:rPr>
        <w:t>ope,</w:t>
      </w:r>
      <w:r w:rsidRPr="00D67874">
        <w:rPr>
          <w:snapToGrid w:val="0"/>
          <w:kern w:val="18"/>
          <w:szCs w:val="18"/>
          <w:lang w:val="fr-CA"/>
        </w:rPr>
        <w:t xml:space="preserve"> </w:t>
      </w:r>
      <w:r>
        <w:rPr>
          <w:snapToGrid w:val="0"/>
          <w:kern w:val="18"/>
          <w:szCs w:val="18"/>
          <w:lang w:val="fr-CA"/>
        </w:rPr>
        <w:t xml:space="preserve">Convention sur l’accès à l’information, la participation du public à la prise de décisions et l’accès la justice en matière d’environnement </w:t>
      </w:r>
      <w:r w:rsidRPr="00876FC0">
        <w:rPr>
          <w:snapToGrid w:val="0"/>
          <w:kern w:val="18"/>
          <w:szCs w:val="18"/>
          <w:lang w:val="fr-CA"/>
        </w:rPr>
        <w:t xml:space="preserve"> (</w:t>
      </w:r>
      <w:r>
        <w:rPr>
          <w:snapToGrid w:val="0"/>
          <w:kern w:val="18"/>
          <w:szCs w:val="18"/>
          <w:lang w:val="fr-CA"/>
        </w:rPr>
        <w:t>Convention d’Aarhus)</w:t>
      </w:r>
      <w:r w:rsidRPr="00D67874">
        <w:rPr>
          <w:snapToGrid w:val="0"/>
          <w:kern w:val="18"/>
          <w:szCs w:val="18"/>
          <w:lang w:val="fr-CA"/>
        </w:rPr>
        <w:t>; FAO</w:t>
      </w:r>
      <w:r>
        <w:rPr>
          <w:snapToGrid w:val="0"/>
          <w:kern w:val="18"/>
          <w:szCs w:val="18"/>
          <w:lang w:val="fr-CA"/>
        </w:rPr>
        <w:t>,</w:t>
      </w:r>
      <w:r w:rsidRPr="00D67874">
        <w:rPr>
          <w:snapToGrid w:val="0"/>
          <w:kern w:val="18"/>
          <w:szCs w:val="18"/>
          <w:lang w:val="fr-CA"/>
        </w:rPr>
        <w:t xml:space="preserve"> </w:t>
      </w:r>
      <w:r>
        <w:rPr>
          <w:snapToGrid w:val="0"/>
          <w:kern w:val="18"/>
          <w:szCs w:val="18"/>
          <w:lang w:val="fr-CA"/>
        </w:rPr>
        <w:t>Directives volontaires pour une gouvernance responsable des régimes fonciers</w:t>
      </w:r>
      <w:r w:rsidRPr="00D67874">
        <w:rPr>
          <w:snapToGrid w:val="0"/>
          <w:kern w:val="18"/>
          <w:szCs w:val="18"/>
          <w:lang w:val="fr-CA"/>
        </w:rPr>
        <w:t xml:space="preserve"> (2012); </w:t>
      </w:r>
      <w:r>
        <w:rPr>
          <w:snapToGrid w:val="0"/>
          <w:kern w:val="18"/>
          <w:szCs w:val="18"/>
          <w:lang w:val="fr-CA"/>
        </w:rPr>
        <w:t xml:space="preserve">Plan d’action de la CDB </w:t>
      </w:r>
      <w:r w:rsidRPr="00D5736F">
        <w:rPr>
          <w:snapToGrid w:val="0"/>
          <w:kern w:val="18"/>
          <w:szCs w:val="18"/>
          <w:lang w:val="fr-CA"/>
        </w:rPr>
        <w:t>sur l’utilisation coutumière durable (annexe à la décision XII/12),  Lignes directrices d’</w:t>
      </w:r>
      <w:proofErr w:type="spellStart"/>
      <w:r w:rsidRPr="00D5736F">
        <w:rPr>
          <w:snapToGrid w:val="0"/>
          <w:kern w:val="18"/>
          <w:szCs w:val="18"/>
          <w:lang w:val="fr-CA"/>
        </w:rPr>
        <w:t>Akwé</w:t>
      </w:r>
      <w:proofErr w:type="spellEnd"/>
      <w:r w:rsidRPr="00D5736F">
        <w:rPr>
          <w:snapToGrid w:val="0"/>
          <w:kern w:val="18"/>
          <w:szCs w:val="18"/>
          <w:lang w:val="fr-CA"/>
        </w:rPr>
        <w:t xml:space="preserve"> </w:t>
      </w:r>
      <w:proofErr w:type="spellStart"/>
      <w:r w:rsidRPr="00D5736F">
        <w:rPr>
          <w:snapToGrid w:val="0"/>
          <w:kern w:val="18"/>
          <w:szCs w:val="18"/>
          <w:lang w:val="fr-CA"/>
        </w:rPr>
        <w:t>Kon</w:t>
      </w:r>
      <w:proofErr w:type="spellEnd"/>
      <w:r w:rsidRPr="00D5736F">
        <w:rPr>
          <w:snapToGrid w:val="0"/>
          <w:kern w:val="18"/>
          <w:szCs w:val="18"/>
          <w:lang w:val="fr-CA"/>
        </w:rPr>
        <w:t>;</w:t>
      </w:r>
      <w:r w:rsidR="004378B5">
        <w:rPr>
          <w:snapToGrid w:val="0"/>
          <w:kern w:val="18"/>
          <w:szCs w:val="18"/>
          <w:lang w:val="fr-CA"/>
        </w:rPr>
        <w:t xml:space="preserve"> Déclaration des Nations Unies sur </w:t>
      </w:r>
      <w:proofErr w:type="spellStart"/>
      <w:r w:rsidR="004378B5">
        <w:rPr>
          <w:snapToGrid w:val="0"/>
          <w:kern w:val="18"/>
          <w:szCs w:val="18"/>
          <w:lang w:val="fr-CA"/>
        </w:rPr>
        <w:t>es</w:t>
      </w:r>
      <w:proofErr w:type="spellEnd"/>
      <w:r w:rsidR="004378B5">
        <w:rPr>
          <w:snapToGrid w:val="0"/>
          <w:kern w:val="18"/>
          <w:szCs w:val="18"/>
          <w:lang w:val="fr-CA"/>
        </w:rPr>
        <w:t xml:space="preserve"> droits des peuples autochtones,</w:t>
      </w:r>
      <w:r w:rsidR="004378B5">
        <w:rPr>
          <w:rStyle w:val="Lienhypertexte"/>
          <w:snapToGrid w:val="0"/>
          <w:kern w:val="18"/>
          <w:szCs w:val="18"/>
          <w:lang w:val="fr-CA"/>
        </w:rPr>
        <w:t xml:space="preserve"> </w:t>
      </w:r>
      <w:r w:rsidRPr="00D5736F">
        <w:rPr>
          <w:snapToGrid w:val="0"/>
          <w:kern w:val="18"/>
          <w:szCs w:val="18"/>
          <w:lang w:val="fr-CA"/>
        </w:rPr>
        <w:t>FAO, Lignes directrices facultatives sur la pêche à petite échelle.</w:t>
      </w:r>
    </w:p>
  </w:footnote>
  <w:footnote w:id="45">
    <w:p w:rsidR="00277FC0" w:rsidRPr="00D5736F"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color w:val="000000" w:themeColor="text1"/>
          <w:kern w:val="18"/>
          <w:szCs w:val="18"/>
          <w:lang w:val="fr-CA"/>
        </w:rPr>
      </w:pPr>
      <w:r w:rsidRPr="00D5736F">
        <w:rPr>
          <w:rStyle w:val="Appelnotedebasdep"/>
          <w:rFonts w:eastAsia="Batang"/>
          <w:iCs/>
          <w:snapToGrid w:val="0"/>
          <w:kern w:val="18"/>
          <w:szCs w:val="18"/>
          <w:u w:val="none"/>
          <w:vertAlign w:val="superscript"/>
          <w:lang w:val="fr-CA" w:eastAsia="ja-JP" w:bidi="th-TH"/>
        </w:rPr>
        <w:footnoteRef/>
      </w:r>
      <w:r w:rsidRPr="00D5736F">
        <w:rPr>
          <w:snapToGrid w:val="0"/>
          <w:color w:val="000000" w:themeColor="text1"/>
          <w:kern w:val="18"/>
          <w:szCs w:val="18"/>
          <w:lang w:val="fr-CA"/>
        </w:rPr>
        <w:t xml:space="preserve"> Orientations utiles : Méthode d’évaluation de la gouvernance des aires (</w:t>
      </w:r>
      <w:proofErr w:type="spellStart"/>
      <w:r w:rsidRPr="00D5736F">
        <w:rPr>
          <w:snapToGrid w:val="0"/>
          <w:color w:val="000000" w:themeColor="text1"/>
          <w:kern w:val="18"/>
          <w:szCs w:val="18"/>
          <w:lang w:val="fr-CA"/>
        </w:rPr>
        <w:t>IIED</w:t>
      </w:r>
      <w:proofErr w:type="spellEnd"/>
      <w:r w:rsidRPr="00D5736F">
        <w:rPr>
          <w:snapToGrid w:val="0"/>
          <w:color w:val="000000" w:themeColor="text1"/>
          <w:kern w:val="18"/>
          <w:szCs w:val="18"/>
          <w:lang w:val="fr-CA"/>
        </w:rPr>
        <w:t>, à venir) : Évaluation des aires afin d’aider à comprendre la mise en pratique de la gouvernance et de cerner des moyens d’améliorer et/ou de mieux adapter le modèle de gouvernance et les arrangements concernant la prise de décisions dans le contexte local</w:t>
      </w:r>
      <w:r w:rsidRPr="00D5736F">
        <w:rPr>
          <w:snapToGrid w:val="0"/>
          <w:color w:val="000000" w:themeColor="text1"/>
          <w:kern w:val="18"/>
          <w:szCs w:val="18"/>
          <w:lang w:val="fr-CA" w:eastAsia="ja-JP" w:bidi="th-TH"/>
        </w:rPr>
        <w:t>.</w:t>
      </w:r>
    </w:p>
  </w:footnote>
  <w:footnote w:id="46">
    <w:p w:rsidR="00277FC0" w:rsidRPr="00D5736F" w:rsidRDefault="00277FC0" w:rsidP="007B3E88">
      <w:pPr>
        <w:keepLines/>
        <w:suppressLineNumbers/>
        <w:suppressAutoHyphens/>
        <w:kinsoku w:val="0"/>
        <w:overflowPunct w:val="0"/>
        <w:autoSpaceDE w:val="0"/>
        <w:autoSpaceDN w:val="0"/>
        <w:adjustRightInd w:val="0"/>
        <w:snapToGrid w:val="0"/>
        <w:spacing w:after="60"/>
        <w:jc w:val="left"/>
        <w:outlineLvl w:val="1"/>
        <w:rPr>
          <w:rStyle w:val="Appelnotedebasdep"/>
          <w:snapToGrid w:val="0"/>
          <w:color w:val="000000" w:themeColor="text1"/>
          <w:kern w:val="18"/>
          <w:szCs w:val="18"/>
          <w:lang w:val="fr-CA"/>
        </w:rPr>
      </w:pPr>
      <w:r w:rsidRPr="00D5736F">
        <w:rPr>
          <w:rStyle w:val="Appelnotedebasdep"/>
          <w:rFonts w:eastAsia="Batang"/>
          <w:iCs/>
          <w:snapToGrid w:val="0"/>
          <w:kern w:val="18"/>
          <w:szCs w:val="18"/>
          <w:u w:val="none"/>
          <w:vertAlign w:val="superscript"/>
          <w:lang w:val="fr-CA" w:eastAsia="ja-JP" w:bidi="th-TH"/>
        </w:rPr>
        <w:footnoteRef/>
      </w:r>
      <w:r w:rsidRPr="00D5736F">
        <w:rPr>
          <w:rStyle w:val="Appelnotedebasdep"/>
          <w:rFonts w:eastAsia="Batang"/>
          <w:iCs/>
          <w:snapToGrid w:val="0"/>
          <w:kern w:val="18"/>
          <w:szCs w:val="18"/>
          <w:u w:val="none"/>
          <w:vertAlign w:val="superscript"/>
          <w:lang w:val="en-US" w:eastAsia="ja-JP" w:bidi="th-TH"/>
        </w:rPr>
        <w:t xml:space="preserve"> </w:t>
      </w:r>
      <w:r w:rsidRPr="00D5736F">
        <w:rPr>
          <w:snapToGrid w:val="0"/>
          <w:color w:val="000000" w:themeColor="text1"/>
          <w:kern w:val="18"/>
          <w:sz w:val="18"/>
          <w:szCs w:val="18"/>
          <w:lang w:val="en-US"/>
        </w:rPr>
        <w:t xml:space="preserve">Orientations </w:t>
      </w:r>
      <w:proofErr w:type="spellStart"/>
      <w:r w:rsidRPr="00D5736F">
        <w:rPr>
          <w:snapToGrid w:val="0"/>
          <w:color w:val="000000" w:themeColor="text1"/>
          <w:kern w:val="18"/>
          <w:sz w:val="18"/>
          <w:szCs w:val="18"/>
          <w:lang w:val="en-US"/>
        </w:rPr>
        <w:t>utiles</w:t>
      </w:r>
      <w:proofErr w:type="spellEnd"/>
      <w:r w:rsidRPr="00D5736F">
        <w:rPr>
          <w:snapToGrid w:val="0"/>
          <w:color w:val="000000" w:themeColor="text1"/>
          <w:kern w:val="18"/>
          <w:sz w:val="18"/>
          <w:szCs w:val="18"/>
          <w:lang w:val="en-US"/>
        </w:rPr>
        <w:t xml:space="preserve"> : Franks, P and Small, R (2016) Social Assessment for Protected Areas (</w:t>
      </w:r>
      <w:proofErr w:type="spellStart"/>
      <w:r w:rsidRPr="00D5736F">
        <w:rPr>
          <w:snapToGrid w:val="0"/>
          <w:color w:val="000000" w:themeColor="text1"/>
          <w:kern w:val="18"/>
          <w:sz w:val="18"/>
          <w:szCs w:val="18"/>
          <w:lang w:val="en-US"/>
        </w:rPr>
        <w:t>SAPA</w:t>
      </w:r>
      <w:proofErr w:type="spellEnd"/>
      <w:r w:rsidRPr="00D5736F">
        <w:rPr>
          <w:snapToGrid w:val="0"/>
          <w:color w:val="000000" w:themeColor="text1"/>
          <w:kern w:val="18"/>
          <w:sz w:val="18"/>
          <w:szCs w:val="18"/>
          <w:lang w:val="en-US"/>
        </w:rPr>
        <w:t xml:space="preserve">). </w:t>
      </w:r>
      <w:proofErr w:type="spellStart"/>
      <w:r w:rsidRPr="00D5736F">
        <w:rPr>
          <w:snapToGrid w:val="0"/>
          <w:color w:val="000000" w:themeColor="text1"/>
          <w:kern w:val="18"/>
          <w:sz w:val="18"/>
          <w:szCs w:val="18"/>
          <w:lang w:val="fr-CA"/>
        </w:rPr>
        <w:t>Methodology</w:t>
      </w:r>
      <w:proofErr w:type="spellEnd"/>
      <w:r w:rsidRPr="00D5736F">
        <w:rPr>
          <w:snapToGrid w:val="0"/>
          <w:color w:val="000000" w:themeColor="text1"/>
          <w:kern w:val="18"/>
          <w:sz w:val="18"/>
          <w:szCs w:val="18"/>
          <w:lang w:val="fr-CA"/>
        </w:rPr>
        <w:t xml:space="preserve"> </w:t>
      </w:r>
      <w:proofErr w:type="spellStart"/>
      <w:r w:rsidRPr="00D5736F">
        <w:rPr>
          <w:snapToGrid w:val="0"/>
          <w:color w:val="000000" w:themeColor="text1"/>
          <w:kern w:val="18"/>
          <w:sz w:val="18"/>
          <w:szCs w:val="18"/>
          <w:lang w:val="fr-CA"/>
        </w:rPr>
        <w:t>Manual</w:t>
      </w:r>
      <w:proofErr w:type="spellEnd"/>
      <w:r w:rsidRPr="00D5736F">
        <w:rPr>
          <w:snapToGrid w:val="0"/>
          <w:color w:val="000000" w:themeColor="text1"/>
          <w:kern w:val="18"/>
          <w:sz w:val="18"/>
          <w:szCs w:val="18"/>
          <w:lang w:val="fr-CA"/>
        </w:rPr>
        <w:t xml:space="preserve"> for SAPA </w:t>
      </w:r>
      <w:proofErr w:type="spellStart"/>
      <w:r w:rsidRPr="00D5736F">
        <w:rPr>
          <w:snapToGrid w:val="0"/>
          <w:color w:val="000000" w:themeColor="text1"/>
          <w:kern w:val="18"/>
          <w:sz w:val="18"/>
          <w:szCs w:val="18"/>
          <w:lang w:val="fr-CA"/>
        </w:rPr>
        <w:t>Facilitators</w:t>
      </w:r>
      <w:proofErr w:type="spellEnd"/>
      <w:r w:rsidRPr="00D5736F">
        <w:rPr>
          <w:snapToGrid w:val="0"/>
          <w:color w:val="000000" w:themeColor="text1"/>
          <w:kern w:val="18"/>
          <w:sz w:val="18"/>
          <w:szCs w:val="18"/>
          <w:lang w:val="fr-CA"/>
        </w:rPr>
        <w:t xml:space="preserve">. </w:t>
      </w:r>
      <w:proofErr w:type="spellStart"/>
      <w:r w:rsidRPr="00D5736F">
        <w:rPr>
          <w:snapToGrid w:val="0"/>
          <w:color w:val="000000" w:themeColor="text1"/>
          <w:kern w:val="18"/>
          <w:sz w:val="18"/>
          <w:szCs w:val="18"/>
          <w:lang w:val="fr-CA"/>
        </w:rPr>
        <w:t>IIED</w:t>
      </w:r>
      <w:proofErr w:type="spellEnd"/>
      <w:r w:rsidRPr="00D5736F">
        <w:rPr>
          <w:snapToGrid w:val="0"/>
          <w:color w:val="000000" w:themeColor="text1"/>
          <w:kern w:val="18"/>
          <w:sz w:val="18"/>
          <w:szCs w:val="18"/>
          <w:lang w:val="fr-CA"/>
        </w:rPr>
        <w:t>, London.</w:t>
      </w:r>
    </w:p>
  </w:footnote>
  <w:footnote w:id="47">
    <w:p w:rsidR="00277FC0" w:rsidRPr="00807B0B"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color w:val="000000" w:themeColor="text1"/>
          <w:kern w:val="18"/>
          <w:szCs w:val="18"/>
          <w:lang w:val="fr-CA"/>
        </w:rPr>
      </w:pPr>
      <w:r w:rsidRPr="00807B0B">
        <w:rPr>
          <w:rStyle w:val="Appelnotedebasdep"/>
          <w:rFonts w:eastAsia="Batang"/>
          <w:iCs/>
          <w:snapToGrid w:val="0"/>
          <w:kern w:val="18"/>
          <w:szCs w:val="18"/>
          <w:u w:val="none"/>
          <w:vertAlign w:val="superscript"/>
          <w:lang w:val="fr-CA" w:eastAsia="ja-JP" w:bidi="th-TH"/>
        </w:rPr>
        <w:footnoteRef/>
      </w:r>
      <w:r w:rsidRPr="00807B0B">
        <w:rPr>
          <w:rStyle w:val="Appelnotedebasdep"/>
          <w:rFonts w:eastAsia="Batang"/>
          <w:iCs/>
          <w:snapToGrid w:val="0"/>
          <w:kern w:val="18"/>
          <w:szCs w:val="18"/>
          <w:u w:val="none"/>
          <w:vertAlign w:val="superscript"/>
          <w:lang w:val="fr-CA" w:eastAsia="ja-JP" w:bidi="th-TH"/>
        </w:rPr>
        <w:t xml:space="preserve"> </w:t>
      </w:r>
      <w:r>
        <w:rPr>
          <w:snapToGrid w:val="0"/>
          <w:color w:val="000000" w:themeColor="text1"/>
          <w:kern w:val="18"/>
          <w:szCs w:val="18"/>
          <w:lang w:val="fr-CA"/>
        </w:rPr>
        <w:t>Décision</w:t>
      </w:r>
      <w:r w:rsidRPr="00807B0B">
        <w:rPr>
          <w:snapToGrid w:val="0"/>
          <w:color w:val="000000" w:themeColor="text1"/>
          <w:kern w:val="18"/>
          <w:szCs w:val="18"/>
          <w:lang w:val="fr-CA"/>
        </w:rPr>
        <w:t xml:space="preserve"> VII/28, </w:t>
      </w:r>
      <w:r>
        <w:rPr>
          <w:snapToGrid w:val="0"/>
          <w:color w:val="000000" w:themeColor="text1"/>
          <w:kern w:val="18"/>
          <w:szCs w:val="18"/>
          <w:lang w:val="fr-CA"/>
        </w:rPr>
        <w:t>activité proposée</w:t>
      </w:r>
      <w:r w:rsidRPr="00807B0B">
        <w:rPr>
          <w:snapToGrid w:val="0"/>
          <w:color w:val="000000" w:themeColor="text1"/>
          <w:kern w:val="18"/>
          <w:szCs w:val="18"/>
          <w:lang w:val="fr-CA"/>
        </w:rPr>
        <w:t xml:space="preserve"> </w:t>
      </w:r>
      <w:r w:rsidRPr="00807B0B">
        <w:rPr>
          <w:snapToGrid w:val="0"/>
          <w:color w:val="000000" w:themeColor="text1"/>
          <w:kern w:val="18"/>
          <w:szCs w:val="18"/>
          <w:shd w:val="clear" w:color="auto" w:fill="FFFFFF"/>
          <w:lang w:val="fr-CA"/>
        </w:rPr>
        <w:t>2.1.6</w:t>
      </w:r>
      <w:r w:rsidRPr="00807B0B">
        <w:rPr>
          <w:snapToGrid w:val="0"/>
          <w:color w:val="000000" w:themeColor="text1"/>
          <w:kern w:val="18"/>
          <w:szCs w:val="18"/>
          <w:lang w:val="fr-CA"/>
        </w:rPr>
        <w:t>.</w:t>
      </w:r>
    </w:p>
  </w:footnote>
  <w:footnote w:id="48">
    <w:p w:rsidR="00277FC0" w:rsidRPr="00C62141" w:rsidRDefault="00277FC0" w:rsidP="007B3E88">
      <w:pPr>
        <w:pStyle w:val="Notedebasdepage"/>
        <w:suppressLineNumbers/>
        <w:suppressAutoHyphens/>
        <w:kinsoku w:val="0"/>
        <w:overflowPunct w:val="0"/>
        <w:autoSpaceDE w:val="0"/>
        <w:autoSpaceDN w:val="0"/>
        <w:adjustRightInd w:val="0"/>
        <w:snapToGrid w:val="0"/>
        <w:ind w:firstLine="0"/>
        <w:jc w:val="left"/>
        <w:rPr>
          <w:rStyle w:val="Appelnotedebasdep"/>
          <w:snapToGrid w:val="0"/>
          <w:color w:val="000000" w:themeColor="text1"/>
          <w:kern w:val="18"/>
          <w:szCs w:val="18"/>
          <w:lang w:val="fr-CA"/>
        </w:rPr>
      </w:pPr>
      <w:r w:rsidRPr="007B3E88">
        <w:rPr>
          <w:rStyle w:val="Appelnotedebasdep"/>
          <w:rFonts w:eastAsia="Batang"/>
          <w:iCs/>
          <w:snapToGrid w:val="0"/>
          <w:kern w:val="18"/>
          <w:szCs w:val="18"/>
          <w:u w:val="none"/>
          <w:vertAlign w:val="superscript"/>
          <w:lang w:eastAsia="ja-JP" w:bidi="th-TH"/>
        </w:rPr>
        <w:footnoteRef/>
      </w:r>
      <w:r w:rsidRPr="00C62141">
        <w:rPr>
          <w:snapToGrid w:val="0"/>
          <w:color w:val="000000" w:themeColor="text1"/>
          <w:kern w:val="18"/>
          <w:szCs w:val="18"/>
          <w:lang w:val="fr-CA"/>
        </w:rPr>
        <w:t xml:space="preserve"> Orientations utiles : Évaluation sociale des aires protégées.</w:t>
      </w:r>
    </w:p>
  </w:footnote>
  <w:footnote w:id="49">
    <w:p w:rsidR="00277FC0" w:rsidRPr="0039684B"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7B3E88">
        <w:rPr>
          <w:rStyle w:val="Appelnotedebasdep"/>
          <w:snapToGrid w:val="0"/>
          <w:kern w:val="18"/>
          <w:szCs w:val="18"/>
          <w:u w:val="none"/>
          <w:vertAlign w:val="superscript"/>
        </w:rPr>
        <w:footnoteRef/>
      </w:r>
      <w:r w:rsidRPr="0039684B">
        <w:rPr>
          <w:snapToGrid w:val="0"/>
          <w:kern w:val="18"/>
          <w:szCs w:val="18"/>
          <w:lang w:val="fr-CA"/>
        </w:rPr>
        <w:t xml:space="preserve"> Selon la </w:t>
      </w:r>
      <w:r>
        <w:rPr>
          <w:snapToGrid w:val="0"/>
          <w:kern w:val="18"/>
          <w:szCs w:val="18"/>
          <w:lang w:val="fr-CA"/>
        </w:rPr>
        <w:t>dé</w:t>
      </w:r>
      <w:r w:rsidRPr="0039684B">
        <w:rPr>
          <w:snapToGrid w:val="0"/>
          <w:kern w:val="18"/>
          <w:szCs w:val="18"/>
          <w:lang w:val="fr-CA"/>
        </w:rPr>
        <w:t>finition donnée à l’article 2 de la Conventio</w:t>
      </w:r>
      <w:r>
        <w:rPr>
          <w:snapToGrid w:val="0"/>
          <w:kern w:val="18"/>
          <w:szCs w:val="18"/>
          <w:lang w:val="fr-CA"/>
        </w:rPr>
        <w:t>n sur la di</w:t>
      </w:r>
      <w:r w:rsidRPr="0039684B">
        <w:rPr>
          <w:snapToGrid w:val="0"/>
          <w:kern w:val="18"/>
          <w:szCs w:val="18"/>
          <w:lang w:val="fr-CA"/>
        </w:rPr>
        <w:t>versité biologique et conformément aux dispositions de la Convention.</w:t>
      </w:r>
    </w:p>
  </w:footnote>
  <w:footnote w:id="50">
    <w:p w:rsidR="00277FC0" w:rsidRPr="002F5613" w:rsidRDefault="00277FC0" w:rsidP="007B3E88">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2F5613">
        <w:rPr>
          <w:rStyle w:val="Appelnotedebasdep"/>
          <w:snapToGrid w:val="0"/>
          <w:kern w:val="18"/>
          <w:szCs w:val="18"/>
          <w:u w:val="none"/>
          <w:vertAlign w:val="superscript"/>
          <w:lang w:val="fr-CA"/>
        </w:rPr>
        <w:footnoteRef/>
      </w:r>
      <w:r w:rsidRPr="002F5613">
        <w:rPr>
          <w:snapToGrid w:val="0"/>
          <w:kern w:val="18"/>
          <w:szCs w:val="18"/>
          <w:lang w:val="fr-CA"/>
        </w:rPr>
        <w:t xml:space="preserve"> Le document CBD/PA/</w:t>
      </w:r>
      <w:proofErr w:type="spellStart"/>
      <w:r w:rsidRPr="002F5613">
        <w:rPr>
          <w:snapToGrid w:val="0"/>
          <w:kern w:val="18"/>
          <w:szCs w:val="18"/>
          <w:lang w:val="fr-CA"/>
        </w:rPr>
        <w:t>EM</w:t>
      </w:r>
      <w:proofErr w:type="spellEnd"/>
      <w:r w:rsidRPr="002F5613">
        <w:rPr>
          <w:snapToGrid w:val="0"/>
          <w:kern w:val="18"/>
          <w:szCs w:val="18"/>
          <w:lang w:val="fr-CA"/>
        </w:rPr>
        <w:t>/2018/1/</w:t>
      </w:r>
      <w:proofErr w:type="spellStart"/>
      <w:r w:rsidRPr="002F5613">
        <w:rPr>
          <w:snapToGrid w:val="0"/>
          <w:kern w:val="18"/>
          <w:szCs w:val="18"/>
          <w:lang w:val="fr-CA"/>
        </w:rPr>
        <w:t>INF</w:t>
      </w:r>
      <w:proofErr w:type="spellEnd"/>
      <w:r w:rsidRPr="002F5613">
        <w:rPr>
          <w:snapToGrid w:val="0"/>
          <w:kern w:val="18"/>
          <w:szCs w:val="18"/>
          <w:lang w:val="fr-CA"/>
        </w:rPr>
        <w:t xml:space="preserve">/4 </w:t>
      </w:r>
      <w:r>
        <w:rPr>
          <w:snapToGrid w:val="0"/>
          <w:kern w:val="18"/>
          <w:szCs w:val="18"/>
          <w:lang w:val="fr-CA"/>
        </w:rPr>
        <w:t>présente</w:t>
      </w:r>
      <w:r w:rsidRPr="002F5613">
        <w:rPr>
          <w:snapToGrid w:val="0"/>
          <w:kern w:val="18"/>
          <w:szCs w:val="18"/>
          <w:lang w:val="fr-CA"/>
        </w:rPr>
        <w:t xml:space="preserve"> plusieurs exemples de cette contribution.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snapToGrid w:val="0"/>
        <w:kern w:val="22"/>
        <w:szCs w:val="22"/>
      </w:rPr>
      <w:alias w:val="Subject"/>
      <w:tag w:val=""/>
      <w:id w:val="528922085"/>
      <w:placeholder>
        <w:docPart w:val="B17D16F9E5CA45A085D2E46E731FA84D"/>
      </w:placeholder>
      <w:dataBinding w:prefixMappings="xmlns:ns0='http://purl.org/dc/elements/1.1/' xmlns:ns1='http://schemas.openxmlformats.org/package/2006/metadata/core-properties' " w:xpath="/ns1:coreProperties[1]/ns0:subject[1]" w:storeItemID="{6C3C8BC8-F283-45AE-878A-BAB7291924A1}"/>
      <w:text/>
    </w:sdtPr>
    <w:sdtContent>
      <w:p w:rsidR="00277FC0" w:rsidRPr="007B3E88" w:rsidRDefault="00277FC0" w:rsidP="007B3E88">
        <w:pPr>
          <w:suppressLineNumbers/>
          <w:suppressAutoHyphens/>
          <w:kinsoku w:val="0"/>
          <w:overflowPunct w:val="0"/>
          <w:autoSpaceDE w:val="0"/>
          <w:autoSpaceDN w:val="0"/>
          <w:jc w:val="left"/>
          <w:rPr>
            <w:noProof/>
            <w:snapToGrid w:val="0"/>
            <w:kern w:val="22"/>
            <w:szCs w:val="22"/>
          </w:rPr>
        </w:pPr>
        <w:r w:rsidRPr="007B3E88">
          <w:rPr>
            <w:noProof/>
            <w:snapToGrid w:val="0"/>
            <w:kern w:val="22"/>
            <w:szCs w:val="22"/>
          </w:rPr>
          <w:t>CBD/SBSTTA/22/6</w:t>
        </w:r>
      </w:p>
    </w:sdtContent>
  </w:sdt>
  <w:p w:rsidR="00277FC0" w:rsidRPr="00D144C5" w:rsidRDefault="00277FC0" w:rsidP="007B3E88">
    <w:pPr>
      <w:pStyle w:val="En-tte"/>
      <w:suppressLineNumbers/>
      <w:tabs>
        <w:tab w:val="clear" w:pos="4320"/>
        <w:tab w:val="clear" w:pos="8640"/>
      </w:tabs>
      <w:suppressAutoHyphens/>
      <w:kinsoku w:val="0"/>
      <w:overflowPunct w:val="0"/>
      <w:autoSpaceDE w:val="0"/>
      <w:autoSpaceDN w:val="0"/>
      <w:jc w:val="left"/>
      <w:rPr>
        <w:noProof/>
      </w:rPr>
    </w:pPr>
    <w:r w:rsidRPr="007B3E88">
      <w:rPr>
        <w:noProof/>
      </w:rPr>
      <w:t xml:space="preserve">Page </w:t>
    </w:r>
    <w:r w:rsidRPr="00F26A79">
      <w:rPr>
        <w:noProof/>
      </w:rPr>
      <w:fldChar w:fldCharType="begin"/>
    </w:r>
    <w:r w:rsidRPr="007B3E88">
      <w:rPr>
        <w:noProof/>
      </w:rPr>
      <w:instrText xml:space="preserve"> PAGE   \* MERGEFORMAT </w:instrText>
    </w:r>
    <w:r w:rsidRPr="00F26A79">
      <w:rPr>
        <w:noProof/>
      </w:rPr>
      <w:fldChar w:fldCharType="separate"/>
    </w:r>
    <w:r w:rsidR="000172E3">
      <w:rPr>
        <w:noProof/>
      </w:rPr>
      <w:t>22</w:t>
    </w:r>
    <w:r w:rsidRPr="00F26A79">
      <w:rPr>
        <w:noProof/>
      </w:rPr>
      <w:fldChar w:fldCharType="end"/>
    </w:r>
  </w:p>
  <w:p w:rsidR="00277FC0" w:rsidRPr="007B3E88" w:rsidRDefault="00277FC0" w:rsidP="007B3E88">
    <w:pPr>
      <w:pStyle w:val="En-tte"/>
      <w:suppressLineNumbers/>
      <w:tabs>
        <w:tab w:val="clear" w:pos="4320"/>
        <w:tab w:val="clear" w:pos="8640"/>
      </w:tabs>
      <w:suppressAutoHyphens/>
      <w:kinsoku w:val="0"/>
      <w:overflowPunct w:val="0"/>
      <w:autoSpaceDE w:val="0"/>
      <w:autoSpaceDN w:val="0"/>
      <w:jc w:val="lef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snapToGrid w:val="0"/>
        <w:kern w:val="22"/>
        <w:szCs w:val="22"/>
      </w:rPr>
      <w:alias w:val="Subject"/>
      <w:tag w:val=""/>
      <w:id w:val="-1962015940"/>
      <w:placeholder>
        <w:docPart w:val="F6E74B58D00647BBA932B34B429E4A77"/>
      </w:placeholder>
      <w:dataBinding w:prefixMappings="xmlns:ns0='http://purl.org/dc/elements/1.1/' xmlns:ns1='http://schemas.openxmlformats.org/package/2006/metadata/core-properties' " w:xpath="/ns1:coreProperties[1]/ns0:subject[1]" w:storeItemID="{6C3C8BC8-F283-45AE-878A-BAB7291924A1}"/>
      <w:text/>
    </w:sdtPr>
    <w:sdtContent>
      <w:p w:rsidR="00277FC0" w:rsidRPr="002145A3" w:rsidRDefault="00277FC0" w:rsidP="007B3E88">
        <w:pPr>
          <w:suppressLineNumbers/>
          <w:suppressAutoHyphens/>
          <w:kinsoku w:val="0"/>
          <w:overflowPunct w:val="0"/>
          <w:autoSpaceDE w:val="0"/>
          <w:autoSpaceDN w:val="0"/>
          <w:jc w:val="right"/>
          <w:rPr>
            <w:noProof/>
            <w:snapToGrid w:val="0"/>
            <w:kern w:val="22"/>
            <w:szCs w:val="22"/>
          </w:rPr>
        </w:pPr>
        <w:r w:rsidRPr="002145A3">
          <w:rPr>
            <w:noProof/>
            <w:snapToGrid w:val="0"/>
            <w:kern w:val="22"/>
            <w:szCs w:val="22"/>
          </w:rPr>
          <w:t>CBD/SBSTTA/22/6</w:t>
        </w:r>
      </w:p>
    </w:sdtContent>
  </w:sdt>
  <w:p w:rsidR="00277FC0" w:rsidRPr="002145A3" w:rsidRDefault="00277FC0" w:rsidP="007B3E88">
    <w:pPr>
      <w:pStyle w:val="En-tte"/>
      <w:suppressLineNumbers/>
      <w:tabs>
        <w:tab w:val="clear" w:pos="4320"/>
        <w:tab w:val="clear" w:pos="8640"/>
      </w:tabs>
      <w:suppressAutoHyphens/>
      <w:kinsoku w:val="0"/>
      <w:overflowPunct w:val="0"/>
      <w:autoSpaceDE w:val="0"/>
      <w:autoSpaceDN w:val="0"/>
      <w:jc w:val="right"/>
      <w:rPr>
        <w:noProof/>
      </w:rPr>
    </w:pPr>
    <w:r w:rsidRPr="002145A3">
      <w:rPr>
        <w:noProof/>
      </w:rPr>
      <w:t xml:space="preserve">Page </w:t>
    </w:r>
    <w:r w:rsidRPr="002145A3">
      <w:rPr>
        <w:noProof/>
      </w:rPr>
      <w:fldChar w:fldCharType="begin"/>
    </w:r>
    <w:r w:rsidRPr="002145A3">
      <w:rPr>
        <w:noProof/>
      </w:rPr>
      <w:instrText xml:space="preserve"> PAGE   \* MERGEFORMAT </w:instrText>
    </w:r>
    <w:r w:rsidRPr="002145A3">
      <w:rPr>
        <w:noProof/>
      </w:rPr>
      <w:fldChar w:fldCharType="separate"/>
    </w:r>
    <w:r w:rsidR="000172E3">
      <w:rPr>
        <w:noProof/>
      </w:rPr>
      <w:t>21</w:t>
    </w:r>
    <w:r w:rsidRPr="002145A3">
      <w:rPr>
        <w:noProof/>
      </w:rPr>
      <w:fldChar w:fldCharType="end"/>
    </w:r>
  </w:p>
  <w:p w:rsidR="00277FC0" w:rsidRDefault="00277FC0" w:rsidP="007B3E88">
    <w:pPr>
      <w:pStyle w:val="En-tte"/>
      <w:suppressLineNumbers/>
      <w:tabs>
        <w:tab w:val="clear" w:pos="4320"/>
        <w:tab w:val="clear" w:pos="8640"/>
      </w:tabs>
      <w:suppressAutoHyphens/>
      <w:kinsoku w:val="0"/>
      <w:overflowPunct w:val="0"/>
      <w:autoSpaceDE w:val="0"/>
      <w:autoSpaceDN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211"/>
    <w:multiLevelType w:val="multilevel"/>
    <w:tmpl w:val="4FBC6E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95EBC"/>
    <w:multiLevelType w:val="hybridMultilevel"/>
    <w:tmpl w:val="A54834C6"/>
    <w:lvl w:ilvl="0" w:tplc="05DC2F02">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5DE3294"/>
    <w:multiLevelType w:val="hybridMultilevel"/>
    <w:tmpl w:val="B1549B0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E557FE"/>
    <w:multiLevelType w:val="hybridMultilevel"/>
    <w:tmpl w:val="DE76E3A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3208A0"/>
    <w:multiLevelType w:val="hybridMultilevel"/>
    <w:tmpl w:val="3DC87E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92A4B37"/>
    <w:multiLevelType w:val="hybridMultilevel"/>
    <w:tmpl w:val="9DA40CBA"/>
    <w:lvl w:ilvl="0" w:tplc="E44255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140093"/>
    <w:multiLevelType w:val="hybridMultilevel"/>
    <w:tmpl w:val="547EC718"/>
    <w:lvl w:ilvl="0" w:tplc="10090015">
      <w:start w:val="1"/>
      <w:numFmt w:val="upp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7" w15:restartNumberingAfterBreak="0">
    <w:nsid w:val="0C804E8D"/>
    <w:multiLevelType w:val="hybridMultilevel"/>
    <w:tmpl w:val="E9145434"/>
    <w:lvl w:ilvl="0" w:tplc="BC0809A6">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BD6AA3"/>
    <w:multiLevelType w:val="hybridMultilevel"/>
    <w:tmpl w:val="75361F86"/>
    <w:lvl w:ilvl="0" w:tplc="D53C0122">
      <w:start w:val="1"/>
      <w:numFmt w:val="lowerLetter"/>
      <w:lvlText w:val="%1)"/>
      <w:lvlJc w:val="left"/>
      <w:pPr>
        <w:ind w:left="780" w:hanging="360"/>
      </w:pPr>
      <w:rPr>
        <w:rFonts w:ascii="Times New Roman" w:eastAsia="Times New Roman" w:hAnsi="Times New Roman" w:cs="Times New Roman"/>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9" w15:restartNumberingAfterBreak="0">
    <w:nsid w:val="0CFC5229"/>
    <w:multiLevelType w:val="hybridMultilevel"/>
    <w:tmpl w:val="717E6C1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5B7D54"/>
    <w:multiLevelType w:val="hybridMultilevel"/>
    <w:tmpl w:val="B052B418"/>
    <w:lvl w:ilvl="0" w:tplc="1009000D">
      <w:start w:val="1"/>
      <w:numFmt w:val="bullet"/>
      <w:lvlText w:val=""/>
      <w:lvlJc w:val="left"/>
      <w:pPr>
        <w:ind w:left="1545" w:hanging="360"/>
      </w:pPr>
      <w:rPr>
        <w:rFonts w:ascii="Wingdings" w:hAnsi="Wingdings" w:hint="default"/>
      </w:rPr>
    </w:lvl>
    <w:lvl w:ilvl="1" w:tplc="10090019">
      <w:start w:val="1"/>
      <w:numFmt w:val="lowerLetter"/>
      <w:lvlText w:val="%2."/>
      <w:lvlJc w:val="left"/>
      <w:pPr>
        <w:ind w:left="2265" w:hanging="360"/>
      </w:pPr>
    </w:lvl>
    <w:lvl w:ilvl="2" w:tplc="1009001B" w:tentative="1">
      <w:start w:val="1"/>
      <w:numFmt w:val="lowerRoman"/>
      <w:lvlText w:val="%3."/>
      <w:lvlJc w:val="right"/>
      <w:pPr>
        <w:ind w:left="2985" w:hanging="180"/>
      </w:pPr>
    </w:lvl>
    <w:lvl w:ilvl="3" w:tplc="1009000F" w:tentative="1">
      <w:start w:val="1"/>
      <w:numFmt w:val="decimal"/>
      <w:lvlText w:val="%4."/>
      <w:lvlJc w:val="left"/>
      <w:pPr>
        <w:ind w:left="3705" w:hanging="360"/>
      </w:pPr>
    </w:lvl>
    <w:lvl w:ilvl="4" w:tplc="10090019" w:tentative="1">
      <w:start w:val="1"/>
      <w:numFmt w:val="lowerLetter"/>
      <w:lvlText w:val="%5."/>
      <w:lvlJc w:val="left"/>
      <w:pPr>
        <w:ind w:left="4425" w:hanging="360"/>
      </w:pPr>
    </w:lvl>
    <w:lvl w:ilvl="5" w:tplc="1009001B" w:tentative="1">
      <w:start w:val="1"/>
      <w:numFmt w:val="lowerRoman"/>
      <w:lvlText w:val="%6."/>
      <w:lvlJc w:val="right"/>
      <w:pPr>
        <w:ind w:left="5145" w:hanging="180"/>
      </w:pPr>
    </w:lvl>
    <w:lvl w:ilvl="6" w:tplc="1009000F" w:tentative="1">
      <w:start w:val="1"/>
      <w:numFmt w:val="decimal"/>
      <w:lvlText w:val="%7."/>
      <w:lvlJc w:val="left"/>
      <w:pPr>
        <w:ind w:left="5865" w:hanging="360"/>
      </w:pPr>
    </w:lvl>
    <w:lvl w:ilvl="7" w:tplc="10090019" w:tentative="1">
      <w:start w:val="1"/>
      <w:numFmt w:val="lowerLetter"/>
      <w:lvlText w:val="%8."/>
      <w:lvlJc w:val="left"/>
      <w:pPr>
        <w:ind w:left="6585" w:hanging="360"/>
      </w:pPr>
    </w:lvl>
    <w:lvl w:ilvl="8" w:tplc="1009001B" w:tentative="1">
      <w:start w:val="1"/>
      <w:numFmt w:val="lowerRoman"/>
      <w:lvlText w:val="%9."/>
      <w:lvlJc w:val="right"/>
      <w:pPr>
        <w:ind w:left="7305" w:hanging="180"/>
      </w:pPr>
    </w:lvl>
  </w:abstractNum>
  <w:abstractNum w:abstractNumId="11" w15:restartNumberingAfterBreak="0">
    <w:nsid w:val="0E673492"/>
    <w:multiLevelType w:val="hybridMultilevel"/>
    <w:tmpl w:val="54F01722"/>
    <w:lvl w:ilvl="0" w:tplc="04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466F06"/>
    <w:multiLevelType w:val="hybridMultilevel"/>
    <w:tmpl w:val="25686D1C"/>
    <w:lvl w:ilvl="0" w:tplc="5B1CC5BC">
      <w:start w:val="1"/>
      <w:numFmt w:val="lowerLetter"/>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48164F"/>
    <w:multiLevelType w:val="hybridMultilevel"/>
    <w:tmpl w:val="0DC2232E"/>
    <w:lvl w:ilvl="0" w:tplc="8DB600F2">
      <w:start w:val="1"/>
      <w:numFmt w:val="lowerLetter"/>
      <w:lvlText w:val="%1)"/>
      <w:lvlJc w:val="left"/>
      <w:pPr>
        <w:ind w:left="1080" w:hanging="360"/>
      </w:pPr>
      <w:rPr>
        <w:rFonts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181939AA"/>
    <w:multiLevelType w:val="hybridMultilevel"/>
    <w:tmpl w:val="3FA87BA2"/>
    <w:lvl w:ilvl="0" w:tplc="DAFC9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343EBD"/>
    <w:multiLevelType w:val="hybridMultilevel"/>
    <w:tmpl w:val="2670DF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8EB36BE"/>
    <w:multiLevelType w:val="hybridMultilevel"/>
    <w:tmpl w:val="A9105AA6"/>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17" w15:restartNumberingAfterBreak="0">
    <w:nsid w:val="192A0D63"/>
    <w:multiLevelType w:val="hybridMultilevel"/>
    <w:tmpl w:val="73F639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24818"/>
    <w:multiLevelType w:val="hybridMultilevel"/>
    <w:tmpl w:val="59E29F54"/>
    <w:lvl w:ilvl="0" w:tplc="E18C58B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1BAC3AE9"/>
    <w:multiLevelType w:val="hybridMultilevel"/>
    <w:tmpl w:val="3850B3E6"/>
    <w:lvl w:ilvl="0" w:tplc="228C987A">
      <w:start w:val="1"/>
      <w:numFmt w:val="lowerLetter"/>
      <w:lvlText w:val="%1)"/>
      <w:lvlJc w:val="left"/>
      <w:pPr>
        <w:ind w:left="720" w:hanging="360"/>
      </w:pPr>
      <w:rPr>
        <w:rFonts w:ascii="Times New Roman" w:eastAsia="Malgun Gothic"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0454B5"/>
    <w:multiLevelType w:val="hybridMultilevel"/>
    <w:tmpl w:val="F5100742"/>
    <w:lvl w:ilvl="0" w:tplc="DD500A12">
      <w:start w:val="1"/>
      <w:numFmt w:val="lowerLetter"/>
      <w:lvlText w:val="%1)"/>
      <w:lvlJc w:val="left"/>
      <w:pPr>
        <w:ind w:left="720" w:hanging="360"/>
      </w:pPr>
      <w:rPr>
        <w:rFonts w:ascii="Times New Roman" w:eastAsia="Times New Roman" w:hAnsi="Times New Roman" w:cs="Times New Roman"/>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DFF675F"/>
    <w:multiLevelType w:val="hybridMultilevel"/>
    <w:tmpl w:val="6C80F374"/>
    <w:lvl w:ilvl="0" w:tplc="B374F714">
      <w:start w:val="1"/>
      <w:numFmt w:val="lowerLetter"/>
      <w:lvlText w:val="%1)"/>
      <w:lvlJc w:val="left"/>
      <w:pPr>
        <w:ind w:left="1545" w:hanging="360"/>
      </w:pPr>
      <w:rPr>
        <w:rFonts w:hint="default"/>
      </w:rPr>
    </w:lvl>
    <w:lvl w:ilvl="1" w:tplc="10090019">
      <w:start w:val="1"/>
      <w:numFmt w:val="lowerLetter"/>
      <w:lvlText w:val="%2."/>
      <w:lvlJc w:val="left"/>
      <w:pPr>
        <w:ind w:left="2265" w:hanging="360"/>
      </w:pPr>
    </w:lvl>
    <w:lvl w:ilvl="2" w:tplc="1009001B" w:tentative="1">
      <w:start w:val="1"/>
      <w:numFmt w:val="lowerRoman"/>
      <w:lvlText w:val="%3."/>
      <w:lvlJc w:val="right"/>
      <w:pPr>
        <w:ind w:left="2985" w:hanging="180"/>
      </w:pPr>
    </w:lvl>
    <w:lvl w:ilvl="3" w:tplc="1009000F" w:tentative="1">
      <w:start w:val="1"/>
      <w:numFmt w:val="decimal"/>
      <w:lvlText w:val="%4."/>
      <w:lvlJc w:val="left"/>
      <w:pPr>
        <w:ind w:left="3705" w:hanging="360"/>
      </w:pPr>
    </w:lvl>
    <w:lvl w:ilvl="4" w:tplc="10090019" w:tentative="1">
      <w:start w:val="1"/>
      <w:numFmt w:val="lowerLetter"/>
      <w:lvlText w:val="%5."/>
      <w:lvlJc w:val="left"/>
      <w:pPr>
        <w:ind w:left="4425" w:hanging="360"/>
      </w:pPr>
    </w:lvl>
    <w:lvl w:ilvl="5" w:tplc="1009001B" w:tentative="1">
      <w:start w:val="1"/>
      <w:numFmt w:val="lowerRoman"/>
      <w:lvlText w:val="%6."/>
      <w:lvlJc w:val="right"/>
      <w:pPr>
        <w:ind w:left="5145" w:hanging="180"/>
      </w:pPr>
    </w:lvl>
    <w:lvl w:ilvl="6" w:tplc="1009000F" w:tentative="1">
      <w:start w:val="1"/>
      <w:numFmt w:val="decimal"/>
      <w:lvlText w:val="%7."/>
      <w:lvlJc w:val="left"/>
      <w:pPr>
        <w:ind w:left="5865" w:hanging="360"/>
      </w:pPr>
    </w:lvl>
    <w:lvl w:ilvl="7" w:tplc="10090019" w:tentative="1">
      <w:start w:val="1"/>
      <w:numFmt w:val="lowerLetter"/>
      <w:lvlText w:val="%8."/>
      <w:lvlJc w:val="left"/>
      <w:pPr>
        <w:ind w:left="6585" w:hanging="360"/>
      </w:pPr>
    </w:lvl>
    <w:lvl w:ilvl="8" w:tplc="1009001B" w:tentative="1">
      <w:start w:val="1"/>
      <w:numFmt w:val="lowerRoman"/>
      <w:lvlText w:val="%9."/>
      <w:lvlJc w:val="right"/>
      <w:pPr>
        <w:ind w:left="7305" w:hanging="180"/>
      </w:pPr>
    </w:lvl>
  </w:abstractNum>
  <w:abstractNum w:abstractNumId="22" w15:restartNumberingAfterBreak="0">
    <w:nsid w:val="1E2D53E0"/>
    <w:multiLevelType w:val="hybridMultilevel"/>
    <w:tmpl w:val="B358E0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1FAB2C7D"/>
    <w:multiLevelType w:val="hybridMultilevel"/>
    <w:tmpl w:val="C91E3A4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044DA0"/>
    <w:multiLevelType w:val="hybridMultilevel"/>
    <w:tmpl w:val="6586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4C1B03"/>
    <w:multiLevelType w:val="hybridMultilevel"/>
    <w:tmpl w:val="DB84F3EA"/>
    <w:lvl w:ilvl="0" w:tplc="5BC27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2925B0"/>
    <w:multiLevelType w:val="hybridMultilevel"/>
    <w:tmpl w:val="5F407408"/>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48D6BC3"/>
    <w:multiLevelType w:val="hybridMultilevel"/>
    <w:tmpl w:val="4F6A0800"/>
    <w:lvl w:ilvl="0" w:tplc="B9A47D50">
      <w:start w:val="1"/>
      <w:numFmt w:val="lowerLetter"/>
      <w:lvlText w:val="%1)"/>
      <w:lvlJc w:val="left"/>
      <w:pPr>
        <w:ind w:left="720" w:hanging="360"/>
      </w:pPr>
      <w:rPr>
        <w:rFonts w:ascii="Times New Roman" w:eastAsia="Times New Roman" w:hAnsi="Times New Roman" w:cs="Times New Roman"/>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26097197"/>
    <w:multiLevelType w:val="hybridMultilevel"/>
    <w:tmpl w:val="8DFED0D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CAB40D4C">
      <w:start w:val="1"/>
      <w:numFmt w:val="lowerLetter"/>
      <w:lvlText w:val="(%5)"/>
      <w:lvlJc w:val="left"/>
      <w:pPr>
        <w:ind w:left="3960" w:hanging="360"/>
      </w:pPr>
      <w:rPr>
        <w:rFonts w:hint="default"/>
        <w:b w:val="0"/>
      </w:r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2836566E"/>
    <w:multiLevelType w:val="hybridMultilevel"/>
    <w:tmpl w:val="1B060B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B134B5"/>
    <w:multiLevelType w:val="hybridMultilevel"/>
    <w:tmpl w:val="1652A3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29E034F5"/>
    <w:multiLevelType w:val="hybridMultilevel"/>
    <w:tmpl w:val="57AE32DE"/>
    <w:lvl w:ilvl="0" w:tplc="CCC4F0F4">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2B56A1"/>
    <w:multiLevelType w:val="hybridMultilevel"/>
    <w:tmpl w:val="825A16E6"/>
    <w:lvl w:ilvl="0" w:tplc="FC4C91E0">
      <w:start w:val="1"/>
      <w:numFmt w:val="lowerLetter"/>
      <w:lvlText w:val="%1)"/>
      <w:lvlJc w:val="left"/>
      <w:pPr>
        <w:ind w:left="1080" w:hanging="360"/>
      </w:pPr>
      <w:rPr>
        <w:rFonts w:ascii="Times New Roman" w:eastAsia="Times New Roman" w:hAnsi="Times New Roman" w:cs="Times New Roman"/>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2B9371B4"/>
    <w:multiLevelType w:val="hybridMultilevel"/>
    <w:tmpl w:val="ADF4F2FA"/>
    <w:lvl w:ilvl="0" w:tplc="6502607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BA5106B"/>
    <w:multiLevelType w:val="hybridMultilevel"/>
    <w:tmpl w:val="2E2001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C4C1CDD"/>
    <w:multiLevelType w:val="hybridMultilevel"/>
    <w:tmpl w:val="E5D47BD4"/>
    <w:lvl w:ilvl="0" w:tplc="F8B6F3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2E523048"/>
    <w:multiLevelType w:val="hybridMultilevel"/>
    <w:tmpl w:val="B47EE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7A2E29"/>
    <w:multiLevelType w:val="hybridMultilevel"/>
    <w:tmpl w:val="00D405E8"/>
    <w:lvl w:ilvl="0" w:tplc="D1F88F90">
      <w:start w:val="1"/>
      <w:numFmt w:val="lowerLetter"/>
      <w:lvlText w:val="%1)"/>
      <w:lvlJc w:val="left"/>
      <w:pPr>
        <w:ind w:left="1080" w:hanging="360"/>
      </w:pPr>
      <w:rPr>
        <w:rFonts w:ascii="Times New Roman" w:eastAsia="Malgun Gothic" w:hAnsi="Times New Roman" w:cs="Times New Roman"/>
        <w:b w:val="0"/>
      </w:rPr>
    </w:lvl>
    <w:lvl w:ilvl="1" w:tplc="B6C8B946">
      <w:numFmt w:val="bullet"/>
      <w:lvlText w:val=""/>
      <w:lvlJc w:val="left"/>
      <w:pPr>
        <w:tabs>
          <w:tab w:val="num" w:pos="1800"/>
        </w:tabs>
        <w:ind w:left="1800" w:hanging="360"/>
      </w:pPr>
      <w:rPr>
        <w:rFonts w:ascii="Wingdings" w:hAnsi="Wingdings" w:hint="default"/>
      </w:rPr>
    </w:lvl>
    <w:lvl w:ilvl="2" w:tplc="26588280" w:tentative="1">
      <w:start w:val="1"/>
      <w:numFmt w:val="decimal"/>
      <w:lvlText w:val="%3."/>
      <w:lvlJc w:val="left"/>
      <w:pPr>
        <w:tabs>
          <w:tab w:val="num" w:pos="2520"/>
        </w:tabs>
        <w:ind w:left="2520" w:hanging="360"/>
      </w:pPr>
    </w:lvl>
    <w:lvl w:ilvl="3" w:tplc="D9F07FCC" w:tentative="1">
      <w:start w:val="1"/>
      <w:numFmt w:val="decimal"/>
      <w:lvlText w:val="%4."/>
      <w:lvlJc w:val="left"/>
      <w:pPr>
        <w:tabs>
          <w:tab w:val="num" w:pos="3240"/>
        </w:tabs>
        <w:ind w:left="3240" w:hanging="360"/>
      </w:pPr>
    </w:lvl>
    <w:lvl w:ilvl="4" w:tplc="19A084D2" w:tentative="1">
      <w:start w:val="1"/>
      <w:numFmt w:val="decimal"/>
      <w:lvlText w:val="%5."/>
      <w:lvlJc w:val="left"/>
      <w:pPr>
        <w:tabs>
          <w:tab w:val="num" w:pos="3960"/>
        </w:tabs>
        <w:ind w:left="3960" w:hanging="360"/>
      </w:pPr>
    </w:lvl>
    <w:lvl w:ilvl="5" w:tplc="CC207990" w:tentative="1">
      <w:start w:val="1"/>
      <w:numFmt w:val="decimal"/>
      <w:lvlText w:val="%6."/>
      <w:lvlJc w:val="left"/>
      <w:pPr>
        <w:tabs>
          <w:tab w:val="num" w:pos="4680"/>
        </w:tabs>
        <w:ind w:left="4680" w:hanging="360"/>
      </w:pPr>
    </w:lvl>
    <w:lvl w:ilvl="6" w:tplc="E81056DE" w:tentative="1">
      <w:start w:val="1"/>
      <w:numFmt w:val="decimal"/>
      <w:lvlText w:val="%7."/>
      <w:lvlJc w:val="left"/>
      <w:pPr>
        <w:tabs>
          <w:tab w:val="num" w:pos="5400"/>
        </w:tabs>
        <w:ind w:left="5400" w:hanging="360"/>
      </w:pPr>
    </w:lvl>
    <w:lvl w:ilvl="7" w:tplc="EC64771A" w:tentative="1">
      <w:start w:val="1"/>
      <w:numFmt w:val="decimal"/>
      <w:lvlText w:val="%8."/>
      <w:lvlJc w:val="left"/>
      <w:pPr>
        <w:tabs>
          <w:tab w:val="num" w:pos="6120"/>
        </w:tabs>
        <w:ind w:left="6120" w:hanging="360"/>
      </w:pPr>
    </w:lvl>
    <w:lvl w:ilvl="8" w:tplc="B3508DBE" w:tentative="1">
      <w:start w:val="1"/>
      <w:numFmt w:val="decimal"/>
      <w:lvlText w:val="%9."/>
      <w:lvlJc w:val="left"/>
      <w:pPr>
        <w:tabs>
          <w:tab w:val="num" w:pos="6840"/>
        </w:tabs>
        <w:ind w:left="6840" w:hanging="360"/>
      </w:pPr>
    </w:lvl>
  </w:abstractNum>
  <w:abstractNum w:abstractNumId="3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15:restartNumberingAfterBreak="0">
    <w:nsid w:val="30E62B18"/>
    <w:multiLevelType w:val="hybridMultilevel"/>
    <w:tmpl w:val="33F6CF8C"/>
    <w:lvl w:ilvl="0" w:tplc="B080C630">
      <w:start w:val="3"/>
      <w:numFmt w:val="upperLetter"/>
      <w:lvlText w:val="%1."/>
      <w:lvlJc w:val="left"/>
      <w:pPr>
        <w:ind w:left="1080" w:hanging="360"/>
      </w:pPr>
      <w:rPr>
        <w:rFonts w:hint="default"/>
      </w:rPr>
    </w:lvl>
    <w:lvl w:ilvl="1" w:tplc="E4286410">
      <w:start w:val="3"/>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314D2490"/>
    <w:multiLevelType w:val="hybridMultilevel"/>
    <w:tmpl w:val="ADC29AA0"/>
    <w:lvl w:ilvl="0" w:tplc="747AEA9E">
      <w:start w:val="1"/>
      <w:numFmt w:val="lowerLetter"/>
      <w:lvlText w:val="%1)"/>
      <w:lvlJc w:val="left"/>
      <w:pPr>
        <w:ind w:left="1301" w:hanging="360"/>
      </w:pPr>
      <w:rPr>
        <w:rFonts w:ascii="Times New Roman" w:eastAsia="Times New Roman" w:hAnsi="Times New Roman" w:cs="Times New Roman"/>
        <w:b w:val="0"/>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41" w15:restartNumberingAfterBreak="0">
    <w:nsid w:val="32040269"/>
    <w:multiLevelType w:val="hybridMultilevel"/>
    <w:tmpl w:val="7F86AE3A"/>
    <w:lvl w:ilvl="0" w:tplc="8764AF94">
      <w:start w:val="1"/>
      <w:numFmt w:val="lowerLetter"/>
      <w:lvlText w:val="%1)"/>
      <w:lvlJc w:val="left"/>
      <w:pPr>
        <w:ind w:left="1301" w:hanging="360"/>
      </w:pPr>
      <w:rPr>
        <w:rFonts w:ascii="Times New Roman" w:eastAsia="Malgun Gothic" w:hAnsi="Times New Roman" w:cs="Times New Roman"/>
        <w:b w:val="0"/>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42" w15:restartNumberingAfterBreak="0">
    <w:nsid w:val="34432D50"/>
    <w:multiLevelType w:val="hybridMultilevel"/>
    <w:tmpl w:val="D7B243C0"/>
    <w:lvl w:ilvl="0" w:tplc="3BD6F7CC">
      <w:start w:val="3"/>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3" w15:restartNumberingAfterBreak="0">
    <w:nsid w:val="3BB42288"/>
    <w:multiLevelType w:val="hybridMultilevel"/>
    <w:tmpl w:val="4BD8FA48"/>
    <w:lvl w:ilvl="0" w:tplc="32FAEA80">
      <w:start w:val="1"/>
      <w:numFmt w:val="lowerLetter"/>
      <w:lvlText w:val="%1)"/>
      <w:lvlJc w:val="left"/>
      <w:pPr>
        <w:ind w:left="1080" w:hanging="360"/>
      </w:pPr>
      <w:rPr>
        <w:rFonts w:ascii="Times New Roman" w:eastAsia="Times New Roman" w:hAnsi="Times New Roman" w:cs="Times New Roman"/>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EBF6E23"/>
    <w:multiLevelType w:val="hybridMultilevel"/>
    <w:tmpl w:val="BCC0BDB2"/>
    <w:lvl w:ilvl="0" w:tplc="DF125AEA">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780F76"/>
    <w:multiLevelType w:val="hybridMultilevel"/>
    <w:tmpl w:val="B300A13E"/>
    <w:lvl w:ilvl="0" w:tplc="715AE26E">
      <w:start w:val="1"/>
      <w:numFmt w:val="lowerLetter"/>
      <w:lvlText w:val="%1)"/>
      <w:lvlJc w:val="left"/>
      <w:pPr>
        <w:ind w:left="1080" w:hanging="360"/>
      </w:pPr>
      <w:rPr>
        <w:rFonts w:ascii="Times New Roman" w:eastAsia="Times New Roman" w:hAnsi="Times New Roman" w:cs="Times New Roman"/>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3FC777A2"/>
    <w:multiLevelType w:val="hybridMultilevel"/>
    <w:tmpl w:val="CDD644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40A12900"/>
    <w:multiLevelType w:val="hybridMultilevel"/>
    <w:tmpl w:val="1B5CD76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0B92AFC"/>
    <w:multiLevelType w:val="hybridMultilevel"/>
    <w:tmpl w:val="88EAE1A4"/>
    <w:lvl w:ilvl="0" w:tplc="8000263C">
      <w:start w:val="1"/>
      <w:numFmt w:val="lowerRoman"/>
      <w:lvlText w:val="(%1)"/>
      <w:lvlJc w:val="left"/>
      <w:pPr>
        <w:ind w:left="1545" w:hanging="360"/>
      </w:pPr>
      <w:rPr>
        <w:rFonts w:hint="default"/>
        <w:b w:val="0"/>
      </w:rPr>
    </w:lvl>
    <w:lvl w:ilvl="1" w:tplc="10090019">
      <w:start w:val="1"/>
      <w:numFmt w:val="lowerLetter"/>
      <w:lvlText w:val="%2."/>
      <w:lvlJc w:val="left"/>
      <w:pPr>
        <w:ind w:left="2265" w:hanging="360"/>
      </w:pPr>
    </w:lvl>
    <w:lvl w:ilvl="2" w:tplc="1009001B" w:tentative="1">
      <w:start w:val="1"/>
      <w:numFmt w:val="lowerRoman"/>
      <w:lvlText w:val="%3."/>
      <w:lvlJc w:val="right"/>
      <w:pPr>
        <w:ind w:left="2985" w:hanging="180"/>
      </w:pPr>
    </w:lvl>
    <w:lvl w:ilvl="3" w:tplc="1009000F" w:tentative="1">
      <w:start w:val="1"/>
      <w:numFmt w:val="decimal"/>
      <w:lvlText w:val="%4."/>
      <w:lvlJc w:val="left"/>
      <w:pPr>
        <w:ind w:left="3705" w:hanging="360"/>
      </w:pPr>
    </w:lvl>
    <w:lvl w:ilvl="4" w:tplc="10090019" w:tentative="1">
      <w:start w:val="1"/>
      <w:numFmt w:val="lowerLetter"/>
      <w:lvlText w:val="%5."/>
      <w:lvlJc w:val="left"/>
      <w:pPr>
        <w:ind w:left="4425" w:hanging="360"/>
      </w:pPr>
    </w:lvl>
    <w:lvl w:ilvl="5" w:tplc="1009001B" w:tentative="1">
      <w:start w:val="1"/>
      <w:numFmt w:val="lowerRoman"/>
      <w:lvlText w:val="%6."/>
      <w:lvlJc w:val="right"/>
      <w:pPr>
        <w:ind w:left="5145" w:hanging="180"/>
      </w:pPr>
    </w:lvl>
    <w:lvl w:ilvl="6" w:tplc="1009000F" w:tentative="1">
      <w:start w:val="1"/>
      <w:numFmt w:val="decimal"/>
      <w:lvlText w:val="%7."/>
      <w:lvlJc w:val="left"/>
      <w:pPr>
        <w:ind w:left="5865" w:hanging="360"/>
      </w:pPr>
    </w:lvl>
    <w:lvl w:ilvl="7" w:tplc="10090019" w:tentative="1">
      <w:start w:val="1"/>
      <w:numFmt w:val="lowerLetter"/>
      <w:lvlText w:val="%8."/>
      <w:lvlJc w:val="left"/>
      <w:pPr>
        <w:ind w:left="6585" w:hanging="360"/>
      </w:pPr>
    </w:lvl>
    <w:lvl w:ilvl="8" w:tplc="1009001B" w:tentative="1">
      <w:start w:val="1"/>
      <w:numFmt w:val="lowerRoman"/>
      <w:lvlText w:val="%9."/>
      <w:lvlJc w:val="right"/>
      <w:pPr>
        <w:ind w:left="7305" w:hanging="180"/>
      </w:pPr>
    </w:lvl>
  </w:abstractNum>
  <w:abstractNum w:abstractNumId="49" w15:restartNumberingAfterBreak="0">
    <w:nsid w:val="415C2EF6"/>
    <w:multiLevelType w:val="hybridMultilevel"/>
    <w:tmpl w:val="A082082C"/>
    <w:lvl w:ilvl="0" w:tplc="04090019">
      <w:start w:val="1"/>
      <w:numFmt w:val="lowerLetter"/>
      <w:lvlText w:val="%1."/>
      <w:lvlJc w:val="left"/>
      <w:pPr>
        <w:ind w:left="1080" w:hanging="360"/>
      </w:pPr>
      <w:rPr>
        <w:rFonts w:hint="default"/>
      </w:rPr>
    </w:lvl>
    <w:lvl w:ilvl="1" w:tplc="B6C8B946">
      <w:numFmt w:val="bullet"/>
      <w:lvlText w:val=""/>
      <w:lvlJc w:val="left"/>
      <w:pPr>
        <w:tabs>
          <w:tab w:val="num" w:pos="1800"/>
        </w:tabs>
        <w:ind w:left="1800" w:hanging="360"/>
      </w:pPr>
      <w:rPr>
        <w:rFonts w:ascii="Wingdings" w:hAnsi="Wingdings" w:hint="default"/>
      </w:rPr>
    </w:lvl>
    <w:lvl w:ilvl="2" w:tplc="26588280" w:tentative="1">
      <w:start w:val="1"/>
      <w:numFmt w:val="decimal"/>
      <w:lvlText w:val="%3."/>
      <w:lvlJc w:val="left"/>
      <w:pPr>
        <w:tabs>
          <w:tab w:val="num" w:pos="2520"/>
        </w:tabs>
        <w:ind w:left="2520" w:hanging="360"/>
      </w:pPr>
    </w:lvl>
    <w:lvl w:ilvl="3" w:tplc="D9F07FCC" w:tentative="1">
      <w:start w:val="1"/>
      <w:numFmt w:val="decimal"/>
      <w:lvlText w:val="%4."/>
      <w:lvlJc w:val="left"/>
      <w:pPr>
        <w:tabs>
          <w:tab w:val="num" w:pos="3240"/>
        </w:tabs>
        <w:ind w:left="3240" w:hanging="360"/>
      </w:pPr>
    </w:lvl>
    <w:lvl w:ilvl="4" w:tplc="19A084D2" w:tentative="1">
      <w:start w:val="1"/>
      <w:numFmt w:val="decimal"/>
      <w:lvlText w:val="%5."/>
      <w:lvlJc w:val="left"/>
      <w:pPr>
        <w:tabs>
          <w:tab w:val="num" w:pos="3960"/>
        </w:tabs>
        <w:ind w:left="3960" w:hanging="360"/>
      </w:pPr>
    </w:lvl>
    <w:lvl w:ilvl="5" w:tplc="CC207990" w:tentative="1">
      <w:start w:val="1"/>
      <w:numFmt w:val="decimal"/>
      <w:lvlText w:val="%6."/>
      <w:lvlJc w:val="left"/>
      <w:pPr>
        <w:tabs>
          <w:tab w:val="num" w:pos="4680"/>
        </w:tabs>
        <w:ind w:left="4680" w:hanging="360"/>
      </w:pPr>
    </w:lvl>
    <w:lvl w:ilvl="6" w:tplc="E81056DE" w:tentative="1">
      <w:start w:val="1"/>
      <w:numFmt w:val="decimal"/>
      <w:lvlText w:val="%7."/>
      <w:lvlJc w:val="left"/>
      <w:pPr>
        <w:tabs>
          <w:tab w:val="num" w:pos="5400"/>
        </w:tabs>
        <w:ind w:left="5400" w:hanging="360"/>
      </w:pPr>
    </w:lvl>
    <w:lvl w:ilvl="7" w:tplc="EC64771A" w:tentative="1">
      <w:start w:val="1"/>
      <w:numFmt w:val="decimal"/>
      <w:lvlText w:val="%8."/>
      <w:lvlJc w:val="left"/>
      <w:pPr>
        <w:tabs>
          <w:tab w:val="num" w:pos="6120"/>
        </w:tabs>
        <w:ind w:left="6120" w:hanging="360"/>
      </w:pPr>
    </w:lvl>
    <w:lvl w:ilvl="8" w:tplc="B3508DBE" w:tentative="1">
      <w:start w:val="1"/>
      <w:numFmt w:val="decimal"/>
      <w:lvlText w:val="%9."/>
      <w:lvlJc w:val="left"/>
      <w:pPr>
        <w:tabs>
          <w:tab w:val="num" w:pos="6840"/>
        </w:tabs>
        <w:ind w:left="6840" w:hanging="360"/>
      </w:pPr>
    </w:lvl>
  </w:abstractNum>
  <w:abstractNum w:abstractNumId="50" w15:restartNumberingAfterBreak="0">
    <w:nsid w:val="41C20279"/>
    <w:multiLevelType w:val="hybridMultilevel"/>
    <w:tmpl w:val="292CF288"/>
    <w:lvl w:ilvl="0" w:tplc="A4CEE060">
      <w:start w:val="5"/>
      <w:numFmt w:val="decimal"/>
      <w:lvlText w:val="%1."/>
      <w:lvlJc w:val="left"/>
      <w:pPr>
        <w:ind w:left="25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41CE365A"/>
    <w:multiLevelType w:val="hybridMultilevel"/>
    <w:tmpl w:val="6B588B52"/>
    <w:lvl w:ilvl="0" w:tplc="4C0E22F8">
      <w:start w:val="1"/>
      <w:numFmt w:val="lowerLetter"/>
      <w:lvlText w:val="%1)"/>
      <w:lvlJc w:val="left"/>
      <w:pPr>
        <w:ind w:left="720" w:hanging="360"/>
      </w:pPr>
      <w:rPr>
        <w:rFonts w:ascii="Times New Roman" w:eastAsia="Malgun Gothic"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6B56EB"/>
    <w:multiLevelType w:val="hybridMultilevel"/>
    <w:tmpl w:val="5DF025FC"/>
    <w:lvl w:ilvl="0" w:tplc="10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456B656A"/>
    <w:multiLevelType w:val="hybridMultilevel"/>
    <w:tmpl w:val="5DF025FC"/>
    <w:lvl w:ilvl="0" w:tplc="10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EC085D"/>
    <w:multiLevelType w:val="hybridMultilevel"/>
    <w:tmpl w:val="F6CC9534"/>
    <w:lvl w:ilvl="0" w:tplc="04090019">
      <w:start w:val="1"/>
      <w:numFmt w:val="lowerLetter"/>
      <w:lvlText w:val="%1."/>
      <w:lvlJc w:val="left"/>
      <w:pPr>
        <w:ind w:left="1301" w:hanging="360"/>
      </w:p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5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49185F4B"/>
    <w:multiLevelType w:val="hybridMultilevel"/>
    <w:tmpl w:val="046E2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9237B26"/>
    <w:multiLevelType w:val="hybridMultilevel"/>
    <w:tmpl w:val="F6F26A72"/>
    <w:lvl w:ilvl="0" w:tplc="2C3EB218">
      <w:start w:val="1"/>
      <w:numFmt w:val="lowerLetter"/>
      <w:lvlText w:val="%1)"/>
      <w:lvlJc w:val="left"/>
      <w:pPr>
        <w:ind w:left="720" w:hanging="360"/>
      </w:pPr>
      <w:rPr>
        <w:rFonts w:ascii="Times New Roman" w:eastAsia="Times New Roman" w:hAnsi="Times New Roman" w:cs="Times New Roman"/>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4B391CCE"/>
    <w:multiLevelType w:val="multilevel"/>
    <w:tmpl w:val="87E82F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4BD1528F"/>
    <w:multiLevelType w:val="hybridMultilevel"/>
    <w:tmpl w:val="CCC4019E"/>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5204B552">
      <w:start w:val="1"/>
      <w:numFmt w:val="lowerLetter"/>
      <w:lvlText w:val="%7)"/>
      <w:lvlJc w:val="left"/>
      <w:pPr>
        <w:ind w:left="360" w:hanging="360"/>
      </w:pPr>
      <w:rPr>
        <w:rFonts w:ascii="Times New Roman" w:eastAsia="Times New Roman" w:hAnsi="Times New Roman" w:cs="Times New Roman"/>
        <w:b w:val="0"/>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1" w15:restartNumberingAfterBreak="0">
    <w:nsid w:val="4E0442B4"/>
    <w:multiLevelType w:val="multilevel"/>
    <w:tmpl w:val="393C32F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Roman"/>
      <w:lvlText w:val="(%2)"/>
      <w:lvlJc w:val="righ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eastAsia="Times New Roman" w:hAnsi="Times New Roman" w:cs="Times New Roman"/>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EA84285"/>
    <w:multiLevelType w:val="hybridMultilevel"/>
    <w:tmpl w:val="3EC45176"/>
    <w:lvl w:ilvl="0" w:tplc="A7F87AB6">
      <w:start w:val="1"/>
      <w:numFmt w:val="lowerLetter"/>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6E01FD"/>
    <w:multiLevelType w:val="hybridMultilevel"/>
    <w:tmpl w:val="F3105904"/>
    <w:lvl w:ilvl="0" w:tplc="8000263C">
      <w:start w:val="1"/>
      <w:numFmt w:val="lowerRoman"/>
      <w:lvlText w:val="(%1)"/>
      <w:lvlJc w:val="left"/>
      <w:pPr>
        <w:ind w:left="1545" w:hanging="360"/>
      </w:pPr>
      <w:rPr>
        <w:rFonts w:hint="default"/>
        <w:b w:val="0"/>
      </w:rPr>
    </w:lvl>
    <w:lvl w:ilvl="1" w:tplc="10090019">
      <w:start w:val="1"/>
      <w:numFmt w:val="lowerLetter"/>
      <w:lvlText w:val="%2."/>
      <w:lvlJc w:val="left"/>
      <w:pPr>
        <w:ind w:left="2265" w:hanging="360"/>
      </w:pPr>
    </w:lvl>
    <w:lvl w:ilvl="2" w:tplc="1009001B" w:tentative="1">
      <w:start w:val="1"/>
      <w:numFmt w:val="lowerRoman"/>
      <w:lvlText w:val="%3."/>
      <w:lvlJc w:val="right"/>
      <w:pPr>
        <w:ind w:left="2985" w:hanging="180"/>
      </w:pPr>
    </w:lvl>
    <w:lvl w:ilvl="3" w:tplc="1009000F" w:tentative="1">
      <w:start w:val="1"/>
      <w:numFmt w:val="decimal"/>
      <w:lvlText w:val="%4."/>
      <w:lvlJc w:val="left"/>
      <w:pPr>
        <w:ind w:left="3705" w:hanging="360"/>
      </w:pPr>
    </w:lvl>
    <w:lvl w:ilvl="4" w:tplc="10090019" w:tentative="1">
      <w:start w:val="1"/>
      <w:numFmt w:val="lowerLetter"/>
      <w:lvlText w:val="%5."/>
      <w:lvlJc w:val="left"/>
      <w:pPr>
        <w:ind w:left="4425" w:hanging="360"/>
      </w:pPr>
    </w:lvl>
    <w:lvl w:ilvl="5" w:tplc="1009001B" w:tentative="1">
      <w:start w:val="1"/>
      <w:numFmt w:val="lowerRoman"/>
      <w:lvlText w:val="%6."/>
      <w:lvlJc w:val="right"/>
      <w:pPr>
        <w:ind w:left="5145" w:hanging="180"/>
      </w:pPr>
    </w:lvl>
    <w:lvl w:ilvl="6" w:tplc="1009000F" w:tentative="1">
      <w:start w:val="1"/>
      <w:numFmt w:val="decimal"/>
      <w:lvlText w:val="%7."/>
      <w:lvlJc w:val="left"/>
      <w:pPr>
        <w:ind w:left="5865" w:hanging="360"/>
      </w:pPr>
    </w:lvl>
    <w:lvl w:ilvl="7" w:tplc="10090019" w:tentative="1">
      <w:start w:val="1"/>
      <w:numFmt w:val="lowerLetter"/>
      <w:lvlText w:val="%8."/>
      <w:lvlJc w:val="left"/>
      <w:pPr>
        <w:ind w:left="6585" w:hanging="360"/>
      </w:pPr>
    </w:lvl>
    <w:lvl w:ilvl="8" w:tplc="1009001B" w:tentative="1">
      <w:start w:val="1"/>
      <w:numFmt w:val="lowerRoman"/>
      <w:lvlText w:val="%9."/>
      <w:lvlJc w:val="right"/>
      <w:pPr>
        <w:ind w:left="7305" w:hanging="180"/>
      </w:pPr>
    </w:lvl>
  </w:abstractNum>
  <w:abstractNum w:abstractNumId="64" w15:restartNumberingAfterBreak="0">
    <w:nsid w:val="4FEE1E3A"/>
    <w:multiLevelType w:val="hybridMultilevel"/>
    <w:tmpl w:val="CB868248"/>
    <w:lvl w:ilvl="0" w:tplc="D94601E4">
      <w:start w:val="1"/>
      <w:numFmt w:val="lowerLetter"/>
      <w:lvlText w:val="(%1)"/>
      <w:lvlJc w:val="left"/>
      <w:pPr>
        <w:ind w:left="990" w:hanging="360"/>
      </w:pPr>
      <w:rPr>
        <w:rFonts w:hint="default"/>
        <w:i w:val="0"/>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5" w15:restartNumberingAfterBreak="0">
    <w:nsid w:val="516250B4"/>
    <w:multiLevelType w:val="hybridMultilevel"/>
    <w:tmpl w:val="2FA41C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6" w15:restartNumberingAfterBreak="0">
    <w:nsid w:val="550E3625"/>
    <w:multiLevelType w:val="hybridMultilevel"/>
    <w:tmpl w:val="F126C4CC"/>
    <w:lvl w:ilvl="0" w:tplc="D17C0CAE">
      <w:start w:val="1"/>
      <w:numFmt w:val="lowerLetter"/>
      <w:lvlText w:val="(%1)"/>
      <w:lvlJc w:val="right"/>
      <w:pPr>
        <w:ind w:left="1440" w:hanging="360"/>
      </w:pPr>
      <w:rPr>
        <w:rFonts w:hint="default"/>
      </w:rPr>
    </w:lvl>
    <w:lvl w:ilvl="1" w:tplc="89B464BC">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75E0C87"/>
    <w:multiLevelType w:val="hybridMultilevel"/>
    <w:tmpl w:val="ED6E53AE"/>
    <w:lvl w:ilvl="0" w:tplc="8CCAA39E">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9" w15:restartNumberingAfterBreak="0">
    <w:nsid w:val="5FCA1B57"/>
    <w:multiLevelType w:val="hybridMultilevel"/>
    <w:tmpl w:val="161EDA5E"/>
    <w:lvl w:ilvl="0" w:tplc="C1CE791C">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600264FB"/>
    <w:multiLevelType w:val="hybridMultilevel"/>
    <w:tmpl w:val="9DAEA40C"/>
    <w:lvl w:ilvl="0" w:tplc="D1820B62">
      <w:start w:val="1"/>
      <w:numFmt w:val="lowerLetter"/>
      <w:lvlText w:val="%1)"/>
      <w:lvlJc w:val="left"/>
      <w:pPr>
        <w:ind w:left="720" w:hanging="360"/>
      </w:pPr>
      <w:rPr>
        <w:rFonts w:ascii="Times New Roman" w:eastAsia="Times New Roman" w:hAnsi="Times New Roman" w:cs="Times New Roman"/>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6040310B"/>
    <w:multiLevelType w:val="hybridMultilevel"/>
    <w:tmpl w:val="3A34612A"/>
    <w:lvl w:ilvl="0" w:tplc="BEAEAFE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5D44361"/>
    <w:multiLevelType w:val="hybridMultilevel"/>
    <w:tmpl w:val="25CEB4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67736667"/>
    <w:multiLevelType w:val="hybridMultilevel"/>
    <w:tmpl w:val="CF8CDFF6"/>
    <w:lvl w:ilvl="0" w:tplc="66728D0E">
      <w:start w:val="1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4" w15:restartNumberingAfterBreak="0">
    <w:nsid w:val="67C778D1"/>
    <w:multiLevelType w:val="hybridMultilevel"/>
    <w:tmpl w:val="F724A9F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69070B0C"/>
    <w:multiLevelType w:val="hybridMultilevel"/>
    <w:tmpl w:val="8FBA5918"/>
    <w:lvl w:ilvl="0" w:tplc="541C4304">
      <w:start w:val="1"/>
      <w:numFmt w:val="lowerLetter"/>
      <w:lvlText w:val="%1)"/>
      <w:lvlJc w:val="left"/>
      <w:pPr>
        <w:ind w:left="1545" w:hanging="360"/>
      </w:pPr>
      <w:rPr>
        <w:rFonts w:ascii="Times New Roman" w:eastAsia="MS Mincho" w:hAnsi="Times New Roman" w:cs="Times New Roman"/>
        <w:b w:val="0"/>
      </w:rPr>
    </w:lvl>
    <w:lvl w:ilvl="1" w:tplc="10090019">
      <w:start w:val="1"/>
      <w:numFmt w:val="lowerLetter"/>
      <w:lvlText w:val="%2."/>
      <w:lvlJc w:val="left"/>
      <w:pPr>
        <w:ind w:left="2265" w:hanging="360"/>
      </w:pPr>
    </w:lvl>
    <w:lvl w:ilvl="2" w:tplc="1009001B" w:tentative="1">
      <w:start w:val="1"/>
      <w:numFmt w:val="lowerRoman"/>
      <w:lvlText w:val="%3."/>
      <w:lvlJc w:val="right"/>
      <w:pPr>
        <w:ind w:left="2985" w:hanging="180"/>
      </w:pPr>
    </w:lvl>
    <w:lvl w:ilvl="3" w:tplc="1009000F" w:tentative="1">
      <w:start w:val="1"/>
      <w:numFmt w:val="decimal"/>
      <w:lvlText w:val="%4."/>
      <w:lvlJc w:val="left"/>
      <w:pPr>
        <w:ind w:left="3705" w:hanging="360"/>
      </w:pPr>
    </w:lvl>
    <w:lvl w:ilvl="4" w:tplc="10090019" w:tentative="1">
      <w:start w:val="1"/>
      <w:numFmt w:val="lowerLetter"/>
      <w:lvlText w:val="%5."/>
      <w:lvlJc w:val="left"/>
      <w:pPr>
        <w:ind w:left="4425" w:hanging="360"/>
      </w:pPr>
    </w:lvl>
    <w:lvl w:ilvl="5" w:tplc="1009001B" w:tentative="1">
      <w:start w:val="1"/>
      <w:numFmt w:val="lowerRoman"/>
      <w:lvlText w:val="%6."/>
      <w:lvlJc w:val="right"/>
      <w:pPr>
        <w:ind w:left="5145" w:hanging="180"/>
      </w:pPr>
    </w:lvl>
    <w:lvl w:ilvl="6" w:tplc="1009000F" w:tentative="1">
      <w:start w:val="1"/>
      <w:numFmt w:val="decimal"/>
      <w:lvlText w:val="%7."/>
      <w:lvlJc w:val="left"/>
      <w:pPr>
        <w:ind w:left="5865" w:hanging="360"/>
      </w:pPr>
    </w:lvl>
    <w:lvl w:ilvl="7" w:tplc="10090019" w:tentative="1">
      <w:start w:val="1"/>
      <w:numFmt w:val="lowerLetter"/>
      <w:lvlText w:val="%8."/>
      <w:lvlJc w:val="left"/>
      <w:pPr>
        <w:ind w:left="6585" w:hanging="360"/>
      </w:pPr>
    </w:lvl>
    <w:lvl w:ilvl="8" w:tplc="1009001B" w:tentative="1">
      <w:start w:val="1"/>
      <w:numFmt w:val="lowerRoman"/>
      <w:lvlText w:val="%9."/>
      <w:lvlJc w:val="right"/>
      <w:pPr>
        <w:ind w:left="7305" w:hanging="180"/>
      </w:pPr>
    </w:lvl>
  </w:abstractNum>
  <w:abstractNum w:abstractNumId="76" w15:restartNumberingAfterBreak="0">
    <w:nsid w:val="6A342DCE"/>
    <w:multiLevelType w:val="hybridMultilevel"/>
    <w:tmpl w:val="213E9212"/>
    <w:lvl w:ilvl="0" w:tplc="30CA0A4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7" w15:restartNumberingAfterBreak="0">
    <w:nsid w:val="6C6525F2"/>
    <w:multiLevelType w:val="hybridMultilevel"/>
    <w:tmpl w:val="1B4A5222"/>
    <w:lvl w:ilvl="0" w:tplc="8000263C">
      <w:start w:val="1"/>
      <w:numFmt w:val="lowerRoman"/>
      <w:lvlText w:val="(%1)"/>
      <w:lvlJc w:val="left"/>
      <w:pPr>
        <w:ind w:left="1170" w:hanging="360"/>
      </w:pPr>
      <w:rPr>
        <w:rFonts w:hint="default"/>
        <w:b w:val="0"/>
      </w:rPr>
    </w:lvl>
    <w:lvl w:ilvl="1" w:tplc="10090019">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78" w15:restartNumberingAfterBreak="0">
    <w:nsid w:val="6D215EF6"/>
    <w:multiLevelType w:val="hybridMultilevel"/>
    <w:tmpl w:val="C700BDB8"/>
    <w:lvl w:ilvl="0" w:tplc="DE0C3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DC01C0"/>
    <w:multiLevelType w:val="hybridMultilevel"/>
    <w:tmpl w:val="ECB0DD3E"/>
    <w:lvl w:ilvl="0" w:tplc="44DCF986">
      <w:start w:val="1"/>
      <w:numFmt w:val="lowerLetter"/>
      <w:lvlText w:val="%1)"/>
      <w:lvlJc w:val="left"/>
      <w:pPr>
        <w:ind w:left="1080" w:hanging="360"/>
      </w:pPr>
      <w:rPr>
        <w:rFonts w:ascii="Times New Roman" w:eastAsia="MS Mincho" w:hAnsi="Times New Roman" w:cs="Times New Roman"/>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0" w15:restartNumberingAfterBreak="0">
    <w:nsid w:val="75D36253"/>
    <w:multiLevelType w:val="hybridMultilevel"/>
    <w:tmpl w:val="86D077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6DA69C2"/>
    <w:multiLevelType w:val="hybridMultilevel"/>
    <w:tmpl w:val="C3842E6E"/>
    <w:lvl w:ilvl="0" w:tplc="04090019">
      <w:start w:val="1"/>
      <w:numFmt w:val="lowerLetter"/>
      <w:lvlText w:val="%1."/>
      <w:lvlJc w:val="left"/>
      <w:pPr>
        <w:ind w:left="720" w:hanging="360"/>
      </w:pPr>
    </w:lvl>
    <w:lvl w:ilvl="1" w:tplc="87A06C6E">
      <w:start w:val="1"/>
      <w:numFmt w:val="lowerRoman"/>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7BB104F"/>
    <w:multiLevelType w:val="hybridMultilevel"/>
    <w:tmpl w:val="B56A28DC"/>
    <w:lvl w:ilvl="0" w:tplc="1009000D">
      <w:start w:val="1"/>
      <w:numFmt w:val="bullet"/>
      <w:lvlText w:val=""/>
      <w:lvlJc w:val="left"/>
      <w:pPr>
        <w:ind w:left="1545" w:hanging="360"/>
      </w:pPr>
      <w:rPr>
        <w:rFonts w:ascii="Wingdings" w:hAnsi="Wingdings" w:hint="default"/>
      </w:rPr>
    </w:lvl>
    <w:lvl w:ilvl="1" w:tplc="10090019">
      <w:start w:val="1"/>
      <w:numFmt w:val="lowerLetter"/>
      <w:lvlText w:val="%2."/>
      <w:lvlJc w:val="left"/>
      <w:pPr>
        <w:ind w:left="2265" w:hanging="360"/>
      </w:pPr>
    </w:lvl>
    <w:lvl w:ilvl="2" w:tplc="1009001B" w:tentative="1">
      <w:start w:val="1"/>
      <w:numFmt w:val="lowerRoman"/>
      <w:lvlText w:val="%3."/>
      <w:lvlJc w:val="right"/>
      <w:pPr>
        <w:ind w:left="2985" w:hanging="180"/>
      </w:pPr>
    </w:lvl>
    <w:lvl w:ilvl="3" w:tplc="1009000F" w:tentative="1">
      <w:start w:val="1"/>
      <w:numFmt w:val="decimal"/>
      <w:lvlText w:val="%4."/>
      <w:lvlJc w:val="left"/>
      <w:pPr>
        <w:ind w:left="3705" w:hanging="360"/>
      </w:pPr>
    </w:lvl>
    <w:lvl w:ilvl="4" w:tplc="10090019" w:tentative="1">
      <w:start w:val="1"/>
      <w:numFmt w:val="lowerLetter"/>
      <w:lvlText w:val="%5."/>
      <w:lvlJc w:val="left"/>
      <w:pPr>
        <w:ind w:left="4425" w:hanging="360"/>
      </w:pPr>
    </w:lvl>
    <w:lvl w:ilvl="5" w:tplc="1009001B" w:tentative="1">
      <w:start w:val="1"/>
      <w:numFmt w:val="lowerRoman"/>
      <w:lvlText w:val="%6."/>
      <w:lvlJc w:val="right"/>
      <w:pPr>
        <w:ind w:left="5145" w:hanging="180"/>
      </w:pPr>
    </w:lvl>
    <w:lvl w:ilvl="6" w:tplc="1009000F" w:tentative="1">
      <w:start w:val="1"/>
      <w:numFmt w:val="decimal"/>
      <w:lvlText w:val="%7."/>
      <w:lvlJc w:val="left"/>
      <w:pPr>
        <w:ind w:left="5865" w:hanging="360"/>
      </w:pPr>
    </w:lvl>
    <w:lvl w:ilvl="7" w:tplc="10090019" w:tentative="1">
      <w:start w:val="1"/>
      <w:numFmt w:val="lowerLetter"/>
      <w:lvlText w:val="%8."/>
      <w:lvlJc w:val="left"/>
      <w:pPr>
        <w:ind w:left="6585" w:hanging="360"/>
      </w:pPr>
    </w:lvl>
    <w:lvl w:ilvl="8" w:tplc="1009001B" w:tentative="1">
      <w:start w:val="1"/>
      <w:numFmt w:val="lowerRoman"/>
      <w:lvlText w:val="%9."/>
      <w:lvlJc w:val="right"/>
      <w:pPr>
        <w:ind w:left="7305" w:hanging="180"/>
      </w:pPr>
    </w:lvl>
  </w:abstractNum>
  <w:abstractNum w:abstractNumId="83" w15:restartNumberingAfterBreak="0">
    <w:nsid w:val="78261C38"/>
    <w:multiLevelType w:val="hybridMultilevel"/>
    <w:tmpl w:val="81BEC4E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792A1F75"/>
    <w:multiLevelType w:val="hybridMultilevel"/>
    <w:tmpl w:val="2B04C79E"/>
    <w:lvl w:ilvl="0" w:tplc="04090019">
      <w:start w:val="1"/>
      <w:numFmt w:val="lowerLetter"/>
      <w:lvlText w:val="%1."/>
      <w:lvlJc w:val="left"/>
      <w:pPr>
        <w:ind w:left="1301" w:hanging="360"/>
      </w:p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85" w15:restartNumberingAfterBreak="0">
    <w:nsid w:val="79550E9D"/>
    <w:multiLevelType w:val="hybridMultilevel"/>
    <w:tmpl w:val="2FCAA2EC"/>
    <w:lvl w:ilvl="0" w:tplc="E6CE07A6">
      <w:start w:val="1"/>
      <w:numFmt w:val="lowerLetter"/>
      <w:lvlText w:val="%1)"/>
      <w:lvlJc w:val="left"/>
      <w:pPr>
        <w:ind w:left="1545" w:hanging="360"/>
      </w:pPr>
      <w:rPr>
        <w:rFonts w:ascii="Times New Roman" w:eastAsia="MS Mincho" w:hAnsi="Times New Roman" w:cs="Times New Roman"/>
        <w:b w:val="0"/>
      </w:rPr>
    </w:lvl>
    <w:lvl w:ilvl="1" w:tplc="10090019">
      <w:start w:val="1"/>
      <w:numFmt w:val="lowerLetter"/>
      <w:lvlText w:val="%2."/>
      <w:lvlJc w:val="left"/>
      <w:pPr>
        <w:ind w:left="2265" w:hanging="360"/>
      </w:pPr>
    </w:lvl>
    <w:lvl w:ilvl="2" w:tplc="1009001B" w:tentative="1">
      <w:start w:val="1"/>
      <w:numFmt w:val="lowerRoman"/>
      <w:lvlText w:val="%3."/>
      <w:lvlJc w:val="right"/>
      <w:pPr>
        <w:ind w:left="2985" w:hanging="180"/>
      </w:pPr>
    </w:lvl>
    <w:lvl w:ilvl="3" w:tplc="1009000F" w:tentative="1">
      <w:start w:val="1"/>
      <w:numFmt w:val="decimal"/>
      <w:lvlText w:val="%4."/>
      <w:lvlJc w:val="left"/>
      <w:pPr>
        <w:ind w:left="3705" w:hanging="360"/>
      </w:pPr>
    </w:lvl>
    <w:lvl w:ilvl="4" w:tplc="10090019" w:tentative="1">
      <w:start w:val="1"/>
      <w:numFmt w:val="lowerLetter"/>
      <w:lvlText w:val="%5."/>
      <w:lvlJc w:val="left"/>
      <w:pPr>
        <w:ind w:left="4425" w:hanging="360"/>
      </w:pPr>
    </w:lvl>
    <w:lvl w:ilvl="5" w:tplc="1009001B" w:tentative="1">
      <w:start w:val="1"/>
      <w:numFmt w:val="lowerRoman"/>
      <w:lvlText w:val="%6."/>
      <w:lvlJc w:val="right"/>
      <w:pPr>
        <w:ind w:left="5145" w:hanging="180"/>
      </w:pPr>
    </w:lvl>
    <w:lvl w:ilvl="6" w:tplc="1009000F" w:tentative="1">
      <w:start w:val="1"/>
      <w:numFmt w:val="decimal"/>
      <w:lvlText w:val="%7."/>
      <w:lvlJc w:val="left"/>
      <w:pPr>
        <w:ind w:left="5865" w:hanging="360"/>
      </w:pPr>
    </w:lvl>
    <w:lvl w:ilvl="7" w:tplc="10090019" w:tentative="1">
      <w:start w:val="1"/>
      <w:numFmt w:val="lowerLetter"/>
      <w:lvlText w:val="%8."/>
      <w:lvlJc w:val="left"/>
      <w:pPr>
        <w:ind w:left="6585" w:hanging="360"/>
      </w:pPr>
    </w:lvl>
    <w:lvl w:ilvl="8" w:tplc="1009001B" w:tentative="1">
      <w:start w:val="1"/>
      <w:numFmt w:val="lowerRoman"/>
      <w:lvlText w:val="%9."/>
      <w:lvlJc w:val="right"/>
      <w:pPr>
        <w:ind w:left="7305" w:hanging="180"/>
      </w:pPr>
    </w:lvl>
  </w:abstractNum>
  <w:abstractNum w:abstractNumId="86" w15:restartNumberingAfterBreak="0">
    <w:nsid w:val="7AE042AF"/>
    <w:multiLevelType w:val="hybridMultilevel"/>
    <w:tmpl w:val="2C6E0044"/>
    <w:lvl w:ilvl="0" w:tplc="AE741760">
      <w:start w:val="1"/>
      <w:numFmt w:val="lowerLetter"/>
      <w:lvlText w:val="%1)"/>
      <w:lvlJc w:val="left"/>
      <w:pPr>
        <w:ind w:left="1170" w:hanging="360"/>
      </w:pPr>
      <w:rPr>
        <w:rFonts w:ascii="Times New Roman" w:eastAsia="MS Mincho" w:hAnsi="Times New Roman" w:cs="Times New Roman"/>
        <w:b w:val="0"/>
      </w:rPr>
    </w:lvl>
    <w:lvl w:ilvl="1" w:tplc="10090019">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87" w15:restartNumberingAfterBreak="0">
    <w:nsid w:val="7B6D5A0C"/>
    <w:multiLevelType w:val="multilevel"/>
    <w:tmpl w:val="9DEABE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ascii="Times New Roman" w:eastAsia="Times New Roman" w:hAnsi="Times New Roman" w:cs="Times New Roman"/>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CA22A1D"/>
    <w:multiLevelType w:val="hybridMultilevel"/>
    <w:tmpl w:val="EEBA018C"/>
    <w:lvl w:ilvl="0" w:tplc="04090019">
      <w:start w:val="1"/>
      <w:numFmt w:val="lowerLetter"/>
      <w:lvlText w:val="%1."/>
      <w:lvlJc w:val="left"/>
      <w:pPr>
        <w:ind w:left="720" w:hanging="360"/>
      </w:pPr>
    </w:lvl>
    <w:lvl w:ilvl="1" w:tplc="A3FA2156">
      <w:start w:val="1"/>
      <w:numFmt w:val="lowerRoman"/>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DEB74EF"/>
    <w:multiLevelType w:val="hybridMultilevel"/>
    <w:tmpl w:val="97B44A9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E01B25"/>
    <w:multiLevelType w:val="hybridMultilevel"/>
    <w:tmpl w:val="745C5DD6"/>
    <w:lvl w:ilvl="0" w:tplc="6096D7C6">
      <w:start w:val="1"/>
      <w:numFmt w:val="lowerLetter"/>
      <w:lvlText w:val="%1)"/>
      <w:lvlJc w:val="left"/>
      <w:pPr>
        <w:ind w:left="1545" w:hanging="360"/>
      </w:pPr>
      <w:rPr>
        <w:rFonts w:hint="default"/>
      </w:rPr>
    </w:lvl>
    <w:lvl w:ilvl="1" w:tplc="10090019">
      <w:start w:val="1"/>
      <w:numFmt w:val="lowerLetter"/>
      <w:lvlText w:val="%2."/>
      <w:lvlJc w:val="left"/>
      <w:pPr>
        <w:ind w:left="2265" w:hanging="360"/>
      </w:pPr>
    </w:lvl>
    <w:lvl w:ilvl="2" w:tplc="1009001B" w:tentative="1">
      <w:start w:val="1"/>
      <w:numFmt w:val="lowerRoman"/>
      <w:lvlText w:val="%3."/>
      <w:lvlJc w:val="right"/>
      <w:pPr>
        <w:ind w:left="2985" w:hanging="180"/>
      </w:pPr>
    </w:lvl>
    <w:lvl w:ilvl="3" w:tplc="1009000F" w:tentative="1">
      <w:start w:val="1"/>
      <w:numFmt w:val="decimal"/>
      <w:lvlText w:val="%4."/>
      <w:lvlJc w:val="left"/>
      <w:pPr>
        <w:ind w:left="3705" w:hanging="360"/>
      </w:pPr>
    </w:lvl>
    <w:lvl w:ilvl="4" w:tplc="10090019" w:tentative="1">
      <w:start w:val="1"/>
      <w:numFmt w:val="lowerLetter"/>
      <w:lvlText w:val="%5."/>
      <w:lvlJc w:val="left"/>
      <w:pPr>
        <w:ind w:left="4425" w:hanging="360"/>
      </w:pPr>
    </w:lvl>
    <w:lvl w:ilvl="5" w:tplc="1009001B" w:tentative="1">
      <w:start w:val="1"/>
      <w:numFmt w:val="lowerRoman"/>
      <w:lvlText w:val="%6."/>
      <w:lvlJc w:val="right"/>
      <w:pPr>
        <w:ind w:left="5145" w:hanging="180"/>
      </w:pPr>
    </w:lvl>
    <w:lvl w:ilvl="6" w:tplc="1009000F" w:tentative="1">
      <w:start w:val="1"/>
      <w:numFmt w:val="decimal"/>
      <w:lvlText w:val="%7."/>
      <w:lvlJc w:val="left"/>
      <w:pPr>
        <w:ind w:left="5865" w:hanging="360"/>
      </w:pPr>
    </w:lvl>
    <w:lvl w:ilvl="7" w:tplc="10090019" w:tentative="1">
      <w:start w:val="1"/>
      <w:numFmt w:val="lowerLetter"/>
      <w:lvlText w:val="%8."/>
      <w:lvlJc w:val="left"/>
      <w:pPr>
        <w:ind w:left="6585" w:hanging="360"/>
      </w:pPr>
    </w:lvl>
    <w:lvl w:ilvl="8" w:tplc="1009001B" w:tentative="1">
      <w:start w:val="1"/>
      <w:numFmt w:val="lowerRoman"/>
      <w:lvlText w:val="%9."/>
      <w:lvlJc w:val="right"/>
      <w:pPr>
        <w:ind w:left="7305" w:hanging="180"/>
      </w:pPr>
    </w:lvl>
  </w:abstractNum>
  <w:num w:numId="1">
    <w:abstractNumId w:val="38"/>
  </w:num>
  <w:num w:numId="2">
    <w:abstractNumId w:val="61"/>
  </w:num>
  <w:num w:numId="3">
    <w:abstractNumId w:val="53"/>
  </w:num>
  <w:num w:numId="4">
    <w:abstractNumId w:val="56"/>
  </w:num>
  <w:num w:numId="5">
    <w:abstractNumId w:val="14"/>
  </w:num>
  <w:num w:numId="6">
    <w:abstractNumId w:val="22"/>
  </w:num>
  <w:num w:numId="7">
    <w:abstractNumId w:val="24"/>
  </w:num>
  <w:num w:numId="8">
    <w:abstractNumId w:val="68"/>
  </w:num>
  <w:num w:numId="9">
    <w:abstractNumId w:val="57"/>
  </w:num>
  <w:num w:numId="10">
    <w:abstractNumId w:val="65"/>
  </w:num>
  <w:num w:numId="11">
    <w:abstractNumId w:val="46"/>
  </w:num>
  <w:num w:numId="12">
    <w:abstractNumId w:val="4"/>
  </w:num>
  <w:num w:numId="13">
    <w:abstractNumId w:val="30"/>
  </w:num>
  <w:num w:numId="14">
    <w:abstractNumId w:val="69"/>
  </w:num>
  <w:num w:numId="15">
    <w:abstractNumId w:val="70"/>
  </w:num>
  <w:num w:numId="16">
    <w:abstractNumId w:val="27"/>
  </w:num>
  <w:num w:numId="17">
    <w:abstractNumId w:val="13"/>
  </w:num>
  <w:num w:numId="18">
    <w:abstractNumId w:val="74"/>
  </w:num>
  <w:num w:numId="19">
    <w:abstractNumId w:val="18"/>
  </w:num>
  <w:num w:numId="20">
    <w:abstractNumId w:val="90"/>
  </w:num>
  <w:num w:numId="21">
    <w:abstractNumId w:val="21"/>
  </w:num>
  <w:num w:numId="22">
    <w:abstractNumId w:val="35"/>
  </w:num>
  <w:num w:numId="23">
    <w:abstractNumId w:val="1"/>
  </w:num>
  <w:num w:numId="24">
    <w:abstractNumId w:val="8"/>
  </w:num>
  <w:num w:numId="25">
    <w:abstractNumId w:val="5"/>
  </w:num>
  <w:num w:numId="26">
    <w:abstractNumId w:val="0"/>
  </w:num>
  <w:num w:numId="27">
    <w:abstractNumId w:val="59"/>
  </w:num>
  <w:num w:numId="28">
    <w:abstractNumId w:val="87"/>
  </w:num>
  <w:num w:numId="29">
    <w:abstractNumId w:val="76"/>
  </w:num>
  <w:num w:numId="30">
    <w:abstractNumId w:val="61"/>
    <w:lvlOverride w:ilvl="0">
      <w:startOverride w:val="5"/>
    </w:lvlOverride>
  </w:num>
  <w:num w:numId="31">
    <w:abstractNumId w:val="61"/>
    <w:lvlOverride w:ilvl="0">
      <w:startOverride w:val="2"/>
    </w:lvlOverride>
  </w:num>
  <w:num w:numId="32">
    <w:abstractNumId w:val="61"/>
    <w:lvlOverride w:ilvl="0">
      <w:startOverride w:val="2"/>
    </w:lvlOverride>
  </w:num>
  <w:num w:numId="33">
    <w:abstractNumId w:val="66"/>
  </w:num>
  <w:num w:numId="34">
    <w:abstractNumId w:val="77"/>
  </w:num>
  <w:num w:numId="35">
    <w:abstractNumId w:val="82"/>
  </w:num>
  <w:num w:numId="36">
    <w:abstractNumId w:val="10"/>
  </w:num>
  <w:num w:numId="37">
    <w:abstractNumId w:val="6"/>
  </w:num>
  <w:num w:numId="38">
    <w:abstractNumId w:val="2"/>
  </w:num>
  <w:num w:numId="39">
    <w:abstractNumId w:val="39"/>
  </w:num>
  <w:num w:numId="40">
    <w:abstractNumId w:val="42"/>
  </w:num>
  <w:num w:numId="41">
    <w:abstractNumId w:val="34"/>
  </w:num>
  <w:num w:numId="42">
    <w:abstractNumId w:val="73"/>
  </w:num>
  <w:num w:numId="43">
    <w:abstractNumId w:val="31"/>
  </w:num>
  <w:num w:numId="44">
    <w:abstractNumId w:val="44"/>
  </w:num>
  <w:num w:numId="45">
    <w:abstractNumId w:val="72"/>
  </w:num>
  <w:num w:numId="46">
    <w:abstractNumId w:val="15"/>
  </w:num>
  <w:num w:numId="47">
    <w:abstractNumId w:val="80"/>
  </w:num>
  <w:num w:numId="48">
    <w:abstractNumId w:val="36"/>
  </w:num>
  <w:num w:numId="49">
    <w:abstractNumId w:val="71"/>
  </w:num>
  <w:num w:numId="50">
    <w:abstractNumId w:val="33"/>
  </w:num>
  <w:num w:numId="51">
    <w:abstractNumId w:val="64"/>
  </w:num>
  <w:num w:numId="52">
    <w:abstractNumId w:val="26"/>
  </w:num>
  <w:num w:numId="53">
    <w:abstractNumId w:val="28"/>
  </w:num>
  <w:num w:numId="54">
    <w:abstractNumId w:val="60"/>
  </w:num>
  <w:num w:numId="55">
    <w:abstractNumId w:val="83"/>
  </w:num>
  <w:num w:numId="56">
    <w:abstractNumId w:val="25"/>
  </w:num>
  <w:num w:numId="57">
    <w:abstractNumId w:val="61"/>
  </w:num>
  <w:num w:numId="58">
    <w:abstractNumId w:val="61"/>
  </w:num>
  <w:num w:numId="59">
    <w:abstractNumId w:val="61"/>
  </w:num>
  <w:num w:numId="60">
    <w:abstractNumId w:val="61"/>
  </w:num>
  <w:num w:numId="61">
    <w:abstractNumId w:val="61"/>
  </w:num>
  <w:num w:numId="62">
    <w:abstractNumId w:val="61"/>
  </w:num>
  <w:num w:numId="63">
    <w:abstractNumId w:val="61"/>
  </w:num>
  <w:num w:numId="64">
    <w:abstractNumId w:val="61"/>
  </w:num>
  <w:num w:numId="65">
    <w:abstractNumId w:val="61"/>
  </w:num>
  <w:num w:numId="66">
    <w:abstractNumId w:val="61"/>
  </w:num>
  <w:num w:numId="67">
    <w:abstractNumId w:val="61"/>
  </w:num>
  <w:num w:numId="68">
    <w:abstractNumId w:val="78"/>
  </w:num>
  <w:num w:numId="69">
    <w:abstractNumId w:val="79"/>
  </w:num>
  <w:num w:numId="70">
    <w:abstractNumId w:val="63"/>
  </w:num>
  <w:num w:numId="71">
    <w:abstractNumId w:val="48"/>
  </w:num>
  <w:num w:numId="72">
    <w:abstractNumId w:val="54"/>
  </w:num>
  <w:num w:numId="73">
    <w:abstractNumId w:val="52"/>
  </w:num>
  <w:num w:numId="74">
    <w:abstractNumId w:val="29"/>
  </w:num>
  <w:num w:numId="75">
    <w:abstractNumId w:val="49"/>
  </w:num>
  <w:num w:numId="76">
    <w:abstractNumId w:val="17"/>
  </w:num>
  <w:num w:numId="77">
    <w:abstractNumId w:val="55"/>
  </w:num>
  <w:num w:numId="78">
    <w:abstractNumId w:val="84"/>
  </w:num>
  <w:num w:numId="79">
    <w:abstractNumId w:val="23"/>
  </w:num>
  <w:num w:numId="80">
    <w:abstractNumId w:val="47"/>
  </w:num>
  <w:num w:numId="81">
    <w:abstractNumId w:val="11"/>
  </w:num>
  <w:num w:numId="82">
    <w:abstractNumId w:val="9"/>
  </w:num>
  <w:num w:numId="83">
    <w:abstractNumId w:val="89"/>
  </w:num>
  <w:num w:numId="84">
    <w:abstractNumId w:val="16"/>
  </w:num>
  <w:num w:numId="85">
    <w:abstractNumId w:val="50"/>
  </w:num>
  <w:num w:numId="86">
    <w:abstractNumId w:val="61"/>
  </w:num>
  <w:num w:numId="87">
    <w:abstractNumId w:val="20"/>
  </w:num>
  <w:num w:numId="88">
    <w:abstractNumId w:val="58"/>
  </w:num>
  <w:num w:numId="89">
    <w:abstractNumId w:val="32"/>
  </w:num>
  <w:num w:numId="90">
    <w:abstractNumId w:val="45"/>
  </w:num>
  <w:num w:numId="91">
    <w:abstractNumId w:val="62"/>
  </w:num>
  <w:num w:numId="92">
    <w:abstractNumId w:val="7"/>
  </w:num>
  <w:num w:numId="93">
    <w:abstractNumId w:val="51"/>
  </w:num>
  <w:num w:numId="94">
    <w:abstractNumId w:val="37"/>
  </w:num>
  <w:num w:numId="95">
    <w:abstractNumId w:val="67"/>
  </w:num>
  <w:num w:numId="96">
    <w:abstractNumId w:val="41"/>
  </w:num>
  <w:num w:numId="97">
    <w:abstractNumId w:val="40"/>
  </w:num>
  <w:num w:numId="98">
    <w:abstractNumId w:val="19"/>
  </w:num>
  <w:num w:numId="99">
    <w:abstractNumId w:val="43"/>
  </w:num>
  <w:num w:numId="100">
    <w:abstractNumId w:val="12"/>
  </w:num>
  <w:num w:numId="101">
    <w:abstractNumId w:val="81"/>
  </w:num>
  <w:num w:numId="102">
    <w:abstractNumId w:val="88"/>
  </w:num>
  <w:num w:numId="103">
    <w:abstractNumId w:val="3"/>
  </w:num>
  <w:num w:numId="104">
    <w:abstractNumId w:val="61"/>
  </w:num>
  <w:num w:numId="105">
    <w:abstractNumId w:val="61"/>
  </w:num>
  <w:num w:numId="106">
    <w:abstractNumId w:val="86"/>
  </w:num>
  <w:num w:numId="107">
    <w:abstractNumId w:val="61"/>
  </w:num>
  <w:num w:numId="108">
    <w:abstractNumId w:val="61"/>
  </w:num>
  <w:num w:numId="109">
    <w:abstractNumId w:val="75"/>
  </w:num>
  <w:num w:numId="110">
    <w:abstractNumId w:val="8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4977"/>
    <w:rsid w:val="0000605C"/>
    <w:rsid w:val="000063C7"/>
    <w:rsid w:val="00010159"/>
    <w:rsid w:val="00011554"/>
    <w:rsid w:val="000117F6"/>
    <w:rsid w:val="0001271D"/>
    <w:rsid w:val="000172E3"/>
    <w:rsid w:val="00017416"/>
    <w:rsid w:val="000219AC"/>
    <w:rsid w:val="00021A77"/>
    <w:rsid w:val="000249B0"/>
    <w:rsid w:val="00031D24"/>
    <w:rsid w:val="00037873"/>
    <w:rsid w:val="0004123F"/>
    <w:rsid w:val="00045F1C"/>
    <w:rsid w:val="00050114"/>
    <w:rsid w:val="00052343"/>
    <w:rsid w:val="00053B93"/>
    <w:rsid w:val="00054381"/>
    <w:rsid w:val="00054BC7"/>
    <w:rsid w:val="0005630D"/>
    <w:rsid w:val="00060ACF"/>
    <w:rsid w:val="0006310A"/>
    <w:rsid w:val="0006339A"/>
    <w:rsid w:val="00063ED6"/>
    <w:rsid w:val="00066053"/>
    <w:rsid w:val="0006670D"/>
    <w:rsid w:val="00070BD8"/>
    <w:rsid w:val="000711E1"/>
    <w:rsid w:val="00073708"/>
    <w:rsid w:val="00074DD9"/>
    <w:rsid w:val="00074FE8"/>
    <w:rsid w:val="00077746"/>
    <w:rsid w:val="00081E54"/>
    <w:rsid w:val="00081FFB"/>
    <w:rsid w:val="00082E9E"/>
    <w:rsid w:val="000839DC"/>
    <w:rsid w:val="00086EFF"/>
    <w:rsid w:val="000879CE"/>
    <w:rsid w:val="000931E5"/>
    <w:rsid w:val="000A58F4"/>
    <w:rsid w:val="000A7B86"/>
    <w:rsid w:val="000B002F"/>
    <w:rsid w:val="000B2595"/>
    <w:rsid w:val="000B48D9"/>
    <w:rsid w:val="000B648B"/>
    <w:rsid w:val="000C3D14"/>
    <w:rsid w:val="000C5201"/>
    <w:rsid w:val="000C7841"/>
    <w:rsid w:val="000D0E13"/>
    <w:rsid w:val="000D298F"/>
    <w:rsid w:val="000D2B1D"/>
    <w:rsid w:val="000E1998"/>
    <w:rsid w:val="000E42FD"/>
    <w:rsid w:val="000E637D"/>
    <w:rsid w:val="000E7E6A"/>
    <w:rsid w:val="000F14FC"/>
    <w:rsid w:val="000F27A6"/>
    <w:rsid w:val="000F63AB"/>
    <w:rsid w:val="00102F55"/>
    <w:rsid w:val="00103E8B"/>
    <w:rsid w:val="00107207"/>
    <w:rsid w:val="001074C4"/>
    <w:rsid w:val="001123DB"/>
    <w:rsid w:val="001126C6"/>
    <w:rsid w:val="001147EE"/>
    <w:rsid w:val="0011674F"/>
    <w:rsid w:val="001218B9"/>
    <w:rsid w:val="0012214B"/>
    <w:rsid w:val="0012418A"/>
    <w:rsid w:val="00125C3B"/>
    <w:rsid w:val="00126D41"/>
    <w:rsid w:val="00134F63"/>
    <w:rsid w:val="00136413"/>
    <w:rsid w:val="00136682"/>
    <w:rsid w:val="00140636"/>
    <w:rsid w:val="00144F69"/>
    <w:rsid w:val="00151FDB"/>
    <w:rsid w:val="00153684"/>
    <w:rsid w:val="00155E62"/>
    <w:rsid w:val="00161C8C"/>
    <w:rsid w:val="0016231C"/>
    <w:rsid w:val="001625BD"/>
    <w:rsid w:val="00166345"/>
    <w:rsid w:val="00166367"/>
    <w:rsid w:val="001667B8"/>
    <w:rsid w:val="00166A21"/>
    <w:rsid w:val="001725B7"/>
    <w:rsid w:val="00172727"/>
    <w:rsid w:val="00176193"/>
    <w:rsid w:val="00176E3C"/>
    <w:rsid w:val="00177AD4"/>
    <w:rsid w:val="001822D9"/>
    <w:rsid w:val="0018657E"/>
    <w:rsid w:val="00186C0E"/>
    <w:rsid w:val="00190085"/>
    <w:rsid w:val="00192E06"/>
    <w:rsid w:val="0019412B"/>
    <w:rsid w:val="00197136"/>
    <w:rsid w:val="001A0F69"/>
    <w:rsid w:val="001A5072"/>
    <w:rsid w:val="001A6F0E"/>
    <w:rsid w:val="001B170B"/>
    <w:rsid w:val="001B2354"/>
    <w:rsid w:val="001B342E"/>
    <w:rsid w:val="001B3FE9"/>
    <w:rsid w:val="001B46D5"/>
    <w:rsid w:val="001B5F53"/>
    <w:rsid w:val="001B69C8"/>
    <w:rsid w:val="001B7A26"/>
    <w:rsid w:val="001C0576"/>
    <w:rsid w:val="001C1C8F"/>
    <w:rsid w:val="001C2022"/>
    <w:rsid w:val="001C3C04"/>
    <w:rsid w:val="001C42BD"/>
    <w:rsid w:val="001C7261"/>
    <w:rsid w:val="001C7D60"/>
    <w:rsid w:val="001D6999"/>
    <w:rsid w:val="001E3D7F"/>
    <w:rsid w:val="001F3AF2"/>
    <w:rsid w:val="001F3DD5"/>
    <w:rsid w:val="001F6379"/>
    <w:rsid w:val="002017E3"/>
    <w:rsid w:val="00203D65"/>
    <w:rsid w:val="00204415"/>
    <w:rsid w:val="002063EF"/>
    <w:rsid w:val="00207037"/>
    <w:rsid w:val="00207A6E"/>
    <w:rsid w:val="002138E6"/>
    <w:rsid w:val="002168AD"/>
    <w:rsid w:val="0021693A"/>
    <w:rsid w:val="002203F9"/>
    <w:rsid w:val="00222D6D"/>
    <w:rsid w:val="00224B92"/>
    <w:rsid w:val="00234A31"/>
    <w:rsid w:val="002357E1"/>
    <w:rsid w:val="00237879"/>
    <w:rsid w:val="00242F8D"/>
    <w:rsid w:val="002438E0"/>
    <w:rsid w:val="0024633C"/>
    <w:rsid w:val="00247668"/>
    <w:rsid w:val="00250297"/>
    <w:rsid w:val="00252897"/>
    <w:rsid w:val="0025435F"/>
    <w:rsid w:val="0025698F"/>
    <w:rsid w:val="00256ABE"/>
    <w:rsid w:val="00257689"/>
    <w:rsid w:val="00257D3A"/>
    <w:rsid w:val="002603C9"/>
    <w:rsid w:val="00262428"/>
    <w:rsid w:val="0026314F"/>
    <w:rsid w:val="00263277"/>
    <w:rsid w:val="00266216"/>
    <w:rsid w:val="002713CC"/>
    <w:rsid w:val="00275324"/>
    <w:rsid w:val="0027772F"/>
    <w:rsid w:val="00277FC0"/>
    <w:rsid w:val="00283A15"/>
    <w:rsid w:val="00291A64"/>
    <w:rsid w:val="002926A5"/>
    <w:rsid w:val="00292A66"/>
    <w:rsid w:val="00295241"/>
    <w:rsid w:val="002A381F"/>
    <w:rsid w:val="002A568F"/>
    <w:rsid w:val="002A6661"/>
    <w:rsid w:val="002B0063"/>
    <w:rsid w:val="002B0942"/>
    <w:rsid w:val="002B1776"/>
    <w:rsid w:val="002B2521"/>
    <w:rsid w:val="002B35A1"/>
    <w:rsid w:val="002B3B62"/>
    <w:rsid w:val="002B49AF"/>
    <w:rsid w:val="002C1D3F"/>
    <w:rsid w:val="002C2345"/>
    <w:rsid w:val="002C2D26"/>
    <w:rsid w:val="002C3AA1"/>
    <w:rsid w:val="002C3BF7"/>
    <w:rsid w:val="002C60B4"/>
    <w:rsid w:val="002D1F71"/>
    <w:rsid w:val="002D1F96"/>
    <w:rsid w:val="002D6F03"/>
    <w:rsid w:val="002D7448"/>
    <w:rsid w:val="002E0E24"/>
    <w:rsid w:val="002E3C0B"/>
    <w:rsid w:val="002E476B"/>
    <w:rsid w:val="002E4A5E"/>
    <w:rsid w:val="002E7502"/>
    <w:rsid w:val="002F1BB8"/>
    <w:rsid w:val="002F2863"/>
    <w:rsid w:val="002F4A05"/>
    <w:rsid w:val="002F5613"/>
    <w:rsid w:val="002F571A"/>
    <w:rsid w:val="00301953"/>
    <w:rsid w:val="00302462"/>
    <w:rsid w:val="003063A1"/>
    <w:rsid w:val="00307781"/>
    <w:rsid w:val="00311093"/>
    <w:rsid w:val="003167EE"/>
    <w:rsid w:val="003210FF"/>
    <w:rsid w:val="00322142"/>
    <w:rsid w:val="00322B04"/>
    <w:rsid w:val="003242A6"/>
    <w:rsid w:val="00325DE3"/>
    <w:rsid w:val="00326960"/>
    <w:rsid w:val="00331ADF"/>
    <w:rsid w:val="00332F4E"/>
    <w:rsid w:val="00335AA4"/>
    <w:rsid w:val="00335BEF"/>
    <w:rsid w:val="00336766"/>
    <w:rsid w:val="0034156B"/>
    <w:rsid w:val="00341F51"/>
    <w:rsid w:val="0034283D"/>
    <w:rsid w:val="003432B4"/>
    <w:rsid w:val="0034338B"/>
    <w:rsid w:val="003524CE"/>
    <w:rsid w:val="00355A2C"/>
    <w:rsid w:val="0035660F"/>
    <w:rsid w:val="00356FDD"/>
    <w:rsid w:val="00364304"/>
    <w:rsid w:val="0036572C"/>
    <w:rsid w:val="00371B2D"/>
    <w:rsid w:val="00381479"/>
    <w:rsid w:val="003816F9"/>
    <w:rsid w:val="00381963"/>
    <w:rsid w:val="00386F57"/>
    <w:rsid w:val="00387CEB"/>
    <w:rsid w:val="00392241"/>
    <w:rsid w:val="0039511A"/>
    <w:rsid w:val="0039684B"/>
    <w:rsid w:val="00397CB7"/>
    <w:rsid w:val="003A27ED"/>
    <w:rsid w:val="003A3549"/>
    <w:rsid w:val="003A3D06"/>
    <w:rsid w:val="003B017B"/>
    <w:rsid w:val="003B10B9"/>
    <w:rsid w:val="003B151A"/>
    <w:rsid w:val="003B2C28"/>
    <w:rsid w:val="003B3AA6"/>
    <w:rsid w:val="003C113F"/>
    <w:rsid w:val="003C52EA"/>
    <w:rsid w:val="003C5563"/>
    <w:rsid w:val="003C60D5"/>
    <w:rsid w:val="003C6224"/>
    <w:rsid w:val="003C6610"/>
    <w:rsid w:val="003C6984"/>
    <w:rsid w:val="003C6998"/>
    <w:rsid w:val="003D352E"/>
    <w:rsid w:val="003D695A"/>
    <w:rsid w:val="003D6E29"/>
    <w:rsid w:val="003D6E78"/>
    <w:rsid w:val="003D718B"/>
    <w:rsid w:val="003E2DAE"/>
    <w:rsid w:val="003E46DC"/>
    <w:rsid w:val="003E73EE"/>
    <w:rsid w:val="003E750B"/>
    <w:rsid w:val="003F0010"/>
    <w:rsid w:val="003F1D2B"/>
    <w:rsid w:val="003F26FA"/>
    <w:rsid w:val="003F2ADF"/>
    <w:rsid w:val="003F6E44"/>
    <w:rsid w:val="00400200"/>
    <w:rsid w:val="00400A8E"/>
    <w:rsid w:val="0040104D"/>
    <w:rsid w:val="00401958"/>
    <w:rsid w:val="0040202E"/>
    <w:rsid w:val="00405216"/>
    <w:rsid w:val="00405F55"/>
    <w:rsid w:val="00406BC6"/>
    <w:rsid w:val="00407E0C"/>
    <w:rsid w:val="00411AE3"/>
    <w:rsid w:val="00411CB0"/>
    <w:rsid w:val="004141FB"/>
    <w:rsid w:val="0041693C"/>
    <w:rsid w:val="0042157A"/>
    <w:rsid w:val="004309CA"/>
    <w:rsid w:val="004317F7"/>
    <w:rsid w:val="004378B5"/>
    <w:rsid w:val="00441B2D"/>
    <w:rsid w:val="004429F8"/>
    <w:rsid w:val="00443FE3"/>
    <w:rsid w:val="0044424E"/>
    <w:rsid w:val="00444CB6"/>
    <w:rsid w:val="00451E4E"/>
    <w:rsid w:val="004605FB"/>
    <w:rsid w:val="00460B97"/>
    <w:rsid w:val="00461A5A"/>
    <w:rsid w:val="0046330D"/>
    <w:rsid w:val="00463AC3"/>
    <w:rsid w:val="004658AB"/>
    <w:rsid w:val="00471711"/>
    <w:rsid w:val="00471E77"/>
    <w:rsid w:val="00471E9E"/>
    <w:rsid w:val="00473134"/>
    <w:rsid w:val="00475590"/>
    <w:rsid w:val="00477039"/>
    <w:rsid w:val="00481374"/>
    <w:rsid w:val="00481B51"/>
    <w:rsid w:val="00487969"/>
    <w:rsid w:val="00491333"/>
    <w:rsid w:val="0049255F"/>
    <w:rsid w:val="00494AF1"/>
    <w:rsid w:val="004A013F"/>
    <w:rsid w:val="004A1AF7"/>
    <w:rsid w:val="004A1DC4"/>
    <w:rsid w:val="004A519A"/>
    <w:rsid w:val="004B597A"/>
    <w:rsid w:val="004B5D59"/>
    <w:rsid w:val="004C0E35"/>
    <w:rsid w:val="004C4F54"/>
    <w:rsid w:val="004D0061"/>
    <w:rsid w:val="004D1419"/>
    <w:rsid w:val="004D21E1"/>
    <w:rsid w:val="004D2432"/>
    <w:rsid w:val="004D2D09"/>
    <w:rsid w:val="004D2F39"/>
    <w:rsid w:val="004D4510"/>
    <w:rsid w:val="004D4E76"/>
    <w:rsid w:val="004D526F"/>
    <w:rsid w:val="004E0F61"/>
    <w:rsid w:val="004E2199"/>
    <w:rsid w:val="004E6836"/>
    <w:rsid w:val="004F0719"/>
    <w:rsid w:val="004F38A7"/>
    <w:rsid w:val="00500322"/>
    <w:rsid w:val="00500530"/>
    <w:rsid w:val="00501D35"/>
    <w:rsid w:val="005032C9"/>
    <w:rsid w:val="00503DE0"/>
    <w:rsid w:val="00516C26"/>
    <w:rsid w:val="0052062C"/>
    <w:rsid w:val="00520967"/>
    <w:rsid w:val="005211CD"/>
    <w:rsid w:val="00522F56"/>
    <w:rsid w:val="00524053"/>
    <w:rsid w:val="005242CD"/>
    <w:rsid w:val="0052476E"/>
    <w:rsid w:val="00524C42"/>
    <w:rsid w:val="00524D01"/>
    <w:rsid w:val="00525880"/>
    <w:rsid w:val="00530542"/>
    <w:rsid w:val="005364AB"/>
    <w:rsid w:val="005379C8"/>
    <w:rsid w:val="00537C10"/>
    <w:rsid w:val="0054235E"/>
    <w:rsid w:val="005440A6"/>
    <w:rsid w:val="00545B19"/>
    <w:rsid w:val="00547F28"/>
    <w:rsid w:val="00553E50"/>
    <w:rsid w:val="00554891"/>
    <w:rsid w:val="00556978"/>
    <w:rsid w:val="005642B5"/>
    <w:rsid w:val="00564E6F"/>
    <w:rsid w:val="00565D22"/>
    <w:rsid w:val="00576700"/>
    <w:rsid w:val="00580E49"/>
    <w:rsid w:val="00582414"/>
    <w:rsid w:val="00583118"/>
    <w:rsid w:val="00583869"/>
    <w:rsid w:val="0058440D"/>
    <w:rsid w:val="0058519E"/>
    <w:rsid w:val="00586ECF"/>
    <w:rsid w:val="005939C7"/>
    <w:rsid w:val="0059402B"/>
    <w:rsid w:val="005955D2"/>
    <w:rsid w:val="005A195F"/>
    <w:rsid w:val="005A1BA0"/>
    <w:rsid w:val="005A3AF6"/>
    <w:rsid w:val="005A4284"/>
    <w:rsid w:val="005A5428"/>
    <w:rsid w:val="005A6B0C"/>
    <w:rsid w:val="005B5E35"/>
    <w:rsid w:val="005B7640"/>
    <w:rsid w:val="005C43A3"/>
    <w:rsid w:val="005C4500"/>
    <w:rsid w:val="005D139C"/>
    <w:rsid w:val="005D2DB3"/>
    <w:rsid w:val="005D36C5"/>
    <w:rsid w:val="005D3E5C"/>
    <w:rsid w:val="005D40EF"/>
    <w:rsid w:val="005D4A91"/>
    <w:rsid w:val="005D6096"/>
    <w:rsid w:val="005D6FA0"/>
    <w:rsid w:val="005E1091"/>
    <w:rsid w:val="005E302F"/>
    <w:rsid w:val="005E33D7"/>
    <w:rsid w:val="005E4545"/>
    <w:rsid w:val="005E5277"/>
    <w:rsid w:val="005E59E5"/>
    <w:rsid w:val="005E5C42"/>
    <w:rsid w:val="005E602C"/>
    <w:rsid w:val="005F3781"/>
    <w:rsid w:val="005F498A"/>
    <w:rsid w:val="005F4C74"/>
    <w:rsid w:val="00602593"/>
    <w:rsid w:val="00603E6F"/>
    <w:rsid w:val="00604448"/>
    <w:rsid w:val="00610BEF"/>
    <w:rsid w:val="00610D1F"/>
    <w:rsid w:val="00612046"/>
    <w:rsid w:val="00615411"/>
    <w:rsid w:val="00617F1D"/>
    <w:rsid w:val="00620252"/>
    <w:rsid w:val="00620655"/>
    <w:rsid w:val="00622795"/>
    <w:rsid w:val="0062342C"/>
    <w:rsid w:val="006260D5"/>
    <w:rsid w:val="00626E45"/>
    <w:rsid w:val="0062732E"/>
    <w:rsid w:val="00630607"/>
    <w:rsid w:val="00632526"/>
    <w:rsid w:val="00633F6D"/>
    <w:rsid w:val="0063494C"/>
    <w:rsid w:val="00636BA8"/>
    <w:rsid w:val="00637360"/>
    <w:rsid w:val="006413E3"/>
    <w:rsid w:val="00641710"/>
    <w:rsid w:val="00641800"/>
    <w:rsid w:val="006448BF"/>
    <w:rsid w:val="006467CB"/>
    <w:rsid w:val="00647F31"/>
    <w:rsid w:val="006507F2"/>
    <w:rsid w:val="006563B5"/>
    <w:rsid w:val="00657C19"/>
    <w:rsid w:val="00662658"/>
    <w:rsid w:val="006658B1"/>
    <w:rsid w:val="0067362A"/>
    <w:rsid w:val="006747F0"/>
    <w:rsid w:val="00676650"/>
    <w:rsid w:val="006768E9"/>
    <w:rsid w:val="00677F7E"/>
    <w:rsid w:val="00680198"/>
    <w:rsid w:val="00680ACC"/>
    <w:rsid w:val="00690847"/>
    <w:rsid w:val="00692996"/>
    <w:rsid w:val="006935C4"/>
    <w:rsid w:val="00694217"/>
    <w:rsid w:val="006963D9"/>
    <w:rsid w:val="00697269"/>
    <w:rsid w:val="00697B41"/>
    <w:rsid w:val="006A3A10"/>
    <w:rsid w:val="006A3F97"/>
    <w:rsid w:val="006A5870"/>
    <w:rsid w:val="006A645E"/>
    <w:rsid w:val="006A64B0"/>
    <w:rsid w:val="006B074E"/>
    <w:rsid w:val="006B0873"/>
    <w:rsid w:val="006B1E00"/>
    <w:rsid w:val="006B2BD5"/>
    <w:rsid w:val="006B3D21"/>
    <w:rsid w:val="006B5F63"/>
    <w:rsid w:val="006B602A"/>
    <w:rsid w:val="006B6F0C"/>
    <w:rsid w:val="006C6BC3"/>
    <w:rsid w:val="006C6FA1"/>
    <w:rsid w:val="006D0E3D"/>
    <w:rsid w:val="006D2404"/>
    <w:rsid w:val="006D2EED"/>
    <w:rsid w:val="006E21FA"/>
    <w:rsid w:val="006E365C"/>
    <w:rsid w:val="006F0022"/>
    <w:rsid w:val="006F1F11"/>
    <w:rsid w:val="006F278C"/>
    <w:rsid w:val="006F284C"/>
    <w:rsid w:val="006F4325"/>
    <w:rsid w:val="006F4C0F"/>
    <w:rsid w:val="006F5C05"/>
    <w:rsid w:val="006F6AB8"/>
    <w:rsid w:val="006F7227"/>
    <w:rsid w:val="006F77F2"/>
    <w:rsid w:val="00702366"/>
    <w:rsid w:val="00702F58"/>
    <w:rsid w:val="00703C02"/>
    <w:rsid w:val="00704A95"/>
    <w:rsid w:val="007065F3"/>
    <w:rsid w:val="00706F94"/>
    <w:rsid w:val="007134F2"/>
    <w:rsid w:val="007136B8"/>
    <w:rsid w:val="00714C32"/>
    <w:rsid w:val="007157E9"/>
    <w:rsid w:val="007163BC"/>
    <w:rsid w:val="007170D5"/>
    <w:rsid w:val="007174BA"/>
    <w:rsid w:val="00720322"/>
    <w:rsid w:val="00720953"/>
    <w:rsid w:val="0072101D"/>
    <w:rsid w:val="00721734"/>
    <w:rsid w:val="007222A4"/>
    <w:rsid w:val="007262CD"/>
    <w:rsid w:val="007268EB"/>
    <w:rsid w:val="00730AE3"/>
    <w:rsid w:val="007311A7"/>
    <w:rsid w:val="0073257E"/>
    <w:rsid w:val="00735BD2"/>
    <w:rsid w:val="00736BC2"/>
    <w:rsid w:val="007375CB"/>
    <w:rsid w:val="0074178E"/>
    <w:rsid w:val="00742174"/>
    <w:rsid w:val="00742226"/>
    <w:rsid w:val="00744016"/>
    <w:rsid w:val="00745B86"/>
    <w:rsid w:val="00753404"/>
    <w:rsid w:val="0075369D"/>
    <w:rsid w:val="0075669F"/>
    <w:rsid w:val="00756B95"/>
    <w:rsid w:val="00757268"/>
    <w:rsid w:val="00760775"/>
    <w:rsid w:val="00780CBC"/>
    <w:rsid w:val="0078227F"/>
    <w:rsid w:val="007836CD"/>
    <w:rsid w:val="00785FCF"/>
    <w:rsid w:val="00787540"/>
    <w:rsid w:val="007875CB"/>
    <w:rsid w:val="00787CF0"/>
    <w:rsid w:val="00792458"/>
    <w:rsid w:val="00792B91"/>
    <w:rsid w:val="0079325E"/>
    <w:rsid w:val="00797389"/>
    <w:rsid w:val="007A0CF4"/>
    <w:rsid w:val="007A1FFD"/>
    <w:rsid w:val="007A2772"/>
    <w:rsid w:val="007A37CC"/>
    <w:rsid w:val="007B11DA"/>
    <w:rsid w:val="007B1587"/>
    <w:rsid w:val="007B3E88"/>
    <w:rsid w:val="007B6A6E"/>
    <w:rsid w:val="007B7E77"/>
    <w:rsid w:val="007C10EF"/>
    <w:rsid w:val="007C5285"/>
    <w:rsid w:val="007C633B"/>
    <w:rsid w:val="007D05DF"/>
    <w:rsid w:val="007D21FD"/>
    <w:rsid w:val="007D3182"/>
    <w:rsid w:val="007D6675"/>
    <w:rsid w:val="007E0F8B"/>
    <w:rsid w:val="007E1178"/>
    <w:rsid w:val="007E2AF6"/>
    <w:rsid w:val="007E31CA"/>
    <w:rsid w:val="007E373A"/>
    <w:rsid w:val="007E3A0F"/>
    <w:rsid w:val="007F4C28"/>
    <w:rsid w:val="00802C23"/>
    <w:rsid w:val="00806F6C"/>
    <w:rsid w:val="00807B0B"/>
    <w:rsid w:val="00807B1D"/>
    <w:rsid w:val="00807CF1"/>
    <w:rsid w:val="0081174F"/>
    <w:rsid w:val="0081200C"/>
    <w:rsid w:val="008130C3"/>
    <w:rsid w:val="008147BE"/>
    <w:rsid w:val="008211DF"/>
    <w:rsid w:val="008219EF"/>
    <w:rsid w:val="0082205C"/>
    <w:rsid w:val="00825524"/>
    <w:rsid w:val="00830346"/>
    <w:rsid w:val="0083083D"/>
    <w:rsid w:val="00831BF6"/>
    <w:rsid w:val="0083211E"/>
    <w:rsid w:val="008341A5"/>
    <w:rsid w:val="00834BE3"/>
    <w:rsid w:val="00840860"/>
    <w:rsid w:val="00841BF7"/>
    <w:rsid w:val="00842636"/>
    <w:rsid w:val="0084477F"/>
    <w:rsid w:val="00846C8A"/>
    <w:rsid w:val="00852057"/>
    <w:rsid w:val="008538C8"/>
    <w:rsid w:val="00853BE9"/>
    <w:rsid w:val="00855F21"/>
    <w:rsid w:val="008630B6"/>
    <w:rsid w:val="008632DF"/>
    <w:rsid w:val="00864B12"/>
    <w:rsid w:val="00870D40"/>
    <w:rsid w:val="00871157"/>
    <w:rsid w:val="00876FC0"/>
    <w:rsid w:val="00877026"/>
    <w:rsid w:val="00881475"/>
    <w:rsid w:val="00884C2F"/>
    <w:rsid w:val="00885CF1"/>
    <w:rsid w:val="0088605A"/>
    <w:rsid w:val="00891DDE"/>
    <w:rsid w:val="0089708C"/>
    <w:rsid w:val="00897C9D"/>
    <w:rsid w:val="00897FF4"/>
    <w:rsid w:val="008A0D02"/>
    <w:rsid w:val="008A0E80"/>
    <w:rsid w:val="008A12E7"/>
    <w:rsid w:val="008A486F"/>
    <w:rsid w:val="008A70DE"/>
    <w:rsid w:val="008A79CC"/>
    <w:rsid w:val="008B0C4D"/>
    <w:rsid w:val="008B196B"/>
    <w:rsid w:val="008B2DB4"/>
    <w:rsid w:val="008B348C"/>
    <w:rsid w:val="008B3D32"/>
    <w:rsid w:val="008B52D8"/>
    <w:rsid w:val="008B781E"/>
    <w:rsid w:val="008C013C"/>
    <w:rsid w:val="008C06BA"/>
    <w:rsid w:val="008C1E35"/>
    <w:rsid w:val="008C46C7"/>
    <w:rsid w:val="008C4ACB"/>
    <w:rsid w:val="008D0439"/>
    <w:rsid w:val="008D098D"/>
    <w:rsid w:val="008D183F"/>
    <w:rsid w:val="008D4AAB"/>
    <w:rsid w:val="008D5AA2"/>
    <w:rsid w:val="008D5D64"/>
    <w:rsid w:val="008D6254"/>
    <w:rsid w:val="008D7A9F"/>
    <w:rsid w:val="008E1E58"/>
    <w:rsid w:val="008E54C9"/>
    <w:rsid w:val="008E5AEA"/>
    <w:rsid w:val="008E5F84"/>
    <w:rsid w:val="008E7500"/>
    <w:rsid w:val="008F1529"/>
    <w:rsid w:val="008F15C5"/>
    <w:rsid w:val="008F3114"/>
    <w:rsid w:val="008F3BB5"/>
    <w:rsid w:val="008F5BDC"/>
    <w:rsid w:val="008F6C3B"/>
    <w:rsid w:val="00904473"/>
    <w:rsid w:val="009067F8"/>
    <w:rsid w:val="00911096"/>
    <w:rsid w:val="00913F50"/>
    <w:rsid w:val="00922584"/>
    <w:rsid w:val="00922EAD"/>
    <w:rsid w:val="00924E97"/>
    <w:rsid w:val="009256FF"/>
    <w:rsid w:val="00925C30"/>
    <w:rsid w:val="00925F08"/>
    <w:rsid w:val="0092794B"/>
    <w:rsid w:val="00931262"/>
    <w:rsid w:val="00931F71"/>
    <w:rsid w:val="00933E99"/>
    <w:rsid w:val="00934F52"/>
    <w:rsid w:val="0093559A"/>
    <w:rsid w:val="00935F1F"/>
    <w:rsid w:val="00936740"/>
    <w:rsid w:val="009402E8"/>
    <w:rsid w:val="00940332"/>
    <w:rsid w:val="00940D5F"/>
    <w:rsid w:val="009418CE"/>
    <w:rsid w:val="00943FFE"/>
    <w:rsid w:val="009449FF"/>
    <w:rsid w:val="00945669"/>
    <w:rsid w:val="00947DE8"/>
    <w:rsid w:val="009514E7"/>
    <w:rsid w:val="009526A5"/>
    <w:rsid w:val="00953856"/>
    <w:rsid w:val="009541EC"/>
    <w:rsid w:val="009543AC"/>
    <w:rsid w:val="009547DA"/>
    <w:rsid w:val="00954BDE"/>
    <w:rsid w:val="009554D5"/>
    <w:rsid w:val="009577EE"/>
    <w:rsid w:val="00962332"/>
    <w:rsid w:val="00965286"/>
    <w:rsid w:val="0096632E"/>
    <w:rsid w:val="00966FAF"/>
    <w:rsid w:val="009676B6"/>
    <w:rsid w:val="0097067A"/>
    <w:rsid w:val="00976AA3"/>
    <w:rsid w:val="009778E3"/>
    <w:rsid w:val="00981F97"/>
    <w:rsid w:val="009842E8"/>
    <w:rsid w:val="009867EB"/>
    <w:rsid w:val="00987505"/>
    <w:rsid w:val="00990645"/>
    <w:rsid w:val="00990D06"/>
    <w:rsid w:val="00995EB7"/>
    <w:rsid w:val="009A4206"/>
    <w:rsid w:val="009A659E"/>
    <w:rsid w:val="009B2005"/>
    <w:rsid w:val="009B350E"/>
    <w:rsid w:val="009B5E1D"/>
    <w:rsid w:val="009B7000"/>
    <w:rsid w:val="009B7574"/>
    <w:rsid w:val="009B7F4A"/>
    <w:rsid w:val="009C2270"/>
    <w:rsid w:val="009C317C"/>
    <w:rsid w:val="009D2F92"/>
    <w:rsid w:val="009D3B71"/>
    <w:rsid w:val="009D52F0"/>
    <w:rsid w:val="009E11B0"/>
    <w:rsid w:val="009E1A01"/>
    <w:rsid w:val="009E2B79"/>
    <w:rsid w:val="009E4AC3"/>
    <w:rsid w:val="009E4E77"/>
    <w:rsid w:val="009F074F"/>
    <w:rsid w:val="009F3015"/>
    <w:rsid w:val="009F30A6"/>
    <w:rsid w:val="009F7FA4"/>
    <w:rsid w:val="00A006AB"/>
    <w:rsid w:val="00A01A24"/>
    <w:rsid w:val="00A02391"/>
    <w:rsid w:val="00A026DA"/>
    <w:rsid w:val="00A05B65"/>
    <w:rsid w:val="00A10051"/>
    <w:rsid w:val="00A11A1F"/>
    <w:rsid w:val="00A145CD"/>
    <w:rsid w:val="00A146F4"/>
    <w:rsid w:val="00A15C45"/>
    <w:rsid w:val="00A1661E"/>
    <w:rsid w:val="00A20E7F"/>
    <w:rsid w:val="00A20F36"/>
    <w:rsid w:val="00A20FC6"/>
    <w:rsid w:val="00A211F1"/>
    <w:rsid w:val="00A2447B"/>
    <w:rsid w:val="00A25211"/>
    <w:rsid w:val="00A2592E"/>
    <w:rsid w:val="00A25D8E"/>
    <w:rsid w:val="00A30DAD"/>
    <w:rsid w:val="00A318BA"/>
    <w:rsid w:val="00A327B8"/>
    <w:rsid w:val="00A364EB"/>
    <w:rsid w:val="00A3709F"/>
    <w:rsid w:val="00A40C54"/>
    <w:rsid w:val="00A41637"/>
    <w:rsid w:val="00A41EB0"/>
    <w:rsid w:val="00A43C13"/>
    <w:rsid w:val="00A43DE9"/>
    <w:rsid w:val="00A44BFC"/>
    <w:rsid w:val="00A45426"/>
    <w:rsid w:val="00A46EF4"/>
    <w:rsid w:val="00A5618C"/>
    <w:rsid w:val="00A56EBD"/>
    <w:rsid w:val="00A571FD"/>
    <w:rsid w:val="00A577C7"/>
    <w:rsid w:val="00A65284"/>
    <w:rsid w:val="00A653F7"/>
    <w:rsid w:val="00A65623"/>
    <w:rsid w:val="00A67B7D"/>
    <w:rsid w:val="00A67E91"/>
    <w:rsid w:val="00A73650"/>
    <w:rsid w:val="00A74169"/>
    <w:rsid w:val="00A759B0"/>
    <w:rsid w:val="00A76F9B"/>
    <w:rsid w:val="00A82BB6"/>
    <w:rsid w:val="00A83139"/>
    <w:rsid w:val="00A87D49"/>
    <w:rsid w:val="00A90B75"/>
    <w:rsid w:val="00A91AF1"/>
    <w:rsid w:val="00A93109"/>
    <w:rsid w:val="00A933A8"/>
    <w:rsid w:val="00A93F93"/>
    <w:rsid w:val="00A94E5A"/>
    <w:rsid w:val="00A97040"/>
    <w:rsid w:val="00AA014E"/>
    <w:rsid w:val="00AA348D"/>
    <w:rsid w:val="00AA444A"/>
    <w:rsid w:val="00AA4CF0"/>
    <w:rsid w:val="00AA6F81"/>
    <w:rsid w:val="00AB1DAA"/>
    <w:rsid w:val="00AB3799"/>
    <w:rsid w:val="00AB4101"/>
    <w:rsid w:val="00AB5C14"/>
    <w:rsid w:val="00AB7371"/>
    <w:rsid w:val="00AB7832"/>
    <w:rsid w:val="00AC087C"/>
    <w:rsid w:val="00AC1E69"/>
    <w:rsid w:val="00AD0365"/>
    <w:rsid w:val="00AD60F1"/>
    <w:rsid w:val="00AD641A"/>
    <w:rsid w:val="00AE0300"/>
    <w:rsid w:val="00AE6659"/>
    <w:rsid w:val="00AF2752"/>
    <w:rsid w:val="00AF2B77"/>
    <w:rsid w:val="00AF4414"/>
    <w:rsid w:val="00AF53F5"/>
    <w:rsid w:val="00AF5754"/>
    <w:rsid w:val="00AF5B6D"/>
    <w:rsid w:val="00AF64D5"/>
    <w:rsid w:val="00AF70AF"/>
    <w:rsid w:val="00B00950"/>
    <w:rsid w:val="00B016E9"/>
    <w:rsid w:val="00B01CAF"/>
    <w:rsid w:val="00B025E9"/>
    <w:rsid w:val="00B05C81"/>
    <w:rsid w:val="00B10FE3"/>
    <w:rsid w:val="00B123A4"/>
    <w:rsid w:val="00B12F6A"/>
    <w:rsid w:val="00B13459"/>
    <w:rsid w:val="00B13AFE"/>
    <w:rsid w:val="00B15014"/>
    <w:rsid w:val="00B17CEB"/>
    <w:rsid w:val="00B23A58"/>
    <w:rsid w:val="00B26AA9"/>
    <w:rsid w:val="00B271A0"/>
    <w:rsid w:val="00B3299A"/>
    <w:rsid w:val="00B32F93"/>
    <w:rsid w:val="00B36330"/>
    <w:rsid w:val="00B37018"/>
    <w:rsid w:val="00B41282"/>
    <w:rsid w:val="00B42301"/>
    <w:rsid w:val="00B46A2A"/>
    <w:rsid w:val="00B55048"/>
    <w:rsid w:val="00B56B11"/>
    <w:rsid w:val="00B56FA4"/>
    <w:rsid w:val="00B62C5B"/>
    <w:rsid w:val="00B63934"/>
    <w:rsid w:val="00B67DA6"/>
    <w:rsid w:val="00B731D3"/>
    <w:rsid w:val="00B76D97"/>
    <w:rsid w:val="00B8357E"/>
    <w:rsid w:val="00B85F9B"/>
    <w:rsid w:val="00B87BD0"/>
    <w:rsid w:val="00B90ADC"/>
    <w:rsid w:val="00B90BDA"/>
    <w:rsid w:val="00B93DE3"/>
    <w:rsid w:val="00B97BDA"/>
    <w:rsid w:val="00BA1498"/>
    <w:rsid w:val="00BA3233"/>
    <w:rsid w:val="00BA4C40"/>
    <w:rsid w:val="00BA4F42"/>
    <w:rsid w:val="00BA6AD8"/>
    <w:rsid w:val="00BB395B"/>
    <w:rsid w:val="00BB3AC7"/>
    <w:rsid w:val="00BB479C"/>
    <w:rsid w:val="00BC0014"/>
    <w:rsid w:val="00BC141E"/>
    <w:rsid w:val="00BC17D0"/>
    <w:rsid w:val="00BC4B45"/>
    <w:rsid w:val="00BC6B09"/>
    <w:rsid w:val="00BC705C"/>
    <w:rsid w:val="00BC7A78"/>
    <w:rsid w:val="00BE0B0F"/>
    <w:rsid w:val="00BE1E85"/>
    <w:rsid w:val="00BE37A4"/>
    <w:rsid w:val="00BE45DE"/>
    <w:rsid w:val="00BE5390"/>
    <w:rsid w:val="00BE62F5"/>
    <w:rsid w:val="00BE6DA6"/>
    <w:rsid w:val="00BE7DC1"/>
    <w:rsid w:val="00BF18B9"/>
    <w:rsid w:val="00BF1EB7"/>
    <w:rsid w:val="00BF1F6B"/>
    <w:rsid w:val="00BF2854"/>
    <w:rsid w:val="00BF6050"/>
    <w:rsid w:val="00BF6609"/>
    <w:rsid w:val="00C019CD"/>
    <w:rsid w:val="00C023EE"/>
    <w:rsid w:val="00C04810"/>
    <w:rsid w:val="00C05456"/>
    <w:rsid w:val="00C07237"/>
    <w:rsid w:val="00C076A9"/>
    <w:rsid w:val="00C115AE"/>
    <w:rsid w:val="00C13669"/>
    <w:rsid w:val="00C148A4"/>
    <w:rsid w:val="00C15BBB"/>
    <w:rsid w:val="00C230CC"/>
    <w:rsid w:val="00C24EC5"/>
    <w:rsid w:val="00C25906"/>
    <w:rsid w:val="00C2619C"/>
    <w:rsid w:val="00C26975"/>
    <w:rsid w:val="00C31FC0"/>
    <w:rsid w:val="00C32D4D"/>
    <w:rsid w:val="00C349F2"/>
    <w:rsid w:val="00C34AE8"/>
    <w:rsid w:val="00C34E0E"/>
    <w:rsid w:val="00C36979"/>
    <w:rsid w:val="00C3761A"/>
    <w:rsid w:val="00C37FF1"/>
    <w:rsid w:val="00C43C4B"/>
    <w:rsid w:val="00C45393"/>
    <w:rsid w:val="00C46475"/>
    <w:rsid w:val="00C46DBD"/>
    <w:rsid w:val="00C503C1"/>
    <w:rsid w:val="00C507CD"/>
    <w:rsid w:val="00C54E82"/>
    <w:rsid w:val="00C56B6D"/>
    <w:rsid w:val="00C60E63"/>
    <w:rsid w:val="00C61243"/>
    <w:rsid w:val="00C6210B"/>
    <w:rsid w:val="00C62141"/>
    <w:rsid w:val="00C632B0"/>
    <w:rsid w:val="00C66774"/>
    <w:rsid w:val="00C66921"/>
    <w:rsid w:val="00C71C2D"/>
    <w:rsid w:val="00C729D6"/>
    <w:rsid w:val="00C73AEC"/>
    <w:rsid w:val="00C77FFE"/>
    <w:rsid w:val="00C827FA"/>
    <w:rsid w:val="00C82F60"/>
    <w:rsid w:val="00C83698"/>
    <w:rsid w:val="00C85EA4"/>
    <w:rsid w:val="00C86EEB"/>
    <w:rsid w:val="00C90052"/>
    <w:rsid w:val="00C90241"/>
    <w:rsid w:val="00C90641"/>
    <w:rsid w:val="00C912ED"/>
    <w:rsid w:val="00C912FE"/>
    <w:rsid w:val="00C914FA"/>
    <w:rsid w:val="00C93DCE"/>
    <w:rsid w:val="00C959AC"/>
    <w:rsid w:val="00CA05C8"/>
    <w:rsid w:val="00CA1572"/>
    <w:rsid w:val="00CA2E00"/>
    <w:rsid w:val="00CA4B11"/>
    <w:rsid w:val="00CA63A7"/>
    <w:rsid w:val="00CA6B87"/>
    <w:rsid w:val="00CA6CB3"/>
    <w:rsid w:val="00CB0728"/>
    <w:rsid w:val="00CB10B1"/>
    <w:rsid w:val="00CB328B"/>
    <w:rsid w:val="00CB3B0A"/>
    <w:rsid w:val="00CB4E65"/>
    <w:rsid w:val="00CB591A"/>
    <w:rsid w:val="00CB6238"/>
    <w:rsid w:val="00CB7393"/>
    <w:rsid w:val="00CB7B0D"/>
    <w:rsid w:val="00CC1127"/>
    <w:rsid w:val="00CC2031"/>
    <w:rsid w:val="00CC3062"/>
    <w:rsid w:val="00CC6FF1"/>
    <w:rsid w:val="00CD56F0"/>
    <w:rsid w:val="00CD6E34"/>
    <w:rsid w:val="00CE00D6"/>
    <w:rsid w:val="00CE12DE"/>
    <w:rsid w:val="00CE19B2"/>
    <w:rsid w:val="00CE51C3"/>
    <w:rsid w:val="00CF0931"/>
    <w:rsid w:val="00CF0DC6"/>
    <w:rsid w:val="00CF13AF"/>
    <w:rsid w:val="00CF1AE6"/>
    <w:rsid w:val="00CF1CFA"/>
    <w:rsid w:val="00CF1D3F"/>
    <w:rsid w:val="00CF422B"/>
    <w:rsid w:val="00CF42EB"/>
    <w:rsid w:val="00CF4F69"/>
    <w:rsid w:val="00D02FE4"/>
    <w:rsid w:val="00D04C12"/>
    <w:rsid w:val="00D1142B"/>
    <w:rsid w:val="00D144C5"/>
    <w:rsid w:val="00D15589"/>
    <w:rsid w:val="00D167D2"/>
    <w:rsid w:val="00D22AE8"/>
    <w:rsid w:val="00D2607D"/>
    <w:rsid w:val="00D268C5"/>
    <w:rsid w:val="00D3210C"/>
    <w:rsid w:val="00D34BE2"/>
    <w:rsid w:val="00D35ACA"/>
    <w:rsid w:val="00D36F78"/>
    <w:rsid w:val="00D37E28"/>
    <w:rsid w:val="00D41ADA"/>
    <w:rsid w:val="00D42986"/>
    <w:rsid w:val="00D432AD"/>
    <w:rsid w:val="00D45281"/>
    <w:rsid w:val="00D45DB0"/>
    <w:rsid w:val="00D46031"/>
    <w:rsid w:val="00D505AE"/>
    <w:rsid w:val="00D50D41"/>
    <w:rsid w:val="00D51069"/>
    <w:rsid w:val="00D53C1E"/>
    <w:rsid w:val="00D548A8"/>
    <w:rsid w:val="00D54EC8"/>
    <w:rsid w:val="00D56C7E"/>
    <w:rsid w:val="00D5736F"/>
    <w:rsid w:val="00D6350C"/>
    <w:rsid w:val="00D65F0F"/>
    <w:rsid w:val="00D67874"/>
    <w:rsid w:val="00D740E7"/>
    <w:rsid w:val="00D76DC5"/>
    <w:rsid w:val="00D772EF"/>
    <w:rsid w:val="00D81608"/>
    <w:rsid w:val="00D816F0"/>
    <w:rsid w:val="00D82985"/>
    <w:rsid w:val="00D82C9F"/>
    <w:rsid w:val="00D84653"/>
    <w:rsid w:val="00D90DB8"/>
    <w:rsid w:val="00D91DF1"/>
    <w:rsid w:val="00D92063"/>
    <w:rsid w:val="00D9294F"/>
    <w:rsid w:val="00D933B6"/>
    <w:rsid w:val="00D9537D"/>
    <w:rsid w:val="00DA024B"/>
    <w:rsid w:val="00DA2AF0"/>
    <w:rsid w:val="00DA434E"/>
    <w:rsid w:val="00DA49A8"/>
    <w:rsid w:val="00DA5255"/>
    <w:rsid w:val="00DA570A"/>
    <w:rsid w:val="00DA69B1"/>
    <w:rsid w:val="00DB021A"/>
    <w:rsid w:val="00DB294C"/>
    <w:rsid w:val="00DB6014"/>
    <w:rsid w:val="00DB76E5"/>
    <w:rsid w:val="00DC06CB"/>
    <w:rsid w:val="00DC1BF1"/>
    <w:rsid w:val="00DC1F53"/>
    <w:rsid w:val="00DC6F7A"/>
    <w:rsid w:val="00DC78D2"/>
    <w:rsid w:val="00DC7FC7"/>
    <w:rsid w:val="00DD25E4"/>
    <w:rsid w:val="00DD2EBF"/>
    <w:rsid w:val="00DD434E"/>
    <w:rsid w:val="00DD52CC"/>
    <w:rsid w:val="00DD5441"/>
    <w:rsid w:val="00DD5F47"/>
    <w:rsid w:val="00DD6DF6"/>
    <w:rsid w:val="00DE00D2"/>
    <w:rsid w:val="00DE308B"/>
    <w:rsid w:val="00DE53CB"/>
    <w:rsid w:val="00DE646F"/>
    <w:rsid w:val="00DE7957"/>
    <w:rsid w:val="00DF0B22"/>
    <w:rsid w:val="00DF1A90"/>
    <w:rsid w:val="00DF2DB3"/>
    <w:rsid w:val="00DF3AE9"/>
    <w:rsid w:val="00DF3BF7"/>
    <w:rsid w:val="00DF4190"/>
    <w:rsid w:val="00E00A32"/>
    <w:rsid w:val="00E05135"/>
    <w:rsid w:val="00E076E1"/>
    <w:rsid w:val="00E1075D"/>
    <w:rsid w:val="00E136A6"/>
    <w:rsid w:val="00E1479D"/>
    <w:rsid w:val="00E15440"/>
    <w:rsid w:val="00E17969"/>
    <w:rsid w:val="00E22514"/>
    <w:rsid w:val="00E31020"/>
    <w:rsid w:val="00E32467"/>
    <w:rsid w:val="00E34AC0"/>
    <w:rsid w:val="00E35DAB"/>
    <w:rsid w:val="00E3667F"/>
    <w:rsid w:val="00E37A7A"/>
    <w:rsid w:val="00E43D22"/>
    <w:rsid w:val="00E459C2"/>
    <w:rsid w:val="00E46070"/>
    <w:rsid w:val="00E47630"/>
    <w:rsid w:val="00E5458F"/>
    <w:rsid w:val="00E55B3B"/>
    <w:rsid w:val="00E55E91"/>
    <w:rsid w:val="00E60352"/>
    <w:rsid w:val="00E60A17"/>
    <w:rsid w:val="00E6552F"/>
    <w:rsid w:val="00E668F8"/>
    <w:rsid w:val="00E676CC"/>
    <w:rsid w:val="00E67DC9"/>
    <w:rsid w:val="00E7540B"/>
    <w:rsid w:val="00E754AD"/>
    <w:rsid w:val="00E80560"/>
    <w:rsid w:val="00E83695"/>
    <w:rsid w:val="00E83718"/>
    <w:rsid w:val="00E83A50"/>
    <w:rsid w:val="00E84B4F"/>
    <w:rsid w:val="00E85606"/>
    <w:rsid w:val="00E92D93"/>
    <w:rsid w:val="00E9447E"/>
    <w:rsid w:val="00E946FE"/>
    <w:rsid w:val="00E94CB2"/>
    <w:rsid w:val="00E979B6"/>
    <w:rsid w:val="00E97CE8"/>
    <w:rsid w:val="00EA025F"/>
    <w:rsid w:val="00EA0C2D"/>
    <w:rsid w:val="00EA1588"/>
    <w:rsid w:val="00EA37CC"/>
    <w:rsid w:val="00EA3AC5"/>
    <w:rsid w:val="00EA6692"/>
    <w:rsid w:val="00EA7525"/>
    <w:rsid w:val="00EA79B3"/>
    <w:rsid w:val="00EB418F"/>
    <w:rsid w:val="00EB4527"/>
    <w:rsid w:val="00EB6007"/>
    <w:rsid w:val="00EC0891"/>
    <w:rsid w:val="00EC3798"/>
    <w:rsid w:val="00EC57DF"/>
    <w:rsid w:val="00ED0506"/>
    <w:rsid w:val="00ED0AFD"/>
    <w:rsid w:val="00ED1275"/>
    <w:rsid w:val="00ED32DD"/>
    <w:rsid w:val="00ED5439"/>
    <w:rsid w:val="00EE3E3D"/>
    <w:rsid w:val="00EE48AF"/>
    <w:rsid w:val="00EE4ACC"/>
    <w:rsid w:val="00EE51DB"/>
    <w:rsid w:val="00EE58B6"/>
    <w:rsid w:val="00EE6392"/>
    <w:rsid w:val="00EE720D"/>
    <w:rsid w:val="00EF3496"/>
    <w:rsid w:val="00F0069E"/>
    <w:rsid w:val="00F014D0"/>
    <w:rsid w:val="00F02E15"/>
    <w:rsid w:val="00F032B8"/>
    <w:rsid w:val="00F0698A"/>
    <w:rsid w:val="00F07695"/>
    <w:rsid w:val="00F07BC5"/>
    <w:rsid w:val="00F11CD2"/>
    <w:rsid w:val="00F13DC0"/>
    <w:rsid w:val="00F14485"/>
    <w:rsid w:val="00F14C36"/>
    <w:rsid w:val="00F15134"/>
    <w:rsid w:val="00F16F02"/>
    <w:rsid w:val="00F2049D"/>
    <w:rsid w:val="00F23988"/>
    <w:rsid w:val="00F252A0"/>
    <w:rsid w:val="00F26A60"/>
    <w:rsid w:val="00F26A79"/>
    <w:rsid w:val="00F32C2D"/>
    <w:rsid w:val="00F40894"/>
    <w:rsid w:val="00F45F51"/>
    <w:rsid w:val="00F465B6"/>
    <w:rsid w:val="00F513A6"/>
    <w:rsid w:val="00F518D0"/>
    <w:rsid w:val="00F51C48"/>
    <w:rsid w:val="00F52538"/>
    <w:rsid w:val="00F52970"/>
    <w:rsid w:val="00F52A42"/>
    <w:rsid w:val="00F52EA3"/>
    <w:rsid w:val="00F558FC"/>
    <w:rsid w:val="00F57813"/>
    <w:rsid w:val="00F60027"/>
    <w:rsid w:val="00F615E1"/>
    <w:rsid w:val="00F61B78"/>
    <w:rsid w:val="00F62F84"/>
    <w:rsid w:val="00F6337D"/>
    <w:rsid w:val="00F64613"/>
    <w:rsid w:val="00F64B85"/>
    <w:rsid w:val="00F64CB9"/>
    <w:rsid w:val="00F66613"/>
    <w:rsid w:val="00F67181"/>
    <w:rsid w:val="00F71F6A"/>
    <w:rsid w:val="00F74CEF"/>
    <w:rsid w:val="00F75BC2"/>
    <w:rsid w:val="00F77628"/>
    <w:rsid w:val="00F80CD8"/>
    <w:rsid w:val="00F82FD3"/>
    <w:rsid w:val="00F838DD"/>
    <w:rsid w:val="00F8480B"/>
    <w:rsid w:val="00F870D3"/>
    <w:rsid w:val="00F9257C"/>
    <w:rsid w:val="00F92B90"/>
    <w:rsid w:val="00F9338F"/>
    <w:rsid w:val="00F9574C"/>
    <w:rsid w:val="00F95FA5"/>
    <w:rsid w:val="00F96C61"/>
    <w:rsid w:val="00FA0A9C"/>
    <w:rsid w:val="00FA1684"/>
    <w:rsid w:val="00FA2002"/>
    <w:rsid w:val="00FA248F"/>
    <w:rsid w:val="00FA4057"/>
    <w:rsid w:val="00FA48F4"/>
    <w:rsid w:val="00FA5E46"/>
    <w:rsid w:val="00FB1B2C"/>
    <w:rsid w:val="00FB2BE8"/>
    <w:rsid w:val="00FB3B70"/>
    <w:rsid w:val="00FB7115"/>
    <w:rsid w:val="00FB7F31"/>
    <w:rsid w:val="00FC0855"/>
    <w:rsid w:val="00FC1D53"/>
    <w:rsid w:val="00FC1EA0"/>
    <w:rsid w:val="00FC2780"/>
    <w:rsid w:val="00FC3DBE"/>
    <w:rsid w:val="00FC612E"/>
    <w:rsid w:val="00FC6159"/>
    <w:rsid w:val="00FC6AA3"/>
    <w:rsid w:val="00FC72EB"/>
    <w:rsid w:val="00FC7E62"/>
    <w:rsid w:val="00FD04E9"/>
    <w:rsid w:val="00FD061C"/>
    <w:rsid w:val="00FD084E"/>
    <w:rsid w:val="00FD1FDD"/>
    <w:rsid w:val="00FD381E"/>
    <w:rsid w:val="00FD45A2"/>
    <w:rsid w:val="00FD4BE9"/>
    <w:rsid w:val="00FE0E67"/>
    <w:rsid w:val="00FE32D4"/>
    <w:rsid w:val="00FE3CD9"/>
    <w:rsid w:val="00FE6074"/>
    <w:rsid w:val="00FE66BB"/>
    <w:rsid w:val="00FE67B0"/>
    <w:rsid w:val="00FF06A6"/>
    <w:rsid w:val="00FF0E9F"/>
    <w:rsid w:val="00FF3FDA"/>
    <w:rsid w:val="00FF3FEA"/>
    <w:rsid w:val="00FF41CD"/>
    <w:rsid w:val="00FF51A4"/>
    <w:rsid w:val="00FF700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411D04-F7FB-4D5E-913A-2ACA03AC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Titre1">
    <w:name w:val="heading 1"/>
    <w:basedOn w:val="Normal"/>
    <w:next w:val="Titre2"/>
    <w:qFormat/>
    <w:rsid w:val="003B017B"/>
    <w:pPr>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1"/>
      </w:numPr>
      <w:spacing w:before="120" w:after="120"/>
      <w:jc w:val="left"/>
      <w:outlineLvl w:val="4"/>
    </w:pPr>
    <w:rPr>
      <w:bCs/>
      <w:i/>
      <w:szCs w:val="26"/>
      <w:lang w:val="en-CA"/>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pPr>
      <w:keepLines/>
      <w:spacing w:after="60"/>
      <w:ind w:firstLine="720"/>
    </w:pPr>
    <w:rPr>
      <w:sz w:val="18"/>
    </w:rPr>
  </w:style>
  <w:style w:type="paragraph" w:styleId="Corpsdetex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Pr>
      <w:sz w:val="16"/>
    </w:rPr>
  </w:style>
  <w:style w:type="paragraph" w:styleId="Commentaire">
    <w:name w:val="annotation text"/>
    <w:basedOn w:val="Normal"/>
    <w:link w:val="CommentaireCar"/>
    <w:uiPriority w:val="99"/>
    <w:semiHidden/>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semiHidden/>
    <w:pPr>
      <w:spacing w:before="120" w:after="120"/>
      <w:ind w:left="176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uiPriority w:val="99"/>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agraphedeliste">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5364AB"/>
    <w:rPr>
      <w:snapToGrid w:val="0"/>
      <w:sz w:val="22"/>
      <w:szCs w:val="18"/>
      <w:lang w:val="en-GB"/>
    </w:rPr>
  </w:style>
  <w:style w:type="paragraph" w:customStyle="1" w:styleId="Para10">
    <w:name w:val="Para 1"/>
    <w:basedOn w:val="Corpsdetexte"/>
    <w:rsid w:val="00C914FA"/>
    <w:pPr>
      <w:ind w:firstLine="0"/>
    </w:pPr>
    <w:rPr>
      <w:rFonts w:eastAsia="MS Mincho" w:cs="Angsana New"/>
      <w:bCs/>
      <w:iCs w:val="0"/>
      <w:szCs w:val="22"/>
    </w:rPr>
  </w:style>
  <w:style w:type="paragraph" w:customStyle="1" w:styleId="Default">
    <w:name w:val="Default"/>
    <w:basedOn w:val="Normal"/>
    <w:rsid w:val="00AB5C14"/>
    <w:pPr>
      <w:autoSpaceDE w:val="0"/>
      <w:autoSpaceDN w:val="0"/>
      <w:jc w:val="left"/>
    </w:pPr>
    <w:rPr>
      <w:rFonts w:ascii="Calibri" w:eastAsiaTheme="minorHAnsi" w:hAnsi="Calibri"/>
      <w:color w:val="000000"/>
      <w:sz w:val="24"/>
      <w:lang w:val="en-CA" w:eastAsia="en-CA"/>
    </w:rPr>
  </w:style>
  <w:style w:type="character" w:customStyle="1" w:styleId="UnresolvedMention1">
    <w:name w:val="Unresolved Mention1"/>
    <w:basedOn w:val="Policepardfaut"/>
    <w:uiPriority w:val="99"/>
    <w:semiHidden/>
    <w:unhideWhenUsed/>
    <w:rsid w:val="003A27ED"/>
    <w:rPr>
      <w:color w:val="808080"/>
      <w:shd w:val="clear" w:color="auto" w:fill="E6E6E6"/>
    </w:rPr>
  </w:style>
  <w:style w:type="character" w:customStyle="1" w:styleId="UnresolvedMention2">
    <w:name w:val="Unresolved Mention2"/>
    <w:basedOn w:val="Policepardfaut"/>
    <w:uiPriority w:val="99"/>
    <w:semiHidden/>
    <w:unhideWhenUsed/>
    <w:rsid w:val="005D2D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615">
      <w:bodyDiv w:val="1"/>
      <w:marLeft w:val="0"/>
      <w:marRight w:val="0"/>
      <w:marTop w:val="0"/>
      <w:marBottom w:val="0"/>
      <w:divBdr>
        <w:top w:val="none" w:sz="0" w:space="0" w:color="auto"/>
        <w:left w:val="none" w:sz="0" w:space="0" w:color="auto"/>
        <w:bottom w:val="none" w:sz="0" w:space="0" w:color="auto"/>
        <w:right w:val="none" w:sz="0" w:space="0" w:color="auto"/>
      </w:divBdr>
    </w:div>
    <w:div w:id="247496387">
      <w:bodyDiv w:val="1"/>
      <w:marLeft w:val="0"/>
      <w:marRight w:val="0"/>
      <w:marTop w:val="0"/>
      <w:marBottom w:val="0"/>
      <w:divBdr>
        <w:top w:val="none" w:sz="0" w:space="0" w:color="auto"/>
        <w:left w:val="none" w:sz="0" w:space="0" w:color="auto"/>
        <w:bottom w:val="none" w:sz="0" w:space="0" w:color="auto"/>
        <w:right w:val="none" w:sz="0" w:space="0" w:color="auto"/>
      </w:divBdr>
      <w:divsChild>
        <w:div w:id="2059355538">
          <w:marLeft w:val="0"/>
          <w:marRight w:val="0"/>
          <w:marTop w:val="0"/>
          <w:marBottom w:val="0"/>
          <w:divBdr>
            <w:top w:val="none" w:sz="0" w:space="0" w:color="auto"/>
            <w:left w:val="none" w:sz="0" w:space="0" w:color="auto"/>
            <w:bottom w:val="none" w:sz="0" w:space="0" w:color="auto"/>
            <w:right w:val="none" w:sz="0" w:space="0" w:color="auto"/>
          </w:divBdr>
          <w:divsChild>
            <w:div w:id="653798848">
              <w:marLeft w:val="0"/>
              <w:marRight w:val="0"/>
              <w:marTop w:val="0"/>
              <w:marBottom w:val="0"/>
              <w:divBdr>
                <w:top w:val="none" w:sz="0" w:space="0" w:color="auto"/>
                <w:left w:val="none" w:sz="0" w:space="0" w:color="auto"/>
                <w:bottom w:val="none" w:sz="0" w:space="0" w:color="auto"/>
                <w:right w:val="none" w:sz="0" w:space="0" w:color="auto"/>
              </w:divBdr>
              <w:divsChild>
                <w:div w:id="757170024">
                  <w:marLeft w:val="0"/>
                  <w:marRight w:val="0"/>
                  <w:marTop w:val="0"/>
                  <w:marBottom w:val="0"/>
                  <w:divBdr>
                    <w:top w:val="none" w:sz="0" w:space="0" w:color="auto"/>
                    <w:left w:val="none" w:sz="0" w:space="0" w:color="auto"/>
                    <w:bottom w:val="none" w:sz="0" w:space="0" w:color="auto"/>
                    <w:right w:val="none" w:sz="0" w:space="0" w:color="auto"/>
                  </w:divBdr>
                </w:div>
                <w:div w:id="2013019782">
                  <w:marLeft w:val="0"/>
                  <w:marRight w:val="0"/>
                  <w:marTop w:val="0"/>
                  <w:marBottom w:val="0"/>
                  <w:divBdr>
                    <w:top w:val="none" w:sz="0" w:space="0" w:color="auto"/>
                    <w:left w:val="none" w:sz="0" w:space="0" w:color="auto"/>
                    <w:bottom w:val="none" w:sz="0" w:space="0" w:color="auto"/>
                    <w:right w:val="none" w:sz="0" w:space="0" w:color="auto"/>
                  </w:divBdr>
                </w:div>
              </w:divsChild>
            </w:div>
            <w:div w:id="1235358990">
              <w:marLeft w:val="0"/>
              <w:marRight w:val="0"/>
              <w:marTop w:val="0"/>
              <w:marBottom w:val="0"/>
              <w:divBdr>
                <w:top w:val="none" w:sz="0" w:space="0" w:color="auto"/>
                <w:left w:val="none" w:sz="0" w:space="0" w:color="auto"/>
                <w:bottom w:val="none" w:sz="0" w:space="0" w:color="auto"/>
                <w:right w:val="none" w:sz="0" w:space="0" w:color="auto"/>
              </w:divBdr>
              <w:divsChild>
                <w:div w:id="778064028">
                  <w:marLeft w:val="0"/>
                  <w:marRight w:val="0"/>
                  <w:marTop w:val="0"/>
                  <w:marBottom w:val="0"/>
                  <w:divBdr>
                    <w:top w:val="none" w:sz="0" w:space="0" w:color="auto"/>
                    <w:left w:val="none" w:sz="0" w:space="0" w:color="auto"/>
                    <w:bottom w:val="none" w:sz="0" w:space="0" w:color="auto"/>
                    <w:right w:val="none" w:sz="0" w:space="0" w:color="auto"/>
                  </w:divBdr>
                </w:div>
                <w:div w:id="427434989">
                  <w:marLeft w:val="0"/>
                  <w:marRight w:val="0"/>
                  <w:marTop w:val="0"/>
                  <w:marBottom w:val="0"/>
                  <w:divBdr>
                    <w:top w:val="none" w:sz="0" w:space="0" w:color="auto"/>
                    <w:left w:val="none" w:sz="0" w:space="0" w:color="auto"/>
                    <w:bottom w:val="none" w:sz="0" w:space="0" w:color="auto"/>
                    <w:right w:val="none" w:sz="0" w:space="0" w:color="auto"/>
                  </w:divBdr>
                </w:div>
              </w:divsChild>
            </w:div>
            <w:div w:id="1936354595">
              <w:marLeft w:val="0"/>
              <w:marRight w:val="0"/>
              <w:marTop w:val="0"/>
              <w:marBottom w:val="0"/>
              <w:divBdr>
                <w:top w:val="none" w:sz="0" w:space="0" w:color="auto"/>
                <w:left w:val="none" w:sz="0" w:space="0" w:color="auto"/>
                <w:bottom w:val="none" w:sz="0" w:space="0" w:color="auto"/>
                <w:right w:val="none" w:sz="0" w:space="0" w:color="auto"/>
              </w:divBdr>
              <w:divsChild>
                <w:div w:id="1187256369">
                  <w:marLeft w:val="0"/>
                  <w:marRight w:val="0"/>
                  <w:marTop w:val="0"/>
                  <w:marBottom w:val="0"/>
                  <w:divBdr>
                    <w:top w:val="none" w:sz="0" w:space="0" w:color="auto"/>
                    <w:left w:val="none" w:sz="0" w:space="0" w:color="auto"/>
                    <w:bottom w:val="none" w:sz="0" w:space="0" w:color="auto"/>
                    <w:right w:val="none" w:sz="0" w:space="0" w:color="auto"/>
                  </w:divBdr>
                </w:div>
                <w:div w:id="8108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8486">
          <w:marLeft w:val="0"/>
          <w:marRight w:val="0"/>
          <w:marTop w:val="0"/>
          <w:marBottom w:val="0"/>
          <w:divBdr>
            <w:top w:val="none" w:sz="0" w:space="0" w:color="auto"/>
            <w:left w:val="none" w:sz="0" w:space="0" w:color="auto"/>
            <w:bottom w:val="none" w:sz="0" w:space="0" w:color="auto"/>
            <w:right w:val="none" w:sz="0" w:space="0" w:color="auto"/>
          </w:divBdr>
        </w:div>
        <w:div w:id="566232865">
          <w:marLeft w:val="0"/>
          <w:marRight w:val="0"/>
          <w:marTop w:val="0"/>
          <w:marBottom w:val="0"/>
          <w:divBdr>
            <w:top w:val="none" w:sz="0" w:space="0" w:color="auto"/>
            <w:left w:val="none" w:sz="0" w:space="0" w:color="auto"/>
            <w:bottom w:val="none" w:sz="0" w:space="0" w:color="auto"/>
            <w:right w:val="none" w:sz="0" w:space="0" w:color="auto"/>
          </w:divBdr>
        </w:div>
        <w:div w:id="47806470">
          <w:marLeft w:val="0"/>
          <w:marRight w:val="0"/>
          <w:marTop w:val="0"/>
          <w:marBottom w:val="0"/>
          <w:divBdr>
            <w:top w:val="none" w:sz="0" w:space="0" w:color="auto"/>
            <w:left w:val="none" w:sz="0" w:space="0" w:color="auto"/>
            <w:bottom w:val="none" w:sz="0" w:space="0" w:color="auto"/>
            <w:right w:val="none" w:sz="0" w:space="0" w:color="auto"/>
          </w:divBdr>
        </w:div>
        <w:div w:id="845706674">
          <w:marLeft w:val="0"/>
          <w:marRight w:val="0"/>
          <w:marTop w:val="0"/>
          <w:marBottom w:val="0"/>
          <w:divBdr>
            <w:top w:val="none" w:sz="0" w:space="0" w:color="auto"/>
            <w:left w:val="none" w:sz="0" w:space="0" w:color="auto"/>
            <w:bottom w:val="none" w:sz="0" w:space="0" w:color="auto"/>
            <w:right w:val="none" w:sz="0" w:space="0" w:color="auto"/>
          </w:divBdr>
        </w:div>
        <w:div w:id="1271161280">
          <w:marLeft w:val="0"/>
          <w:marRight w:val="0"/>
          <w:marTop w:val="0"/>
          <w:marBottom w:val="0"/>
          <w:divBdr>
            <w:top w:val="none" w:sz="0" w:space="0" w:color="auto"/>
            <w:left w:val="none" w:sz="0" w:space="0" w:color="auto"/>
            <w:bottom w:val="none" w:sz="0" w:space="0" w:color="auto"/>
            <w:right w:val="none" w:sz="0" w:space="0" w:color="auto"/>
          </w:divBdr>
        </w:div>
        <w:div w:id="926963331">
          <w:marLeft w:val="0"/>
          <w:marRight w:val="0"/>
          <w:marTop w:val="0"/>
          <w:marBottom w:val="0"/>
          <w:divBdr>
            <w:top w:val="none" w:sz="0" w:space="0" w:color="auto"/>
            <w:left w:val="none" w:sz="0" w:space="0" w:color="auto"/>
            <w:bottom w:val="none" w:sz="0" w:space="0" w:color="auto"/>
            <w:right w:val="none" w:sz="0" w:space="0" w:color="auto"/>
          </w:divBdr>
        </w:div>
      </w:divsChild>
    </w:div>
    <w:div w:id="709499939">
      <w:bodyDiv w:val="1"/>
      <w:marLeft w:val="0"/>
      <w:marRight w:val="0"/>
      <w:marTop w:val="0"/>
      <w:marBottom w:val="0"/>
      <w:divBdr>
        <w:top w:val="none" w:sz="0" w:space="0" w:color="auto"/>
        <w:left w:val="none" w:sz="0" w:space="0" w:color="auto"/>
        <w:bottom w:val="none" w:sz="0" w:space="0" w:color="auto"/>
        <w:right w:val="none" w:sz="0" w:space="0" w:color="auto"/>
      </w:divBdr>
    </w:div>
    <w:div w:id="1487671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03-fr.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d.int/doc/decisions/cop-10/cop-10-dec-06-fr.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2.png@01D3C061.9532EE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2-fr.pdf"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0/cop-10-dec-31-fr.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1/cop-11-dec-24-fr.pdf" TargetMode="External"/><Relationship Id="rId2" Type="http://schemas.openxmlformats.org/officeDocument/2006/relationships/hyperlink" Target="https://www.cbd.int/doc/decisions/cop-10/cop-10-dec-29-fr.pdf" TargetMode="External"/><Relationship Id="rId1" Type="http://schemas.openxmlformats.org/officeDocument/2006/relationships/hyperlink" Target="https://www.cbd.int/doc/meetings/sbstta/sbstta-22/official/sbstta-22-01-fr.pdf" TargetMode="External"/><Relationship Id="rId6" Type="http://schemas.openxmlformats.org/officeDocument/2006/relationships/hyperlink" Target="http://www.un.org/esa/socdev/unpfii/documents/DRIPS_fr.pdf" TargetMode="External"/><Relationship Id="rId5" Type="http://schemas.openxmlformats.org/officeDocument/2006/relationships/hyperlink" Target="http://www.natureforlife.world" TargetMode="External"/><Relationship Id="rId4" Type="http://schemas.openxmlformats.org/officeDocument/2006/relationships/hyperlink" Target="https://www.cbd.int/doc/decisions/cop-13/cop-13-dec-09-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edelespacerserv"/>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edelespacerserv"/>
            </w:rPr>
            <w:t>Click here to enter text.</w:t>
          </w:r>
        </w:p>
      </w:docPartBody>
    </w:docPart>
    <w:docPart>
      <w:docPartPr>
        <w:name w:val="97D82C77193D4DCEB52E502FD008E7DA"/>
        <w:category>
          <w:name w:val="General"/>
          <w:gallery w:val="placeholder"/>
        </w:category>
        <w:types>
          <w:type w:val="bbPlcHdr"/>
        </w:types>
        <w:behaviors>
          <w:behavior w:val="content"/>
        </w:behaviors>
        <w:guid w:val="{24F9EDA7-87DA-43A0-91DA-C21242388329}"/>
      </w:docPartPr>
      <w:docPartBody>
        <w:p w:rsidR="000B39BE" w:rsidRDefault="00140B59">
          <w:r w:rsidRPr="007D39C1">
            <w:rPr>
              <w:rStyle w:val="Textedelespacerserv"/>
            </w:rPr>
            <w:t>[Title]</w:t>
          </w:r>
        </w:p>
      </w:docPartBody>
    </w:docPart>
    <w:docPart>
      <w:docPartPr>
        <w:name w:val="B17D16F9E5CA45A085D2E46E731FA84D"/>
        <w:category>
          <w:name w:val="General"/>
          <w:gallery w:val="placeholder"/>
        </w:category>
        <w:types>
          <w:type w:val="bbPlcHdr"/>
        </w:types>
        <w:behaviors>
          <w:behavior w:val="content"/>
        </w:behaviors>
        <w:guid w:val="{5F64AE6C-8318-44CF-B743-2C304ECE95BD}"/>
      </w:docPartPr>
      <w:docPartBody>
        <w:p w:rsidR="009144F5" w:rsidRDefault="000B39BE" w:rsidP="000B39BE">
          <w:pPr>
            <w:pStyle w:val="B17D16F9E5CA45A085D2E46E731FA84D"/>
          </w:pPr>
          <w:r w:rsidRPr="00B903A7">
            <w:rPr>
              <w:rStyle w:val="Textedelespacerserv"/>
            </w:rPr>
            <w:t>[Subject]</w:t>
          </w:r>
        </w:p>
      </w:docPartBody>
    </w:docPart>
    <w:docPart>
      <w:docPartPr>
        <w:name w:val="F6E74B58D00647BBA932B34B429E4A77"/>
        <w:category>
          <w:name w:val="General"/>
          <w:gallery w:val="placeholder"/>
        </w:category>
        <w:types>
          <w:type w:val="bbPlcHdr"/>
        </w:types>
        <w:behaviors>
          <w:behavior w:val="content"/>
        </w:behaviors>
        <w:guid w:val="{1AA73AD1-4F77-4B99-A4EC-C30EEA47A0C9}"/>
      </w:docPartPr>
      <w:docPartBody>
        <w:p w:rsidR="009144F5" w:rsidRDefault="000B39BE" w:rsidP="000B39BE">
          <w:pPr>
            <w:pStyle w:val="F6E74B58D00647BBA932B34B429E4A77"/>
          </w:pPr>
          <w:r w:rsidRPr="00B903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4383F"/>
    <w:rsid w:val="000A1E2C"/>
    <w:rsid w:val="000B39BE"/>
    <w:rsid w:val="000B3CFE"/>
    <w:rsid w:val="000C7FDF"/>
    <w:rsid w:val="00140B59"/>
    <w:rsid w:val="00183853"/>
    <w:rsid w:val="001B29AF"/>
    <w:rsid w:val="0025259C"/>
    <w:rsid w:val="002B3B1D"/>
    <w:rsid w:val="0037757D"/>
    <w:rsid w:val="003D2C28"/>
    <w:rsid w:val="004835DA"/>
    <w:rsid w:val="004A69EC"/>
    <w:rsid w:val="004B0938"/>
    <w:rsid w:val="004E5C76"/>
    <w:rsid w:val="00577AA3"/>
    <w:rsid w:val="00585863"/>
    <w:rsid w:val="0059331C"/>
    <w:rsid w:val="005B4419"/>
    <w:rsid w:val="005E52F6"/>
    <w:rsid w:val="0067025E"/>
    <w:rsid w:val="006772F5"/>
    <w:rsid w:val="006A68CD"/>
    <w:rsid w:val="00794310"/>
    <w:rsid w:val="007E501A"/>
    <w:rsid w:val="00806BED"/>
    <w:rsid w:val="0083264A"/>
    <w:rsid w:val="00860BD3"/>
    <w:rsid w:val="008B2AE5"/>
    <w:rsid w:val="009144F5"/>
    <w:rsid w:val="0094374A"/>
    <w:rsid w:val="0095215F"/>
    <w:rsid w:val="009A386E"/>
    <w:rsid w:val="00A27574"/>
    <w:rsid w:val="00A92B12"/>
    <w:rsid w:val="00AB666B"/>
    <w:rsid w:val="00AC6AFE"/>
    <w:rsid w:val="00B12A23"/>
    <w:rsid w:val="00B15943"/>
    <w:rsid w:val="00B36C7B"/>
    <w:rsid w:val="00B85E43"/>
    <w:rsid w:val="00BA60E1"/>
    <w:rsid w:val="00BB2CFE"/>
    <w:rsid w:val="00BF2A21"/>
    <w:rsid w:val="00C475E4"/>
    <w:rsid w:val="00C77ACB"/>
    <w:rsid w:val="00D00826"/>
    <w:rsid w:val="00D15890"/>
    <w:rsid w:val="00D5481D"/>
    <w:rsid w:val="00E11EC8"/>
    <w:rsid w:val="00E2634B"/>
    <w:rsid w:val="00EA493D"/>
    <w:rsid w:val="00EC17B5"/>
    <w:rsid w:val="00F01F7F"/>
    <w:rsid w:val="00F252B1"/>
    <w:rsid w:val="00FC2504"/>
    <w:rsid w:val="00FF1A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0B39BE"/>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BDE394D90ED44A4093C50A66FBE0F6A2">
    <w:name w:val="BDE394D90ED44A4093C50A66FBE0F6A2"/>
    <w:rsid w:val="004E5C76"/>
    <w:rPr>
      <w:lang w:val="en-CA" w:eastAsia="en-CA"/>
    </w:rPr>
  </w:style>
  <w:style w:type="paragraph" w:customStyle="1" w:styleId="C35C1601E36D4925B25CB2B2FF7C2F9B">
    <w:name w:val="C35C1601E36D4925B25CB2B2FF7C2F9B"/>
    <w:rsid w:val="004E5C76"/>
    <w:rPr>
      <w:lang w:val="en-CA" w:eastAsia="en-CA"/>
    </w:rPr>
  </w:style>
  <w:style w:type="paragraph" w:customStyle="1" w:styleId="B17D16F9E5CA45A085D2E46E731FA84D">
    <w:name w:val="B17D16F9E5CA45A085D2E46E731FA84D"/>
    <w:rsid w:val="000B39BE"/>
    <w:rPr>
      <w:lang w:val="en-GB" w:eastAsia="zh-CN"/>
    </w:rPr>
  </w:style>
  <w:style w:type="paragraph" w:customStyle="1" w:styleId="F6E74B58D00647BBA932B34B429E4A77">
    <w:name w:val="F6E74B58D00647BBA932B34B429E4A77"/>
    <w:rsid w:val="000B39BE"/>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5D97-51D6-45B6-A5BC-78DF5C3E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1071</TotalTime>
  <Pages>23</Pages>
  <Words>10584</Words>
  <Characters>58218</Characters>
  <Application>Microsoft Office Word</Application>
  <DocSecurity>0</DocSecurity>
  <Lines>485</Lines>
  <Paragraphs>137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AIRES PROTÉGÉES ET AUTRES MESURES DE CONSERVATION EFFICACES PAR ZONE </vt:lpstr>
      <vt:lpstr>Protected areas and other effective area-based conservation measures</vt:lpstr>
    </vt:vector>
  </TitlesOfParts>
  <Company>Biodiversity</Company>
  <LinksUpToDate>false</LinksUpToDate>
  <CharactersWithSpaces>68665</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AIRES PROTÉGÉES ET AUTRES MESURES DE CONSERVATION EFFICACES PAR ZONE </dc:title>
  <dc:subject>CBD/SBSTTA/22/6</dc:subject>
  <dc:creator>SCBD</dc:creator>
  <cp:lastModifiedBy>Louise</cp:lastModifiedBy>
  <cp:revision>29</cp:revision>
  <cp:lastPrinted>2018-04-06T15:06:00Z</cp:lastPrinted>
  <dcterms:created xsi:type="dcterms:W3CDTF">2018-04-13T21:49:00Z</dcterms:created>
  <dcterms:modified xsi:type="dcterms:W3CDTF">2018-04-19T18:37:00Z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ORGANE SUBSIDIAIRE CHARGÉ de FOURNIR      DES AVIS SCIENTIFIQUES, TECHNIQUES ET      TECHNOLOGIQUES</vt:lpwstr>
  </property>
</Properties>
</file>